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tiff" ContentType="image/tiff"/>
  <Default Extension="gif" ContentType="image/gif"/>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21D851" w14:textId="6B340301" w:rsidR="00E34892" w:rsidRDefault="009F7BB3" w:rsidP="00E34892">
      <w:pPr>
        <w:ind w:left="284" w:hanging="284"/>
        <w:sectPr w:rsidR="00E34892" w:rsidSect="00E34892">
          <w:type w:val="nextColumn"/>
          <w:pgSz w:w="11906" w:h="16838"/>
          <w:pgMar w:top="0" w:right="0" w:bottom="0" w:left="0" w:header="708" w:footer="708" w:gutter="0"/>
          <w:cols w:space="708"/>
          <w:docGrid w:linePitch="360"/>
        </w:sectPr>
      </w:pPr>
      <w:bookmarkStart w:id="0" w:name="_GoBack"/>
      <w:bookmarkEnd w:id="0"/>
      <w:r>
        <w:rPr>
          <w:noProof/>
          <w:lang w:val="en-AU" w:eastAsia="en-AU"/>
        </w:rPr>
        <mc:AlternateContent>
          <mc:Choice Requires="wps">
            <w:drawing>
              <wp:anchor distT="0" distB="0" distL="114300" distR="114300" simplePos="0" relativeHeight="251763712" behindDoc="0" locked="0" layoutInCell="1" allowOverlap="1" wp14:anchorId="2C2E3EC2" wp14:editId="1AE1AC1A">
                <wp:simplePos x="0" y="0"/>
                <wp:positionH relativeFrom="column">
                  <wp:posOffset>4391025</wp:posOffset>
                </wp:positionH>
                <wp:positionV relativeFrom="paragraph">
                  <wp:posOffset>3295015</wp:posOffset>
                </wp:positionV>
                <wp:extent cx="3051810" cy="695325"/>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51810" cy="695325"/>
                        </a:xfrm>
                        <a:prstGeom prst="rect">
                          <a:avLst/>
                        </a:prstGeom>
                        <a:noFill/>
                        <a:ln w="9525">
                          <a:noFill/>
                          <a:miter lim="800000"/>
                          <a:headEnd/>
                          <a:tailEnd/>
                        </a:ln>
                      </wps:spPr>
                      <wps:txbx>
                        <w:txbxContent>
                          <w:p w14:paraId="3F428C7C" w14:textId="77777777" w:rsidR="0010658F" w:rsidRPr="00202702" w:rsidRDefault="0010658F" w:rsidP="0010658F">
                            <w:pPr>
                              <w:rPr>
                                <w:rFonts w:ascii="Myriad Pro" w:hAnsi="Myriad Pro"/>
                                <w:color w:val="FFFFFF" w:themeColor="background1"/>
                                <w:sz w:val="64"/>
                                <w:szCs w:val="64"/>
                              </w:rPr>
                            </w:pPr>
                            <w:r w:rsidRPr="00B144A8">
                              <w:rPr>
                                <w:rFonts w:ascii="Myriad Pro" w:hAnsi="Myriad Pro"/>
                                <w:color w:val="FFFFFF" w:themeColor="background1"/>
                                <w:sz w:val="56"/>
                                <w:szCs w:val="56"/>
                              </w:rPr>
                              <w:t xml:space="preserve">2 0 1 </w:t>
                            </w:r>
                            <w:r>
                              <w:rPr>
                                <w:rFonts w:ascii="Myriad Pro" w:hAnsi="Myriad Pro"/>
                                <w:color w:val="FFFFFF" w:themeColor="background1"/>
                                <w:sz w:val="56"/>
                                <w:szCs w:val="56"/>
                              </w:rPr>
                              <w:t>4</w:t>
                            </w:r>
                            <w:r w:rsidRPr="00B144A8">
                              <w:rPr>
                                <w:rFonts w:ascii="Myriad Pro" w:hAnsi="Myriad Pro"/>
                                <w:color w:val="FFFFFF" w:themeColor="background1"/>
                                <w:sz w:val="56"/>
                                <w:szCs w:val="56"/>
                              </w:rPr>
                              <w:t xml:space="preserve">  -  2 0</w:t>
                            </w:r>
                            <w:r>
                              <w:rPr>
                                <w:rFonts w:ascii="Myriad Pro" w:hAnsi="Myriad Pro"/>
                                <w:color w:val="FFFFFF" w:themeColor="background1"/>
                                <w:sz w:val="64"/>
                                <w:szCs w:val="64"/>
                              </w:rPr>
                              <w:t xml:space="preserve"> </w:t>
                            </w:r>
                            <w:r w:rsidRPr="00B144A8">
                              <w:rPr>
                                <w:rFonts w:ascii="Myriad Pro" w:hAnsi="Myriad Pro"/>
                                <w:color w:val="FFFFFF" w:themeColor="background1"/>
                                <w:sz w:val="56"/>
                                <w:szCs w:val="56"/>
                              </w:rPr>
                              <w:t>1</w:t>
                            </w:r>
                            <w:r>
                              <w:rPr>
                                <w:rFonts w:ascii="Myriad Pro" w:hAnsi="Myriad Pro"/>
                                <w:color w:val="FFFFFF" w:themeColor="background1"/>
                                <w:sz w:val="64"/>
                                <w:szCs w:val="64"/>
                              </w:rPr>
                              <w:t xml:space="preserve"> </w:t>
                            </w:r>
                            <w:r>
                              <w:rPr>
                                <w:rFonts w:ascii="Myriad Pro" w:hAnsi="Myriad Pro"/>
                                <w:color w:val="FFFFFF" w:themeColor="background1"/>
                                <w:sz w:val="56"/>
                                <w:szCs w:val="56"/>
                              </w:rPr>
                              <w:t>5</w:t>
                            </w:r>
                          </w:p>
                          <w:p w14:paraId="113B1782" w14:textId="39C7C0F7" w:rsidR="009F7BB3" w:rsidRPr="008D415B" w:rsidRDefault="009F7BB3" w:rsidP="00E34892">
                            <w:pPr>
                              <w:rPr>
                                <w:rFonts w:ascii="Myriad Pro" w:hAnsi="Myriad Pro"/>
                                <w:color w:val="FFFFFF" w:themeColor="background1"/>
                                <w:sz w:val="58"/>
                                <w:szCs w:val="5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45.75pt;margin-top:259.45pt;width:240.3pt;height:54.7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" filled="f" stroked="f">
                <v:textbox>
                  <w:txbxContent>
                    <w:p w14:paraId="3F428C7C" w14:textId="77777777" w:rsidR="0010658F" w:rsidRPr="00202702" w:rsidRDefault="0010658F" w:rsidP="0010658F">
                      <w:pPr>
                        <w:rPr>
                          <w:rFonts w:ascii="Myriad Pro" w:hAnsi="Myriad Pro"/>
                          <w:color w:val="FFFFFF" w:themeColor="background1"/>
                          <w:sz w:val="64"/>
                          <w:szCs w:val="64"/>
                        </w:rPr>
                      </w:pPr>
                      <w:r w:rsidRPr="00B144A8">
                        <w:rPr>
                          <w:rFonts w:ascii="Myriad Pro" w:hAnsi="Myriad Pro"/>
                          <w:color w:val="FFFFFF" w:themeColor="background1"/>
                          <w:sz w:val="56"/>
                          <w:szCs w:val="56"/>
                        </w:rPr>
                        <w:t xml:space="preserve">2 0 1 </w:t>
                      </w:r>
                      <w:r>
                        <w:rPr>
                          <w:rFonts w:ascii="Myriad Pro" w:hAnsi="Myriad Pro"/>
                          <w:color w:val="FFFFFF" w:themeColor="background1"/>
                          <w:sz w:val="56"/>
                          <w:szCs w:val="56"/>
                        </w:rPr>
                        <w:t>4</w:t>
                      </w:r>
                      <w:r w:rsidRPr="00B144A8">
                        <w:rPr>
                          <w:rFonts w:ascii="Myriad Pro" w:hAnsi="Myriad Pro"/>
                          <w:color w:val="FFFFFF" w:themeColor="background1"/>
                          <w:sz w:val="56"/>
                          <w:szCs w:val="56"/>
                        </w:rPr>
                        <w:t xml:space="preserve">  -  2 0</w:t>
                      </w:r>
                      <w:r>
                        <w:rPr>
                          <w:rFonts w:ascii="Myriad Pro" w:hAnsi="Myriad Pro"/>
                          <w:color w:val="FFFFFF" w:themeColor="background1"/>
                          <w:sz w:val="64"/>
                          <w:szCs w:val="64"/>
                        </w:rPr>
                        <w:t xml:space="preserve"> </w:t>
                      </w:r>
                      <w:r w:rsidRPr="00B144A8">
                        <w:rPr>
                          <w:rFonts w:ascii="Myriad Pro" w:hAnsi="Myriad Pro"/>
                          <w:color w:val="FFFFFF" w:themeColor="background1"/>
                          <w:sz w:val="56"/>
                          <w:szCs w:val="56"/>
                        </w:rPr>
                        <w:t>1</w:t>
                      </w:r>
                      <w:r>
                        <w:rPr>
                          <w:rFonts w:ascii="Myriad Pro" w:hAnsi="Myriad Pro"/>
                          <w:color w:val="FFFFFF" w:themeColor="background1"/>
                          <w:sz w:val="64"/>
                          <w:szCs w:val="64"/>
                        </w:rPr>
                        <w:t xml:space="preserve"> </w:t>
                      </w:r>
                      <w:r>
                        <w:rPr>
                          <w:rFonts w:ascii="Myriad Pro" w:hAnsi="Myriad Pro"/>
                          <w:color w:val="FFFFFF" w:themeColor="background1"/>
                          <w:sz w:val="56"/>
                          <w:szCs w:val="56"/>
                        </w:rPr>
                        <w:t>5</w:t>
                      </w:r>
                    </w:p>
                    <w:p w14:paraId="113B1782" w14:textId="39C7C0F7" w:rsidR="009F7BB3" w:rsidRPr="008D415B" w:rsidRDefault="009F7BB3" w:rsidP="00E34892">
                      <w:pPr>
                        <w:rPr>
                          <w:rFonts w:ascii="Myriad Pro" w:hAnsi="Myriad Pro"/>
                          <w:color w:val="FFFFFF" w:themeColor="background1"/>
                          <w:sz w:val="58"/>
                          <w:szCs w:val="58"/>
                        </w:rPr>
                      </w:pPr>
                    </w:p>
                  </w:txbxContent>
                </v:textbox>
              </v:shape>
            </w:pict>
          </mc:Fallback>
        </mc:AlternateContent>
      </w:r>
      <w:r>
        <w:rPr>
          <w:noProof/>
          <w:lang w:val="en-AU" w:eastAsia="en-AU"/>
        </w:rPr>
        <mc:AlternateContent>
          <mc:Choice Requires="wps">
            <w:drawing>
              <wp:anchor distT="0" distB="0" distL="114300" distR="114300" simplePos="0" relativeHeight="251762688" behindDoc="0" locked="0" layoutInCell="1" allowOverlap="1" wp14:anchorId="715304D2" wp14:editId="45643B78">
                <wp:simplePos x="0" y="0"/>
                <wp:positionH relativeFrom="column">
                  <wp:posOffset>4410075</wp:posOffset>
                </wp:positionH>
                <wp:positionV relativeFrom="paragraph">
                  <wp:posOffset>3390265</wp:posOffset>
                </wp:positionV>
                <wp:extent cx="2946400" cy="504825"/>
                <wp:effectExtent l="0" t="0" r="25400" b="28575"/>
                <wp:wrapNone/>
                <wp:docPr id="9" name="Rectangle 9" descr="Front cover design feature" title="Rectangle"/>
                <wp:cNvGraphicFramePr/>
                <a:graphic xmlns:a="http://schemas.openxmlformats.org/drawingml/2006/main">
                  <a:graphicData uri="http://schemas.microsoft.com/office/word/2010/wordprocessingShape">
                    <wps:wsp>
                      <wps:cNvSpPr/>
                      <wps:spPr>
                        <a:xfrm>
                          <a:off x="0" y="0"/>
                          <a:ext cx="2946400" cy="504825"/>
                        </a:xfrm>
                        <a:prstGeom prst="rect">
                          <a:avLst/>
                        </a:prstGeom>
                        <a:solidFill>
                          <a:srgbClr val="00CC99"/>
                        </a:solidFill>
                        <a:ln>
                          <a:solidFill>
                            <a:srgbClr val="00CC99"/>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7F33DF" w14:textId="77777777" w:rsidR="009F7BB3" w:rsidRDefault="009F7BB3" w:rsidP="00E3489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9" o:spid="_x0000_s1027" alt="Title: Rectangle - Description: Front cover design feature" style="position:absolute;left:0;text-align:left;margin-left:347.25pt;margin-top:266.95pt;width:232pt;height:39.75pt;z-index:2517626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" fillcolor="#0c9" strokecolor="#0c9" strokeweight="2pt">
                <v:textbox>
                  <w:txbxContent>
                    <w:p w14:paraId="0F7F33DF" w14:textId="77777777" w:rsidR="009F7BB3" w:rsidRDefault="009F7BB3" w:rsidP="00E34892">
                      <w:pPr>
                        <w:jc w:val="center"/>
                      </w:pPr>
                    </w:p>
                  </w:txbxContent>
                </v:textbox>
              </v:rect>
            </w:pict>
          </mc:Fallback>
        </mc:AlternateContent>
      </w:r>
      <w:r w:rsidR="00E34892">
        <w:rPr>
          <w:noProof/>
          <w:lang w:val="en-AU" w:eastAsia="en-AU"/>
        </w:rPr>
        <mc:AlternateContent>
          <mc:Choice Requires="wps">
            <w:drawing>
              <wp:anchor distT="0" distB="0" distL="114300" distR="114300" simplePos="0" relativeHeight="251764736" behindDoc="0" locked="0" layoutInCell="1" allowOverlap="1" wp14:anchorId="210E3C5E" wp14:editId="5CD35AEA">
                <wp:simplePos x="0" y="0"/>
                <wp:positionH relativeFrom="column">
                  <wp:posOffset>238125</wp:posOffset>
                </wp:positionH>
                <wp:positionV relativeFrom="paragraph">
                  <wp:posOffset>9867899</wp:posOffset>
                </wp:positionV>
                <wp:extent cx="7112000" cy="695325"/>
                <wp:effectExtent l="0" t="0" r="0" b="0"/>
                <wp:wrapNone/>
                <wp:docPr id="5" name="Text Box 2" descr="Front cover rectangle design feature" title="Rectangl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12000" cy="695325"/>
                        </a:xfrm>
                        <a:prstGeom prst="rect">
                          <a:avLst/>
                        </a:prstGeom>
                        <a:noFill/>
                        <a:ln w="9525">
                          <a:noFill/>
                          <a:miter lim="800000"/>
                          <a:headEnd/>
                          <a:tailEnd/>
                        </a:ln>
                      </wps:spPr>
                      <wps:txbx>
                        <w:txbxContent>
                          <w:p w14:paraId="186BB9D7" w14:textId="77777777" w:rsidR="009F7BB3" w:rsidRPr="002107F5" w:rsidRDefault="009F7BB3" w:rsidP="00E34892">
                            <w:pPr>
                              <w:jc w:val="center"/>
                              <w:rPr>
                                <w:rFonts w:cs="Arial"/>
                              </w:rPr>
                            </w:pPr>
                            <w:r w:rsidRPr="002107F5">
                              <w:rPr>
                                <w:rFonts w:cs="Arial"/>
                                <w:lang w:val="en-AU"/>
                              </w:rPr>
                              <w:t>Christian Lønborg, Michelle Devlin, Jane Waterhouse, Richard Brinkman, Paul Costello, Eduardo da Silva, Johnston Davidson, Kevin Gunn, Murray Logan, Caroline Petus, Britta Schaffelke, Michele Skuza, Hemerson Tonin, Dieter Tracey, Margaret Wright, Irena Zagorskis</w:t>
                            </w:r>
                          </w:p>
                          <w:p w14:paraId="77C51B09" w14:textId="77777777" w:rsidR="009F7BB3" w:rsidRPr="002450CE" w:rsidRDefault="009F7BB3" w:rsidP="00E34892">
                            <w:pPr>
                              <w:rPr>
                                <w:rFonts w:ascii="Verdana" w:hAnsi="Verdana"/>
                                <w:sz w:val="24"/>
                                <w:szCs w:val="24"/>
                              </w:rPr>
                            </w:pPr>
                          </w:p>
                          <w:p w14:paraId="5FAB0F5F" w14:textId="77777777" w:rsidR="009F7BB3" w:rsidRDefault="009F7BB3" w:rsidP="00E3489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alt="Title: Rectangle - Description: Front cover rectangle design feature" style="position:absolute;left:0;text-align:left;margin-left:18.75pt;margin-top:777pt;width:560pt;height:54.7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" filled="f" stroked="f">
                <v:textbox>
                  <w:txbxContent>
                    <w:p w14:paraId="186BB9D7" w14:textId="77777777" w:rsidR="009F7BB3" w:rsidRPr="002107F5" w:rsidRDefault="009F7BB3" w:rsidP="00E34892">
                      <w:pPr>
                        <w:jc w:val="center"/>
                        <w:rPr>
                          <w:rFonts w:cs="Arial"/>
                        </w:rPr>
                      </w:pPr>
                      <w:r w:rsidRPr="002107F5">
                        <w:rPr>
                          <w:rFonts w:cs="Arial"/>
                          <w:lang w:val="en-AU"/>
                        </w:rPr>
                        <w:t>Christian Lønborg, Michelle Devlin, Jane Waterhouse, Richard Brinkman, Paul Costello, Eduardo da Silva, Johnston Davidson, Kevin Gunn, Murray Logan, Caroline Petus, Britta Schaffelke, Michele Skuza, Hemerson Tonin, Dieter Tracey, Margaret Wright, Irena Zagorskis</w:t>
                      </w:r>
                    </w:p>
                    <w:p w14:paraId="77C51B09" w14:textId="77777777" w:rsidR="009F7BB3" w:rsidRPr="002450CE" w:rsidRDefault="009F7BB3" w:rsidP="00E34892">
                      <w:pPr>
                        <w:rPr>
                          <w:rFonts w:ascii="Verdana" w:hAnsi="Verdana"/>
                          <w:sz w:val="24"/>
                          <w:szCs w:val="24"/>
                        </w:rPr>
                      </w:pPr>
                    </w:p>
                    <w:p w14:paraId="5FAB0F5F" w14:textId="77777777" w:rsidR="009F7BB3" w:rsidRDefault="009F7BB3" w:rsidP="00E34892"/>
                  </w:txbxContent>
                </v:textbox>
              </v:shape>
            </w:pict>
          </mc:Fallback>
        </mc:AlternateContent>
      </w:r>
      <w:r w:rsidR="00E34892">
        <w:rPr>
          <w:noProof/>
          <w:lang w:val="en-AU" w:eastAsia="en-AU"/>
        </w:rPr>
        <mc:AlternateContent>
          <mc:Choice Requires="wps">
            <w:drawing>
              <wp:anchor distT="0" distB="0" distL="114300" distR="114300" simplePos="0" relativeHeight="251761664" behindDoc="0" locked="0" layoutInCell="1" allowOverlap="1" wp14:anchorId="46FAAFE9" wp14:editId="114AC79D">
                <wp:simplePos x="0" y="0"/>
                <wp:positionH relativeFrom="column">
                  <wp:posOffset>4406900</wp:posOffset>
                </wp:positionH>
                <wp:positionV relativeFrom="paragraph">
                  <wp:posOffset>647700</wp:posOffset>
                </wp:positionV>
                <wp:extent cx="2870200" cy="0"/>
                <wp:effectExtent l="0" t="0" r="25400" b="19050"/>
                <wp:wrapNone/>
                <wp:docPr id="4" name="Straight Connector 4" descr="Green line design feature" title="Straight connector"/>
                <wp:cNvGraphicFramePr/>
                <a:graphic xmlns:a="http://schemas.openxmlformats.org/drawingml/2006/main">
                  <a:graphicData uri="http://schemas.microsoft.com/office/word/2010/wordprocessingShape">
                    <wps:wsp>
                      <wps:cNvCnPr/>
                      <wps:spPr>
                        <a:xfrm>
                          <a:off x="0" y="0"/>
                          <a:ext cx="2870200" cy="0"/>
                        </a:xfrm>
                        <a:prstGeom prst="line">
                          <a:avLst/>
                        </a:prstGeom>
                        <a:ln>
                          <a:solidFill>
                            <a:srgbClr val="00CC99"/>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Straight Connector 4" o:spid="_x0000_s1026" alt="Title: Straight connector - Description: Green line design feature" style="position:absolute;z-index:2517616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47pt,51pt" to="573pt,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" strokecolor="#0c9"/>
            </w:pict>
          </mc:Fallback>
        </mc:AlternateContent>
      </w:r>
      <w:r w:rsidR="00E34892">
        <w:rPr>
          <w:noProof/>
          <w:lang w:val="en-AU" w:eastAsia="en-AU"/>
        </w:rPr>
        <w:drawing>
          <wp:inline distT="0" distB="0" distL="0" distR="0" wp14:anchorId="51BB4C3B" wp14:editId="18083625">
            <wp:extent cx="7553325" cy="10581668"/>
            <wp:effectExtent l="0" t="0" r="0" b="0"/>
            <wp:docPr id="10" name="Picture 10" descr="Logos, title and front cover image: Dunk Island, mullet in mangroves © Matt Curnock, 2012" title="Front 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RMMP Covers4Word Templates7.jpg"/>
                    <pic:cNvPicPr/>
                  </pic:nvPicPr>
                  <pic:blipFill>
                    <a:blip r:embed="rId283">
                      <a:extLst>
                        <a:ext uri="{28A0092B-C50C-407E-A947-70E740481C1C}">
                          <a14:useLocalDpi xmlns:a14="http://schemas.microsoft.com/office/drawing/2010/main" val="0"/>
                        </a:ext>
                      </a:extLst>
                    </a:blip>
                    <a:stretch>
                      <a:fillRect/>
                    </a:stretch>
                  </pic:blipFill>
                  <pic:spPr>
                    <a:xfrm>
                      <a:off x="0" y="0"/>
                      <a:ext cx="7553325" cy="10581668"/>
                    </a:xfrm>
                    <a:prstGeom prst="rect">
                      <a:avLst/>
                    </a:prstGeom>
                  </pic:spPr>
                </pic:pic>
              </a:graphicData>
            </a:graphic>
          </wp:inline>
        </w:drawing>
      </w:r>
    </w:p>
    <w:p w14:paraId="2B46128B" w14:textId="01540F19" w:rsidR="004551FD" w:rsidRDefault="004551FD" w:rsidP="002729A1">
      <w:pPr>
        <w:pStyle w:val="Infopage"/>
        <w:rPr>
          <w:lang w:val="en-AU"/>
        </w:rPr>
      </w:pPr>
    </w:p>
    <w:p w14:paraId="4A0EEC95" w14:textId="6EB2538C" w:rsidR="00AB2398" w:rsidRPr="00F65073" w:rsidRDefault="00AB2398" w:rsidP="002729A1">
      <w:pPr>
        <w:pStyle w:val="Infopage"/>
        <w:rPr>
          <w:lang w:val="en-AU"/>
        </w:rPr>
      </w:pPr>
      <w:r w:rsidRPr="00F65073">
        <w:rPr>
          <w:lang w:val="en-AU"/>
        </w:rPr>
        <w:t>Australian Institute of Marine Science</w:t>
      </w:r>
    </w:p>
    <w:p w14:paraId="3996E88C" w14:textId="77777777" w:rsidR="00AB2398" w:rsidRPr="00F65073" w:rsidRDefault="00AB2398" w:rsidP="002729A1">
      <w:pPr>
        <w:pStyle w:val="Infopage"/>
        <w:tabs>
          <w:tab w:val="left" w:pos="2700"/>
          <w:tab w:val="left" w:pos="5040"/>
        </w:tabs>
        <w:rPr>
          <w:lang w:val="en-AU"/>
        </w:rPr>
      </w:pPr>
      <w:r w:rsidRPr="00F65073">
        <w:rPr>
          <w:lang w:val="en-AU"/>
        </w:rPr>
        <w:t>PMB No 3</w:t>
      </w:r>
    </w:p>
    <w:p w14:paraId="6D640338" w14:textId="77777777" w:rsidR="00AB2398" w:rsidRPr="00F65073" w:rsidRDefault="00AB2398" w:rsidP="002729A1">
      <w:pPr>
        <w:pStyle w:val="Infopage"/>
        <w:tabs>
          <w:tab w:val="left" w:pos="2700"/>
          <w:tab w:val="left" w:pos="5040"/>
        </w:tabs>
        <w:rPr>
          <w:lang w:val="en-AU"/>
        </w:rPr>
      </w:pPr>
      <w:r w:rsidRPr="00F65073">
        <w:rPr>
          <w:lang w:val="en-AU"/>
        </w:rPr>
        <w:t>Townsville MC</w:t>
      </w:r>
      <w:r>
        <w:rPr>
          <w:lang w:val="en-AU"/>
        </w:rPr>
        <w:t xml:space="preserve">, </w:t>
      </w:r>
      <w:r w:rsidRPr="00F65073">
        <w:rPr>
          <w:lang w:val="en-AU"/>
        </w:rPr>
        <w:t>Qld  4810</w:t>
      </w:r>
    </w:p>
    <w:p w14:paraId="30DC7CAC" w14:textId="77777777" w:rsidR="00AB2398" w:rsidRPr="00F65073" w:rsidRDefault="00AB2398" w:rsidP="002729A1">
      <w:pPr>
        <w:pStyle w:val="Infopage"/>
        <w:tabs>
          <w:tab w:val="left" w:pos="2700"/>
          <w:tab w:val="left" w:pos="5040"/>
        </w:tabs>
        <w:rPr>
          <w:lang w:val="en-AU"/>
        </w:rPr>
      </w:pPr>
      <w:r w:rsidRPr="00F65073">
        <w:rPr>
          <w:lang w:val="en-AU"/>
        </w:rPr>
        <w:t xml:space="preserve">and </w:t>
      </w:r>
    </w:p>
    <w:p w14:paraId="6185B381" w14:textId="77777777" w:rsidR="00356D82" w:rsidRDefault="00AB2398" w:rsidP="002729A1">
      <w:pPr>
        <w:pStyle w:val="Infopage"/>
        <w:tabs>
          <w:tab w:val="left" w:pos="2700"/>
          <w:tab w:val="left" w:pos="5040"/>
        </w:tabs>
        <w:jc w:val="left"/>
        <w:rPr>
          <w:rFonts w:cs="Tahoma"/>
          <w:color w:val="000000"/>
          <w:lang w:val="en-AU" w:eastAsia="en-GB"/>
        </w:rPr>
      </w:pPr>
      <w:r w:rsidRPr="00F65073">
        <w:rPr>
          <w:rFonts w:cs="Tahoma"/>
          <w:color w:val="000000"/>
          <w:lang w:val="en-AU" w:eastAsia="en-GB"/>
        </w:rPr>
        <w:t>TropWATER- Centre for Tropical Water and Aquatic Ecosystem Research</w:t>
      </w:r>
    </w:p>
    <w:p w14:paraId="3ECA0274" w14:textId="6144485C" w:rsidR="00356D82" w:rsidRDefault="00AB2398" w:rsidP="002729A1">
      <w:pPr>
        <w:pStyle w:val="Infopage"/>
        <w:tabs>
          <w:tab w:val="left" w:pos="2700"/>
          <w:tab w:val="left" w:pos="5040"/>
        </w:tabs>
        <w:jc w:val="left"/>
        <w:rPr>
          <w:rFonts w:cs="Tahoma"/>
          <w:color w:val="000000"/>
          <w:lang w:val="en-AU" w:eastAsia="en-GB"/>
        </w:rPr>
      </w:pPr>
      <w:r w:rsidRPr="00F65073">
        <w:rPr>
          <w:rFonts w:cs="Tahoma"/>
          <w:color w:val="000000"/>
          <w:lang w:val="en-AU" w:eastAsia="en-GB"/>
        </w:rPr>
        <w:t>James Cook University</w:t>
      </w:r>
    </w:p>
    <w:p w14:paraId="15A799BE" w14:textId="66CCECB0" w:rsidR="00AB2398" w:rsidRPr="00F65073" w:rsidRDefault="00AB2398" w:rsidP="002729A1">
      <w:pPr>
        <w:pStyle w:val="Infopage"/>
        <w:tabs>
          <w:tab w:val="left" w:pos="2700"/>
          <w:tab w:val="left" w:pos="5040"/>
        </w:tabs>
        <w:jc w:val="left"/>
        <w:rPr>
          <w:lang w:val="en-AU"/>
        </w:rPr>
      </w:pPr>
      <w:r w:rsidRPr="00F65073">
        <w:rPr>
          <w:rFonts w:cs="Tahoma"/>
          <w:color w:val="000000"/>
          <w:lang w:val="en-AU" w:eastAsia="en-GB"/>
        </w:rPr>
        <w:t>Townsville, Qld 4811</w:t>
      </w:r>
    </w:p>
    <w:p w14:paraId="3EAE7EB8" w14:textId="77777777" w:rsidR="00950B6A" w:rsidRPr="00356D82" w:rsidRDefault="00950B6A" w:rsidP="002729A1">
      <w:pPr>
        <w:rPr>
          <w:sz w:val="20"/>
        </w:rPr>
      </w:pPr>
    </w:p>
    <w:p w14:paraId="2D81C691" w14:textId="77777777" w:rsidR="00950B6A" w:rsidRPr="00356D82" w:rsidRDefault="00950B6A" w:rsidP="00950B6A">
      <w:pPr>
        <w:pStyle w:val="Infopage"/>
        <w:rPr>
          <w:lang w:val="en-AU"/>
        </w:rPr>
      </w:pPr>
    </w:p>
    <w:p w14:paraId="66AB667D" w14:textId="77777777" w:rsidR="00950B6A" w:rsidRPr="00F65073" w:rsidRDefault="00950B6A" w:rsidP="00950B6A">
      <w:pPr>
        <w:pBdr>
          <w:top w:val="single" w:sz="12" w:space="1" w:color="0070C0"/>
          <w:left w:val="single" w:sz="12" w:space="4" w:color="0070C0"/>
          <w:bottom w:val="single" w:sz="12" w:space="1" w:color="0070C0"/>
          <w:right w:val="single" w:sz="12" w:space="4" w:color="0070C0"/>
        </w:pBdr>
        <w:rPr>
          <w:rFonts w:ascii="Arial Narrow" w:eastAsia="MS Mincho" w:hAnsi="Arial Narrow" w:cs="Arial"/>
          <w:szCs w:val="22"/>
          <w:lang w:val="en-AU" w:eastAsia="ja-JP"/>
        </w:rPr>
      </w:pPr>
      <w:r w:rsidRPr="00F65073">
        <w:rPr>
          <w:rFonts w:ascii="Arial Narrow" w:eastAsia="MS Mincho" w:hAnsi="Arial Narrow" w:cs="Arial"/>
          <w:szCs w:val="22"/>
          <w:lang w:val="en-AU" w:eastAsia="ja-JP"/>
        </w:rPr>
        <w:t>© Copyright Australian Institute of Marine Science (AIMS) and JCU Trop</w:t>
      </w:r>
      <w:r>
        <w:rPr>
          <w:rFonts w:ascii="Arial Narrow" w:eastAsia="MS Mincho" w:hAnsi="Arial Narrow" w:cs="Arial"/>
          <w:szCs w:val="22"/>
          <w:lang w:val="en-AU" w:eastAsia="ja-JP"/>
        </w:rPr>
        <w:t>WATER</w:t>
      </w:r>
      <w:r w:rsidRPr="00F65073">
        <w:rPr>
          <w:rFonts w:ascii="Arial Narrow" w:eastAsia="MS Mincho" w:hAnsi="Arial Narrow" w:cs="Arial"/>
          <w:szCs w:val="22"/>
          <w:lang w:val="en-AU" w:eastAsia="ja-JP"/>
        </w:rPr>
        <w:t xml:space="preserve"> 201</w:t>
      </w:r>
      <w:r>
        <w:rPr>
          <w:rFonts w:ascii="Arial Narrow" w:eastAsia="MS Mincho" w:hAnsi="Arial Narrow" w:cs="Arial"/>
          <w:szCs w:val="22"/>
          <w:lang w:val="en-AU" w:eastAsia="ja-JP"/>
        </w:rPr>
        <w:t>6</w:t>
      </w:r>
      <w:r w:rsidRPr="00F65073">
        <w:rPr>
          <w:rFonts w:ascii="Arial Narrow" w:eastAsia="MS Mincho" w:hAnsi="Arial Narrow" w:cs="Arial"/>
          <w:szCs w:val="22"/>
          <w:lang w:val="en-AU" w:eastAsia="ja-JP"/>
        </w:rPr>
        <w:t xml:space="preserve"> </w:t>
      </w:r>
    </w:p>
    <w:p w14:paraId="5887C3FE" w14:textId="77777777" w:rsidR="00950B6A" w:rsidRPr="00F65073" w:rsidRDefault="00950B6A" w:rsidP="00950B6A">
      <w:pPr>
        <w:rPr>
          <w:rFonts w:ascii="Arial Narrow" w:eastAsia="MS Mincho" w:hAnsi="Arial Narrow" w:cs="Arial"/>
          <w:szCs w:val="22"/>
          <w:lang w:val="en-AU" w:eastAsia="ja-JP"/>
        </w:rPr>
      </w:pPr>
      <w:r w:rsidRPr="00F65073">
        <w:rPr>
          <w:rFonts w:ascii="Arial Narrow" w:eastAsia="MS Mincho" w:hAnsi="Arial Narrow" w:cs="Arial"/>
          <w:szCs w:val="22"/>
          <w:lang w:val="en-AU" w:eastAsia="ja-JP"/>
        </w:rPr>
        <w:t>All rights are reserved and no part of this document may be reproduced, stored or copied in any form or by any means whatsoever except with the prior written permission of AIMS.</w:t>
      </w:r>
    </w:p>
    <w:p w14:paraId="019692CA" w14:textId="77777777" w:rsidR="00950B6A" w:rsidRPr="009E3F11" w:rsidRDefault="00950B6A" w:rsidP="00950B6A">
      <w:pPr>
        <w:rPr>
          <w:rFonts w:ascii="Arial Narrow" w:eastAsia="MS Mincho" w:hAnsi="Arial Narrow" w:cs="Arial"/>
          <w:szCs w:val="22"/>
          <w:lang w:val="en-AU" w:eastAsia="ja-JP"/>
        </w:rPr>
      </w:pPr>
    </w:p>
    <w:p w14:paraId="14C730AD" w14:textId="009224B3" w:rsidR="00950B6A" w:rsidRPr="009E3F11" w:rsidRDefault="00950B6A" w:rsidP="00950B6A">
      <w:pPr>
        <w:rPr>
          <w:rFonts w:ascii="Arial Narrow" w:eastAsia="MS Mincho" w:hAnsi="Arial Narrow" w:cs="Arial"/>
          <w:szCs w:val="22"/>
          <w:lang w:val="en-AU" w:eastAsia="ja-JP"/>
        </w:rPr>
      </w:pPr>
      <w:r w:rsidRPr="009E3F11">
        <w:rPr>
          <w:rFonts w:ascii="Arial Narrow" w:eastAsia="MS Mincho" w:hAnsi="Arial Narrow" w:cs="Arial"/>
          <w:szCs w:val="22"/>
          <w:lang w:val="en-AU" w:eastAsia="ja-JP"/>
        </w:rPr>
        <w:t>National Library of Australia Cataloguing-in-Publication entry:</w:t>
      </w:r>
    </w:p>
    <w:p w14:paraId="38A32108" w14:textId="3068C032" w:rsidR="00950B6A" w:rsidRPr="009E3F11" w:rsidRDefault="00356D82" w:rsidP="00950B6A">
      <w:pPr>
        <w:rPr>
          <w:rFonts w:ascii="Arial Narrow" w:eastAsia="MS Mincho" w:hAnsi="Arial Narrow" w:cs="Arial"/>
          <w:szCs w:val="22"/>
          <w:lang w:val="en-AU" w:eastAsia="ja-JP"/>
        </w:rPr>
      </w:pPr>
      <w:r>
        <w:rPr>
          <w:rFonts w:ascii="Arial Narrow" w:eastAsia="MS Mincho" w:hAnsi="Arial Narrow" w:cs="Arial"/>
          <w:szCs w:val="22"/>
          <w:lang w:val="en-AU" w:eastAsia="ja-JP"/>
        </w:rPr>
        <w:t>ISBN 978192508811</w:t>
      </w:r>
      <w:r w:rsidR="00950B6A" w:rsidRPr="009E3F11">
        <w:rPr>
          <w:rFonts w:ascii="Arial Narrow" w:eastAsia="MS Mincho" w:hAnsi="Arial Narrow" w:cs="Arial"/>
          <w:szCs w:val="22"/>
          <w:lang w:val="en-AU" w:eastAsia="ja-JP"/>
        </w:rPr>
        <w:t>3</w:t>
      </w:r>
    </w:p>
    <w:p w14:paraId="3FB33EFE" w14:textId="058386E9" w:rsidR="00950B6A" w:rsidRDefault="00950B6A" w:rsidP="009E3F11">
      <w:pPr>
        <w:rPr>
          <w:rFonts w:ascii="Arial Narrow" w:eastAsia="MS Mincho" w:hAnsi="Arial Narrow" w:cs="Arial"/>
          <w:szCs w:val="22"/>
          <w:lang w:val="en-AU" w:eastAsia="ja-JP"/>
        </w:rPr>
      </w:pPr>
    </w:p>
    <w:p w14:paraId="07C01CFF" w14:textId="77777777" w:rsidR="00AB2398" w:rsidRPr="00F65073" w:rsidRDefault="00AB2398" w:rsidP="00AB2398">
      <w:pPr>
        <w:pStyle w:val="Infopage"/>
        <w:rPr>
          <w:lang w:val="en-AU"/>
        </w:rPr>
      </w:pPr>
      <w:r w:rsidRPr="00F65073">
        <w:rPr>
          <w:lang w:val="en-AU"/>
        </w:rPr>
        <w:t>This report should be cited as:</w:t>
      </w:r>
      <w:r w:rsidRPr="00F65073">
        <w:rPr>
          <w:rFonts w:cs="Arial"/>
          <w:lang w:val="en-AU"/>
        </w:rPr>
        <w:t xml:space="preserve"> </w:t>
      </w:r>
    </w:p>
    <w:p w14:paraId="70250EB1" w14:textId="4734ECA2" w:rsidR="00AB2398" w:rsidRPr="00F65073" w:rsidRDefault="00AB2398" w:rsidP="00AB2398">
      <w:pPr>
        <w:pStyle w:val="Infopage"/>
        <w:rPr>
          <w:lang w:val="en-AU"/>
        </w:rPr>
      </w:pPr>
      <w:r w:rsidRPr="00F65073">
        <w:rPr>
          <w:rFonts w:cs="Arial"/>
          <w:lang w:val="en-AU"/>
        </w:rPr>
        <w:t>Lønborg C</w:t>
      </w:r>
      <w:r w:rsidRPr="00F65073">
        <w:rPr>
          <w:lang w:val="en-AU"/>
        </w:rPr>
        <w:t xml:space="preserve">, Devlin M, </w:t>
      </w:r>
      <w:r>
        <w:rPr>
          <w:rFonts w:cs="Arial"/>
          <w:lang w:val="en-AU"/>
        </w:rPr>
        <w:t xml:space="preserve">Waterhouse J, </w:t>
      </w:r>
      <w:r w:rsidRPr="00F65073">
        <w:rPr>
          <w:rFonts w:cs="Arial"/>
          <w:lang w:val="en-AU"/>
        </w:rPr>
        <w:t>Brinkman R,</w:t>
      </w:r>
      <w:r w:rsidRPr="00F65073">
        <w:rPr>
          <w:lang w:val="en-AU"/>
        </w:rPr>
        <w:t xml:space="preserve"> Costello P, da Silva E, Davidson </w:t>
      </w:r>
      <w:r w:rsidRPr="00F65073">
        <w:rPr>
          <w:rFonts w:cs="Arial"/>
          <w:lang w:val="en-AU"/>
        </w:rPr>
        <w:t>J, Gunn K,</w:t>
      </w:r>
      <w:r w:rsidRPr="00F65073">
        <w:rPr>
          <w:lang w:val="en-AU"/>
        </w:rPr>
        <w:t xml:space="preserve"> Logan M,</w:t>
      </w:r>
      <w:r w:rsidRPr="00F65073">
        <w:rPr>
          <w:rFonts w:cs="Arial"/>
          <w:lang w:val="en-AU"/>
        </w:rPr>
        <w:t xml:space="preserve"> Petus C,</w:t>
      </w:r>
      <w:r w:rsidRPr="00F65073">
        <w:rPr>
          <w:lang w:val="en-AU"/>
        </w:rPr>
        <w:t xml:space="preserve"> Schaffelke B,</w:t>
      </w:r>
      <w:r w:rsidRPr="00F65073">
        <w:rPr>
          <w:rFonts w:cs="Arial"/>
          <w:lang w:val="en-AU"/>
        </w:rPr>
        <w:t xml:space="preserve"> Skuza M, Tonin H, Tracey D</w:t>
      </w:r>
      <w:r>
        <w:rPr>
          <w:rFonts w:cs="Arial"/>
          <w:lang w:val="en-AU"/>
        </w:rPr>
        <w:t>,</w:t>
      </w:r>
      <w:r w:rsidRPr="00F65073">
        <w:rPr>
          <w:rFonts w:cs="Arial"/>
          <w:lang w:val="en-AU"/>
        </w:rPr>
        <w:t xml:space="preserve"> </w:t>
      </w:r>
      <w:r>
        <w:rPr>
          <w:rFonts w:cs="Arial"/>
          <w:lang w:val="en-AU"/>
        </w:rPr>
        <w:t xml:space="preserve">Wright M and </w:t>
      </w:r>
      <w:r w:rsidRPr="00F65073">
        <w:rPr>
          <w:rFonts w:cs="Arial"/>
          <w:lang w:val="en-AU"/>
        </w:rPr>
        <w:t>Zagorskis I</w:t>
      </w:r>
      <w:r>
        <w:rPr>
          <w:lang w:val="en-AU"/>
        </w:rPr>
        <w:t xml:space="preserve"> (</w:t>
      </w:r>
      <w:r w:rsidRPr="00C51DE2">
        <w:rPr>
          <w:lang w:val="en-AU"/>
        </w:rPr>
        <w:t>201</w:t>
      </w:r>
      <w:r>
        <w:rPr>
          <w:lang w:val="en-AU"/>
        </w:rPr>
        <w:t>6</w:t>
      </w:r>
      <w:r w:rsidRPr="003A77F5">
        <w:rPr>
          <w:lang w:val="en-AU"/>
        </w:rPr>
        <w:t>)</w:t>
      </w:r>
      <w:r>
        <w:rPr>
          <w:lang w:val="en-AU"/>
        </w:rPr>
        <w:t>.</w:t>
      </w:r>
      <w:r w:rsidRPr="003A77F5">
        <w:rPr>
          <w:lang w:val="en-AU"/>
        </w:rPr>
        <w:t xml:space="preserve"> </w:t>
      </w:r>
      <w:r>
        <w:t>Mar</w:t>
      </w:r>
      <w:r w:rsidR="00CB25D3">
        <w:t>ine Monitoring Program: Annual R</w:t>
      </w:r>
      <w:r>
        <w:t xml:space="preserve">eport </w:t>
      </w:r>
      <w:r w:rsidR="00CB25D3">
        <w:t>for i</w:t>
      </w:r>
      <w:r>
        <w:rPr>
          <w:color w:val="000000"/>
        </w:rPr>
        <w:t>nshore water quality monitoring</w:t>
      </w:r>
      <w:r w:rsidR="00044AEF">
        <w:rPr>
          <w:color w:val="000000"/>
        </w:rPr>
        <w:t>: 2014 to 2015</w:t>
      </w:r>
      <w:r>
        <w:rPr>
          <w:color w:val="000000"/>
        </w:rPr>
        <w:t xml:space="preserve">. Report </w:t>
      </w:r>
      <w:r>
        <w:t>for the Great Barrier Reef Marine Park Authority</w:t>
      </w:r>
      <w:r w:rsidRPr="00F65073">
        <w:rPr>
          <w:lang w:val="en-AU"/>
        </w:rPr>
        <w:t xml:space="preserve">. Australian Institute of Marine Science and JCU </w:t>
      </w:r>
      <w:r w:rsidRPr="00F65073">
        <w:rPr>
          <w:rFonts w:cs="Tahoma"/>
          <w:color w:val="000000"/>
          <w:lang w:val="en-AU" w:eastAsia="en-GB"/>
        </w:rPr>
        <w:t>TropWATER</w:t>
      </w:r>
      <w:r w:rsidRPr="00F65073">
        <w:rPr>
          <w:lang w:val="en-AU"/>
        </w:rPr>
        <w:t>, Townsville</w:t>
      </w:r>
      <w:r>
        <w:rPr>
          <w:lang w:val="en-AU"/>
        </w:rPr>
        <w:t xml:space="preserve"> 229p</w:t>
      </w:r>
      <w:r w:rsidRPr="009F168E">
        <w:rPr>
          <w:lang w:val="en-AU"/>
        </w:rPr>
        <w:t>p.</w:t>
      </w:r>
    </w:p>
    <w:p w14:paraId="21DB45C1" w14:textId="0B840FFE" w:rsidR="00AB2398" w:rsidRDefault="00AB2398" w:rsidP="009E3F11">
      <w:pPr>
        <w:rPr>
          <w:rFonts w:ascii="Arial Narrow" w:eastAsia="MS Mincho" w:hAnsi="Arial Narrow" w:cs="Arial"/>
          <w:szCs w:val="22"/>
          <w:lang w:val="en-AU" w:eastAsia="ja-JP"/>
        </w:rPr>
      </w:pPr>
    </w:p>
    <w:p w14:paraId="2FA2C990" w14:textId="77777777" w:rsidR="00AB0196" w:rsidRDefault="00AB0196" w:rsidP="00AB0196">
      <w:pPr>
        <w:rPr>
          <w:rFonts w:ascii="Arial Narrow" w:eastAsia="MS Mincho" w:hAnsi="Arial Narrow" w:cs="Arial"/>
          <w:szCs w:val="22"/>
          <w:lang w:val="en-AU" w:eastAsia="ja-JP"/>
        </w:rPr>
      </w:pPr>
    </w:p>
    <w:p w14:paraId="131B64B2" w14:textId="77777777" w:rsidR="00AB0196" w:rsidRPr="009E3F11" w:rsidRDefault="00AB0196" w:rsidP="00AB0196">
      <w:pPr>
        <w:rPr>
          <w:rFonts w:ascii="Arial Narrow" w:eastAsia="MS Mincho" w:hAnsi="Arial Narrow" w:cs="Arial"/>
          <w:szCs w:val="22"/>
          <w:lang w:val="en-AU" w:eastAsia="ja-JP"/>
        </w:rPr>
      </w:pPr>
      <w:r w:rsidRPr="009E3F11">
        <w:rPr>
          <w:rFonts w:ascii="Arial Narrow" w:eastAsia="MS Mincho" w:hAnsi="Arial Narrow" w:cs="Arial"/>
          <w:szCs w:val="22"/>
          <w:lang w:val="en-AU" w:eastAsia="ja-JP"/>
        </w:rPr>
        <w:t>Front cover image: Dunk Island, mullet in mangroves © Matt Curnock, 2012.</w:t>
      </w:r>
    </w:p>
    <w:p w14:paraId="464712A3" w14:textId="77777777" w:rsidR="00AB0196" w:rsidRDefault="00AB0196" w:rsidP="009E3F11">
      <w:pPr>
        <w:rPr>
          <w:rFonts w:ascii="Arial Narrow" w:eastAsia="MS Mincho" w:hAnsi="Arial Narrow" w:cs="Arial"/>
          <w:szCs w:val="22"/>
          <w:lang w:val="en-AU" w:eastAsia="ja-JP"/>
        </w:rPr>
      </w:pPr>
    </w:p>
    <w:p w14:paraId="2468EC99" w14:textId="77777777" w:rsidR="00AB0196" w:rsidRDefault="00AB0196" w:rsidP="009E3F11">
      <w:pPr>
        <w:rPr>
          <w:rFonts w:ascii="Arial Narrow" w:eastAsia="MS Mincho" w:hAnsi="Arial Narrow" w:cs="Arial"/>
          <w:szCs w:val="22"/>
          <w:lang w:val="en-AU" w:eastAsia="ja-JP"/>
        </w:rPr>
      </w:pPr>
    </w:p>
    <w:p w14:paraId="3D778242" w14:textId="77777777" w:rsidR="00AB2398" w:rsidRPr="00F65073" w:rsidRDefault="00AB2398" w:rsidP="00AB2398">
      <w:pPr>
        <w:rPr>
          <w:rFonts w:ascii="Arial Narrow" w:eastAsia="MS Mincho" w:hAnsi="Arial Narrow" w:cs="Arial"/>
          <w:b/>
          <w:szCs w:val="22"/>
          <w:lang w:val="en-AU" w:eastAsia="ja-JP"/>
        </w:rPr>
      </w:pPr>
      <w:r w:rsidRPr="00F65073">
        <w:rPr>
          <w:rFonts w:ascii="Arial Narrow" w:eastAsia="MS Mincho" w:hAnsi="Arial Narrow" w:cs="Arial"/>
          <w:b/>
          <w:szCs w:val="22"/>
          <w:lang w:val="en-AU" w:eastAsia="ja-JP"/>
        </w:rPr>
        <w:t>DISCLAIMER</w:t>
      </w:r>
    </w:p>
    <w:p w14:paraId="2CCCF0B3" w14:textId="77777777" w:rsidR="00AB2398" w:rsidRPr="00F65073" w:rsidRDefault="00AB2398" w:rsidP="00AB2398">
      <w:pPr>
        <w:rPr>
          <w:rFonts w:ascii="Arial Narrow" w:eastAsia="MS Mincho" w:hAnsi="Arial Narrow" w:cs="Arial"/>
          <w:szCs w:val="22"/>
          <w:lang w:val="en-AU" w:eastAsia="ja-JP"/>
        </w:rPr>
      </w:pPr>
      <w:r w:rsidRPr="00F65073">
        <w:rPr>
          <w:rFonts w:ascii="Arial Narrow" w:eastAsia="MS Mincho" w:hAnsi="Arial Narrow" w:cs="Arial"/>
          <w:szCs w:val="22"/>
          <w:lang w:val="en-AU" w:eastAsia="ja-JP"/>
        </w:rPr>
        <w:t>While reasonable efforts have been made to ensure that the contents of this document are factually correct, AIMS JCU do not make any representation or give any warranty regarding the accuracy, completeness, currency or suitability for any particular purpose of the information or statements contained in this document. To the extent permitted by law AIMS shall not be liable for any loss, damage, cost or expense that may be occasioned directly or indirectly through the use of or reliance on the contents of this document.</w:t>
      </w:r>
    </w:p>
    <w:p w14:paraId="64662C2F" w14:textId="77777777" w:rsidR="00AB2398" w:rsidRPr="009E3F11" w:rsidRDefault="00AB2398" w:rsidP="009E3F11">
      <w:pPr>
        <w:rPr>
          <w:rFonts w:ascii="Arial Narrow" w:eastAsia="MS Mincho" w:hAnsi="Arial Narrow" w:cs="Arial"/>
          <w:szCs w:val="22"/>
          <w:lang w:val="en-AU" w:eastAsia="ja-JP"/>
        </w:rPr>
      </w:pPr>
    </w:p>
    <w:p w14:paraId="14F9043F" w14:textId="77777777" w:rsidR="0046484B" w:rsidRPr="007A17C3" w:rsidRDefault="0046484B" w:rsidP="0046484B">
      <w:pPr>
        <w:pStyle w:val="BodyText3"/>
        <w:spacing w:before="0"/>
        <w:rPr>
          <w:rFonts w:ascii="Arial Narrow" w:eastAsia="Dotum" w:hAnsi="Arial Narrow" w:cs="Arial"/>
          <w:sz w:val="22"/>
          <w:szCs w:val="22"/>
          <w:lang w:val="en-AU"/>
        </w:rPr>
      </w:pPr>
      <w:r w:rsidRPr="007A17C3">
        <w:rPr>
          <w:rFonts w:ascii="Arial Narrow" w:eastAsia="Dotum" w:hAnsi="Arial Narrow" w:cs="Arial"/>
          <w:sz w:val="22"/>
          <w:szCs w:val="22"/>
          <w:lang w:val="en-AU"/>
        </w:rPr>
        <w:t>Direct Enquiries to –</w:t>
      </w:r>
    </w:p>
    <w:p w14:paraId="6D950D65" w14:textId="77777777" w:rsidR="00701087" w:rsidRPr="003F0C4F" w:rsidRDefault="00701087" w:rsidP="00701087">
      <w:pPr>
        <w:pStyle w:val="BodyText3"/>
        <w:spacing w:before="0" w:after="0"/>
        <w:rPr>
          <w:rFonts w:ascii="Arial Narrow" w:hAnsi="Arial Narrow" w:cs="Arial"/>
          <w:sz w:val="22"/>
          <w:szCs w:val="22"/>
          <w:lang w:val="en-AU"/>
        </w:rPr>
      </w:pPr>
      <w:r w:rsidRPr="003F0C4F">
        <w:rPr>
          <w:rFonts w:ascii="Arial Narrow" w:hAnsi="Arial Narrow" w:cs="Arial"/>
          <w:sz w:val="22"/>
          <w:szCs w:val="22"/>
        </w:rPr>
        <w:t xml:space="preserve">Dr. Christian </w:t>
      </w:r>
      <w:r w:rsidRPr="003F0C4F">
        <w:rPr>
          <w:rFonts w:ascii="Arial Narrow" w:hAnsi="Arial Narrow" w:cs="Arial"/>
          <w:sz w:val="22"/>
          <w:szCs w:val="22"/>
          <w:lang w:val="en-AU"/>
        </w:rPr>
        <w:t>Lønborg</w:t>
      </w:r>
    </w:p>
    <w:p w14:paraId="0A2FCAF7" w14:textId="77777777" w:rsidR="00701087" w:rsidRPr="003F0C4F" w:rsidRDefault="00701087" w:rsidP="00701087">
      <w:pPr>
        <w:pStyle w:val="BodyText3"/>
        <w:spacing w:before="0" w:after="0"/>
        <w:rPr>
          <w:rFonts w:ascii="Arial Narrow" w:hAnsi="Arial Narrow" w:cs="Arial"/>
          <w:sz w:val="22"/>
          <w:szCs w:val="22"/>
          <w:lang w:val="en-AU"/>
        </w:rPr>
      </w:pPr>
      <w:r w:rsidRPr="003F0C4F">
        <w:rPr>
          <w:rFonts w:ascii="Arial Narrow" w:hAnsi="Arial Narrow" w:cs="Arial"/>
          <w:sz w:val="22"/>
          <w:szCs w:val="22"/>
          <w:lang w:val="en-AU"/>
        </w:rPr>
        <w:t xml:space="preserve">Phone: +61 7 </w:t>
      </w:r>
      <w:r>
        <w:rPr>
          <w:rFonts w:ascii="Arial Narrow" w:hAnsi="Arial Narrow" w:cs="Arial"/>
          <w:sz w:val="22"/>
          <w:szCs w:val="22"/>
          <w:lang w:val="en-AU"/>
        </w:rPr>
        <w:t>4753 4351</w:t>
      </w:r>
    </w:p>
    <w:p w14:paraId="668A0F2A" w14:textId="77777777" w:rsidR="00701087" w:rsidRPr="003F0C4F" w:rsidRDefault="00701087" w:rsidP="00701087">
      <w:pPr>
        <w:pStyle w:val="BodyText3"/>
        <w:spacing w:before="0" w:after="0"/>
        <w:rPr>
          <w:rFonts w:ascii="Arial Narrow" w:hAnsi="Arial Narrow" w:cs="Arial"/>
          <w:sz w:val="22"/>
          <w:szCs w:val="22"/>
          <w:lang w:val="en-AU"/>
        </w:rPr>
      </w:pPr>
      <w:r w:rsidRPr="003F0C4F">
        <w:rPr>
          <w:rFonts w:ascii="Arial Narrow" w:hAnsi="Arial Narrow" w:cs="Arial"/>
          <w:sz w:val="22"/>
          <w:szCs w:val="22"/>
          <w:lang w:val="en-AU"/>
        </w:rPr>
        <w:t xml:space="preserve">Fax: +61 7 </w:t>
      </w:r>
      <w:r>
        <w:rPr>
          <w:rFonts w:ascii="Arial Narrow" w:hAnsi="Arial Narrow" w:cs="Arial"/>
          <w:sz w:val="22"/>
          <w:szCs w:val="22"/>
          <w:lang w:val="en-AU"/>
        </w:rPr>
        <w:t xml:space="preserve">4772 5852 </w:t>
      </w:r>
    </w:p>
    <w:p w14:paraId="5974A941" w14:textId="77777777" w:rsidR="00701087" w:rsidRPr="003F0C4F" w:rsidRDefault="00701087" w:rsidP="00701087">
      <w:pPr>
        <w:pStyle w:val="BodyText3"/>
        <w:spacing w:before="0" w:after="0"/>
        <w:rPr>
          <w:rFonts w:ascii="Arial Narrow" w:hAnsi="Arial Narrow" w:cs="Arial"/>
          <w:sz w:val="20"/>
          <w:szCs w:val="20"/>
          <w:lang w:val="en-AU"/>
        </w:rPr>
      </w:pPr>
      <w:r w:rsidRPr="003F0C4F">
        <w:rPr>
          <w:rFonts w:ascii="Arial Narrow" w:hAnsi="Arial Narrow" w:cs="Arial"/>
          <w:sz w:val="22"/>
          <w:szCs w:val="22"/>
          <w:lang w:val="en-AU"/>
        </w:rPr>
        <w:t xml:space="preserve">Email: </w:t>
      </w:r>
      <w:r>
        <w:rPr>
          <w:rFonts w:ascii="Arial Narrow" w:hAnsi="Arial Narrow" w:cs="Arial"/>
          <w:sz w:val="22"/>
          <w:szCs w:val="22"/>
          <w:lang w:val="en-AU"/>
        </w:rPr>
        <w:t>c.lonborg@aims.gov.au</w:t>
      </w:r>
    </w:p>
    <w:p w14:paraId="39D16DC7" w14:textId="6B8E0B23" w:rsidR="00AB0196" w:rsidRDefault="00701087" w:rsidP="00701087">
      <w:pPr>
        <w:pStyle w:val="BodyText3"/>
        <w:spacing w:before="0" w:after="0"/>
        <w:rPr>
          <w:rFonts w:ascii="Arial Narrow" w:hAnsi="Arial Narrow" w:cs="Arial"/>
          <w:sz w:val="22"/>
          <w:szCs w:val="22"/>
          <w:lang w:val="en-AU"/>
        </w:rPr>
      </w:pPr>
      <w:r w:rsidRPr="003F0C4F">
        <w:rPr>
          <w:rFonts w:ascii="Arial Narrow" w:hAnsi="Arial Narrow" w:cs="Arial"/>
          <w:sz w:val="22"/>
          <w:szCs w:val="22"/>
          <w:lang w:val="en-AU"/>
        </w:rPr>
        <w:t>Web:</w:t>
      </w:r>
      <w:r w:rsidRPr="009E24B7">
        <w:rPr>
          <w:rFonts w:ascii="Arial Narrow" w:hAnsi="Arial Narrow" w:cs="Arial"/>
          <w:sz w:val="22"/>
          <w:szCs w:val="22"/>
          <w:lang w:val="en-AU"/>
        </w:rPr>
        <w:t xml:space="preserve"> </w:t>
      </w:r>
      <w:r>
        <w:rPr>
          <w:rFonts w:ascii="Arial Narrow" w:hAnsi="Arial Narrow" w:cs="Arial"/>
          <w:sz w:val="22"/>
          <w:szCs w:val="22"/>
          <w:lang w:val="en-AU"/>
        </w:rPr>
        <w:t>www.aims.gov.au</w:t>
      </w:r>
    </w:p>
    <w:p w14:paraId="0A728183" w14:textId="77777777" w:rsidR="007344E0" w:rsidRDefault="007344E0" w:rsidP="0046484B">
      <w:pPr>
        <w:pStyle w:val="BodyText3"/>
        <w:spacing w:before="0" w:after="0"/>
        <w:rPr>
          <w:rFonts w:ascii="Arial Narrow" w:eastAsia="MS Mincho" w:hAnsi="Arial Narrow" w:cs="Arial"/>
          <w:szCs w:val="22"/>
          <w:lang w:val="en-AU" w:eastAsia="ja-JP"/>
        </w:rPr>
      </w:pPr>
    </w:p>
    <w:p w14:paraId="22D8AFE4" w14:textId="77777777" w:rsidR="00AB0196" w:rsidRDefault="00AB0196" w:rsidP="00950B6A">
      <w:pPr>
        <w:rPr>
          <w:rFonts w:ascii="Arial Narrow" w:eastAsia="MS Mincho" w:hAnsi="Arial Narrow" w:cs="Arial"/>
          <w:szCs w:val="22"/>
          <w:lang w:val="en-AU" w:eastAsia="ja-JP"/>
        </w:rPr>
        <w:sectPr w:rsidR="00AB0196" w:rsidSect="004551FD">
          <w:headerReference w:type="default" r:id="rId284"/>
          <w:footerReference w:type="default" r:id="rId285"/>
          <w:pgSz w:w="11907" w:h="16840" w:code="9"/>
          <w:pgMar w:top="1418" w:right="1418" w:bottom="1418" w:left="1418" w:header="1009" w:footer="720" w:gutter="0"/>
          <w:pgNumType w:fmt="lowerRoman" w:start="1"/>
          <w:cols w:space="720"/>
          <w:docGrid w:linePitch="299"/>
        </w:sectPr>
      </w:pPr>
    </w:p>
    <w:p w14:paraId="36E9EEFD" w14:textId="77EB8EF8" w:rsidR="00AB2398" w:rsidRDefault="00AB2398" w:rsidP="00950B6A">
      <w:pPr>
        <w:rPr>
          <w:rFonts w:ascii="Arial Narrow" w:eastAsia="MS Mincho" w:hAnsi="Arial Narrow" w:cs="Arial"/>
          <w:szCs w:val="22"/>
          <w:lang w:val="en-AU" w:eastAsia="ja-JP"/>
        </w:rPr>
      </w:pPr>
    </w:p>
    <w:p w14:paraId="5F22EC2A" w14:textId="77777777" w:rsidR="00057454" w:rsidRPr="008467AA" w:rsidRDefault="00057454" w:rsidP="001825AB">
      <w:pPr>
        <w:pStyle w:val="Headers"/>
      </w:pPr>
      <w:r w:rsidRPr="008467AA">
        <w:t>Contents</w:t>
      </w:r>
    </w:p>
    <w:p w14:paraId="280F82B5" w14:textId="77777777" w:rsidR="00023707" w:rsidRDefault="005C54B4">
      <w:pPr>
        <w:pStyle w:val="TOC1"/>
        <w:tabs>
          <w:tab w:val="left" w:pos="567"/>
          <w:tab w:val="right" w:leader="dot" w:pos="9061"/>
        </w:tabs>
        <w:rPr>
          <w:rFonts w:asciiTheme="minorHAnsi" w:eastAsiaTheme="minorEastAsia" w:hAnsiTheme="minorHAnsi" w:cstheme="minorBidi"/>
          <w:szCs w:val="22"/>
          <w:lang w:val="en-AU" w:eastAsia="en-AU"/>
        </w:rPr>
      </w:pPr>
      <w:r>
        <w:rPr>
          <w:rFonts w:cs="Arial"/>
          <w:color w:val="0070C0"/>
          <w:szCs w:val="22"/>
          <w:lang w:val="en-AU"/>
        </w:rPr>
        <w:fldChar w:fldCharType="begin"/>
      </w:r>
      <w:r>
        <w:rPr>
          <w:rFonts w:cs="Arial"/>
          <w:color w:val="0070C0"/>
          <w:szCs w:val="22"/>
          <w:lang w:val="en-AU"/>
        </w:rPr>
        <w:instrText xml:space="preserve"> TOC \o "1-3" \u </w:instrText>
      </w:r>
      <w:r>
        <w:rPr>
          <w:rFonts w:cs="Arial"/>
          <w:color w:val="0070C0"/>
          <w:szCs w:val="22"/>
          <w:lang w:val="en-AU"/>
        </w:rPr>
        <w:fldChar w:fldCharType="separate"/>
      </w:r>
      <w:r w:rsidR="00023707">
        <w:t>1.</w:t>
      </w:r>
      <w:r w:rsidR="00023707">
        <w:rPr>
          <w:rFonts w:asciiTheme="minorHAnsi" w:eastAsiaTheme="minorEastAsia" w:hAnsiTheme="minorHAnsi" w:cstheme="minorBidi"/>
          <w:szCs w:val="22"/>
          <w:lang w:val="en-AU" w:eastAsia="en-AU"/>
        </w:rPr>
        <w:tab/>
      </w:r>
      <w:r w:rsidR="00023707">
        <w:t>Executive Summary</w:t>
      </w:r>
      <w:r w:rsidR="00023707">
        <w:tab/>
      </w:r>
      <w:r w:rsidR="00023707">
        <w:fldChar w:fldCharType="begin"/>
      </w:r>
      <w:r w:rsidR="00023707">
        <w:instrText xml:space="preserve"> PAGEREF _Toc462307420 \h </w:instrText>
      </w:r>
      <w:r w:rsidR="00023707">
        <w:fldChar w:fldCharType="separate"/>
      </w:r>
      <w:r w:rsidR="007F5336">
        <w:t>1</w:t>
      </w:r>
      <w:r w:rsidR="00023707">
        <w:fldChar w:fldCharType="end"/>
      </w:r>
    </w:p>
    <w:p w14:paraId="761622F5"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1.1</w:t>
      </w:r>
      <w:r>
        <w:rPr>
          <w:rFonts w:asciiTheme="minorHAnsi" w:eastAsiaTheme="minorEastAsia" w:hAnsiTheme="minorHAnsi" w:cstheme="minorBidi"/>
          <w:noProof/>
          <w:szCs w:val="22"/>
          <w:lang w:val="en-AU" w:eastAsia="en-AU"/>
        </w:rPr>
        <w:tab/>
      </w:r>
      <w:r>
        <w:rPr>
          <w:noProof/>
        </w:rPr>
        <w:t>The program</w:t>
      </w:r>
      <w:r>
        <w:rPr>
          <w:noProof/>
        </w:rPr>
        <w:tab/>
      </w:r>
      <w:r>
        <w:rPr>
          <w:noProof/>
        </w:rPr>
        <w:fldChar w:fldCharType="begin"/>
      </w:r>
      <w:r>
        <w:rPr>
          <w:noProof/>
        </w:rPr>
        <w:instrText xml:space="preserve"> PAGEREF _Toc462307421 \h </w:instrText>
      </w:r>
      <w:r>
        <w:rPr>
          <w:noProof/>
        </w:rPr>
      </w:r>
      <w:r>
        <w:rPr>
          <w:noProof/>
        </w:rPr>
        <w:fldChar w:fldCharType="separate"/>
      </w:r>
      <w:r w:rsidR="007F5336">
        <w:rPr>
          <w:noProof/>
        </w:rPr>
        <w:t>1</w:t>
      </w:r>
      <w:r>
        <w:rPr>
          <w:noProof/>
        </w:rPr>
        <w:fldChar w:fldCharType="end"/>
      </w:r>
    </w:p>
    <w:p w14:paraId="4A47FC9A"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1.2</w:t>
      </w:r>
      <w:r>
        <w:rPr>
          <w:rFonts w:asciiTheme="minorHAnsi" w:eastAsiaTheme="minorEastAsia" w:hAnsiTheme="minorHAnsi" w:cstheme="minorBidi"/>
          <w:noProof/>
          <w:szCs w:val="22"/>
          <w:lang w:val="en-AU" w:eastAsia="en-AU"/>
        </w:rPr>
        <w:tab/>
      </w:r>
      <w:r>
        <w:rPr>
          <w:noProof/>
        </w:rPr>
        <w:t>Methods</w:t>
      </w:r>
      <w:r>
        <w:rPr>
          <w:noProof/>
        </w:rPr>
        <w:tab/>
      </w:r>
      <w:r>
        <w:rPr>
          <w:noProof/>
        </w:rPr>
        <w:fldChar w:fldCharType="begin"/>
      </w:r>
      <w:r>
        <w:rPr>
          <w:noProof/>
        </w:rPr>
        <w:instrText xml:space="preserve"> PAGEREF _Toc462307422 \h </w:instrText>
      </w:r>
      <w:r>
        <w:rPr>
          <w:noProof/>
        </w:rPr>
      </w:r>
      <w:r>
        <w:rPr>
          <w:noProof/>
        </w:rPr>
        <w:fldChar w:fldCharType="separate"/>
      </w:r>
      <w:r w:rsidR="007F5336">
        <w:rPr>
          <w:noProof/>
        </w:rPr>
        <w:t>1</w:t>
      </w:r>
      <w:r>
        <w:rPr>
          <w:noProof/>
        </w:rPr>
        <w:fldChar w:fldCharType="end"/>
      </w:r>
    </w:p>
    <w:p w14:paraId="46B2737E"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1.3</w:t>
      </w:r>
      <w:r>
        <w:rPr>
          <w:rFonts w:asciiTheme="minorHAnsi" w:eastAsiaTheme="minorEastAsia" w:hAnsiTheme="minorHAnsi" w:cstheme="minorBidi"/>
          <w:noProof/>
          <w:szCs w:val="22"/>
          <w:lang w:val="en-AU" w:eastAsia="en-AU"/>
        </w:rPr>
        <w:tab/>
      </w:r>
      <w:r>
        <w:rPr>
          <w:noProof/>
        </w:rPr>
        <w:t>Drivers, activities, impacts and pressures</w:t>
      </w:r>
      <w:r>
        <w:rPr>
          <w:noProof/>
        </w:rPr>
        <w:tab/>
      </w:r>
      <w:r>
        <w:rPr>
          <w:noProof/>
        </w:rPr>
        <w:fldChar w:fldCharType="begin"/>
      </w:r>
      <w:r>
        <w:rPr>
          <w:noProof/>
        </w:rPr>
        <w:instrText xml:space="preserve"> PAGEREF _Toc462307423 \h </w:instrText>
      </w:r>
      <w:r>
        <w:rPr>
          <w:noProof/>
        </w:rPr>
      </w:r>
      <w:r>
        <w:rPr>
          <w:noProof/>
        </w:rPr>
        <w:fldChar w:fldCharType="separate"/>
      </w:r>
      <w:r w:rsidR="007F5336">
        <w:rPr>
          <w:noProof/>
        </w:rPr>
        <w:t>1</w:t>
      </w:r>
      <w:r>
        <w:rPr>
          <w:noProof/>
        </w:rPr>
        <w:fldChar w:fldCharType="end"/>
      </w:r>
    </w:p>
    <w:p w14:paraId="4705708E"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1.4</w:t>
      </w:r>
      <w:r>
        <w:rPr>
          <w:rFonts w:asciiTheme="minorHAnsi" w:eastAsiaTheme="minorEastAsia" w:hAnsiTheme="minorHAnsi" w:cstheme="minorBidi"/>
          <w:noProof/>
          <w:szCs w:val="22"/>
          <w:lang w:val="en-AU" w:eastAsia="en-AU"/>
        </w:rPr>
        <w:tab/>
      </w:r>
      <w:r>
        <w:rPr>
          <w:noProof/>
        </w:rPr>
        <w:t>Exposure of the Great Barrier Reef lagoon to river discharge</w:t>
      </w:r>
      <w:r>
        <w:rPr>
          <w:noProof/>
        </w:rPr>
        <w:tab/>
      </w:r>
      <w:r>
        <w:rPr>
          <w:noProof/>
        </w:rPr>
        <w:fldChar w:fldCharType="begin"/>
      </w:r>
      <w:r>
        <w:rPr>
          <w:noProof/>
        </w:rPr>
        <w:instrText xml:space="preserve"> PAGEREF _Toc462307424 \h </w:instrText>
      </w:r>
      <w:r>
        <w:rPr>
          <w:noProof/>
        </w:rPr>
      </w:r>
      <w:r>
        <w:rPr>
          <w:noProof/>
        </w:rPr>
        <w:fldChar w:fldCharType="separate"/>
      </w:r>
      <w:r w:rsidR="007F5336">
        <w:rPr>
          <w:noProof/>
        </w:rPr>
        <w:t>2</w:t>
      </w:r>
      <w:r>
        <w:rPr>
          <w:noProof/>
        </w:rPr>
        <w:fldChar w:fldCharType="end"/>
      </w:r>
    </w:p>
    <w:p w14:paraId="36BBD1E0"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1.5</w:t>
      </w:r>
      <w:r>
        <w:rPr>
          <w:rFonts w:asciiTheme="minorHAnsi" w:eastAsiaTheme="minorEastAsia" w:hAnsiTheme="minorHAnsi" w:cstheme="minorBidi"/>
          <w:noProof/>
          <w:szCs w:val="22"/>
          <w:lang w:val="en-AU" w:eastAsia="en-AU"/>
        </w:rPr>
        <w:tab/>
      </w:r>
      <w:r>
        <w:rPr>
          <w:noProof/>
        </w:rPr>
        <w:t>Trends in key water quality indicators</w:t>
      </w:r>
      <w:r>
        <w:rPr>
          <w:noProof/>
        </w:rPr>
        <w:tab/>
      </w:r>
      <w:r>
        <w:rPr>
          <w:noProof/>
        </w:rPr>
        <w:fldChar w:fldCharType="begin"/>
      </w:r>
      <w:r>
        <w:rPr>
          <w:noProof/>
        </w:rPr>
        <w:instrText xml:space="preserve"> PAGEREF _Toc462307425 \h </w:instrText>
      </w:r>
      <w:r>
        <w:rPr>
          <w:noProof/>
        </w:rPr>
      </w:r>
      <w:r>
        <w:rPr>
          <w:noProof/>
        </w:rPr>
        <w:fldChar w:fldCharType="separate"/>
      </w:r>
      <w:r w:rsidR="007F5336">
        <w:rPr>
          <w:noProof/>
        </w:rPr>
        <w:t>3</w:t>
      </w:r>
      <w:r>
        <w:rPr>
          <w:noProof/>
        </w:rPr>
        <w:fldChar w:fldCharType="end"/>
      </w:r>
    </w:p>
    <w:p w14:paraId="5E6F537E"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1.6</w:t>
      </w:r>
      <w:r>
        <w:rPr>
          <w:rFonts w:asciiTheme="minorHAnsi" w:eastAsiaTheme="minorEastAsia" w:hAnsiTheme="minorHAnsi" w:cstheme="minorBidi"/>
          <w:noProof/>
          <w:szCs w:val="22"/>
          <w:lang w:val="en-AU" w:eastAsia="en-AU"/>
        </w:rPr>
        <w:tab/>
      </w:r>
      <w:r>
        <w:rPr>
          <w:noProof/>
        </w:rPr>
        <w:t>Conclusions</w:t>
      </w:r>
      <w:r>
        <w:rPr>
          <w:noProof/>
        </w:rPr>
        <w:tab/>
      </w:r>
      <w:r>
        <w:rPr>
          <w:noProof/>
        </w:rPr>
        <w:fldChar w:fldCharType="begin"/>
      </w:r>
      <w:r>
        <w:rPr>
          <w:noProof/>
        </w:rPr>
        <w:instrText xml:space="preserve"> PAGEREF _Toc462307426 \h </w:instrText>
      </w:r>
      <w:r>
        <w:rPr>
          <w:noProof/>
        </w:rPr>
      </w:r>
      <w:r>
        <w:rPr>
          <w:noProof/>
        </w:rPr>
        <w:fldChar w:fldCharType="separate"/>
      </w:r>
      <w:r w:rsidR="007F5336">
        <w:rPr>
          <w:noProof/>
        </w:rPr>
        <w:t>5</w:t>
      </w:r>
      <w:r>
        <w:rPr>
          <w:noProof/>
        </w:rPr>
        <w:fldChar w:fldCharType="end"/>
      </w:r>
    </w:p>
    <w:p w14:paraId="6FE2EFCC" w14:textId="77777777" w:rsidR="00023707" w:rsidRDefault="00023707">
      <w:pPr>
        <w:pStyle w:val="TOC1"/>
        <w:tabs>
          <w:tab w:val="left" w:pos="567"/>
          <w:tab w:val="right" w:leader="dot" w:pos="9061"/>
        </w:tabs>
        <w:rPr>
          <w:rFonts w:asciiTheme="minorHAnsi" w:eastAsiaTheme="minorEastAsia" w:hAnsiTheme="minorHAnsi" w:cstheme="minorBidi"/>
          <w:szCs w:val="22"/>
          <w:lang w:val="en-AU" w:eastAsia="en-AU"/>
        </w:rPr>
      </w:pPr>
      <w:r>
        <w:t>2.</w:t>
      </w:r>
      <w:r>
        <w:rPr>
          <w:rFonts w:asciiTheme="minorHAnsi" w:eastAsiaTheme="minorEastAsia" w:hAnsiTheme="minorHAnsi" w:cstheme="minorBidi"/>
          <w:szCs w:val="22"/>
          <w:lang w:val="en-AU" w:eastAsia="en-AU"/>
        </w:rPr>
        <w:tab/>
      </w:r>
      <w:r>
        <w:t>Preface</w:t>
      </w:r>
      <w:r>
        <w:tab/>
      </w:r>
      <w:r>
        <w:fldChar w:fldCharType="begin"/>
      </w:r>
      <w:r>
        <w:instrText xml:space="preserve"> PAGEREF _Toc462307427 \h </w:instrText>
      </w:r>
      <w:r>
        <w:fldChar w:fldCharType="separate"/>
      </w:r>
      <w:r w:rsidR="007F5336">
        <w:t>7</w:t>
      </w:r>
      <w:r>
        <w:fldChar w:fldCharType="end"/>
      </w:r>
    </w:p>
    <w:p w14:paraId="70165BF1" w14:textId="77777777" w:rsidR="00023707" w:rsidRDefault="00023707">
      <w:pPr>
        <w:pStyle w:val="TOC1"/>
        <w:tabs>
          <w:tab w:val="left" w:pos="567"/>
          <w:tab w:val="right" w:leader="dot" w:pos="9061"/>
        </w:tabs>
        <w:rPr>
          <w:rFonts w:asciiTheme="minorHAnsi" w:eastAsiaTheme="minorEastAsia" w:hAnsiTheme="minorHAnsi" w:cstheme="minorBidi"/>
          <w:szCs w:val="22"/>
          <w:lang w:val="en-AU" w:eastAsia="en-AU"/>
        </w:rPr>
      </w:pPr>
      <w:r>
        <w:t>3.</w:t>
      </w:r>
      <w:r>
        <w:rPr>
          <w:rFonts w:asciiTheme="minorHAnsi" w:eastAsiaTheme="minorEastAsia" w:hAnsiTheme="minorHAnsi" w:cstheme="minorBidi"/>
          <w:szCs w:val="22"/>
          <w:lang w:val="en-AU" w:eastAsia="en-AU"/>
        </w:rPr>
        <w:tab/>
      </w:r>
      <w:r>
        <w:t>Introduction</w:t>
      </w:r>
      <w:r>
        <w:tab/>
      </w:r>
      <w:r>
        <w:fldChar w:fldCharType="begin"/>
      </w:r>
      <w:r>
        <w:instrText xml:space="preserve"> PAGEREF _Toc462307428 \h </w:instrText>
      </w:r>
      <w:r>
        <w:fldChar w:fldCharType="separate"/>
      </w:r>
      <w:r w:rsidR="007F5336">
        <w:t>8</w:t>
      </w:r>
      <w:r>
        <w:fldChar w:fldCharType="end"/>
      </w:r>
    </w:p>
    <w:p w14:paraId="24D2300D" w14:textId="77777777" w:rsidR="00023707" w:rsidRDefault="00023707">
      <w:pPr>
        <w:pStyle w:val="TOC1"/>
        <w:tabs>
          <w:tab w:val="left" w:pos="567"/>
          <w:tab w:val="right" w:leader="dot" w:pos="9061"/>
        </w:tabs>
        <w:rPr>
          <w:rFonts w:asciiTheme="minorHAnsi" w:eastAsiaTheme="minorEastAsia" w:hAnsiTheme="minorHAnsi" w:cstheme="minorBidi"/>
          <w:szCs w:val="22"/>
          <w:lang w:val="en-AU" w:eastAsia="en-AU"/>
        </w:rPr>
      </w:pPr>
      <w:r>
        <w:t>4.</w:t>
      </w:r>
      <w:r>
        <w:rPr>
          <w:rFonts w:asciiTheme="minorHAnsi" w:eastAsiaTheme="minorEastAsia" w:hAnsiTheme="minorHAnsi" w:cstheme="minorBidi"/>
          <w:szCs w:val="22"/>
          <w:lang w:val="en-AU" w:eastAsia="en-AU"/>
        </w:rPr>
        <w:tab/>
      </w:r>
      <w:r>
        <w:t>Methods summary</w:t>
      </w:r>
      <w:r>
        <w:tab/>
      </w:r>
      <w:r>
        <w:fldChar w:fldCharType="begin"/>
      </w:r>
      <w:r>
        <w:instrText xml:space="preserve"> PAGEREF _Toc462307429 \h </w:instrText>
      </w:r>
      <w:r>
        <w:fldChar w:fldCharType="separate"/>
      </w:r>
      <w:r w:rsidR="007F5336">
        <w:t>11</w:t>
      </w:r>
      <w:r>
        <w:fldChar w:fldCharType="end"/>
      </w:r>
    </w:p>
    <w:p w14:paraId="2E8A342C"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4.1</w:t>
      </w:r>
      <w:r>
        <w:rPr>
          <w:rFonts w:asciiTheme="minorHAnsi" w:eastAsiaTheme="minorEastAsia" w:hAnsiTheme="minorHAnsi" w:cstheme="minorBidi"/>
          <w:noProof/>
          <w:szCs w:val="22"/>
          <w:lang w:val="en-AU" w:eastAsia="en-AU"/>
        </w:rPr>
        <w:tab/>
      </w:r>
      <w:r>
        <w:rPr>
          <w:noProof/>
        </w:rPr>
        <w:t>Overview</w:t>
      </w:r>
      <w:r>
        <w:rPr>
          <w:noProof/>
        </w:rPr>
        <w:tab/>
      </w:r>
      <w:r>
        <w:rPr>
          <w:noProof/>
        </w:rPr>
        <w:fldChar w:fldCharType="begin"/>
      </w:r>
      <w:r>
        <w:rPr>
          <w:noProof/>
        </w:rPr>
        <w:instrText xml:space="preserve"> PAGEREF _Toc462307430 \h </w:instrText>
      </w:r>
      <w:r>
        <w:rPr>
          <w:noProof/>
        </w:rPr>
      </w:r>
      <w:r>
        <w:rPr>
          <w:noProof/>
        </w:rPr>
        <w:fldChar w:fldCharType="separate"/>
      </w:r>
      <w:r w:rsidR="007F5336">
        <w:rPr>
          <w:noProof/>
        </w:rPr>
        <w:t>11</w:t>
      </w:r>
      <w:r>
        <w:rPr>
          <w:noProof/>
        </w:rPr>
        <w:fldChar w:fldCharType="end"/>
      </w:r>
    </w:p>
    <w:p w14:paraId="07004079"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4.2</w:t>
      </w:r>
      <w:r>
        <w:rPr>
          <w:rFonts w:asciiTheme="minorHAnsi" w:eastAsiaTheme="minorEastAsia" w:hAnsiTheme="minorHAnsi" w:cstheme="minorBidi"/>
          <w:noProof/>
          <w:szCs w:val="22"/>
          <w:lang w:val="en-AU" w:eastAsia="en-AU"/>
        </w:rPr>
        <w:tab/>
      </w:r>
      <w:r>
        <w:rPr>
          <w:noProof/>
        </w:rPr>
        <w:t>Sampling design</w:t>
      </w:r>
      <w:r>
        <w:rPr>
          <w:noProof/>
        </w:rPr>
        <w:tab/>
      </w:r>
      <w:r>
        <w:rPr>
          <w:noProof/>
        </w:rPr>
        <w:fldChar w:fldCharType="begin"/>
      </w:r>
      <w:r>
        <w:rPr>
          <w:noProof/>
        </w:rPr>
        <w:instrText xml:space="preserve"> PAGEREF _Toc462307431 \h </w:instrText>
      </w:r>
      <w:r>
        <w:rPr>
          <w:noProof/>
        </w:rPr>
      </w:r>
      <w:r>
        <w:rPr>
          <w:noProof/>
        </w:rPr>
        <w:fldChar w:fldCharType="separate"/>
      </w:r>
      <w:r w:rsidR="007F5336">
        <w:rPr>
          <w:noProof/>
        </w:rPr>
        <w:t>11</w:t>
      </w:r>
      <w:r>
        <w:rPr>
          <w:noProof/>
        </w:rPr>
        <w:fldChar w:fldCharType="end"/>
      </w:r>
    </w:p>
    <w:p w14:paraId="2FB6162F"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4.3</w:t>
      </w:r>
      <w:r>
        <w:rPr>
          <w:rFonts w:asciiTheme="minorHAnsi" w:eastAsiaTheme="minorEastAsia" w:hAnsiTheme="minorHAnsi" w:cstheme="minorBidi"/>
          <w:noProof/>
          <w:szCs w:val="22"/>
          <w:lang w:val="en-AU" w:eastAsia="en-AU"/>
        </w:rPr>
        <w:tab/>
      </w:r>
      <w:r>
        <w:rPr>
          <w:noProof/>
        </w:rPr>
        <w:t>Water quality sampling methods</w:t>
      </w:r>
      <w:r>
        <w:rPr>
          <w:noProof/>
        </w:rPr>
        <w:tab/>
      </w:r>
      <w:r>
        <w:rPr>
          <w:noProof/>
        </w:rPr>
        <w:fldChar w:fldCharType="begin"/>
      </w:r>
      <w:r>
        <w:rPr>
          <w:noProof/>
        </w:rPr>
        <w:instrText xml:space="preserve"> PAGEREF _Toc462307432 \h </w:instrText>
      </w:r>
      <w:r>
        <w:rPr>
          <w:noProof/>
        </w:rPr>
      </w:r>
      <w:r>
        <w:rPr>
          <w:noProof/>
        </w:rPr>
        <w:fldChar w:fldCharType="separate"/>
      </w:r>
      <w:r w:rsidR="007F5336">
        <w:rPr>
          <w:noProof/>
        </w:rPr>
        <w:t>15</w:t>
      </w:r>
      <w:r>
        <w:rPr>
          <w:noProof/>
        </w:rPr>
        <w:fldChar w:fldCharType="end"/>
      </w:r>
    </w:p>
    <w:p w14:paraId="777DD3B3"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4.4</w:t>
      </w:r>
      <w:r>
        <w:rPr>
          <w:rFonts w:asciiTheme="minorHAnsi" w:eastAsiaTheme="minorEastAsia" w:hAnsiTheme="minorHAnsi" w:cstheme="minorBidi"/>
          <w:noProof/>
          <w:szCs w:val="22"/>
          <w:lang w:val="en-AU" w:eastAsia="en-AU"/>
        </w:rPr>
        <w:tab/>
      </w:r>
      <w:r>
        <w:rPr>
          <w:noProof/>
        </w:rPr>
        <w:t>In-situ loggers</w:t>
      </w:r>
      <w:r>
        <w:rPr>
          <w:noProof/>
        </w:rPr>
        <w:tab/>
      </w:r>
      <w:r>
        <w:rPr>
          <w:noProof/>
        </w:rPr>
        <w:fldChar w:fldCharType="begin"/>
      </w:r>
      <w:r>
        <w:rPr>
          <w:noProof/>
        </w:rPr>
        <w:instrText xml:space="preserve"> PAGEREF _Toc462307433 \h </w:instrText>
      </w:r>
      <w:r>
        <w:rPr>
          <w:noProof/>
        </w:rPr>
      </w:r>
      <w:r>
        <w:rPr>
          <w:noProof/>
        </w:rPr>
        <w:fldChar w:fldCharType="separate"/>
      </w:r>
      <w:r w:rsidR="007F5336">
        <w:rPr>
          <w:noProof/>
        </w:rPr>
        <w:t>16</w:t>
      </w:r>
      <w:r>
        <w:rPr>
          <w:noProof/>
        </w:rPr>
        <w:fldChar w:fldCharType="end"/>
      </w:r>
    </w:p>
    <w:p w14:paraId="312F76EF"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4.5</w:t>
      </w:r>
      <w:r>
        <w:rPr>
          <w:rFonts w:asciiTheme="minorHAnsi" w:eastAsiaTheme="minorEastAsia" w:hAnsiTheme="minorHAnsi" w:cstheme="minorBidi"/>
          <w:noProof/>
          <w:szCs w:val="22"/>
          <w:lang w:val="en-AU" w:eastAsia="en-AU"/>
        </w:rPr>
        <w:tab/>
      </w:r>
      <w:r>
        <w:rPr>
          <w:noProof/>
        </w:rPr>
        <w:t>Data analyses – ambient water quality</w:t>
      </w:r>
      <w:r>
        <w:rPr>
          <w:noProof/>
        </w:rPr>
        <w:tab/>
      </w:r>
      <w:r>
        <w:rPr>
          <w:noProof/>
        </w:rPr>
        <w:fldChar w:fldCharType="begin"/>
      </w:r>
      <w:r>
        <w:rPr>
          <w:noProof/>
        </w:rPr>
        <w:instrText xml:space="preserve"> PAGEREF _Toc462307434 \h </w:instrText>
      </w:r>
      <w:r>
        <w:rPr>
          <w:noProof/>
        </w:rPr>
      </w:r>
      <w:r>
        <w:rPr>
          <w:noProof/>
        </w:rPr>
        <w:fldChar w:fldCharType="separate"/>
      </w:r>
      <w:r w:rsidR="007F5336">
        <w:rPr>
          <w:noProof/>
        </w:rPr>
        <w:t>16</w:t>
      </w:r>
      <w:r>
        <w:rPr>
          <w:noProof/>
        </w:rPr>
        <w:fldChar w:fldCharType="end"/>
      </w:r>
    </w:p>
    <w:p w14:paraId="04F280E0"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4.6</w:t>
      </w:r>
      <w:r>
        <w:rPr>
          <w:rFonts w:asciiTheme="minorHAnsi" w:eastAsiaTheme="minorEastAsia" w:hAnsiTheme="minorHAnsi" w:cstheme="minorBidi"/>
          <w:noProof/>
          <w:szCs w:val="22"/>
          <w:lang w:val="en-AU" w:eastAsia="en-AU"/>
        </w:rPr>
        <w:tab/>
      </w:r>
      <w:r>
        <w:rPr>
          <w:noProof/>
        </w:rPr>
        <w:t>Data analysis – wet season water quality</w:t>
      </w:r>
      <w:r>
        <w:rPr>
          <w:noProof/>
        </w:rPr>
        <w:tab/>
      </w:r>
      <w:r>
        <w:rPr>
          <w:noProof/>
        </w:rPr>
        <w:fldChar w:fldCharType="begin"/>
      </w:r>
      <w:r>
        <w:rPr>
          <w:noProof/>
        </w:rPr>
        <w:instrText xml:space="preserve"> PAGEREF _Toc462307435 \h </w:instrText>
      </w:r>
      <w:r>
        <w:rPr>
          <w:noProof/>
        </w:rPr>
      </w:r>
      <w:r>
        <w:rPr>
          <w:noProof/>
        </w:rPr>
        <w:fldChar w:fldCharType="separate"/>
      </w:r>
      <w:r w:rsidR="007F5336">
        <w:rPr>
          <w:noProof/>
        </w:rPr>
        <w:t>16</w:t>
      </w:r>
      <w:r>
        <w:rPr>
          <w:noProof/>
        </w:rPr>
        <w:fldChar w:fldCharType="end"/>
      </w:r>
    </w:p>
    <w:p w14:paraId="6646C0E1"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4.7</w:t>
      </w:r>
      <w:r>
        <w:rPr>
          <w:rFonts w:asciiTheme="minorHAnsi" w:eastAsiaTheme="minorEastAsia" w:hAnsiTheme="minorHAnsi" w:cstheme="minorBidi"/>
          <w:noProof/>
          <w:szCs w:val="22"/>
          <w:lang w:val="en-AU" w:eastAsia="en-AU"/>
        </w:rPr>
        <w:tab/>
      </w:r>
      <w:r>
        <w:rPr>
          <w:noProof/>
        </w:rPr>
        <w:t>Remote-sensing based plume modelling, water type classification and spatial plume risk maps</w:t>
      </w:r>
      <w:r>
        <w:rPr>
          <w:noProof/>
        </w:rPr>
        <w:tab/>
      </w:r>
      <w:r>
        <w:rPr>
          <w:noProof/>
        </w:rPr>
        <w:fldChar w:fldCharType="begin"/>
      </w:r>
      <w:r>
        <w:rPr>
          <w:noProof/>
        </w:rPr>
        <w:instrText xml:space="preserve"> PAGEREF _Toc462307436 \h </w:instrText>
      </w:r>
      <w:r>
        <w:rPr>
          <w:noProof/>
        </w:rPr>
      </w:r>
      <w:r>
        <w:rPr>
          <w:noProof/>
        </w:rPr>
        <w:fldChar w:fldCharType="separate"/>
      </w:r>
      <w:r w:rsidR="007F5336">
        <w:rPr>
          <w:noProof/>
        </w:rPr>
        <w:t>17</w:t>
      </w:r>
      <w:r>
        <w:rPr>
          <w:noProof/>
        </w:rPr>
        <w:fldChar w:fldCharType="end"/>
      </w:r>
    </w:p>
    <w:p w14:paraId="436257B9"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4.8</w:t>
      </w:r>
      <w:r>
        <w:rPr>
          <w:rFonts w:asciiTheme="minorHAnsi" w:eastAsiaTheme="minorEastAsia" w:hAnsiTheme="minorHAnsi" w:cstheme="minorBidi"/>
          <w:noProof/>
          <w:szCs w:val="22"/>
          <w:lang w:val="en-AU" w:eastAsia="en-AU"/>
        </w:rPr>
        <w:tab/>
      </w:r>
      <w:r>
        <w:rPr>
          <w:noProof/>
        </w:rPr>
        <w:t>Load mapping</w:t>
      </w:r>
      <w:r>
        <w:rPr>
          <w:noProof/>
        </w:rPr>
        <w:tab/>
      </w:r>
      <w:r>
        <w:rPr>
          <w:noProof/>
        </w:rPr>
        <w:fldChar w:fldCharType="begin"/>
      </w:r>
      <w:r>
        <w:rPr>
          <w:noProof/>
        </w:rPr>
        <w:instrText xml:space="preserve"> PAGEREF _Toc462307437 \h </w:instrText>
      </w:r>
      <w:r>
        <w:rPr>
          <w:noProof/>
        </w:rPr>
      </w:r>
      <w:r>
        <w:rPr>
          <w:noProof/>
        </w:rPr>
        <w:fldChar w:fldCharType="separate"/>
      </w:r>
      <w:r w:rsidR="007F5336">
        <w:rPr>
          <w:noProof/>
        </w:rPr>
        <w:t>20</w:t>
      </w:r>
      <w:r>
        <w:rPr>
          <w:noProof/>
        </w:rPr>
        <w:fldChar w:fldCharType="end"/>
      </w:r>
    </w:p>
    <w:p w14:paraId="2ECC21D6"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4.9</w:t>
      </w:r>
      <w:r>
        <w:rPr>
          <w:rFonts w:asciiTheme="minorHAnsi" w:eastAsiaTheme="minorEastAsia" w:hAnsiTheme="minorHAnsi" w:cstheme="minorBidi"/>
          <w:noProof/>
          <w:szCs w:val="22"/>
          <w:lang w:val="en-AU" w:eastAsia="en-AU"/>
        </w:rPr>
        <w:tab/>
      </w:r>
      <w:r>
        <w:rPr>
          <w:noProof/>
        </w:rPr>
        <w:t>‘Zones of influence’ for river plumes</w:t>
      </w:r>
      <w:r>
        <w:rPr>
          <w:noProof/>
        </w:rPr>
        <w:tab/>
      </w:r>
      <w:r>
        <w:rPr>
          <w:noProof/>
        </w:rPr>
        <w:fldChar w:fldCharType="begin"/>
      </w:r>
      <w:r>
        <w:rPr>
          <w:noProof/>
        </w:rPr>
        <w:instrText xml:space="preserve"> PAGEREF _Toc462307438 \h </w:instrText>
      </w:r>
      <w:r>
        <w:rPr>
          <w:noProof/>
        </w:rPr>
      </w:r>
      <w:r>
        <w:rPr>
          <w:noProof/>
        </w:rPr>
        <w:fldChar w:fldCharType="separate"/>
      </w:r>
      <w:r w:rsidR="007F5336">
        <w:rPr>
          <w:noProof/>
        </w:rPr>
        <w:t>21</w:t>
      </w:r>
      <w:r>
        <w:rPr>
          <w:noProof/>
        </w:rPr>
        <w:fldChar w:fldCharType="end"/>
      </w:r>
    </w:p>
    <w:p w14:paraId="683AC91C" w14:textId="77777777" w:rsidR="00023707" w:rsidRDefault="00023707">
      <w:pPr>
        <w:pStyle w:val="TOC1"/>
        <w:tabs>
          <w:tab w:val="left" w:pos="567"/>
          <w:tab w:val="right" w:leader="dot" w:pos="9061"/>
        </w:tabs>
        <w:rPr>
          <w:rFonts w:asciiTheme="minorHAnsi" w:eastAsiaTheme="minorEastAsia" w:hAnsiTheme="minorHAnsi" w:cstheme="minorBidi"/>
          <w:szCs w:val="22"/>
          <w:lang w:val="en-AU" w:eastAsia="en-AU"/>
        </w:rPr>
      </w:pPr>
      <w:r>
        <w:t>5.</w:t>
      </w:r>
      <w:r>
        <w:rPr>
          <w:rFonts w:asciiTheme="minorHAnsi" w:eastAsiaTheme="minorEastAsia" w:hAnsiTheme="minorHAnsi" w:cstheme="minorBidi"/>
          <w:szCs w:val="22"/>
          <w:lang w:val="en-AU" w:eastAsia="en-AU"/>
        </w:rPr>
        <w:tab/>
      </w:r>
      <w:r>
        <w:t>Results and discussion</w:t>
      </w:r>
      <w:r>
        <w:tab/>
      </w:r>
      <w:r>
        <w:fldChar w:fldCharType="begin"/>
      </w:r>
      <w:r>
        <w:instrText xml:space="preserve"> PAGEREF _Toc462307439 \h </w:instrText>
      </w:r>
      <w:r>
        <w:fldChar w:fldCharType="separate"/>
      </w:r>
      <w:r w:rsidR="007F5336">
        <w:t>22</w:t>
      </w:r>
      <w:r>
        <w:fldChar w:fldCharType="end"/>
      </w:r>
    </w:p>
    <w:p w14:paraId="3242241E"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5.1</w:t>
      </w:r>
      <w:r>
        <w:rPr>
          <w:rFonts w:asciiTheme="minorHAnsi" w:eastAsiaTheme="minorEastAsia" w:hAnsiTheme="minorHAnsi" w:cstheme="minorBidi"/>
          <w:noProof/>
          <w:szCs w:val="22"/>
          <w:lang w:val="en-AU" w:eastAsia="en-AU"/>
        </w:rPr>
        <w:tab/>
      </w:r>
      <w:r>
        <w:rPr>
          <w:noProof/>
        </w:rPr>
        <w:t>Overview</w:t>
      </w:r>
      <w:r>
        <w:rPr>
          <w:noProof/>
        </w:rPr>
        <w:tab/>
      </w:r>
      <w:r>
        <w:rPr>
          <w:noProof/>
        </w:rPr>
        <w:fldChar w:fldCharType="begin"/>
      </w:r>
      <w:r>
        <w:rPr>
          <w:noProof/>
        </w:rPr>
        <w:instrText xml:space="preserve"> PAGEREF _Toc462307440 \h </w:instrText>
      </w:r>
      <w:r>
        <w:rPr>
          <w:noProof/>
        </w:rPr>
      </w:r>
      <w:r>
        <w:rPr>
          <w:noProof/>
        </w:rPr>
        <w:fldChar w:fldCharType="separate"/>
      </w:r>
      <w:r w:rsidR="007F5336">
        <w:rPr>
          <w:noProof/>
        </w:rPr>
        <w:t>22</w:t>
      </w:r>
      <w:r>
        <w:rPr>
          <w:noProof/>
        </w:rPr>
        <w:fldChar w:fldCharType="end"/>
      </w:r>
    </w:p>
    <w:p w14:paraId="2E7070C9"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5.2</w:t>
      </w:r>
      <w:r>
        <w:rPr>
          <w:rFonts w:asciiTheme="minorHAnsi" w:eastAsiaTheme="minorEastAsia" w:hAnsiTheme="minorHAnsi" w:cstheme="minorBidi"/>
          <w:noProof/>
          <w:szCs w:val="22"/>
          <w:lang w:val="en-AU" w:eastAsia="en-AU"/>
        </w:rPr>
        <w:tab/>
      </w:r>
      <w:r>
        <w:rPr>
          <w:noProof/>
        </w:rPr>
        <w:t>Drivers, activities, impacts and pressures 2014-15</w:t>
      </w:r>
      <w:r>
        <w:rPr>
          <w:noProof/>
        </w:rPr>
        <w:tab/>
      </w:r>
      <w:r>
        <w:rPr>
          <w:noProof/>
        </w:rPr>
        <w:fldChar w:fldCharType="begin"/>
      </w:r>
      <w:r>
        <w:rPr>
          <w:noProof/>
        </w:rPr>
        <w:instrText xml:space="preserve"> PAGEREF _Toc462307441 \h </w:instrText>
      </w:r>
      <w:r>
        <w:rPr>
          <w:noProof/>
        </w:rPr>
      </w:r>
      <w:r>
        <w:rPr>
          <w:noProof/>
        </w:rPr>
        <w:fldChar w:fldCharType="separate"/>
      </w:r>
      <w:r w:rsidR="007F5336">
        <w:rPr>
          <w:noProof/>
        </w:rPr>
        <w:t>22</w:t>
      </w:r>
      <w:r>
        <w:rPr>
          <w:noProof/>
        </w:rPr>
        <w:fldChar w:fldCharType="end"/>
      </w:r>
    </w:p>
    <w:p w14:paraId="2AA3995A" w14:textId="77777777" w:rsidR="00023707" w:rsidRDefault="00023707">
      <w:pPr>
        <w:pStyle w:val="TOC3"/>
        <w:tabs>
          <w:tab w:val="left" w:pos="1320"/>
        </w:tabs>
        <w:rPr>
          <w:rFonts w:asciiTheme="minorHAnsi" w:eastAsiaTheme="minorEastAsia" w:hAnsiTheme="minorHAnsi" w:cstheme="minorBidi"/>
          <w:noProof/>
          <w:szCs w:val="22"/>
          <w:lang w:val="en-AU" w:eastAsia="en-AU"/>
        </w:rPr>
      </w:pPr>
      <w:r>
        <w:rPr>
          <w:noProof/>
        </w:rPr>
        <w:t>5.2.1</w:t>
      </w:r>
      <w:r>
        <w:rPr>
          <w:rFonts w:asciiTheme="minorHAnsi" w:eastAsiaTheme="minorEastAsia" w:hAnsiTheme="minorHAnsi" w:cstheme="minorBidi"/>
          <w:noProof/>
          <w:szCs w:val="22"/>
          <w:lang w:val="en-AU" w:eastAsia="en-AU"/>
        </w:rPr>
        <w:tab/>
      </w:r>
      <w:r>
        <w:rPr>
          <w:noProof/>
        </w:rPr>
        <w:t>Cyclone activity</w:t>
      </w:r>
      <w:r>
        <w:rPr>
          <w:noProof/>
        </w:rPr>
        <w:tab/>
      </w:r>
      <w:r>
        <w:rPr>
          <w:noProof/>
        </w:rPr>
        <w:fldChar w:fldCharType="begin"/>
      </w:r>
      <w:r>
        <w:rPr>
          <w:noProof/>
        </w:rPr>
        <w:instrText xml:space="preserve"> PAGEREF _Toc462307442 \h </w:instrText>
      </w:r>
      <w:r>
        <w:rPr>
          <w:noProof/>
        </w:rPr>
      </w:r>
      <w:r>
        <w:rPr>
          <w:noProof/>
        </w:rPr>
        <w:fldChar w:fldCharType="separate"/>
      </w:r>
      <w:r w:rsidR="007F5336">
        <w:rPr>
          <w:noProof/>
        </w:rPr>
        <w:t>22</w:t>
      </w:r>
      <w:r>
        <w:rPr>
          <w:noProof/>
        </w:rPr>
        <w:fldChar w:fldCharType="end"/>
      </w:r>
    </w:p>
    <w:p w14:paraId="613ECC5D" w14:textId="77777777" w:rsidR="00023707" w:rsidRDefault="00023707">
      <w:pPr>
        <w:pStyle w:val="TOC3"/>
        <w:tabs>
          <w:tab w:val="left" w:pos="1320"/>
        </w:tabs>
        <w:rPr>
          <w:rFonts w:asciiTheme="minorHAnsi" w:eastAsiaTheme="minorEastAsia" w:hAnsiTheme="minorHAnsi" w:cstheme="minorBidi"/>
          <w:noProof/>
          <w:szCs w:val="22"/>
          <w:lang w:val="en-AU" w:eastAsia="en-AU"/>
        </w:rPr>
      </w:pPr>
      <w:r>
        <w:rPr>
          <w:noProof/>
        </w:rPr>
        <w:t>5.2.2</w:t>
      </w:r>
      <w:r>
        <w:rPr>
          <w:rFonts w:asciiTheme="minorHAnsi" w:eastAsiaTheme="minorEastAsia" w:hAnsiTheme="minorHAnsi" w:cstheme="minorBidi"/>
          <w:noProof/>
          <w:szCs w:val="22"/>
          <w:lang w:val="en-AU" w:eastAsia="en-AU"/>
        </w:rPr>
        <w:tab/>
      </w:r>
      <w:r>
        <w:rPr>
          <w:noProof/>
        </w:rPr>
        <w:t>Rainfall</w:t>
      </w:r>
      <w:r>
        <w:rPr>
          <w:noProof/>
        </w:rPr>
        <w:tab/>
      </w:r>
      <w:r>
        <w:rPr>
          <w:noProof/>
        </w:rPr>
        <w:fldChar w:fldCharType="begin"/>
      </w:r>
      <w:r>
        <w:rPr>
          <w:noProof/>
        </w:rPr>
        <w:instrText xml:space="preserve"> PAGEREF _Toc462307443 \h </w:instrText>
      </w:r>
      <w:r>
        <w:rPr>
          <w:noProof/>
        </w:rPr>
      </w:r>
      <w:r>
        <w:rPr>
          <w:noProof/>
        </w:rPr>
        <w:fldChar w:fldCharType="separate"/>
      </w:r>
      <w:r w:rsidR="007F5336">
        <w:rPr>
          <w:noProof/>
        </w:rPr>
        <w:t>23</w:t>
      </w:r>
      <w:r>
        <w:rPr>
          <w:noProof/>
        </w:rPr>
        <w:fldChar w:fldCharType="end"/>
      </w:r>
    </w:p>
    <w:p w14:paraId="4132EE3E" w14:textId="77777777" w:rsidR="00023707" w:rsidRDefault="00023707">
      <w:pPr>
        <w:pStyle w:val="TOC3"/>
        <w:tabs>
          <w:tab w:val="left" w:pos="1320"/>
        </w:tabs>
        <w:rPr>
          <w:rFonts w:asciiTheme="minorHAnsi" w:eastAsiaTheme="minorEastAsia" w:hAnsiTheme="minorHAnsi" w:cstheme="minorBidi"/>
          <w:noProof/>
          <w:szCs w:val="22"/>
          <w:lang w:val="en-AU" w:eastAsia="en-AU"/>
        </w:rPr>
      </w:pPr>
      <w:r>
        <w:rPr>
          <w:noProof/>
        </w:rPr>
        <w:t>5.2.3</w:t>
      </w:r>
      <w:r>
        <w:rPr>
          <w:rFonts w:asciiTheme="minorHAnsi" w:eastAsiaTheme="minorEastAsia" w:hAnsiTheme="minorHAnsi" w:cstheme="minorBidi"/>
          <w:noProof/>
          <w:szCs w:val="22"/>
          <w:lang w:val="en-AU" w:eastAsia="en-AU"/>
        </w:rPr>
        <w:tab/>
      </w:r>
      <w:r>
        <w:rPr>
          <w:noProof/>
        </w:rPr>
        <w:t>Freshwater discharge</w:t>
      </w:r>
      <w:r>
        <w:rPr>
          <w:noProof/>
        </w:rPr>
        <w:tab/>
      </w:r>
      <w:r>
        <w:rPr>
          <w:noProof/>
        </w:rPr>
        <w:fldChar w:fldCharType="begin"/>
      </w:r>
      <w:r>
        <w:rPr>
          <w:noProof/>
        </w:rPr>
        <w:instrText xml:space="preserve"> PAGEREF _Toc462307444 \h </w:instrText>
      </w:r>
      <w:r>
        <w:rPr>
          <w:noProof/>
        </w:rPr>
      </w:r>
      <w:r>
        <w:rPr>
          <w:noProof/>
        </w:rPr>
        <w:fldChar w:fldCharType="separate"/>
      </w:r>
      <w:r w:rsidR="007F5336">
        <w:rPr>
          <w:noProof/>
        </w:rPr>
        <w:t>25</w:t>
      </w:r>
      <w:r>
        <w:rPr>
          <w:noProof/>
        </w:rPr>
        <w:fldChar w:fldCharType="end"/>
      </w:r>
    </w:p>
    <w:p w14:paraId="59EA8DEC"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5.3</w:t>
      </w:r>
      <w:r>
        <w:rPr>
          <w:rFonts w:asciiTheme="minorHAnsi" w:eastAsiaTheme="minorEastAsia" w:hAnsiTheme="minorHAnsi" w:cstheme="minorBidi"/>
          <w:noProof/>
          <w:szCs w:val="22"/>
          <w:lang w:val="en-AU" w:eastAsia="en-AU"/>
        </w:rPr>
        <w:tab/>
      </w:r>
      <w:r>
        <w:rPr>
          <w:noProof/>
        </w:rPr>
        <w:t>Exposure of the GBR lagoon to river water</w:t>
      </w:r>
      <w:r>
        <w:rPr>
          <w:noProof/>
        </w:rPr>
        <w:tab/>
      </w:r>
      <w:r>
        <w:rPr>
          <w:noProof/>
        </w:rPr>
        <w:fldChar w:fldCharType="begin"/>
      </w:r>
      <w:r>
        <w:rPr>
          <w:noProof/>
        </w:rPr>
        <w:instrText xml:space="preserve"> PAGEREF _Toc462307445 \h </w:instrText>
      </w:r>
      <w:r>
        <w:rPr>
          <w:noProof/>
        </w:rPr>
      </w:r>
      <w:r>
        <w:rPr>
          <w:noProof/>
        </w:rPr>
        <w:fldChar w:fldCharType="separate"/>
      </w:r>
      <w:r w:rsidR="007F5336">
        <w:rPr>
          <w:noProof/>
        </w:rPr>
        <w:t>27</w:t>
      </w:r>
      <w:r>
        <w:rPr>
          <w:noProof/>
        </w:rPr>
        <w:fldChar w:fldCharType="end"/>
      </w:r>
    </w:p>
    <w:p w14:paraId="165388EE" w14:textId="77777777" w:rsidR="00023707" w:rsidRDefault="00023707">
      <w:pPr>
        <w:pStyle w:val="TOC3"/>
        <w:tabs>
          <w:tab w:val="left" w:pos="1320"/>
        </w:tabs>
        <w:rPr>
          <w:rFonts w:asciiTheme="minorHAnsi" w:eastAsiaTheme="minorEastAsia" w:hAnsiTheme="minorHAnsi" w:cstheme="minorBidi"/>
          <w:noProof/>
          <w:szCs w:val="22"/>
          <w:lang w:val="en-AU" w:eastAsia="en-AU"/>
        </w:rPr>
      </w:pPr>
      <w:r>
        <w:rPr>
          <w:noProof/>
        </w:rPr>
        <w:t>5.3.1</w:t>
      </w:r>
      <w:r>
        <w:rPr>
          <w:rFonts w:asciiTheme="minorHAnsi" w:eastAsiaTheme="minorEastAsia" w:hAnsiTheme="minorHAnsi" w:cstheme="minorBidi"/>
          <w:noProof/>
          <w:szCs w:val="22"/>
          <w:lang w:val="en-AU" w:eastAsia="en-AU"/>
        </w:rPr>
        <w:tab/>
      </w:r>
      <w:r>
        <w:rPr>
          <w:noProof/>
        </w:rPr>
        <w:t>Zones of influence of individual rivers</w:t>
      </w:r>
      <w:r>
        <w:rPr>
          <w:noProof/>
        </w:rPr>
        <w:tab/>
      </w:r>
      <w:r>
        <w:rPr>
          <w:noProof/>
        </w:rPr>
        <w:fldChar w:fldCharType="begin"/>
      </w:r>
      <w:r>
        <w:rPr>
          <w:noProof/>
        </w:rPr>
        <w:instrText xml:space="preserve"> PAGEREF _Toc462307446 \h </w:instrText>
      </w:r>
      <w:r>
        <w:rPr>
          <w:noProof/>
        </w:rPr>
      </w:r>
      <w:r>
        <w:rPr>
          <w:noProof/>
        </w:rPr>
        <w:fldChar w:fldCharType="separate"/>
      </w:r>
      <w:r w:rsidR="007F5336">
        <w:rPr>
          <w:noProof/>
        </w:rPr>
        <w:t>27</w:t>
      </w:r>
      <w:r>
        <w:rPr>
          <w:noProof/>
        </w:rPr>
        <w:fldChar w:fldCharType="end"/>
      </w:r>
    </w:p>
    <w:p w14:paraId="1DB8BF0C" w14:textId="77777777" w:rsidR="00023707" w:rsidRDefault="00023707">
      <w:pPr>
        <w:pStyle w:val="TOC3"/>
        <w:tabs>
          <w:tab w:val="left" w:pos="1320"/>
        </w:tabs>
        <w:rPr>
          <w:rFonts w:asciiTheme="minorHAnsi" w:eastAsiaTheme="minorEastAsia" w:hAnsiTheme="minorHAnsi" w:cstheme="minorBidi"/>
          <w:noProof/>
          <w:szCs w:val="22"/>
          <w:lang w:val="en-AU" w:eastAsia="en-AU"/>
        </w:rPr>
      </w:pPr>
      <w:r>
        <w:rPr>
          <w:noProof/>
        </w:rPr>
        <w:t>5.3.2</w:t>
      </w:r>
      <w:r>
        <w:rPr>
          <w:rFonts w:asciiTheme="minorHAnsi" w:eastAsiaTheme="minorEastAsia" w:hAnsiTheme="minorHAnsi" w:cstheme="minorBidi"/>
          <w:noProof/>
          <w:szCs w:val="22"/>
          <w:lang w:val="en-AU" w:eastAsia="en-AU"/>
        </w:rPr>
        <w:tab/>
      </w:r>
      <w:r>
        <w:rPr>
          <w:noProof/>
        </w:rPr>
        <w:t>River plume exposure and plume water type maps</w:t>
      </w:r>
      <w:r>
        <w:rPr>
          <w:noProof/>
        </w:rPr>
        <w:tab/>
      </w:r>
      <w:r>
        <w:rPr>
          <w:noProof/>
        </w:rPr>
        <w:fldChar w:fldCharType="begin"/>
      </w:r>
      <w:r>
        <w:rPr>
          <w:noProof/>
        </w:rPr>
        <w:instrText xml:space="preserve"> PAGEREF _Toc462307447 \h </w:instrText>
      </w:r>
      <w:r>
        <w:rPr>
          <w:noProof/>
        </w:rPr>
      </w:r>
      <w:r>
        <w:rPr>
          <w:noProof/>
        </w:rPr>
        <w:fldChar w:fldCharType="separate"/>
      </w:r>
      <w:r w:rsidR="007F5336">
        <w:rPr>
          <w:noProof/>
        </w:rPr>
        <w:t>27</w:t>
      </w:r>
      <w:r>
        <w:rPr>
          <w:noProof/>
        </w:rPr>
        <w:fldChar w:fldCharType="end"/>
      </w:r>
    </w:p>
    <w:p w14:paraId="5385E5C2" w14:textId="77777777" w:rsidR="00023707" w:rsidRDefault="00023707">
      <w:pPr>
        <w:pStyle w:val="TOC3"/>
        <w:tabs>
          <w:tab w:val="left" w:pos="1320"/>
        </w:tabs>
        <w:rPr>
          <w:rFonts w:asciiTheme="minorHAnsi" w:eastAsiaTheme="minorEastAsia" w:hAnsiTheme="minorHAnsi" w:cstheme="minorBidi"/>
          <w:noProof/>
          <w:szCs w:val="22"/>
          <w:lang w:val="en-AU" w:eastAsia="en-AU"/>
        </w:rPr>
      </w:pPr>
      <w:r>
        <w:rPr>
          <w:noProof/>
        </w:rPr>
        <w:t>5.3.3</w:t>
      </w:r>
      <w:r>
        <w:rPr>
          <w:rFonts w:asciiTheme="minorHAnsi" w:eastAsiaTheme="minorEastAsia" w:hAnsiTheme="minorHAnsi" w:cstheme="minorBidi"/>
          <w:noProof/>
          <w:szCs w:val="22"/>
          <w:lang w:val="en-AU" w:eastAsia="en-AU"/>
        </w:rPr>
        <w:tab/>
      </w:r>
      <w:r>
        <w:rPr>
          <w:noProof/>
        </w:rPr>
        <w:t>Level of potential risk to Great Barrier Reef ecosystems 2014-15</w:t>
      </w:r>
      <w:r>
        <w:rPr>
          <w:noProof/>
        </w:rPr>
        <w:tab/>
      </w:r>
      <w:r>
        <w:rPr>
          <w:noProof/>
        </w:rPr>
        <w:fldChar w:fldCharType="begin"/>
      </w:r>
      <w:r>
        <w:rPr>
          <w:noProof/>
        </w:rPr>
        <w:instrText xml:space="preserve"> PAGEREF _Toc462307448 \h </w:instrText>
      </w:r>
      <w:r>
        <w:rPr>
          <w:noProof/>
        </w:rPr>
      </w:r>
      <w:r>
        <w:rPr>
          <w:noProof/>
        </w:rPr>
        <w:fldChar w:fldCharType="separate"/>
      </w:r>
      <w:r w:rsidR="007F5336">
        <w:rPr>
          <w:noProof/>
        </w:rPr>
        <w:t>31</w:t>
      </w:r>
      <w:r>
        <w:rPr>
          <w:noProof/>
        </w:rPr>
        <w:fldChar w:fldCharType="end"/>
      </w:r>
    </w:p>
    <w:p w14:paraId="52CC185F" w14:textId="77777777" w:rsidR="00023707" w:rsidRDefault="00023707">
      <w:pPr>
        <w:pStyle w:val="TOC3"/>
        <w:tabs>
          <w:tab w:val="left" w:pos="1320"/>
        </w:tabs>
        <w:rPr>
          <w:rFonts w:asciiTheme="minorHAnsi" w:eastAsiaTheme="minorEastAsia" w:hAnsiTheme="minorHAnsi" w:cstheme="minorBidi"/>
          <w:noProof/>
          <w:szCs w:val="22"/>
          <w:lang w:val="en-AU" w:eastAsia="en-AU"/>
        </w:rPr>
      </w:pPr>
      <w:r>
        <w:rPr>
          <w:noProof/>
        </w:rPr>
        <w:t>5.3.4</w:t>
      </w:r>
      <w:r>
        <w:rPr>
          <w:rFonts w:asciiTheme="minorHAnsi" w:eastAsiaTheme="minorEastAsia" w:hAnsiTheme="minorHAnsi" w:cstheme="minorBidi"/>
          <w:noProof/>
          <w:szCs w:val="22"/>
          <w:lang w:val="en-AU" w:eastAsia="en-AU"/>
        </w:rPr>
        <w:tab/>
      </w:r>
      <w:r>
        <w:rPr>
          <w:noProof/>
        </w:rPr>
        <w:t>Loading maps for dissolved inorganic nitrogen, particulate nitrogen and sediment</w:t>
      </w:r>
      <w:r>
        <w:rPr>
          <w:noProof/>
        </w:rPr>
        <w:tab/>
      </w:r>
      <w:r>
        <w:rPr>
          <w:noProof/>
        </w:rPr>
        <w:fldChar w:fldCharType="begin"/>
      </w:r>
      <w:r>
        <w:rPr>
          <w:noProof/>
        </w:rPr>
        <w:instrText xml:space="preserve"> PAGEREF _Toc462307449 \h </w:instrText>
      </w:r>
      <w:r>
        <w:rPr>
          <w:noProof/>
        </w:rPr>
      </w:r>
      <w:r>
        <w:rPr>
          <w:noProof/>
        </w:rPr>
        <w:fldChar w:fldCharType="separate"/>
      </w:r>
      <w:r w:rsidR="007F5336">
        <w:rPr>
          <w:noProof/>
        </w:rPr>
        <w:t>36</w:t>
      </w:r>
      <w:r>
        <w:rPr>
          <w:noProof/>
        </w:rPr>
        <w:fldChar w:fldCharType="end"/>
      </w:r>
    </w:p>
    <w:p w14:paraId="7ACFC6A1"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5.4</w:t>
      </w:r>
      <w:r>
        <w:rPr>
          <w:rFonts w:asciiTheme="minorHAnsi" w:eastAsiaTheme="minorEastAsia" w:hAnsiTheme="minorHAnsi" w:cstheme="minorBidi"/>
          <w:noProof/>
          <w:szCs w:val="22"/>
          <w:lang w:val="en-AU" w:eastAsia="en-AU"/>
        </w:rPr>
        <w:tab/>
      </w:r>
      <w:r>
        <w:rPr>
          <w:noProof/>
        </w:rPr>
        <w:t>Regional reports</w:t>
      </w:r>
      <w:r>
        <w:rPr>
          <w:noProof/>
        </w:rPr>
        <w:tab/>
      </w:r>
      <w:r>
        <w:rPr>
          <w:noProof/>
        </w:rPr>
        <w:fldChar w:fldCharType="begin"/>
      </w:r>
      <w:r>
        <w:rPr>
          <w:noProof/>
        </w:rPr>
        <w:instrText xml:space="preserve"> PAGEREF _Toc462307450 \h </w:instrText>
      </w:r>
      <w:r>
        <w:rPr>
          <w:noProof/>
        </w:rPr>
      </w:r>
      <w:r>
        <w:rPr>
          <w:noProof/>
        </w:rPr>
        <w:fldChar w:fldCharType="separate"/>
      </w:r>
      <w:r w:rsidR="007F5336">
        <w:rPr>
          <w:noProof/>
        </w:rPr>
        <w:t>46</w:t>
      </w:r>
      <w:r>
        <w:rPr>
          <w:noProof/>
        </w:rPr>
        <w:fldChar w:fldCharType="end"/>
      </w:r>
    </w:p>
    <w:p w14:paraId="100411B1" w14:textId="77777777" w:rsidR="00023707" w:rsidRDefault="00023707">
      <w:pPr>
        <w:pStyle w:val="TOC3"/>
        <w:tabs>
          <w:tab w:val="left" w:pos="1320"/>
        </w:tabs>
        <w:rPr>
          <w:rFonts w:asciiTheme="minorHAnsi" w:eastAsiaTheme="minorEastAsia" w:hAnsiTheme="minorHAnsi" w:cstheme="minorBidi"/>
          <w:noProof/>
          <w:szCs w:val="22"/>
          <w:lang w:val="en-AU" w:eastAsia="en-AU"/>
        </w:rPr>
      </w:pPr>
      <w:r w:rsidRPr="0031676C">
        <w:rPr>
          <w:noProof/>
        </w:rPr>
        <w:t>5.4.1</w:t>
      </w:r>
      <w:r>
        <w:rPr>
          <w:rFonts w:asciiTheme="minorHAnsi" w:eastAsiaTheme="minorEastAsia" w:hAnsiTheme="minorHAnsi" w:cstheme="minorBidi"/>
          <w:noProof/>
          <w:szCs w:val="22"/>
          <w:lang w:val="en-AU" w:eastAsia="en-AU"/>
        </w:rPr>
        <w:tab/>
      </w:r>
      <w:r>
        <w:rPr>
          <w:noProof/>
        </w:rPr>
        <w:t>Wet Tropics Region: Barron Daintree sub-region</w:t>
      </w:r>
      <w:r>
        <w:rPr>
          <w:noProof/>
        </w:rPr>
        <w:tab/>
      </w:r>
      <w:r>
        <w:rPr>
          <w:noProof/>
        </w:rPr>
        <w:fldChar w:fldCharType="begin"/>
      </w:r>
      <w:r>
        <w:rPr>
          <w:noProof/>
        </w:rPr>
        <w:instrText xml:space="preserve"> PAGEREF _Toc462307451 \h </w:instrText>
      </w:r>
      <w:r>
        <w:rPr>
          <w:noProof/>
        </w:rPr>
      </w:r>
      <w:r>
        <w:rPr>
          <w:noProof/>
        </w:rPr>
        <w:fldChar w:fldCharType="separate"/>
      </w:r>
      <w:r w:rsidR="007F5336">
        <w:rPr>
          <w:noProof/>
        </w:rPr>
        <w:t>47</w:t>
      </w:r>
      <w:r>
        <w:rPr>
          <w:noProof/>
        </w:rPr>
        <w:fldChar w:fldCharType="end"/>
      </w:r>
    </w:p>
    <w:p w14:paraId="072768E1" w14:textId="77777777" w:rsidR="00023707" w:rsidRDefault="00023707">
      <w:pPr>
        <w:pStyle w:val="TOC3"/>
        <w:tabs>
          <w:tab w:val="left" w:pos="1320"/>
        </w:tabs>
        <w:rPr>
          <w:rFonts w:asciiTheme="minorHAnsi" w:eastAsiaTheme="minorEastAsia" w:hAnsiTheme="minorHAnsi" w:cstheme="minorBidi"/>
          <w:noProof/>
          <w:szCs w:val="22"/>
          <w:lang w:val="en-AU" w:eastAsia="en-AU"/>
        </w:rPr>
      </w:pPr>
      <w:r>
        <w:rPr>
          <w:noProof/>
        </w:rPr>
        <w:t>5.4.2</w:t>
      </w:r>
      <w:r>
        <w:rPr>
          <w:rFonts w:asciiTheme="minorHAnsi" w:eastAsiaTheme="minorEastAsia" w:hAnsiTheme="minorHAnsi" w:cstheme="minorBidi"/>
          <w:noProof/>
          <w:szCs w:val="22"/>
          <w:lang w:val="en-AU" w:eastAsia="en-AU"/>
        </w:rPr>
        <w:tab/>
      </w:r>
      <w:r>
        <w:rPr>
          <w:noProof/>
        </w:rPr>
        <w:t>Wet Tropics Region: Russell-Mulgrave focus area</w:t>
      </w:r>
      <w:r>
        <w:rPr>
          <w:noProof/>
        </w:rPr>
        <w:tab/>
      </w:r>
      <w:r>
        <w:rPr>
          <w:noProof/>
        </w:rPr>
        <w:fldChar w:fldCharType="begin"/>
      </w:r>
      <w:r>
        <w:rPr>
          <w:noProof/>
        </w:rPr>
        <w:instrText xml:space="preserve"> PAGEREF _Toc462307452 \h </w:instrText>
      </w:r>
      <w:r>
        <w:rPr>
          <w:noProof/>
        </w:rPr>
      </w:r>
      <w:r>
        <w:rPr>
          <w:noProof/>
        </w:rPr>
        <w:fldChar w:fldCharType="separate"/>
      </w:r>
      <w:r w:rsidR="007F5336">
        <w:rPr>
          <w:noProof/>
        </w:rPr>
        <w:t>52</w:t>
      </w:r>
      <w:r>
        <w:rPr>
          <w:noProof/>
        </w:rPr>
        <w:fldChar w:fldCharType="end"/>
      </w:r>
    </w:p>
    <w:p w14:paraId="0DEF2E59" w14:textId="77777777" w:rsidR="00023707" w:rsidRDefault="00023707">
      <w:pPr>
        <w:pStyle w:val="TOC3"/>
        <w:tabs>
          <w:tab w:val="left" w:pos="1320"/>
        </w:tabs>
        <w:rPr>
          <w:rFonts w:asciiTheme="minorHAnsi" w:eastAsiaTheme="minorEastAsia" w:hAnsiTheme="minorHAnsi" w:cstheme="minorBidi"/>
          <w:noProof/>
          <w:szCs w:val="22"/>
          <w:lang w:val="en-AU" w:eastAsia="en-AU"/>
        </w:rPr>
      </w:pPr>
      <w:r w:rsidRPr="0031676C">
        <w:rPr>
          <w:noProof/>
        </w:rPr>
        <w:lastRenderedPageBreak/>
        <w:t>5.4.3</w:t>
      </w:r>
      <w:r>
        <w:rPr>
          <w:rFonts w:asciiTheme="minorHAnsi" w:eastAsiaTheme="minorEastAsia" w:hAnsiTheme="minorHAnsi" w:cstheme="minorBidi"/>
          <w:noProof/>
          <w:szCs w:val="22"/>
          <w:lang w:val="en-AU" w:eastAsia="en-AU"/>
        </w:rPr>
        <w:tab/>
      </w:r>
      <w:r>
        <w:rPr>
          <w:noProof/>
        </w:rPr>
        <w:t>Wet Tropics Region: Tully focus area</w:t>
      </w:r>
      <w:r>
        <w:rPr>
          <w:noProof/>
        </w:rPr>
        <w:tab/>
      </w:r>
      <w:r>
        <w:rPr>
          <w:noProof/>
        </w:rPr>
        <w:fldChar w:fldCharType="begin"/>
      </w:r>
      <w:r>
        <w:rPr>
          <w:noProof/>
        </w:rPr>
        <w:instrText xml:space="preserve"> PAGEREF _Toc462307453 \h </w:instrText>
      </w:r>
      <w:r>
        <w:rPr>
          <w:noProof/>
        </w:rPr>
      </w:r>
      <w:r>
        <w:rPr>
          <w:noProof/>
        </w:rPr>
        <w:fldChar w:fldCharType="separate"/>
      </w:r>
      <w:r w:rsidR="007F5336">
        <w:rPr>
          <w:noProof/>
        </w:rPr>
        <w:t>61</w:t>
      </w:r>
      <w:r>
        <w:rPr>
          <w:noProof/>
        </w:rPr>
        <w:fldChar w:fldCharType="end"/>
      </w:r>
    </w:p>
    <w:p w14:paraId="2BD1BF0F" w14:textId="77777777" w:rsidR="00023707" w:rsidRDefault="00023707">
      <w:pPr>
        <w:pStyle w:val="TOC3"/>
        <w:tabs>
          <w:tab w:val="left" w:pos="1320"/>
        </w:tabs>
        <w:rPr>
          <w:rFonts w:asciiTheme="minorHAnsi" w:eastAsiaTheme="minorEastAsia" w:hAnsiTheme="minorHAnsi" w:cstheme="minorBidi"/>
          <w:noProof/>
          <w:szCs w:val="22"/>
          <w:lang w:val="en-AU" w:eastAsia="en-AU"/>
        </w:rPr>
      </w:pPr>
      <w:r>
        <w:rPr>
          <w:noProof/>
        </w:rPr>
        <w:t>5.4.4</w:t>
      </w:r>
      <w:r>
        <w:rPr>
          <w:rFonts w:asciiTheme="minorHAnsi" w:eastAsiaTheme="minorEastAsia" w:hAnsiTheme="minorHAnsi" w:cstheme="minorBidi"/>
          <w:noProof/>
          <w:szCs w:val="22"/>
          <w:lang w:val="en-AU" w:eastAsia="en-AU"/>
        </w:rPr>
        <w:tab/>
      </w:r>
      <w:r>
        <w:rPr>
          <w:noProof/>
        </w:rPr>
        <w:t>Burdekin focus area</w:t>
      </w:r>
      <w:r>
        <w:rPr>
          <w:noProof/>
        </w:rPr>
        <w:tab/>
      </w:r>
      <w:r>
        <w:rPr>
          <w:noProof/>
        </w:rPr>
        <w:fldChar w:fldCharType="begin"/>
      </w:r>
      <w:r>
        <w:rPr>
          <w:noProof/>
        </w:rPr>
        <w:instrText xml:space="preserve"> PAGEREF _Toc462307454 \h </w:instrText>
      </w:r>
      <w:r>
        <w:rPr>
          <w:noProof/>
        </w:rPr>
      </w:r>
      <w:r>
        <w:rPr>
          <w:noProof/>
        </w:rPr>
        <w:fldChar w:fldCharType="separate"/>
      </w:r>
      <w:r w:rsidR="007F5336">
        <w:rPr>
          <w:noProof/>
        </w:rPr>
        <w:t>68</w:t>
      </w:r>
      <w:r>
        <w:rPr>
          <w:noProof/>
        </w:rPr>
        <w:fldChar w:fldCharType="end"/>
      </w:r>
    </w:p>
    <w:p w14:paraId="289B7B2B" w14:textId="77777777" w:rsidR="00023707" w:rsidRDefault="00023707">
      <w:pPr>
        <w:pStyle w:val="TOC3"/>
        <w:tabs>
          <w:tab w:val="left" w:pos="1320"/>
        </w:tabs>
        <w:rPr>
          <w:rFonts w:asciiTheme="minorHAnsi" w:eastAsiaTheme="minorEastAsia" w:hAnsiTheme="minorHAnsi" w:cstheme="minorBidi"/>
          <w:noProof/>
          <w:szCs w:val="22"/>
          <w:lang w:val="en-AU" w:eastAsia="en-AU"/>
        </w:rPr>
      </w:pPr>
      <w:r>
        <w:rPr>
          <w:noProof/>
        </w:rPr>
        <w:t>5.4.5</w:t>
      </w:r>
      <w:r>
        <w:rPr>
          <w:rFonts w:asciiTheme="minorHAnsi" w:eastAsiaTheme="minorEastAsia" w:hAnsiTheme="minorHAnsi" w:cstheme="minorBidi"/>
          <w:noProof/>
          <w:szCs w:val="22"/>
          <w:lang w:val="en-AU" w:eastAsia="en-AU"/>
        </w:rPr>
        <w:tab/>
      </w:r>
      <w:r>
        <w:rPr>
          <w:noProof/>
        </w:rPr>
        <w:t>Mackay Whitsunday focus area</w:t>
      </w:r>
      <w:r>
        <w:rPr>
          <w:noProof/>
        </w:rPr>
        <w:tab/>
      </w:r>
      <w:r>
        <w:rPr>
          <w:noProof/>
        </w:rPr>
        <w:fldChar w:fldCharType="begin"/>
      </w:r>
      <w:r>
        <w:rPr>
          <w:noProof/>
        </w:rPr>
        <w:instrText xml:space="preserve"> PAGEREF _Toc462307455 \h </w:instrText>
      </w:r>
      <w:r>
        <w:rPr>
          <w:noProof/>
        </w:rPr>
      </w:r>
      <w:r>
        <w:rPr>
          <w:noProof/>
        </w:rPr>
        <w:fldChar w:fldCharType="separate"/>
      </w:r>
      <w:r w:rsidR="007F5336">
        <w:rPr>
          <w:noProof/>
        </w:rPr>
        <w:t>76</w:t>
      </w:r>
      <w:r>
        <w:rPr>
          <w:noProof/>
        </w:rPr>
        <w:fldChar w:fldCharType="end"/>
      </w:r>
    </w:p>
    <w:p w14:paraId="6FD0D67E"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5.5</w:t>
      </w:r>
      <w:r>
        <w:rPr>
          <w:rFonts w:asciiTheme="minorHAnsi" w:eastAsiaTheme="minorEastAsia" w:hAnsiTheme="minorHAnsi" w:cstheme="minorBidi"/>
          <w:noProof/>
          <w:szCs w:val="22"/>
          <w:lang w:val="en-AU" w:eastAsia="en-AU"/>
        </w:rPr>
        <w:tab/>
      </w:r>
      <w:r>
        <w:rPr>
          <w:noProof/>
        </w:rPr>
        <w:t>Report Card water quality metric 2014-15</w:t>
      </w:r>
      <w:r>
        <w:rPr>
          <w:noProof/>
        </w:rPr>
        <w:tab/>
      </w:r>
      <w:r>
        <w:rPr>
          <w:noProof/>
        </w:rPr>
        <w:fldChar w:fldCharType="begin"/>
      </w:r>
      <w:r>
        <w:rPr>
          <w:noProof/>
        </w:rPr>
        <w:instrText xml:space="preserve"> PAGEREF _Toc462307456 \h </w:instrText>
      </w:r>
      <w:r>
        <w:rPr>
          <w:noProof/>
        </w:rPr>
      </w:r>
      <w:r>
        <w:rPr>
          <w:noProof/>
        </w:rPr>
        <w:fldChar w:fldCharType="separate"/>
      </w:r>
      <w:r w:rsidR="007F5336">
        <w:rPr>
          <w:noProof/>
        </w:rPr>
        <w:t>81</w:t>
      </w:r>
      <w:r>
        <w:rPr>
          <w:noProof/>
        </w:rPr>
        <w:fldChar w:fldCharType="end"/>
      </w:r>
    </w:p>
    <w:p w14:paraId="39C1909E" w14:textId="77777777" w:rsidR="00023707" w:rsidRDefault="00023707">
      <w:pPr>
        <w:pStyle w:val="TOC1"/>
        <w:tabs>
          <w:tab w:val="left" w:pos="567"/>
          <w:tab w:val="right" w:leader="dot" w:pos="9061"/>
        </w:tabs>
        <w:rPr>
          <w:rFonts w:asciiTheme="minorHAnsi" w:eastAsiaTheme="minorEastAsia" w:hAnsiTheme="minorHAnsi" w:cstheme="minorBidi"/>
          <w:szCs w:val="22"/>
          <w:lang w:val="en-AU" w:eastAsia="en-AU"/>
        </w:rPr>
      </w:pPr>
      <w:r>
        <w:t>6.</w:t>
      </w:r>
      <w:r>
        <w:rPr>
          <w:rFonts w:asciiTheme="minorHAnsi" w:eastAsiaTheme="minorEastAsia" w:hAnsiTheme="minorHAnsi" w:cstheme="minorBidi"/>
          <w:szCs w:val="22"/>
          <w:lang w:val="en-AU" w:eastAsia="en-AU"/>
        </w:rPr>
        <w:tab/>
      </w:r>
      <w:r w:rsidRPr="0031676C">
        <w:rPr>
          <w:rFonts w:eastAsia="SimSun"/>
        </w:rPr>
        <w:t>Discussion and conclusions</w:t>
      </w:r>
      <w:r>
        <w:tab/>
      </w:r>
      <w:r>
        <w:fldChar w:fldCharType="begin"/>
      </w:r>
      <w:r>
        <w:instrText xml:space="preserve"> PAGEREF _Toc462307457 \h </w:instrText>
      </w:r>
      <w:r>
        <w:fldChar w:fldCharType="separate"/>
      </w:r>
      <w:r w:rsidR="007F5336">
        <w:t>86</w:t>
      </w:r>
      <w:r>
        <w:fldChar w:fldCharType="end"/>
      </w:r>
    </w:p>
    <w:p w14:paraId="51D5C627"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6.1</w:t>
      </w:r>
      <w:r>
        <w:rPr>
          <w:rFonts w:asciiTheme="minorHAnsi" w:eastAsiaTheme="minorEastAsia" w:hAnsiTheme="minorHAnsi" w:cstheme="minorBidi"/>
          <w:noProof/>
          <w:szCs w:val="22"/>
          <w:lang w:val="en-AU" w:eastAsia="en-AU"/>
        </w:rPr>
        <w:tab/>
      </w:r>
      <w:r>
        <w:rPr>
          <w:noProof/>
        </w:rPr>
        <w:t>Long-term changes in water quality</w:t>
      </w:r>
      <w:r>
        <w:rPr>
          <w:noProof/>
        </w:rPr>
        <w:tab/>
      </w:r>
      <w:r>
        <w:rPr>
          <w:noProof/>
        </w:rPr>
        <w:fldChar w:fldCharType="begin"/>
      </w:r>
      <w:r>
        <w:rPr>
          <w:noProof/>
        </w:rPr>
        <w:instrText xml:space="preserve"> PAGEREF _Toc462307458 \h </w:instrText>
      </w:r>
      <w:r>
        <w:rPr>
          <w:noProof/>
        </w:rPr>
      </w:r>
      <w:r>
        <w:rPr>
          <w:noProof/>
        </w:rPr>
        <w:fldChar w:fldCharType="separate"/>
      </w:r>
      <w:r w:rsidR="007F5336">
        <w:rPr>
          <w:noProof/>
        </w:rPr>
        <w:t>86</w:t>
      </w:r>
      <w:r>
        <w:rPr>
          <w:noProof/>
        </w:rPr>
        <w:fldChar w:fldCharType="end"/>
      </w:r>
    </w:p>
    <w:p w14:paraId="111FAE52"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6.2</w:t>
      </w:r>
      <w:r>
        <w:rPr>
          <w:rFonts w:asciiTheme="minorHAnsi" w:eastAsiaTheme="minorEastAsia" w:hAnsiTheme="minorHAnsi" w:cstheme="minorBidi"/>
          <w:noProof/>
          <w:szCs w:val="22"/>
          <w:lang w:val="en-AU" w:eastAsia="en-AU"/>
        </w:rPr>
        <w:tab/>
      </w:r>
      <w:r>
        <w:rPr>
          <w:noProof/>
        </w:rPr>
        <w:t>Water quality characteristics in 2014-15</w:t>
      </w:r>
      <w:r>
        <w:rPr>
          <w:noProof/>
        </w:rPr>
        <w:tab/>
      </w:r>
      <w:r>
        <w:rPr>
          <w:noProof/>
        </w:rPr>
        <w:fldChar w:fldCharType="begin"/>
      </w:r>
      <w:r>
        <w:rPr>
          <w:noProof/>
        </w:rPr>
        <w:instrText xml:space="preserve"> PAGEREF _Toc462307459 \h </w:instrText>
      </w:r>
      <w:r>
        <w:rPr>
          <w:noProof/>
        </w:rPr>
      </w:r>
      <w:r>
        <w:rPr>
          <w:noProof/>
        </w:rPr>
        <w:fldChar w:fldCharType="separate"/>
      </w:r>
      <w:r w:rsidR="007F5336">
        <w:rPr>
          <w:noProof/>
        </w:rPr>
        <w:t>87</w:t>
      </w:r>
      <w:r>
        <w:rPr>
          <w:noProof/>
        </w:rPr>
        <w:fldChar w:fldCharType="end"/>
      </w:r>
    </w:p>
    <w:p w14:paraId="076F45B3"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6.3</w:t>
      </w:r>
      <w:r>
        <w:rPr>
          <w:rFonts w:asciiTheme="minorHAnsi" w:eastAsiaTheme="minorEastAsia" w:hAnsiTheme="minorHAnsi" w:cstheme="minorBidi"/>
          <w:noProof/>
          <w:szCs w:val="22"/>
          <w:lang w:val="en-AU" w:eastAsia="en-AU"/>
        </w:rPr>
        <w:tab/>
      </w:r>
      <w:r>
        <w:rPr>
          <w:noProof/>
        </w:rPr>
        <w:t>Conclusions</w:t>
      </w:r>
      <w:r>
        <w:rPr>
          <w:noProof/>
        </w:rPr>
        <w:tab/>
      </w:r>
      <w:r>
        <w:rPr>
          <w:noProof/>
        </w:rPr>
        <w:fldChar w:fldCharType="begin"/>
      </w:r>
      <w:r>
        <w:rPr>
          <w:noProof/>
        </w:rPr>
        <w:instrText xml:space="preserve"> PAGEREF _Toc462307460 \h </w:instrText>
      </w:r>
      <w:r>
        <w:rPr>
          <w:noProof/>
        </w:rPr>
      </w:r>
      <w:r>
        <w:rPr>
          <w:noProof/>
        </w:rPr>
        <w:fldChar w:fldCharType="separate"/>
      </w:r>
      <w:r w:rsidR="007F5336">
        <w:rPr>
          <w:noProof/>
        </w:rPr>
        <w:t>90</w:t>
      </w:r>
      <w:r>
        <w:rPr>
          <w:noProof/>
        </w:rPr>
        <w:fldChar w:fldCharType="end"/>
      </w:r>
    </w:p>
    <w:p w14:paraId="52D1A98F" w14:textId="77777777" w:rsidR="00023707" w:rsidRDefault="00023707">
      <w:pPr>
        <w:pStyle w:val="TOC2"/>
        <w:tabs>
          <w:tab w:val="right" w:leader="dot" w:pos="9061"/>
        </w:tabs>
        <w:rPr>
          <w:rFonts w:asciiTheme="minorHAnsi" w:eastAsiaTheme="minorEastAsia" w:hAnsiTheme="minorHAnsi" w:cstheme="minorBidi"/>
          <w:noProof/>
          <w:szCs w:val="22"/>
          <w:lang w:val="en-AU" w:eastAsia="en-AU"/>
        </w:rPr>
      </w:pPr>
      <w:r>
        <w:rPr>
          <w:noProof/>
        </w:rPr>
        <w:t>Acknowledgements</w:t>
      </w:r>
      <w:r>
        <w:rPr>
          <w:noProof/>
        </w:rPr>
        <w:tab/>
      </w:r>
      <w:r>
        <w:rPr>
          <w:noProof/>
        </w:rPr>
        <w:fldChar w:fldCharType="begin"/>
      </w:r>
      <w:r>
        <w:rPr>
          <w:noProof/>
        </w:rPr>
        <w:instrText xml:space="preserve"> PAGEREF _Toc462307461 \h </w:instrText>
      </w:r>
      <w:r>
        <w:rPr>
          <w:noProof/>
        </w:rPr>
      </w:r>
      <w:r>
        <w:rPr>
          <w:noProof/>
        </w:rPr>
        <w:fldChar w:fldCharType="separate"/>
      </w:r>
      <w:r w:rsidR="007F5336">
        <w:rPr>
          <w:noProof/>
        </w:rPr>
        <w:t>91</w:t>
      </w:r>
      <w:r>
        <w:rPr>
          <w:noProof/>
        </w:rPr>
        <w:fldChar w:fldCharType="end"/>
      </w:r>
    </w:p>
    <w:p w14:paraId="5062C25E" w14:textId="77777777" w:rsidR="00023707" w:rsidRDefault="00023707">
      <w:pPr>
        <w:pStyle w:val="TOC1"/>
        <w:tabs>
          <w:tab w:val="left" w:pos="567"/>
          <w:tab w:val="right" w:leader="dot" w:pos="9061"/>
        </w:tabs>
        <w:rPr>
          <w:rFonts w:asciiTheme="minorHAnsi" w:eastAsiaTheme="minorEastAsia" w:hAnsiTheme="minorHAnsi" w:cstheme="minorBidi"/>
          <w:szCs w:val="22"/>
          <w:lang w:val="en-AU" w:eastAsia="en-AU"/>
        </w:rPr>
      </w:pPr>
      <w:r>
        <w:t>7.</w:t>
      </w:r>
      <w:r>
        <w:rPr>
          <w:rFonts w:asciiTheme="minorHAnsi" w:eastAsiaTheme="minorEastAsia" w:hAnsiTheme="minorHAnsi" w:cstheme="minorBidi"/>
          <w:szCs w:val="22"/>
          <w:lang w:val="en-AU" w:eastAsia="en-AU"/>
        </w:rPr>
        <w:tab/>
      </w:r>
      <w:r w:rsidRPr="0031676C">
        <w:rPr>
          <w:rFonts w:eastAsia="SimSun"/>
        </w:rPr>
        <w:t>Case study: Detecting decadal changes in the water quality of Great Barrier Reef waters using the Cairns Time Series (CaTS) transect</w:t>
      </w:r>
      <w:r>
        <w:tab/>
      </w:r>
      <w:r>
        <w:fldChar w:fldCharType="begin"/>
      </w:r>
      <w:r>
        <w:instrText xml:space="preserve"> PAGEREF _Toc462307462 \h </w:instrText>
      </w:r>
      <w:r>
        <w:fldChar w:fldCharType="separate"/>
      </w:r>
      <w:r w:rsidR="007F5336">
        <w:t>92</w:t>
      </w:r>
      <w:r>
        <w:fldChar w:fldCharType="end"/>
      </w:r>
    </w:p>
    <w:p w14:paraId="77C76DCE"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7.1</w:t>
      </w:r>
      <w:r>
        <w:rPr>
          <w:rFonts w:asciiTheme="minorHAnsi" w:eastAsiaTheme="minorEastAsia" w:hAnsiTheme="minorHAnsi" w:cstheme="minorBidi"/>
          <w:noProof/>
          <w:szCs w:val="22"/>
          <w:lang w:val="en-AU" w:eastAsia="en-AU"/>
        </w:rPr>
        <w:tab/>
      </w:r>
      <w:r>
        <w:rPr>
          <w:noProof/>
        </w:rPr>
        <w:t>Scope</w:t>
      </w:r>
      <w:r>
        <w:rPr>
          <w:noProof/>
        </w:rPr>
        <w:tab/>
      </w:r>
      <w:r>
        <w:rPr>
          <w:noProof/>
        </w:rPr>
        <w:fldChar w:fldCharType="begin"/>
      </w:r>
      <w:r>
        <w:rPr>
          <w:noProof/>
        </w:rPr>
        <w:instrText xml:space="preserve"> PAGEREF _Toc462307463 \h </w:instrText>
      </w:r>
      <w:r>
        <w:rPr>
          <w:noProof/>
        </w:rPr>
      </w:r>
      <w:r>
        <w:rPr>
          <w:noProof/>
        </w:rPr>
        <w:fldChar w:fldCharType="separate"/>
      </w:r>
      <w:r w:rsidR="007F5336">
        <w:rPr>
          <w:noProof/>
        </w:rPr>
        <w:t>92</w:t>
      </w:r>
      <w:r>
        <w:rPr>
          <w:noProof/>
        </w:rPr>
        <w:fldChar w:fldCharType="end"/>
      </w:r>
    </w:p>
    <w:p w14:paraId="38CC79FD"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7.2</w:t>
      </w:r>
      <w:r>
        <w:rPr>
          <w:rFonts w:asciiTheme="minorHAnsi" w:eastAsiaTheme="minorEastAsia" w:hAnsiTheme="minorHAnsi" w:cstheme="minorBidi"/>
          <w:noProof/>
          <w:szCs w:val="22"/>
          <w:lang w:val="en-AU" w:eastAsia="en-AU"/>
        </w:rPr>
        <w:tab/>
      </w:r>
      <w:r>
        <w:rPr>
          <w:noProof/>
        </w:rPr>
        <w:t>Introduction</w:t>
      </w:r>
      <w:r>
        <w:rPr>
          <w:noProof/>
        </w:rPr>
        <w:tab/>
      </w:r>
      <w:r>
        <w:rPr>
          <w:noProof/>
        </w:rPr>
        <w:fldChar w:fldCharType="begin"/>
      </w:r>
      <w:r>
        <w:rPr>
          <w:noProof/>
        </w:rPr>
        <w:instrText xml:space="preserve"> PAGEREF _Toc462307464 \h </w:instrText>
      </w:r>
      <w:r>
        <w:rPr>
          <w:noProof/>
        </w:rPr>
      </w:r>
      <w:r>
        <w:rPr>
          <w:noProof/>
        </w:rPr>
        <w:fldChar w:fldCharType="separate"/>
      </w:r>
      <w:r w:rsidR="007F5336">
        <w:rPr>
          <w:noProof/>
        </w:rPr>
        <w:t>92</w:t>
      </w:r>
      <w:r>
        <w:rPr>
          <w:noProof/>
        </w:rPr>
        <w:fldChar w:fldCharType="end"/>
      </w:r>
    </w:p>
    <w:p w14:paraId="1770A605"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7.3</w:t>
      </w:r>
      <w:r>
        <w:rPr>
          <w:rFonts w:asciiTheme="minorHAnsi" w:eastAsiaTheme="minorEastAsia" w:hAnsiTheme="minorHAnsi" w:cstheme="minorBidi"/>
          <w:noProof/>
          <w:szCs w:val="22"/>
          <w:lang w:val="en-AU" w:eastAsia="en-AU"/>
        </w:rPr>
        <w:tab/>
      </w:r>
      <w:r>
        <w:rPr>
          <w:noProof/>
        </w:rPr>
        <w:t>Results</w:t>
      </w:r>
      <w:r>
        <w:rPr>
          <w:noProof/>
        </w:rPr>
        <w:tab/>
      </w:r>
      <w:r>
        <w:rPr>
          <w:noProof/>
        </w:rPr>
        <w:fldChar w:fldCharType="begin"/>
      </w:r>
      <w:r>
        <w:rPr>
          <w:noProof/>
        </w:rPr>
        <w:instrText xml:space="preserve"> PAGEREF _Toc462307465 \h </w:instrText>
      </w:r>
      <w:r>
        <w:rPr>
          <w:noProof/>
        </w:rPr>
      </w:r>
      <w:r>
        <w:rPr>
          <w:noProof/>
        </w:rPr>
        <w:fldChar w:fldCharType="separate"/>
      </w:r>
      <w:r w:rsidR="007F5336">
        <w:rPr>
          <w:noProof/>
        </w:rPr>
        <w:t>93</w:t>
      </w:r>
      <w:r>
        <w:rPr>
          <w:noProof/>
        </w:rPr>
        <w:fldChar w:fldCharType="end"/>
      </w:r>
    </w:p>
    <w:p w14:paraId="579DCFC1"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7.4</w:t>
      </w:r>
      <w:r>
        <w:rPr>
          <w:rFonts w:asciiTheme="minorHAnsi" w:eastAsiaTheme="minorEastAsia" w:hAnsiTheme="minorHAnsi" w:cstheme="minorBidi"/>
          <w:noProof/>
          <w:szCs w:val="22"/>
          <w:lang w:val="en-AU" w:eastAsia="en-AU"/>
        </w:rPr>
        <w:tab/>
      </w:r>
      <w:r>
        <w:rPr>
          <w:noProof/>
        </w:rPr>
        <w:t>Discussion</w:t>
      </w:r>
      <w:r>
        <w:rPr>
          <w:noProof/>
        </w:rPr>
        <w:tab/>
      </w:r>
      <w:r>
        <w:rPr>
          <w:noProof/>
        </w:rPr>
        <w:fldChar w:fldCharType="begin"/>
      </w:r>
      <w:r>
        <w:rPr>
          <w:noProof/>
        </w:rPr>
        <w:instrText xml:space="preserve"> PAGEREF _Toc462307466 \h </w:instrText>
      </w:r>
      <w:r>
        <w:rPr>
          <w:noProof/>
        </w:rPr>
      </w:r>
      <w:r>
        <w:rPr>
          <w:noProof/>
        </w:rPr>
        <w:fldChar w:fldCharType="separate"/>
      </w:r>
      <w:r w:rsidR="007F5336">
        <w:rPr>
          <w:noProof/>
        </w:rPr>
        <w:t>101</w:t>
      </w:r>
      <w:r>
        <w:rPr>
          <w:noProof/>
        </w:rPr>
        <w:fldChar w:fldCharType="end"/>
      </w:r>
    </w:p>
    <w:p w14:paraId="5C37F2F5" w14:textId="77777777" w:rsidR="00023707" w:rsidRDefault="00023707">
      <w:pPr>
        <w:pStyle w:val="TOC1"/>
        <w:tabs>
          <w:tab w:val="left" w:pos="567"/>
          <w:tab w:val="right" w:leader="dot" w:pos="9061"/>
        </w:tabs>
        <w:rPr>
          <w:rFonts w:asciiTheme="minorHAnsi" w:eastAsiaTheme="minorEastAsia" w:hAnsiTheme="minorHAnsi" w:cstheme="minorBidi"/>
          <w:szCs w:val="22"/>
          <w:lang w:val="en-AU" w:eastAsia="en-AU"/>
        </w:rPr>
      </w:pPr>
      <w:r w:rsidRPr="0031676C">
        <w:rPr>
          <w:rFonts w:eastAsia="Calibri"/>
        </w:rPr>
        <w:t>8.</w:t>
      </w:r>
      <w:r>
        <w:rPr>
          <w:rFonts w:asciiTheme="minorHAnsi" w:eastAsiaTheme="minorEastAsia" w:hAnsiTheme="minorHAnsi" w:cstheme="minorBidi"/>
          <w:szCs w:val="22"/>
          <w:lang w:val="en-AU" w:eastAsia="en-AU"/>
        </w:rPr>
        <w:tab/>
      </w:r>
      <w:r w:rsidRPr="0031676C">
        <w:rPr>
          <w:rFonts w:eastAsia="Calibri"/>
        </w:rPr>
        <w:t>Case study: Progressing toward validated river plume potential risk maps</w:t>
      </w:r>
      <w:r>
        <w:tab/>
      </w:r>
      <w:r>
        <w:fldChar w:fldCharType="begin"/>
      </w:r>
      <w:r>
        <w:instrText xml:space="preserve"> PAGEREF _Toc462307467 \h </w:instrText>
      </w:r>
      <w:r>
        <w:fldChar w:fldCharType="separate"/>
      </w:r>
      <w:r w:rsidR="007F5336">
        <w:t>102</w:t>
      </w:r>
      <w:r>
        <w:fldChar w:fldCharType="end"/>
      </w:r>
    </w:p>
    <w:p w14:paraId="697084A8"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8.1</w:t>
      </w:r>
      <w:r>
        <w:rPr>
          <w:rFonts w:asciiTheme="minorHAnsi" w:eastAsiaTheme="minorEastAsia" w:hAnsiTheme="minorHAnsi" w:cstheme="minorBidi"/>
          <w:noProof/>
          <w:szCs w:val="22"/>
          <w:lang w:val="en-AU" w:eastAsia="en-AU"/>
        </w:rPr>
        <w:tab/>
      </w:r>
      <w:r>
        <w:rPr>
          <w:noProof/>
        </w:rPr>
        <w:t>Scope</w:t>
      </w:r>
      <w:r>
        <w:rPr>
          <w:noProof/>
        </w:rPr>
        <w:tab/>
      </w:r>
      <w:r>
        <w:rPr>
          <w:noProof/>
        </w:rPr>
        <w:fldChar w:fldCharType="begin"/>
      </w:r>
      <w:r>
        <w:rPr>
          <w:noProof/>
        </w:rPr>
        <w:instrText xml:space="preserve"> PAGEREF _Toc462307468 \h </w:instrText>
      </w:r>
      <w:r>
        <w:rPr>
          <w:noProof/>
        </w:rPr>
      </w:r>
      <w:r>
        <w:rPr>
          <w:noProof/>
        </w:rPr>
        <w:fldChar w:fldCharType="separate"/>
      </w:r>
      <w:r w:rsidR="007F5336">
        <w:rPr>
          <w:noProof/>
        </w:rPr>
        <w:t>102</w:t>
      </w:r>
      <w:r>
        <w:rPr>
          <w:noProof/>
        </w:rPr>
        <w:fldChar w:fldCharType="end"/>
      </w:r>
    </w:p>
    <w:p w14:paraId="1C9E1134"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8.2</w:t>
      </w:r>
      <w:r>
        <w:rPr>
          <w:rFonts w:asciiTheme="minorHAnsi" w:eastAsiaTheme="minorEastAsia" w:hAnsiTheme="minorHAnsi" w:cstheme="minorBidi"/>
          <w:noProof/>
          <w:szCs w:val="22"/>
          <w:lang w:val="en-AU" w:eastAsia="en-AU"/>
        </w:rPr>
        <w:tab/>
      </w:r>
      <w:r>
        <w:rPr>
          <w:noProof/>
        </w:rPr>
        <w:t>Introduction</w:t>
      </w:r>
      <w:r>
        <w:rPr>
          <w:noProof/>
        </w:rPr>
        <w:tab/>
      </w:r>
      <w:r>
        <w:rPr>
          <w:noProof/>
        </w:rPr>
        <w:fldChar w:fldCharType="begin"/>
      </w:r>
      <w:r>
        <w:rPr>
          <w:noProof/>
        </w:rPr>
        <w:instrText xml:space="preserve"> PAGEREF _Toc462307469 \h </w:instrText>
      </w:r>
      <w:r>
        <w:rPr>
          <w:noProof/>
        </w:rPr>
      </w:r>
      <w:r>
        <w:rPr>
          <w:noProof/>
        </w:rPr>
        <w:fldChar w:fldCharType="separate"/>
      </w:r>
      <w:r w:rsidR="007F5336">
        <w:rPr>
          <w:noProof/>
        </w:rPr>
        <w:t>102</w:t>
      </w:r>
      <w:r>
        <w:rPr>
          <w:noProof/>
        </w:rPr>
        <w:fldChar w:fldCharType="end"/>
      </w:r>
    </w:p>
    <w:p w14:paraId="7706A824"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8.3</w:t>
      </w:r>
      <w:r>
        <w:rPr>
          <w:rFonts w:asciiTheme="minorHAnsi" w:eastAsiaTheme="minorEastAsia" w:hAnsiTheme="minorHAnsi" w:cstheme="minorBidi"/>
          <w:noProof/>
          <w:szCs w:val="22"/>
          <w:lang w:val="en-AU" w:eastAsia="en-AU"/>
        </w:rPr>
        <w:tab/>
      </w:r>
      <w:r>
        <w:rPr>
          <w:noProof/>
        </w:rPr>
        <w:t>Methods</w:t>
      </w:r>
      <w:r>
        <w:rPr>
          <w:noProof/>
        </w:rPr>
        <w:tab/>
      </w:r>
      <w:r>
        <w:rPr>
          <w:noProof/>
        </w:rPr>
        <w:fldChar w:fldCharType="begin"/>
      </w:r>
      <w:r>
        <w:rPr>
          <w:noProof/>
        </w:rPr>
        <w:instrText xml:space="preserve"> PAGEREF _Toc462307470 \h </w:instrText>
      </w:r>
      <w:r>
        <w:rPr>
          <w:noProof/>
        </w:rPr>
      </w:r>
      <w:r>
        <w:rPr>
          <w:noProof/>
        </w:rPr>
        <w:fldChar w:fldCharType="separate"/>
      </w:r>
      <w:r w:rsidR="007F5336">
        <w:rPr>
          <w:noProof/>
        </w:rPr>
        <w:t>103</w:t>
      </w:r>
      <w:r>
        <w:rPr>
          <w:noProof/>
        </w:rPr>
        <w:fldChar w:fldCharType="end"/>
      </w:r>
    </w:p>
    <w:p w14:paraId="556D6C61"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8.4</w:t>
      </w:r>
      <w:r>
        <w:rPr>
          <w:rFonts w:asciiTheme="minorHAnsi" w:eastAsiaTheme="minorEastAsia" w:hAnsiTheme="minorHAnsi" w:cstheme="minorBidi"/>
          <w:noProof/>
          <w:szCs w:val="22"/>
          <w:lang w:val="en-AU" w:eastAsia="en-AU"/>
        </w:rPr>
        <w:tab/>
      </w:r>
      <w:r>
        <w:rPr>
          <w:noProof/>
        </w:rPr>
        <w:t>Results</w:t>
      </w:r>
      <w:r>
        <w:rPr>
          <w:noProof/>
        </w:rPr>
        <w:tab/>
      </w:r>
      <w:r>
        <w:rPr>
          <w:noProof/>
        </w:rPr>
        <w:fldChar w:fldCharType="begin"/>
      </w:r>
      <w:r>
        <w:rPr>
          <w:noProof/>
        </w:rPr>
        <w:instrText xml:space="preserve"> PAGEREF _Toc462307471 \h </w:instrText>
      </w:r>
      <w:r>
        <w:rPr>
          <w:noProof/>
        </w:rPr>
      </w:r>
      <w:r>
        <w:rPr>
          <w:noProof/>
        </w:rPr>
        <w:fldChar w:fldCharType="separate"/>
      </w:r>
      <w:r w:rsidR="007F5336">
        <w:rPr>
          <w:noProof/>
        </w:rPr>
        <w:t>106</w:t>
      </w:r>
      <w:r>
        <w:rPr>
          <w:noProof/>
        </w:rPr>
        <w:fldChar w:fldCharType="end"/>
      </w:r>
    </w:p>
    <w:p w14:paraId="61E3B674" w14:textId="77777777" w:rsidR="00023707" w:rsidRDefault="00023707">
      <w:pPr>
        <w:pStyle w:val="TOC2"/>
        <w:tabs>
          <w:tab w:val="left" w:pos="880"/>
          <w:tab w:val="right" w:leader="dot" w:pos="9061"/>
        </w:tabs>
        <w:rPr>
          <w:rFonts w:asciiTheme="minorHAnsi" w:eastAsiaTheme="minorEastAsia" w:hAnsiTheme="minorHAnsi" w:cstheme="minorBidi"/>
          <w:noProof/>
          <w:szCs w:val="22"/>
          <w:lang w:val="en-AU" w:eastAsia="en-AU"/>
        </w:rPr>
      </w:pPr>
      <w:r w:rsidRPr="0031676C">
        <w:rPr>
          <w:noProof/>
          <w:color w:val="000000"/>
        </w:rPr>
        <w:t>8.5</w:t>
      </w:r>
      <w:r>
        <w:rPr>
          <w:rFonts w:asciiTheme="minorHAnsi" w:eastAsiaTheme="minorEastAsia" w:hAnsiTheme="minorHAnsi" w:cstheme="minorBidi"/>
          <w:noProof/>
          <w:szCs w:val="22"/>
          <w:lang w:val="en-AU" w:eastAsia="en-AU"/>
        </w:rPr>
        <w:tab/>
      </w:r>
      <w:r>
        <w:rPr>
          <w:noProof/>
        </w:rPr>
        <w:t>Discussion and conclusions</w:t>
      </w:r>
      <w:r>
        <w:rPr>
          <w:noProof/>
        </w:rPr>
        <w:tab/>
      </w:r>
      <w:r>
        <w:rPr>
          <w:noProof/>
        </w:rPr>
        <w:fldChar w:fldCharType="begin"/>
      </w:r>
      <w:r>
        <w:rPr>
          <w:noProof/>
        </w:rPr>
        <w:instrText xml:space="preserve"> PAGEREF _Toc462307472 \h </w:instrText>
      </w:r>
      <w:r>
        <w:rPr>
          <w:noProof/>
        </w:rPr>
      </w:r>
      <w:r>
        <w:rPr>
          <w:noProof/>
        </w:rPr>
        <w:fldChar w:fldCharType="separate"/>
      </w:r>
      <w:r w:rsidR="007F5336">
        <w:rPr>
          <w:noProof/>
        </w:rPr>
        <w:t>111</w:t>
      </w:r>
      <w:r>
        <w:rPr>
          <w:noProof/>
        </w:rPr>
        <w:fldChar w:fldCharType="end"/>
      </w:r>
    </w:p>
    <w:p w14:paraId="77DB6B96" w14:textId="77777777" w:rsidR="00023707" w:rsidRDefault="00023707">
      <w:pPr>
        <w:pStyle w:val="TOC1"/>
        <w:tabs>
          <w:tab w:val="left" w:pos="567"/>
          <w:tab w:val="right" w:leader="dot" w:pos="9061"/>
        </w:tabs>
        <w:rPr>
          <w:rFonts w:asciiTheme="minorHAnsi" w:eastAsiaTheme="minorEastAsia" w:hAnsiTheme="minorHAnsi" w:cstheme="minorBidi"/>
          <w:szCs w:val="22"/>
          <w:lang w:val="en-AU" w:eastAsia="en-AU"/>
        </w:rPr>
      </w:pPr>
      <w:r>
        <w:t>9.</w:t>
      </w:r>
      <w:r>
        <w:rPr>
          <w:rFonts w:asciiTheme="minorHAnsi" w:eastAsiaTheme="minorEastAsia" w:hAnsiTheme="minorHAnsi" w:cstheme="minorBidi"/>
          <w:szCs w:val="22"/>
          <w:lang w:val="en-AU" w:eastAsia="en-AU"/>
        </w:rPr>
        <w:tab/>
      </w:r>
      <w:r>
        <w:t>References</w:t>
      </w:r>
      <w:r>
        <w:tab/>
      </w:r>
      <w:r>
        <w:fldChar w:fldCharType="begin"/>
      </w:r>
      <w:r>
        <w:instrText xml:space="preserve"> PAGEREF _Toc462307473 \h </w:instrText>
      </w:r>
      <w:r>
        <w:fldChar w:fldCharType="separate"/>
      </w:r>
      <w:r w:rsidR="007F5336">
        <w:t>116</w:t>
      </w:r>
      <w:r>
        <w:fldChar w:fldCharType="end"/>
      </w:r>
    </w:p>
    <w:p w14:paraId="37BB4577" w14:textId="77777777" w:rsidR="00023707" w:rsidRDefault="00023707">
      <w:pPr>
        <w:pStyle w:val="TOC1"/>
        <w:tabs>
          <w:tab w:val="right" w:leader="dot" w:pos="9061"/>
        </w:tabs>
        <w:rPr>
          <w:rFonts w:asciiTheme="minorHAnsi" w:eastAsiaTheme="minorEastAsia" w:hAnsiTheme="minorHAnsi" w:cstheme="minorBidi"/>
          <w:szCs w:val="22"/>
          <w:lang w:val="en-AU" w:eastAsia="en-AU"/>
        </w:rPr>
      </w:pPr>
      <w:r>
        <w:t>Appendix 1: Water quality monitoring methods</w:t>
      </w:r>
      <w:r>
        <w:tab/>
      </w:r>
      <w:r>
        <w:fldChar w:fldCharType="begin"/>
      </w:r>
      <w:r>
        <w:instrText xml:space="preserve"> PAGEREF _Toc462307474 \h </w:instrText>
      </w:r>
      <w:r>
        <w:fldChar w:fldCharType="separate"/>
      </w:r>
      <w:r w:rsidR="007F5336">
        <w:t>125</w:t>
      </w:r>
      <w:r>
        <w:fldChar w:fldCharType="end"/>
      </w:r>
    </w:p>
    <w:p w14:paraId="2664B655" w14:textId="77777777" w:rsidR="00023707" w:rsidRDefault="00023707">
      <w:pPr>
        <w:pStyle w:val="TOC1"/>
        <w:tabs>
          <w:tab w:val="right" w:leader="dot" w:pos="9061"/>
        </w:tabs>
        <w:rPr>
          <w:rFonts w:asciiTheme="minorHAnsi" w:eastAsiaTheme="minorEastAsia" w:hAnsiTheme="minorHAnsi" w:cstheme="minorBidi"/>
          <w:szCs w:val="22"/>
          <w:lang w:val="en-AU" w:eastAsia="en-AU"/>
        </w:rPr>
      </w:pPr>
      <w:r>
        <w:t>Appendix 2: Additional Information</w:t>
      </w:r>
      <w:r>
        <w:tab/>
      </w:r>
      <w:r>
        <w:fldChar w:fldCharType="begin"/>
      </w:r>
      <w:r>
        <w:instrText xml:space="preserve"> PAGEREF _Toc462307475 \h </w:instrText>
      </w:r>
      <w:r>
        <w:fldChar w:fldCharType="separate"/>
      </w:r>
      <w:r w:rsidR="007F5336">
        <w:t>165</w:t>
      </w:r>
      <w:r>
        <w:fldChar w:fldCharType="end"/>
      </w:r>
    </w:p>
    <w:p w14:paraId="00B39507" w14:textId="77777777" w:rsidR="00023707" w:rsidRDefault="00023707">
      <w:pPr>
        <w:pStyle w:val="TOC1"/>
        <w:tabs>
          <w:tab w:val="right" w:leader="dot" w:pos="9061"/>
        </w:tabs>
        <w:rPr>
          <w:rFonts w:asciiTheme="minorHAnsi" w:eastAsiaTheme="minorEastAsia" w:hAnsiTheme="minorHAnsi" w:cstheme="minorBidi"/>
          <w:szCs w:val="22"/>
          <w:lang w:val="en-AU" w:eastAsia="en-AU"/>
        </w:rPr>
      </w:pPr>
      <w:r>
        <w:t>Appendix 3: QA/QC Information</w:t>
      </w:r>
      <w:r>
        <w:tab/>
      </w:r>
      <w:r>
        <w:fldChar w:fldCharType="begin"/>
      </w:r>
      <w:r>
        <w:instrText xml:space="preserve"> PAGEREF _Toc462307476 \h </w:instrText>
      </w:r>
      <w:r>
        <w:fldChar w:fldCharType="separate"/>
      </w:r>
      <w:r w:rsidR="007F5336">
        <w:t>209</w:t>
      </w:r>
      <w:r>
        <w:fldChar w:fldCharType="end"/>
      </w:r>
    </w:p>
    <w:p w14:paraId="0468DF39" w14:textId="77777777" w:rsidR="00023707" w:rsidRDefault="00023707">
      <w:pPr>
        <w:pStyle w:val="TOC1"/>
        <w:tabs>
          <w:tab w:val="right" w:leader="dot" w:pos="9061"/>
        </w:tabs>
        <w:rPr>
          <w:rFonts w:asciiTheme="minorHAnsi" w:eastAsiaTheme="minorEastAsia" w:hAnsiTheme="minorHAnsi" w:cstheme="minorBidi"/>
          <w:szCs w:val="22"/>
          <w:lang w:val="en-AU" w:eastAsia="en-AU"/>
        </w:rPr>
      </w:pPr>
      <w:r>
        <w:t>Appendix 4: Scientific publications and presentations associated with the program, 2014-15</w:t>
      </w:r>
      <w:r>
        <w:tab/>
      </w:r>
      <w:r>
        <w:fldChar w:fldCharType="begin"/>
      </w:r>
      <w:r>
        <w:instrText xml:space="preserve"> PAGEREF _Toc462307477 \h </w:instrText>
      </w:r>
      <w:r>
        <w:fldChar w:fldCharType="separate"/>
      </w:r>
      <w:r w:rsidR="007F5336">
        <w:t>215</w:t>
      </w:r>
      <w:r>
        <w:fldChar w:fldCharType="end"/>
      </w:r>
    </w:p>
    <w:p w14:paraId="5F22EC5E" w14:textId="1CDB322A" w:rsidR="00057454" w:rsidRPr="008467AA" w:rsidRDefault="005C54B4" w:rsidP="00D14EB0">
      <w:pPr>
        <w:pStyle w:val="TOC1"/>
        <w:rPr>
          <w:color w:val="0070C0"/>
          <w:lang w:val="en-AU"/>
        </w:rPr>
      </w:pPr>
      <w:r>
        <w:rPr>
          <w:rFonts w:cs="Arial"/>
          <w:color w:val="0070C0"/>
          <w:szCs w:val="22"/>
          <w:lang w:val="en-AU"/>
        </w:rPr>
        <w:fldChar w:fldCharType="end"/>
      </w:r>
    </w:p>
    <w:p w14:paraId="5F22EC5F" w14:textId="77777777" w:rsidR="00057454" w:rsidRDefault="00057454" w:rsidP="00CC1CAD">
      <w:pPr>
        <w:rPr>
          <w:color w:val="0070C0"/>
          <w:lang w:val="en-AU"/>
        </w:rPr>
      </w:pPr>
    </w:p>
    <w:p w14:paraId="5F22EC60" w14:textId="77777777" w:rsidR="00830830" w:rsidRPr="008467AA" w:rsidRDefault="00830830" w:rsidP="00CC1CAD">
      <w:pPr>
        <w:rPr>
          <w:color w:val="0070C0"/>
          <w:lang w:val="en-AU"/>
        </w:rPr>
        <w:sectPr w:rsidR="00830830" w:rsidRPr="008467AA" w:rsidSect="00AB0196">
          <w:headerReference w:type="default" r:id="rId286"/>
          <w:footerReference w:type="default" r:id="rId287"/>
          <w:pgSz w:w="11907" w:h="16840" w:code="9"/>
          <w:pgMar w:top="1418" w:right="1418" w:bottom="1418" w:left="1418" w:header="1009" w:footer="720" w:gutter="0"/>
          <w:pgNumType w:fmt="lowerRoman" w:start="1"/>
          <w:cols w:space="720"/>
          <w:docGrid w:linePitch="299"/>
        </w:sectPr>
      </w:pPr>
    </w:p>
    <w:p w14:paraId="5F22EC61" w14:textId="77777777" w:rsidR="00654FD5" w:rsidRPr="008467AA" w:rsidRDefault="00A302DE" w:rsidP="001825AB">
      <w:pPr>
        <w:pStyle w:val="Headers"/>
      </w:pPr>
      <w:bookmarkStart w:id="1" w:name="_List_of_Figures"/>
      <w:bookmarkStart w:id="2" w:name="_Toc330104749"/>
      <w:bookmarkStart w:id="3" w:name="_Toc330104900"/>
      <w:bookmarkEnd w:id="1"/>
      <w:r w:rsidRPr="008467AA">
        <w:lastRenderedPageBreak/>
        <w:t>List of Figures</w:t>
      </w:r>
      <w:r w:rsidR="003741CA" w:rsidRPr="008467AA">
        <w:t xml:space="preserve"> and Tables</w:t>
      </w:r>
    </w:p>
    <w:p w14:paraId="03926799" w14:textId="78F59931" w:rsidR="00211A02" w:rsidRDefault="00EB33A6">
      <w:pPr>
        <w:pStyle w:val="TableofFigures"/>
        <w:rPr>
          <w:rFonts w:asciiTheme="minorHAnsi" w:eastAsiaTheme="minorEastAsia" w:hAnsiTheme="minorHAnsi" w:cstheme="minorBidi"/>
          <w:bCs w:val="0"/>
          <w:sz w:val="22"/>
          <w:szCs w:val="22"/>
          <w:lang w:val="en-AU" w:eastAsia="en-AU"/>
        </w:rPr>
      </w:pPr>
      <w:r w:rsidRPr="00913655">
        <w:rPr>
          <w:rFonts w:cs="Arial"/>
          <w:b/>
          <w:lang w:val="en-AU"/>
        </w:rPr>
        <w:fldChar w:fldCharType="begin"/>
      </w:r>
      <w:r w:rsidR="0028411F" w:rsidRPr="00913655">
        <w:rPr>
          <w:rFonts w:cs="Arial"/>
          <w:b/>
          <w:lang w:val="en-AU"/>
        </w:rPr>
        <w:instrText xml:space="preserve"> TOC \h \z \c "Figure" </w:instrText>
      </w:r>
      <w:r w:rsidRPr="00913655">
        <w:rPr>
          <w:rFonts w:cs="Arial"/>
          <w:b/>
          <w:lang w:val="en-AU"/>
        </w:rPr>
        <w:fldChar w:fldCharType="separate"/>
      </w:r>
      <w:hyperlink w:anchor="_Toc459332353" w:history="1">
        <w:r w:rsidR="00211A02" w:rsidRPr="003E6900">
          <w:rPr>
            <w:rStyle w:val="Hyperlink"/>
          </w:rPr>
          <w:t>Figure 3</w:t>
        </w:r>
        <w:r w:rsidR="00211A02" w:rsidRPr="003E6900">
          <w:rPr>
            <w:rStyle w:val="Hyperlink"/>
          </w:rPr>
          <w:noBreakHyphen/>
          <w:t>1: The Great Barrier Reef Marine Park, major marine ecosystems (coral reefs and surveyed seagrass beds), NRM regions and marine NRM regions (delineated by dark grey lines) and major rivers.</w:t>
        </w:r>
        <w:r w:rsidR="00211A02">
          <w:rPr>
            <w:webHidden/>
          </w:rPr>
          <w:tab/>
        </w:r>
        <w:r w:rsidR="00211A02">
          <w:rPr>
            <w:webHidden/>
          </w:rPr>
          <w:fldChar w:fldCharType="begin"/>
        </w:r>
        <w:r w:rsidR="00211A02">
          <w:rPr>
            <w:webHidden/>
          </w:rPr>
          <w:instrText xml:space="preserve"> PAGEREF _Toc459332353 \h </w:instrText>
        </w:r>
        <w:r w:rsidR="00211A02">
          <w:rPr>
            <w:webHidden/>
          </w:rPr>
        </w:r>
        <w:r w:rsidR="00211A02">
          <w:rPr>
            <w:webHidden/>
          </w:rPr>
          <w:fldChar w:fldCharType="separate"/>
        </w:r>
        <w:r w:rsidR="007F5336">
          <w:rPr>
            <w:webHidden/>
          </w:rPr>
          <w:t>8</w:t>
        </w:r>
        <w:r w:rsidR="00211A02">
          <w:rPr>
            <w:webHidden/>
          </w:rPr>
          <w:fldChar w:fldCharType="end"/>
        </w:r>
      </w:hyperlink>
    </w:p>
    <w:p w14:paraId="229D0BAF" w14:textId="68F78959" w:rsidR="00211A02" w:rsidRDefault="000213E5">
      <w:pPr>
        <w:pStyle w:val="TableofFigures"/>
        <w:rPr>
          <w:rFonts w:asciiTheme="minorHAnsi" w:eastAsiaTheme="minorEastAsia" w:hAnsiTheme="minorHAnsi" w:cstheme="minorBidi"/>
          <w:bCs w:val="0"/>
          <w:sz w:val="22"/>
          <w:szCs w:val="22"/>
          <w:lang w:val="en-AU" w:eastAsia="en-AU"/>
        </w:rPr>
      </w:pPr>
      <w:hyperlink w:anchor="_Toc459332354" w:history="1">
        <w:r w:rsidR="00211A02" w:rsidRPr="003E6900">
          <w:rPr>
            <w:rStyle w:val="Hyperlink"/>
          </w:rPr>
          <w:t>Figure 4</w:t>
        </w:r>
        <w:r w:rsidR="00211A02" w:rsidRPr="003E6900">
          <w:rPr>
            <w:rStyle w:val="Hyperlink"/>
          </w:rPr>
          <w:noBreakHyphen/>
          <w:t>1: Sampling locations of the MMP water quality monitoring sampled from 2015 onwards. Refer to Figure 3-1 for river names. See Table 4-1 for details of the monitoring activities undertaken at each location. NRM region boundaries are represented by coloured catchment areas.</w:t>
        </w:r>
        <w:r w:rsidR="00211A02">
          <w:rPr>
            <w:webHidden/>
          </w:rPr>
          <w:tab/>
        </w:r>
        <w:r w:rsidR="00211A02">
          <w:rPr>
            <w:webHidden/>
          </w:rPr>
          <w:fldChar w:fldCharType="begin"/>
        </w:r>
        <w:r w:rsidR="00211A02">
          <w:rPr>
            <w:webHidden/>
          </w:rPr>
          <w:instrText xml:space="preserve"> PAGEREF _Toc459332354 \h </w:instrText>
        </w:r>
        <w:r w:rsidR="00211A02">
          <w:rPr>
            <w:webHidden/>
          </w:rPr>
        </w:r>
        <w:r w:rsidR="00211A02">
          <w:rPr>
            <w:webHidden/>
          </w:rPr>
          <w:fldChar w:fldCharType="separate"/>
        </w:r>
        <w:r w:rsidR="007F5336">
          <w:rPr>
            <w:webHidden/>
          </w:rPr>
          <w:t>12</w:t>
        </w:r>
        <w:r w:rsidR="00211A02">
          <w:rPr>
            <w:webHidden/>
          </w:rPr>
          <w:fldChar w:fldCharType="end"/>
        </w:r>
      </w:hyperlink>
    </w:p>
    <w:p w14:paraId="7DD60DC4" w14:textId="3C60E624" w:rsidR="00211A02" w:rsidRDefault="000213E5">
      <w:pPr>
        <w:pStyle w:val="TableofFigures"/>
        <w:rPr>
          <w:rFonts w:asciiTheme="minorHAnsi" w:eastAsiaTheme="minorEastAsia" w:hAnsiTheme="minorHAnsi" w:cstheme="minorBidi"/>
          <w:bCs w:val="0"/>
          <w:sz w:val="22"/>
          <w:szCs w:val="22"/>
          <w:lang w:val="en-AU" w:eastAsia="en-AU"/>
        </w:rPr>
      </w:pPr>
      <w:hyperlink w:anchor="_Toc459332355" w:history="1">
        <w:r w:rsidR="00211A02" w:rsidRPr="003E6900">
          <w:rPr>
            <w:rStyle w:val="Hyperlink"/>
          </w:rPr>
          <w:t>Figure 4</w:t>
        </w:r>
        <w:r w:rsidR="00211A02" w:rsidRPr="003E6900">
          <w:rPr>
            <w:rStyle w:val="Hyperlink"/>
          </w:rPr>
          <w:noBreakHyphen/>
          <w:t>2: Summary description of the wet season water quality products derived from remote sensing information in the MMP.</w:t>
        </w:r>
        <w:r w:rsidR="00211A02">
          <w:rPr>
            <w:webHidden/>
          </w:rPr>
          <w:tab/>
        </w:r>
        <w:r w:rsidR="00211A02">
          <w:rPr>
            <w:webHidden/>
          </w:rPr>
          <w:fldChar w:fldCharType="begin"/>
        </w:r>
        <w:r w:rsidR="00211A02">
          <w:rPr>
            <w:webHidden/>
          </w:rPr>
          <w:instrText xml:space="preserve"> PAGEREF _Toc459332355 \h </w:instrText>
        </w:r>
        <w:r w:rsidR="00211A02">
          <w:rPr>
            <w:webHidden/>
          </w:rPr>
        </w:r>
        <w:r w:rsidR="00211A02">
          <w:rPr>
            <w:webHidden/>
          </w:rPr>
          <w:fldChar w:fldCharType="separate"/>
        </w:r>
        <w:r w:rsidR="007F5336">
          <w:rPr>
            <w:webHidden/>
          </w:rPr>
          <w:t>18</w:t>
        </w:r>
        <w:r w:rsidR="00211A02">
          <w:rPr>
            <w:webHidden/>
          </w:rPr>
          <w:fldChar w:fldCharType="end"/>
        </w:r>
      </w:hyperlink>
    </w:p>
    <w:p w14:paraId="17DB0633" w14:textId="317FA9B3" w:rsidR="00211A02" w:rsidRDefault="000213E5">
      <w:pPr>
        <w:pStyle w:val="TableofFigures"/>
        <w:rPr>
          <w:rFonts w:asciiTheme="minorHAnsi" w:eastAsiaTheme="minorEastAsia" w:hAnsiTheme="minorHAnsi" w:cstheme="minorBidi"/>
          <w:bCs w:val="0"/>
          <w:sz w:val="22"/>
          <w:szCs w:val="22"/>
          <w:lang w:val="en-AU" w:eastAsia="en-AU"/>
        </w:rPr>
      </w:pPr>
      <w:hyperlink w:anchor="_Toc459332356" w:history="1">
        <w:r w:rsidR="00211A02" w:rsidRPr="003E6900">
          <w:rPr>
            <w:rStyle w:val="Hyperlink"/>
          </w:rPr>
          <w:t>Figure 4</w:t>
        </w:r>
        <w:r w:rsidR="00211A02" w:rsidRPr="003E6900">
          <w:rPr>
            <w:rStyle w:val="Hyperlink"/>
          </w:rPr>
          <w:noBreakHyphen/>
          <w:t>3: Conceptual scheme of the risk framework proposed in Petus et al. (2014a) used for developing the spatial risk maps.</w:t>
        </w:r>
        <w:r w:rsidR="00211A02">
          <w:rPr>
            <w:webHidden/>
          </w:rPr>
          <w:tab/>
        </w:r>
        <w:r w:rsidR="00211A02">
          <w:rPr>
            <w:webHidden/>
          </w:rPr>
          <w:fldChar w:fldCharType="begin"/>
        </w:r>
        <w:r w:rsidR="00211A02">
          <w:rPr>
            <w:webHidden/>
          </w:rPr>
          <w:instrText xml:space="preserve"> PAGEREF _Toc459332356 \h </w:instrText>
        </w:r>
        <w:r w:rsidR="00211A02">
          <w:rPr>
            <w:webHidden/>
          </w:rPr>
        </w:r>
        <w:r w:rsidR="00211A02">
          <w:rPr>
            <w:webHidden/>
          </w:rPr>
          <w:fldChar w:fldCharType="separate"/>
        </w:r>
        <w:r w:rsidR="007F5336">
          <w:rPr>
            <w:webHidden/>
          </w:rPr>
          <w:t>19</w:t>
        </w:r>
        <w:r w:rsidR="00211A02">
          <w:rPr>
            <w:webHidden/>
          </w:rPr>
          <w:fldChar w:fldCharType="end"/>
        </w:r>
      </w:hyperlink>
    </w:p>
    <w:p w14:paraId="48899EE1" w14:textId="0F514CA3" w:rsidR="00211A02" w:rsidRDefault="000213E5">
      <w:pPr>
        <w:pStyle w:val="TableofFigures"/>
        <w:rPr>
          <w:rFonts w:asciiTheme="minorHAnsi" w:eastAsiaTheme="minorEastAsia" w:hAnsiTheme="minorHAnsi" w:cstheme="minorBidi"/>
          <w:bCs w:val="0"/>
          <w:sz w:val="22"/>
          <w:szCs w:val="22"/>
          <w:lang w:val="en-AU" w:eastAsia="en-AU"/>
        </w:rPr>
      </w:pPr>
      <w:hyperlink w:anchor="_Toc459332357" w:history="1">
        <w:r w:rsidR="00211A02" w:rsidRPr="003E6900">
          <w:rPr>
            <w:rStyle w:val="Hyperlink"/>
          </w:rPr>
          <w:t>Figure 4</w:t>
        </w:r>
        <w:r w:rsidR="00211A02" w:rsidRPr="003E6900">
          <w:rPr>
            <w:rStyle w:val="Hyperlink"/>
          </w:rPr>
          <w:noBreakHyphen/>
          <w:t>4:  Risk matrix in function of the magnitude and the likelihood of the river plume risk. Risk categories I, II, III, IV (reproduced from Petus et al., 2014b).</w:t>
        </w:r>
        <w:r w:rsidR="00211A02">
          <w:rPr>
            <w:webHidden/>
          </w:rPr>
          <w:tab/>
        </w:r>
        <w:r w:rsidR="00211A02">
          <w:rPr>
            <w:webHidden/>
          </w:rPr>
          <w:fldChar w:fldCharType="begin"/>
        </w:r>
        <w:r w:rsidR="00211A02">
          <w:rPr>
            <w:webHidden/>
          </w:rPr>
          <w:instrText xml:space="preserve"> PAGEREF _Toc459332357 \h </w:instrText>
        </w:r>
        <w:r w:rsidR="00211A02">
          <w:rPr>
            <w:webHidden/>
          </w:rPr>
        </w:r>
        <w:r w:rsidR="00211A02">
          <w:rPr>
            <w:webHidden/>
          </w:rPr>
          <w:fldChar w:fldCharType="separate"/>
        </w:r>
        <w:r w:rsidR="007F5336">
          <w:rPr>
            <w:webHidden/>
          </w:rPr>
          <w:t>20</w:t>
        </w:r>
        <w:r w:rsidR="00211A02">
          <w:rPr>
            <w:webHidden/>
          </w:rPr>
          <w:fldChar w:fldCharType="end"/>
        </w:r>
      </w:hyperlink>
    </w:p>
    <w:p w14:paraId="62A0FB19" w14:textId="38BC7656" w:rsidR="00211A02" w:rsidRDefault="000213E5">
      <w:pPr>
        <w:pStyle w:val="TableofFigures"/>
        <w:rPr>
          <w:rFonts w:asciiTheme="minorHAnsi" w:eastAsiaTheme="minorEastAsia" w:hAnsiTheme="minorHAnsi" w:cstheme="minorBidi"/>
          <w:bCs w:val="0"/>
          <w:sz w:val="22"/>
          <w:szCs w:val="22"/>
          <w:lang w:val="en-AU" w:eastAsia="en-AU"/>
        </w:rPr>
      </w:pPr>
      <w:hyperlink w:anchor="_Toc459332358" w:history="1">
        <w:r w:rsidR="00211A02" w:rsidRPr="003E6900">
          <w:rPr>
            <w:rStyle w:val="Hyperlink"/>
          </w:rPr>
          <w:t>Figure 4</w:t>
        </w:r>
        <w:r w:rsidR="00211A02" w:rsidRPr="003E6900">
          <w:rPr>
            <w:rStyle w:val="Hyperlink"/>
          </w:rPr>
          <w:noBreakHyphen/>
          <w:t xml:space="preserve">5:  </w:t>
        </w:r>
        <w:r w:rsidR="00211A02" w:rsidRPr="003E6900">
          <w:rPr>
            <w:rStyle w:val="Hyperlink"/>
            <w:rFonts w:ascii="Arial Narrow" w:hAnsi="Arial Narrow"/>
          </w:rPr>
          <w:t xml:space="preserve">Conceptual model for DIN concentration load mapping. </w:t>
        </w:r>
        <w:r w:rsidR="00211A02" w:rsidRPr="003E6900">
          <w:rPr>
            <w:rStyle w:val="Hyperlink"/>
          </w:rPr>
          <w:t>Note: 6cc = 6 colour class classification. See text for explanation.</w:t>
        </w:r>
        <w:r w:rsidR="00211A02">
          <w:rPr>
            <w:webHidden/>
          </w:rPr>
          <w:tab/>
        </w:r>
        <w:r w:rsidR="00211A02">
          <w:rPr>
            <w:webHidden/>
          </w:rPr>
          <w:fldChar w:fldCharType="begin"/>
        </w:r>
        <w:r w:rsidR="00211A02">
          <w:rPr>
            <w:webHidden/>
          </w:rPr>
          <w:instrText xml:space="preserve"> PAGEREF _Toc459332358 \h </w:instrText>
        </w:r>
        <w:r w:rsidR="00211A02">
          <w:rPr>
            <w:webHidden/>
          </w:rPr>
        </w:r>
        <w:r w:rsidR="00211A02">
          <w:rPr>
            <w:webHidden/>
          </w:rPr>
          <w:fldChar w:fldCharType="separate"/>
        </w:r>
        <w:r w:rsidR="007F5336">
          <w:rPr>
            <w:webHidden/>
          </w:rPr>
          <w:t>21</w:t>
        </w:r>
        <w:r w:rsidR="00211A02">
          <w:rPr>
            <w:webHidden/>
          </w:rPr>
          <w:fldChar w:fldCharType="end"/>
        </w:r>
      </w:hyperlink>
    </w:p>
    <w:p w14:paraId="54CDD45C" w14:textId="7FF2B643" w:rsidR="00211A02" w:rsidRDefault="000213E5">
      <w:pPr>
        <w:pStyle w:val="TableofFigures"/>
        <w:rPr>
          <w:rFonts w:asciiTheme="minorHAnsi" w:eastAsiaTheme="minorEastAsia" w:hAnsiTheme="minorHAnsi" w:cstheme="minorBidi"/>
          <w:bCs w:val="0"/>
          <w:sz w:val="22"/>
          <w:szCs w:val="22"/>
          <w:lang w:val="en-AU" w:eastAsia="en-AU"/>
        </w:rPr>
      </w:pPr>
      <w:hyperlink w:anchor="_Toc459332359" w:history="1">
        <w:r w:rsidR="00211A02" w:rsidRPr="003E6900">
          <w:rPr>
            <w:rStyle w:val="Hyperlink"/>
          </w:rPr>
          <w:t>Figure 5</w:t>
        </w:r>
        <w:r w:rsidR="00211A02" w:rsidRPr="003E6900">
          <w:rPr>
            <w:rStyle w:val="Hyperlink"/>
          </w:rPr>
          <w:noBreakHyphen/>
          <w:t>1: DPSIR framework used to guide the structure of the MMP, derived from the Great Barrier Reef Strategic Assessment, 2015. The aspects highlighted in yellow are included in this report.</w:t>
        </w:r>
        <w:r w:rsidR="00211A02">
          <w:rPr>
            <w:webHidden/>
          </w:rPr>
          <w:tab/>
        </w:r>
        <w:r w:rsidR="00211A02">
          <w:rPr>
            <w:webHidden/>
          </w:rPr>
          <w:fldChar w:fldCharType="begin"/>
        </w:r>
        <w:r w:rsidR="00211A02">
          <w:rPr>
            <w:webHidden/>
          </w:rPr>
          <w:instrText xml:space="preserve"> PAGEREF _Toc459332359 \h </w:instrText>
        </w:r>
        <w:r w:rsidR="00211A02">
          <w:rPr>
            <w:webHidden/>
          </w:rPr>
        </w:r>
        <w:r w:rsidR="00211A02">
          <w:rPr>
            <w:webHidden/>
          </w:rPr>
          <w:fldChar w:fldCharType="separate"/>
        </w:r>
        <w:r w:rsidR="007F5336">
          <w:rPr>
            <w:webHidden/>
          </w:rPr>
          <w:t>22</w:t>
        </w:r>
        <w:r w:rsidR="00211A02">
          <w:rPr>
            <w:webHidden/>
          </w:rPr>
          <w:fldChar w:fldCharType="end"/>
        </w:r>
      </w:hyperlink>
    </w:p>
    <w:p w14:paraId="7758A4EF" w14:textId="4C02843A" w:rsidR="00211A02" w:rsidRDefault="000213E5">
      <w:pPr>
        <w:pStyle w:val="TableofFigures"/>
        <w:tabs>
          <w:tab w:val="left" w:pos="880"/>
        </w:tabs>
        <w:rPr>
          <w:rFonts w:asciiTheme="minorHAnsi" w:eastAsiaTheme="minorEastAsia" w:hAnsiTheme="minorHAnsi" w:cstheme="minorBidi"/>
          <w:bCs w:val="0"/>
          <w:sz w:val="22"/>
          <w:szCs w:val="22"/>
          <w:lang w:val="en-AU" w:eastAsia="en-AU"/>
        </w:rPr>
      </w:pPr>
      <w:hyperlink w:anchor="_Toc459332360" w:history="1">
        <w:r w:rsidR="00211A02" w:rsidRPr="003E6900">
          <w:rPr>
            <w:rStyle w:val="Hyperlink"/>
          </w:rPr>
          <w:t>5.2.2</w:t>
        </w:r>
        <w:r w:rsidR="00211A02">
          <w:rPr>
            <w:rFonts w:asciiTheme="minorHAnsi" w:eastAsiaTheme="minorEastAsia" w:hAnsiTheme="minorHAnsi" w:cstheme="minorBidi"/>
            <w:bCs w:val="0"/>
            <w:sz w:val="22"/>
            <w:szCs w:val="22"/>
            <w:lang w:val="en-AU" w:eastAsia="en-AU"/>
          </w:rPr>
          <w:tab/>
        </w:r>
        <w:r w:rsidR="00211A02" w:rsidRPr="003E6900">
          <w:rPr>
            <w:rStyle w:val="Hyperlink"/>
          </w:rPr>
          <w:t>Figure 5</w:t>
        </w:r>
        <w:r w:rsidR="00211A02" w:rsidRPr="003E6900">
          <w:rPr>
            <w:rStyle w:val="Hyperlink"/>
          </w:rPr>
          <w:noBreakHyphen/>
          <w:t>2: Trajectories of Tropical Cyclones affecting the Great Barrier Reef in 2014-15 and in previous years (2006 to 2014). Rainfall</w:t>
        </w:r>
        <w:r w:rsidR="00211A02">
          <w:rPr>
            <w:webHidden/>
          </w:rPr>
          <w:tab/>
        </w:r>
        <w:r w:rsidR="00211A02">
          <w:rPr>
            <w:webHidden/>
          </w:rPr>
          <w:fldChar w:fldCharType="begin"/>
        </w:r>
        <w:r w:rsidR="00211A02">
          <w:rPr>
            <w:webHidden/>
          </w:rPr>
          <w:instrText xml:space="preserve"> PAGEREF _Toc459332360 \h </w:instrText>
        </w:r>
        <w:r w:rsidR="00211A02">
          <w:rPr>
            <w:webHidden/>
          </w:rPr>
        </w:r>
        <w:r w:rsidR="00211A02">
          <w:rPr>
            <w:webHidden/>
          </w:rPr>
          <w:fldChar w:fldCharType="separate"/>
        </w:r>
        <w:r w:rsidR="007F5336">
          <w:rPr>
            <w:webHidden/>
          </w:rPr>
          <w:t>23</w:t>
        </w:r>
        <w:r w:rsidR="00211A02">
          <w:rPr>
            <w:webHidden/>
          </w:rPr>
          <w:fldChar w:fldCharType="end"/>
        </w:r>
      </w:hyperlink>
    </w:p>
    <w:p w14:paraId="1EBC6B06" w14:textId="2C67C5BD" w:rsidR="00211A02" w:rsidRDefault="000213E5">
      <w:pPr>
        <w:pStyle w:val="TableofFigures"/>
        <w:rPr>
          <w:rFonts w:asciiTheme="minorHAnsi" w:eastAsiaTheme="minorEastAsia" w:hAnsiTheme="minorHAnsi" w:cstheme="minorBidi"/>
          <w:bCs w:val="0"/>
          <w:sz w:val="22"/>
          <w:szCs w:val="22"/>
          <w:lang w:val="en-AU" w:eastAsia="en-AU"/>
        </w:rPr>
      </w:pPr>
      <w:hyperlink w:anchor="_Toc459332361" w:history="1">
        <w:r w:rsidR="00211A02" w:rsidRPr="003E6900">
          <w:rPr>
            <w:rStyle w:val="Hyperlink"/>
          </w:rPr>
          <w:t>Figure 5</w:t>
        </w:r>
        <w:r w:rsidR="00211A02" w:rsidRPr="003E6900">
          <w:rPr>
            <w:rStyle w:val="Hyperlink"/>
          </w:rPr>
          <w:noBreakHyphen/>
          <w:t>3: Average daily rainfall (mm/day) in the GBR catchment. a) long-term annual average (1961 – 1990), b) 2014-15, c)  the difference between the long term and annual rainfall patterns.</w:t>
        </w:r>
        <w:r w:rsidR="00211A02">
          <w:rPr>
            <w:webHidden/>
          </w:rPr>
          <w:tab/>
        </w:r>
        <w:r w:rsidR="00211A02">
          <w:rPr>
            <w:webHidden/>
          </w:rPr>
          <w:fldChar w:fldCharType="begin"/>
        </w:r>
        <w:r w:rsidR="00211A02">
          <w:rPr>
            <w:webHidden/>
          </w:rPr>
          <w:instrText xml:space="preserve"> PAGEREF _Toc459332361 \h </w:instrText>
        </w:r>
        <w:r w:rsidR="00211A02">
          <w:rPr>
            <w:webHidden/>
          </w:rPr>
        </w:r>
        <w:r w:rsidR="00211A02">
          <w:rPr>
            <w:webHidden/>
          </w:rPr>
          <w:fldChar w:fldCharType="separate"/>
        </w:r>
        <w:r w:rsidR="007F5336">
          <w:rPr>
            <w:webHidden/>
          </w:rPr>
          <w:t>24</w:t>
        </w:r>
        <w:r w:rsidR="00211A02">
          <w:rPr>
            <w:webHidden/>
          </w:rPr>
          <w:fldChar w:fldCharType="end"/>
        </w:r>
      </w:hyperlink>
    </w:p>
    <w:p w14:paraId="3D6284F2" w14:textId="0634FAF7" w:rsidR="00211A02" w:rsidRDefault="000213E5">
      <w:pPr>
        <w:pStyle w:val="TableofFigures"/>
        <w:rPr>
          <w:rFonts w:asciiTheme="minorHAnsi" w:eastAsiaTheme="minorEastAsia" w:hAnsiTheme="minorHAnsi" w:cstheme="minorBidi"/>
          <w:bCs w:val="0"/>
          <w:sz w:val="22"/>
          <w:szCs w:val="22"/>
          <w:lang w:val="en-AU" w:eastAsia="en-AU"/>
        </w:rPr>
      </w:pPr>
      <w:hyperlink w:anchor="_Toc459332362" w:history="1">
        <w:r w:rsidR="00211A02" w:rsidRPr="003E6900">
          <w:rPr>
            <w:rStyle w:val="Hyperlink"/>
          </w:rPr>
          <w:t>Figure 5</w:t>
        </w:r>
        <w:r w:rsidR="00211A02" w:rsidRPr="003E6900">
          <w:rPr>
            <w:rStyle w:val="Hyperlink"/>
          </w:rPr>
          <w:noBreakHyphen/>
          <w:t>4: Annual average wet season rainfall (December 2014 - April 2015), as compared to the long-term wet season rainfall average (1961 – 1990). Red bars denote catchments with rainfall below the long-term average, blue above the long-term average.</w:t>
        </w:r>
        <w:r w:rsidR="00211A02">
          <w:rPr>
            <w:webHidden/>
          </w:rPr>
          <w:tab/>
        </w:r>
        <w:r w:rsidR="00211A02">
          <w:rPr>
            <w:webHidden/>
          </w:rPr>
          <w:fldChar w:fldCharType="begin"/>
        </w:r>
        <w:r w:rsidR="00211A02">
          <w:rPr>
            <w:webHidden/>
          </w:rPr>
          <w:instrText xml:space="preserve"> PAGEREF _Toc459332362 \h </w:instrText>
        </w:r>
        <w:r w:rsidR="00211A02">
          <w:rPr>
            <w:webHidden/>
          </w:rPr>
        </w:r>
        <w:r w:rsidR="00211A02">
          <w:rPr>
            <w:webHidden/>
          </w:rPr>
          <w:fldChar w:fldCharType="separate"/>
        </w:r>
        <w:r w:rsidR="007F5336">
          <w:rPr>
            <w:webHidden/>
          </w:rPr>
          <w:t>24</w:t>
        </w:r>
        <w:r w:rsidR="00211A02">
          <w:rPr>
            <w:webHidden/>
          </w:rPr>
          <w:fldChar w:fldCharType="end"/>
        </w:r>
      </w:hyperlink>
    </w:p>
    <w:p w14:paraId="0793017F" w14:textId="61755109" w:rsidR="00211A02" w:rsidRDefault="000213E5">
      <w:pPr>
        <w:pStyle w:val="TableofFigures"/>
        <w:rPr>
          <w:rFonts w:asciiTheme="minorHAnsi" w:eastAsiaTheme="minorEastAsia" w:hAnsiTheme="minorHAnsi" w:cstheme="minorBidi"/>
          <w:bCs w:val="0"/>
          <w:sz w:val="22"/>
          <w:szCs w:val="22"/>
          <w:lang w:val="en-AU" w:eastAsia="en-AU"/>
        </w:rPr>
      </w:pPr>
      <w:hyperlink w:anchor="_Toc459332363" w:history="1">
        <w:r w:rsidR="00211A02" w:rsidRPr="003E6900">
          <w:rPr>
            <w:rStyle w:val="Hyperlink"/>
          </w:rPr>
          <w:t>Figure 5</w:t>
        </w:r>
        <w:r w:rsidR="00211A02" w:rsidRPr="003E6900">
          <w:rPr>
            <w:rStyle w:val="Hyperlink"/>
          </w:rPr>
          <w:noBreakHyphen/>
          <w:t xml:space="preserve">5: Long-term total discharge in million litres (ML) (hydrological year: 1 October to 30 September) for the 35 main GBR Rivers. </w:t>
        </w:r>
        <w:r w:rsidR="00211A02" w:rsidRPr="003E6900">
          <w:rPr>
            <w:rStyle w:val="Hyperlink"/>
            <w:lang w:val="fr-FR"/>
          </w:rPr>
          <w:t>Source: DNRM, http://watermonitoring.dnrm.qld.gov.au/host.htm.</w:t>
        </w:r>
        <w:r w:rsidR="00211A02">
          <w:rPr>
            <w:webHidden/>
          </w:rPr>
          <w:tab/>
        </w:r>
        <w:r w:rsidR="00211A02">
          <w:rPr>
            <w:webHidden/>
          </w:rPr>
          <w:fldChar w:fldCharType="begin"/>
        </w:r>
        <w:r w:rsidR="00211A02">
          <w:rPr>
            <w:webHidden/>
          </w:rPr>
          <w:instrText xml:space="preserve"> PAGEREF _Toc459332363 \h </w:instrText>
        </w:r>
        <w:r w:rsidR="00211A02">
          <w:rPr>
            <w:webHidden/>
          </w:rPr>
        </w:r>
        <w:r w:rsidR="00211A02">
          <w:rPr>
            <w:webHidden/>
          </w:rPr>
          <w:fldChar w:fldCharType="separate"/>
        </w:r>
        <w:r w:rsidR="007F5336">
          <w:rPr>
            <w:webHidden/>
          </w:rPr>
          <w:t>25</w:t>
        </w:r>
        <w:r w:rsidR="00211A02">
          <w:rPr>
            <w:webHidden/>
          </w:rPr>
          <w:fldChar w:fldCharType="end"/>
        </w:r>
      </w:hyperlink>
    </w:p>
    <w:p w14:paraId="2DAD26DA" w14:textId="1B8FC587" w:rsidR="00211A02" w:rsidRDefault="000213E5">
      <w:pPr>
        <w:pStyle w:val="TableofFigures"/>
        <w:rPr>
          <w:rFonts w:asciiTheme="minorHAnsi" w:eastAsiaTheme="minorEastAsia" w:hAnsiTheme="minorHAnsi" w:cstheme="minorBidi"/>
          <w:bCs w:val="0"/>
          <w:sz w:val="22"/>
          <w:szCs w:val="22"/>
          <w:lang w:val="en-AU" w:eastAsia="en-AU"/>
        </w:rPr>
      </w:pPr>
      <w:hyperlink w:anchor="_Toc459332364" w:history="1">
        <w:r w:rsidR="00211A02" w:rsidRPr="003E6900">
          <w:rPr>
            <w:rStyle w:val="Hyperlink"/>
          </w:rPr>
          <w:t>Figure 5</w:t>
        </w:r>
        <w:r w:rsidR="00211A02" w:rsidRPr="003E6900">
          <w:rPr>
            <w:rStyle w:val="Hyperlink"/>
          </w:rPr>
          <w:noBreakHyphen/>
          <w:t>7: Map showing the frequency of river plumes in the 2014-15 wet season (22 weeks) of all colour classes (1 to 6), where the highest frequency is shown in orange, and the lowest frequency is shown in blue.</w:t>
        </w:r>
        <w:r w:rsidR="00211A02">
          <w:rPr>
            <w:webHidden/>
          </w:rPr>
          <w:tab/>
        </w:r>
        <w:r w:rsidR="00211A02">
          <w:rPr>
            <w:webHidden/>
          </w:rPr>
          <w:fldChar w:fldCharType="begin"/>
        </w:r>
        <w:r w:rsidR="00211A02">
          <w:rPr>
            <w:webHidden/>
          </w:rPr>
          <w:instrText xml:space="preserve"> PAGEREF _Toc459332364 \h </w:instrText>
        </w:r>
        <w:r w:rsidR="00211A02">
          <w:rPr>
            <w:webHidden/>
          </w:rPr>
        </w:r>
        <w:r w:rsidR="00211A02">
          <w:rPr>
            <w:webHidden/>
          </w:rPr>
          <w:fldChar w:fldCharType="separate"/>
        </w:r>
        <w:r w:rsidR="007F5336">
          <w:rPr>
            <w:webHidden/>
          </w:rPr>
          <w:t>29</w:t>
        </w:r>
        <w:r w:rsidR="00211A02">
          <w:rPr>
            <w:webHidden/>
          </w:rPr>
          <w:fldChar w:fldCharType="end"/>
        </w:r>
      </w:hyperlink>
    </w:p>
    <w:p w14:paraId="66B83822" w14:textId="1EF70962" w:rsidR="00211A02" w:rsidRDefault="000213E5">
      <w:pPr>
        <w:pStyle w:val="TableofFigures"/>
        <w:rPr>
          <w:rFonts w:asciiTheme="minorHAnsi" w:eastAsiaTheme="minorEastAsia" w:hAnsiTheme="minorHAnsi" w:cstheme="minorBidi"/>
          <w:bCs w:val="0"/>
          <w:sz w:val="22"/>
          <w:szCs w:val="22"/>
          <w:lang w:val="en-AU" w:eastAsia="en-AU"/>
        </w:rPr>
      </w:pPr>
      <w:hyperlink w:anchor="_Toc459332365" w:history="1">
        <w:r w:rsidR="00211A02" w:rsidRPr="003E6900">
          <w:rPr>
            <w:rStyle w:val="Hyperlink"/>
          </w:rPr>
          <w:t>Figure 5</w:t>
        </w:r>
        <w:r w:rsidR="00211A02" w:rsidRPr="003E6900">
          <w:rPr>
            <w:rStyle w:val="Hyperlink"/>
          </w:rPr>
          <w:noBreakHyphen/>
          <w:t>8: Map showing the frequency of Primary, Secondary and Tertiary plume water types in the 2014-15 wet season (22 weeks), where the highest frequency is shown in orange, and the lowest frequency is shown in blue.</w:t>
        </w:r>
        <w:r w:rsidR="00211A02">
          <w:rPr>
            <w:webHidden/>
          </w:rPr>
          <w:tab/>
        </w:r>
        <w:r w:rsidR="00211A02">
          <w:rPr>
            <w:webHidden/>
          </w:rPr>
          <w:fldChar w:fldCharType="begin"/>
        </w:r>
        <w:r w:rsidR="00211A02">
          <w:rPr>
            <w:webHidden/>
          </w:rPr>
          <w:instrText xml:space="preserve"> PAGEREF _Toc459332365 \h </w:instrText>
        </w:r>
        <w:r w:rsidR="00211A02">
          <w:rPr>
            <w:webHidden/>
          </w:rPr>
        </w:r>
        <w:r w:rsidR="00211A02">
          <w:rPr>
            <w:webHidden/>
          </w:rPr>
          <w:fldChar w:fldCharType="separate"/>
        </w:r>
        <w:r w:rsidR="007F5336">
          <w:rPr>
            <w:webHidden/>
          </w:rPr>
          <w:t>30</w:t>
        </w:r>
        <w:r w:rsidR="00211A02">
          <w:rPr>
            <w:webHidden/>
          </w:rPr>
          <w:fldChar w:fldCharType="end"/>
        </w:r>
      </w:hyperlink>
    </w:p>
    <w:p w14:paraId="444E605F" w14:textId="7171A958" w:rsidR="00211A02" w:rsidRDefault="000213E5">
      <w:pPr>
        <w:pStyle w:val="TableofFigures"/>
        <w:rPr>
          <w:rFonts w:asciiTheme="minorHAnsi" w:eastAsiaTheme="minorEastAsia" w:hAnsiTheme="minorHAnsi" w:cstheme="minorBidi"/>
          <w:bCs w:val="0"/>
          <w:sz w:val="22"/>
          <w:szCs w:val="22"/>
          <w:lang w:val="en-AU" w:eastAsia="en-AU"/>
        </w:rPr>
      </w:pPr>
      <w:hyperlink w:anchor="_Toc459332366" w:history="1">
        <w:r w:rsidR="00211A02" w:rsidRPr="003E6900">
          <w:rPr>
            <w:rStyle w:val="Hyperlink"/>
          </w:rPr>
          <w:t>Figure 5</w:t>
        </w:r>
        <w:r w:rsidR="00211A02" w:rsidRPr="003E6900">
          <w:rPr>
            <w:rStyle w:val="Hyperlink"/>
          </w:rPr>
          <w:noBreakHyphen/>
          <w:t>9: Mean water quality concentrations and standard deviation across the six colour classes and the corresponding water types (P: Primary; S: Secondary; T: Tertiary): comparison between the mean multi-annual values (2002-03 to 2014-15; circles with error bars) and the 2014-15 values (blue rectangles). Only data collected in the Wet Tropics is used in the Diuron plot due to the reduced number of PSII herbicide samples available for the Dry Tropics.</w:t>
        </w:r>
        <w:r w:rsidR="00211A02">
          <w:rPr>
            <w:webHidden/>
          </w:rPr>
          <w:tab/>
        </w:r>
        <w:r w:rsidR="00211A02">
          <w:rPr>
            <w:webHidden/>
          </w:rPr>
          <w:fldChar w:fldCharType="begin"/>
        </w:r>
        <w:r w:rsidR="00211A02">
          <w:rPr>
            <w:webHidden/>
          </w:rPr>
          <w:instrText xml:space="preserve"> PAGEREF _Toc459332366 \h </w:instrText>
        </w:r>
        <w:r w:rsidR="00211A02">
          <w:rPr>
            <w:webHidden/>
          </w:rPr>
        </w:r>
        <w:r w:rsidR="00211A02">
          <w:rPr>
            <w:webHidden/>
          </w:rPr>
          <w:fldChar w:fldCharType="separate"/>
        </w:r>
        <w:r w:rsidR="007F5336">
          <w:rPr>
            <w:webHidden/>
          </w:rPr>
          <w:t>31</w:t>
        </w:r>
        <w:r w:rsidR="00211A02">
          <w:rPr>
            <w:webHidden/>
          </w:rPr>
          <w:fldChar w:fldCharType="end"/>
        </w:r>
      </w:hyperlink>
    </w:p>
    <w:p w14:paraId="0DD3E532" w14:textId="669A6EAF" w:rsidR="00211A02" w:rsidRDefault="000213E5">
      <w:pPr>
        <w:pStyle w:val="TableofFigures"/>
        <w:rPr>
          <w:rFonts w:asciiTheme="minorHAnsi" w:eastAsiaTheme="minorEastAsia" w:hAnsiTheme="minorHAnsi" w:cstheme="minorBidi"/>
          <w:bCs w:val="0"/>
          <w:sz w:val="22"/>
          <w:szCs w:val="22"/>
          <w:lang w:val="en-AU" w:eastAsia="en-AU"/>
        </w:rPr>
      </w:pPr>
      <w:hyperlink w:anchor="_Toc459332367" w:history="1">
        <w:r w:rsidR="00211A02" w:rsidRPr="003E6900">
          <w:rPr>
            <w:rStyle w:val="Hyperlink"/>
          </w:rPr>
          <w:t>Figure 5</w:t>
        </w:r>
        <w:r w:rsidR="00211A02" w:rsidRPr="003E6900">
          <w:rPr>
            <w:rStyle w:val="Hyperlink"/>
          </w:rPr>
          <w:noBreakHyphen/>
          <w:t xml:space="preserve">10: Map of potential risk from GBR river plumes in 2014-15, where class I is the lowest potential risk (blue) and class IV is the highest potential risk (dark red). </w:t>
        </w:r>
        <w:r w:rsidR="00211A02" w:rsidRPr="003E6900">
          <w:rPr>
            <w:rStyle w:val="Hyperlink"/>
            <w:lang w:val="en-AU"/>
          </w:rPr>
          <w:t>Risk categories are defined as a combination of the plume frequency (5 categories: 0-0.2, 0.2-0.4, 0.4-0.6, 0.6-0.8, 0.8-1.0) and plume water type (3 categories: Primary, Secondary and Tertiary) as presented in Figure 5-7 and 5-8.</w:t>
        </w:r>
        <w:r w:rsidR="00211A02">
          <w:rPr>
            <w:webHidden/>
          </w:rPr>
          <w:tab/>
        </w:r>
        <w:r w:rsidR="00211A02">
          <w:rPr>
            <w:webHidden/>
          </w:rPr>
          <w:fldChar w:fldCharType="begin"/>
        </w:r>
        <w:r w:rsidR="00211A02">
          <w:rPr>
            <w:webHidden/>
          </w:rPr>
          <w:instrText xml:space="preserve"> PAGEREF _Toc459332367 \h </w:instrText>
        </w:r>
        <w:r w:rsidR="00211A02">
          <w:rPr>
            <w:webHidden/>
          </w:rPr>
        </w:r>
        <w:r w:rsidR="00211A02">
          <w:rPr>
            <w:webHidden/>
          </w:rPr>
          <w:fldChar w:fldCharType="separate"/>
        </w:r>
        <w:r w:rsidR="007F5336">
          <w:rPr>
            <w:webHidden/>
          </w:rPr>
          <w:t>33</w:t>
        </w:r>
        <w:r w:rsidR="00211A02">
          <w:rPr>
            <w:webHidden/>
          </w:rPr>
          <w:fldChar w:fldCharType="end"/>
        </w:r>
      </w:hyperlink>
    </w:p>
    <w:p w14:paraId="150C69FC" w14:textId="69C7D6FB" w:rsidR="00211A02" w:rsidRDefault="000213E5">
      <w:pPr>
        <w:pStyle w:val="TableofFigures"/>
        <w:rPr>
          <w:rFonts w:asciiTheme="minorHAnsi" w:eastAsiaTheme="minorEastAsia" w:hAnsiTheme="minorHAnsi" w:cstheme="minorBidi"/>
          <w:bCs w:val="0"/>
          <w:sz w:val="22"/>
          <w:szCs w:val="22"/>
          <w:lang w:val="en-AU" w:eastAsia="en-AU"/>
        </w:rPr>
      </w:pPr>
      <w:hyperlink w:anchor="_Toc459332368" w:history="1">
        <w:r w:rsidR="00211A02" w:rsidRPr="003E6900">
          <w:rPr>
            <w:rStyle w:val="Hyperlink"/>
          </w:rPr>
          <w:t>Figure 5</w:t>
        </w:r>
        <w:r w:rsidR="00211A02" w:rsidRPr="003E6900">
          <w:rPr>
            <w:rStyle w:val="Hyperlink"/>
          </w:rPr>
          <w:noBreakHyphen/>
          <w:t>11: Dissolved inorganic nitrogen (DIN, µg/L) concentration in the GBR lagoon 2003 water year (c.a., 1 October to 30 September). ‘Max.’ stands for the highest DIN concentration. Named rivers are those with load data available and grey lines are the NRM region boundaries.</w:t>
        </w:r>
        <w:r w:rsidR="00211A02">
          <w:rPr>
            <w:webHidden/>
          </w:rPr>
          <w:tab/>
        </w:r>
        <w:r w:rsidR="00211A02">
          <w:rPr>
            <w:webHidden/>
          </w:rPr>
          <w:fldChar w:fldCharType="begin"/>
        </w:r>
        <w:r w:rsidR="00211A02">
          <w:rPr>
            <w:webHidden/>
          </w:rPr>
          <w:instrText xml:space="preserve"> PAGEREF _Toc459332368 \h </w:instrText>
        </w:r>
        <w:r w:rsidR="00211A02">
          <w:rPr>
            <w:webHidden/>
          </w:rPr>
        </w:r>
        <w:r w:rsidR="00211A02">
          <w:rPr>
            <w:webHidden/>
          </w:rPr>
          <w:fldChar w:fldCharType="separate"/>
        </w:r>
        <w:r w:rsidR="007F5336">
          <w:rPr>
            <w:webHidden/>
          </w:rPr>
          <w:t>38</w:t>
        </w:r>
        <w:r w:rsidR="00211A02">
          <w:rPr>
            <w:webHidden/>
          </w:rPr>
          <w:fldChar w:fldCharType="end"/>
        </w:r>
      </w:hyperlink>
    </w:p>
    <w:p w14:paraId="184AB294" w14:textId="3BE08E1E" w:rsidR="00211A02" w:rsidRDefault="000213E5">
      <w:pPr>
        <w:pStyle w:val="TableofFigures"/>
        <w:rPr>
          <w:rFonts w:asciiTheme="minorHAnsi" w:eastAsiaTheme="minorEastAsia" w:hAnsiTheme="minorHAnsi" w:cstheme="minorBidi"/>
          <w:bCs w:val="0"/>
          <w:sz w:val="22"/>
          <w:szCs w:val="22"/>
          <w:lang w:val="en-AU" w:eastAsia="en-AU"/>
        </w:rPr>
      </w:pPr>
      <w:hyperlink w:anchor="_Toc459332369" w:history="1">
        <w:r w:rsidR="00211A02" w:rsidRPr="003E6900">
          <w:rPr>
            <w:rStyle w:val="Hyperlink"/>
          </w:rPr>
          <w:t>Figure 5</w:t>
        </w:r>
        <w:r w:rsidR="00211A02" w:rsidRPr="003E6900">
          <w:rPr>
            <w:rStyle w:val="Hyperlink"/>
          </w:rPr>
          <w:noBreakHyphen/>
          <w:t>12: Dissolved inorganic nitrogen (DIN, µg/L) over the GBR lagoon 2004-2015 water years (c.a., 1 October</w:t>
        </w:r>
        <w:r w:rsidR="00211A02" w:rsidRPr="003E6900">
          <w:rPr>
            <w:rStyle w:val="Hyperlink"/>
            <w:vertAlign w:val="superscript"/>
          </w:rPr>
          <w:t xml:space="preserve"> </w:t>
        </w:r>
        <w:r w:rsidR="00211A02" w:rsidRPr="003E6900">
          <w:rPr>
            <w:rStyle w:val="Hyperlink"/>
          </w:rPr>
          <w:t>to 30 September). ‘Max.’ stands for the highest DIN concentration. Dots represent rivers with load data available and grey lines are the NRM region boundaries.</w:t>
        </w:r>
        <w:r w:rsidR="00211A02">
          <w:rPr>
            <w:webHidden/>
          </w:rPr>
          <w:tab/>
        </w:r>
        <w:r w:rsidR="00211A02">
          <w:rPr>
            <w:webHidden/>
          </w:rPr>
          <w:fldChar w:fldCharType="begin"/>
        </w:r>
        <w:r w:rsidR="00211A02">
          <w:rPr>
            <w:webHidden/>
          </w:rPr>
          <w:instrText xml:space="preserve"> PAGEREF _Toc459332369 \h </w:instrText>
        </w:r>
        <w:r w:rsidR="00211A02">
          <w:rPr>
            <w:webHidden/>
          </w:rPr>
        </w:r>
        <w:r w:rsidR="00211A02">
          <w:rPr>
            <w:webHidden/>
          </w:rPr>
          <w:fldChar w:fldCharType="separate"/>
        </w:r>
        <w:r w:rsidR="007F5336">
          <w:rPr>
            <w:webHidden/>
          </w:rPr>
          <w:t>39</w:t>
        </w:r>
        <w:r w:rsidR="00211A02">
          <w:rPr>
            <w:webHidden/>
          </w:rPr>
          <w:fldChar w:fldCharType="end"/>
        </w:r>
      </w:hyperlink>
    </w:p>
    <w:p w14:paraId="04B19CEE" w14:textId="4215F58C" w:rsidR="00211A02" w:rsidRDefault="000213E5">
      <w:pPr>
        <w:pStyle w:val="TableofFigures"/>
        <w:rPr>
          <w:rFonts w:asciiTheme="minorHAnsi" w:eastAsiaTheme="minorEastAsia" w:hAnsiTheme="minorHAnsi" w:cstheme="minorBidi"/>
          <w:bCs w:val="0"/>
          <w:sz w:val="22"/>
          <w:szCs w:val="22"/>
          <w:lang w:val="en-AU" w:eastAsia="en-AU"/>
        </w:rPr>
      </w:pPr>
      <w:hyperlink w:anchor="_Toc459332370" w:history="1">
        <w:r w:rsidR="00211A02" w:rsidRPr="003E6900">
          <w:rPr>
            <w:rStyle w:val="Hyperlink"/>
          </w:rPr>
          <w:t>Figure 5</w:t>
        </w:r>
        <w:r w:rsidR="00211A02" w:rsidRPr="003E6900">
          <w:rPr>
            <w:rStyle w:val="Hyperlink"/>
          </w:rPr>
          <w:noBreakHyphen/>
          <w:t>13: River contributions (x-axis) to the dissolved inorganic nitrogen mass to four marine NRM regions (plot head name) in 2003 (left column) and 2011 (right column). Shading groups rivers in the same NRM region: Wet Tropics - red, Burdekin - blue, Mackay-Whitsunday – yellow, Fitzroy - green. The left panel show data for the 2002-03 water year (c.a., from 1 Oct  to 30 Sep), and right panel for the 2010-11 water year.</w:t>
        </w:r>
        <w:r w:rsidR="00211A02">
          <w:rPr>
            <w:webHidden/>
          </w:rPr>
          <w:tab/>
        </w:r>
        <w:r w:rsidR="00211A02">
          <w:rPr>
            <w:webHidden/>
          </w:rPr>
          <w:fldChar w:fldCharType="begin"/>
        </w:r>
        <w:r w:rsidR="00211A02">
          <w:rPr>
            <w:webHidden/>
          </w:rPr>
          <w:instrText xml:space="preserve"> PAGEREF _Toc459332370 \h </w:instrText>
        </w:r>
        <w:r w:rsidR="00211A02">
          <w:rPr>
            <w:webHidden/>
          </w:rPr>
        </w:r>
        <w:r w:rsidR="00211A02">
          <w:rPr>
            <w:webHidden/>
          </w:rPr>
          <w:fldChar w:fldCharType="separate"/>
        </w:r>
        <w:r w:rsidR="007F5336">
          <w:rPr>
            <w:webHidden/>
          </w:rPr>
          <w:t>41</w:t>
        </w:r>
        <w:r w:rsidR="00211A02">
          <w:rPr>
            <w:webHidden/>
          </w:rPr>
          <w:fldChar w:fldCharType="end"/>
        </w:r>
      </w:hyperlink>
    </w:p>
    <w:p w14:paraId="2CDDFCAD" w14:textId="601C24CB" w:rsidR="00211A02" w:rsidRDefault="000213E5">
      <w:pPr>
        <w:pStyle w:val="TableofFigures"/>
        <w:rPr>
          <w:rFonts w:asciiTheme="minorHAnsi" w:eastAsiaTheme="minorEastAsia" w:hAnsiTheme="minorHAnsi" w:cstheme="minorBidi"/>
          <w:bCs w:val="0"/>
          <w:sz w:val="22"/>
          <w:szCs w:val="22"/>
          <w:lang w:val="en-AU" w:eastAsia="en-AU"/>
        </w:rPr>
      </w:pPr>
      <w:hyperlink w:anchor="_Toc459332371" w:history="1">
        <w:r w:rsidR="00211A02" w:rsidRPr="003E6900">
          <w:rPr>
            <w:rStyle w:val="Hyperlink"/>
          </w:rPr>
          <w:t>Figure 5</w:t>
        </w:r>
        <w:r w:rsidR="00211A02" w:rsidRPr="003E6900">
          <w:rPr>
            <w:rStyle w:val="Hyperlink"/>
          </w:rPr>
          <w:noBreakHyphen/>
          <w:t>14: Particulate nitrogen (PN, µg/L) over the GBR lagoon 2003 water year (c.a., 1 October to 30 September). ‘Max.’ stands for the highest PN concentration. Named rivers are those with load data available and grey lines are the NRM region boundaries.</w:t>
        </w:r>
        <w:r w:rsidR="00211A02">
          <w:rPr>
            <w:webHidden/>
          </w:rPr>
          <w:tab/>
        </w:r>
        <w:r w:rsidR="00211A02">
          <w:rPr>
            <w:webHidden/>
          </w:rPr>
          <w:fldChar w:fldCharType="begin"/>
        </w:r>
        <w:r w:rsidR="00211A02">
          <w:rPr>
            <w:webHidden/>
          </w:rPr>
          <w:instrText xml:space="preserve"> PAGEREF _Toc459332371 \h </w:instrText>
        </w:r>
        <w:r w:rsidR="00211A02">
          <w:rPr>
            <w:webHidden/>
          </w:rPr>
        </w:r>
        <w:r w:rsidR="00211A02">
          <w:rPr>
            <w:webHidden/>
          </w:rPr>
          <w:fldChar w:fldCharType="separate"/>
        </w:r>
        <w:r w:rsidR="007F5336">
          <w:rPr>
            <w:webHidden/>
          </w:rPr>
          <w:t>42</w:t>
        </w:r>
        <w:r w:rsidR="00211A02">
          <w:rPr>
            <w:webHidden/>
          </w:rPr>
          <w:fldChar w:fldCharType="end"/>
        </w:r>
      </w:hyperlink>
    </w:p>
    <w:p w14:paraId="5B3344C0" w14:textId="00217185" w:rsidR="00211A02" w:rsidRDefault="000213E5">
      <w:pPr>
        <w:pStyle w:val="TableofFigures"/>
        <w:rPr>
          <w:rFonts w:asciiTheme="minorHAnsi" w:eastAsiaTheme="minorEastAsia" w:hAnsiTheme="minorHAnsi" w:cstheme="minorBidi"/>
          <w:bCs w:val="0"/>
          <w:sz w:val="22"/>
          <w:szCs w:val="22"/>
          <w:lang w:val="en-AU" w:eastAsia="en-AU"/>
        </w:rPr>
      </w:pPr>
      <w:hyperlink w:anchor="_Toc459332372" w:history="1">
        <w:r w:rsidR="00211A02" w:rsidRPr="003E6900">
          <w:rPr>
            <w:rStyle w:val="Hyperlink"/>
          </w:rPr>
          <w:t>Figure 5</w:t>
        </w:r>
        <w:r w:rsidR="00211A02" w:rsidRPr="003E6900">
          <w:rPr>
            <w:rStyle w:val="Hyperlink"/>
          </w:rPr>
          <w:noBreakHyphen/>
          <w:t>15: Particulate nitrogen (PN, µg/L) over the GBR lagoon 2004-2015 water year (c.a., 1 October</w:t>
        </w:r>
        <w:r w:rsidR="00211A02" w:rsidRPr="003E6900">
          <w:rPr>
            <w:rStyle w:val="Hyperlink"/>
            <w:vertAlign w:val="superscript"/>
          </w:rPr>
          <w:t xml:space="preserve"> </w:t>
        </w:r>
        <w:r w:rsidR="00211A02" w:rsidRPr="003E6900">
          <w:rPr>
            <w:rStyle w:val="Hyperlink"/>
          </w:rPr>
          <w:t>to 30 September). ‘Max.’ stands for the highest PN concentration. Dots represent rivers with load data available and grey lines are the NRM region boundaries.</w:t>
        </w:r>
        <w:r w:rsidR="00211A02">
          <w:rPr>
            <w:webHidden/>
          </w:rPr>
          <w:tab/>
        </w:r>
        <w:r w:rsidR="00211A02">
          <w:rPr>
            <w:webHidden/>
          </w:rPr>
          <w:fldChar w:fldCharType="begin"/>
        </w:r>
        <w:r w:rsidR="00211A02">
          <w:rPr>
            <w:webHidden/>
          </w:rPr>
          <w:instrText xml:space="preserve"> PAGEREF _Toc459332372 \h </w:instrText>
        </w:r>
        <w:r w:rsidR="00211A02">
          <w:rPr>
            <w:webHidden/>
          </w:rPr>
        </w:r>
        <w:r w:rsidR="00211A02">
          <w:rPr>
            <w:webHidden/>
          </w:rPr>
          <w:fldChar w:fldCharType="separate"/>
        </w:r>
        <w:r w:rsidR="007F5336">
          <w:rPr>
            <w:webHidden/>
          </w:rPr>
          <w:t>43</w:t>
        </w:r>
        <w:r w:rsidR="00211A02">
          <w:rPr>
            <w:webHidden/>
          </w:rPr>
          <w:fldChar w:fldCharType="end"/>
        </w:r>
      </w:hyperlink>
    </w:p>
    <w:p w14:paraId="58E153AA" w14:textId="678C1410" w:rsidR="00211A02" w:rsidRDefault="000213E5">
      <w:pPr>
        <w:pStyle w:val="TableofFigures"/>
        <w:rPr>
          <w:rFonts w:asciiTheme="minorHAnsi" w:eastAsiaTheme="minorEastAsia" w:hAnsiTheme="minorHAnsi" w:cstheme="minorBidi"/>
          <w:bCs w:val="0"/>
          <w:sz w:val="22"/>
          <w:szCs w:val="22"/>
          <w:lang w:val="en-AU" w:eastAsia="en-AU"/>
        </w:rPr>
      </w:pPr>
      <w:hyperlink w:anchor="_Toc459332373" w:history="1">
        <w:r w:rsidR="00211A02" w:rsidRPr="003E6900">
          <w:rPr>
            <w:rStyle w:val="Hyperlink"/>
          </w:rPr>
          <w:t>Figure 5</w:t>
        </w:r>
        <w:r w:rsidR="00211A02" w:rsidRPr="003E6900">
          <w:rPr>
            <w:rStyle w:val="Hyperlink"/>
          </w:rPr>
          <w:noBreakHyphen/>
          <w:t>16: Total suspended solids (TSS, mg/L) over the GBR lagoon 2003 water year (c.a., 1 October</w:t>
        </w:r>
        <w:r w:rsidR="00211A02" w:rsidRPr="003E6900">
          <w:rPr>
            <w:rStyle w:val="Hyperlink"/>
            <w:vertAlign w:val="superscript"/>
          </w:rPr>
          <w:t xml:space="preserve"> </w:t>
        </w:r>
        <w:r w:rsidR="00211A02" w:rsidRPr="003E6900">
          <w:rPr>
            <w:rStyle w:val="Hyperlink"/>
          </w:rPr>
          <w:t>to 30 September). ‘Max.’ stands for the highest TSS concentration. Named rivers are those with load data available and grey lines are the NRM region boundaries.</w:t>
        </w:r>
        <w:r w:rsidR="00211A02">
          <w:rPr>
            <w:webHidden/>
          </w:rPr>
          <w:tab/>
        </w:r>
        <w:r w:rsidR="00211A02">
          <w:rPr>
            <w:webHidden/>
          </w:rPr>
          <w:fldChar w:fldCharType="begin"/>
        </w:r>
        <w:r w:rsidR="00211A02">
          <w:rPr>
            <w:webHidden/>
          </w:rPr>
          <w:instrText xml:space="preserve"> PAGEREF _Toc459332373 \h </w:instrText>
        </w:r>
        <w:r w:rsidR="00211A02">
          <w:rPr>
            <w:webHidden/>
          </w:rPr>
        </w:r>
        <w:r w:rsidR="00211A02">
          <w:rPr>
            <w:webHidden/>
          </w:rPr>
          <w:fldChar w:fldCharType="separate"/>
        </w:r>
        <w:r w:rsidR="007F5336">
          <w:rPr>
            <w:webHidden/>
          </w:rPr>
          <w:t>44</w:t>
        </w:r>
        <w:r w:rsidR="00211A02">
          <w:rPr>
            <w:webHidden/>
          </w:rPr>
          <w:fldChar w:fldCharType="end"/>
        </w:r>
      </w:hyperlink>
    </w:p>
    <w:p w14:paraId="57537966" w14:textId="5BF693B8" w:rsidR="00211A02" w:rsidRDefault="000213E5">
      <w:pPr>
        <w:pStyle w:val="TableofFigures"/>
        <w:rPr>
          <w:rFonts w:asciiTheme="minorHAnsi" w:eastAsiaTheme="minorEastAsia" w:hAnsiTheme="minorHAnsi" w:cstheme="minorBidi"/>
          <w:bCs w:val="0"/>
          <w:sz w:val="22"/>
          <w:szCs w:val="22"/>
          <w:lang w:val="en-AU" w:eastAsia="en-AU"/>
        </w:rPr>
      </w:pPr>
      <w:hyperlink w:anchor="_Toc459332374" w:history="1">
        <w:r w:rsidR="00211A02" w:rsidRPr="003E6900">
          <w:rPr>
            <w:rStyle w:val="Hyperlink"/>
          </w:rPr>
          <w:t>Figure 5</w:t>
        </w:r>
        <w:r w:rsidR="00211A02" w:rsidRPr="003E6900">
          <w:rPr>
            <w:rStyle w:val="Hyperlink"/>
          </w:rPr>
          <w:noBreakHyphen/>
          <w:t>17: Total suspended sediments (TSS, µg/L) over the GBR lagoon 2004-2015 water year (c.a., 1 October</w:t>
        </w:r>
        <w:r w:rsidR="00211A02" w:rsidRPr="003E6900">
          <w:rPr>
            <w:rStyle w:val="Hyperlink"/>
            <w:vertAlign w:val="superscript"/>
          </w:rPr>
          <w:t xml:space="preserve"> </w:t>
        </w:r>
        <w:r w:rsidR="00211A02" w:rsidRPr="003E6900">
          <w:rPr>
            <w:rStyle w:val="Hyperlink"/>
          </w:rPr>
          <w:t>to 30 September). ‘Max.’ stands for the highest TSS concentration. Dots represent rivers with load data available and grey lines are the NRM region boundaries.</w:t>
        </w:r>
        <w:r w:rsidR="00211A02">
          <w:rPr>
            <w:webHidden/>
          </w:rPr>
          <w:tab/>
        </w:r>
        <w:r w:rsidR="00211A02">
          <w:rPr>
            <w:webHidden/>
          </w:rPr>
          <w:fldChar w:fldCharType="begin"/>
        </w:r>
        <w:r w:rsidR="00211A02">
          <w:rPr>
            <w:webHidden/>
          </w:rPr>
          <w:instrText xml:space="preserve"> PAGEREF _Toc459332374 \h </w:instrText>
        </w:r>
        <w:r w:rsidR="00211A02">
          <w:rPr>
            <w:webHidden/>
          </w:rPr>
        </w:r>
        <w:r w:rsidR="00211A02">
          <w:rPr>
            <w:webHidden/>
          </w:rPr>
          <w:fldChar w:fldCharType="separate"/>
        </w:r>
        <w:r w:rsidR="007F5336">
          <w:rPr>
            <w:webHidden/>
          </w:rPr>
          <w:t>45</w:t>
        </w:r>
        <w:r w:rsidR="00211A02">
          <w:rPr>
            <w:webHidden/>
          </w:rPr>
          <w:fldChar w:fldCharType="end"/>
        </w:r>
      </w:hyperlink>
    </w:p>
    <w:p w14:paraId="38651353" w14:textId="67ADB356" w:rsidR="00211A02" w:rsidRDefault="000213E5">
      <w:pPr>
        <w:pStyle w:val="TableofFigures"/>
        <w:rPr>
          <w:rFonts w:asciiTheme="minorHAnsi" w:eastAsiaTheme="minorEastAsia" w:hAnsiTheme="minorHAnsi" w:cstheme="minorBidi"/>
          <w:bCs w:val="0"/>
          <w:sz w:val="22"/>
          <w:szCs w:val="22"/>
          <w:lang w:val="en-AU" w:eastAsia="en-AU"/>
        </w:rPr>
      </w:pPr>
      <w:hyperlink w:anchor="_Toc459332375" w:history="1">
        <w:r w:rsidR="00211A02" w:rsidRPr="003E6900">
          <w:rPr>
            <w:rStyle w:val="Hyperlink"/>
          </w:rPr>
          <w:t>Figure 5</w:t>
        </w:r>
        <w:r w:rsidR="00211A02" w:rsidRPr="003E6900">
          <w:rPr>
            <w:rStyle w:val="Hyperlink"/>
          </w:rPr>
          <w:noBreakHyphen/>
          <w:t>18: MMP water quality sampling sites in the Barron Daintree sub-region shown with (left) wet season plume frequency 2003 to 2015 (Primary + Secondary; where 1.0 represents 22 weeks, December to March) and (right) water body boundaries.</w:t>
        </w:r>
        <w:r w:rsidR="00211A02">
          <w:rPr>
            <w:webHidden/>
          </w:rPr>
          <w:tab/>
        </w:r>
        <w:r w:rsidR="00211A02">
          <w:rPr>
            <w:webHidden/>
          </w:rPr>
          <w:fldChar w:fldCharType="begin"/>
        </w:r>
        <w:r w:rsidR="00211A02">
          <w:rPr>
            <w:webHidden/>
          </w:rPr>
          <w:instrText xml:space="preserve"> PAGEREF _Toc459332375 \h </w:instrText>
        </w:r>
        <w:r w:rsidR="00211A02">
          <w:rPr>
            <w:webHidden/>
          </w:rPr>
        </w:r>
        <w:r w:rsidR="00211A02">
          <w:rPr>
            <w:webHidden/>
          </w:rPr>
          <w:fldChar w:fldCharType="separate"/>
        </w:r>
        <w:r w:rsidR="007F5336">
          <w:rPr>
            <w:webHidden/>
          </w:rPr>
          <w:t>48</w:t>
        </w:r>
        <w:r w:rsidR="00211A02">
          <w:rPr>
            <w:webHidden/>
          </w:rPr>
          <w:fldChar w:fldCharType="end"/>
        </w:r>
      </w:hyperlink>
    </w:p>
    <w:p w14:paraId="18A325C1" w14:textId="78CEF67A" w:rsidR="00211A02" w:rsidRDefault="000213E5">
      <w:pPr>
        <w:pStyle w:val="TableofFigures"/>
        <w:rPr>
          <w:rFonts w:asciiTheme="minorHAnsi" w:eastAsiaTheme="minorEastAsia" w:hAnsiTheme="minorHAnsi" w:cstheme="minorBidi"/>
          <w:bCs w:val="0"/>
          <w:sz w:val="22"/>
          <w:szCs w:val="22"/>
          <w:lang w:val="en-AU" w:eastAsia="en-AU"/>
        </w:rPr>
      </w:pPr>
      <w:hyperlink w:anchor="_Toc459332376" w:history="1">
        <w:r w:rsidR="00211A02" w:rsidRPr="003E6900">
          <w:rPr>
            <w:rStyle w:val="Hyperlink"/>
          </w:rPr>
          <w:t>Figure 5</w:t>
        </w:r>
        <w:r w:rsidR="00211A02" w:rsidRPr="003E6900">
          <w:rPr>
            <w:rStyle w:val="Hyperlink"/>
          </w:rPr>
          <w:noBreakHyphen/>
          <w:t>19: Combined discharge for the Barron and Daintree Rivers.  Daily (blue) and annual (October to September, red symbols) discharge volumes shown. Red dashed line represents long-term median of the combined annual discharge.</w:t>
        </w:r>
        <w:r w:rsidR="00211A02">
          <w:rPr>
            <w:webHidden/>
          </w:rPr>
          <w:tab/>
        </w:r>
        <w:r w:rsidR="00211A02">
          <w:rPr>
            <w:webHidden/>
          </w:rPr>
          <w:fldChar w:fldCharType="begin"/>
        </w:r>
        <w:r w:rsidR="00211A02">
          <w:rPr>
            <w:webHidden/>
          </w:rPr>
          <w:instrText xml:space="preserve"> PAGEREF _Toc459332376 \h </w:instrText>
        </w:r>
        <w:r w:rsidR="00211A02">
          <w:rPr>
            <w:webHidden/>
          </w:rPr>
        </w:r>
        <w:r w:rsidR="00211A02">
          <w:rPr>
            <w:webHidden/>
          </w:rPr>
          <w:fldChar w:fldCharType="separate"/>
        </w:r>
        <w:r w:rsidR="007F5336">
          <w:rPr>
            <w:webHidden/>
          </w:rPr>
          <w:t>48</w:t>
        </w:r>
        <w:r w:rsidR="00211A02">
          <w:rPr>
            <w:webHidden/>
          </w:rPr>
          <w:fldChar w:fldCharType="end"/>
        </w:r>
      </w:hyperlink>
    </w:p>
    <w:p w14:paraId="45EC2558" w14:textId="4887E8CE" w:rsidR="00211A02" w:rsidRDefault="000213E5">
      <w:pPr>
        <w:pStyle w:val="TableofFigures"/>
        <w:rPr>
          <w:rFonts w:asciiTheme="minorHAnsi" w:eastAsiaTheme="minorEastAsia" w:hAnsiTheme="minorHAnsi" w:cstheme="minorBidi"/>
          <w:bCs w:val="0"/>
          <w:sz w:val="22"/>
          <w:szCs w:val="22"/>
          <w:lang w:val="en-AU" w:eastAsia="en-AU"/>
        </w:rPr>
      </w:pPr>
      <w:hyperlink w:anchor="_Toc459332377" w:history="1">
        <w:r w:rsidR="00211A02" w:rsidRPr="003E6900">
          <w:rPr>
            <w:rStyle w:val="Hyperlink"/>
          </w:rPr>
          <w:t>Figure 5</w:t>
        </w:r>
        <w:r w:rsidR="00211A02" w:rsidRPr="003E6900">
          <w:rPr>
            <w:rStyle w:val="Hyperlink"/>
          </w:rPr>
          <w:noBreakHyphen/>
          <w:t>20: Cumulative exposure index for the Barron River in 2014-15 (left). Results for 2010-11 (right) are shown for context.  The colour bar indicates the calculated cumulative exposure (concentration x days) above 1% of the incoming concentration. The colour bar is capped at 20 Conc.Days. Contours show 0.1, 1.0 and 10.0 Conc.Days exposure levels.</w:t>
        </w:r>
        <w:r w:rsidR="00211A02">
          <w:rPr>
            <w:webHidden/>
          </w:rPr>
          <w:tab/>
        </w:r>
        <w:r w:rsidR="00211A02">
          <w:rPr>
            <w:webHidden/>
          </w:rPr>
          <w:fldChar w:fldCharType="begin"/>
        </w:r>
        <w:r w:rsidR="00211A02">
          <w:rPr>
            <w:webHidden/>
          </w:rPr>
          <w:instrText xml:space="preserve"> PAGEREF _Toc459332377 \h </w:instrText>
        </w:r>
        <w:r w:rsidR="00211A02">
          <w:rPr>
            <w:webHidden/>
          </w:rPr>
        </w:r>
        <w:r w:rsidR="00211A02">
          <w:rPr>
            <w:webHidden/>
          </w:rPr>
          <w:fldChar w:fldCharType="separate"/>
        </w:r>
        <w:r w:rsidR="007F5336">
          <w:rPr>
            <w:webHidden/>
          </w:rPr>
          <w:t>49</w:t>
        </w:r>
        <w:r w:rsidR="00211A02">
          <w:rPr>
            <w:webHidden/>
          </w:rPr>
          <w:fldChar w:fldCharType="end"/>
        </w:r>
      </w:hyperlink>
    </w:p>
    <w:p w14:paraId="0F617EB5" w14:textId="5994D02A" w:rsidR="00211A02" w:rsidRDefault="000213E5">
      <w:pPr>
        <w:pStyle w:val="TableofFigures"/>
        <w:rPr>
          <w:rFonts w:asciiTheme="minorHAnsi" w:eastAsiaTheme="minorEastAsia" w:hAnsiTheme="minorHAnsi" w:cstheme="minorBidi"/>
          <w:bCs w:val="0"/>
          <w:sz w:val="22"/>
          <w:szCs w:val="22"/>
          <w:lang w:val="en-AU" w:eastAsia="en-AU"/>
        </w:rPr>
      </w:pPr>
      <w:hyperlink w:anchor="_Toc459332378" w:history="1">
        <w:r w:rsidR="00211A02" w:rsidRPr="003E6900">
          <w:rPr>
            <w:rStyle w:val="Hyperlink"/>
          </w:rPr>
          <w:t>Figure 5</w:t>
        </w:r>
        <w:r w:rsidR="00211A02" w:rsidRPr="003E6900">
          <w:rPr>
            <w:rStyle w:val="Hyperlink"/>
          </w:rPr>
          <w:noBreakHyphen/>
          <w:t>21: Measured Barron River discharge and loads (at Myola gauge) for (A) total suspended solids (sediment), (B) dissolved inorganic nitrogen (DIN), (C) particulate nitrogen (PN) and (D) particulate phosphorus (PP) from 2006/07 to 2014/15. Data from the Department of Science Information Technology and Innovation’s Great Barrier Reef Catchment Loads Monitoring Program (compiled from: Joo et al., 2012; Turner et al., 2012, 2013; Wallace et al., 2014, 2015, in press; Garzon-Garcia et al., 2015).</w:t>
        </w:r>
        <w:r w:rsidR="00211A02">
          <w:rPr>
            <w:webHidden/>
          </w:rPr>
          <w:tab/>
        </w:r>
        <w:r w:rsidR="00211A02">
          <w:rPr>
            <w:webHidden/>
          </w:rPr>
          <w:fldChar w:fldCharType="begin"/>
        </w:r>
        <w:r w:rsidR="00211A02">
          <w:rPr>
            <w:webHidden/>
          </w:rPr>
          <w:instrText xml:space="preserve"> PAGEREF _Toc459332378 \h </w:instrText>
        </w:r>
        <w:r w:rsidR="00211A02">
          <w:rPr>
            <w:webHidden/>
          </w:rPr>
        </w:r>
        <w:r w:rsidR="00211A02">
          <w:rPr>
            <w:webHidden/>
          </w:rPr>
          <w:fldChar w:fldCharType="separate"/>
        </w:r>
        <w:r w:rsidR="007F5336">
          <w:rPr>
            <w:webHidden/>
          </w:rPr>
          <w:t>49</w:t>
        </w:r>
        <w:r w:rsidR="00211A02">
          <w:rPr>
            <w:webHidden/>
          </w:rPr>
          <w:fldChar w:fldCharType="end"/>
        </w:r>
      </w:hyperlink>
    </w:p>
    <w:p w14:paraId="2A46A226" w14:textId="2C492D7D" w:rsidR="00211A02" w:rsidRDefault="000213E5">
      <w:pPr>
        <w:pStyle w:val="TableofFigures"/>
        <w:rPr>
          <w:rFonts w:asciiTheme="minorHAnsi" w:eastAsiaTheme="minorEastAsia" w:hAnsiTheme="minorHAnsi" w:cstheme="minorBidi"/>
          <w:bCs w:val="0"/>
          <w:sz w:val="22"/>
          <w:szCs w:val="22"/>
          <w:lang w:val="en-AU" w:eastAsia="en-AU"/>
        </w:rPr>
      </w:pPr>
      <w:hyperlink w:anchor="_Toc459332379" w:history="1">
        <w:r w:rsidR="00211A02" w:rsidRPr="003E6900">
          <w:rPr>
            <w:rStyle w:val="Hyperlink"/>
          </w:rPr>
          <w:t>Figure 5</w:t>
        </w:r>
        <w:r w:rsidR="00211A02" w:rsidRPr="003E6900">
          <w:rPr>
            <w:rStyle w:val="Hyperlink"/>
          </w:rPr>
          <w:noBreakHyphen/>
          <w:t>22: Temporal trends in water quality variables for the Barron Daintree sub-region.</w:t>
        </w:r>
        <w:r w:rsidR="00211A02" w:rsidRPr="003E6900">
          <w:rPr>
            <w:rStyle w:val="Hyperlink"/>
            <w:lang w:val="en-AU"/>
          </w:rPr>
          <w:t xml:space="preserve"> </w:t>
        </w:r>
        <w:r w:rsidR="00211A02" w:rsidRPr="003E6900">
          <w:rPr>
            <w:rStyle w:val="Hyperlink"/>
          </w:rPr>
          <w:t xml:space="preserve">a) water quality index, b) chlorophyll a, c) total suspended solids, d) nitrate/nitrite, e) Secchi depth, f) particulate nitrogen, g) particulate phosphorus, h) particulate organic carbon and i) dissolved organic carbon. Water quality index colour coding: dark green- ‘very good’; light green-‘good’; yellow – ‘moderate; orange – ‘poor’; red – ‘very poor’. The water quality index is the aggregate of variables plotted in b - h and calculated as described in Appendix 1.2.3. Trends in POC and DOC values are plotted here (i, j); threshold levels have yet to be established.  Trends in manually sampled water quality variables are represented by blue lines with blue shaded areas defining 95% confidence intervals of those trends accounting for the effects of </w:t>
        </w:r>
        <w:r w:rsidR="00211A02" w:rsidRPr="003E6900">
          <w:rPr>
            <w:rStyle w:val="Hyperlink"/>
            <w:lang w:val="en-AU"/>
          </w:rPr>
          <w:t xml:space="preserve">wind, waves and tides </w:t>
        </w:r>
        <w:r w:rsidR="00211A02" w:rsidRPr="003E6900">
          <w:rPr>
            <w:rStyle w:val="Hyperlink"/>
          </w:rPr>
          <w:t>after applying x-z detrending, black dots represent observed data. Trends of records from ECO FLNTUSB instruments are represented in red, individual records are not displayed. Dashed reference lines indicate guideline values.</w:t>
        </w:r>
        <w:r w:rsidR="00211A02">
          <w:rPr>
            <w:webHidden/>
          </w:rPr>
          <w:tab/>
        </w:r>
        <w:r w:rsidR="00211A02">
          <w:rPr>
            <w:webHidden/>
          </w:rPr>
          <w:fldChar w:fldCharType="begin"/>
        </w:r>
        <w:r w:rsidR="00211A02">
          <w:rPr>
            <w:webHidden/>
          </w:rPr>
          <w:instrText xml:space="preserve"> PAGEREF _Toc459332379 \h </w:instrText>
        </w:r>
        <w:r w:rsidR="00211A02">
          <w:rPr>
            <w:webHidden/>
          </w:rPr>
        </w:r>
        <w:r w:rsidR="00211A02">
          <w:rPr>
            <w:webHidden/>
          </w:rPr>
          <w:fldChar w:fldCharType="separate"/>
        </w:r>
        <w:r w:rsidR="007F5336">
          <w:rPr>
            <w:webHidden/>
          </w:rPr>
          <w:t>51</w:t>
        </w:r>
        <w:r w:rsidR="00211A02">
          <w:rPr>
            <w:webHidden/>
          </w:rPr>
          <w:fldChar w:fldCharType="end"/>
        </w:r>
      </w:hyperlink>
    </w:p>
    <w:p w14:paraId="72C74EB6" w14:textId="0127A3C9" w:rsidR="00211A02" w:rsidRDefault="000213E5">
      <w:pPr>
        <w:pStyle w:val="TableofFigures"/>
        <w:rPr>
          <w:rFonts w:asciiTheme="minorHAnsi" w:eastAsiaTheme="minorEastAsia" w:hAnsiTheme="minorHAnsi" w:cstheme="minorBidi"/>
          <w:bCs w:val="0"/>
          <w:sz w:val="22"/>
          <w:szCs w:val="22"/>
          <w:lang w:val="en-AU" w:eastAsia="en-AU"/>
        </w:rPr>
      </w:pPr>
      <w:hyperlink w:anchor="_Toc459332380" w:history="1">
        <w:r w:rsidR="00211A02" w:rsidRPr="003E6900">
          <w:rPr>
            <w:rStyle w:val="Hyperlink"/>
          </w:rPr>
          <w:t>Figure 5</w:t>
        </w:r>
        <w:r w:rsidR="00211A02" w:rsidRPr="003E6900">
          <w:rPr>
            <w:rStyle w:val="Hyperlink"/>
          </w:rPr>
          <w:noBreakHyphen/>
          <w:t>23: MMP sampling sites in the Russell-Mulgrave focus area, shown with (left) wet season plume frequency 2003 to 2015 (Primary + Secondary; where 1.0 represents 22 weeks, December to March) and (right) the water body boundaries.</w:t>
        </w:r>
        <w:r w:rsidR="00211A02">
          <w:rPr>
            <w:webHidden/>
          </w:rPr>
          <w:tab/>
        </w:r>
        <w:r w:rsidR="00211A02">
          <w:rPr>
            <w:webHidden/>
          </w:rPr>
          <w:fldChar w:fldCharType="begin"/>
        </w:r>
        <w:r w:rsidR="00211A02">
          <w:rPr>
            <w:webHidden/>
          </w:rPr>
          <w:instrText xml:space="preserve"> PAGEREF _Toc459332380 \h </w:instrText>
        </w:r>
        <w:r w:rsidR="00211A02">
          <w:rPr>
            <w:webHidden/>
          </w:rPr>
        </w:r>
        <w:r w:rsidR="00211A02">
          <w:rPr>
            <w:webHidden/>
          </w:rPr>
          <w:fldChar w:fldCharType="separate"/>
        </w:r>
        <w:r w:rsidR="007F5336">
          <w:rPr>
            <w:webHidden/>
          </w:rPr>
          <w:t>52</w:t>
        </w:r>
        <w:r w:rsidR="00211A02">
          <w:rPr>
            <w:webHidden/>
          </w:rPr>
          <w:fldChar w:fldCharType="end"/>
        </w:r>
      </w:hyperlink>
    </w:p>
    <w:p w14:paraId="6323A42F" w14:textId="1B089911" w:rsidR="00211A02" w:rsidRDefault="000213E5">
      <w:pPr>
        <w:pStyle w:val="TableofFigures"/>
        <w:rPr>
          <w:rFonts w:asciiTheme="minorHAnsi" w:eastAsiaTheme="minorEastAsia" w:hAnsiTheme="minorHAnsi" w:cstheme="minorBidi"/>
          <w:bCs w:val="0"/>
          <w:sz w:val="22"/>
          <w:szCs w:val="22"/>
          <w:lang w:val="en-AU" w:eastAsia="en-AU"/>
        </w:rPr>
      </w:pPr>
      <w:hyperlink w:anchor="_Toc459332381" w:history="1">
        <w:r w:rsidR="00211A02" w:rsidRPr="003E6900">
          <w:rPr>
            <w:rStyle w:val="Hyperlink"/>
          </w:rPr>
          <w:t>Figure 5</w:t>
        </w:r>
        <w:r w:rsidR="00211A02" w:rsidRPr="003E6900">
          <w:rPr>
            <w:rStyle w:val="Hyperlink"/>
          </w:rPr>
          <w:noBreakHyphen/>
          <w:t>24:  Combined discharge for the North and South Johnstone, Russell and Mulgrave Rivers. Daily (blue) and annual (October to September, red symbols) discharge shown. Red dashed line represents the long-term median of the combined annual discharge.</w:t>
        </w:r>
        <w:r w:rsidR="00211A02">
          <w:rPr>
            <w:webHidden/>
          </w:rPr>
          <w:tab/>
        </w:r>
        <w:r w:rsidR="00211A02">
          <w:rPr>
            <w:webHidden/>
          </w:rPr>
          <w:fldChar w:fldCharType="begin"/>
        </w:r>
        <w:r w:rsidR="00211A02">
          <w:rPr>
            <w:webHidden/>
          </w:rPr>
          <w:instrText xml:space="preserve"> PAGEREF _Toc459332381 \h </w:instrText>
        </w:r>
        <w:r w:rsidR="00211A02">
          <w:rPr>
            <w:webHidden/>
          </w:rPr>
        </w:r>
        <w:r w:rsidR="00211A02">
          <w:rPr>
            <w:webHidden/>
          </w:rPr>
          <w:fldChar w:fldCharType="separate"/>
        </w:r>
        <w:r w:rsidR="007F5336">
          <w:rPr>
            <w:webHidden/>
          </w:rPr>
          <w:t>53</w:t>
        </w:r>
        <w:r w:rsidR="00211A02">
          <w:rPr>
            <w:webHidden/>
          </w:rPr>
          <w:fldChar w:fldCharType="end"/>
        </w:r>
      </w:hyperlink>
    </w:p>
    <w:p w14:paraId="695E99E1" w14:textId="6D48D621" w:rsidR="00211A02" w:rsidRDefault="000213E5">
      <w:pPr>
        <w:pStyle w:val="TableofFigures"/>
        <w:rPr>
          <w:rFonts w:asciiTheme="minorHAnsi" w:eastAsiaTheme="minorEastAsia" w:hAnsiTheme="minorHAnsi" w:cstheme="minorBidi"/>
          <w:bCs w:val="0"/>
          <w:sz w:val="22"/>
          <w:szCs w:val="22"/>
          <w:lang w:val="en-AU" w:eastAsia="en-AU"/>
        </w:rPr>
      </w:pPr>
      <w:hyperlink w:anchor="_Toc459332382" w:history="1">
        <w:r w:rsidR="00211A02" w:rsidRPr="003E6900">
          <w:rPr>
            <w:rStyle w:val="Hyperlink"/>
          </w:rPr>
          <w:t>Figure 5</w:t>
        </w:r>
        <w:r w:rsidR="00211A02" w:rsidRPr="003E6900">
          <w:rPr>
            <w:rStyle w:val="Hyperlink"/>
          </w:rPr>
          <w:noBreakHyphen/>
          <w:t>25: Cumulative exposure index for the Russell-Mulgrave River in 2014-15 (left). Results for 2010-11 (right) are shown for context.  The colour bar indicates the calculated cumulative exposure (concentration x days) above 1% of the incoming concentration. The colour bar is capped at 20 Conc.Days. Contours show 0.1, 1.0 and 10.0 Conc.Days exposure levels.</w:t>
        </w:r>
        <w:r w:rsidR="00211A02">
          <w:rPr>
            <w:webHidden/>
          </w:rPr>
          <w:tab/>
        </w:r>
        <w:r w:rsidR="00211A02">
          <w:rPr>
            <w:webHidden/>
          </w:rPr>
          <w:fldChar w:fldCharType="begin"/>
        </w:r>
        <w:r w:rsidR="00211A02">
          <w:rPr>
            <w:webHidden/>
          </w:rPr>
          <w:instrText xml:space="preserve"> PAGEREF _Toc459332382 \h </w:instrText>
        </w:r>
        <w:r w:rsidR="00211A02">
          <w:rPr>
            <w:webHidden/>
          </w:rPr>
        </w:r>
        <w:r w:rsidR="00211A02">
          <w:rPr>
            <w:webHidden/>
          </w:rPr>
          <w:fldChar w:fldCharType="separate"/>
        </w:r>
        <w:r w:rsidR="007F5336">
          <w:rPr>
            <w:webHidden/>
          </w:rPr>
          <w:t>53</w:t>
        </w:r>
        <w:r w:rsidR="00211A02">
          <w:rPr>
            <w:webHidden/>
          </w:rPr>
          <w:fldChar w:fldCharType="end"/>
        </w:r>
      </w:hyperlink>
    </w:p>
    <w:p w14:paraId="6D4241C6" w14:textId="57BBE4AB" w:rsidR="00211A02" w:rsidRDefault="000213E5">
      <w:pPr>
        <w:pStyle w:val="TableofFigures"/>
        <w:rPr>
          <w:rFonts w:asciiTheme="minorHAnsi" w:eastAsiaTheme="minorEastAsia" w:hAnsiTheme="minorHAnsi" w:cstheme="minorBidi"/>
          <w:bCs w:val="0"/>
          <w:sz w:val="22"/>
          <w:szCs w:val="22"/>
          <w:lang w:val="en-AU" w:eastAsia="en-AU"/>
        </w:rPr>
      </w:pPr>
      <w:hyperlink w:anchor="_Toc459332383" w:history="1">
        <w:r w:rsidR="00211A02" w:rsidRPr="003E6900">
          <w:rPr>
            <w:rStyle w:val="Hyperlink"/>
          </w:rPr>
          <w:t>Figure 5</w:t>
        </w:r>
        <w:r w:rsidR="00211A02" w:rsidRPr="003E6900">
          <w:rPr>
            <w:rStyle w:val="Hyperlink"/>
          </w:rPr>
          <w:noBreakHyphen/>
          <w:t>26: Measured Johnstone River discharge and loads (combined from the North Johnstone at Tung Oil and South Johnstone at Central Mill monitoring sites) for (A) total suspended solids (sediment), (B) dissolved inorganic nitrogen (DIN), (C) particulate nitrogen (PN) and (D) particulate phosphorus (PP) from 2006-07 to 2014-15. Data from the Department of Science Information Technology and Innovation’s Great Barrier Reef Catchment Loads Monitoring Program (compiled from: Joo et al., 2012; Turner et al., 2012, 2013; Wallace et al., 2014, 2015, in press; Garzon-Garcia et al., 2015).</w:t>
        </w:r>
        <w:r w:rsidR="00211A02">
          <w:rPr>
            <w:webHidden/>
          </w:rPr>
          <w:tab/>
        </w:r>
        <w:r w:rsidR="00211A02">
          <w:rPr>
            <w:webHidden/>
          </w:rPr>
          <w:fldChar w:fldCharType="begin"/>
        </w:r>
        <w:r w:rsidR="00211A02">
          <w:rPr>
            <w:webHidden/>
          </w:rPr>
          <w:instrText xml:space="preserve"> PAGEREF _Toc459332383 \h </w:instrText>
        </w:r>
        <w:r w:rsidR="00211A02">
          <w:rPr>
            <w:webHidden/>
          </w:rPr>
        </w:r>
        <w:r w:rsidR="00211A02">
          <w:rPr>
            <w:webHidden/>
          </w:rPr>
          <w:fldChar w:fldCharType="separate"/>
        </w:r>
        <w:r w:rsidR="007F5336">
          <w:rPr>
            <w:webHidden/>
          </w:rPr>
          <w:t>54</w:t>
        </w:r>
        <w:r w:rsidR="00211A02">
          <w:rPr>
            <w:webHidden/>
          </w:rPr>
          <w:fldChar w:fldCharType="end"/>
        </w:r>
      </w:hyperlink>
    </w:p>
    <w:p w14:paraId="21E23E7F" w14:textId="66546D02" w:rsidR="00211A02" w:rsidRDefault="000213E5">
      <w:pPr>
        <w:pStyle w:val="TableofFigures"/>
        <w:rPr>
          <w:rFonts w:asciiTheme="minorHAnsi" w:eastAsiaTheme="minorEastAsia" w:hAnsiTheme="minorHAnsi" w:cstheme="minorBidi"/>
          <w:bCs w:val="0"/>
          <w:sz w:val="22"/>
          <w:szCs w:val="22"/>
          <w:lang w:val="en-AU" w:eastAsia="en-AU"/>
        </w:rPr>
      </w:pPr>
      <w:hyperlink w:anchor="_Toc459332384" w:history="1">
        <w:r w:rsidR="00211A02" w:rsidRPr="003E6900">
          <w:rPr>
            <w:rStyle w:val="Hyperlink"/>
          </w:rPr>
          <w:t>Figure 5</w:t>
        </w:r>
        <w:r w:rsidR="00211A02" w:rsidRPr="003E6900">
          <w:rPr>
            <w:rStyle w:val="Hyperlink"/>
          </w:rPr>
          <w:noBreakHyphen/>
          <w:t>27: Temporal trends in water quality for the Russell-Mulgrave sub-region.  a) water quality index, b) chlorophyll a, c) total suspended solids, d) nitrate/nitrite, e) Secchi depth, f) particulate nitrogen, g) particulate phosphorus, h) particulate organic carbon and i) dissolved organic carbon. Water quality index colour coding: dark green- ‘very good’; light green-‘good’; yellow – ‘moderate; orange – ‘poor’; red – ‘very poor’. The Water Quality Index is the aggregate of variables plotted in b - h and calculated as described in Appendix 1.2.3. Trends in POC and DOC values are plotted here (i, j); threshold levels have yet to be established.  Trends in manually sampled water quality variables are represented by blue lines with blue shaded areas defining 95% confidence intervals of those trends accounting for the effects of wind, waves and tides, black dots represent observed data. Trends of records from ECO FLNTUSB instruments are represented in red, individual records are not displayed. Dashed reference lines indicate guideline values.</w:t>
        </w:r>
        <w:r w:rsidR="00211A02">
          <w:rPr>
            <w:webHidden/>
          </w:rPr>
          <w:tab/>
        </w:r>
        <w:r w:rsidR="00211A02">
          <w:rPr>
            <w:webHidden/>
          </w:rPr>
          <w:fldChar w:fldCharType="begin"/>
        </w:r>
        <w:r w:rsidR="00211A02">
          <w:rPr>
            <w:webHidden/>
          </w:rPr>
          <w:instrText xml:space="preserve"> PAGEREF _Toc459332384 \h </w:instrText>
        </w:r>
        <w:r w:rsidR="00211A02">
          <w:rPr>
            <w:webHidden/>
          </w:rPr>
        </w:r>
        <w:r w:rsidR="00211A02">
          <w:rPr>
            <w:webHidden/>
          </w:rPr>
          <w:fldChar w:fldCharType="separate"/>
        </w:r>
        <w:r w:rsidR="007F5336">
          <w:rPr>
            <w:webHidden/>
          </w:rPr>
          <w:t>55</w:t>
        </w:r>
        <w:r w:rsidR="00211A02">
          <w:rPr>
            <w:webHidden/>
          </w:rPr>
          <w:fldChar w:fldCharType="end"/>
        </w:r>
      </w:hyperlink>
    </w:p>
    <w:p w14:paraId="7F844176" w14:textId="65666BC8" w:rsidR="00211A02" w:rsidRDefault="000213E5">
      <w:pPr>
        <w:pStyle w:val="TableofFigures"/>
        <w:rPr>
          <w:rFonts w:asciiTheme="minorHAnsi" w:eastAsiaTheme="minorEastAsia" w:hAnsiTheme="minorHAnsi" w:cstheme="minorBidi"/>
          <w:bCs w:val="0"/>
          <w:sz w:val="22"/>
          <w:szCs w:val="22"/>
          <w:lang w:val="en-AU" w:eastAsia="en-AU"/>
        </w:rPr>
      </w:pPr>
      <w:hyperlink w:anchor="_Toc459332385" w:history="1">
        <w:r w:rsidR="00211A02" w:rsidRPr="003E6900">
          <w:rPr>
            <w:rStyle w:val="Hyperlink"/>
            <w:lang w:val="en-AU"/>
          </w:rPr>
          <w:t>Figure 5</w:t>
        </w:r>
        <w:r w:rsidR="00211A02" w:rsidRPr="003E6900">
          <w:rPr>
            <w:rStyle w:val="Hyperlink"/>
            <w:lang w:val="en-AU"/>
          </w:rPr>
          <w:noBreakHyphen/>
          <w:t>28: Boxplot for the water quality parameters sampled at the Russell-Mulgrave sites in the current wet season compared to all data sampled since 2005-06 wet season. In the boxplot bold line stands for median, rectangles are for the 25</w:t>
        </w:r>
        <w:r w:rsidR="00211A02" w:rsidRPr="003E6900">
          <w:rPr>
            <w:rStyle w:val="Hyperlink"/>
            <w:vertAlign w:val="superscript"/>
            <w:lang w:val="en-AU"/>
          </w:rPr>
          <w:t>th</w:t>
        </w:r>
        <w:r w:rsidR="00211A02" w:rsidRPr="003E6900">
          <w:rPr>
            <w:rStyle w:val="Hyperlink"/>
            <w:lang w:val="en-AU"/>
          </w:rPr>
          <w:t xml:space="preserve"> and 75</w:t>
        </w:r>
        <w:r w:rsidR="00211A02" w:rsidRPr="003E6900">
          <w:rPr>
            <w:rStyle w:val="Hyperlink"/>
            <w:vertAlign w:val="superscript"/>
            <w:lang w:val="en-AU"/>
          </w:rPr>
          <w:t>th</w:t>
        </w:r>
        <w:r w:rsidR="00211A02" w:rsidRPr="003E6900">
          <w:rPr>
            <w:rStyle w:val="Hyperlink"/>
            <w:lang w:val="en-AU"/>
          </w:rPr>
          <w:t xml:space="preserve"> percentiles and vertical line for 5</w:t>
        </w:r>
        <w:r w:rsidR="00211A02" w:rsidRPr="003E6900">
          <w:rPr>
            <w:rStyle w:val="Hyperlink"/>
            <w:vertAlign w:val="superscript"/>
            <w:lang w:val="en-AU"/>
          </w:rPr>
          <w:t>th</w:t>
        </w:r>
        <w:r w:rsidR="00211A02" w:rsidRPr="003E6900">
          <w:rPr>
            <w:rStyle w:val="Hyperlink"/>
            <w:lang w:val="en-AU"/>
          </w:rPr>
          <w:t xml:space="preserve"> and 95</w:t>
        </w:r>
        <w:r w:rsidR="00211A02" w:rsidRPr="003E6900">
          <w:rPr>
            <w:rStyle w:val="Hyperlink"/>
            <w:vertAlign w:val="superscript"/>
            <w:lang w:val="en-AU"/>
          </w:rPr>
          <w:t>th</w:t>
        </w:r>
        <w:r w:rsidR="00211A02" w:rsidRPr="003E6900">
          <w:rPr>
            <w:rStyle w:val="Hyperlink"/>
            <w:lang w:val="en-AU"/>
          </w:rPr>
          <w:t xml:space="preserve"> percentile. The p-value is from a Kruskal-Wallis Rank Sum test among plume water types. Dots stand for data points (nudge was added for data visualization) and red dashed line stands for the water quality guidelines for open coastal waters. Plume water type 1, 2 and 3 stands for Primary, Secondary and Tertiary, respectively.</w:t>
        </w:r>
        <w:r w:rsidR="00211A02">
          <w:rPr>
            <w:webHidden/>
          </w:rPr>
          <w:tab/>
        </w:r>
        <w:r w:rsidR="00211A02">
          <w:rPr>
            <w:webHidden/>
          </w:rPr>
          <w:fldChar w:fldCharType="begin"/>
        </w:r>
        <w:r w:rsidR="00211A02">
          <w:rPr>
            <w:webHidden/>
          </w:rPr>
          <w:instrText xml:space="preserve"> PAGEREF _Toc459332385 \h </w:instrText>
        </w:r>
        <w:r w:rsidR="00211A02">
          <w:rPr>
            <w:webHidden/>
          </w:rPr>
        </w:r>
        <w:r w:rsidR="00211A02">
          <w:rPr>
            <w:webHidden/>
          </w:rPr>
          <w:fldChar w:fldCharType="separate"/>
        </w:r>
        <w:r w:rsidR="007F5336">
          <w:rPr>
            <w:webHidden/>
          </w:rPr>
          <w:t>60</w:t>
        </w:r>
        <w:r w:rsidR="00211A02">
          <w:rPr>
            <w:webHidden/>
          </w:rPr>
          <w:fldChar w:fldCharType="end"/>
        </w:r>
      </w:hyperlink>
    </w:p>
    <w:p w14:paraId="0FD035F8" w14:textId="66D56931" w:rsidR="00211A02" w:rsidRDefault="000213E5">
      <w:pPr>
        <w:pStyle w:val="TableofFigures"/>
        <w:rPr>
          <w:rFonts w:asciiTheme="minorHAnsi" w:eastAsiaTheme="minorEastAsia" w:hAnsiTheme="minorHAnsi" w:cstheme="minorBidi"/>
          <w:bCs w:val="0"/>
          <w:sz w:val="22"/>
          <w:szCs w:val="22"/>
          <w:lang w:val="en-AU" w:eastAsia="en-AU"/>
        </w:rPr>
      </w:pPr>
      <w:hyperlink w:anchor="_Toc459332386" w:history="1">
        <w:r w:rsidR="00211A02" w:rsidRPr="003E6900">
          <w:rPr>
            <w:rStyle w:val="Hyperlink"/>
          </w:rPr>
          <w:t>Figure 5</w:t>
        </w:r>
        <w:r w:rsidR="00211A02" w:rsidRPr="003E6900">
          <w:rPr>
            <w:rStyle w:val="Hyperlink"/>
          </w:rPr>
          <w:noBreakHyphen/>
          <w:t>29: MMP sampling sites in the Tully focus area, shown with (left) wet season plume frequency 2003 to 2015 (Primary + Secondary; where 1.0 represents 22 weeks, December to March) and (right) the water body boundaries.</w:t>
        </w:r>
        <w:r w:rsidR="00211A02">
          <w:rPr>
            <w:webHidden/>
          </w:rPr>
          <w:tab/>
        </w:r>
        <w:r w:rsidR="00211A02">
          <w:rPr>
            <w:webHidden/>
          </w:rPr>
          <w:fldChar w:fldCharType="begin"/>
        </w:r>
        <w:r w:rsidR="00211A02">
          <w:rPr>
            <w:webHidden/>
          </w:rPr>
          <w:instrText xml:space="preserve"> PAGEREF _Toc459332386 \h </w:instrText>
        </w:r>
        <w:r w:rsidR="00211A02">
          <w:rPr>
            <w:webHidden/>
          </w:rPr>
        </w:r>
        <w:r w:rsidR="00211A02">
          <w:rPr>
            <w:webHidden/>
          </w:rPr>
          <w:fldChar w:fldCharType="separate"/>
        </w:r>
        <w:r w:rsidR="007F5336">
          <w:rPr>
            <w:webHidden/>
          </w:rPr>
          <w:t>61</w:t>
        </w:r>
        <w:r w:rsidR="00211A02">
          <w:rPr>
            <w:webHidden/>
          </w:rPr>
          <w:fldChar w:fldCharType="end"/>
        </w:r>
      </w:hyperlink>
    </w:p>
    <w:p w14:paraId="41B3265D" w14:textId="1611A984" w:rsidR="00211A02" w:rsidRDefault="000213E5">
      <w:pPr>
        <w:pStyle w:val="TableofFigures"/>
        <w:rPr>
          <w:rFonts w:asciiTheme="minorHAnsi" w:eastAsiaTheme="minorEastAsia" w:hAnsiTheme="minorHAnsi" w:cstheme="minorBidi"/>
          <w:bCs w:val="0"/>
          <w:sz w:val="22"/>
          <w:szCs w:val="22"/>
          <w:lang w:val="en-AU" w:eastAsia="en-AU"/>
        </w:rPr>
      </w:pPr>
      <w:hyperlink w:anchor="_Toc459332387" w:history="1">
        <w:r w:rsidR="00211A02" w:rsidRPr="003E6900">
          <w:rPr>
            <w:rStyle w:val="Hyperlink"/>
          </w:rPr>
          <w:t>Figure 5</w:t>
        </w:r>
        <w:r w:rsidR="00211A02" w:rsidRPr="003E6900">
          <w:rPr>
            <w:rStyle w:val="Hyperlink"/>
          </w:rPr>
          <w:noBreakHyphen/>
          <w:t>30: Combined discharge for Tully and Herbert Rivers. Daily (blue) and annual (October to September, red) discharge shown. Red dashed line represents the long-term median of the combined annual discharge.</w:t>
        </w:r>
        <w:r w:rsidR="00211A02">
          <w:rPr>
            <w:webHidden/>
          </w:rPr>
          <w:tab/>
        </w:r>
        <w:r w:rsidR="00211A02">
          <w:rPr>
            <w:webHidden/>
          </w:rPr>
          <w:fldChar w:fldCharType="begin"/>
        </w:r>
        <w:r w:rsidR="00211A02">
          <w:rPr>
            <w:webHidden/>
          </w:rPr>
          <w:instrText xml:space="preserve"> PAGEREF _Toc459332387 \h </w:instrText>
        </w:r>
        <w:r w:rsidR="00211A02">
          <w:rPr>
            <w:webHidden/>
          </w:rPr>
        </w:r>
        <w:r w:rsidR="00211A02">
          <w:rPr>
            <w:webHidden/>
          </w:rPr>
          <w:fldChar w:fldCharType="separate"/>
        </w:r>
        <w:r w:rsidR="007F5336">
          <w:rPr>
            <w:webHidden/>
          </w:rPr>
          <w:t>62</w:t>
        </w:r>
        <w:r w:rsidR="00211A02">
          <w:rPr>
            <w:webHidden/>
          </w:rPr>
          <w:fldChar w:fldCharType="end"/>
        </w:r>
      </w:hyperlink>
    </w:p>
    <w:p w14:paraId="10D38B44" w14:textId="40526527" w:rsidR="00211A02" w:rsidRDefault="000213E5">
      <w:pPr>
        <w:pStyle w:val="TableofFigures"/>
        <w:rPr>
          <w:rFonts w:asciiTheme="minorHAnsi" w:eastAsiaTheme="minorEastAsia" w:hAnsiTheme="minorHAnsi" w:cstheme="minorBidi"/>
          <w:bCs w:val="0"/>
          <w:sz w:val="22"/>
          <w:szCs w:val="22"/>
          <w:lang w:val="en-AU" w:eastAsia="en-AU"/>
        </w:rPr>
      </w:pPr>
      <w:hyperlink w:anchor="_Toc459332388" w:history="1">
        <w:r w:rsidR="00211A02" w:rsidRPr="003E6900">
          <w:rPr>
            <w:rStyle w:val="Hyperlink"/>
          </w:rPr>
          <w:t>Figure 5</w:t>
        </w:r>
        <w:r w:rsidR="00211A02" w:rsidRPr="003E6900">
          <w:rPr>
            <w:rStyle w:val="Hyperlink"/>
          </w:rPr>
          <w:noBreakHyphen/>
          <w:t>31: Cumulative exposure index for the Tully River in 2014-15 (left). Results for 2010-11 (right) are shown for context.  The colour bar indicates the calculated cumulative exposure (concentration x days) above 1% of the incoming concentration. The colour bar is capped at 20 Conc.Days. Contours show 0.1, 1.0 and 10.0 Conc.Days exposure levels.</w:t>
        </w:r>
        <w:r w:rsidR="00211A02">
          <w:rPr>
            <w:webHidden/>
          </w:rPr>
          <w:tab/>
        </w:r>
        <w:r w:rsidR="00211A02">
          <w:rPr>
            <w:webHidden/>
          </w:rPr>
          <w:fldChar w:fldCharType="begin"/>
        </w:r>
        <w:r w:rsidR="00211A02">
          <w:rPr>
            <w:webHidden/>
          </w:rPr>
          <w:instrText xml:space="preserve"> PAGEREF _Toc459332388 \h </w:instrText>
        </w:r>
        <w:r w:rsidR="00211A02">
          <w:rPr>
            <w:webHidden/>
          </w:rPr>
        </w:r>
        <w:r w:rsidR="00211A02">
          <w:rPr>
            <w:webHidden/>
          </w:rPr>
          <w:fldChar w:fldCharType="separate"/>
        </w:r>
        <w:r w:rsidR="007F5336">
          <w:rPr>
            <w:webHidden/>
          </w:rPr>
          <w:t>62</w:t>
        </w:r>
        <w:r w:rsidR="00211A02">
          <w:rPr>
            <w:webHidden/>
          </w:rPr>
          <w:fldChar w:fldCharType="end"/>
        </w:r>
      </w:hyperlink>
    </w:p>
    <w:p w14:paraId="1E925C23" w14:textId="699F9D36" w:rsidR="00211A02" w:rsidRDefault="000213E5">
      <w:pPr>
        <w:pStyle w:val="TableofFigures"/>
        <w:rPr>
          <w:rFonts w:asciiTheme="minorHAnsi" w:eastAsiaTheme="minorEastAsia" w:hAnsiTheme="minorHAnsi" w:cstheme="minorBidi"/>
          <w:bCs w:val="0"/>
          <w:sz w:val="22"/>
          <w:szCs w:val="22"/>
          <w:lang w:val="en-AU" w:eastAsia="en-AU"/>
        </w:rPr>
      </w:pPr>
      <w:hyperlink w:anchor="_Toc459332389" w:history="1">
        <w:r w:rsidR="00211A02" w:rsidRPr="003E6900">
          <w:rPr>
            <w:rStyle w:val="Hyperlink"/>
          </w:rPr>
          <w:t>Figure 5</w:t>
        </w:r>
        <w:r w:rsidR="00211A02" w:rsidRPr="003E6900">
          <w:rPr>
            <w:rStyle w:val="Hyperlink"/>
          </w:rPr>
          <w:noBreakHyphen/>
          <w:t>32: Measured Tully River (at Euramo gauge) discharge and loads for (A) total suspended solids (sediment), (B) dissolved inorganic nitrogen (DIN), (C) particulate nitrogen (PN) and (D) particulate phosphorus (PP) from 2006/07 to 2014/15. Data from the Department of Science Information Technology and Innovation’s Great Barrier Reef Catchment Loads Monitoring Program (compiled from: Joo et al., 2012; Turner et al., 2012, 2013; Wallace et al., 2014, 2015, in press; Garzon-Garcia et al., 2015).</w:t>
        </w:r>
        <w:r w:rsidR="00211A02">
          <w:rPr>
            <w:webHidden/>
          </w:rPr>
          <w:tab/>
        </w:r>
        <w:r w:rsidR="00211A02">
          <w:rPr>
            <w:webHidden/>
          </w:rPr>
          <w:fldChar w:fldCharType="begin"/>
        </w:r>
        <w:r w:rsidR="00211A02">
          <w:rPr>
            <w:webHidden/>
          </w:rPr>
          <w:instrText xml:space="preserve"> PAGEREF _Toc459332389 \h </w:instrText>
        </w:r>
        <w:r w:rsidR="00211A02">
          <w:rPr>
            <w:webHidden/>
          </w:rPr>
        </w:r>
        <w:r w:rsidR="00211A02">
          <w:rPr>
            <w:webHidden/>
          </w:rPr>
          <w:fldChar w:fldCharType="separate"/>
        </w:r>
        <w:r w:rsidR="007F5336">
          <w:rPr>
            <w:webHidden/>
          </w:rPr>
          <w:t>63</w:t>
        </w:r>
        <w:r w:rsidR="00211A02">
          <w:rPr>
            <w:webHidden/>
          </w:rPr>
          <w:fldChar w:fldCharType="end"/>
        </w:r>
      </w:hyperlink>
    </w:p>
    <w:p w14:paraId="6FE57989" w14:textId="7AE8508E" w:rsidR="00211A02" w:rsidRDefault="000213E5">
      <w:pPr>
        <w:pStyle w:val="TableofFigures"/>
        <w:rPr>
          <w:rFonts w:asciiTheme="minorHAnsi" w:eastAsiaTheme="minorEastAsia" w:hAnsiTheme="minorHAnsi" w:cstheme="minorBidi"/>
          <w:bCs w:val="0"/>
          <w:sz w:val="22"/>
          <w:szCs w:val="22"/>
          <w:lang w:val="en-AU" w:eastAsia="en-AU"/>
        </w:rPr>
      </w:pPr>
      <w:hyperlink w:anchor="_Toc459332390" w:history="1">
        <w:r w:rsidR="00211A02" w:rsidRPr="003E6900">
          <w:rPr>
            <w:rStyle w:val="Hyperlink"/>
          </w:rPr>
          <w:t>Figure 5</w:t>
        </w:r>
        <w:r w:rsidR="00211A02" w:rsidRPr="003E6900">
          <w:rPr>
            <w:rStyle w:val="Hyperlink"/>
          </w:rPr>
          <w:noBreakHyphen/>
          <w:t>33: Measured Herbert River discharge (at the Ingham gauge) and loads for (A) total suspended solids (sediment), (B) dissolved inorganic nitrogen (DIN), (C) particulate nitrogen (PN) and (D) particulate phosphorus (PP) from 2006/07 to 2014/15. Data from the Department of Science Information Technology and Innovation’s Great Barrier Reef Catchment Loads Monitoring Program (compiled from: Joo et al., 2012; Turner et al., 2012, 2013; Wallace et al., 2014, 2015, in press; Garzon-Garcia et al., 2015).</w:t>
        </w:r>
        <w:r w:rsidR="00211A02">
          <w:rPr>
            <w:webHidden/>
          </w:rPr>
          <w:tab/>
        </w:r>
        <w:r w:rsidR="00211A02">
          <w:rPr>
            <w:webHidden/>
          </w:rPr>
          <w:fldChar w:fldCharType="begin"/>
        </w:r>
        <w:r w:rsidR="00211A02">
          <w:rPr>
            <w:webHidden/>
          </w:rPr>
          <w:instrText xml:space="preserve"> PAGEREF _Toc459332390 \h </w:instrText>
        </w:r>
        <w:r w:rsidR="00211A02">
          <w:rPr>
            <w:webHidden/>
          </w:rPr>
        </w:r>
        <w:r w:rsidR="00211A02">
          <w:rPr>
            <w:webHidden/>
          </w:rPr>
          <w:fldChar w:fldCharType="separate"/>
        </w:r>
        <w:r w:rsidR="007F5336">
          <w:rPr>
            <w:webHidden/>
          </w:rPr>
          <w:t>63</w:t>
        </w:r>
        <w:r w:rsidR="00211A02">
          <w:rPr>
            <w:webHidden/>
          </w:rPr>
          <w:fldChar w:fldCharType="end"/>
        </w:r>
      </w:hyperlink>
    </w:p>
    <w:p w14:paraId="51748045" w14:textId="3D8EF583" w:rsidR="00211A02" w:rsidRDefault="000213E5">
      <w:pPr>
        <w:pStyle w:val="TableofFigures"/>
        <w:rPr>
          <w:rFonts w:asciiTheme="minorHAnsi" w:eastAsiaTheme="minorEastAsia" w:hAnsiTheme="minorHAnsi" w:cstheme="minorBidi"/>
          <w:bCs w:val="0"/>
          <w:sz w:val="22"/>
          <w:szCs w:val="22"/>
          <w:lang w:val="en-AU" w:eastAsia="en-AU"/>
        </w:rPr>
      </w:pPr>
      <w:hyperlink w:anchor="_Toc459332391" w:history="1">
        <w:r w:rsidR="00211A02" w:rsidRPr="003E6900">
          <w:rPr>
            <w:rStyle w:val="Hyperlink"/>
          </w:rPr>
          <w:t>Figure 5</w:t>
        </w:r>
        <w:r w:rsidR="00211A02" w:rsidRPr="003E6900">
          <w:rPr>
            <w:rStyle w:val="Hyperlink"/>
          </w:rPr>
          <w:noBreakHyphen/>
          <w:t xml:space="preserve">34: Temporal trends in water quality for the Tully sub-region.  a) water quality index, b) chlorophyll a, c) total suspended solids, d) nitrate/nitrite, e) Secchi depth, f) particulate nitrogen, g) particulate phosphorus, h) particulate organic carbon and i) dissolved organic carbon. Water quality index colour coding: dark green- ‘very good’; light green-‘good’; yellow – ‘moderate; orange – ‘poor’; red – ‘very poor’. The water quality index is the aggregate of variables plotted in </w:t>
        </w:r>
        <w:r w:rsidR="00211A02" w:rsidRPr="003E6900">
          <w:rPr>
            <w:rStyle w:val="Hyperlink"/>
          </w:rPr>
          <w:lastRenderedPageBreak/>
          <w:t>b - h and calculated as described in Appendix 1.2.3. Trends in POC and DOC values are plotted here (i, j); threshold levels have yet to be established.  Trends in manually sampled water quality variables are represented by blue lines with blue shaded areas defining 95% confidence intervals of those trends accounting for the effects of wind, waves and tides, black dots represent observed data. Trends of records from ECO FLNTUSB instruments are represented in red, individual records are not displayed. Dashed reference lines indicate guideline values.</w:t>
        </w:r>
        <w:r w:rsidR="00211A02">
          <w:rPr>
            <w:webHidden/>
          </w:rPr>
          <w:tab/>
        </w:r>
        <w:r w:rsidR="00211A02">
          <w:rPr>
            <w:webHidden/>
          </w:rPr>
          <w:fldChar w:fldCharType="begin"/>
        </w:r>
        <w:r w:rsidR="00211A02">
          <w:rPr>
            <w:webHidden/>
          </w:rPr>
          <w:instrText xml:space="preserve"> PAGEREF _Toc459332391 \h </w:instrText>
        </w:r>
        <w:r w:rsidR="00211A02">
          <w:rPr>
            <w:webHidden/>
          </w:rPr>
        </w:r>
        <w:r w:rsidR="00211A02">
          <w:rPr>
            <w:webHidden/>
          </w:rPr>
          <w:fldChar w:fldCharType="separate"/>
        </w:r>
        <w:r w:rsidR="007F5336">
          <w:rPr>
            <w:webHidden/>
          </w:rPr>
          <w:t>65</w:t>
        </w:r>
        <w:r w:rsidR="00211A02">
          <w:rPr>
            <w:webHidden/>
          </w:rPr>
          <w:fldChar w:fldCharType="end"/>
        </w:r>
      </w:hyperlink>
    </w:p>
    <w:p w14:paraId="7D69A883" w14:textId="71710EF8" w:rsidR="00211A02" w:rsidRDefault="000213E5">
      <w:pPr>
        <w:pStyle w:val="TableofFigures"/>
        <w:rPr>
          <w:rFonts w:asciiTheme="minorHAnsi" w:eastAsiaTheme="minorEastAsia" w:hAnsiTheme="minorHAnsi" w:cstheme="minorBidi"/>
          <w:bCs w:val="0"/>
          <w:sz w:val="22"/>
          <w:szCs w:val="22"/>
          <w:lang w:val="en-AU" w:eastAsia="en-AU"/>
        </w:rPr>
      </w:pPr>
      <w:hyperlink w:anchor="_Toc459332392" w:history="1">
        <w:r w:rsidR="00211A02" w:rsidRPr="003E6900">
          <w:rPr>
            <w:rStyle w:val="Hyperlink"/>
            <w:lang w:val="en-AU"/>
          </w:rPr>
          <w:t>Figure 5</w:t>
        </w:r>
        <w:r w:rsidR="00211A02" w:rsidRPr="003E6900">
          <w:rPr>
            <w:rStyle w:val="Hyperlink"/>
            <w:lang w:val="en-AU"/>
          </w:rPr>
          <w:noBreakHyphen/>
          <w:t>35: Boxplot for the  parameters sampled at the Tully sites in the current wet season compared to all data sampled since 2005-06 wet season. In the boxplot bold line stands for median, rectangles are for the 25</w:t>
        </w:r>
        <w:r w:rsidR="00211A02" w:rsidRPr="003E6900">
          <w:rPr>
            <w:rStyle w:val="Hyperlink"/>
            <w:vertAlign w:val="superscript"/>
            <w:lang w:val="en-AU"/>
          </w:rPr>
          <w:t>th</w:t>
        </w:r>
        <w:r w:rsidR="00211A02" w:rsidRPr="003E6900">
          <w:rPr>
            <w:rStyle w:val="Hyperlink"/>
            <w:lang w:val="en-AU"/>
          </w:rPr>
          <w:t xml:space="preserve"> and 75</w:t>
        </w:r>
        <w:r w:rsidR="00211A02" w:rsidRPr="003E6900">
          <w:rPr>
            <w:rStyle w:val="Hyperlink"/>
            <w:vertAlign w:val="superscript"/>
            <w:lang w:val="en-AU"/>
          </w:rPr>
          <w:t>th</w:t>
        </w:r>
        <w:r w:rsidR="00211A02" w:rsidRPr="003E6900">
          <w:rPr>
            <w:rStyle w:val="Hyperlink"/>
            <w:lang w:val="en-AU"/>
          </w:rPr>
          <w:t xml:space="preserve"> percentiles and vertical line for 5</w:t>
        </w:r>
        <w:r w:rsidR="00211A02" w:rsidRPr="003E6900">
          <w:rPr>
            <w:rStyle w:val="Hyperlink"/>
            <w:vertAlign w:val="superscript"/>
            <w:lang w:val="en-AU"/>
          </w:rPr>
          <w:t>th</w:t>
        </w:r>
        <w:r w:rsidR="00211A02" w:rsidRPr="003E6900">
          <w:rPr>
            <w:rStyle w:val="Hyperlink"/>
            <w:lang w:val="en-AU"/>
          </w:rPr>
          <w:t xml:space="preserve"> and 95</w:t>
        </w:r>
        <w:r w:rsidR="00211A02" w:rsidRPr="003E6900">
          <w:rPr>
            <w:rStyle w:val="Hyperlink"/>
            <w:vertAlign w:val="superscript"/>
            <w:lang w:val="en-AU"/>
          </w:rPr>
          <w:t>th</w:t>
        </w:r>
        <w:r w:rsidR="00211A02" w:rsidRPr="003E6900">
          <w:rPr>
            <w:rStyle w:val="Hyperlink"/>
            <w:lang w:val="en-AU"/>
          </w:rPr>
          <w:t xml:space="preserve"> percentile. The p-value is from a Kruskal-Wallis Rank Sum test among plume water types. Dots represent data points (nudge was added for data visualisation) and red dashed line stands for the water quality guidelines for open coastal waters. Plume water type 1, 2 and 3 stands for Primary, Secondary and Tertiary, respectively.</w:t>
        </w:r>
        <w:r w:rsidR="00211A02">
          <w:rPr>
            <w:webHidden/>
          </w:rPr>
          <w:tab/>
        </w:r>
        <w:r w:rsidR="00211A02">
          <w:rPr>
            <w:webHidden/>
          </w:rPr>
          <w:fldChar w:fldCharType="begin"/>
        </w:r>
        <w:r w:rsidR="00211A02">
          <w:rPr>
            <w:webHidden/>
          </w:rPr>
          <w:instrText xml:space="preserve"> PAGEREF _Toc459332392 \h </w:instrText>
        </w:r>
        <w:r w:rsidR="00211A02">
          <w:rPr>
            <w:webHidden/>
          </w:rPr>
        </w:r>
        <w:r w:rsidR="00211A02">
          <w:rPr>
            <w:webHidden/>
          </w:rPr>
          <w:fldChar w:fldCharType="separate"/>
        </w:r>
        <w:r w:rsidR="007F5336">
          <w:rPr>
            <w:webHidden/>
          </w:rPr>
          <w:t>68</w:t>
        </w:r>
        <w:r w:rsidR="00211A02">
          <w:rPr>
            <w:webHidden/>
          </w:rPr>
          <w:fldChar w:fldCharType="end"/>
        </w:r>
      </w:hyperlink>
    </w:p>
    <w:p w14:paraId="59729470" w14:textId="6800E84A" w:rsidR="00211A02" w:rsidRDefault="000213E5">
      <w:pPr>
        <w:pStyle w:val="TableofFigures"/>
        <w:rPr>
          <w:rFonts w:asciiTheme="minorHAnsi" w:eastAsiaTheme="minorEastAsia" w:hAnsiTheme="minorHAnsi" w:cstheme="minorBidi"/>
          <w:bCs w:val="0"/>
          <w:sz w:val="22"/>
          <w:szCs w:val="22"/>
          <w:lang w:val="en-AU" w:eastAsia="en-AU"/>
        </w:rPr>
      </w:pPr>
      <w:hyperlink w:anchor="_Toc459332393" w:history="1">
        <w:r w:rsidR="00211A02" w:rsidRPr="003E6900">
          <w:rPr>
            <w:rStyle w:val="Hyperlink"/>
          </w:rPr>
          <w:t>Figure 5</w:t>
        </w:r>
        <w:r w:rsidR="00211A02" w:rsidRPr="003E6900">
          <w:rPr>
            <w:rStyle w:val="Hyperlink"/>
          </w:rPr>
          <w:noBreakHyphen/>
          <w:t>36: MMP sampling sites in the Burdekin focus area shown with (left) wet season plume frequency 2003 to 2015 (Primary + Secondary; where 1.0 represents 22 weeks, December to March) and (right) the water body boundaries.</w:t>
        </w:r>
        <w:r w:rsidR="00211A02">
          <w:rPr>
            <w:webHidden/>
          </w:rPr>
          <w:tab/>
        </w:r>
        <w:r w:rsidR="00211A02">
          <w:rPr>
            <w:webHidden/>
          </w:rPr>
          <w:fldChar w:fldCharType="begin"/>
        </w:r>
        <w:r w:rsidR="00211A02">
          <w:rPr>
            <w:webHidden/>
          </w:rPr>
          <w:instrText xml:space="preserve"> PAGEREF _Toc459332393 \h </w:instrText>
        </w:r>
        <w:r w:rsidR="00211A02">
          <w:rPr>
            <w:webHidden/>
          </w:rPr>
        </w:r>
        <w:r w:rsidR="00211A02">
          <w:rPr>
            <w:webHidden/>
          </w:rPr>
          <w:fldChar w:fldCharType="separate"/>
        </w:r>
        <w:r w:rsidR="007F5336">
          <w:rPr>
            <w:webHidden/>
          </w:rPr>
          <w:t>69</w:t>
        </w:r>
        <w:r w:rsidR="00211A02">
          <w:rPr>
            <w:webHidden/>
          </w:rPr>
          <w:fldChar w:fldCharType="end"/>
        </w:r>
      </w:hyperlink>
    </w:p>
    <w:p w14:paraId="1BB5676E" w14:textId="70F3CF46" w:rsidR="00211A02" w:rsidRDefault="000213E5">
      <w:pPr>
        <w:pStyle w:val="TableofFigures"/>
        <w:rPr>
          <w:rFonts w:asciiTheme="minorHAnsi" w:eastAsiaTheme="minorEastAsia" w:hAnsiTheme="minorHAnsi" w:cstheme="minorBidi"/>
          <w:bCs w:val="0"/>
          <w:sz w:val="22"/>
          <w:szCs w:val="22"/>
          <w:lang w:val="en-AU" w:eastAsia="en-AU"/>
        </w:rPr>
      </w:pPr>
      <w:hyperlink w:anchor="_Toc459332394" w:history="1">
        <w:r w:rsidR="00211A02" w:rsidRPr="003E6900">
          <w:rPr>
            <w:rStyle w:val="Hyperlink"/>
          </w:rPr>
          <w:t>Figure 5</w:t>
        </w:r>
        <w:r w:rsidR="00211A02" w:rsidRPr="003E6900">
          <w:rPr>
            <w:rStyle w:val="Hyperlink"/>
          </w:rPr>
          <w:noBreakHyphen/>
          <w:t>37: Discharge for the Burdekin River.  Daily (blue) and annual (October to September, red) discharge shown. Red dashed line represents the long-term median annual discharge.</w:t>
        </w:r>
        <w:r w:rsidR="00211A02">
          <w:rPr>
            <w:webHidden/>
          </w:rPr>
          <w:tab/>
        </w:r>
        <w:r w:rsidR="00211A02">
          <w:rPr>
            <w:webHidden/>
          </w:rPr>
          <w:fldChar w:fldCharType="begin"/>
        </w:r>
        <w:r w:rsidR="00211A02">
          <w:rPr>
            <w:webHidden/>
          </w:rPr>
          <w:instrText xml:space="preserve"> PAGEREF _Toc459332394 \h </w:instrText>
        </w:r>
        <w:r w:rsidR="00211A02">
          <w:rPr>
            <w:webHidden/>
          </w:rPr>
        </w:r>
        <w:r w:rsidR="00211A02">
          <w:rPr>
            <w:webHidden/>
          </w:rPr>
          <w:fldChar w:fldCharType="separate"/>
        </w:r>
        <w:r w:rsidR="007F5336">
          <w:rPr>
            <w:webHidden/>
          </w:rPr>
          <w:t>70</w:t>
        </w:r>
        <w:r w:rsidR="00211A02">
          <w:rPr>
            <w:webHidden/>
          </w:rPr>
          <w:fldChar w:fldCharType="end"/>
        </w:r>
      </w:hyperlink>
    </w:p>
    <w:p w14:paraId="194D992A" w14:textId="1036E01F" w:rsidR="00211A02" w:rsidRDefault="000213E5">
      <w:pPr>
        <w:pStyle w:val="TableofFigures"/>
        <w:rPr>
          <w:rFonts w:asciiTheme="minorHAnsi" w:eastAsiaTheme="minorEastAsia" w:hAnsiTheme="minorHAnsi" w:cstheme="minorBidi"/>
          <w:bCs w:val="0"/>
          <w:sz w:val="22"/>
          <w:szCs w:val="22"/>
          <w:lang w:val="en-AU" w:eastAsia="en-AU"/>
        </w:rPr>
      </w:pPr>
      <w:hyperlink w:anchor="_Toc459332395" w:history="1">
        <w:r w:rsidR="00211A02" w:rsidRPr="003E6900">
          <w:rPr>
            <w:rStyle w:val="Hyperlink"/>
          </w:rPr>
          <w:t>Figure 5</w:t>
        </w:r>
        <w:r w:rsidR="00211A02" w:rsidRPr="003E6900">
          <w:rPr>
            <w:rStyle w:val="Hyperlink"/>
          </w:rPr>
          <w:noBreakHyphen/>
          <w:t>38: Cumulative exposure index for the Burdekin River in 2014-15 (left), results for 2010-11 (right) are shown for context.  The colour bar indicates the calculated cumulative exposure (concentration x days) above 1% of the incoming concentration. The colour bar is capped at 20 Conc.Days. Contours show 0.1, 1.0 and 10.0 Conc.Days exposure levels.</w:t>
        </w:r>
        <w:r w:rsidR="00211A02">
          <w:rPr>
            <w:webHidden/>
          </w:rPr>
          <w:tab/>
        </w:r>
        <w:r w:rsidR="00211A02">
          <w:rPr>
            <w:webHidden/>
          </w:rPr>
          <w:fldChar w:fldCharType="begin"/>
        </w:r>
        <w:r w:rsidR="00211A02">
          <w:rPr>
            <w:webHidden/>
          </w:rPr>
          <w:instrText xml:space="preserve"> PAGEREF _Toc459332395 \h </w:instrText>
        </w:r>
        <w:r w:rsidR="00211A02">
          <w:rPr>
            <w:webHidden/>
          </w:rPr>
        </w:r>
        <w:r w:rsidR="00211A02">
          <w:rPr>
            <w:webHidden/>
          </w:rPr>
          <w:fldChar w:fldCharType="separate"/>
        </w:r>
        <w:r w:rsidR="007F5336">
          <w:rPr>
            <w:webHidden/>
          </w:rPr>
          <w:t>70</w:t>
        </w:r>
        <w:r w:rsidR="00211A02">
          <w:rPr>
            <w:webHidden/>
          </w:rPr>
          <w:fldChar w:fldCharType="end"/>
        </w:r>
      </w:hyperlink>
    </w:p>
    <w:p w14:paraId="50F9AE8F" w14:textId="62049BF1" w:rsidR="00211A02" w:rsidRDefault="000213E5">
      <w:pPr>
        <w:pStyle w:val="TableofFigures"/>
        <w:rPr>
          <w:rFonts w:asciiTheme="minorHAnsi" w:eastAsiaTheme="minorEastAsia" w:hAnsiTheme="minorHAnsi" w:cstheme="minorBidi"/>
          <w:bCs w:val="0"/>
          <w:sz w:val="22"/>
          <w:szCs w:val="22"/>
          <w:lang w:val="en-AU" w:eastAsia="en-AU"/>
        </w:rPr>
      </w:pPr>
      <w:hyperlink w:anchor="_Toc459332396" w:history="1">
        <w:r w:rsidR="00211A02" w:rsidRPr="003E6900">
          <w:rPr>
            <w:rStyle w:val="Hyperlink"/>
          </w:rPr>
          <w:t>Figure 5</w:t>
        </w:r>
        <w:r w:rsidR="00211A02" w:rsidRPr="003E6900">
          <w:rPr>
            <w:rStyle w:val="Hyperlink"/>
          </w:rPr>
          <w:noBreakHyphen/>
          <w:t>39. Measured Barratta Creek discharge and loads (at Northcote gauge) for (A) total suspended solids (sediment), (B) dissolved inorganic nitrogen (DIN), (C) particulate nitrogen (PN) and (D) particulate phosphorus (PP) from 2006-07 to 2014-15. Data from the Department of Science Information Technology and Innovation’s Great Barrier Reef Catchment Loads Monitoring Program (compiled from: Turner et al., 2012, 2013; Wallace et al., 2014, 2015, in press; Garzon-Garcia et al., 2015) and TropWATER (Bainbridge et al., 2007, 2008; unpublished data).</w:t>
        </w:r>
        <w:r w:rsidR="00211A02">
          <w:rPr>
            <w:webHidden/>
          </w:rPr>
          <w:tab/>
        </w:r>
        <w:r w:rsidR="00211A02">
          <w:rPr>
            <w:webHidden/>
          </w:rPr>
          <w:fldChar w:fldCharType="begin"/>
        </w:r>
        <w:r w:rsidR="00211A02">
          <w:rPr>
            <w:webHidden/>
          </w:rPr>
          <w:instrText xml:space="preserve"> PAGEREF _Toc459332396 \h </w:instrText>
        </w:r>
        <w:r w:rsidR="00211A02">
          <w:rPr>
            <w:webHidden/>
          </w:rPr>
        </w:r>
        <w:r w:rsidR="00211A02">
          <w:rPr>
            <w:webHidden/>
          </w:rPr>
          <w:fldChar w:fldCharType="separate"/>
        </w:r>
        <w:r w:rsidR="007F5336">
          <w:rPr>
            <w:webHidden/>
          </w:rPr>
          <w:t>71</w:t>
        </w:r>
        <w:r w:rsidR="00211A02">
          <w:rPr>
            <w:webHidden/>
          </w:rPr>
          <w:fldChar w:fldCharType="end"/>
        </w:r>
      </w:hyperlink>
    </w:p>
    <w:p w14:paraId="15AA76AC" w14:textId="45706FE6" w:rsidR="00211A02" w:rsidRDefault="000213E5">
      <w:pPr>
        <w:pStyle w:val="TableofFigures"/>
        <w:rPr>
          <w:rFonts w:asciiTheme="minorHAnsi" w:eastAsiaTheme="minorEastAsia" w:hAnsiTheme="minorHAnsi" w:cstheme="minorBidi"/>
          <w:bCs w:val="0"/>
          <w:sz w:val="22"/>
          <w:szCs w:val="22"/>
          <w:lang w:val="en-AU" w:eastAsia="en-AU"/>
        </w:rPr>
      </w:pPr>
      <w:hyperlink w:anchor="_Toc459332397" w:history="1">
        <w:r w:rsidR="00211A02" w:rsidRPr="003E6900">
          <w:rPr>
            <w:rStyle w:val="Hyperlink"/>
          </w:rPr>
          <w:t>Figure 5</w:t>
        </w:r>
        <w:r w:rsidR="00211A02" w:rsidRPr="003E6900">
          <w:rPr>
            <w:rStyle w:val="Hyperlink"/>
          </w:rPr>
          <w:noBreakHyphen/>
          <w:t>40. Measured Burdekin River discharge (at the Clare gauge) and loads for (A) total suspended solids (sediment), (B) dissolved inorganic nitrogen (DIN), (C) particulate nitrogen (PN) and (D) particulate phosphorus (PP) from 2006-07 to 2014-15. Data from the Department of Science Information Technology and Innovation’s Great Barrier Reef Catchment Loads Monitoring Program (compiled from: Joo et al., 2012; Turner et al., 2012, 2013; Wallace et al., 2014, 2015, in press; Garzon-Garcia et al., 2015).</w:t>
        </w:r>
        <w:r w:rsidR="00211A02">
          <w:rPr>
            <w:webHidden/>
          </w:rPr>
          <w:tab/>
        </w:r>
        <w:r w:rsidR="00211A02">
          <w:rPr>
            <w:webHidden/>
          </w:rPr>
          <w:fldChar w:fldCharType="begin"/>
        </w:r>
        <w:r w:rsidR="00211A02">
          <w:rPr>
            <w:webHidden/>
          </w:rPr>
          <w:instrText xml:space="preserve"> PAGEREF _Toc459332397 \h </w:instrText>
        </w:r>
        <w:r w:rsidR="00211A02">
          <w:rPr>
            <w:webHidden/>
          </w:rPr>
        </w:r>
        <w:r w:rsidR="00211A02">
          <w:rPr>
            <w:webHidden/>
          </w:rPr>
          <w:fldChar w:fldCharType="separate"/>
        </w:r>
        <w:r w:rsidR="007F5336">
          <w:rPr>
            <w:webHidden/>
          </w:rPr>
          <w:t>71</w:t>
        </w:r>
        <w:r w:rsidR="00211A02">
          <w:rPr>
            <w:webHidden/>
          </w:rPr>
          <w:fldChar w:fldCharType="end"/>
        </w:r>
      </w:hyperlink>
    </w:p>
    <w:p w14:paraId="47976C57" w14:textId="5B9A90B2" w:rsidR="00211A02" w:rsidRDefault="000213E5">
      <w:pPr>
        <w:pStyle w:val="TableofFigures"/>
        <w:rPr>
          <w:rFonts w:asciiTheme="minorHAnsi" w:eastAsiaTheme="minorEastAsia" w:hAnsiTheme="minorHAnsi" w:cstheme="minorBidi"/>
          <w:bCs w:val="0"/>
          <w:sz w:val="22"/>
          <w:szCs w:val="22"/>
          <w:lang w:val="en-AU" w:eastAsia="en-AU"/>
        </w:rPr>
      </w:pPr>
      <w:hyperlink w:anchor="_Toc459332398" w:history="1">
        <w:r w:rsidR="00211A02" w:rsidRPr="003E6900">
          <w:rPr>
            <w:rStyle w:val="Hyperlink"/>
          </w:rPr>
          <w:t>Figure 5</w:t>
        </w:r>
        <w:r w:rsidR="00211A02" w:rsidRPr="003E6900">
          <w:rPr>
            <w:rStyle w:val="Hyperlink"/>
          </w:rPr>
          <w:noBreakHyphen/>
          <w:t>41: Temporal trends in water quality for the Burdekin focus area.  a) Water Quality Index, b) chlorophyll a, c) total suspended solids, d) nitrate/nitrite, e) Secchi depth, f) particulate nitrogen, g) particulate phosphorus, h) particulate organic carbon and i) dissolved organic carbon. Water quality index colour coding: dark green- ‘very good’; light green-‘good’; yellow – ‘moderate; orange – ‘poor’; red – ‘very poor’. The water quality index is the aggregate of variables plotted in b - h and calculated as described in Appendix 1.2.3. Trends in POC and DOC values are plotted here (i, j); threshold levels have yet to be established.  Trends in manually sampled water quality variables are represented by blue lines with blue shaded areas defining 95% confidence intervals of those trends accounting for the effects of wind, waves and tides, black dots represent observed data. Trends of records from ECO FLNTUSB instruments are represented in red, individual records are not displayed. Dashed reference lines indicate guideline values.</w:t>
        </w:r>
        <w:r w:rsidR="00211A02">
          <w:rPr>
            <w:webHidden/>
          </w:rPr>
          <w:tab/>
        </w:r>
        <w:r w:rsidR="00211A02">
          <w:rPr>
            <w:webHidden/>
          </w:rPr>
          <w:fldChar w:fldCharType="begin"/>
        </w:r>
        <w:r w:rsidR="00211A02">
          <w:rPr>
            <w:webHidden/>
          </w:rPr>
          <w:instrText xml:space="preserve"> PAGEREF _Toc459332398 \h </w:instrText>
        </w:r>
        <w:r w:rsidR="00211A02">
          <w:rPr>
            <w:webHidden/>
          </w:rPr>
        </w:r>
        <w:r w:rsidR="00211A02">
          <w:rPr>
            <w:webHidden/>
          </w:rPr>
          <w:fldChar w:fldCharType="separate"/>
        </w:r>
        <w:r w:rsidR="007F5336">
          <w:rPr>
            <w:webHidden/>
          </w:rPr>
          <w:t>73</w:t>
        </w:r>
        <w:r w:rsidR="00211A02">
          <w:rPr>
            <w:webHidden/>
          </w:rPr>
          <w:fldChar w:fldCharType="end"/>
        </w:r>
      </w:hyperlink>
    </w:p>
    <w:p w14:paraId="172426DD" w14:textId="50F0AEAE" w:rsidR="00211A02" w:rsidRDefault="000213E5">
      <w:pPr>
        <w:pStyle w:val="TableofFigures"/>
        <w:rPr>
          <w:rFonts w:asciiTheme="minorHAnsi" w:eastAsiaTheme="minorEastAsia" w:hAnsiTheme="minorHAnsi" w:cstheme="minorBidi"/>
          <w:bCs w:val="0"/>
          <w:sz w:val="22"/>
          <w:szCs w:val="22"/>
          <w:lang w:val="en-AU" w:eastAsia="en-AU"/>
        </w:rPr>
      </w:pPr>
      <w:hyperlink w:anchor="_Toc459332399" w:history="1">
        <w:r w:rsidR="00211A02" w:rsidRPr="003E6900">
          <w:rPr>
            <w:rStyle w:val="Hyperlink"/>
            <w:lang w:val="en-AU"/>
          </w:rPr>
          <w:t>Figure 5</w:t>
        </w:r>
        <w:r w:rsidR="00211A02" w:rsidRPr="003E6900">
          <w:rPr>
            <w:rStyle w:val="Hyperlink"/>
            <w:lang w:val="en-AU"/>
          </w:rPr>
          <w:noBreakHyphen/>
          <w:t>42: Boxplot for the parameters sampled at the Burdekin sites in the current wet season compared to all data sampled since 2005-06 wet season. In the boxplot bold line stands for median, rectangles are for the 25</w:t>
        </w:r>
        <w:r w:rsidR="00211A02" w:rsidRPr="003E6900">
          <w:rPr>
            <w:rStyle w:val="Hyperlink"/>
            <w:vertAlign w:val="superscript"/>
            <w:lang w:val="en-AU"/>
          </w:rPr>
          <w:t>th</w:t>
        </w:r>
        <w:r w:rsidR="00211A02" w:rsidRPr="003E6900">
          <w:rPr>
            <w:rStyle w:val="Hyperlink"/>
            <w:lang w:val="en-AU"/>
          </w:rPr>
          <w:t xml:space="preserve"> and 75</w:t>
        </w:r>
        <w:r w:rsidR="00211A02" w:rsidRPr="003E6900">
          <w:rPr>
            <w:rStyle w:val="Hyperlink"/>
            <w:vertAlign w:val="superscript"/>
            <w:lang w:val="en-AU"/>
          </w:rPr>
          <w:t>th</w:t>
        </w:r>
        <w:r w:rsidR="00211A02" w:rsidRPr="003E6900">
          <w:rPr>
            <w:rStyle w:val="Hyperlink"/>
            <w:lang w:val="en-AU"/>
          </w:rPr>
          <w:t xml:space="preserve"> percentiles and vertical line for 5</w:t>
        </w:r>
        <w:r w:rsidR="00211A02" w:rsidRPr="003E6900">
          <w:rPr>
            <w:rStyle w:val="Hyperlink"/>
            <w:vertAlign w:val="superscript"/>
            <w:lang w:val="en-AU"/>
          </w:rPr>
          <w:t>th</w:t>
        </w:r>
        <w:r w:rsidR="00211A02" w:rsidRPr="003E6900">
          <w:rPr>
            <w:rStyle w:val="Hyperlink"/>
            <w:lang w:val="en-AU"/>
          </w:rPr>
          <w:t xml:space="preserve"> and 95</w:t>
        </w:r>
        <w:r w:rsidR="00211A02" w:rsidRPr="003E6900">
          <w:rPr>
            <w:rStyle w:val="Hyperlink"/>
            <w:vertAlign w:val="superscript"/>
            <w:lang w:val="en-AU"/>
          </w:rPr>
          <w:t>th</w:t>
        </w:r>
        <w:r w:rsidR="00211A02" w:rsidRPr="003E6900">
          <w:rPr>
            <w:rStyle w:val="Hyperlink"/>
            <w:lang w:val="en-AU"/>
          </w:rPr>
          <w:t xml:space="preserve"> percentile. The p-value is from a Kruskal-Wallis Rank Sum test  among plume water types. Dots represent data points (nudge was added for data visualization) and red dashed line stands for the water quality guidelines for open coastal waters. Plume water type 1, 2 and 3 stands for Primary, Secondary and Tertiary, respectively.</w:t>
        </w:r>
        <w:r w:rsidR="00211A02">
          <w:rPr>
            <w:webHidden/>
          </w:rPr>
          <w:tab/>
        </w:r>
        <w:r w:rsidR="00211A02">
          <w:rPr>
            <w:webHidden/>
          </w:rPr>
          <w:fldChar w:fldCharType="begin"/>
        </w:r>
        <w:r w:rsidR="00211A02">
          <w:rPr>
            <w:webHidden/>
          </w:rPr>
          <w:instrText xml:space="preserve"> PAGEREF _Toc459332399 \h </w:instrText>
        </w:r>
        <w:r w:rsidR="00211A02">
          <w:rPr>
            <w:webHidden/>
          </w:rPr>
        </w:r>
        <w:r w:rsidR="00211A02">
          <w:rPr>
            <w:webHidden/>
          </w:rPr>
          <w:fldChar w:fldCharType="separate"/>
        </w:r>
        <w:r w:rsidR="007F5336">
          <w:rPr>
            <w:webHidden/>
          </w:rPr>
          <w:t>75</w:t>
        </w:r>
        <w:r w:rsidR="00211A02">
          <w:rPr>
            <w:webHidden/>
          </w:rPr>
          <w:fldChar w:fldCharType="end"/>
        </w:r>
      </w:hyperlink>
    </w:p>
    <w:p w14:paraId="60F3BD48" w14:textId="4DDB2663" w:rsidR="00211A02" w:rsidRDefault="000213E5">
      <w:pPr>
        <w:pStyle w:val="TableofFigures"/>
        <w:rPr>
          <w:rFonts w:asciiTheme="minorHAnsi" w:eastAsiaTheme="minorEastAsia" w:hAnsiTheme="minorHAnsi" w:cstheme="minorBidi"/>
          <w:bCs w:val="0"/>
          <w:sz w:val="22"/>
          <w:szCs w:val="22"/>
          <w:lang w:val="en-AU" w:eastAsia="en-AU"/>
        </w:rPr>
      </w:pPr>
      <w:hyperlink w:anchor="_Toc459332400" w:history="1">
        <w:r w:rsidR="00211A02" w:rsidRPr="003E6900">
          <w:rPr>
            <w:rStyle w:val="Hyperlink"/>
          </w:rPr>
          <w:t>Figure 5</w:t>
        </w:r>
        <w:r w:rsidR="00211A02" w:rsidRPr="003E6900">
          <w:rPr>
            <w:rStyle w:val="Hyperlink"/>
          </w:rPr>
          <w:noBreakHyphen/>
          <w:t>43: MMP sampling sites in the Mackay Whitsunday focus area shown with (left) wet season plume frequency 2003 to 2015 (Primary + Secondary; where 1.0 represents 22 weeks, December to March) and (right) the water body boundaries.</w:t>
        </w:r>
        <w:r w:rsidR="00211A02">
          <w:rPr>
            <w:webHidden/>
          </w:rPr>
          <w:tab/>
        </w:r>
        <w:r w:rsidR="00211A02">
          <w:rPr>
            <w:webHidden/>
          </w:rPr>
          <w:fldChar w:fldCharType="begin"/>
        </w:r>
        <w:r w:rsidR="00211A02">
          <w:rPr>
            <w:webHidden/>
          </w:rPr>
          <w:instrText xml:space="preserve"> PAGEREF _Toc459332400 \h </w:instrText>
        </w:r>
        <w:r w:rsidR="00211A02">
          <w:rPr>
            <w:webHidden/>
          </w:rPr>
        </w:r>
        <w:r w:rsidR="00211A02">
          <w:rPr>
            <w:webHidden/>
          </w:rPr>
          <w:fldChar w:fldCharType="separate"/>
        </w:r>
        <w:r w:rsidR="007F5336">
          <w:rPr>
            <w:webHidden/>
          </w:rPr>
          <w:t>76</w:t>
        </w:r>
        <w:r w:rsidR="00211A02">
          <w:rPr>
            <w:webHidden/>
          </w:rPr>
          <w:fldChar w:fldCharType="end"/>
        </w:r>
      </w:hyperlink>
    </w:p>
    <w:p w14:paraId="01B15A90" w14:textId="5702719E" w:rsidR="00211A02" w:rsidRDefault="000213E5">
      <w:pPr>
        <w:pStyle w:val="TableofFigures"/>
        <w:rPr>
          <w:rFonts w:asciiTheme="minorHAnsi" w:eastAsiaTheme="minorEastAsia" w:hAnsiTheme="minorHAnsi" w:cstheme="minorBidi"/>
          <w:bCs w:val="0"/>
          <w:sz w:val="22"/>
          <w:szCs w:val="22"/>
          <w:lang w:val="en-AU" w:eastAsia="en-AU"/>
        </w:rPr>
      </w:pPr>
      <w:hyperlink w:anchor="_Toc459332401" w:history="1">
        <w:r w:rsidR="00211A02" w:rsidRPr="003E6900">
          <w:rPr>
            <w:rStyle w:val="Hyperlink"/>
          </w:rPr>
          <w:t>Figure 5</w:t>
        </w:r>
        <w:r w:rsidR="00211A02" w:rsidRPr="003E6900">
          <w:rPr>
            <w:rStyle w:val="Hyperlink"/>
          </w:rPr>
          <w:noBreakHyphen/>
          <w:t>44: Combined discharge for the O'Connell, Proserpine and Pioneer Rivers. Daily (blue) and annual (October to September, red) discharge shown. Red dashed line represents the long-term median of the combined annual discharges.</w:t>
        </w:r>
        <w:r w:rsidR="00211A02">
          <w:rPr>
            <w:webHidden/>
          </w:rPr>
          <w:tab/>
        </w:r>
        <w:r w:rsidR="00211A02">
          <w:rPr>
            <w:webHidden/>
          </w:rPr>
          <w:fldChar w:fldCharType="begin"/>
        </w:r>
        <w:r w:rsidR="00211A02">
          <w:rPr>
            <w:webHidden/>
          </w:rPr>
          <w:instrText xml:space="preserve"> PAGEREF _Toc459332401 \h </w:instrText>
        </w:r>
        <w:r w:rsidR="00211A02">
          <w:rPr>
            <w:webHidden/>
          </w:rPr>
        </w:r>
        <w:r w:rsidR="00211A02">
          <w:rPr>
            <w:webHidden/>
          </w:rPr>
          <w:fldChar w:fldCharType="separate"/>
        </w:r>
        <w:r w:rsidR="007F5336">
          <w:rPr>
            <w:webHidden/>
          </w:rPr>
          <w:t>77</w:t>
        </w:r>
        <w:r w:rsidR="00211A02">
          <w:rPr>
            <w:webHidden/>
          </w:rPr>
          <w:fldChar w:fldCharType="end"/>
        </w:r>
      </w:hyperlink>
    </w:p>
    <w:p w14:paraId="0BEBECE7" w14:textId="53409CDD" w:rsidR="00211A02" w:rsidRDefault="000213E5">
      <w:pPr>
        <w:pStyle w:val="TableofFigures"/>
        <w:rPr>
          <w:rFonts w:asciiTheme="minorHAnsi" w:eastAsiaTheme="minorEastAsia" w:hAnsiTheme="minorHAnsi" w:cstheme="minorBidi"/>
          <w:bCs w:val="0"/>
          <w:sz w:val="22"/>
          <w:szCs w:val="22"/>
          <w:lang w:val="en-AU" w:eastAsia="en-AU"/>
        </w:rPr>
      </w:pPr>
      <w:hyperlink w:anchor="_Toc459332402" w:history="1">
        <w:r w:rsidR="00211A02" w:rsidRPr="003E6900">
          <w:rPr>
            <w:rStyle w:val="Hyperlink"/>
          </w:rPr>
          <w:t>Figure 5</w:t>
        </w:r>
        <w:r w:rsidR="00211A02" w:rsidRPr="003E6900">
          <w:rPr>
            <w:rStyle w:val="Hyperlink"/>
          </w:rPr>
          <w:noBreakHyphen/>
          <w:t>45: Cumulative exposure index for the O'Connell River in 2014-15 (left), results for 2010-11 (right) are shown for context.  The colour bar indicates the calculated cumulative exposure (concentration x days) above 1% of the incoming concentration. The colour bar is capped at 20 Conc.Days. Contours show 0.1, 1.0 and 10.0 Conc.Days exposure levels.</w:t>
        </w:r>
        <w:r w:rsidR="00211A02">
          <w:rPr>
            <w:webHidden/>
          </w:rPr>
          <w:tab/>
        </w:r>
        <w:r w:rsidR="00211A02">
          <w:rPr>
            <w:webHidden/>
          </w:rPr>
          <w:fldChar w:fldCharType="begin"/>
        </w:r>
        <w:r w:rsidR="00211A02">
          <w:rPr>
            <w:webHidden/>
          </w:rPr>
          <w:instrText xml:space="preserve"> PAGEREF _Toc459332402 \h </w:instrText>
        </w:r>
        <w:r w:rsidR="00211A02">
          <w:rPr>
            <w:webHidden/>
          </w:rPr>
        </w:r>
        <w:r w:rsidR="00211A02">
          <w:rPr>
            <w:webHidden/>
          </w:rPr>
          <w:fldChar w:fldCharType="separate"/>
        </w:r>
        <w:r w:rsidR="007F5336">
          <w:rPr>
            <w:webHidden/>
          </w:rPr>
          <w:t>77</w:t>
        </w:r>
        <w:r w:rsidR="00211A02">
          <w:rPr>
            <w:webHidden/>
          </w:rPr>
          <w:fldChar w:fldCharType="end"/>
        </w:r>
      </w:hyperlink>
    </w:p>
    <w:p w14:paraId="74EC224C" w14:textId="420DF636" w:rsidR="00211A02" w:rsidRDefault="000213E5">
      <w:pPr>
        <w:pStyle w:val="TableofFigures"/>
        <w:rPr>
          <w:rFonts w:asciiTheme="minorHAnsi" w:eastAsiaTheme="minorEastAsia" w:hAnsiTheme="minorHAnsi" w:cstheme="minorBidi"/>
          <w:bCs w:val="0"/>
          <w:sz w:val="22"/>
          <w:szCs w:val="22"/>
          <w:lang w:val="en-AU" w:eastAsia="en-AU"/>
        </w:rPr>
      </w:pPr>
      <w:hyperlink w:anchor="_Toc459332403" w:history="1">
        <w:r w:rsidR="00211A02" w:rsidRPr="003E6900">
          <w:rPr>
            <w:rStyle w:val="Hyperlink"/>
          </w:rPr>
          <w:t>Figure 5</w:t>
        </w:r>
        <w:r w:rsidR="00211A02" w:rsidRPr="003E6900">
          <w:rPr>
            <w:rStyle w:val="Hyperlink"/>
          </w:rPr>
          <w:noBreakHyphen/>
          <w:t>46. Measured O’Connell River discharge (at the Stafford’s Crossing/Caravan Park gauge) and loads for (A) total suspended solids (sediment), (B) dissolved inorganic nitrogen (DIN), (C) particulate nitrogen (PN) and (D) particulate phosphorus (PP) from 2006/07 to 2014/15. Data from the Department of Science Information Technology and Innovation’s Great Barrier Reef Catchment Loads Monitoring Program (compiled from: Joo et al., 2012; Wallace et al., in press; Garzon-Garcia et al., 2015).</w:t>
        </w:r>
        <w:r w:rsidR="00211A02">
          <w:rPr>
            <w:webHidden/>
          </w:rPr>
          <w:tab/>
        </w:r>
        <w:r w:rsidR="00211A02">
          <w:rPr>
            <w:webHidden/>
          </w:rPr>
          <w:fldChar w:fldCharType="begin"/>
        </w:r>
        <w:r w:rsidR="00211A02">
          <w:rPr>
            <w:webHidden/>
          </w:rPr>
          <w:instrText xml:space="preserve"> PAGEREF _Toc459332403 \h </w:instrText>
        </w:r>
        <w:r w:rsidR="00211A02">
          <w:rPr>
            <w:webHidden/>
          </w:rPr>
        </w:r>
        <w:r w:rsidR="00211A02">
          <w:rPr>
            <w:webHidden/>
          </w:rPr>
          <w:fldChar w:fldCharType="separate"/>
        </w:r>
        <w:r w:rsidR="007F5336">
          <w:rPr>
            <w:webHidden/>
          </w:rPr>
          <w:t>78</w:t>
        </w:r>
        <w:r w:rsidR="00211A02">
          <w:rPr>
            <w:webHidden/>
          </w:rPr>
          <w:fldChar w:fldCharType="end"/>
        </w:r>
      </w:hyperlink>
    </w:p>
    <w:p w14:paraId="21ECC047" w14:textId="437B8885" w:rsidR="00211A02" w:rsidRDefault="000213E5">
      <w:pPr>
        <w:pStyle w:val="TableofFigures"/>
        <w:rPr>
          <w:rFonts w:asciiTheme="minorHAnsi" w:eastAsiaTheme="minorEastAsia" w:hAnsiTheme="minorHAnsi" w:cstheme="minorBidi"/>
          <w:bCs w:val="0"/>
          <w:sz w:val="22"/>
          <w:szCs w:val="22"/>
          <w:lang w:val="en-AU" w:eastAsia="en-AU"/>
        </w:rPr>
      </w:pPr>
      <w:hyperlink w:anchor="_Toc459332404" w:history="1">
        <w:r w:rsidR="00211A02" w:rsidRPr="003E6900">
          <w:rPr>
            <w:rStyle w:val="Hyperlink"/>
          </w:rPr>
          <w:t>Figure 5</w:t>
        </w:r>
        <w:r w:rsidR="00211A02" w:rsidRPr="003E6900">
          <w:rPr>
            <w:rStyle w:val="Hyperlink"/>
          </w:rPr>
          <w:noBreakHyphen/>
          <w:t>47. Measured Pioneer River discharge (at the Dumbleton gauge) and loads for (A) total suspended solids (sediment), (B) dissolved inorganic nitrogen (DIN), (C) particulate nitrogen (PN) and (D) particulate phosphorus (PP) from 2006/07 to 2014/15. Data from the Department of Science Information Technology and Innovation’s Great Barrier Reef Catchment Loads Monitoring Program (compiled from: Joo et al., 2012; Turner et al., 2012, 2013; Wallace et al., 2014, 2015, in press; Garzon-Garcia et al., 2015).</w:t>
        </w:r>
        <w:r w:rsidR="00211A02">
          <w:rPr>
            <w:webHidden/>
          </w:rPr>
          <w:tab/>
        </w:r>
        <w:r w:rsidR="00211A02">
          <w:rPr>
            <w:webHidden/>
          </w:rPr>
          <w:fldChar w:fldCharType="begin"/>
        </w:r>
        <w:r w:rsidR="00211A02">
          <w:rPr>
            <w:webHidden/>
          </w:rPr>
          <w:instrText xml:space="preserve"> PAGEREF _Toc459332404 \h </w:instrText>
        </w:r>
        <w:r w:rsidR="00211A02">
          <w:rPr>
            <w:webHidden/>
          </w:rPr>
        </w:r>
        <w:r w:rsidR="00211A02">
          <w:rPr>
            <w:webHidden/>
          </w:rPr>
          <w:fldChar w:fldCharType="separate"/>
        </w:r>
        <w:r w:rsidR="007F5336">
          <w:rPr>
            <w:webHidden/>
          </w:rPr>
          <w:t>78</w:t>
        </w:r>
        <w:r w:rsidR="00211A02">
          <w:rPr>
            <w:webHidden/>
          </w:rPr>
          <w:fldChar w:fldCharType="end"/>
        </w:r>
      </w:hyperlink>
    </w:p>
    <w:p w14:paraId="1299261C" w14:textId="7BC3782E" w:rsidR="00211A02" w:rsidRDefault="000213E5">
      <w:pPr>
        <w:pStyle w:val="TableofFigures"/>
        <w:rPr>
          <w:rFonts w:asciiTheme="minorHAnsi" w:eastAsiaTheme="minorEastAsia" w:hAnsiTheme="minorHAnsi" w:cstheme="minorBidi"/>
          <w:bCs w:val="0"/>
          <w:sz w:val="22"/>
          <w:szCs w:val="22"/>
          <w:lang w:val="en-AU" w:eastAsia="en-AU"/>
        </w:rPr>
      </w:pPr>
      <w:hyperlink w:anchor="_Toc459332405" w:history="1">
        <w:r w:rsidR="00211A02" w:rsidRPr="003E6900">
          <w:rPr>
            <w:rStyle w:val="Hyperlink"/>
          </w:rPr>
          <w:t>Figure 5</w:t>
        </w:r>
        <w:r w:rsidR="00211A02" w:rsidRPr="003E6900">
          <w:rPr>
            <w:rStyle w:val="Hyperlink"/>
          </w:rPr>
          <w:noBreakHyphen/>
          <w:t>48. Measured Sandy Creek discharge (at the Homebush gauge) and loads for (A) total suspended solids (sediment), (B) dissolved inorganic nitrogen (DIN), (C) particulate nitrogen (PN) and (D) particulate phosphorus (PP) from 2009/10 to 2014/15. Data from the Department of Science Information Technology and Innovation’s Great Barrier Reef Catchment Loads Monitoring Program (compiled from: Turner et al., 2012, 2013; Wallace et al., 2014, 2015, in press; Garzon-Garcia et al., 2015).</w:t>
        </w:r>
        <w:r w:rsidR="00211A02">
          <w:rPr>
            <w:webHidden/>
          </w:rPr>
          <w:tab/>
        </w:r>
        <w:r w:rsidR="00211A02">
          <w:rPr>
            <w:webHidden/>
          </w:rPr>
          <w:fldChar w:fldCharType="begin"/>
        </w:r>
        <w:r w:rsidR="00211A02">
          <w:rPr>
            <w:webHidden/>
          </w:rPr>
          <w:instrText xml:space="preserve"> PAGEREF _Toc459332405 \h </w:instrText>
        </w:r>
        <w:r w:rsidR="00211A02">
          <w:rPr>
            <w:webHidden/>
          </w:rPr>
        </w:r>
        <w:r w:rsidR="00211A02">
          <w:rPr>
            <w:webHidden/>
          </w:rPr>
          <w:fldChar w:fldCharType="separate"/>
        </w:r>
        <w:r w:rsidR="007F5336">
          <w:rPr>
            <w:webHidden/>
          </w:rPr>
          <w:t>79</w:t>
        </w:r>
        <w:r w:rsidR="00211A02">
          <w:rPr>
            <w:webHidden/>
          </w:rPr>
          <w:fldChar w:fldCharType="end"/>
        </w:r>
      </w:hyperlink>
    </w:p>
    <w:p w14:paraId="1857AA22" w14:textId="6B35D907" w:rsidR="00211A02" w:rsidRDefault="000213E5">
      <w:pPr>
        <w:pStyle w:val="TableofFigures"/>
        <w:rPr>
          <w:rFonts w:asciiTheme="minorHAnsi" w:eastAsiaTheme="minorEastAsia" w:hAnsiTheme="minorHAnsi" w:cstheme="minorBidi"/>
          <w:bCs w:val="0"/>
          <w:sz w:val="22"/>
          <w:szCs w:val="22"/>
          <w:lang w:val="en-AU" w:eastAsia="en-AU"/>
        </w:rPr>
      </w:pPr>
      <w:hyperlink w:anchor="_Toc459332406" w:history="1">
        <w:r w:rsidR="00211A02" w:rsidRPr="003E6900">
          <w:rPr>
            <w:rStyle w:val="Hyperlink"/>
          </w:rPr>
          <w:t>Figure 5</w:t>
        </w:r>
        <w:r w:rsidR="00211A02" w:rsidRPr="003E6900">
          <w:rPr>
            <w:rStyle w:val="Hyperlink"/>
          </w:rPr>
          <w:noBreakHyphen/>
          <w:t>49: Temporal trends in water quality for the Mackay Whitsunday focus-region. a) Water Quality Index, b) chlorophyll a, c) total suspended solids, d) nitrate/nitrite, e) Secchi depth, f) particulate nitrogen, g) particulate phosphorus, h) particulate organic carbon and i) dissolved organic carbon. Water quality index colour coding: dark green- ‘very good’; light green-‘good’; yellow – ‘moderate; orange – ‘poor’; red – ‘very poor’. The water quality index is the aggregate of variables plotted in b - h and calculated as described in Appendix 1.2.3. Trends in POC and DOC values are plotted here (i, j); threshold levels have yet to be established.  Trends in manually sampled water quality variables are represented by blue lines with blue shaded areas defining 95% confidence intervals of those trends accounting for the effects of wind, waves and tides, black dots represent observed data. Trends of records from ECO FLNTUSB instruments are represented in red, individual records are not displayed. Dashed reference lines indicate guideline values.</w:t>
        </w:r>
        <w:r w:rsidR="00211A02">
          <w:rPr>
            <w:webHidden/>
          </w:rPr>
          <w:tab/>
        </w:r>
        <w:r w:rsidR="00211A02">
          <w:rPr>
            <w:webHidden/>
          </w:rPr>
          <w:fldChar w:fldCharType="begin"/>
        </w:r>
        <w:r w:rsidR="00211A02">
          <w:rPr>
            <w:webHidden/>
          </w:rPr>
          <w:instrText xml:space="preserve"> PAGEREF _Toc459332406 \h </w:instrText>
        </w:r>
        <w:r w:rsidR="00211A02">
          <w:rPr>
            <w:webHidden/>
          </w:rPr>
        </w:r>
        <w:r w:rsidR="00211A02">
          <w:rPr>
            <w:webHidden/>
          </w:rPr>
          <w:fldChar w:fldCharType="separate"/>
        </w:r>
        <w:r w:rsidR="007F5336">
          <w:rPr>
            <w:webHidden/>
          </w:rPr>
          <w:t>80</w:t>
        </w:r>
        <w:r w:rsidR="00211A02">
          <w:rPr>
            <w:webHidden/>
          </w:rPr>
          <w:fldChar w:fldCharType="end"/>
        </w:r>
      </w:hyperlink>
    </w:p>
    <w:p w14:paraId="7626A966" w14:textId="557D8846" w:rsidR="00211A02" w:rsidRDefault="000213E5">
      <w:pPr>
        <w:pStyle w:val="TableofFigures"/>
        <w:rPr>
          <w:rFonts w:asciiTheme="minorHAnsi" w:eastAsiaTheme="minorEastAsia" w:hAnsiTheme="minorHAnsi" w:cstheme="minorBidi"/>
          <w:bCs w:val="0"/>
          <w:sz w:val="22"/>
          <w:szCs w:val="22"/>
          <w:lang w:val="en-AU" w:eastAsia="en-AU"/>
        </w:rPr>
      </w:pPr>
      <w:hyperlink w:anchor="_Toc459332407" w:history="1">
        <w:r w:rsidR="00211A02" w:rsidRPr="003E6900">
          <w:rPr>
            <w:rStyle w:val="Hyperlink"/>
          </w:rPr>
          <w:t>Figure 5</w:t>
        </w:r>
        <w:r w:rsidR="00211A02" w:rsidRPr="003E6900">
          <w:rPr>
            <w:rStyle w:val="Hyperlink"/>
          </w:rPr>
          <w:noBreakHyphen/>
          <w:t xml:space="preserve">50: Trend in water quality from 2005-06 to 2014-15. The overall water quality score is the average of the weighted component scores for chlorophyll </w:t>
        </w:r>
        <w:r w:rsidR="00211A02" w:rsidRPr="003E6900">
          <w:rPr>
            <w:rStyle w:val="Hyperlink"/>
            <w:i/>
          </w:rPr>
          <w:t>a</w:t>
        </w:r>
        <w:r w:rsidR="00211A02" w:rsidRPr="003E6900">
          <w:rPr>
            <w:rStyle w:val="Hyperlink"/>
          </w:rPr>
          <w:t xml:space="preserve"> and total suspended solids. Values are indexed scores scaled from 0-100; </w:t>
        </w:r>
        <w:r w:rsidR="00211A02" w:rsidRPr="003E6900">
          <w:rPr>
            <w:rStyle w:val="Hyperlink"/>
            <w:rFonts w:cs="Arial"/>
          </w:rPr>
          <w:t xml:space="preserve">■ </w:t>
        </w:r>
        <w:r w:rsidR="00211A02" w:rsidRPr="003E6900">
          <w:rPr>
            <w:rStyle w:val="Hyperlink"/>
          </w:rPr>
          <w:t xml:space="preserve">= very good (81-100), </w:t>
        </w:r>
        <w:r w:rsidR="00211A02" w:rsidRPr="003E6900">
          <w:rPr>
            <w:rStyle w:val="Hyperlink"/>
            <w:rFonts w:cs="Arial"/>
          </w:rPr>
          <w:t xml:space="preserve">■ </w:t>
        </w:r>
        <w:r w:rsidR="00211A02" w:rsidRPr="003E6900">
          <w:rPr>
            <w:rStyle w:val="Hyperlink"/>
          </w:rPr>
          <w:t xml:space="preserve">= good (61 - 80), </w:t>
        </w:r>
        <w:r w:rsidR="00211A02" w:rsidRPr="003E6900">
          <w:rPr>
            <w:rStyle w:val="Hyperlink"/>
            <w:rFonts w:cs="Arial"/>
          </w:rPr>
          <w:t xml:space="preserve">■ </w:t>
        </w:r>
        <w:r w:rsidR="00211A02" w:rsidRPr="003E6900">
          <w:rPr>
            <w:rStyle w:val="Hyperlink"/>
          </w:rPr>
          <w:t xml:space="preserve">= moderate (41 - 60), </w:t>
        </w:r>
        <w:r w:rsidR="00211A02" w:rsidRPr="003E6900">
          <w:rPr>
            <w:rStyle w:val="Hyperlink"/>
            <w:rFonts w:cs="Arial"/>
          </w:rPr>
          <w:t xml:space="preserve">■ </w:t>
        </w:r>
        <w:r w:rsidR="00211A02" w:rsidRPr="003E6900">
          <w:rPr>
            <w:rStyle w:val="Hyperlink"/>
          </w:rPr>
          <w:t xml:space="preserve">= poor (21 - 40), </w:t>
        </w:r>
        <w:r w:rsidR="00211A02" w:rsidRPr="003E6900">
          <w:rPr>
            <w:rStyle w:val="Hyperlink"/>
            <w:rFonts w:cs="Arial"/>
          </w:rPr>
          <w:t xml:space="preserve">■ </w:t>
        </w:r>
        <w:r w:rsidR="00211A02" w:rsidRPr="003E6900">
          <w:rPr>
            <w:rStyle w:val="Hyperlink"/>
          </w:rPr>
          <w:t>= very poor (0 - 20). NB: Scores are unitless.</w:t>
        </w:r>
        <w:r w:rsidR="00211A02">
          <w:rPr>
            <w:webHidden/>
          </w:rPr>
          <w:tab/>
        </w:r>
        <w:r w:rsidR="00211A02">
          <w:rPr>
            <w:webHidden/>
          </w:rPr>
          <w:fldChar w:fldCharType="begin"/>
        </w:r>
        <w:r w:rsidR="00211A02">
          <w:rPr>
            <w:webHidden/>
          </w:rPr>
          <w:instrText xml:space="preserve"> PAGEREF _Toc459332407 \h </w:instrText>
        </w:r>
        <w:r w:rsidR="00211A02">
          <w:rPr>
            <w:webHidden/>
          </w:rPr>
        </w:r>
        <w:r w:rsidR="00211A02">
          <w:rPr>
            <w:webHidden/>
          </w:rPr>
          <w:fldChar w:fldCharType="separate"/>
        </w:r>
        <w:r w:rsidR="007F5336">
          <w:rPr>
            <w:webHidden/>
          </w:rPr>
          <w:t>85</w:t>
        </w:r>
        <w:r w:rsidR="00211A02">
          <w:rPr>
            <w:webHidden/>
          </w:rPr>
          <w:fldChar w:fldCharType="end"/>
        </w:r>
      </w:hyperlink>
    </w:p>
    <w:p w14:paraId="443DA018" w14:textId="31CF0512" w:rsidR="00211A02" w:rsidRDefault="000213E5">
      <w:pPr>
        <w:pStyle w:val="TableofFigures"/>
        <w:rPr>
          <w:rFonts w:asciiTheme="minorHAnsi" w:eastAsiaTheme="minorEastAsia" w:hAnsiTheme="minorHAnsi" w:cstheme="minorBidi"/>
          <w:bCs w:val="0"/>
          <w:sz w:val="22"/>
          <w:szCs w:val="22"/>
          <w:lang w:val="en-AU" w:eastAsia="en-AU"/>
        </w:rPr>
      </w:pPr>
      <w:hyperlink w:anchor="_Toc459332408" w:history="1">
        <w:r w:rsidR="00211A02" w:rsidRPr="003E6900">
          <w:rPr>
            <w:rStyle w:val="Hyperlink"/>
          </w:rPr>
          <w:t>Figure 7</w:t>
        </w:r>
        <w:r w:rsidR="00211A02" w:rsidRPr="003E6900">
          <w:rPr>
            <w:rStyle w:val="Hyperlink"/>
          </w:rPr>
          <w:noBreakHyphen/>
          <w:t>1: The Cairns Time Series (CaTS) oceanographic transect based in the central Great Barrier Reef (GBR) lagoon</w:t>
        </w:r>
        <w:r w:rsidR="00211A02" w:rsidRPr="003E6900">
          <w:rPr>
            <w:rStyle w:val="Hyperlink"/>
            <w:rFonts w:eastAsiaTheme="minorHAnsi"/>
          </w:rPr>
          <w:t xml:space="preserve"> </w:t>
        </w:r>
        <w:r w:rsidR="00211A02" w:rsidRPr="003E6900">
          <w:rPr>
            <w:rStyle w:val="Hyperlink"/>
          </w:rPr>
          <w:t>(16-17°S; 145-146° E). The yellow dots show the 6 occupied during the period 1989 to 2015, and the red the stations were discontinued in 2008.</w:t>
        </w:r>
        <w:r w:rsidR="00211A02">
          <w:rPr>
            <w:webHidden/>
          </w:rPr>
          <w:tab/>
        </w:r>
        <w:r w:rsidR="00211A02">
          <w:rPr>
            <w:webHidden/>
          </w:rPr>
          <w:fldChar w:fldCharType="begin"/>
        </w:r>
        <w:r w:rsidR="00211A02">
          <w:rPr>
            <w:webHidden/>
          </w:rPr>
          <w:instrText xml:space="preserve"> PAGEREF _Toc459332408 \h </w:instrText>
        </w:r>
        <w:r w:rsidR="00211A02">
          <w:rPr>
            <w:webHidden/>
          </w:rPr>
        </w:r>
        <w:r w:rsidR="00211A02">
          <w:rPr>
            <w:webHidden/>
          </w:rPr>
          <w:fldChar w:fldCharType="separate"/>
        </w:r>
        <w:r w:rsidR="007F5336">
          <w:rPr>
            <w:webHidden/>
          </w:rPr>
          <w:t>94</w:t>
        </w:r>
        <w:r w:rsidR="00211A02">
          <w:rPr>
            <w:webHidden/>
          </w:rPr>
          <w:fldChar w:fldCharType="end"/>
        </w:r>
      </w:hyperlink>
    </w:p>
    <w:p w14:paraId="0B33A43F" w14:textId="6B048C93" w:rsidR="00211A02" w:rsidRDefault="000213E5">
      <w:pPr>
        <w:pStyle w:val="TableofFigures"/>
        <w:rPr>
          <w:rFonts w:asciiTheme="minorHAnsi" w:eastAsiaTheme="minorEastAsia" w:hAnsiTheme="minorHAnsi" w:cstheme="minorBidi"/>
          <w:bCs w:val="0"/>
          <w:sz w:val="22"/>
          <w:szCs w:val="22"/>
          <w:lang w:val="en-AU" w:eastAsia="en-AU"/>
        </w:rPr>
      </w:pPr>
      <w:hyperlink w:anchor="_Toc459332409" w:history="1">
        <w:r w:rsidR="00211A02" w:rsidRPr="003E6900">
          <w:rPr>
            <w:rStyle w:val="Hyperlink"/>
          </w:rPr>
          <w:t>Figure 7</w:t>
        </w:r>
        <w:r w:rsidR="00211A02" w:rsidRPr="003E6900">
          <w:rPr>
            <w:rStyle w:val="Hyperlink"/>
          </w:rPr>
          <w:noBreakHyphen/>
          <w:t>2: Temporal trends in a) salinity, b) temperature, c) chlorophyll a (Chl-a) and total suspended solids (TSS)</w:t>
        </w:r>
        <w:r w:rsidR="00211A02" w:rsidRPr="003E6900">
          <w:rPr>
            <w:rStyle w:val="Hyperlink"/>
            <w:rFonts w:eastAsia="Calibri"/>
          </w:rPr>
          <w:t xml:space="preserve">. </w:t>
        </w:r>
        <w:r w:rsidR="00211A02" w:rsidRPr="003E6900">
          <w:rPr>
            <w:rStyle w:val="Hyperlink"/>
          </w:rPr>
          <w:t>Black dots indicate field observations and blue line represents the trend line fitted by Generalized additive mixed effects models (GAMMs).</w:t>
        </w:r>
        <w:r w:rsidR="00211A02">
          <w:rPr>
            <w:webHidden/>
          </w:rPr>
          <w:tab/>
        </w:r>
        <w:r w:rsidR="00211A02">
          <w:rPr>
            <w:webHidden/>
          </w:rPr>
          <w:fldChar w:fldCharType="begin"/>
        </w:r>
        <w:r w:rsidR="00211A02">
          <w:rPr>
            <w:webHidden/>
          </w:rPr>
          <w:instrText xml:space="preserve"> PAGEREF _Toc459332409 \h </w:instrText>
        </w:r>
        <w:r w:rsidR="00211A02">
          <w:rPr>
            <w:webHidden/>
          </w:rPr>
        </w:r>
        <w:r w:rsidR="00211A02">
          <w:rPr>
            <w:webHidden/>
          </w:rPr>
          <w:fldChar w:fldCharType="separate"/>
        </w:r>
        <w:r w:rsidR="007F5336">
          <w:rPr>
            <w:webHidden/>
          </w:rPr>
          <w:t>94</w:t>
        </w:r>
        <w:r w:rsidR="00211A02">
          <w:rPr>
            <w:webHidden/>
          </w:rPr>
          <w:fldChar w:fldCharType="end"/>
        </w:r>
      </w:hyperlink>
    </w:p>
    <w:p w14:paraId="5730AB19" w14:textId="7B29B8DA" w:rsidR="00211A02" w:rsidRDefault="000213E5">
      <w:pPr>
        <w:pStyle w:val="TableofFigures"/>
        <w:rPr>
          <w:rFonts w:asciiTheme="minorHAnsi" w:eastAsiaTheme="minorEastAsia" w:hAnsiTheme="minorHAnsi" w:cstheme="minorBidi"/>
          <w:bCs w:val="0"/>
          <w:sz w:val="22"/>
          <w:szCs w:val="22"/>
          <w:lang w:val="en-AU" w:eastAsia="en-AU"/>
        </w:rPr>
      </w:pPr>
      <w:hyperlink w:anchor="_Toc459332410" w:history="1">
        <w:r w:rsidR="00211A02" w:rsidRPr="003E6900">
          <w:rPr>
            <w:rStyle w:val="Hyperlink"/>
          </w:rPr>
          <w:t>Figure 7</w:t>
        </w:r>
        <w:r w:rsidR="00211A02" w:rsidRPr="003E6900">
          <w:rPr>
            <w:rStyle w:val="Hyperlink"/>
          </w:rPr>
          <w:noBreakHyphen/>
          <w:t>3:  Long term trends in a) phosphate (HPO</w:t>
        </w:r>
        <w:r w:rsidR="00211A02" w:rsidRPr="003E6900">
          <w:rPr>
            <w:rStyle w:val="Hyperlink"/>
            <w:vertAlign w:val="subscript"/>
          </w:rPr>
          <w:t>4</w:t>
        </w:r>
        <w:r w:rsidR="00211A02" w:rsidRPr="003E6900">
          <w:rPr>
            <w:rStyle w:val="Hyperlink"/>
            <w:vertAlign w:val="superscript"/>
          </w:rPr>
          <w:t>2–</w:t>
        </w:r>
        <w:r w:rsidR="00211A02" w:rsidRPr="003E6900">
          <w:rPr>
            <w:rStyle w:val="Hyperlink"/>
          </w:rPr>
          <w:t>), b) ammonium (NH</w:t>
        </w:r>
        <w:r w:rsidR="00211A02" w:rsidRPr="003E6900">
          <w:rPr>
            <w:rStyle w:val="Hyperlink"/>
            <w:vertAlign w:val="subscript"/>
          </w:rPr>
          <w:t>4</w:t>
        </w:r>
        <w:r w:rsidR="00211A02" w:rsidRPr="003E6900">
          <w:rPr>
            <w:rStyle w:val="Hyperlink"/>
            <w:vertAlign w:val="superscript"/>
          </w:rPr>
          <w:t>+</w:t>
        </w:r>
        <w:r w:rsidR="00211A02" w:rsidRPr="003E6900">
          <w:rPr>
            <w:rStyle w:val="Hyperlink"/>
          </w:rPr>
          <w:t>), c) nitrate/nitrite (NO</w:t>
        </w:r>
        <w:r w:rsidR="00211A02" w:rsidRPr="003E6900">
          <w:rPr>
            <w:rStyle w:val="Hyperlink"/>
            <w:vertAlign w:val="subscript"/>
          </w:rPr>
          <w:t>X</w:t>
        </w:r>
        <w:r w:rsidR="00211A02" w:rsidRPr="003E6900">
          <w:rPr>
            <w:rStyle w:val="Hyperlink"/>
          </w:rPr>
          <w:t>), d) silicate (SiO</w:t>
        </w:r>
        <w:r w:rsidR="00211A02" w:rsidRPr="003E6900">
          <w:rPr>
            <w:rStyle w:val="Hyperlink"/>
            <w:vertAlign w:val="subscript"/>
          </w:rPr>
          <w:t>4</w:t>
        </w:r>
        <w:r w:rsidR="00211A02" w:rsidRPr="003E6900">
          <w:rPr>
            <w:rStyle w:val="Hyperlink"/>
          </w:rPr>
          <w:t>), e) NO</w:t>
        </w:r>
        <w:r w:rsidR="00211A02" w:rsidRPr="003E6900">
          <w:rPr>
            <w:rStyle w:val="Hyperlink"/>
            <w:vertAlign w:val="subscript"/>
          </w:rPr>
          <w:t>X</w:t>
        </w:r>
        <w:r w:rsidR="00211A02" w:rsidRPr="003E6900">
          <w:rPr>
            <w:rStyle w:val="Hyperlink"/>
          </w:rPr>
          <w:t xml:space="preserve"> to HPO</w:t>
        </w:r>
        <w:r w:rsidR="00211A02" w:rsidRPr="003E6900">
          <w:rPr>
            <w:rStyle w:val="Hyperlink"/>
            <w:vertAlign w:val="subscript"/>
          </w:rPr>
          <w:t>4</w:t>
        </w:r>
        <w:r w:rsidR="00211A02" w:rsidRPr="003E6900">
          <w:rPr>
            <w:rStyle w:val="Hyperlink"/>
            <w:vertAlign w:val="superscript"/>
          </w:rPr>
          <w:t>2–</w:t>
        </w:r>
        <w:r w:rsidR="00211A02" w:rsidRPr="003E6900">
          <w:rPr>
            <w:rStyle w:val="Hyperlink"/>
          </w:rPr>
          <w:t xml:space="preserve"> molar ratio, f) SiO</w:t>
        </w:r>
        <w:r w:rsidR="00211A02" w:rsidRPr="003E6900">
          <w:rPr>
            <w:rStyle w:val="Hyperlink"/>
            <w:vertAlign w:val="subscript"/>
          </w:rPr>
          <w:t>4</w:t>
        </w:r>
        <w:r w:rsidR="00211A02" w:rsidRPr="003E6900">
          <w:rPr>
            <w:rStyle w:val="Hyperlink"/>
          </w:rPr>
          <w:t xml:space="preserve"> to NO</w:t>
        </w:r>
        <w:r w:rsidR="00211A02" w:rsidRPr="003E6900">
          <w:rPr>
            <w:rStyle w:val="Hyperlink"/>
            <w:vertAlign w:val="subscript"/>
          </w:rPr>
          <w:t>X</w:t>
        </w:r>
        <w:r w:rsidR="00211A02" w:rsidRPr="003E6900">
          <w:rPr>
            <w:rStyle w:val="Hyperlink"/>
          </w:rPr>
          <w:t xml:space="preserve"> molar ratio and g) SiO</w:t>
        </w:r>
        <w:r w:rsidR="00211A02" w:rsidRPr="003E6900">
          <w:rPr>
            <w:rStyle w:val="Hyperlink"/>
            <w:vertAlign w:val="subscript"/>
          </w:rPr>
          <w:t>4</w:t>
        </w:r>
        <w:r w:rsidR="00211A02" w:rsidRPr="003E6900">
          <w:rPr>
            <w:rStyle w:val="Hyperlink"/>
          </w:rPr>
          <w:t xml:space="preserve"> to HPO</w:t>
        </w:r>
        <w:r w:rsidR="00211A02" w:rsidRPr="003E6900">
          <w:rPr>
            <w:rStyle w:val="Hyperlink"/>
            <w:vertAlign w:val="subscript"/>
          </w:rPr>
          <w:t>4</w:t>
        </w:r>
        <w:r w:rsidR="00211A02" w:rsidRPr="003E6900">
          <w:rPr>
            <w:rStyle w:val="Hyperlink"/>
            <w:vertAlign w:val="superscript"/>
          </w:rPr>
          <w:t>2–</w:t>
        </w:r>
        <w:r w:rsidR="00211A02" w:rsidRPr="003E6900">
          <w:rPr>
            <w:rStyle w:val="Hyperlink"/>
          </w:rPr>
          <w:t xml:space="preserve"> molar ratio. Black dots indicate field observations and blue line represents the trend line fitted by generalized additive mixed effects models (GAMMs).</w:t>
        </w:r>
        <w:r w:rsidR="00211A02">
          <w:rPr>
            <w:webHidden/>
          </w:rPr>
          <w:tab/>
        </w:r>
        <w:r w:rsidR="00211A02">
          <w:rPr>
            <w:webHidden/>
          </w:rPr>
          <w:fldChar w:fldCharType="begin"/>
        </w:r>
        <w:r w:rsidR="00211A02">
          <w:rPr>
            <w:webHidden/>
          </w:rPr>
          <w:instrText xml:space="preserve"> PAGEREF _Toc459332410 \h </w:instrText>
        </w:r>
        <w:r w:rsidR="00211A02">
          <w:rPr>
            <w:webHidden/>
          </w:rPr>
        </w:r>
        <w:r w:rsidR="00211A02">
          <w:rPr>
            <w:webHidden/>
          </w:rPr>
          <w:fldChar w:fldCharType="separate"/>
        </w:r>
        <w:r w:rsidR="007F5336">
          <w:rPr>
            <w:webHidden/>
          </w:rPr>
          <w:t>97</w:t>
        </w:r>
        <w:r w:rsidR="00211A02">
          <w:rPr>
            <w:webHidden/>
          </w:rPr>
          <w:fldChar w:fldCharType="end"/>
        </w:r>
      </w:hyperlink>
    </w:p>
    <w:p w14:paraId="0120D05A" w14:textId="09DCDB52" w:rsidR="00211A02" w:rsidRDefault="000213E5">
      <w:pPr>
        <w:pStyle w:val="TableofFigures"/>
        <w:rPr>
          <w:rFonts w:asciiTheme="minorHAnsi" w:eastAsiaTheme="minorEastAsia" w:hAnsiTheme="minorHAnsi" w:cstheme="minorBidi"/>
          <w:bCs w:val="0"/>
          <w:sz w:val="22"/>
          <w:szCs w:val="22"/>
          <w:lang w:val="en-AU" w:eastAsia="en-AU"/>
        </w:rPr>
      </w:pPr>
      <w:hyperlink w:anchor="_Toc459332411" w:history="1">
        <w:r w:rsidR="00211A02" w:rsidRPr="003E6900">
          <w:rPr>
            <w:rStyle w:val="Hyperlink"/>
          </w:rPr>
          <w:t>Figure 7</w:t>
        </w:r>
        <w:r w:rsidR="00211A02" w:rsidRPr="003E6900">
          <w:rPr>
            <w:rStyle w:val="Hyperlink"/>
          </w:rPr>
          <w:noBreakHyphen/>
          <w:t xml:space="preserve">4: Temporal trends in the concentrations of a) particulate organic carbon (POC), b) nitrogen (PN) and c) phosphorus (PP) over the 26 years period is shown with variations in the a) POC to PN, b) POC to PP and c) PN to PP elemental stoichiometry. Black dots indicate field </w:t>
        </w:r>
        <w:r w:rsidR="00211A02" w:rsidRPr="003E6900">
          <w:rPr>
            <w:rStyle w:val="Hyperlink"/>
          </w:rPr>
          <w:lastRenderedPageBreak/>
          <w:t>observations and blue line represents the trend line fitted by generalized additive mixed effects models (GAMMs).</w:t>
        </w:r>
        <w:r w:rsidR="00211A02">
          <w:rPr>
            <w:webHidden/>
          </w:rPr>
          <w:tab/>
        </w:r>
        <w:r w:rsidR="00211A02">
          <w:rPr>
            <w:webHidden/>
          </w:rPr>
          <w:fldChar w:fldCharType="begin"/>
        </w:r>
        <w:r w:rsidR="00211A02">
          <w:rPr>
            <w:webHidden/>
          </w:rPr>
          <w:instrText xml:space="preserve"> PAGEREF _Toc459332411 \h </w:instrText>
        </w:r>
        <w:r w:rsidR="00211A02">
          <w:rPr>
            <w:webHidden/>
          </w:rPr>
        </w:r>
        <w:r w:rsidR="00211A02">
          <w:rPr>
            <w:webHidden/>
          </w:rPr>
          <w:fldChar w:fldCharType="separate"/>
        </w:r>
        <w:r w:rsidR="007F5336">
          <w:rPr>
            <w:webHidden/>
          </w:rPr>
          <w:t>99</w:t>
        </w:r>
        <w:r w:rsidR="00211A02">
          <w:rPr>
            <w:webHidden/>
          </w:rPr>
          <w:fldChar w:fldCharType="end"/>
        </w:r>
      </w:hyperlink>
    </w:p>
    <w:p w14:paraId="62E5C03F" w14:textId="5AEC7192" w:rsidR="00211A02" w:rsidRDefault="000213E5">
      <w:pPr>
        <w:pStyle w:val="TableofFigures"/>
        <w:rPr>
          <w:rFonts w:asciiTheme="minorHAnsi" w:eastAsiaTheme="minorEastAsia" w:hAnsiTheme="minorHAnsi" w:cstheme="minorBidi"/>
          <w:bCs w:val="0"/>
          <w:sz w:val="22"/>
          <w:szCs w:val="22"/>
          <w:lang w:val="en-AU" w:eastAsia="en-AU"/>
        </w:rPr>
      </w:pPr>
      <w:hyperlink w:anchor="_Toc459332412" w:history="1">
        <w:r w:rsidR="00211A02" w:rsidRPr="003E6900">
          <w:rPr>
            <w:rStyle w:val="Hyperlink"/>
          </w:rPr>
          <w:t>Figure 7</w:t>
        </w:r>
        <w:r w:rsidR="00211A02" w:rsidRPr="003E6900">
          <w:rPr>
            <w:rStyle w:val="Hyperlink"/>
          </w:rPr>
          <w:noBreakHyphen/>
          <w:t>5: The 26 years trend in the concentrations of a) dissolved organic carbon (DOC), b) nitrogen (DON) and c) phosphorus (DOP) are shown with the variations in the d) DOC:DON, e) DOC:DOP and e) DON:DOP molar ratios. Black dots indicate field observations and blue line represents the trend line fitted by generalized additive mixed effects models (GAMMs).</w:t>
        </w:r>
        <w:r w:rsidR="00211A02">
          <w:rPr>
            <w:webHidden/>
          </w:rPr>
          <w:tab/>
        </w:r>
        <w:r w:rsidR="00211A02">
          <w:rPr>
            <w:webHidden/>
          </w:rPr>
          <w:fldChar w:fldCharType="begin"/>
        </w:r>
        <w:r w:rsidR="00211A02">
          <w:rPr>
            <w:webHidden/>
          </w:rPr>
          <w:instrText xml:space="preserve"> PAGEREF _Toc459332412 \h </w:instrText>
        </w:r>
        <w:r w:rsidR="00211A02">
          <w:rPr>
            <w:webHidden/>
          </w:rPr>
        </w:r>
        <w:r w:rsidR="00211A02">
          <w:rPr>
            <w:webHidden/>
          </w:rPr>
          <w:fldChar w:fldCharType="separate"/>
        </w:r>
        <w:r w:rsidR="007F5336">
          <w:rPr>
            <w:webHidden/>
          </w:rPr>
          <w:t>100</w:t>
        </w:r>
        <w:r w:rsidR="00211A02">
          <w:rPr>
            <w:webHidden/>
          </w:rPr>
          <w:fldChar w:fldCharType="end"/>
        </w:r>
      </w:hyperlink>
    </w:p>
    <w:p w14:paraId="230D0988" w14:textId="6284FCDF" w:rsidR="00211A02" w:rsidRDefault="000213E5">
      <w:pPr>
        <w:pStyle w:val="TableofFigures"/>
        <w:rPr>
          <w:rFonts w:asciiTheme="minorHAnsi" w:eastAsiaTheme="minorEastAsia" w:hAnsiTheme="minorHAnsi" w:cstheme="minorBidi"/>
          <w:bCs w:val="0"/>
          <w:sz w:val="22"/>
          <w:szCs w:val="22"/>
          <w:lang w:val="en-AU" w:eastAsia="en-AU"/>
        </w:rPr>
      </w:pPr>
      <w:hyperlink w:anchor="_Toc459332413" w:history="1">
        <w:r w:rsidR="00211A02" w:rsidRPr="003E6900">
          <w:rPr>
            <w:rStyle w:val="Hyperlink"/>
          </w:rPr>
          <w:t>Figure 8</w:t>
        </w:r>
        <w:r w:rsidR="00211A02" w:rsidRPr="003E6900">
          <w:rPr>
            <w:rStyle w:val="Hyperlink"/>
          </w:rPr>
          <w:noBreakHyphen/>
          <w:t>1:  Conceptual model the satellite risk framework presented in this study, data sources and main processes.</w:t>
        </w:r>
        <w:r w:rsidR="00211A02">
          <w:rPr>
            <w:webHidden/>
          </w:rPr>
          <w:tab/>
        </w:r>
        <w:r w:rsidR="00211A02">
          <w:rPr>
            <w:webHidden/>
          </w:rPr>
          <w:fldChar w:fldCharType="begin"/>
        </w:r>
        <w:r w:rsidR="00211A02">
          <w:rPr>
            <w:webHidden/>
          </w:rPr>
          <w:instrText xml:space="preserve"> PAGEREF _Toc459332413 \h </w:instrText>
        </w:r>
        <w:r w:rsidR="00211A02">
          <w:rPr>
            <w:webHidden/>
          </w:rPr>
        </w:r>
        <w:r w:rsidR="00211A02">
          <w:rPr>
            <w:webHidden/>
          </w:rPr>
          <w:fldChar w:fldCharType="separate"/>
        </w:r>
        <w:r w:rsidR="007F5336">
          <w:rPr>
            <w:webHidden/>
          </w:rPr>
          <w:t>105</w:t>
        </w:r>
        <w:r w:rsidR="00211A02">
          <w:rPr>
            <w:webHidden/>
          </w:rPr>
          <w:fldChar w:fldCharType="end"/>
        </w:r>
      </w:hyperlink>
    </w:p>
    <w:p w14:paraId="463360C6" w14:textId="680DEFE5" w:rsidR="00211A02" w:rsidRDefault="000213E5">
      <w:pPr>
        <w:pStyle w:val="TableofFigures"/>
        <w:rPr>
          <w:rFonts w:asciiTheme="minorHAnsi" w:eastAsiaTheme="minorEastAsia" w:hAnsiTheme="minorHAnsi" w:cstheme="minorBidi"/>
          <w:bCs w:val="0"/>
          <w:sz w:val="22"/>
          <w:szCs w:val="22"/>
          <w:lang w:val="en-AU" w:eastAsia="en-AU"/>
        </w:rPr>
      </w:pPr>
      <w:hyperlink w:anchor="_Toc459332414" w:history="1">
        <w:r w:rsidR="00211A02" w:rsidRPr="003E6900">
          <w:rPr>
            <w:rStyle w:val="Hyperlink"/>
          </w:rPr>
          <w:t>Figure 8</w:t>
        </w:r>
        <w:r w:rsidR="00211A02" w:rsidRPr="003E6900">
          <w:rPr>
            <w:rStyle w:val="Hyperlink"/>
          </w:rPr>
          <w:noBreakHyphen/>
          <w:t>2:  a) Seagrass abundance (% cover) and b) proportion of macroalgae in the algal communities at each reef collected though out the MMP. GH: Gladstone Harbor, SB: Shoalwater Bay, MP: Middle point and PKI: Peak Island. Black line with white circles represents the averaged values per NRM regions and light grey lines values of each monitored sites. Interpolated data are symbolised with dashed grey lines. Multi-annual trends are indicated with a black arrow.</w:t>
        </w:r>
        <w:r w:rsidR="00211A02">
          <w:rPr>
            <w:webHidden/>
          </w:rPr>
          <w:tab/>
        </w:r>
        <w:r w:rsidR="00211A02">
          <w:rPr>
            <w:webHidden/>
          </w:rPr>
          <w:fldChar w:fldCharType="begin"/>
        </w:r>
        <w:r w:rsidR="00211A02">
          <w:rPr>
            <w:webHidden/>
          </w:rPr>
          <w:instrText xml:space="preserve"> PAGEREF _Toc459332414 \h </w:instrText>
        </w:r>
        <w:r w:rsidR="00211A02">
          <w:rPr>
            <w:webHidden/>
          </w:rPr>
        </w:r>
        <w:r w:rsidR="00211A02">
          <w:rPr>
            <w:webHidden/>
          </w:rPr>
          <w:fldChar w:fldCharType="separate"/>
        </w:r>
        <w:r w:rsidR="007F5336">
          <w:rPr>
            <w:webHidden/>
          </w:rPr>
          <w:t>108</w:t>
        </w:r>
        <w:r w:rsidR="00211A02">
          <w:rPr>
            <w:webHidden/>
          </w:rPr>
          <w:fldChar w:fldCharType="end"/>
        </w:r>
      </w:hyperlink>
    </w:p>
    <w:p w14:paraId="3C1478E0" w14:textId="4E48CD47" w:rsidR="00211A02" w:rsidRDefault="000213E5">
      <w:pPr>
        <w:pStyle w:val="TableofFigures"/>
        <w:rPr>
          <w:rFonts w:asciiTheme="minorHAnsi" w:eastAsiaTheme="minorEastAsia" w:hAnsiTheme="minorHAnsi" w:cstheme="minorBidi"/>
          <w:bCs w:val="0"/>
          <w:sz w:val="22"/>
          <w:szCs w:val="22"/>
          <w:lang w:val="en-AU" w:eastAsia="en-AU"/>
        </w:rPr>
      </w:pPr>
      <w:hyperlink w:anchor="_Toc459332415" w:history="1">
        <w:r w:rsidR="00211A02" w:rsidRPr="003E6900">
          <w:rPr>
            <w:rStyle w:val="Hyperlink"/>
          </w:rPr>
          <w:t>Figure 8</w:t>
        </w:r>
        <w:r w:rsidR="00211A02" w:rsidRPr="003E6900">
          <w:rPr>
            <w:rStyle w:val="Hyperlink"/>
          </w:rPr>
          <w:noBreakHyphen/>
          <w:t>3: Changes in (Δ, top) and mean multi-annual (M, bottom) seagrass cover compared to Risk Scores (MS) at the: a and c) site and b and d) NRM scales. MP: Midge Point and GH: Gladstone Harbour. Wt: Wet Tropics, MW: Mackay-Whitsundays, Fitz.: Fitzroy Burd.: Burdekin and BM: Burnett-Mary. Determination coefficient and p values calculated without considering the outlier sites (indicated by grey dots).</w:t>
        </w:r>
        <w:r w:rsidR="00211A02">
          <w:rPr>
            <w:webHidden/>
          </w:rPr>
          <w:tab/>
        </w:r>
        <w:r w:rsidR="00211A02">
          <w:rPr>
            <w:webHidden/>
          </w:rPr>
          <w:fldChar w:fldCharType="begin"/>
        </w:r>
        <w:r w:rsidR="00211A02">
          <w:rPr>
            <w:webHidden/>
          </w:rPr>
          <w:instrText xml:space="preserve"> PAGEREF _Toc459332415 \h </w:instrText>
        </w:r>
        <w:r w:rsidR="00211A02">
          <w:rPr>
            <w:webHidden/>
          </w:rPr>
        </w:r>
        <w:r w:rsidR="00211A02">
          <w:rPr>
            <w:webHidden/>
          </w:rPr>
          <w:fldChar w:fldCharType="separate"/>
        </w:r>
        <w:r w:rsidR="007F5336">
          <w:rPr>
            <w:webHidden/>
          </w:rPr>
          <w:t>111</w:t>
        </w:r>
        <w:r w:rsidR="00211A02">
          <w:rPr>
            <w:webHidden/>
          </w:rPr>
          <w:fldChar w:fldCharType="end"/>
        </w:r>
      </w:hyperlink>
    </w:p>
    <w:p w14:paraId="786E0742" w14:textId="1924F1DF" w:rsidR="00211A02" w:rsidRDefault="000213E5">
      <w:pPr>
        <w:pStyle w:val="TableofFigures"/>
        <w:rPr>
          <w:rFonts w:asciiTheme="minorHAnsi" w:eastAsiaTheme="minorEastAsia" w:hAnsiTheme="minorHAnsi" w:cstheme="minorBidi"/>
          <w:bCs w:val="0"/>
          <w:sz w:val="22"/>
          <w:szCs w:val="22"/>
          <w:lang w:val="en-AU" w:eastAsia="en-AU"/>
        </w:rPr>
      </w:pPr>
      <w:hyperlink w:anchor="_Toc459332416" w:history="1">
        <w:r w:rsidR="00211A02" w:rsidRPr="003E6900">
          <w:rPr>
            <w:rStyle w:val="Hyperlink"/>
            <w:rFonts w:cs="Arial"/>
            <w:lang w:val="en-AU"/>
          </w:rPr>
          <w:t>Figure 8</w:t>
        </w:r>
        <w:r w:rsidR="00211A02" w:rsidRPr="003E6900">
          <w:rPr>
            <w:rStyle w:val="Hyperlink"/>
            <w:rFonts w:cs="Arial"/>
            <w:lang w:val="en-AU"/>
          </w:rPr>
          <w:noBreakHyphen/>
          <w:t>4: Multi-annual (2005-2014) changes in (Δ, top) and mean multi-annual (M, bottom) proportion of macroalgae in the algal community compared to Risk Scores (RS) at the: a and c) site and b and d) NRM scales. ns. non-significant. The dotted line in c) indicate an initial risk score threshold of about 0.2 below which there is rarely high proportion of macroalgae in the algal communities at the reef sites.</w:t>
        </w:r>
        <w:r w:rsidR="00211A02">
          <w:rPr>
            <w:webHidden/>
          </w:rPr>
          <w:tab/>
        </w:r>
        <w:r w:rsidR="00211A02">
          <w:rPr>
            <w:webHidden/>
          </w:rPr>
          <w:fldChar w:fldCharType="begin"/>
        </w:r>
        <w:r w:rsidR="00211A02">
          <w:rPr>
            <w:webHidden/>
          </w:rPr>
          <w:instrText xml:space="preserve"> PAGEREF _Toc459332416 \h </w:instrText>
        </w:r>
        <w:r w:rsidR="00211A02">
          <w:rPr>
            <w:webHidden/>
          </w:rPr>
        </w:r>
        <w:r w:rsidR="00211A02">
          <w:rPr>
            <w:webHidden/>
          </w:rPr>
          <w:fldChar w:fldCharType="separate"/>
        </w:r>
        <w:r w:rsidR="007F5336">
          <w:rPr>
            <w:webHidden/>
          </w:rPr>
          <w:t>112</w:t>
        </w:r>
        <w:r w:rsidR="00211A02">
          <w:rPr>
            <w:webHidden/>
          </w:rPr>
          <w:fldChar w:fldCharType="end"/>
        </w:r>
      </w:hyperlink>
    </w:p>
    <w:p w14:paraId="30195FAC" w14:textId="26F4E411" w:rsidR="00211A02" w:rsidRDefault="000213E5">
      <w:pPr>
        <w:pStyle w:val="TableofFigures"/>
        <w:rPr>
          <w:rFonts w:asciiTheme="minorHAnsi" w:eastAsiaTheme="minorEastAsia" w:hAnsiTheme="minorHAnsi" w:cstheme="minorBidi"/>
          <w:bCs w:val="0"/>
          <w:sz w:val="22"/>
          <w:szCs w:val="22"/>
          <w:lang w:val="en-AU" w:eastAsia="en-AU"/>
        </w:rPr>
      </w:pPr>
      <w:hyperlink w:anchor="_Toc459332417" w:history="1">
        <w:r w:rsidR="00211A02" w:rsidRPr="003E6900">
          <w:rPr>
            <w:rStyle w:val="Hyperlink"/>
            <w:rFonts w:cs="Arial"/>
            <w:lang w:val="en-AU"/>
          </w:rPr>
          <w:t>Figure 8</w:t>
        </w:r>
        <w:r w:rsidR="00211A02" w:rsidRPr="003E6900">
          <w:rPr>
            <w:rStyle w:val="Hyperlink"/>
            <w:rFonts w:cs="Arial"/>
            <w:lang w:val="en-AU"/>
          </w:rPr>
          <w:noBreakHyphen/>
          <w:t>5: Multi-annual risk map for GBR seagrass ecosystems from river plume exposure.</w:t>
        </w:r>
        <w:r w:rsidR="00211A02">
          <w:rPr>
            <w:webHidden/>
          </w:rPr>
          <w:tab/>
        </w:r>
        <w:r w:rsidR="00211A02">
          <w:rPr>
            <w:webHidden/>
          </w:rPr>
          <w:fldChar w:fldCharType="begin"/>
        </w:r>
        <w:r w:rsidR="00211A02">
          <w:rPr>
            <w:webHidden/>
          </w:rPr>
          <w:instrText xml:space="preserve"> PAGEREF _Toc459332417 \h </w:instrText>
        </w:r>
        <w:r w:rsidR="00211A02">
          <w:rPr>
            <w:webHidden/>
          </w:rPr>
        </w:r>
        <w:r w:rsidR="00211A02">
          <w:rPr>
            <w:webHidden/>
          </w:rPr>
          <w:fldChar w:fldCharType="separate"/>
        </w:r>
        <w:r w:rsidR="007F5336">
          <w:rPr>
            <w:webHidden/>
          </w:rPr>
          <w:t>113</w:t>
        </w:r>
        <w:r w:rsidR="00211A02">
          <w:rPr>
            <w:webHidden/>
          </w:rPr>
          <w:fldChar w:fldCharType="end"/>
        </w:r>
      </w:hyperlink>
    </w:p>
    <w:p w14:paraId="5F22EC8D" w14:textId="77777777" w:rsidR="002819E0" w:rsidRPr="00913655" w:rsidRDefault="00EB33A6" w:rsidP="00EA3274">
      <w:pPr>
        <w:pStyle w:val="TableofFigures"/>
        <w:rPr>
          <w:lang w:val="en-AU"/>
        </w:rPr>
      </w:pPr>
      <w:r w:rsidRPr="00913655">
        <w:rPr>
          <w:lang w:val="en-AU"/>
        </w:rPr>
        <w:fldChar w:fldCharType="end"/>
      </w:r>
    </w:p>
    <w:bookmarkStart w:id="4" w:name="_List_of_Figures_1"/>
    <w:bookmarkEnd w:id="4"/>
    <w:p w14:paraId="0A9B930A" w14:textId="3387A99D" w:rsidR="004D2A67" w:rsidRDefault="00EB33A6">
      <w:pPr>
        <w:pStyle w:val="TableofFigures"/>
        <w:rPr>
          <w:rFonts w:asciiTheme="minorHAnsi" w:eastAsiaTheme="minorEastAsia" w:hAnsiTheme="minorHAnsi" w:cstheme="minorBidi"/>
          <w:bCs w:val="0"/>
          <w:sz w:val="22"/>
          <w:szCs w:val="22"/>
          <w:lang w:val="en-AU" w:eastAsia="en-AU"/>
        </w:rPr>
      </w:pPr>
      <w:r>
        <w:rPr>
          <w:rFonts w:cs="Arial"/>
          <w:b/>
          <w:sz w:val="36"/>
          <w:szCs w:val="36"/>
          <w:lang w:val="en-AU"/>
        </w:rPr>
        <w:fldChar w:fldCharType="begin"/>
      </w:r>
      <w:r w:rsidR="0028411F">
        <w:rPr>
          <w:rFonts w:cs="Arial"/>
          <w:b/>
          <w:sz w:val="36"/>
          <w:szCs w:val="36"/>
          <w:lang w:val="en-AU"/>
        </w:rPr>
        <w:instrText xml:space="preserve"> TOC \h \z \c "Table" </w:instrText>
      </w:r>
      <w:r>
        <w:rPr>
          <w:rFonts w:cs="Arial"/>
          <w:b/>
          <w:sz w:val="36"/>
          <w:szCs w:val="36"/>
          <w:lang w:val="en-AU"/>
        </w:rPr>
        <w:fldChar w:fldCharType="separate"/>
      </w:r>
      <w:hyperlink w:anchor="_Toc459332152" w:history="1">
        <w:r w:rsidR="004D2A67" w:rsidRPr="00DE549A">
          <w:rPr>
            <w:rStyle w:val="Hyperlink"/>
          </w:rPr>
          <w:t>Table 4</w:t>
        </w:r>
        <w:r w:rsidR="004D2A67" w:rsidRPr="00DE549A">
          <w:rPr>
            <w:rStyle w:val="Hyperlink"/>
          </w:rPr>
          <w:noBreakHyphen/>
          <w:t>1: Description of the water quality (WQ) stations sampled by AIMS and JCU in 2014-15.</w:t>
        </w:r>
        <w:r w:rsidR="004D2A67">
          <w:rPr>
            <w:webHidden/>
          </w:rPr>
          <w:tab/>
        </w:r>
        <w:r w:rsidR="004D2A67">
          <w:rPr>
            <w:webHidden/>
          </w:rPr>
          <w:fldChar w:fldCharType="begin"/>
        </w:r>
        <w:r w:rsidR="004D2A67">
          <w:rPr>
            <w:webHidden/>
          </w:rPr>
          <w:instrText xml:space="preserve"> PAGEREF _Toc459332152 \h </w:instrText>
        </w:r>
        <w:r w:rsidR="004D2A67">
          <w:rPr>
            <w:webHidden/>
          </w:rPr>
        </w:r>
        <w:r w:rsidR="004D2A67">
          <w:rPr>
            <w:webHidden/>
          </w:rPr>
          <w:fldChar w:fldCharType="separate"/>
        </w:r>
        <w:r w:rsidR="007F5336">
          <w:rPr>
            <w:webHidden/>
          </w:rPr>
          <w:t>13</w:t>
        </w:r>
        <w:r w:rsidR="004D2A67">
          <w:rPr>
            <w:webHidden/>
          </w:rPr>
          <w:fldChar w:fldCharType="end"/>
        </w:r>
      </w:hyperlink>
    </w:p>
    <w:p w14:paraId="0D64A4AD" w14:textId="1197B7EE" w:rsidR="004D2A67" w:rsidRDefault="000213E5">
      <w:pPr>
        <w:pStyle w:val="TableofFigures"/>
        <w:rPr>
          <w:rFonts w:asciiTheme="minorHAnsi" w:eastAsiaTheme="minorEastAsia" w:hAnsiTheme="minorHAnsi" w:cstheme="minorBidi"/>
          <w:bCs w:val="0"/>
          <w:sz w:val="22"/>
          <w:szCs w:val="22"/>
          <w:lang w:val="en-AU" w:eastAsia="en-AU"/>
        </w:rPr>
      </w:pPr>
      <w:hyperlink w:anchor="_Toc459332153" w:history="1">
        <w:r w:rsidR="004D2A67" w:rsidRPr="00DE549A">
          <w:rPr>
            <w:rStyle w:val="Hyperlink"/>
          </w:rPr>
          <w:t>Table 4</w:t>
        </w:r>
        <w:r w:rsidR="004D2A67" w:rsidRPr="00DE549A">
          <w:rPr>
            <w:rStyle w:val="Hyperlink"/>
          </w:rPr>
          <w:noBreakHyphen/>
          <w:t>2: Sampling frequency over the calendar year. x = sampling by AIMS, x = sampling by JCU, blue shading indicates the period where up to five additional flood-response sampling trips may occur depending on timing and location of high flow events.</w:t>
        </w:r>
        <w:r w:rsidR="004D2A67">
          <w:rPr>
            <w:webHidden/>
          </w:rPr>
          <w:tab/>
        </w:r>
        <w:r w:rsidR="004D2A67">
          <w:rPr>
            <w:webHidden/>
          </w:rPr>
          <w:fldChar w:fldCharType="begin"/>
        </w:r>
        <w:r w:rsidR="004D2A67">
          <w:rPr>
            <w:webHidden/>
          </w:rPr>
          <w:instrText xml:space="preserve"> PAGEREF _Toc459332153 \h </w:instrText>
        </w:r>
        <w:r w:rsidR="004D2A67">
          <w:rPr>
            <w:webHidden/>
          </w:rPr>
        </w:r>
        <w:r w:rsidR="004D2A67">
          <w:rPr>
            <w:webHidden/>
          </w:rPr>
          <w:fldChar w:fldCharType="separate"/>
        </w:r>
        <w:r w:rsidR="007F5336">
          <w:rPr>
            <w:webHidden/>
          </w:rPr>
          <w:t>14</w:t>
        </w:r>
        <w:r w:rsidR="004D2A67">
          <w:rPr>
            <w:webHidden/>
          </w:rPr>
          <w:fldChar w:fldCharType="end"/>
        </w:r>
      </w:hyperlink>
    </w:p>
    <w:p w14:paraId="690E439B" w14:textId="0600B2E5" w:rsidR="004D2A67" w:rsidRDefault="000213E5">
      <w:pPr>
        <w:pStyle w:val="TableofFigures"/>
        <w:rPr>
          <w:rFonts w:asciiTheme="minorHAnsi" w:eastAsiaTheme="minorEastAsia" w:hAnsiTheme="minorHAnsi" w:cstheme="minorBidi"/>
          <w:bCs w:val="0"/>
          <w:sz w:val="22"/>
          <w:szCs w:val="22"/>
          <w:lang w:val="en-AU" w:eastAsia="en-AU"/>
        </w:rPr>
      </w:pPr>
      <w:hyperlink w:anchor="_Toc459332154" w:history="1">
        <w:r w:rsidR="004D2A67" w:rsidRPr="00DE549A">
          <w:rPr>
            <w:rStyle w:val="Hyperlink"/>
          </w:rPr>
          <w:t>Table 4</w:t>
        </w:r>
        <w:r w:rsidR="004D2A67" w:rsidRPr="00DE549A">
          <w:rPr>
            <w:rStyle w:val="Hyperlink"/>
          </w:rPr>
          <w:noBreakHyphen/>
          <w:t>3: List of parameters sampled in the ambient and wet season water quality monitoring.</w:t>
        </w:r>
        <w:r w:rsidR="004D2A67">
          <w:rPr>
            <w:webHidden/>
          </w:rPr>
          <w:tab/>
        </w:r>
        <w:r w:rsidR="004D2A67">
          <w:rPr>
            <w:webHidden/>
          </w:rPr>
          <w:fldChar w:fldCharType="begin"/>
        </w:r>
        <w:r w:rsidR="004D2A67">
          <w:rPr>
            <w:webHidden/>
          </w:rPr>
          <w:instrText xml:space="preserve"> PAGEREF _Toc459332154 \h </w:instrText>
        </w:r>
        <w:r w:rsidR="004D2A67">
          <w:rPr>
            <w:webHidden/>
          </w:rPr>
        </w:r>
        <w:r w:rsidR="004D2A67">
          <w:rPr>
            <w:webHidden/>
          </w:rPr>
          <w:fldChar w:fldCharType="separate"/>
        </w:r>
        <w:r w:rsidR="007F5336">
          <w:rPr>
            <w:webHidden/>
          </w:rPr>
          <w:t>15</w:t>
        </w:r>
        <w:r w:rsidR="004D2A67">
          <w:rPr>
            <w:webHidden/>
          </w:rPr>
          <w:fldChar w:fldCharType="end"/>
        </w:r>
      </w:hyperlink>
    </w:p>
    <w:p w14:paraId="63448B71" w14:textId="0001CE31" w:rsidR="004D2A67" w:rsidRDefault="000213E5">
      <w:pPr>
        <w:pStyle w:val="TableofFigures"/>
        <w:rPr>
          <w:rFonts w:asciiTheme="minorHAnsi" w:eastAsiaTheme="minorEastAsia" w:hAnsiTheme="minorHAnsi" w:cstheme="minorBidi"/>
          <w:bCs w:val="0"/>
          <w:sz w:val="22"/>
          <w:szCs w:val="22"/>
          <w:lang w:val="en-AU" w:eastAsia="en-AU"/>
        </w:rPr>
      </w:pPr>
      <w:hyperlink w:anchor="_Toc459332155" w:history="1">
        <w:r w:rsidR="004D2A67" w:rsidRPr="00DE549A">
          <w:rPr>
            <w:rStyle w:val="Hyperlink"/>
          </w:rPr>
          <w:t>Table 5</w:t>
        </w:r>
        <w:r w:rsidR="004D2A67" w:rsidRPr="00DE549A">
          <w:rPr>
            <w:rStyle w:val="Hyperlink"/>
          </w:rPr>
          <w:noBreakHyphen/>
          <w:t>1: Wet season discharge (ML; million litres) of the main GBR rivers (c.a., November 2014 to April 2015, inclusive), compared against the previous four wet seasons and long-term (LT) median discharge (1970-2000).</w:t>
        </w:r>
        <w:r w:rsidR="004D2A67">
          <w:rPr>
            <w:webHidden/>
          </w:rPr>
          <w:tab/>
        </w:r>
        <w:r w:rsidR="004D2A67">
          <w:rPr>
            <w:webHidden/>
          </w:rPr>
          <w:fldChar w:fldCharType="begin"/>
        </w:r>
        <w:r w:rsidR="004D2A67">
          <w:rPr>
            <w:webHidden/>
          </w:rPr>
          <w:instrText xml:space="preserve"> PAGEREF _Toc459332155 \h </w:instrText>
        </w:r>
        <w:r w:rsidR="004D2A67">
          <w:rPr>
            <w:webHidden/>
          </w:rPr>
        </w:r>
        <w:r w:rsidR="004D2A67">
          <w:rPr>
            <w:webHidden/>
          </w:rPr>
          <w:fldChar w:fldCharType="separate"/>
        </w:r>
        <w:r w:rsidR="007F5336">
          <w:rPr>
            <w:webHidden/>
          </w:rPr>
          <w:t>26</w:t>
        </w:r>
        <w:r w:rsidR="004D2A67">
          <w:rPr>
            <w:webHidden/>
          </w:rPr>
          <w:fldChar w:fldCharType="end"/>
        </w:r>
      </w:hyperlink>
    </w:p>
    <w:p w14:paraId="57A64ABC" w14:textId="71E44516" w:rsidR="004D2A67" w:rsidRDefault="000213E5">
      <w:pPr>
        <w:pStyle w:val="TableofFigures"/>
        <w:rPr>
          <w:rFonts w:asciiTheme="minorHAnsi" w:eastAsiaTheme="minorEastAsia" w:hAnsiTheme="minorHAnsi" w:cstheme="minorBidi"/>
          <w:bCs w:val="0"/>
          <w:sz w:val="22"/>
          <w:szCs w:val="22"/>
          <w:lang w:val="en-AU" w:eastAsia="en-AU"/>
        </w:rPr>
      </w:pPr>
      <w:hyperlink w:anchor="_Toc459332156" w:history="1">
        <w:r w:rsidR="004D2A67" w:rsidRPr="00DE549A">
          <w:rPr>
            <w:rStyle w:val="Hyperlink"/>
          </w:rPr>
          <w:t>Table 5</w:t>
        </w:r>
        <w:r w:rsidR="004D2A67" w:rsidRPr="00DE549A">
          <w:rPr>
            <w:rStyle w:val="Hyperlink"/>
          </w:rPr>
          <w:noBreakHyphen/>
          <w:t>2: Areas (km</w:t>
        </w:r>
        <w:r w:rsidR="004D2A67" w:rsidRPr="00DE549A">
          <w:rPr>
            <w:rStyle w:val="Hyperlink"/>
            <w:vertAlign w:val="superscript"/>
          </w:rPr>
          <w:t>2</w:t>
        </w:r>
        <w:r w:rsidR="004D2A67" w:rsidRPr="00DE549A">
          <w:rPr>
            <w:rStyle w:val="Hyperlink"/>
          </w:rPr>
          <w:t>) and percentage (%) of the GBR lagoon exposed to different categories of surface river plume frequency and river plume-related risk within the GBR and each NRM.</w:t>
        </w:r>
        <w:r w:rsidR="004D2A67">
          <w:rPr>
            <w:webHidden/>
          </w:rPr>
          <w:tab/>
        </w:r>
        <w:r w:rsidR="004D2A67">
          <w:rPr>
            <w:webHidden/>
          </w:rPr>
          <w:fldChar w:fldCharType="begin"/>
        </w:r>
        <w:r w:rsidR="004D2A67">
          <w:rPr>
            <w:webHidden/>
          </w:rPr>
          <w:instrText xml:space="preserve"> PAGEREF _Toc459332156 \h </w:instrText>
        </w:r>
        <w:r w:rsidR="004D2A67">
          <w:rPr>
            <w:webHidden/>
          </w:rPr>
        </w:r>
        <w:r w:rsidR="004D2A67">
          <w:rPr>
            <w:webHidden/>
          </w:rPr>
          <w:fldChar w:fldCharType="separate"/>
        </w:r>
        <w:r w:rsidR="007F5336">
          <w:rPr>
            <w:webHidden/>
          </w:rPr>
          <w:t>34</w:t>
        </w:r>
        <w:r w:rsidR="004D2A67">
          <w:rPr>
            <w:webHidden/>
          </w:rPr>
          <w:fldChar w:fldCharType="end"/>
        </w:r>
      </w:hyperlink>
    </w:p>
    <w:p w14:paraId="218E0296" w14:textId="4867C503" w:rsidR="004D2A67" w:rsidRDefault="000213E5">
      <w:pPr>
        <w:pStyle w:val="TableofFigures"/>
        <w:rPr>
          <w:rFonts w:asciiTheme="minorHAnsi" w:eastAsiaTheme="minorEastAsia" w:hAnsiTheme="minorHAnsi" w:cstheme="minorBidi"/>
          <w:bCs w:val="0"/>
          <w:sz w:val="22"/>
          <w:szCs w:val="22"/>
          <w:lang w:val="en-AU" w:eastAsia="en-AU"/>
        </w:rPr>
      </w:pPr>
      <w:hyperlink w:anchor="_Toc459332157" w:history="1">
        <w:r w:rsidR="004D2A67" w:rsidRPr="00DE549A">
          <w:rPr>
            <w:rStyle w:val="Hyperlink"/>
          </w:rPr>
          <w:t>Table 5</w:t>
        </w:r>
        <w:r w:rsidR="004D2A67" w:rsidRPr="00DE549A">
          <w:rPr>
            <w:rStyle w:val="Hyperlink"/>
          </w:rPr>
          <w:noBreakHyphen/>
          <w:t>3: Areas (km</w:t>
        </w:r>
        <w:r w:rsidR="004D2A67" w:rsidRPr="00DE549A">
          <w:rPr>
            <w:rStyle w:val="Hyperlink"/>
            <w:vertAlign w:val="superscript"/>
          </w:rPr>
          <w:t>2</w:t>
        </w:r>
        <w:r w:rsidR="004D2A67" w:rsidRPr="00DE549A">
          <w:rPr>
            <w:rStyle w:val="Hyperlink"/>
          </w:rPr>
          <w:t>) and percentage (%) of the coral reefs exposed to different categories of surface river plume frequency and river plume-related risk within the GBR and each NRM region.</w:t>
        </w:r>
        <w:r w:rsidR="004D2A67">
          <w:rPr>
            <w:webHidden/>
          </w:rPr>
          <w:tab/>
        </w:r>
        <w:r w:rsidR="004D2A67">
          <w:rPr>
            <w:webHidden/>
          </w:rPr>
          <w:fldChar w:fldCharType="begin"/>
        </w:r>
        <w:r w:rsidR="004D2A67">
          <w:rPr>
            <w:webHidden/>
          </w:rPr>
          <w:instrText xml:space="preserve"> PAGEREF _Toc459332157 \h </w:instrText>
        </w:r>
        <w:r w:rsidR="004D2A67">
          <w:rPr>
            <w:webHidden/>
          </w:rPr>
        </w:r>
        <w:r w:rsidR="004D2A67">
          <w:rPr>
            <w:webHidden/>
          </w:rPr>
          <w:fldChar w:fldCharType="separate"/>
        </w:r>
        <w:r w:rsidR="007F5336">
          <w:rPr>
            <w:webHidden/>
          </w:rPr>
          <w:t>34</w:t>
        </w:r>
        <w:r w:rsidR="004D2A67">
          <w:rPr>
            <w:webHidden/>
          </w:rPr>
          <w:fldChar w:fldCharType="end"/>
        </w:r>
      </w:hyperlink>
    </w:p>
    <w:p w14:paraId="60060ABC" w14:textId="5B2ECE80" w:rsidR="004D2A67" w:rsidRDefault="000213E5">
      <w:pPr>
        <w:pStyle w:val="TableofFigures"/>
        <w:rPr>
          <w:rFonts w:asciiTheme="minorHAnsi" w:eastAsiaTheme="minorEastAsia" w:hAnsiTheme="minorHAnsi" w:cstheme="minorBidi"/>
          <w:bCs w:val="0"/>
          <w:sz w:val="22"/>
          <w:szCs w:val="22"/>
          <w:lang w:val="en-AU" w:eastAsia="en-AU"/>
        </w:rPr>
      </w:pPr>
      <w:hyperlink w:anchor="_Toc459332158" w:history="1">
        <w:r w:rsidR="004D2A67" w:rsidRPr="00DE549A">
          <w:rPr>
            <w:rStyle w:val="Hyperlink"/>
          </w:rPr>
          <w:t>Table 5</w:t>
        </w:r>
        <w:r w:rsidR="004D2A67" w:rsidRPr="00DE549A">
          <w:rPr>
            <w:rStyle w:val="Hyperlink"/>
          </w:rPr>
          <w:noBreakHyphen/>
          <w:t>4: Areas (km</w:t>
        </w:r>
        <w:r w:rsidR="004D2A67" w:rsidRPr="00DE549A">
          <w:rPr>
            <w:rStyle w:val="Hyperlink"/>
            <w:vertAlign w:val="superscript"/>
          </w:rPr>
          <w:t>2</w:t>
        </w:r>
        <w:r w:rsidR="004D2A67" w:rsidRPr="00DE549A">
          <w:rPr>
            <w:rStyle w:val="Hyperlink"/>
          </w:rPr>
          <w:t>) and percentage (%) of surveyed, deepwater modelled and total (surveyed plus deepwater modelled) seagrass exposed to different categories of surface river plume frequency and river plume-related risk within the GBR and each NRM region.</w:t>
        </w:r>
        <w:r w:rsidR="004D2A67">
          <w:rPr>
            <w:webHidden/>
          </w:rPr>
          <w:tab/>
        </w:r>
        <w:r w:rsidR="004D2A67">
          <w:rPr>
            <w:webHidden/>
          </w:rPr>
          <w:fldChar w:fldCharType="begin"/>
        </w:r>
        <w:r w:rsidR="004D2A67">
          <w:rPr>
            <w:webHidden/>
          </w:rPr>
          <w:instrText xml:space="preserve"> PAGEREF _Toc459332158 \h </w:instrText>
        </w:r>
        <w:r w:rsidR="004D2A67">
          <w:rPr>
            <w:webHidden/>
          </w:rPr>
        </w:r>
        <w:r w:rsidR="004D2A67">
          <w:rPr>
            <w:webHidden/>
          </w:rPr>
          <w:fldChar w:fldCharType="separate"/>
        </w:r>
        <w:r w:rsidR="007F5336">
          <w:rPr>
            <w:webHidden/>
          </w:rPr>
          <w:t>35</w:t>
        </w:r>
        <w:r w:rsidR="004D2A67">
          <w:rPr>
            <w:webHidden/>
          </w:rPr>
          <w:fldChar w:fldCharType="end"/>
        </w:r>
      </w:hyperlink>
    </w:p>
    <w:p w14:paraId="62D6AAC2" w14:textId="0FD954BC" w:rsidR="004D2A67" w:rsidRDefault="000213E5">
      <w:pPr>
        <w:pStyle w:val="TableofFigures"/>
        <w:rPr>
          <w:rFonts w:asciiTheme="minorHAnsi" w:eastAsiaTheme="minorEastAsia" w:hAnsiTheme="minorHAnsi" w:cstheme="minorBidi"/>
          <w:bCs w:val="0"/>
          <w:sz w:val="22"/>
          <w:szCs w:val="22"/>
          <w:lang w:val="en-AU" w:eastAsia="en-AU"/>
        </w:rPr>
      </w:pPr>
      <w:hyperlink w:anchor="_Toc459332159" w:history="1">
        <w:r w:rsidR="004D2A67" w:rsidRPr="00DE549A">
          <w:rPr>
            <w:rStyle w:val="Hyperlink"/>
          </w:rPr>
          <w:t>Table 5</w:t>
        </w:r>
        <w:r w:rsidR="004D2A67" w:rsidRPr="00DE549A">
          <w:rPr>
            <w:rStyle w:val="Hyperlink"/>
          </w:rPr>
          <w:noBreakHyphen/>
          <w:t>5: Russell-Mulgrave sites: Spearman Correlation Coefficient calculated using the mean value of each WQ parameter sampled per transect when all sites sampled since 2005-06 wet season are combined. Water Quality parameters tested were: light attenuation (Kd(PAR)), coloured dissolved organic matter (CDOM), dissolved inorganic nitrogen (DIN), dissolved inorganic phosphorus (DIP), particulate nitrogen (PN), particulate phosphorus (PP), reactive silica (Si) and chlorophyll-a (Chl-a), and they were tested against river discharge, W-E wind component, N-S wind component, surface salinity and chlorophyll-a. Significant (p&lt;0.05) correlation coefficients &gt;0.6 or &lt;-0.6 are highlighted.</w:t>
        </w:r>
        <w:r w:rsidR="004D2A67">
          <w:rPr>
            <w:webHidden/>
          </w:rPr>
          <w:tab/>
        </w:r>
        <w:r w:rsidR="004D2A67">
          <w:rPr>
            <w:webHidden/>
          </w:rPr>
          <w:fldChar w:fldCharType="begin"/>
        </w:r>
        <w:r w:rsidR="004D2A67">
          <w:rPr>
            <w:webHidden/>
          </w:rPr>
          <w:instrText xml:space="preserve"> PAGEREF _Toc459332159 \h </w:instrText>
        </w:r>
        <w:r w:rsidR="004D2A67">
          <w:rPr>
            <w:webHidden/>
          </w:rPr>
        </w:r>
        <w:r w:rsidR="004D2A67">
          <w:rPr>
            <w:webHidden/>
          </w:rPr>
          <w:fldChar w:fldCharType="separate"/>
        </w:r>
        <w:r w:rsidR="007F5336">
          <w:rPr>
            <w:webHidden/>
          </w:rPr>
          <w:t>59</w:t>
        </w:r>
        <w:r w:rsidR="004D2A67">
          <w:rPr>
            <w:webHidden/>
          </w:rPr>
          <w:fldChar w:fldCharType="end"/>
        </w:r>
      </w:hyperlink>
    </w:p>
    <w:p w14:paraId="6061B3DC" w14:textId="1E08EEF8" w:rsidR="004D2A67" w:rsidRDefault="000213E5">
      <w:pPr>
        <w:pStyle w:val="TableofFigures"/>
        <w:rPr>
          <w:rFonts w:asciiTheme="minorHAnsi" w:eastAsiaTheme="minorEastAsia" w:hAnsiTheme="minorHAnsi" w:cstheme="minorBidi"/>
          <w:bCs w:val="0"/>
          <w:sz w:val="22"/>
          <w:szCs w:val="22"/>
          <w:lang w:val="en-AU" w:eastAsia="en-AU"/>
        </w:rPr>
      </w:pPr>
      <w:hyperlink w:anchor="_Toc459332160" w:history="1">
        <w:r w:rsidR="004D2A67" w:rsidRPr="00DE549A">
          <w:rPr>
            <w:rStyle w:val="Hyperlink"/>
          </w:rPr>
          <w:t>Table 5</w:t>
        </w:r>
        <w:r w:rsidR="004D2A67" w:rsidRPr="00DE549A">
          <w:rPr>
            <w:rStyle w:val="Hyperlink"/>
          </w:rPr>
          <w:noBreakHyphen/>
          <w:t xml:space="preserve">6: </w:t>
        </w:r>
        <w:r w:rsidR="004D2A67" w:rsidRPr="00DE549A">
          <w:rPr>
            <w:rStyle w:val="Hyperlink"/>
            <w:lang w:val="en-AU"/>
          </w:rPr>
          <w:t xml:space="preserve">Tully sites: Spearman Correlation Coefficient calculated using the mean value of each parameter sampled per transect when all sites sampled since 2005-06 wet season are combined. Water quality parameters tested were: light attenuation (Kd(PAR)), coloured dissolved organic </w:t>
        </w:r>
        <w:r w:rsidR="004D2A67" w:rsidRPr="00DE549A">
          <w:rPr>
            <w:rStyle w:val="Hyperlink"/>
            <w:lang w:val="en-AU"/>
          </w:rPr>
          <w:lastRenderedPageBreak/>
          <w:t>matter (CDOM), dissolved inorganic nitrogen (DIN), dissolved inorganic phosphorus (DIP), particulate nitrogen (PN), particulate phosphorus (PP), reactive silica (Si) and chlorophyll-a (Chl-a), and they were tested against river discharge, W-E wind component , N-S wind component, surface salinity and chlorophyll-a. Significant (p&lt;0.05) correlation coefficients &gt;0.6 or &lt;-0.6 are highlighted.</w:t>
        </w:r>
        <w:r w:rsidR="004D2A67">
          <w:rPr>
            <w:webHidden/>
          </w:rPr>
          <w:tab/>
        </w:r>
        <w:r w:rsidR="004D2A67">
          <w:rPr>
            <w:webHidden/>
          </w:rPr>
          <w:fldChar w:fldCharType="begin"/>
        </w:r>
        <w:r w:rsidR="004D2A67">
          <w:rPr>
            <w:webHidden/>
          </w:rPr>
          <w:instrText xml:space="preserve"> PAGEREF _Toc459332160 \h </w:instrText>
        </w:r>
        <w:r w:rsidR="004D2A67">
          <w:rPr>
            <w:webHidden/>
          </w:rPr>
        </w:r>
        <w:r w:rsidR="004D2A67">
          <w:rPr>
            <w:webHidden/>
          </w:rPr>
          <w:fldChar w:fldCharType="separate"/>
        </w:r>
        <w:r w:rsidR="007F5336">
          <w:rPr>
            <w:webHidden/>
          </w:rPr>
          <w:t>67</w:t>
        </w:r>
        <w:r w:rsidR="004D2A67">
          <w:rPr>
            <w:webHidden/>
          </w:rPr>
          <w:fldChar w:fldCharType="end"/>
        </w:r>
      </w:hyperlink>
    </w:p>
    <w:p w14:paraId="1F3DE188" w14:textId="25F70979" w:rsidR="004D2A67" w:rsidRDefault="000213E5">
      <w:pPr>
        <w:pStyle w:val="TableofFigures"/>
        <w:rPr>
          <w:rFonts w:asciiTheme="minorHAnsi" w:eastAsiaTheme="minorEastAsia" w:hAnsiTheme="minorHAnsi" w:cstheme="minorBidi"/>
          <w:bCs w:val="0"/>
          <w:sz w:val="22"/>
          <w:szCs w:val="22"/>
          <w:lang w:val="en-AU" w:eastAsia="en-AU"/>
        </w:rPr>
      </w:pPr>
      <w:hyperlink w:anchor="_Toc459332161" w:history="1">
        <w:r w:rsidR="004D2A67" w:rsidRPr="00DE549A">
          <w:rPr>
            <w:rStyle w:val="Hyperlink"/>
          </w:rPr>
          <w:t>Table 5</w:t>
        </w:r>
        <w:r w:rsidR="004D2A67" w:rsidRPr="00DE549A">
          <w:rPr>
            <w:rStyle w:val="Hyperlink"/>
          </w:rPr>
          <w:noBreakHyphen/>
          <w:t xml:space="preserve">7: </w:t>
        </w:r>
        <w:r w:rsidR="004D2A67" w:rsidRPr="00DE549A">
          <w:rPr>
            <w:rStyle w:val="Hyperlink"/>
            <w:lang w:val="en-AU"/>
          </w:rPr>
          <w:t>Burdekin sites: Spearman Correlation Coefficient calculated using the mean value of each parameter sampled per transect when all sites sampled since 2005-06 wet season are combined. Water quality parameters tested were: light attenuation (Kd(PAR)), coloured dissolved organic matter (CDOM), dissolved inorganic nitrogen (DIN), dissolved inorganic phosphorus (DIP), particulate nitrogen (PN), particulate phosphorus (PP), reactive silica (Si) and chlorophyll-a (Chl-a), and they were tested against river discharge, W-E wind component, N-S wind component , surface salinity and chlorophyll-a. Significant (p&lt;0.05) correlation coefficients &gt;0.6 or &lt;-0.6 are highlighted.</w:t>
        </w:r>
        <w:r w:rsidR="004D2A67">
          <w:rPr>
            <w:webHidden/>
          </w:rPr>
          <w:tab/>
        </w:r>
        <w:r w:rsidR="004D2A67">
          <w:rPr>
            <w:webHidden/>
          </w:rPr>
          <w:fldChar w:fldCharType="begin"/>
        </w:r>
        <w:r w:rsidR="004D2A67">
          <w:rPr>
            <w:webHidden/>
          </w:rPr>
          <w:instrText xml:space="preserve"> PAGEREF _Toc459332161 \h </w:instrText>
        </w:r>
        <w:r w:rsidR="004D2A67">
          <w:rPr>
            <w:webHidden/>
          </w:rPr>
        </w:r>
        <w:r w:rsidR="004D2A67">
          <w:rPr>
            <w:webHidden/>
          </w:rPr>
          <w:fldChar w:fldCharType="separate"/>
        </w:r>
        <w:r w:rsidR="007F5336">
          <w:rPr>
            <w:webHidden/>
          </w:rPr>
          <w:t>74</w:t>
        </w:r>
        <w:r w:rsidR="004D2A67">
          <w:rPr>
            <w:webHidden/>
          </w:rPr>
          <w:fldChar w:fldCharType="end"/>
        </w:r>
      </w:hyperlink>
    </w:p>
    <w:p w14:paraId="2401D362" w14:textId="75D3C915" w:rsidR="004D2A67" w:rsidRDefault="000213E5">
      <w:pPr>
        <w:pStyle w:val="TableofFigures"/>
        <w:rPr>
          <w:rFonts w:asciiTheme="minorHAnsi" w:eastAsiaTheme="minorEastAsia" w:hAnsiTheme="minorHAnsi" w:cstheme="minorBidi"/>
          <w:bCs w:val="0"/>
          <w:sz w:val="22"/>
          <w:szCs w:val="22"/>
          <w:lang w:val="en-AU" w:eastAsia="en-AU"/>
        </w:rPr>
      </w:pPr>
      <w:hyperlink w:anchor="_Toc459332162" w:history="1">
        <w:r w:rsidR="004D2A67" w:rsidRPr="00DE549A">
          <w:rPr>
            <w:rStyle w:val="Hyperlink"/>
          </w:rPr>
          <w:t>Table 5</w:t>
        </w:r>
        <w:r w:rsidR="004D2A67" w:rsidRPr="00DE549A">
          <w:rPr>
            <w:rStyle w:val="Hyperlink"/>
          </w:rPr>
          <w:noBreakHyphen/>
          <w:t>8: Results from remote sensing data of Chl-a and TSS for the 2016 Report Card, based on GBRMPA monitoring year of 1 May 2014 to 30 April 2015.</w:t>
        </w:r>
        <w:r w:rsidR="004D2A67">
          <w:rPr>
            <w:webHidden/>
          </w:rPr>
          <w:tab/>
        </w:r>
        <w:r w:rsidR="004D2A67">
          <w:rPr>
            <w:webHidden/>
          </w:rPr>
          <w:fldChar w:fldCharType="begin"/>
        </w:r>
        <w:r w:rsidR="004D2A67">
          <w:rPr>
            <w:webHidden/>
          </w:rPr>
          <w:instrText xml:space="preserve"> PAGEREF _Toc459332162 \h </w:instrText>
        </w:r>
        <w:r w:rsidR="004D2A67">
          <w:rPr>
            <w:webHidden/>
          </w:rPr>
        </w:r>
        <w:r w:rsidR="004D2A67">
          <w:rPr>
            <w:webHidden/>
          </w:rPr>
          <w:fldChar w:fldCharType="separate"/>
        </w:r>
        <w:r w:rsidR="007F5336">
          <w:rPr>
            <w:webHidden/>
          </w:rPr>
          <w:t>83</w:t>
        </w:r>
        <w:r w:rsidR="004D2A67">
          <w:rPr>
            <w:webHidden/>
          </w:rPr>
          <w:fldChar w:fldCharType="end"/>
        </w:r>
      </w:hyperlink>
    </w:p>
    <w:p w14:paraId="75171A2F" w14:textId="27B80746" w:rsidR="004D2A67" w:rsidRDefault="000213E5">
      <w:pPr>
        <w:pStyle w:val="TableofFigures"/>
        <w:rPr>
          <w:rFonts w:asciiTheme="minorHAnsi" w:eastAsiaTheme="minorEastAsia" w:hAnsiTheme="minorHAnsi" w:cstheme="minorBidi"/>
          <w:bCs w:val="0"/>
          <w:sz w:val="22"/>
          <w:szCs w:val="22"/>
          <w:lang w:val="en-AU" w:eastAsia="en-AU"/>
        </w:rPr>
      </w:pPr>
      <w:hyperlink w:anchor="_Toc459332163" w:history="1">
        <w:r w:rsidR="004D2A67" w:rsidRPr="00DE549A">
          <w:rPr>
            <w:rStyle w:val="Hyperlink"/>
          </w:rPr>
          <w:t>Table 5</w:t>
        </w:r>
        <w:r w:rsidR="004D2A67" w:rsidRPr="00DE549A">
          <w:rPr>
            <w:rStyle w:val="Hyperlink"/>
          </w:rPr>
          <w:noBreakHyphen/>
          <w:t>9: Calculation of weighted scores using remote sensing data of Chl-a and TSS for the 2016 Report Card, based on GBRMPA monitoring year of 1 May 2014 to 30 April 2015.</w:t>
        </w:r>
        <w:r w:rsidR="004D2A67">
          <w:rPr>
            <w:webHidden/>
          </w:rPr>
          <w:tab/>
        </w:r>
        <w:r w:rsidR="004D2A67">
          <w:rPr>
            <w:webHidden/>
          </w:rPr>
          <w:fldChar w:fldCharType="begin"/>
        </w:r>
        <w:r w:rsidR="004D2A67">
          <w:rPr>
            <w:webHidden/>
          </w:rPr>
          <w:instrText xml:space="preserve"> PAGEREF _Toc459332163 \h </w:instrText>
        </w:r>
        <w:r w:rsidR="004D2A67">
          <w:rPr>
            <w:webHidden/>
          </w:rPr>
        </w:r>
        <w:r w:rsidR="004D2A67">
          <w:rPr>
            <w:webHidden/>
          </w:rPr>
          <w:fldChar w:fldCharType="separate"/>
        </w:r>
        <w:r w:rsidR="007F5336">
          <w:rPr>
            <w:webHidden/>
          </w:rPr>
          <w:t>84</w:t>
        </w:r>
        <w:r w:rsidR="004D2A67">
          <w:rPr>
            <w:webHidden/>
          </w:rPr>
          <w:fldChar w:fldCharType="end"/>
        </w:r>
      </w:hyperlink>
    </w:p>
    <w:p w14:paraId="12547723" w14:textId="2BAC0AB4" w:rsidR="004D2A67" w:rsidRDefault="000213E5">
      <w:pPr>
        <w:pStyle w:val="TableofFigures"/>
        <w:rPr>
          <w:rFonts w:asciiTheme="minorHAnsi" w:eastAsiaTheme="minorEastAsia" w:hAnsiTheme="minorHAnsi" w:cstheme="minorBidi"/>
          <w:bCs w:val="0"/>
          <w:sz w:val="22"/>
          <w:szCs w:val="22"/>
          <w:lang w:val="en-AU" w:eastAsia="en-AU"/>
        </w:rPr>
      </w:pPr>
      <w:hyperlink w:anchor="_Toc459332164" w:history="1">
        <w:r w:rsidR="004D2A67" w:rsidRPr="00DE549A">
          <w:rPr>
            <w:rStyle w:val="Hyperlink"/>
          </w:rPr>
          <w:t>Table 5</w:t>
        </w:r>
        <w:r w:rsidR="004D2A67" w:rsidRPr="00DE549A">
          <w:rPr>
            <w:rStyle w:val="Hyperlink"/>
          </w:rPr>
          <w:noBreakHyphen/>
          <w:t>10: Calculation of weighted scores using remote sensing data of Chl a and TSS for the 2015 Report Card, based on GBRMPA monitoring year of 1 May 2014 to 30 April 2015.</w:t>
        </w:r>
        <w:r w:rsidR="004D2A67">
          <w:rPr>
            <w:webHidden/>
          </w:rPr>
          <w:tab/>
        </w:r>
        <w:r w:rsidR="004D2A67">
          <w:rPr>
            <w:webHidden/>
          </w:rPr>
          <w:fldChar w:fldCharType="begin"/>
        </w:r>
        <w:r w:rsidR="004D2A67">
          <w:rPr>
            <w:webHidden/>
          </w:rPr>
          <w:instrText xml:space="preserve"> PAGEREF _Toc459332164 \h </w:instrText>
        </w:r>
        <w:r w:rsidR="004D2A67">
          <w:rPr>
            <w:webHidden/>
          </w:rPr>
        </w:r>
        <w:r w:rsidR="004D2A67">
          <w:rPr>
            <w:webHidden/>
          </w:rPr>
          <w:fldChar w:fldCharType="separate"/>
        </w:r>
        <w:r w:rsidR="007F5336">
          <w:rPr>
            <w:webHidden/>
          </w:rPr>
          <w:t>84</w:t>
        </w:r>
        <w:r w:rsidR="004D2A67">
          <w:rPr>
            <w:webHidden/>
          </w:rPr>
          <w:fldChar w:fldCharType="end"/>
        </w:r>
      </w:hyperlink>
    </w:p>
    <w:p w14:paraId="4D6B2925" w14:textId="20A0C04C" w:rsidR="004D2A67" w:rsidRDefault="000213E5">
      <w:pPr>
        <w:pStyle w:val="TableofFigures"/>
        <w:rPr>
          <w:rFonts w:asciiTheme="minorHAnsi" w:eastAsiaTheme="minorEastAsia" w:hAnsiTheme="minorHAnsi" w:cstheme="minorBidi"/>
          <w:bCs w:val="0"/>
          <w:sz w:val="22"/>
          <w:szCs w:val="22"/>
          <w:lang w:val="en-AU" w:eastAsia="en-AU"/>
        </w:rPr>
      </w:pPr>
      <w:hyperlink w:anchor="_Toc459332165" w:history="1">
        <w:r w:rsidR="004D2A67" w:rsidRPr="00DE549A">
          <w:rPr>
            <w:rStyle w:val="Hyperlink"/>
          </w:rPr>
          <w:t>Table 8</w:t>
        </w:r>
        <w:r w:rsidR="004D2A67" w:rsidRPr="00DE549A">
          <w:rPr>
            <w:rStyle w:val="Hyperlink"/>
          </w:rPr>
          <w:noBreakHyphen/>
          <w:t xml:space="preserve">1: </w:t>
        </w:r>
        <w:r w:rsidR="004D2A67" w:rsidRPr="00DE549A">
          <w:rPr>
            <w:rStyle w:val="Hyperlink"/>
            <w:lang w:val="en-AU"/>
          </w:rPr>
          <w:t>Key remote sensing methods and products developed through MMP funding and used to develop the present Satellite Risk Framework.</w:t>
        </w:r>
        <w:r w:rsidR="004D2A67">
          <w:rPr>
            <w:webHidden/>
          </w:rPr>
          <w:tab/>
        </w:r>
        <w:r w:rsidR="004D2A67">
          <w:rPr>
            <w:webHidden/>
          </w:rPr>
          <w:fldChar w:fldCharType="begin"/>
        </w:r>
        <w:r w:rsidR="004D2A67">
          <w:rPr>
            <w:webHidden/>
          </w:rPr>
          <w:instrText xml:space="preserve"> PAGEREF _Toc459332165 \h </w:instrText>
        </w:r>
        <w:r w:rsidR="004D2A67">
          <w:rPr>
            <w:webHidden/>
          </w:rPr>
        </w:r>
        <w:r w:rsidR="004D2A67">
          <w:rPr>
            <w:webHidden/>
          </w:rPr>
          <w:fldChar w:fldCharType="separate"/>
        </w:r>
        <w:r w:rsidR="007F5336">
          <w:rPr>
            <w:webHidden/>
          </w:rPr>
          <w:t>103</w:t>
        </w:r>
        <w:r w:rsidR="004D2A67">
          <w:rPr>
            <w:webHidden/>
          </w:rPr>
          <w:fldChar w:fldCharType="end"/>
        </w:r>
      </w:hyperlink>
    </w:p>
    <w:p w14:paraId="23164975" w14:textId="122E6FCD" w:rsidR="004D2A67" w:rsidRDefault="000213E5">
      <w:pPr>
        <w:pStyle w:val="TableofFigures"/>
        <w:rPr>
          <w:rFonts w:asciiTheme="minorHAnsi" w:eastAsiaTheme="minorEastAsia" w:hAnsiTheme="minorHAnsi" w:cstheme="minorBidi"/>
          <w:bCs w:val="0"/>
          <w:sz w:val="22"/>
          <w:szCs w:val="22"/>
          <w:lang w:val="en-AU" w:eastAsia="en-AU"/>
        </w:rPr>
      </w:pPr>
      <w:hyperlink w:anchor="_Toc459332166" w:history="1">
        <w:r w:rsidR="004D2A67" w:rsidRPr="00DE549A">
          <w:rPr>
            <w:rStyle w:val="Hyperlink"/>
          </w:rPr>
          <w:t>Table 8</w:t>
        </w:r>
        <w:r w:rsidR="004D2A67" w:rsidRPr="00DE549A">
          <w:rPr>
            <w:rStyle w:val="Hyperlink"/>
          </w:rPr>
          <w:noBreakHyphen/>
          <w:t xml:space="preserve">2: </w:t>
        </w:r>
        <w:r w:rsidR="004D2A67" w:rsidRPr="00DE549A">
          <w:rPr>
            <w:rStyle w:val="Hyperlink"/>
            <w:rFonts w:cs="Arial"/>
            <w:lang w:val="en-AU"/>
          </w:rPr>
          <w:t>Contaminant concentration in each plume water type (</w:t>
        </w:r>
        <w:r w:rsidR="004D2A67" w:rsidRPr="00DE549A">
          <w:rPr>
            <w:rStyle w:val="Hyperlink"/>
            <w:rFonts w:cs="Arial"/>
            <w:lang w:eastAsia="en-AU"/>
          </w:rPr>
          <w:t>TSSp</w:t>
        </w:r>
        <w:r w:rsidR="004D2A67" w:rsidRPr="00DE549A">
          <w:rPr>
            <w:rStyle w:val="Hyperlink"/>
            <w:rFonts w:cs="Arial"/>
            <w:vertAlign w:val="subscript"/>
            <w:lang w:eastAsia="en-AU"/>
          </w:rPr>
          <w:t>CCx</w:t>
        </w:r>
        <w:r w:rsidR="004D2A67" w:rsidRPr="00DE549A">
          <w:rPr>
            <w:rStyle w:val="Hyperlink"/>
            <w:rFonts w:cs="Arial"/>
            <w:lang w:eastAsia="en-AU"/>
          </w:rPr>
          <w:t>,</w:t>
        </w:r>
        <w:r w:rsidR="004D2A67" w:rsidRPr="00DE549A">
          <w:rPr>
            <w:rStyle w:val="Hyperlink"/>
            <w:rFonts w:cs="Arial"/>
            <w:lang w:val="en-AU"/>
          </w:rPr>
          <w:t xml:space="preserve"> </w:t>
        </w:r>
        <w:r w:rsidR="004D2A67" w:rsidRPr="00DE549A">
          <w:rPr>
            <w:rStyle w:val="Hyperlink"/>
            <w:rFonts w:cs="Arial"/>
            <w:lang w:eastAsia="en-AU"/>
          </w:rPr>
          <w:t>Chl-ap</w:t>
        </w:r>
        <w:r w:rsidR="004D2A67" w:rsidRPr="00DE549A">
          <w:rPr>
            <w:rStyle w:val="Hyperlink"/>
            <w:rFonts w:cs="Arial"/>
            <w:vertAlign w:val="subscript"/>
            <w:lang w:eastAsia="en-AU"/>
          </w:rPr>
          <w:t>CCx</w:t>
        </w:r>
        <w:r w:rsidR="004D2A67" w:rsidRPr="00DE549A">
          <w:rPr>
            <w:rStyle w:val="Hyperlink"/>
            <w:rFonts w:cs="Arial"/>
            <w:lang w:eastAsia="en-AU"/>
          </w:rPr>
          <w:t>, PSIIp</w:t>
        </w:r>
        <w:r w:rsidR="004D2A67" w:rsidRPr="00DE549A">
          <w:rPr>
            <w:rStyle w:val="Hyperlink"/>
            <w:rFonts w:cs="Arial"/>
            <w:vertAlign w:val="subscript"/>
            <w:lang w:eastAsia="en-AU"/>
          </w:rPr>
          <w:t>CCx</w:t>
        </w:r>
        <w:r w:rsidR="004D2A67" w:rsidRPr="00DE549A">
          <w:rPr>
            <w:rStyle w:val="Hyperlink"/>
            <w:rFonts w:cs="Arial"/>
            <w:lang w:val="en-AU"/>
          </w:rPr>
          <w:t>) is compared by ratio to published ecological threshold values for consequences and effects (</w:t>
        </w:r>
        <w:r w:rsidR="004D2A67" w:rsidRPr="00DE549A">
          <w:rPr>
            <w:rStyle w:val="Hyperlink"/>
            <w:rFonts w:cs="Arial"/>
            <w:lang w:eastAsia="en-AU"/>
          </w:rPr>
          <w:t>TSSt</w:t>
        </w:r>
        <w:r w:rsidR="004D2A67" w:rsidRPr="00DE549A">
          <w:rPr>
            <w:rStyle w:val="Hyperlink"/>
            <w:rFonts w:cs="Arial"/>
            <w:vertAlign w:val="subscript"/>
            <w:lang w:eastAsia="en-AU"/>
          </w:rPr>
          <w:t>CCx</w:t>
        </w:r>
        <w:r w:rsidR="004D2A67" w:rsidRPr="00DE549A">
          <w:rPr>
            <w:rStyle w:val="Hyperlink"/>
            <w:rFonts w:cs="Arial"/>
            <w:lang w:eastAsia="en-AU"/>
          </w:rPr>
          <w:t>,</w:t>
        </w:r>
        <w:r w:rsidR="004D2A67" w:rsidRPr="00DE549A">
          <w:rPr>
            <w:rStyle w:val="Hyperlink"/>
            <w:rFonts w:cs="Arial"/>
            <w:lang w:val="en-AU"/>
          </w:rPr>
          <w:t xml:space="preserve"> </w:t>
        </w:r>
        <w:r w:rsidR="004D2A67" w:rsidRPr="00DE549A">
          <w:rPr>
            <w:rStyle w:val="Hyperlink"/>
            <w:rFonts w:cs="Arial"/>
            <w:lang w:eastAsia="en-AU"/>
          </w:rPr>
          <w:t>Chl-at</w:t>
        </w:r>
        <w:r w:rsidR="004D2A67" w:rsidRPr="00DE549A">
          <w:rPr>
            <w:rStyle w:val="Hyperlink"/>
            <w:rFonts w:cs="Arial"/>
            <w:vertAlign w:val="subscript"/>
            <w:lang w:eastAsia="en-AU"/>
          </w:rPr>
          <w:t>CCx</w:t>
        </w:r>
        <w:r w:rsidR="004D2A67" w:rsidRPr="00DE549A">
          <w:rPr>
            <w:rStyle w:val="Hyperlink"/>
            <w:rFonts w:cs="Arial"/>
            <w:lang w:eastAsia="en-AU"/>
          </w:rPr>
          <w:t>, PSIIt</w:t>
        </w:r>
        <w:r w:rsidR="004D2A67" w:rsidRPr="00DE549A">
          <w:rPr>
            <w:rStyle w:val="Hyperlink"/>
            <w:rFonts w:cs="Arial"/>
            <w:vertAlign w:val="subscript"/>
            <w:lang w:eastAsia="en-AU"/>
          </w:rPr>
          <w:t>CCx</w:t>
        </w:r>
        <w:r w:rsidR="004D2A67" w:rsidRPr="00DE549A">
          <w:rPr>
            <w:rStyle w:val="Hyperlink"/>
            <w:rFonts w:cs="Arial"/>
            <w:lang w:val="en-AU"/>
          </w:rPr>
          <w:t>). Ratios are summed (</w:t>
        </w:r>
        <w:r w:rsidR="004D2A67" w:rsidRPr="00DE549A">
          <w:rPr>
            <w:rStyle w:val="Hyperlink"/>
            <w:rFonts w:cs="Arial"/>
            <w:lang w:eastAsia="en-AU"/>
          </w:rPr>
          <w:t>R</w:t>
        </w:r>
        <w:r w:rsidR="004D2A67" w:rsidRPr="00DE549A">
          <w:rPr>
            <w:rStyle w:val="Hyperlink"/>
            <w:rFonts w:cs="Arial"/>
            <w:vertAlign w:val="subscript"/>
            <w:lang w:eastAsia="en-AU"/>
          </w:rPr>
          <w:t>CCx</w:t>
        </w:r>
        <w:r w:rsidR="004D2A67" w:rsidRPr="00DE549A">
          <w:rPr>
            <w:rStyle w:val="Hyperlink"/>
            <w:rFonts w:cs="Arial"/>
            <w:lang w:eastAsia="en-AU"/>
          </w:rPr>
          <w:t xml:space="preserve">) </w:t>
        </w:r>
        <w:r w:rsidR="004D2A67" w:rsidRPr="00DE549A">
          <w:rPr>
            <w:rStyle w:val="Hyperlink"/>
            <w:rFonts w:cs="Arial"/>
            <w:lang w:val="en-AU"/>
          </w:rPr>
          <w:t>and normalised across plume water type in order to calculate a Magnitude Score for each plume water type (MS</w:t>
        </w:r>
        <w:r w:rsidR="004D2A67" w:rsidRPr="00DE549A">
          <w:rPr>
            <w:rStyle w:val="Hyperlink"/>
            <w:rFonts w:cs="Arial"/>
            <w:vertAlign w:val="subscript"/>
            <w:lang w:val="en-AU"/>
          </w:rPr>
          <w:t>CCx</w:t>
        </w:r>
        <w:r w:rsidR="004D2A67" w:rsidRPr="00DE549A">
          <w:rPr>
            <w:rStyle w:val="Hyperlink"/>
            <w:rFonts w:cs="Arial"/>
            <w:lang w:val="en-AU"/>
          </w:rPr>
          <w:t>).</w:t>
        </w:r>
        <w:r w:rsidR="004D2A67" w:rsidRPr="00DE549A">
          <w:rPr>
            <w:rStyle w:val="Hyperlink"/>
          </w:rPr>
          <w:t xml:space="preserve"> </w:t>
        </w:r>
        <w:r w:rsidR="004D2A67" w:rsidRPr="00DE549A">
          <w:rPr>
            <w:rStyle w:val="Hyperlink"/>
            <w:rFonts w:cs="Arial"/>
            <w:lang w:val="en-AU"/>
          </w:rPr>
          <w:t>A</w:t>
        </w:r>
        <w:r w:rsidR="004D2A67" w:rsidRPr="00DE549A">
          <w:rPr>
            <w:rStyle w:val="Hyperlink"/>
          </w:rPr>
          <w:t xml:space="preserve"> </w:t>
        </w:r>
        <w:r w:rsidR="004D2A67" w:rsidRPr="00DE549A">
          <w:rPr>
            <w:rStyle w:val="Hyperlink"/>
            <w:rFonts w:cs="Arial"/>
            <w:lang w:val="en-AU"/>
          </w:rPr>
          <w:t>linear model applied on the data to estimate the multi-annual mean PSII herbicide concentrations per plume water type and the Wet Tropics data are used as surrogate for the GBR.</w:t>
        </w:r>
        <w:r w:rsidR="004D2A67">
          <w:rPr>
            <w:webHidden/>
          </w:rPr>
          <w:tab/>
        </w:r>
        <w:r w:rsidR="004D2A67">
          <w:rPr>
            <w:webHidden/>
          </w:rPr>
          <w:fldChar w:fldCharType="begin"/>
        </w:r>
        <w:r w:rsidR="004D2A67">
          <w:rPr>
            <w:webHidden/>
          </w:rPr>
          <w:instrText xml:space="preserve"> PAGEREF _Toc459332166 \h </w:instrText>
        </w:r>
        <w:r w:rsidR="004D2A67">
          <w:rPr>
            <w:webHidden/>
          </w:rPr>
        </w:r>
        <w:r w:rsidR="004D2A67">
          <w:rPr>
            <w:webHidden/>
          </w:rPr>
          <w:fldChar w:fldCharType="separate"/>
        </w:r>
        <w:r w:rsidR="007F5336">
          <w:rPr>
            <w:webHidden/>
          </w:rPr>
          <w:t>107</w:t>
        </w:r>
        <w:r w:rsidR="004D2A67">
          <w:rPr>
            <w:webHidden/>
          </w:rPr>
          <w:fldChar w:fldCharType="end"/>
        </w:r>
      </w:hyperlink>
    </w:p>
    <w:p w14:paraId="290CDF41" w14:textId="4A724B43" w:rsidR="004D2A67" w:rsidRDefault="000213E5">
      <w:pPr>
        <w:pStyle w:val="TableofFigures"/>
        <w:rPr>
          <w:rFonts w:asciiTheme="minorHAnsi" w:eastAsiaTheme="minorEastAsia" w:hAnsiTheme="minorHAnsi" w:cstheme="minorBidi"/>
          <w:bCs w:val="0"/>
          <w:sz w:val="22"/>
          <w:szCs w:val="22"/>
          <w:lang w:val="en-AU" w:eastAsia="en-AU"/>
        </w:rPr>
      </w:pPr>
      <w:hyperlink w:anchor="_Toc459332167" w:history="1">
        <w:r w:rsidR="004D2A67" w:rsidRPr="00DE549A">
          <w:rPr>
            <w:rStyle w:val="Hyperlink"/>
          </w:rPr>
          <w:t>Table 8</w:t>
        </w:r>
        <w:r w:rsidR="004D2A67" w:rsidRPr="00DE549A">
          <w:rPr>
            <w:rStyle w:val="Hyperlink"/>
          </w:rPr>
          <w:noBreakHyphen/>
          <w:t>3: Magnitude Score (MS</w:t>
        </w:r>
        <w:r w:rsidR="004D2A67" w:rsidRPr="00DE549A">
          <w:rPr>
            <w:rStyle w:val="Hyperlink"/>
            <w:vertAlign w:val="subscript"/>
          </w:rPr>
          <w:t>CCx</w:t>
        </w:r>
        <w:r w:rsidR="004D2A67" w:rsidRPr="00DE549A">
          <w:rPr>
            <w:rStyle w:val="Hyperlink"/>
          </w:rPr>
          <w:t>) of each plume water type, Likelihood Score (LS</w:t>
        </w:r>
        <w:r w:rsidR="004D2A67" w:rsidRPr="00DE549A">
          <w:rPr>
            <w:rStyle w:val="Hyperlink"/>
            <w:vertAlign w:val="subscript"/>
          </w:rPr>
          <w:t>CCx</w:t>
        </w:r>
        <w:r w:rsidR="004D2A67" w:rsidRPr="00DE549A">
          <w:rPr>
            <w:rStyle w:val="Hyperlink"/>
          </w:rPr>
          <w:t>) at the seagrass sites locations and Risk Scores (RS</w:t>
        </w:r>
        <w:r w:rsidR="004D2A67" w:rsidRPr="00DE549A">
          <w:rPr>
            <w:rStyle w:val="Hyperlink"/>
            <w:vertAlign w:val="subscript"/>
          </w:rPr>
          <w:t>site</w:t>
        </w:r>
        <w:r w:rsidR="004D2A67" w:rsidRPr="00DE549A">
          <w:rPr>
            <w:rStyle w:val="Hyperlink"/>
          </w:rPr>
          <w:t xml:space="preserve"> and RS</w:t>
        </w:r>
        <w:r w:rsidR="004D2A67" w:rsidRPr="00DE549A">
          <w:rPr>
            <w:rStyle w:val="Hyperlink"/>
            <w:vertAlign w:val="subscript"/>
          </w:rPr>
          <w:t>NRM</w:t>
        </w:r>
        <w:r w:rsidR="004D2A67" w:rsidRPr="00DE549A">
          <w:rPr>
            <w:rStyle w:val="Hyperlink"/>
          </w:rPr>
          <w:t xml:space="preserve">) at the seagrass site and NRM scales. </w:t>
        </w:r>
        <w:r w:rsidR="004D2A67">
          <w:rPr>
            <w:webHidden/>
          </w:rPr>
          <w:tab/>
        </w:r>
        <w:r w:rsidR="004D2A67">
          <w:rPr>
            <w:webHidden/>
          </w:rPr>
          <w:fldChar w:fldCharType="begin"/>
        </w:r>
        <w:r w:rsidR="004D2A67">
          <w:rPr>
            <w:webHidden/>
          </w:rPr>
          <w:instrText xml:space="preserve"> PAGEREF _Toc459332167 \h </w:instrText>
        </w:r>
        <w:r w:rsidR="004D2A67">
          <w:rPr>
            <w:webHidden/>
          </w:rPr>
        </w:r>
        <w:r w:rsidR="004D2A67">
          <w:rPr>
            <w:webHidden/>
          </w:rPr>
          <w:fldChar w:fldCharType="separate"/>
        </w:r>
        <w:r w:rsidR="007F5336">
          <w:rPr>
            <w:webHidden/>
          </w:rPr>
          <w:t>109</w:t>
        </w:r>
        <w:r w:rsidR="004D2A67">
          <w:rPr>
            <w:webHidden/>
          </w:rPr>
          <w:fldChar w:fldCharType="end"/>
        </w:r>
      </w:hyperlink>
    </w:p>
    <w:p w14:paraId="6DDD7A9B" w14:textId="20C03FC0" w:rsidR="004D2A67" w:rsidRDefault="000213E5">
      <w:pPr>
        <w:pStyle w:val="TableofFigures"/>
        <w:rPr>
          <w:rFonts w:asciiTheme="minorHAnsi" w:eastAsiaTheme="minorEastAsia" w:hAnsiTheme="minorHAnsi" w:cstheme="minorBidi"/>
          <w:bCs w:val="0"/>
          <w:sz w:val="22"/>
          <w:szCs w:val="22"/>
          <w:lang w:val="en-AU" w:eastAsia="en-AU"/>
        </w:rPr>
      </w:pPr>
      <w:hyperlink w:anchor="_Toc459332168" w:history="1">
        <w:r w:rsidR="004D2A67" w:rsidRPr="00DE549A">
          <w:rPr>
            <w:rStyle w:val="Hyperlink"/>
            <w:rFonts w:cs="Arial"/>
            <w:lang w:val="en-AU"/>
          </w:rPr>
          <w:t>Table 8</w:t>
        </w:r>
        <w:r w:rsidR="004D2A67" w:rsidRPr="00DE549A">
          <w:rPr>
            <w:rStyle w:val="Hyperlink"/>
            <w:rFonts w:cs="Arial"/>
            <w:lang w:val="en-AU"/>
          </w:rPr>
          <w:noBreakHyphen/>
          <w:t>4: Magnitude Score (MSCCx) of each plume water type, Likelihood Score (LSCCx) at the seagrass sites locations and Risk Scores (RS</w:t>
        </w:r>
        <w:r w:rsidR="004D2A67" w:rsidRPr="00DE549A">
          <w:rPr>
            <w:rStyle w:val="Hyperlink"/>
            <w:rFonts w:cs="Arial"/>
            <w:vertAlign w:val="subscript"/>
            <w:lang w:val="en-AU"/>
          </w:rPr>
          <w:t>site</w:t>
        </w:r>
        <w:r w:rsidR="004D2A67" w:rsidRPr="00DE549A">
          <w:rPr>
            <w:rStyle w:val="Hyperlink"/>
            <w:rFonts w:cs="Arial"/>
            <w:lang w:val="en-AU"/>
          </w:rPr>
          <w:t xml:space="preserve"> and RS</w:t>
        </w:r>
        <w:r w:rsidR="004D2A67" w:rsidRPr="00DE549A">
          <w:rPr>
            <w:rStyle w:val="Hyperlink"/>
            <w:rFonts w:cs="Arial"/>
            <w:vertAlign w:val="subscript"/>
            <w:lang w:val="en-AU"/>
          </w:rPr>
          <w:t>NRM</w:t>
        </w:r>
        <w:r w:rsidR="004D2A67" w:rsidRPr="00DE549A">
          <w:rPr>
            <w:rStyle w:val="Hyperlink"/>
            <w:rFonts w:cs="Arial"/>
            <w:lang w:val="en-AU"/>
          </w:rPr>
          <w:t>) at the coral site and NRM scales.</w:t>
        </w:r>
        <w:r w:rsidR="004D2A67">
          <w:rPr>
            <w:webHidden/>
          </w:rPr>
          <w:tab/>
        </w:r>
        <w:r w:rsidR="004D2A67">
          <w:rPr>
            <w:webHidden/>
          </w:rPr>
          <w:fldChar w:fldCharType="begin"/>
        </w:r>
        <w:r w:rsidR="004D2A67">
          <w:rPr>
            <w:webHidden/>
          </w:rPr>
          <w:instrText xml:space="preserve"> PAGEREF _Toc459332168 \h </w:instrText>
        </w:r>
        <w:r w:rsidR="004D2A67">
          <w:rPr>
            <w:webHidden/>
          </w:rPr>
        </w:r>
        <w:r w:rsidR="004D2A67">
          <w:rPr>
            <w:webHidden/>
          </w:rPr>
          <w:fldChar w:fldCharType="separate"/>
        </w:r>
        <w:r w:rsidR="007F5336">
          <w:rPr>
            <w:webHidden/>
          </w:rPr>
          <w:t>110</w:t>
        </w:r>
        <w:r w:rsidR="004D2A67">
          <w:rPr>
            <w:webHidden/>
          </w:rPr>
          <w:fldChar w:fldCharType="end"/>
        </w:r>
      </w:hyperlink>
    </w:p>
    <w:p w14:paraId="64B57CC6" w14:textId="48F55EB5" w:rsidR="004D2A67" w:rsidRDefault="000213E5">
      <w:pPr>
        <w:pStyle w:val="TableofFigures"/>
        <w:rPr>
          <w:rFonts w:asciiTheme="minorHAnsi" w:eastAsiaTheme="minorEastAsia" w:hAnsiTheme="minorHAnsi" w:cstheme="minorBidi"/>
          <w:bCs w:val="0"/>
          <w:sz w:val="22"/>
          <w:szCs w:val="22"/>
          <w:lang w:val="en-AU" w:eastAsia="en-AU"/>
        </w:rPr>
      </w:pPr>
      <w:hyperlink w:anchor="_Toc459332169" w:history="1">
        <w:r w:rsidR="004D2A67" w:rsidRPr="00DE549A">
          <w:rPr>
            <w:rStyle w:val="Hyperlink"/>
            <w:rFonts w:cs="Arial"/>
            <w:lang w:val="en-AU"/>
          </w:rPr>
          <w:t>Table 8</w:t>
        </w:r>
        <w:r w:rsidR="004D2A67" w:rsidRPr="00DE549A">
          <w:rPr>
            <w:rStyle w:val="Hyperlink"/>
            <w:rFonts w:cs="Arial"/>
            <w:lang w:val="en-AU"/>
          </w:rPr>
          <w:noBreakHyphen/>
          <w:t>5: Risk Score thresholds associated with loss of seagrass cover. The thresholds were derived from Figure 8-3a (dotted lines).</w:t>
        </w:r>
        <w:r w:rsidR="004D2A67">
          <w:rPr>
            <w:webHidden/>
          </w:rPr>
          <w:tab/>
        </w:r>
        <w:r w:rsidR="004D2A67">
          <w:rPr>
            <w:webHidden/>
          </w:rPr>
          <w:fldChar w:fldCharType="begin"/>
        </w:r>
        <w:r w:rsidR="004D2A67">
          <w:rPr>
            <w:webHidden/>
          </w:rPr>
          <w:instrText xml:space="preserve"> PAGEREF _Toc459332169 \h </w:instrText>
        </w:r>
        <w:r w:rsidR="004D2A67">
          <w:rPr>
            <w:webHidden/>
          </w:rPr>
        </w:r>
        <w:r w:rsidR="004D2A67">
          <w:rPr>
            <w:webHidden/>
          </w:rPr>
          <w:fldChar w:fldCharType="separate"/>
        </w:r>
        <w:r w:rsidR="007F5336">
          <w:rPr>
            <w:webHidden/>
          </w:rPr>
          <w:t>112</w:t>
        </w:r>
        <w:r w:rsidR="004D2A67">
          <w:rPr>
            <w:webHidden/>
          </w:rPr>
          <w:fldChar w:fldCharType="end"/>
        </w:r>
      </w:hyperlink>
    </w:p>
    <w:p w14:paraId="5F22EC94" w14:textId="77777777" w:rsidR="0028411F" w:rsidRDefault="00EB33A6" w:rsidP="004A5BF7">
      <w:pPr>
        <w:rPr>
          <w:lang w:val="en-AU"/>
        </w:rPr>
      </w:pPr>
      <w:r>
        <w:rPr>
          <w:lang w:val="en-AU"/>
        </w:rPr>
        <w:fldChar w:fldCharType="end"/>
      </w:r>
    </w:p>
    <w:p w14:paraId="5F22EC95" w14:textId="77777777" w:rsidR="0028411F" w:rsidRDefault="0028411F" w:rsidP="004A5BF7">
      <w:pPr>
        <w:rPr>
          <w:lang w:val="en-AU"/>
        </w:rPr>
      </w:pPr>
      <w:r>
        <w:rPr>
          <w:lang w:val="en-AU"/>
        </w:rPr>
        <w:br w:type="page"/>
      </w:r>
    </w:p>
    <w:p w14:paraId="5F22EC96" w14:textId="77777777" w:rsidR="00590307" w:rsidRPr="0028411F" w:rsidRDefault="0028411F" w:rsidP="001825AB">
      <w:pPr>
        <w:pStyle w:val="Headers"/>
      </w:pPr>
      <w:r>
        <w:lastRenderedPageBreak/>
        <w:t>Appendices:</w:t>
      </w:r>
      <w:r w:rsidR="00877A97">
        <w:t xml:space="preserve"> </w:t>
      </w:r>
      <w:r>
        <w:t>List of Figures and Tables</w:t>
      </w:r>
    </w:p>
    <w:p w14:paraId="6EC8A21A" w14:textId="77777777" w:rsidR="00AB2398" w:rsidRDefault="00725F21" w:rsidP="00725F21">
      <w:pPr>
        <w:rPr>
          <w:noProof/>
        </w:rPr>
      </w:pPr>
      <w:r w:rsidRPr="00501790">
        <w:rPr>
          <w:color w:val="0070C0"/>
          <w:lang w:val="en-AU"/>
        </w:rPr>
        <w:t xml:space="preserve">Appendix 1: </w:t>
      </w:r>
      <w:r w:rsidR="00501790" w:rsidRPr="00501790">
        <w:rPr>
          <w:color w:val="0070C0"/>
          <w:lang w:val="en-AU"/>
        </w:rPr>
        <w:t xml:space="preserve">Water quality monitoring methods </w:t>
      </w:r>
      <w:r w:rsidR="00EB33A6" w:rsidRPr="00501790">
        <w:rPr>
          <w:color w:val="0070C0"/>
          <w:lang w:val="en-AU"/>
        </w:rPr>
        <w:fldChar w:fldCharType="begin"/>
      </w:r>
      <w:r w:rsidRPr="00501790">
        <w:rPr>
          <w:color w:val="0070C0"/>
          <w:lang w:val="en-AU"/>
        </w:rPr>
        <w:instrText xml:space="preserve"> TOC \h \z \c "Figure A1" </w:instrText>
      </w:r>
      <w:r w:rsidR="00EB33A6" w:rsidRPr="00501790">
        <w:rPr>
          <w:color w:val="0070C0"/>
          <w:lang w:val="en-AU"/>
        </w:rPr>
        <w:fldChar w:fldCharType="separate"/>
      </w:r>
    </w:p>
    <w:p w14:paraId="21FFA08E" w14:textId="76C331DF" w:rsidR="00AB2398" w:rsidRDefault="000213E5">
      <w:pPr>
        <w:pStyle w:val="TableofFigures"/>
        <w:rPr>
          <w:rFonts w:asciiTheme="minorHAnsi" w:eastAsiaTheme="minorEastAsia" w:hAnsiTheme="minorHAnsi" w:cstheme="minorBidi"/>
          <w:bCs w:val="0"/>
          <w:sz w:val="22"/>
          <w:szCs w:val="22"/>
          <w:lang w:val="en-AU" w:eastAsia="en-AU"/>
        </w:rPr>
      </w:pPr>
      <w:hyperlink w:anchor="_Toc461194298" w:history="1">
        <w:r w:rsidR="00AB2398" w:rsidRPr="005C51BE">
          <w:rPr>
            <w:rStyle w:val="Hyperlink"/>
          </w:rPr>
          <w:t>Figure A1 1: conceptual scheme of the risk framework proposed in Petus et al. (2014a).</w:t>
        </w:r>
        <w:r w:rsidR="00AB2398">
          <w:rPr>
            <w:webHidden/>
          </w:rPr>
          <w:tab/>
        </w:r>
        <w:r w:rsidR="00AB2398">
          <w:rPr>
            <w:webHidden/>
          </w:rPr>
          <w:fldChar w:fldCharType="begin"/>
        </w:r>
        <w:r w:rsidR="00AB2398">
          <w:rPr>
            <w:webHidden/>
          </w:rPr>
          <w:instrText xml:space="preserve"> PAGEREF _Toc461194298 \h </w:instrText>
        </w:r>
        <w:r w:rsidR="00AB2398">
          <w:rPr>
            <w:webHidden/>
          </w:rPr>
        </w:r>
        <w:r w:rsidR="00AB2398">
          <w:rPr>
            <w:webHidden/>
          </w:rPr>
          <w:fldChar w:fldCharType="separate"/>
        </w:r>
        <w:r w:rsidR="007F5336">
          <w:rPr>
            <w:webHidden/>
          </w:rPr>
          <w:t>139</w:t>
        </w:r>
        <w:r w:rsidR="00AB2398">
          <w:rPr>
            <w:webHidden/>
          </w:rPr>
          <w:fldChar w:fldCharType="end"/>
        </w:r>
      </w:hyperlink>
    </w:p>
    <w:p w14:paraId="66BF2AA5" w14:textId="49B2572C" w:rsidR="00AB2398" w:rsidRDefault="000213E5">
      <w:pPr>
        <w:pStyle w:val="TableofFigures"/>
        <w:rPr>
          <w:rFonts w:asciiTheme="minorHAnsi" w:eastAsiaTheme="minorEastAsia" w:hAnsiTheme="minorHAnsi" w:cstheme="minorBidi"/>
          <w:bCs w:val="0"/>
          <w:sz w:val="22"/>
          <w:szCs w:val="22"/>
          <w:lang w:val="en-AU" w:eastAsia="en-AU"/>
        </w:rPr>
      </w:pPr>
      <w:hyperlink w:anchor="_Toc461194299" w:history="1">
        <w:r w:rsidR="00AB2398" w:rsidRPr="005C51BE">
          <w:rPr>
            <w:rStyle w:val="Hyperlink"/>
          </w:rPr>
          <w:t>Figure A1 2:  Risk matrix in function of the magnitude and the likelihood of the river plume risk.</w:t>
        </w:r>
        <w:r w:rsidR="00AB2398">
          <w:rPr>
            <w:webHidden/>
          </w:rPr>
          <w:tab/>
        </w:r>
        <w:r w:rsidR="00AB2398">
          <w:rPr>
            <w:webHidden/>
          </w:rPr>
          <w:fldChar w:fldCharType="begin"/>
        </w:r>
        <w:r w:rsidR="00AB2398">
          <w:rPr>
            <w:webHidden/>
          </w:rPr>
          <w:instrText xml:space="preserve"> PAGEREF _Toc461194299 \h </w:instrText>
        </w:r>
        <w:r w:rsidR="00AB2398">
          <w:rPr>
            <w:webHidden/>
          </w:rPr>
        </w:r>
        <w:r w:rsidR="00AB2398">
          <w:rPr>
            <w:webHidden/>
          </w:rPr>
          <w:fldChar w:fldCharType="separate"/>
        </w:r>
        <w:r w:rsidR="007F5336">
          <w:rPr>
            <w:webHidden/>
          </w:rPr>
          <w:t>140</w:t>
        </w:r>
        <w:r w:rsidR="00AB2398">
          <w:rPr>
            <w:webHidden/>
          </w:rPr>
          <w:fldChar w:fldCharType="end"/>
        </w:r>
      </w:hyperlink>
    </w:p>
    <w:p w14:paraId="4ED3EB95" w14:textId="46ADD085" w:rsidR="00AB2398" w:rsidRDefault="000213E5">
      <w:pPr>
        <w:pStyle w:val="TableofFigures"/>
        <w:rPr>
          <w:rFonts w:asciiTheme="minorHAnsi" w:eastAsiaTheme="minorEastAsia" w:hAnsiTheme="minorHAnsi" w:cstheme="minorBidi"/>
          <w:bCs w:val="0"/>
          <w:sz w:val="22"/>
          <w:szCs w:val="22"/>
          <w:lang w:val="en-AU" w:eastAsia="en-AU"/>
        </w:rPr>
      </w:pPr>
      <w:hyperlink w:anchor="_Toc461194300" w:history="1">
        <w:r w:rsidR="00AB2398" w:rsidRPr="005C51BE">
          <w:rPr>
            <w:rStyle w:val="Hyperlink"/>
          </w:rPr>
          <w:t>Figure A1 3: Theoretical example of the production of an annual risk map and the results for 2 pixels (P1 and P2) in the GBR at a river mouth, their classification, and final risk classification.</w:t>
        </w:r>
        <w:r w:rsidR="00AB2398">
          <w:rPr>
            <w:webHidden/>
          </w:rPr>
          <w:tab/>
        </w:r>
        <w:r w:rsidR="00AB2398">
          <w:rPr>
            <w:webHidden/>
          </w:rPr>
          <w:fldChar w:fldCharType="begin"/>
        </w:r>
        <w:r w:rsidR="00AB2398">
          <w:rPr>
            <w:webHidden/>
          </w:rPr>
          <w:instrText xml:space="preserve"> PAGEREF _Toc461194300 \h </w:instrText>
        </w:r>
        <w:r w:rsidR="00AB2398">
          <w:rPr>
            <w:webHidden/>
          </w:rPr>
        </w:r>
        <w:r w:rsidR="00AB2398">
          <w:rPr>
            <w:webHidden/>
          </w:rPr>
          <w:fldChar w:fldCharType="separate"/>
        </w:r>
        <w:r w:rsidR="007F5336">
          <w:rPr>
            <w:webHidden/>
          </w:rPr>
          <w:t>140</w:t>
        </w:r>
        <w:r w:rsidR="00AB2398">
          <w:rPr>
            <w:webHidden/>
          </w:rPr>
          <w:fldChar w:fldCharType="end"/>
        </w:r>
      </w:hyperlink>
    </w:p>
    <w:p w14:paraId="3301A5B2" w14:textId="5415AF51" w:rsidR="00AB2398" w:rsidRDefault="000213E5">
      <w:pPr>
        <w:pStyle w:val="TableofFigures"/>
        <w:rPr>
          <w:rFonts w:asciiTheme="minorHAnsi" w:eastAsiaTheme="minorEastAsia" w:hAnsiTheme="minorHAnsi" w:cstheme="minorBidi"/>
          <w:bCs w:val="0"/>
          <w:sz w:val="22"/>
          <w:szCs w:val="22"/>
          <w:lang w:val="en-AU" w:eastAsia="en-AU"/>
        </w:rPr>
      </w:pPr>
      <w:hyperlink w:anchor="_Toc461194301" w:history="1">
        <w:r w:rsidR="00AB2398" w:rsidRPr="005C51BE">
          <w:rPr>
            <w:rStyle w:val="Hyperlink"/>
          </w:rPr>
          <w:t>Figure A1 4: Marine boundaries used for the GBR Marine Park (a), each NRM region and the coral reefs ecosystems.</w:t>
        </w:r>
        <w:r w:rsidR="00AB2398">
          <w:rPr>
            <w:webHidden/>
          </w:rPr>
          <w:tab/>
        </w:r>
        <w:r w:rsidR="00AB2398">
          <w:rPr>
            <w:webHidden/>
          </w:rPr>
          <w:fldChar w:fldCharType="begin"/>
        </w:r>
        <w:r w:rsidR="00AB2398">
          <w:rPr>
            <w:webHidden/>
          </w:rPr>
          <w:instrText xml:space="preserve"> PAGEREF _Toc461194301 \h </w:instrText>
        </w:r>
        <w:r w:rsidR="00AB2398">
          <w:rPr>
            <w:webHidden/>
          </w:rPr>
        </w:r>
        <w:r w:rsidR="00AB2398">
          <w:rPr>
            <w:webHidden/>
          </w:rPr>
          <w:fldChar w:fldCharType="separate"/>
        </w:r>
        <w:r w:rsidR="007F5336">
          <w:rPr>
            <w:webHidden/>
          </w:rPr>
          <w:t>142</w:t>
        </w:r>
        <w:r w:rsidR="00AB2398">
          <w:rPr>
            <w:webHidden/>
          </w:rPr>
          <w:fldChar w:fldCharType="end"/>
        </w:r>
      </w:hyperlink>
    </w:p>
    <w:p w14:paraId="613E6D16" w14:textId="4059F93B" w:rsidR="00AB2398" w:rsidRDefault="000213E5">
      <w:pPr>
        <w:pStyle w:val="TableofFigures"/>
        <w:rPr>
          <w:rFonts w:asciiTheme="minorHAnsi" w:eastAsiaTheme="minorEastAsia" w:hAnsiTheme="minorHAnsi" w:cstheme="minorBidi"/>
          <w:bCs w:val="0"/>
          <w:sz w:val="22"/>
          <w:szCs w:val="22"/>
          <w:lang w:val="en-AU" w:eastAsia="en-AU"/>
        </w:rPr>
      </w:pPr>
      <w:hyperlink w:anchor="_Toc461194302" w:history="1">
        <w:r w:rsidR="00AB2398" w:rsidRPr="005C51BE">
          <w:rPr>
            <w:rStyle w:val="Hyperlink"/>
          </w:rPr>
          <w:t>Figure A1 5: Marine boundaries used for the GBR Marine Park</w:t>
        </w:r>
        <w:r w:rsidR="00AB2398" w:rsidRPr="005C51BE">
          <w:rPr>
            <w:rStyle w:val="Hyperlink"/>
            <w:lang w:val="en-AU"/>
          </w:rPr>
          <w:t xml:space="preserve"> (a), each NRM region and the seagrass ecosystems. </w:t>
        </w:r>
        <w:r w:rsidR="00AB2398" w:rsidRPr="005C51BE">
          <w:rPr>
            <w:rStyle w:val="Hyperlink"/>
          </w:rPr>
          <w:t>NRM layers derived from: GBRMPA, 2013, GBR feature shapefiles and seagrass layers from DAFF, Feb. 2013; and enlargements around (b) the Tully-Herbert Rivers and (c) the Burdekin Rivers. Spatial distribution of the surveyed seagrasses bed is an historical layer composed from all meadows examined between 1984 and 2008 (see reports at: http://www.seagrasswatch.org/meg.html).</w:t>
        </w:r>
        <w:r w:rsidR="00AB2398">
          <w:rPr>
            <w:webHidden/>
          </w:rPr>
          <w:tab/>
        </w:r>
        <w:r w:rsidR="00AB2398">
          <w:rPr>
            <w:webHidden/>
          </w:rPr>
          <w:fldChar w:fldCharType="begin"/>
        </w:r>
        <w:r w:rsidR="00AB2398">
          <w:rPr>
            <w:webHidden/>
          </w:rPr>
          <w:instrText xml:space="preserve"> PAGEREF _Toc461194302 \h </w:instrText>
        </w:r>
        <w:r w:rsidR="00AB2398">
          <w:rPr>
            <w:webHidden/>
          </w:rPr>
        </w:r>
        <w:r w:rsidR="00AB2398">
          <w:rPr>
            <w:webHidden/>
          </w:rPr>
          <w:fldChar w:fldCharType="separate"/>
        </w:r>
        <w:r w:rsidR="007F5336">
          <w:rPr>
            <w:webHidden/>
          </w:rPr>
          <w:t>142</w:t>
        </w:r>
        <w:r w:rsidR="00AB2398">
          <w:rPr>
            <w:webHidden/>
          </w:rPr>
          <w:fldChar w:fldCharType="end"/>
        </w:r>
      </w:hyperlink>
    </w:p>
    <w:p w14:paraId="32EBD383" w14:textId="62E3922E" w:rsidR="00AB2398" w:rsidRDefault="000213E5">
      <w:pPr>
        <w:pStyle w:val="TableofFigures"/>
        <w:rPr>
          <w:rFonts w:asciiTheme="minorHAnsi" w:eastAsiaTheme="minorEastAsia" w:hAnsiTheme="minorHAnsi" w:cstheme="minorBidi"/>
          <w:bCs w:val="0"/>
          <w:sz w:val="22"/>
          <w:szCs w:val="22"/>
          <w:lang w:val="en-AU" w:eastAsia="en-AU"/>
        </w:rPr>
      </w:pPr>
      <w:hyperlink w:anchor="_Toc461194303" w:history="1">
        <w:r w:rsidR="00AB2398" w:rsidRPr="005C51BE">
          <w:rPr>
            <w:rStyle w:val="Hyperlink"/>
          </w:rPr>
          <w:t>Figure A1 6: Conceptual model for DIN concentration load mapping. See text for explanation.</w:t>
        </w:r>
        <w:r w:rsidR="00AB2398">
          <w:rPr>
            <w:webHidden/>
          </w:rPr>
          <w:tab/>
        </w:r>
        <w:r w:rsidR="00AB2398">
          <w:rPr>
            <w:webHidden/>
          </w:rPr>
          <w:fldChar w:fldCharType="begin"/>
        </w:r>
        <w:r w:rsidR="00AB2398">
          <w:rPr>
            <w:webHidden/>
          </w:rPr>
          <w:instrText xml:space="preserve"> PAGEREF _Toc461194303 \h </w:instrText>
        </w:r>
        <w:r w:rsidR="00AB2398">
          <w:rPr>
            <w:webHidden/>
          </w:rPr>
        </w:r>
        <w:r w:rsidR="00AB2398">
          <w:rPr>
            <w:webHidden/>
          </w:rPr>
          <w:fldChar w:fldCharType="separate"/>
        </w:r>
        <w:r w:rsidR="007F5336">
          <w:rPr>
            <w:webHidden/>
          </w:rPr>
          <w:t>144</w:t>
        </w:r>
        <w:r w:rsidR="00AB2398">
          <w:rPr>
            <w:webHidden/>
          </w:rPr>
          <w:fldChar w:fldCharType="end"/>
        </w:r>
      </w:hyperlink>
    </w:p>
    <w:p w14:paraId="1C1E1F5C" w14:textId="77D699EA" w:rsidR="00AB2398" w:rsidRDefault="000213E5">
      <w:pPr>
        <w:pStyle w:val="TableofFigures"/>
        <w:rPr>
          <w:rFonts w:asciiTheme="minorHAnsi" w:eastAsiaTheme="minorEastAsia" w:hAnsiTheme="minorHAnsi" w:cstheme="minorBidi"/>
          <w:bCs w:val="0"/>
          <w:sz w:val="22"/>
          <w:szCs w:val="22"/>
          <w:lang w:val="en-AU" w:eastAsia="en-AU"/>
        </w:rPr>
      </w:pPr>
      <w:hyperlink w:anchor="_Toc461194304" w:history="1">
        <w:r w:rsidR="00AB2398" w:rsidRPr="005C51BE">
          <w:rPr>
            <w:rStyle w:val="Hyperlink"/>
          </w:rPr>
          <w:t>Figure A1 7: Relationship between river discharge (megaliters, ML) and distance (km) between river mouth and the outer edge of tracer plume as obtained from the eReefs hydrodynamic model for the GBR. Dashed lines stand for CI 95%. Red dot stands for point excluded from the regression model.</w:t>
        </w:r>
        <w:r w:rsidR="00AB2398">
          <w:rPr>
            <w:webHidden/>
          </w:rPr>
          <w:tab/>
        </w:r>
        <w:r w:rsidR="00AB2398">
          <w:rPr>
            <w:webHidden/>
          </w:rPr>
          <w:fldChar w:fldCharType="begin"/>
        </w:r>
        <w:r w:rsidR="00AB2398">
          <w:rPr>
            <w:webHidden/>
          </w:rPr>
          <w:instrText xml:space="preserve"> PAGEREF _Toc461194304 \h </w:instrText>
        </w:r>
        <w:r w:rsidR="00AB2398">
          <w:rPr>
            <w:webHidden/>
          </w:rPr>
        </w:r>
        <w:r w:rsidR="00AB2398">
          <w:rPr>
            <w:webHidden/>
          </w:rPr>
          <w:fldChar w:fldCharType="separate"/>
        </w:r>
        <w:r w:rsidR="007F5336">
          <w:rPr>
            <w:webHidden/>
          </w:rPr>
          <w:t>145</w:t>
        </w:r>
        <w:r w:rsidR="00AB2398">
          <w:rPr>
            <w:webHidden/>
          </w:rPr>
          <w:fldChar w:fldCharType="end"/>
        </w:r>
      </w:hyperlink>
    </w:p>
    <w:p w14:paraId="4AA5CCEF" w14:textId="4931320F" w:rsidR="00AB2398" w:rsidRDefault="000213E5">
      <w:pPr>
        <w:pStyle w:val="TableofFigures"/>
        <w:rPr>
          <w:rFonts w:asciiTheme="minorHAnsi" w:eastAsiaTheme="minorEastAsia" w:hAnsiTheme="minorHAnsi" w:cstheme="minorBidi"/>
          <w:bCs w:val="0"/>
          <w:sz w:val="22"/>
          <w:szCs w:val="22"/>
          <w:lang w:val="en-AU" w:eastAsia="en-AU"/>
        </w:rPr>
      </w:pPr>
      <w:hyperlink w:anchor="_Toc461194305" w:history="1">
        <w:r w:rsidR="00AB2398" w:rsidRPr="005C51BE">
          <w:rPr>
            <w:rStyle w:val="Hyperlink"/>
          </w:rPr>
          <w:t>Figure A1 8: The Great Barrier Reef Marine Park (Queensland, Australia), major rivers included in the model, the delimitation of the Natural Resource Management (NRM) regions, and the sampling sites (colour density indicates recurrent sampling).</w:t>
        </w:r>
        <w:r w:rsidR="00AB2398">
          <w:rPr>
            <w:webHidden/>
          </w:rPr>
          <w:tab/>
        </w:r>
        <w:r w:rsidR="00AB2398">
          <w:rPr>
            <w:webHidden/>
          </w:rPr>
          <w:fldChar w:fldCharType="begin"/>
        </w:r>
        <w:r w:rsidR="00AB2398">
          <w:rPr>
            <w:webHidden/>
          </w:rPr>
          <w:instrText xml:space="preserve"> PAGEREF _Toc461194305 \h </w:instrText>
        </w:r>
        <w:r w:rsidR="00AB2398">
          <w:rPr>
            <w:webHidden/>
          </w:rPr>
        </w:r>
        <w:r w:rsidR="00AB2398">
          <w:rPr>
            <w:webHidden/>
          </w:rPr>
          <w:fldChar w:fldCharType="separate"/>
        </w:r>
        <w:r w:rsidR="007F5336">
          <w:rPr>
            <w:webHidden/>
          </w:rPr>
          <w:t>146</w:t>
        </w:r>
        <w:r w:rsidR="00AB2398">
          <w:rPr>
            <w:webHidden/>
          </w:rPr>
          <w:fldChar w:fldCharType="end"/>
        </w:r>
      </w:hyperlink>
    </w:p>
    <w:p w14:paraId="55B3D5B9" w14:textId="4621B08E" w:rsidR="00AB2398" w:rsidRDefault="000213E5">
      <w:pPr>
        <w:pStyle w:val="TableofFigures"/>
        <w:rPr>
          <w:rFonts w:asciiTheme="minorHAnsi" w:eastAsiaTheme="minorEastAsia" w:hAnsiTheme="minorHAnsi" w:cstheme="minorBidi"/>
          <w:bCs w:val="0"/>
          <w:sz w:val="22"/>
          <w:szCs w:val="22"/>
          <w:lang w:val="en-AU" w:eastAsia="en-AU"/>
        </w:rPr>
      </w:pPr>
      <w:hyperlink w:anchor="_Toc461194306" w:history="1">
        <w:r w:rsidR="00AB2398" w:rsidRPr="005C51BE">
          <w:rPr>
            <w:rStyle w:val="Hyperlink"/>
          </w:rPr>
          <w:t>Figure A1 9: In-situ dissolved inorganic nitrogen concentration (a), depth of the mixing layer (b), superficial salinity (c) and plume area (d) per colour class, measured over 13 wet seasons (c.a., December to April inclusive) from 2002/03 to 2014/15 wet season. Boxplot presents the median (dark black line), 25</w:t>
        </w:r>
        <w:r w:rsidR="00AB2398" w:rsidRPr="005C51BE">
          <w:rPr>
            <w:rStyle w:val="Hyperlink"/>
            <w:vertAlign w:val="superscript"/>
          </w:rPr>
          <w:t>th</w:t>
        </w:r>
        <w:r w:rsidR="00AB2398" w:rsidRPr="005C51BE">
          <w:rPr>
            <w:rStyle w:val="Hyperlink"/>
          </w:rPr>
          <w:t xml:space="preserve"> and 75</w:t>
        </w:r>
        <w:r w:rsidR="00AB2398" w:rsidRPr="005C51BE">
          <w:rPr>
            <w:rStyle w:val="Hyperlink"/>
            <w:vertAlign w:val="superscript"/>
          </w:rPr>
          <w:t>th</w:t>
        </w:r>
        <w:r w:rsidR="00AB2398" w:rsidRPr="005C51BE">
          <w:rPr>
            <w:rStyle w:val="Hyperlink"/>
          </w:rPr>
          <w:t xml:space="preserve"> percentile values (rectangle) and 5</w:t>
        </w:r>
        <w:r w:rsidR="00AB2398" w:rsidRPr="005C51BE">
          <w:rPr>
            <w:rStyle w:val="Hyperlink"/>
            <w:vertAlign w:val="superscript"/>
          </w:rPr>
          <w:t>th</w:t>
        </w:r>
        <w:r w:rsidR="00AB2398" w:rsidRPr="005C51BE">
          <w:rPr>
            <w:rStyle w:val="Hyperlink"/>
          </w:rPr>
          <w:t xml:space="preserve"> and 95</w:t>
        </w:r>
        <w:r w:rsidR="00AB2398" w:rsidRPr="005C51BE">
          <w:rPr>
            <w:rStyle w:val="Hyperlink"/>
            <w:vertAlign w:val="superscript"/>
          </w:rPr>
          <w:t>th</w:t>
        </w:r>
        <w:r w:rsidR="00AB2398" w:rsidRPr="005C51BE">
          <w:rPr>
            <w:rStyle w:val="Hyperlink"/>
          </w:rPr>
          <w:t xml:space="preserve"> percentile values (vertical lines). Nudge was applied to data on x-axis for better data visualization.</w:t>
        </w:r>
        <w:r w:rsidR="00AB2398">
          <w:rPr>
            <w:webHidden/>
          </w:rPr>
          <w:tab/>
        </w:r>
        <w:r w:rsidR="00AB2398">
          <w:rPr>
            <w:webHidden/>
          </w:rPr>
          <w:fldChar w:fldCharType="begin"/>
        </w:r>
        <w:r w:rsidR="00AB2398">
          <w:rPr>
            <w:webHidden/>
          </w:rPr>
          <w:instrText xml:space="preserve"> PAGEREF _Toc461194306 \h </w:instrText>
        </w:r>
        <w:r w:rsidR="00AB2398">
          <w:rPr>
            <w:webHidden/>
          </w:rPr>
        </w:r>
        <w:r w:rsidR="00AB2398">
          <w:rPr>
            <w:webHidden/>
          </w:rPr>
          <w:fldChar w:fldCharType="separate"/>
        </w:r>
        <w:r w:rsidR="007F5336">
          <w:rPr>
            <w:webHidden/>
          </w:rPr>
          <w:t>148</w:t>
        </w:r>
        <w:r w:rsidR="00AB2398">
          <w:rPr>
            <w:webHidden/>
          </w:rPr>
          <w:fldChar w:fldCharType="end"/>
        </w:r>
      </w:hyperlink>
    </w:p>
    <w:p w14:paraId="6F1AFF6F" w14:textId="441A734F" w:rsidR="00AB2398" w:rsidRDefault="000213E5">
      <w:pPr>
        <w:pStyle w:val="TableofFigures"/>
        <w:rPr>
          <w:rFonts w:asciiTheme="minorHAnsi" w:eastAsiaTheme="minorEastAsia" w:hAnsiTheme="minorHAnsi" w:cstheme="minorBidi"/>
          <w:bCs w:val="0"/>
          <w:sz w:val="22"/>
          <w:szCs w:val="22"/>
          <w:lang w:val="en-AU" w:eastAsia="en-AU"/>
        </w:rPr>
      </w:pPr>
      <w:hyperlink w:anchor="_Toc461194307" w:history="1">
        <w:r w:rsidR="00AB2398" w:rsidRPr="005C51BE">
          <w:rPr>
            <w:rStyle w:val="Hyperlink"/>
          </w:rPr>
          <w:t>Figure A1 10: Median DIN mass and percent contribution across the six-colour class. Error bars represent 95%CI (see text for explanation).</w:t>
        </w:r>
        <w:r w:rsidR="00AB2398">
          <w:rPr>
            <w:webHidden/>
          </w:rPr>
          <w:tab/>
        </w:r>
        <w:r w:rsidR="00AB2398">
          <w:rPr>
            <w:webHidden/>
          </w:rPr>
          <w:fldChar w:fldCharType="begin"/>
        </w:r>
        <w:r w:rsidR="00AB2398">
          <w:rPr>
            <w:webHidden/>
          </w:rPr>
          <w:instrText xml:space="preserve"> PAGEREF _Toc461194307 \h </w:instrText>
        </w:r>
        <w:r w:rsidR="00AB2398">
          <w:rPr>
            <w:webHidden/>
          </w:rPr>
        </w:r>
        <w:r w:rsidR="00AB2398">
          <w:rPr>
            <w:webHidden/>
          </w:rPr>
          <w:fldChar w:fldCharType="separate"/>
        </w:r>
        <w:r w:rsidR="007F5336">
          <w:rPr>
            <w:webHidden/>
          </w:rPr>
          <w:t>149</w:t>
        </w:r>
        <w:r w:rsidR="00AB2398">
          <w:rPr>
            <w:webHidden/>
          </w:rPr>
          <w:fldChar w:fldCharType="end"/>
        </w:r>
      </w:hyperlink>
    </w:p>
    <w:p w14:paraId="79C62E5F" w14:textId="68918A10" w:rsidR="00AB2398" w:rsidRDefault="000213E5">
      <w:pPr>
        <w:pStyle w:val="TableofFigures"/>
        <w:rPr>
          <w:rFonts w:asciiTheme="minorHAnsi" w:eastAsiaTheme="minorEastAsia" w:hAnsiTheme="minorHAnsi" w:cstheme="minorBidi"/>
          <w:bCs w:val="0"/>
          <w:sz w:val="22"/>
          <w:szCs w:val="22"/>
          <w:lang w:val="en-AU" w:eastAsia="en-AU"/>
        </w:rPr>
      </w:pPr>
      <w:hyperlink w:anchor="_Toc461194308" w:history="1">
        <w:r w:rsidR="00AB2398" w:rsidRPr="005C51BE">
          <w:rPr>
            <w:rStyle w:val="Hyperlink"/>
          </w:rPr>
          <w:t>Figure A1 11: Relationship between in-situ DIN concentration (µg/L) and salinity opportunistically measured at the surface in river plume waters over the GBR lagoon (2002-2003 to 2014-2015 wet season) under river discharge &gt; 75</w:t>
        </w:r>
        <w:r w:rsidR="00AB2398" w:rsidRPr="005C51BE">
          <w:rPr>
            <w:rStyle w:val="Hyperlink"/>
            <w:vertAlign w:val="superscript"/>
          </w:rPr>
          <w:t>th</w:t>
        </w:r>
        <w:r w:rsidR="00AB2398" w:rsidRPr="005C51BE">
          <w:rPr>
            <w:rStyle w:val="Hyperlink"/>
          </w:rPr>
          <w:t xml:space="preserve"> percentile (see text for explanation).</w:t>
        </w:r>
        <w:r w:rsidR="00AB2398">
          <w:rPr>
            <w:webHidden/>
          </w:rPr>
          <w:tab/>
        </w:r>
        <w:r w:rsidR="00AB2398">
          <w:rPr>
            <w:webHidden/>
          </w:rPr>
          <w:fldChar w:fldCharType="begin"/>
        </w:r>
        <w:r w:rsidR="00AB2398">
          <w:rPr>
            <w:webHidden/>
          </w:rPr>
          <w:instrText xml:space="preserve"> PAGEREF _Toc461194308 \h </w:instrText>
        </w:r>
        <w:r w:rsidR="00AB2398">
          <w:rPr>
            <w:webHidden/>
          </w:rPr>
        </w:r>
        <w:r w:rsidR="00AB2398">
          <w:rPr>
            <w:webHidden/>
          </w:rPr>
          <w:fldChar w:fldCharType="separate"/>
        </w:r>
        <w:r w:rsidR="007F5336">
          <w:rPr>
            <w:webHidden/>
          </w:rPr>
          <w:t>150</w:t>
        </w:r>
        <w:r w:rsidR="00AB2398">
          <w:rPr>
            <w:webHidden/>
          </w:rPr>
          <w:fldChar w:fldCharType="end"/>
        </w:r>
      </w:hyperlink>
    </w:p>
    <w:p w14:paraId="42EDE5D4" w14:textId="3A02695F" w:rsidR="00AB2398" w:rsidRDefault="000213E5">
      <w:pPr>
        <w:pStyle w:val="TableofFigures"/>
        <w:rPr>
          <w:rFonts w:asciiTheme="minorHAnsi" w:eastAsiaTheme="minorEastAsia" w:hAnsiTheme="minorHAnsi" w:cstheme="minorBidi"/>
          <w:bCs w:val="0"/>
          <w:sz w:val="22"/>
          <w:szCs w:val="22"/>
          <w:lang w:val="en-AU" w:eastAsia="en-AU"/>
        </w:rPr>
      </w:pPr>
      <w:hyperlink w:anchor="_Toc461194309" w:history="1">
        <w:r w:rsidR="00AB2398" w:rsidRPr="005C51BE">
          <w:rPr>
            <w:rStyle w:val="Hyperlink"/>
          </w:rPr>
          <w:t>Figure A1 12: Potential DIN uptake (red line) derived from the ratio between in-situ DIN concentration x salinity (black solid line, as in Figure A1 11) and the theoretical dilution model (black dashed line, derived from Eq. 4).</w:t>
        </w:r>
        <w:r w:rsidR="00AB2398">
          <w:rPr>
            <w:webHidden/>
          </w:rPr>
          <w:tab/>
        </w:r>
        <w:r w:rsidR="00AB2398">
          <w:rPr>
            <w:webHidden/>
          </w:rPr>
          <w:fldChar w:fldCharType="begin"/>
        </w:r>
        <w:r w:rsidR="00AB2398">
          <w:rPr>
            <w:webHidden/>
          </w:rPr>
          <w:instrText xml:space="preserve"> PAGEREF _Toc461194309 \h </w:instrText>
        </w:r>
        <w:r w:rsidR="00AB2398">
          <w:rPr>
            <w:webHidden/>
          </w:rPr>
        </w:r>
        <w:r w:rsidR="00AB2398">
          <w:rPr>
            <w:webHidden/>
          </w:rPr>
          <w:fldChar w:fldCharType="separate"/>
        </w:r>
        <w:r w:rsidR="007F5336">
          <w:rPr>
            <w:webHidden/>
          </w:rPr>
          <w:t>151</w:t>
        </w:r>
        <w:r w:rsidR="00AB2398">
          <w:rPr>
            <w:webHidden/>
          </w:rPr>
          <w:fldChar w:fldCharType="end"/>
        </w:r>
      </w:hyperlink>
    </w:p>
    <w:p w14:paraId="3B96BE79" w14:textId="208B20CE" w:rsidR="00AB2398" w:rsidRDefault="000213E5">
      <w:pPr>
        <w:pStyle w:val="TableofFigures"/>
        <w:rPr>
          <w:rFonts w:asciiTheme="minorHAnsi" w:eastAsiaTheme="minorEastAsia" w:hAnsiTheme="minorHAnsi" w:cstheme="minorBidi"/>
          <w:bCs w:val="0"/>
          <w:sz w:val="22"/>
          <w:szCs w:val="22"/>
          <w:lang w:val="en-AU" w:eastAsia="en-AU"/>
        </w:rPr>
      </w:pPr>
      <w:hyperlink w:anchor="_Toc461194310" w:history="1">
        <w:r w:rsidR="00AB2398" w:rsidRPr="005C51BE">
          <w:rPr>
            <w:rStyle w:val="Hyperlink"/>
          </w:rPr>
          <w:t>Figure A1 13: In-situ particulate nitrogen concentration (a) and total suspended solids (b) per colour class, measured over 13 wet seasons (c.a., December to April inclusive) from 2002/03 to 2014/15 wet season. Boxplot presents the median (dark black line), 25</w:t>
        </w:r>
        <w:r w:rsidR="00AB2398" w:rsidRPr="005C51BE">
          <w:rPr>
            <w:rStyle w:val="Hyperlink"/>
            <w:vertAlign w:val="superscript"/>
          </w:rPr>
          <w:t>th</w:t>
        </w:r>
        <w:r w:rsidR="00AB2398" w:rsidRPr="005C51BE">
          <w:rPr>
            <w:rStyle w:val="Hyperlink"/>
          </w:rPr>
          <w:t xml:space="preserve"> and 75</w:t>
        </w:r>
        <w:r w:rsidR="00AB2398" w:rsidRPr="005C51BE">
          <w:rPr>
            <w:rStyle w:val="Hyperlink"/>
            <w:vertAlign w:val="superscript"/>
          </w:rPr>
          <w:t>th</w:t>
        </w:r>
        <w:r w:rsidR="00AB2398" w:rsidRPr="005C51BE">
          <w:rPr>
            <w:rStyle w:val="Hyperlink"/>
          </w:rPr>
          <w:t xml:space="preserve"> percentile values (rectangle) and 5</w:t>
        </w:r>
        <w:r w:rsidR="00AB2398" w:rsidRPr="005C51BE">
          <w:rPr>
            <w:rStyle w:val="Hyperlink"/>
            <w:vertAlign w:val="superscript"/>
          </w:rPr>
          <w:t>th</w:t>
        </w:r>
        <w:r w:rsidR="00AB2398" w:rsidRPr="005C51BE">
          <w:rPr>
            <w:rStyle w:val="Hyperlink"/>
          </w:rPr>
          <w:t xml:space="preserve"> and 95</w:t>
        </w:r>
        <w:r w:rsidR="00AB2398" w:rsidRPr="005C51BE">
          <w:rPr>
            <w:rStyle w:val="Hyperlink"/>
            <w:vertAlign w:val="superscript"/>
          </w:rPr>
          <w:t>th</w:t>
        </w:r>
        <w:r w:rsidR="00AB2398" w:rsidRPr="005C51BE">
          <w:rPr>
            <w:rStyle w:val="Hyperlink"/>
          </w:rPr>
          <w:t xml:space="preserve"> percentile values (vertical lines). Nudge was applied to data on x-axis for better data visualisation.</w:t>
        </w:r>
        <w:r w:rsidR="00AB2398">
          <w:rPr>
            <w:webHidden/>
          </w:rPr>
          <w:tab/>
        </w:r>
        <w:r w:rsidR="00AB2398">
          <w:rPr>
            <w:webHidden/>
          </w:rPr>
          <w:fldChar w:fldCharType="begin"/>
        </w:r>
        <w:r w:rsidR="00AB2398">
          <w:rPr>
            <w:webHidden/>
          </w:rPr>
          <w:instrText xml:space="preserve"> PAGEREF _Toc461194310 \h </w:instrText>
        </w:r>
        <w:r w:rsidR="00AB2398">
          <w:rPr>
            <w:webHidden/>
          </w:rPr>
        </w:r>
        <w:r w:rsidR="00AB2398">
          <w:rPr>
            <w:webHidden/>
          </w:rPr>
          <w:fldChar w:fldCharType="separate"/>
        </w:r>
        <w:r w:rsidR="007F5336">
          <w:rPr>
            <w:webHidden/>
          </w:rPr>
          <w:t>154</w:t>
        </w:r>
        <w:r w:rsidR="00AB2398">
          <w:rPr>
            <w:webHidden/>
          </w:rPr>
          <w:fldChar w:fldCharType="end"/>
        </w:r>
      </w:hyperlink>
    </w:p>
    <w:p w14:paraId="2115F43C" w14:textId="17E1DCCD" w:rsidR="00AB2398" w:rsidRDefault="000213E5">
      <w:pPr>
        <w:pStyle w:val="TableofFigures"/>
        <w:rPr>
          <w:rFonts w:asciiTheme="minorHAnsi" w:eastAsiaTheme="minorEastAsia" w:hAnsiTheme="minorHAnsi" w:cstheme="minorBidi"/>
          <w:bCs w:val="0"/>
          <w:sz w:val="22"/>
          <w:szCs w:val="22"/>
          <w:lang w:val="en-AU" w:eastAsia="en-AU"/>
        </w:rPr>
      </w:pPr>
      <w:hyperlink w:anchor="_Toc461194311" w:history="1">
        <w:r w:rsidR="00AB2398" w:rsidRPr="005C51BE">
          <w:rPr>
            <w:rStyle w:val="Hyperlink"/>
          </w:rPr>
          <w:t>Figure A1 14: Median mass of particulate nitrogen (a) and total suspended solids (b), and their per-cent contribution across the six-colour class. Error bars stand for 95%CI (see text for explanation).</w:t>
        </w:r>
        <w:r w:rsidR="00AB2398">
          <w:rPr>
            <w:webHidden/>
          </w:rPr>
          <w:tab/>
        </w:r>
        <w:r w:rsidR="00AB2398">
          <w:rPr>
            <w:webHidden/>
          </w:rPr>
          <w:fldChar w:fldCharType="begin"/>
        </w:r>
        <w:r w:rsidR="00AB2398">
          <w:rPr>
            <w:webHidden/>
          </w:rPr>
          <w:instrText xml:space="preserve"> PAGEREF _Toc461194311 \h </w:instrText>
        </w:r>
        <w:r w:rsidR="00AB2398">
          <w:rPr>
            <w:webHidden/>
          </w:rPr>
        </w:r>
        <w:r w:rsidR="00AB2398">
          <w:rPr>
            <w:webHidden/>
          </w:rPr>
          <w:fldChar w:fldCharType="separate"/>
        </w:r>
        <w:r w:rsidR="007F5336">
          <w:rPr>
            <w:webHidden/>
          </w:rPr>
          <w:t>157</w:t>
        </w:r>
        <w:r w:rsidR="00AB2398">
          <w:rPr>
            <w:webHidden/>
          </w:rPr>
          <w:fldChar w:fldCharType="end"/>
        </w:r>
      </w:hyperlink>
    </w:p>
    <w:p w14:paraId="62477830" w14:textId="141E62F7" w:rsidR="00AB2398" w:rsidRDefault="000213E5">
      <w:pPr>
        <w:pStyle w:val="TableofFigures"/>
        <w:rPr>
          <w:rFonts w:asciiTheme="minorHAnsi" w:eastAsiaTheme="minorEastAsia" w:hAnsiTheme="minorHAnsi" w:cstheme="minorBidi"/>
          <w:bCs w:val="0"/>
          <w:sz w:val="22"/>
          <w:szCs w:val="22"/>
          <w:lang w:val="en-AU" w:eastAsia="en-AU"/>
        </w:rPr>
      </w:pPr>
      <w:hyperlink w:anchor="_Toc461194312" w:history="1">
        <w:r w:rsidR="00AB2398" w:rsidRPr="005C51BE">
          <w:rPr>
            <w:rStyle w:val="Hyperlink"/>
          </w:rPr>
          <w:t>Figure A1 15: Relationship between DIN load (ton) against the relative DIN mass (ton) in plume waters (see text for explanation).</w:t>
        </w:r>
        <w:r w:rsidR="00AB2398">
          <w:rPr>
            <w:webHidden/>
          </w:rPr>
          <w:tab/>
        </w:r>
        <w:r w:rsidR="00AB2398">
          <w:rPr>
            <w:webHidden/>
          </w:rPr>
          <w:fldChar w:fldCharType="begin"/>
        </w:r>
        <w:r w:rsidR="00AB2398">
          <w:rPr>
            <w:webHidden/>
          </w:rPr>
          <w:instrText xml:space="preserve"> PAGEREF _Toc461194312 \h </w:instrText>
        </w:r>
        <w:r w:rsidR="00AB2398">
          <w:rPr>
            <w:webHidden/>
          </w:rPr>
        </w:r>
        <w:r w:rsidR="00AB2398">
          <w:rPr>
            <w:webHidden/>
          </w:rPr>
          <w:fldChar w:fldCharType="separate"/>
        </w:r>
        <w:r w:rsidR="007F5336">
          <w:rPr>
            <w:webHidden/>
          </w:rPr>
          <w:t>159</w:t>
        </w:r>
        <w:r w:rsidR="00AB2398">
          <w:rPr>
            <w:webHidden/>
          </w:rPr>
          <w:fldChar w:fldCharType="end"/>
        </w:r>
      </w:hyperlink>
    </w:p>
    <w:p w14:paraId="5F22EC97" w14:textId="463B5F6D" w:rsidR="00725F21" w:rsidRPr="00501790" w:rsidRDefault="00EB33A6" w:rsidP="00725F21">
      <w:pPr>
        <w:rPr>
          <w:color w:val="0070C0"/>
          <w:lang w:val="en-AU"/>
        </w:rPr>
      </w:pPr>
      <w:r w:rsidRPr="00501790">
        <w:rPr>
          <w:color w:val="0070C0"/>
          <w:lang w:val="en-AU"/>
        </w:rPr>
        <w:fldChar w:fldCharType="end"/>
      </w:r>
    </w:p>
    <w:p w14:paraId="7EB3FCA4" w14:textId="3463BCDC" w:rsidR="004D2A67" w:rsidRDefault="00EB33A6">
      <w:pPr>
        <w:pStyle w:val="TableofFigures"/>
        <w:rPr>
          <w:rFonts w:asciiTheme="minorHAnsi" w:eastAsiaTheme="minorEastAsia" w:hAnsiTheme="minorHAnsi" w:cstheme="minorBidi"/>
          <w:bCs w:val="0"/>
          <w:sz w:val="22"/>
          <w:szCs w:val="22"/>
          <w:lang w:val="en-AU" w:eastAsia="en-AU"/>
        </w:rPr>
      </w:pPr>
      <w:r>
        <w:rPr>
          <w:rFonts w:cs="Arial"/>
          <w:lang w:val="en-AU"/>
        </w:rPr>
        <w:fldChar w:fldCharType="begin"/>
      </w:r>
      <w:r w:rsidR="00725F21">
        <w:rPr>
          <w:rFonts w:cs="Arial"/>
          <w:lang w:val="en-AU"/>
        </w:rPr>
        <w:instrText xml:space="preserve"> TOC \h \z \c "Table A1" </w:instrText>
      </w:r>
      <w:r>
        <w:rPr>
          <w:rFonts w:cs="Arial"/>
          <w:lang w:val="en-AU"/>
        </w:rPr>
        <w:fldChar w:fldCharType="separate"/>
      </w:r>
      <w:hyperlink w:anchor="_Toc459332180" w:history="1">
        <w:r w:rsidR="004D2A67" w:rsidRPr="00E969CB">
          <w:rPr>
            <w:rStyle w:val="Hyperlink"/>
          </w:rPr>
          <w:t>Table A1-1: Trigger values from the Water Quality Guidelines for the Great Barrier Reef Marine Park (GBRMPA 2010) and the Queensland Water Quality Guidelines (DERM 2009). Please note that the guideline values provided by DERM are 80</w:t>
        </w:r>
        <w:r w:rsidR="004D2A67" w:rsidRPr="00E969CB">
          <w:rPr>
            <w:rStyle w:val="Hyperlink"/>
            <w:vertAlign w:val="superscript"/>
          </w:rPr>
          <w:t>th</w:t>
        </w:r>
        <w:r w:rsidR="004D2A67" w:rsidRPr="00E969CB">
          <w:rPr>
            <w:rStyle w:val="Hyperlink"/>
          </w:rPr>
          <w:t xml:space="preserve"> percentile guidelines.</w:t>
        </w:r>
        <w:r w:rsidR="004D2A67">
          <w:rPr>
            <w:webHidden/>
          </w:rPr>
          <w:tab/>
        </w:r>
        <w:r w:rsidR="004D2A67">
          <w:rPr>
            <w:webHidden/>
          </w:rPr>
          <w:fldChar w:fldCharType="begin"/>
        </w:r>
        <w:r w:rsidR="004D2A67">
          <w:rPr>
            <w:webHidden/>
          </w:rPr>
          <w:instrText xml:space="preserve"> PAGEREF _Toc459332180 \h </w:instrText>
        </w:r>
        <w:r w:rsidR="004D2A67">
          <w:rPr>
            <w:webHidden/>
          </w:rPr>
        </w:r>
        <w:r w:rsidR="004D2A67">
          <w:rPr>
            <w:webHidden/>
          </w:rPr>
          <w:fldChar w:fldCharType="separate"/>
        </w:r>
        <w:r w:rsidR="007F5336">
          <w:rPr>
            <w:webHidden/>
          </w:rPr>
          <w:t>129</w:t>
        </w:r>
        <w:r w:rsidR="004D2A67">
          <w:rPr>
            <w:webHidden/>
          </w:rPr>
          <w:fldChar w:fldCharType="end"/>
        </w:r>
      </w:hyperlink>
    </w:p>
    <w:p w14:paraId="59F01118" w14:textId="4E68A519" w:rsidR="004D2A67" w:rsidRDefault="000213E5">
      <w:pPr>
        <w:pStyle w:val="TableofFigures"/>
        <w:rPr>
          <w:rFonts w:asciiTheme="minorHAnsi" w:eastAsiaTheme="minorEastAsia" w:hAnsiTheme="minorHAnsi" w:cstheme="minorBidi"/>
          <w:bCs w:val="0"/>
          <w:sz w:val="22"/>
          <w:szCs w:val="22"/>
          <w:lang w:val="en-AU" w:eastAsia="en-AU"/>
        </w:rPr>
      </w:pPr>
      <w:hyperlink w:anchor="_Toc459332181" w:history="1">
        <w:r w:rsidR="004D2A67" w:rsidRPr="00E969CB">
          <w:rPr>
            <w:rStyle w:val="Hyperlink"/>
          </w:rPr>
          <w:t>Table A1-2: Summary of statistical analysis techniques exploring spatial and temporal variation applied to the water quality parameters sampled within the wet 2014-15 wet season.</w:t>
        </w:r>
        <w:r w:rsidR="004D2A67">
          <w:rPr>
            <w:webHidden/>
          </w:rPr>
          <w:tab/>
        </w:r>
        <w:r w:rsidR="004D2A67">
          <w:rPr>
            <w:webHidden/>
          </w:rPr>
          <w:fldChar w:fldCharType="begin"/>
        </w:r>
        <w:r w:rsidR="004D2A67">
          <w:rPr>
            <w:webHidden/>
          </w:rPr>
          <w:instrText xml:space="preserve"> PAGEREF _Toc459332181 \h </w:instrText>
        </w:r>
        <w:r w:rsidR="004D2A67">
          <w:rPr>
            <w:webHidden/>
          </w:rPr>
        </w:r>
        <w:r w:rsidR="004D2A67">
          <w:rPr>
            <w:webHidden/>
          </w:rPr>
          <w:fldChar w:fldCharType="separate"/>
        </w:r>
        <w:r w:rsidR="007F5336">
          <w:rPr>
            <w:webHidden/>
          </w:rPr>
          <w:t>134</w:t>
        </w:r>
        <w:r w:rsidR="004D2A67">
          <w:rPr>
            <w:webHidden/>
          </w:rPr>
          <w:fldChar w:fldCharType="end"/>
        </w:r>
      </w:hyperlink>
    </w:p>
    <w:p w14:paraId="69CCA6C0" w14:textId="57374C93" w:rsidR="004D2A67" w:rsidRDefault="000213E5">
      <w:pPr>
        <w:pStyle w:val="TableofFigures"/>
        <w:rPr>
          <w:rFonts w:asciiTheme="minorHAnsi" w:eastAsiaTheme="minorEastAsia" w:hAnsiTheme="minorHAnsi" w:cstheme="minorBidi"/>
          <w:bCs w:val="0"/>
          <w:sz w:val="22"/>
          <w:szCs w:val="22"/>
          <w:lang w:val="en-AU" w:eastAsia="en-AU"/>
        </w:rPr>
      </w:pPr>
      <w:hyperlink w:anchor="_Toc459332182" w:history="1">
        <w:r w:rsidR="004D2A67" w:rsidRPr="00E969CB">
          <w:rPr>
            <w:rStyle w:val="Hyperlink"/>
          </w:rPr>
          <w:t xml:space="preserve">Table A1 3: Plume water types as described in e.g., Devlin et al. </w:t>
        </w:r>
        <w:r w:rsidR="004D2A67" w:rsidRPr="00E969CB">
          <w:rPr>
            <w:rStyle w:val="Hyperlink"/>
            <w:lang w:val="da-DK"/>
          </w:rPr>
          <w:t>(2012a), Álvarez-Romero et al. (2013) and Petus et al (2014b)</w:t>
        </w:r>
        <w:r w:rsidR="004D2A67">
          <w:rPr>
            <w:webHidden/>
          </w:rPr>
          <w:tab/>
        </w:r>
        <w:r w:rsidR="004D2A67">
          <w:rPr>
            <w:webHidden/>
          </w:rPr>
          <w:fldChar w:fldCharType="begin"/>
        </w:r>
        <w:r w:rsidR="004D2A67">
          <w:rPr>
            <w:webHidden/>
          </w:rPr>
          <w:instrText xml:space="preserve"> PAGEREF _Toc459332182 \h </w:instrText>
        </w:r>
        <w:r w:rsidR="004D2A67">
          <w:rPr>
            <w:webHidden/>
          </w:rPr>
        </w:r>
        <w:r w:rsidR="004D2A67">
          <w:rPr>
            <w:webHidden/>
          </w:rPr>
          <w:fldChar w:fldCharType="separate"/>
        </w:r>
        <w:r w:rsidR="007F5336">
          <w:rPr>
            <w:webHidden/>
          </w:rPr>
          <w:t>137</w:t>
        </w:r>
        <w:r w:rsidR="004D2A67">
          <w:rPr>
            <w:webHidden/>
          </w:rPr>
          <w:fldChar w:fldCharType="end"/>
        </w:r>
      </w:hyperlink>
    </w:p>
    <w:p w14:paraId="6B25F634" w14:textId="251ECBAA" w:rsidR="004D2A67" w:rsidRDefault="000213E5">
      <w:pPr>
        <w:pStyle w:val="TableofFigures"/>
        <w:rPr>
          <w:rFonts w:asciiTheme="minorHAnsi" w:eastAsiaTheme="minorEastAsia" w:hAnsiTheme="minorHAnsi" w:cstheme="minorBidi"/>
          <w:bCs w:val="0"/>
          <w:sz w:val="22"/>
          <w:szCs w:val="22"/>
          <w:lang w:val="en-AU" w:eastAsia="en-AU"/>
        </w:rPr>
      </w:pPr>
      <w:hyperlink w:anchor="_Toc459332183" w:history="1">
        <w:r w:rsidR="004D2A67" w:rsidRPr="00E969CB">
          <w:rPr>
            <w:rStyle w:val="Hyperlink"/>
          </w:rPr>
          <w:t>Table A1 4: Frequency categories used to categorise the multi-annual maps of frequency of occurrence of plume water types (TC and L2 methods).</w:t>
        </w:r>
        <w:r w:rsidR="004D2A67">
          <w:rPr>
            <w:webHidden/>
          </w:rPr>
          <w:tab/>
        </w:r>
        <w:r w:rsidR="004D2A67">
          <w:rPr>
            <w:webHidden/>
          </w:rPr>
          <w:fldChar w:fldCharType="begin"/>
        </w:r>
        <w:r w:rsidR="004D2A67">
          <w:rPr>
            <w:webHidden/>
          </w:rPr>
          <w:instrText xml:space="preserve"> PAGEREF _Toc459332183 \h </w:instrText>
        </w:r>
        <w:r w:rsidR="004D2A67">
          <w:rPr>
            <w:webHidden/>
          </w:rPr>
        </w:r>
        <w:r w:rsidR="004D2A67">
          <w:rPr>
            <w:webHidden/>
          </w:rPr>
          <w:fldChar w:fldCharType="separate"/>
        </w:r>
        <w:r w:rsidR="007F5336">
          <w:rPr>
            <w:webHidden/>
          </w:rPr>
          <w:t>141</w:t>
        </w:r>
        <w:r w:rsidR="004D2A67">
          <w:rPr>
            <w:webHidden/>
          </w:rPr>
          <w:fldChar w:fldCharType="end"/>
        </w:r>
      </w:hyperlink>
    </w:p>
    <w:p w14:paraId="2A631CA8" w14:textId="7ABF73AB" w:rsidR="004D2A67" w:rsidRDefault="000213E5">
      <w:pPr>
        <w:pStyle w:val="TableofFigures"/>
        <w:rPr>
          <w:rFonts w:asciiTheme="minorHAnsi" w:eastAsiaTheme="minorEastAsia" w:hAnsiTheme="minorHAnsi" w:cstheme="minorBidi"/>
          <w:bCs w:val="0"/>
          <w:sz w:val="22"/>
          <w:szCs w:val="22"/>
          <w:lang w:val="en-AU" w:eastAsia="en-AU"/>
        </w:rPr>
      </w:pPr>
      <w:hyperlink w:anchor="_Toc459332184" w:history="1">
        <w:r w:rsidR="004D2A67" w:rsidRPr="00E969CB">
          <w:rPr>
            <w:rStyle w:val="Hyperlink"/>
          </w:rPr>
          <w:t>Table A1 5: Recalculation of the plume class interval for rescaling the size of each of the six colour classes.</w:t>
        </w:r>
        <w:r w:rsidR="004D2A67">
          <w:rPr>
            <w:webHidden/>
          </w:rPr>
          <w:tab/>
        </w:r>
        <w:r w:rsidR="004D2A67">
          <w:rPr>
            <w:webHidden/>
          </w:rPr>
          <w:fldChar w:fldCharType="begin"/>
        </w:r>
        <w:r w:rsidR="004D2A67">
          <w:rPr>
            <w:webHidden/>
          </w:rPr>
          <w:instrText xml:space="preserve"> PAGEREF _Toc459332184 \h </w:instrText>
        </w:r>
        <w:r w:rsidR="004D2A67">
          <w:rPr>
            <w:webHidden/>
          </w:rPr>
        </w:r>
        <w:r w:rsidR="004D2A67">
          <w:rPr>
            <w:webHidden/>
          </w:rPr>
          <w:fldChar w:fldCharType="separate"/>
        </w:r>
        <w:r w:rsidR="007F5336">
          <w:rPr>
            <w:webHidden/>
          </w:rPr>
          <w:t>146</w:t>
        </w:r>
        <w:r w:rsidR="004D2A67">
          <w:rPr>
            <w:webHidden/>
          </w:rPr>
          <w:fldChar w:fldCharType="end"/>
        </w:r>
      </w:hyperlink>
    </w:p>
    <w:p w14:paraId="374F24EF" w14:textId="3A615E28" w:rsidR="004D2A67" w:rsidRDefault="000213E5">
      <w:pPr>
        <w:pStyle w:val="TableofFigures"/>
        <w:rPr>
          <w:rFonts w:asciiTheme="minorHAnsi" w:eastAsiaTheme="minorEastAsia" w:hAnsiTheme="minorHAnsi" w:cstheme="minorBidi"/>
          <w:bCs w:val="0"/>
          <w:sz w:val="22"/>
          <w:szCs w:val="22"/>
          <w:lang w:val="en-AU" w:eastAsia="en-AU"/>
        </w:rPr>
      </w:pPr>
      <w:hyperlink w:anchor="_Toc459332185" w:history="1">
        <w:r w:rsidR="004D2A67" w:rsidRPr="00E969CB">
          <w:rPr>
            <w:rStyle w:val="Hyperlink"/>
          </w:rPr>
          <w:t>Table A1 6: End-of-catchment dissolved inorganic nitrogen loads (DIN, ton/year) from 2003 to 2015 water years (c.a., from October, 2002 to September, 2015).</w:t>
        </w:r>
        <w:r w:rsidR="004D2A67">
          <w:rPr>
            <w:webHidden/>
          </w:rPr>
          <w:tab/>
        </w:r>
        <w:r w:rsidR="004D2A67">
          <w:rPr>
            <w:webHidden/>
          </w:rPr>
          <w:fldChar w:fldCharType="begin"/>
        </w:r>
        <w:r w:rsidR="004D2A67">
          <w:rPr>
            <w:webHidden/>
          </w:rPr>
          <w:instrText xml:space="preserve"> PAGEREF _Toc459332185 \h </w:instrText>
        </w:r>
        <w:r w:rsidR="004D2A67">
          <w:rPr>
            <w:webHidden/>
          </w:rPr>
        </w:r>
        <w:r w:rsidR="004D2A67">
          <w:rPr>
            <w:webHidden/>
          </w:rPr>
          <w:fldChar w:fldCharType="separate"/>
        </w:r>
        <w:r w:rsidR="007F5336">
          <w:rPr>
            <w:webHidden/>
          </w:rPr>
          <w:t>152</w:t>
        </w:r>
        <w:r w:rsidR="004D2A67">
          <w:rPr>
            <w:webHidden/>
          </w:rPr>
          <w:fldChar w:fldCharType="end"/>
        </w:r>
      </w:hyperlink>
    </w:p>
    <w:p w14:paraId="7248BEBC" w14:textId="176C393B" w:rsidR="004D2A67" w:rsidRDefault="000213E5">
      <w:pPr>
        <w:pStyle w:val="TableofFigures"/>
        <w:rPr>
          <w:rFonts w:asciiTheme="minorHAnsi" w:eastAsiaTheme="minorEastAsia" w:hAnsiTheme="minorHAnsi" w:cstheme="minorBidi"/>
          <w:bCs w:val="0"/>
          <w:sz w:val="22"/>
          <w:szCs w:val="22"/>
          <w:lang w:val="en-AU" w:eastAsia="en-AU"/>
        </w:rPr>
      </w:pPr>
      <w:hyperlink w:anchor="_Toc459332186" w:history="1">
        <w:r w:rsidR="004D2A67" w:rsidRPr="00E969CB">
          <w:rPr>
            <w:rStyle w:val="Hyperlink"/>
          </w:rPr>
          <w:t>Table A1 7: Total wet season river discharge (GL) from 2003 to 2015 water years (c.a., from October, 2002 to September, 2015).</w:t>
        </w:r>
        <w:r w:rsidR="004D2A67">
          <w:rPr>
            <w:webHidden/>
          </w:rPr>
          <w:tab/>
        </w:r>
        <w:r w:rsidR="004D2A67">
          <w:rPr>
            <w:webHidden/>
          </w:rPr>
          <w:fldChar w:fldCharType="begin"/>
        </w:r>
        <w:r w:rsidR="004D2A67">
          <w:rPr>
            <w:webHidden/>
          </w:rPr>
          <w:instrText xml:space="preserve"> PAGEREF _Toc459332186 \h </w:instrText>
        </w:r>
        <w:r w:rsidR="004D2A67">
          <w:rPr>
            <w:webHidden/>
          </w:rPr>
        </w:r>
        <w:r w:rsidR="004D2A67">
          <w:rPr>
            <w:webHidden/>
          </w:rPr>
          <w:fldChar w:fldCharType="separate"/>
        </w:r>
        <w:r w:rsidR="007F5336">
          <w:rPr>
            <w:webHidden/>
          </w:rPr>
          <w:t>153</w:t>
        </w:r>
        <w:r w:rsidR="004D2A67">
          <w:rPr>
            <w:webHidden/>
          </w:rPr>
          <w:fldChar w:fldCharType="end"/>
        </w:r>
      </w:hyperlink>
    </w:p>
    <w:p w14:paraId="6BCA314C" w14:textId="7692338B" w:rsidR="004D2A67" w:rsidRDefault="000213E5">
      <w:pPr>
        <w:pStyle w:val="TableofFigures"/>
        <w:rPr>
          <w:rFonts w:asciiTheme="minorHAnsi" w:eastAsiaTheme="minorEastAsia" w:hAnsiTheme="minorHAnsi" w:cstheme="minorBidi"/>
          <w:bCs w:val="0"/>
          <w:sz w:val="22"/>
          <w:szCs w:val="22"/>
          <w:lang w:val="en-AU" w:eastAsia="en-AU"/>
        </w:rPr>
      </w:pPr>
      <w:hyperlink w:anchor="_Toc459332187" w:history="1">
        <w:r w:rsidR="004D2A67" w:rsidRPr="00E969CB">
          <w:rPr>
            <w:rStyle w:val="Hyperlink"/>
          </w:rPr>
          <w:t>Table A1 8: End-of-catchment particulate nitrogen loads (PN, ton/year) from 2003 to 2015 water years (c.a., from October, 2002 to September, 2015).</w:t>
        </w:r>
        <w:r w:rsidR="004D2A67">
          <w:rPr>
            <w:webHidden/>
          </w:rPr>
          <w:tab/>
        </w:r>
        <w:r w:rsidR="004D2A67">
          <w:rPr>
            <w:webHidden/>
          </w:rPr>
          <w:fldChar w:fldCharType="begin"/>
        </w:r>
        <w:r w:rsidR="004D2A67">
          <w:rPr>
            <w:webHidden/>
          </w:rPr>
          <w:instrText xml:space="preserve"> PAGEREF _Toc459332187 \h </w:instrText>
        </w:r>
        <w:r w:rsidR="004D2A67">
          <w:rPr>
            <w:webHidden/>
          </w:rPr>
        </w:r>
        <w:r w:rsidR="004D2A67">
          <w:rPr>
            <w:webHidden/>
          </w:rPr>
          <w:fldChar w:fldCharType="separate"/>
        </w:r>
        <w:r w:rsidR="007F5336">
          <w:rPr>
            <w:webHidden/>
          </w:rPr>
          <w:t>155</w:t>
        </w:r>
        <w:r w:rsidR="004D2A67">
          <w:rPr>
            <w:webHidden/>
          </w:rPr>
          <w:fldChar w:fldCharType="end"/>
        </w:r>
      </w:hyperlink>
    </w:p>
    <w:p w14:paraId="46D22C51" w14:textId="1294059B" w:rsidR="004D2A67" w:rsidRDefault="000213E5">
      <w:pPr>
        <w:pStyle w:val="TableofFigures"/>
        <w:rPr>
          <w:rFonts w:asciiTheme="minorHAnsi" w:eastAsiaTheme="minorEastAsia" w:hAnsiTheme="minorHAnsi" w:cstheme="minorBidi"/>
          <w:bCs w:val="0"/>
          <w:sz w:val="22"/>
          <w:szCs w:val="22"/>
          <w:lang w:val="en-AU" w:eastAsia="en-AU"/>
        </w:rPr>
      </w:pPr>
      <w:hyperlink w:anchor="_Toc459332188" w:history="1">
        <w:r w:rsidR="004D2A67" w:rsidRPr="00E969CB">
          <w:rPr>
            <w:rStyle w:val="Hyperlink"/>
          </w:rPr>
          <w:t>Table A1 9: End-of-catchment sediment loads (TSS, ton/year) from 2003 to 2015 water years (c.a., from October, 2002 to September, 2015).</w:t>
        </w:r>
        <w:r w:rsidR="004D2A67">
          <w:rPr>
            <w:webHidden/>
          </w:rPr>
          <w:tab/>
        </w:r>
        <w:r w:rsidR="004D2A67">
          <w:rPr>
            <w:webHidden/>
          </w:rPr>
          <w:fldChar w:fldCharType="begin"/>
        </w:r>
        <w:r w:rsidR="004D2A67">
          <w:rPr>
            <w:webHidden/>
          </w:rPr>
          <w:instrText xml:space="preserve"> PAGEREF _Toc459332188 \h </w:instrText>
        </w:r>
        <w:r w:rsidR="004D2A67">
          <w:rPr>
            <w:webHidden/>
          </w:rPr>
        </w:r>
        <w:r w:rsidR="004D2A67">
          <w:rPr>
            <w:webHidden/>
          </w:rPr>
          <w:fldChar w:fldCharType="separate"/>
        </w:r>
        <w:r w:rsidR="007F5336">
          <w:rPr>
            <w:webHidden/>
          </w:rPr>
          <w:t>156</w:t>
        </w:r>
        <w:r w:rsidR="004D2A67">
          <w:rPr>
            <w:webHidden/>
          </w:rPr>
          <w:fldChar w:fldCharType="end"/>
        </w:r>
      </w:hyperlink>
    </w:p>
    <w:p w14:paraId="07FAF513" w14:textId="66EA0432" w:rsidR="004D2A67" w:rsidRDefault="000213E5">
      <w:pPr>
        <w:pStyle w:val="TableofFigures"/>
        <w:rPr>
          <w:rFonts w:asciiTheme="minorHAnsi" w:eastAsiaTheme="minorEastAsia" w:hAnsiTheme="minorHAnsi" w:cstheme="minorBidi"/>
          <w:bCs w:val="0"/>
          <w:sz w:val="22"/>
          <w:szCs w:val="22"/>
          <w:lang w:val="en-AU" w:eastAsia="en-AU"/>
        </w:rPr>
      </w:pPr>
      <w:hyperlink w:anchor="_Toc459332189" w:history="1">
        <w:r w:rsidR="004D2A67" w:rsidRPr="00E969CB">
          <w:rPr>
            <w:rStyle w:val="Hyperlink"/>
          </w:rPr>
          <w:t>Table A1 10: Annual dissolved inorganic nitrogen mass (tonne) in the river loads, and in the plume waters, when the total DIN mass is calculated by a simple multiplication of DIN concentration, plume area and the mixing layer depth (Total DIN mass), and when a dilution factor based on salinity is also taken into account (Relative DIN mass).</w:t>
        </w:r>
        <w:r w:rsidR="004D2A67">
          <w:rPr>
            <w:webHidden/>
          </w:rPr>
          <w:tab/>
        </w:r>
        <w:r w:rsidR="004D2A67">
          <w:rPr>
            <w:webHidden/>
          </w:rPr>
          <w:fldChar w:fldCharType="begin"/>
        </w:r>
        <w:r w:rsidR="004D2A67">
          <w:rPr>
            <w:webHidden/>
          </w:rPr>
          <w:instrText xml:space="preserve"> PAGEREF _Toc459332189 \h </w:instrText>
        </w:r>
        <w:r w:rsidR="004D2A67">
          <w:rPr>
            <w:webHidden/>
          </w:rPr>
        </w:r>
        <w:r w:rsidR="004D2A67">
          <w:rPr>
            <w:webHidden/>
          </w:rPr>
          <w:fldChar w:fldCharType="separate"/>
        </w:r>
        <w:r w:rsidR="007F5336">
          <w:rPr>
            <w:webHidden/>
          </w:rPr>
          <w:t>158</w:t>
        </w:r>
        <w:r w:rsidR="004D2A67">
          <w:rPr>
            <w:webHidden/>
          </w:rPr>
          <w:fldChar w:fldCharType="end"/>
        </w:r>
      </w:hyperlink>
    </w:p>
    <w:p w14:paraId="5F22EC9C" w14:textId="77777777" w:rsidR="00725F21" w:rsidRDefault="00EB33A6" w:rsidP="00725F21">
      <w:pPr>
        <w:rPr>
          <w:rFonts w:cs="Arial"/>
          <w:lang w:val="en-AU"/>
        </w:rPr>
      </w:pPr>
      <w:r>
        <w:rPr>
          <w:rFonts w:cs="Arial"/>
          <w:lang w:val="en-AU"/>
        </w:rPr>
        <w:fldChar w:fldCharType="end"/>
      </w:r>
    </w:p>
    <w:p w14:paraId="21EF9E12" w14:textId="08CCCA86" w:rsidR="004D2A67" w:rsidRDefault="00EB33A6">
      <w:pPr>
        <w:pStyle w:val="TableofFigures"/>
        <w:rPr>
          <w:rFonts w:asciiTheme="minorHAnsi" w:eastAsiaTheme="minorEastAsia" w:hAnsiTheme="minorHAnsi" w:cstheme="minorBidi"/>
          <w:bCs w:val="0"/>
          <w:sz w:val="22"/>
          <w:szCs w:val="22"/>
          <w:lang w:val="en-AU" w:eastAsia="en-AU"/>
        </w:rPr>
      </w:pPr>
      <w:r>
        <w:rPr>
          <w:rFonts w:cs="Arial"/>
          <w:lang w:val="en-AU"/>
        </w:rPr>
        <w:fldChar w:fldCharType="begin"/>
      </w:r>
      <w:r w:rsidR="00725F21">
        <w:rPr>
          <w:rFonts w:cs="Arial"/>
          <w:lang w:val="en-AU"/>
        </w:rPr>
        <w:instrText xml:space="preserve"> TOC \h \z \c "Figure A1" </w:instrText>
      </w:r>
      <w:r>
        <w:rPr>
          <w:rFonts w:cs="Arial"/>
          <w:lang w:val="en-AU"/>
        </w:rPr>
        <w:fldChar w:fldCharType="separate"/>
      </w:r>
      <w:hyperlink w:anchor="_Toc459332190" w:history="1">
        <w:r w:rsidR="004D2A67" w:rsidRPr="00066AC2">
          <w:rPr>
            <w:rStyle w:val="Hyperlink"/>
          </w:rPr>
          <w:t>Figure A1 1: conceptual scheme of the risk framework proposed in Petus et al. (2014a).</w:t>
        </w:r>
        <w:r w:rsidR="004D2A67">
          <w:rPr>
            <w:webHidden/>
          </w:rPr>
          <w:tab/>
        </w:r>
        <w:r w:rsidR="004D2A67">
          <w:rPr>
            <w:webHidden/>
          </w:rPr>
          <w:fldChar w:fldCharType="begin"/>
        </w:r>
        <w:r w:rsidR="004D2A67">
          <w:rPr>
            <w:webHidden/>
          </w:rPr>
          <w:instrText xml:space="preserve"> PAGEREF _Toc459332190 \h </w:instrText>
        </w:r>
        <w:r w:rsidR="004D2A67">
          <w:rPr>
            <w:webHidden/>
          </w:rPr>
        </w:r>
        <w:r w:rsidR="004D2A67">
          <w:rPr>
            <w:webHidden/>
          </w:rPr>
          <w:fldChar w:fldCharType="separate"/>
        </w:r>
        <w:r w:rsidR="007F5336">
          <w:rPr>
            <w:webHidden/>
          </w:rPr>
          <w:t>139</w:t>
        </w:r>
        <w:r w:rsidR="004D2A67">
          <w:rPr>
            <w:webHidden/>
          </w:rPr>
          <w:fldChar w:fldCharType="end"/>
        </w:r>
      </w:hyperlink>
    </w:p>
    <w:p w14:paraId="008FD649" w14:textId="268090B6" w:rsidR="004D2A67" w:rsidRDefault="000213E5">
      <w:pPr>
        <w:pStyle w:val="TableofFigures"/>
        <w:rPr>
          <w:rFonts w:asciiTheme="minorHAnsi" w:eastAsiaTheme="minorEastAsia" w:hAnsiTheme="minorHAnsi" w:cstheme="minorBidi"/>
          <w:bCs w:val="0"/>
          <w:sz w:val="22"/>
          <w:szCs w:val="22"/>
          <w:lang w:val="en-AU" w:eastAsia="en-AU"/>
        </w:rPr>
      </w:pPr>
      <w:hyperlink w:anchor="_Toc459332191" w:history="1">
        <w:r w:rsidR="004D2A67" w:rsidRPr="00066AC2">
          <w:rPr>
            <w:rStyle w:val="Hyperlink"/>
          </w:rPr>
          <w:t>Figure A1 2:  Risk matrix in function of the magnitude and the likelihood of the river plume risk.</w:t>
        </w:r>
        <w:r w:rsidR="004D2A67">
          <w:rPr>
            <w:webHidden/>
          </w:rPr>
          <w:tab/>
        </w:r>
        <w:r w:rsidR="004D2A67">
          <w:rPr>
            <w:webHidden/>
          </w:rPr>
          <w:fldChar w:fldCharType="begin"/>
        </w:r>
        <w:r w:rsidR="004D2A67">
          <w:rPr>
            <w:webHidden/>
          </w:rPr>
          <w:instrText xml:space="preserve"> PAGEREF _Toc459332191 \h </w:instrText>
        </w:r>
        <w:r w:rsidR="004D2A67">
          <w:rPr>
            <w:webHidden/>
          </w:rPr>
        </w:r>
        <w:r w:rsidR="004D2A67">
          <w:rPr>
            <w:webHidden/>
          </w:rPr>
          <w:fldChar w:fldCharType="separate"/>
        </w:r>
        <w:r w:rsidR="007F5336">
          <w:rPr>
            <w:webHidden/>
          </w:rPr>
          <w:t>140</w:t>
        </w:r>
        <w:r w:rsidR="004D2A67">
          <w:rPr>
            <w:webHidden/>
          </w:rPr>
          <w:fldChar w:fldCharType="end"/>
        </w:r>
      </w:hyperlink>
    </w:p>
    <w:p w14:paraId="291C5569" w14:textId="7DD472E5" w:rsidR="004D2A67" w:rsidRDefault="000213E5">
      <w:pPr>
        <w:pStyle w:val="TableofFigures"/>
        <w:rPr>
          <w:rFonts w:asciiTheme="minorHAnsi" w:eastAsiaTheme="minorEastAsia" w:hAnsiTheme="minorHAnsi" w:cstheme="minorBidi"/>
          <w:bCs w:val="0"/>
          <w:sz w:val="22"/>
          <w:szCs w:val="22"/>
          <w:lang w:val="en-AU" w:eastAsia="en-AU"/>
        </w:rPr>
      </w:pPr>
      <w:hyperlink w:anchor="_Toc459332192" w:history="1">
        <w:r w:rsidR="004D2A67" w:rsidRPr="00066AC2">
          <w:rPr>
            <w:rStyle w:val="Hyperlink"/>
          </w:rPr>
          <w:t>Figure A1 3: Theoretical example of the production of an annual risk map and the results for 2 pixels</w:t>
        </w:r>
        <w:r w:rsidR="004D2A67">
          <w:rPr>
            <w:webHidden/>
          </w:rPr>
          <w:tab/>
        </w:r>
        <w:r w:rsidR="004D2A67">
          <w:rPr>
            <w:webHidden/>
          </w:rPr>
          <w:fldChar w:fldCharType="begin"/>
        </w:r>
        <w:r w:rsidR="004D2A67">
          <w:rPr>
            <w:webHidden/>
          </w:rPr>
          <w:instrText xml:space="preserve"> PAGEREF _Toc459332192 \h </w:instrText>
        </w:r>
        <w:r w:rsidR="004D2A67">
          <w:rPr>
            <w:webHidden/>
          </w:rPr>
        </w:r>
        <w:r w:rsidR="004D2A67">
          <w:rPr>
            <w:webHidden/>
          </w:rPr>
          <w:fldChar w:fldCharType="separate"/>
        </w:r>
        <w:r w:rsidR="007F5336">
          <w:rPr>
            <w:webHidden/>
          </w:rPr>
          <w:t>140</w:t>
        </w:r>
        <w:r w:rsidR="004D2A67">
          <w:rPr>
            <w:webHidden/>
          </w:rPr>
          <w:fldChar w:fldCharType="end"/>
        </w:r>
      </w:hyperlink>
    </w:p>
    <w:p w14:paraId="3F055B09" w14:textId="32780CF4" w:rsidR="004D2A67" w:rsidRDefault="000213E5">
      <w:pPr>
        <w:pStyle w:val="TableofFigures"/>
        <w:rPr>
          <w:rFonts w:asciiTheme="minorHAnsi" w:eastAsiaTheme="minorEastAsia" w:hAnsiTheme="minorHAnsi" w:cstheme="minorBidi"/>
          <w:bCs w:val="0"/>
          <w:sz w:val="22"/>
          <w:szCs w:val="22"/>
          <w:lang w:val="en-AU" w:eastAsia="en-AU"/>
        </w:rPr>
      </w:pPr>
      <w:hyperlink w:anchor="_Toc459332193" w:history="1">
        <w:r w:rsidR="004D2A67" w:rsidRPr="00066AC2">
          <w:rPr>
            <w:rStyle w:val="Hyperlink"/>
          </w:rPr>
          <w:t>Figure A1 4: Marine boundaries used for the GBR Marine Park (a), each NRM region and the coral reefs ecosystems.</w:t>
        </w:r>
        <w:r w:rsidR="004D2A67">
          <w:rPr>
            <w:webHidden/>
          </w:rPr>
          <w:tab/>
        </w:r>
        <w:r w:rsidR="004D2A67">
          <w:rPr>
            <w:webHidden/>
          </w:rPr>
          <w:fldChar w:fldCharType="begin"/>
        </w:r>
        <w:r w:rsidR="004D2A67">
          <w:rPr>
            <w:webHidden/>
          </w:rPr>
          <w:instrText xml:space="preserve"> PAGEREF _Toc459332193 \h </w:instrText>
        </w:r>
        <w:r w:rsidR="004D2A67">
          <w:rPr>
            <w:webHidden/>
          </w:rPr>
        </w:r>
        <w:r w:rsidR="004D2A67">
          <w:rPr>
            <w:webHidden/>
          </w:rPr>
          <w:fldChar w:fldCharType="separate"/>
        </w:r>
        <w:r w:rsidR="007F5336">
          <w:rPr>
            <w:webHidden/>
          </w:rPr>
          <w:t>142</w:t>
        </w:r>
        <w:r w:rsidR="004D2A67">
          <w:rPr>
            <w:webHidden/>
          </w:rPr>
          <w:fldChar w:fldCharType="end"/>
        </w:r>
      </w:hyperlink>
    </w:p>
    <w:p w14:paraId="4B824EF5" w14:textId="0808C18E" w:rsidR="004D2A67" w:rsidRDefault="000213E5">
      <w:pPr>
        <w:pStyle w:val="TableofFigures"/>
        <w:rPr>
          <w:rFonts w:asciiTheme="minorHAnsi" w:eastAsiaTheme="minorEastAsia" w:hAnsiTheme="minorHAnsi" w:cstheme="minorBidi"/>
          <w:bCs w:val="0"/>
          <w:sz w:val="22"/>
          <w:szCs w:val="22"/>
          <w:lang w:val="en-AU" w:eastAsia="en-AU"/>
        </w:rPr>
      </w:pPr>
      <w:hyperlink w:anchor="_Toc459332194" w:history="1">
        <w:r w:rsidR="004D2A67" w:rsidRPr="00066AC2">
          <w:rPr>
            <w:rStyle w:val="Hyperlink"/>
          </w:rPr>
          <w:t>Figure A1 5: Marine boundaries used for the GBR Marine Park</w:t>
        </w:r>
        <w:r w:rsidR="004D2A67" w:rsidRPr="00066AC2">
          <w:rPr>
            <w:rStyle w:val="Hyperlink"/>
            <w:lang w:val="en-AU"/>
          </w:rPr>
          <w:t xml:space="preserve"> (a), each NRM region and the seagrass ecosystems.</w:t>
        </w:r>
        <w:r w:rsidR="004D2A67">
          <w:rPr>
            <w:webHidden/>
          </w:rPr>
          <w:tab/>
        </w:r>
        <w:r w:rsidR="004D2A67">
          <w:rPr>
            <w:webHidden/>
          </w:rPr>
          <w:fldChar w:fldCharType="begin"/>
        </w:r>
        <w:r w:rsidR="004D2A67">
          <w:rPr>
            <w:webHidden/>
          </w:rPr>
          <w:instrText xml:space="preserve"> PAGEREF _Toc459332194 \h </w:instrText>
        </w:r>
        <w:r w:rsidR="004D2A67">
          <w:rPr>
            <w:webHidden/>
          </w:rPr>
        </w:r>
        <w:r w:rsidR="004D2A67">
          <w:rPr>
            <w:webHidden/>
          </w:rPr>
          <w:fldChar w:fldCharType="separate"/>
        </w:r>
        <w:r w:rsidR="007F5336">
          <w:rPr>
            <w:webHidden/>
          </w:rPr>
          <w:t>142</w:t>
        </w:r>
        <w:r w:rsidR="004D2A67">
          <w:rPr>
            <w:webHidden/>
          </w:rPr>
          <w:fldChar w:fldCharType="end"/>
        </w:r>
      </w:hyperlink>
    </w:p>
    <w:p w14:paraId="611BF7B3" w14:textId="480E3814" w:rsidR="004D2A67" w:rsidRDefault="000213E5">
      <w:pPr>
        <w:pStyle w:val="TableofFigures"/>
        <w:rPr>
          <w:rFonts w:asciiTheme="minorHAnsi" w:eastAsiaTheme="minorEastAsia" w:hAnsiTheme="minorHAnsi" w:cstheme="minorBidi"/>
          <w:bCs w:val="0"/>
          <w:sz w:val="22"/>
          <w:szCs w:val="22"/>
          <w:lang w:val="en-AU" w:eastAsia="en-AU"/>
        </w:rPr>
      </w:pPr>
      <w:hyperlink w:anchor="_Toc459332195" w:history="1">
        <w:r w:rsidR="004D2A67" w:rsidRPr="00066AC2">
          <w:rPr>
            <w:rStyle w:val="Hyperlink"/>
          </w:rPr>
          <w:t>Figure A1 6: Conceptual model for DIN concentration load mapping. See text for explanation.</w:t>
        </w:r>
        <w:r w:rsidR="004D2A67">
          <w:rPr>
            <w:webHidden/>
          </w:rPr>
          <w:tab/>
        </w:r>
        <w:r w:rsidR="004D2A67">
          <w:rPr>
            <w:webHidden/>
          </w:rPr>
          <w:fldChar w:fldCharType="begin"/>
        </w:r>
        <w:r w:rsidR="004D2A67">
          <w:rPr>
            <w:webHidden/>
          </w:rPr>
          <w:instrText xml:space="preserve"> PAGEREF _Toc459332195 \h </w:instrText>
        </w:r>
        <w:r w:rsidR="004D2A67">
          <w:rPr>
            <w:webHidden/>
          </w:rPr>
        </w:r>
        <w:r w:rsidR="004D2A67">
          <w:rPr>
            <w:webHidden/>
          </w:rPr>
          <w:fldChar w:fldCharType="separate"/>
        </w:r>
        <w:r w:rsidR="007F5336">
          <w:rPr>
            <w:webHidden/>
          </w:rPr>
          <w:t>144</w:t>
        </w:r>
        <w:r w:rsidR="004D2A67">
          <w:rPr>
            <w:webHidden/>
          </w:rPr>
          <w:fldChar w:fldCharType="end"/>
        </w:r>
      </w:hyperlink>
    </w:p>
    <w:p w14:paraId="08FA810C" w14:textId="21ECE89E" w:rsidR="004D2A67" w:rsidRDefault="000213E5">
      <w:pPr>
        <w:pStyle w:val="TableofFigures"/>
        <w:rPr>
          <w:rFonts w:asciiTheme="minorHAnsi" w:eastAsiaTheme="minorEastAsia" w:hAnsiTheme="minorHAnsi" w:cstheme="minorBidi"/>
          <w:bCs w:val="0"/>
          <w:sz w:val="22"/>
          <w:szCs w:val="22"/>
          <w:lang w:val="en-AU" w:eastAsia="en-AU"/>
        </w:rPr>
      </w:pPr>
      <w:hyperlink w:anchor="_Toc459332196" w:history="1">
        <w:r w:rsidR="004D2A67" w:rsidRPr="00066AC2">
          <w:rPr>
            <w:rStyle w:val="Hyperlink"/>
          </w:rPr>
          <w:t>Figure A1 7: Relationship between river discharge (megaliters, ML) and distance (km) between river mouth and the outer edge of tracer plume as obtained from the eReefs hydrodynamic model for the GBR. Dashed lines stand for CI 95%. Red dot stands for point excluded from the regression model.</w:t>
        </w:r>
        <w:r w:rsidR="004D2A67">
          <w:rPr>
            <w:webHidden/>
          </w:rPr>
          <w:tab/>
        </w:r>
        <w:r w:rsidR="004D2A67">
          <w:rPr>
            <w:webHidden/>
          </w:rPr>
          <w:fldChar w:fldCharType="begin"/>
        </w:r>
        <w:r w:rsidR="004D2A67">
          <w:rPr>
            <w:webHidden/>
          </w:rPr>
          <w:instrText xml:space="preserve"> PAGEREF _Toc459332196 \h </w:instrText>
        </w:r>
        <w:r w:rsidR="004D2A67">
          <w:rPr>
            <w:webHidden/>
          </w:rPr>
        </w:r>
        <w:r w:rsidR="004D2A67">
          <w:rPr>
            <w:webHidden/>
          </w:rPr>
          <w:fldChar w:fldCharType="separate"/>
        </w:r>
        <w:r w:rsidR="007F5336">
          <w:rPr>
            <w:webHidden/>
          </w:rPr>
          <w:t>145</w:t>
        </w:r>
        <w:r w:rsidR="004D2A67">
          <w:rPr>
            <w:webHidden/>
          </w:rPr>
          <w:fldChar w:fldCharType="end"/>
        </w:r>
      </w:hyperlink>
    </w:p>
    <w:p w14:paraId="0D3555DF" w14:textId="000949E3" w:rsidR="004D2A67" w:rsidRDefault="000213E5">
      <w:pPr>
        <w:pStyle w:val="TableofFigures"/>
        <w:rPr>
          <w:rFonts w:asciiTheme="minorHAnsi" w:eastAsiaTheme="minorEastAsia" w:hAnsiTheme="minorHAnsi" w:cstheme="minorBidi"/>
          <w:bCs w:val="0"/>
          <w:sz w:val="22"/>
          <w:szCs w:val="22"/>
          <w:lang w:val="en-AU" w:eastAsia="en-AU"/>
        </w:rPr>
      </w:pPr>
      <w:hyperlink w:anchor="_Toc459332197" w:history="1">
        <w:r w:rsidR="004D2A67" w:rsidRPr="00066AC2">
          <w:rPr>
            <w:rStyle w:val="Hyperlink"/>
          </w:rPr>
          <w:t>Figure A1 8: The Great Barrier Reef Marine Park (Queensland, Australia), major rivers included in the model, the delimitation of the Natural Resource Management (NRM) regions, and the sampling sites (colour density indicates recurrent sampling).</w:t>
        </w:r>
        <w:r w:rsidR="004D2A67">
          <w:rPr>
            <w:webHidden/>
          </w:rPr>
          <w:tab/>
        </w:r>
        <w:r w:rsidR="004D2A67">
          <w:rPr>
            <w:webHidden/>
          </w:rPr>
          <w:fldChar w:fldCharType="begin"/>
        </w:r>
        <w:r w:rsidR="004D2A67">
          <w:rPr>
            <w:webHidden/>
          </w:rPr>
          <w:instrText xml:space="preserve"> PAGEREF _Toc459332197 \h </w:instrText>
        </w:r>
        <w:r w:rsidR="004D2A67">
          <w:rPr>
            <w:webHidden/>
          </w:rPr>
        </w:r>
        <w:r w:rsidR="004D2A67">
          <w:rPr>
            <w:webHidden/>
          </w:rPr>
          <w:fldChar w:fldCharType="separate"/>
        </w:r>
        <w:r w:rsidR="007F5336">
          <w:rPr>
            <w:webHidden/>
          </w:rPr>
          <w:t>146</w:t>
        </w:r>
        <w:r w:rsidR="004D2A67">
          <w:rPr>
            <w:webHidden/>
          </w:rPr>
          <w:fldChar w:fldCharType="end"/>
        </w:r>
      </w:hyperlink>
    </w:p>
    <w:p w14:paraId="522BFB71" w14:textId="43A259CD" w:rsidR="004D2A67" w:rsidRDefault="000213E5">
      <w:pPr>
        <w:pStyle w:val="TableofFigures"/>
        <w:rPr>
          <w:rFonts w:asciiTheme="minorHAnsi" w:eastAsiaTheme="minorEastAsia" w:hAnsiTheme="minorHAnsi" w:cstheme="minorBidi"/>
          <w:bCs w:val="0"/>
          <w:sz w:val="22"/>
          <w:szCs w:val="22"/>
          <w:lang w:val="en-AU" w:eastAsia="en-AU"/>
        </w:rPr>
      </w:pPr>
      <w:hyperlink w:anchor="_Toc459332198" w:history="1">
        <w:r w:rsidR="004D2A67" w:rsidRPr="00066AC2">
          <w:rPr>
            <w:rStyle w:val="Hyperlink"/>
          </w:rPr>
          <w:t>Figure A1 9: In-situ dissolved inorganic nitrogen concentration (a), depth of the mixing layer (b), superficial salinity (c) and plume area (d) per colour class, measured over 13 wet seasons (c.a., December to April inclusive) from 2002/03 to 2014/15 wet season. Boxplot presents the median (dark black line), 25</w:t>
        </w:r>
        <w:r w:rsidR="004D2A67" w:rsidRPr="00066AC2">
          <w:rPr>
            <w:rStyle w:val="Hyperlink"/>
            <w:vertAlign w:val="superscript"/>
          </w:rPr>
          <w:t>th</w:t>
        </w:r>
        <w:r w:rsidR="004D2A67" w:rsidRPr="00066AC2">
          <w:rPr>
            <w:rStyle w:val="Hyperlink"/>
          </w:rPr>
          <w:t xml:space="preserve"> and 75</w:t>
        </w:r>
        <w:r w:rsidR="004D2A67" w:rsidRPr="00066AC2">
          <w:rPr>
            <w:rStyle w:val="Hyperlink"/>
            <w:vertAlign w:val="superscript"/>
          </w:rPr>
          <w:t>th</w:t>
        </w:r>
        <w:r w:rsidR="004D2A67" w:rsidRPr="00066AC2">
          <w:rPr>
            <w:rStyle w:val="Hyperlink"/>
          </w:rPr>
          <w:t xml:space="preserve"> percentile values (rectangle) and 5</w:t>
        </w:r>
        <w:r w:rsidR="004D2A67" w:rsidRPr="00066AC2">
          <w:rPr>
            <w:rStyle w:val="Hyperlink"/>
            <w:vertAlign w:val="superscript"/>
          </w:rPr>
          <w:t>th</w:t>
        </w:r>
        <w:r w:rsidR="004D2A67" w:rsidRPr="00066AC2">
          <w:rPr>
            <w:rStyle w:val="Hyperlink"/>
          </w:rPr>
          <w:t xml:space="preserve"> and 95</w:t>
        </w:r>
        <w:r w:rsidR="004D2A67" w:rsidRPr="00066AC2">
          <w:rPr>
            <w:rStyle w:val="Hyperlink"/>
            <w:vertAlign w:val="superscript"/>
          </w:rPr>
          <w:t>th</w:t>
        </w:r>
        <w:r w:rsidR="004D2A67" w:rsidRPr="00066AC2">
          <w:rPr>
            <w:rStyle w:val="Hyperlink"/>
          </w:rPr>
          <w:t xml:space="preserve"> percentile values (vertical lines). Nudge was applied to data on x-axis for better data visualization.</w:t>
        </w:r>
        <w:r w:rsidR="004D2A67">
          <w:rPr>
            <w:webHidden/>
          </w:rPr>
          <w:tab/>
        </w:r>
        <w:r w:rsidR="004D2A67">
          <w:rPr>
            <w:webHidden/>
          </w:rPr>
          <w:fldChar w:fldCharType="begin"/>
        </w:r>
        <w:r w:rsidR="004D2A67">
          <w:rPr>
            <w:webHidden/>
          </w:rPr>
          <w:instrText xml:space="preserve"> PAGEREF _Toc459332198 \h </w:instrText>
        </w:r>
        <w:r w:rsidR="004D2A67">
          <w:rPr>
            <w:webHidden/>
          </w:rPr>
        </w:r>
        <w:r w:rsidR="004D2A67">
          <w:rPr>
            <w:webHidden/>
          </w:rPr>
          <w:fldChar w:fldCharType="separate"/>
        </w:r>
        <w:r w:rsidR="007F5336">
          <w:rPr>
            <w:webHidden/>
          </w:rPr>
          <w:t>148</w:t>
        </w:r>
        <w:r w:rsidR="004D2A67">
          <w:rPr>
            <w:webHidden/>
          </w:rPr>
          <w:fldChar w:fldCharType="end"/>
        </w:r>
      </w:hyperlink>
    </w:p>
    <w:p w14:paraId="7C59F710" w14:textId="4FB72EDF" w:rsidR="004D2A67" w:rsidRDefault="000213E5">
      <w:pPr>
        <w:pStyle w:val="TableofFigures"/>
        <w:rPr>
          <w:rFonts w:asciiTheme="minorHAnsi" w:eastAsiaTheme="minorEastAsia" w:hAnsiTheme="minorHAnsi" w:cstheme="minorBidi"/>
          <w:bCs w:val="0"/>
          <w:sz w:val="22"/>
          <w:szCs w:val="22"/>
          <w:lang w:val="en-AU" w:eastAsia="en-AU"/>
        </w:rPr>
      </w:pPr>
      <w:hyperlink w:anchor="_Toc459332199" w:history="1">
        <w:r w:rsidR="004D2A67" w:rsidRPr="00066AC2">
          <w:rPr>
            <w:rStyle w:val="Hyperlink"/>
          </w:rPr>
          <w:t>Figure A1 10: Median DIN mass and percent contribution across the six-colour class. Error bars represent 95%CI (see text for explanation).</w:t>
        </w:r>
        <w:r w:rsidR="004D2A67">
          <w:rPr>
            <w:webHidden/>
          </w:rPr>
          <w:tab/>
        </w:r>
        <w:r w:rsidR="004D2A67">
          <w:rPr>
            <w:webHidden/>
          </w:rPr>
          <w:fldChar w:fldCharType="begin"/>
        </w:r>
        <w:r w:rsidR="004D2A67">
          <w:rPr>
            <w:webHidden/>
          </w:rPr>
          <w:instrText xml:space="preserve"> PAGEREF _Toc459332199 \h </w:instrText>
        </w:r>
        <w:r w:rsidR="004D2A67">
          <w:rPr>
            <w:webHidden/>
          </w:rPr>
        </w:r>
        <w:r w:rsidR="004D2A67">
          <w:rPr>
            <w:webHidden/>
          </w:rPr>
          <w:fldChar w:fldCharType="separate"/>
        </w:r>
        <w:r w:rsidR="007F5336">
          <w:rPr>
            <w:webHidden/>
          </w:rPr>
          <w:t>149</w:t>
        </w:r>
        <w:r w:rsidR="004D2A67">
          <w:rPr>
            <w:webHidden/>
          </w:rPr>
          <w:fldChar w:fldCharType="end"/>
        </w:r>
      </w:hyperlink>
    </w:p>
    <w:p w14:paraId="226818ED" w14:textId="7EA99131" w:rsidR="004D2A67" w:rsidRDefault="000213E5">
      <w:pPr>
        <w:pStyle w:val="TableofFigures"/>
        <w:rPr>
          <w:rFonts w:asciiTheme="minorHAnsi" w:eastAsiaTheme="minorEastAsia" w:hAnsiTheme="minorHAnsi" w:cstheme="minorBidi"/>
          <w:bCs w:val="0"/>
          <w:sz w:val="22"/>
          <w:szCs w:val="22"/>
          <w:lang w:val="en-AU" w:eastAsia="en-AU"/>
        </w:rPr>
      </w:pPr>
      <w:hyperlink w:anchor="_Toc459332200" w:history="1">
        <w:r w:rsidR="004D2A67" w:rsidRPr="00066AC2">
          <w:rPr>
            <w:rStyle w:val="Hyperlink"/>
          </w:rPr>
          <w:t>Figure A1 11: Relationship between in-situ DIN concentration (µg/L) and salinity opportunistically measured at the surface in river plume waters over the GBR lagoon (2002-2003 to 2014-2015 wet season) under river discharge &gt; 75</w:t>
        </w:r>
        <w:r w:rsidR="004D2A67" w:rsidRPr="00066AC2">
          <w:rPr>
            <w:rStyle w:val="Hyperlink"/>
            <w:vertAlign w:val="superscript"/>
          </w:rPr>
          <w:t>th</w:t>
        </w:r>
        <w:r w:rsidR="004D2A67" w:rsidRPr="00066AC2">
          <w:rPr>
            <w:rStyle w:val="Hyperlink"/>
          </w:rPr>
          <w:t xml:space="preserve"> percentile (see text for explanation).</w:t>
        </w:r>
        <w:r w:rsidR="004D2A67">
          <w:rPr>
            <w:webHidden/>
          </w:rPr>
          <w:tab/>
        </w:r>
        <w:r w:rsidR="004D2A67">
          <w:rPr>
            <w:webHidden/>
          </w:rPr>
          <w:fldChar w:fldCharType="begin"/>
        </w:r>
        <w:r w:rsidR="004D2A67">
          <w:rPr>
            <w:webHidden/>
          </w:rPr>
          <w:instrText xml:space="preserve"> PAGEREF _Toc459332200 \h </w:instrText>
        </w:r>
        <w:r w:rsidR="004D2A67">
          <w:rPr>
            <w:webHidden/>
          </w:rPr>
        </w:r>
        <w:r w:rsidR="004D2A67">
          <w:rPr>
            <w:webHidden/>
          </w:rPr>
          <w:fldChar w:fldCharType="separate"/>
        </w:r>
        <w:r w:rsidR="007F5336">
          <w:rPr>
            <w:webHidden/>
          </w:rPr>
          <w:t>150</w:t>
        </w:r>
        <w:r w:rsidR="004D2A67">
          <w:rPr>
            <w:webHidden/>
          </w:rPr>
          <w:fldChar w:fldCharType="end"/>
        </w:r>
      </w:hyperlink>
    </w:p>
    <w:p w14:paraId="0E90F62C" w14:textId="483DCE48" w:rsidR="004D2A67" w:rsidRDefault="000213E5">
      <w:pPr>
        <w:pStyle w:val="TableofFigures"/>
        <w:rPr>
          <w:rFonts w:asciiTheme="minorHAnsi" w:eastAsiaTheme="minorEastAsia" w:hAnsiTheme="minorHAnsi" w:cstheme="minorBidi"/>
          <w:bCs w:val="0"/>
          <w:sz w:val="22"/>
          <w:szCs w:val="22"/>
          <w:lang w:val="en-AU" w:eastAsia="en-AU"/>
        </w:rPr>
      </w:pPr>
      <w:hyperlink w:anchor="_Toc459332201" w:history="1">
        <w:r w:rsidR="004D2A67" w:rsidRPr="00066AC2">
          <w:rPr>
            <w:rStyle w:val="Hyperlink"/>
          </w:rPr>
          <w:t>Figure A1 12: Potential DIN uptake (red line) derived from the ratio between in-situ DIN concentration x salinity (black solid line, as in Figure A1 11) and the theoretical dilution model (black dashed line, derived from Eq. 4).</w:t>
        </w:r>
        <w:r w:rsidR="004D2A67">
          <w:rPr>
            <w:webHidden/>
          </w:rPr>
          <w:tab/>
        </w:r>
        <w:r w:rsidR="004D2A67">
          <w:rPr>
            <w:webHidden/>
          </w:rPr>
          <w:fldChar w:fldCharType="begin"/>
        </w:r>
        <w:r w:rsidR="004D2A67">
          <w:rPr>
            <w:webHidden/>
          </w:rPr>
          <w:instrText xml:space="preserve"> PAGEREF _Toc459332201 \h </w:instrText>
        </w:r>
        <w:r w:rsidR="004D2A67">
          <w:rPr>
            <w:webHidden/>
          </w:rPr>
        </w:r>
        <w:r w:rsidR="004D2A67">
          <w:rPr>
            <w:webHidden/>
          </w:rPr>
          <w:fldChar w:fldCharType="separate"/>
        </w:r>
        <w:r w:rsidR="007F5336">
          <w:rPr>
            <w:webHidden/>
          </w:rPr>
          <w:t>151</w:t>
        </w:r>
        <w:r w:rsidR="004D2A67">
          <w:rPr>
            <w:webHidden/>
          </w:rPr>
          <w:fldChar w:fldCharType="end"/>
        </w:r>
      </w:hyperlink>
    </w:p>
    <w:p w14:paraId="6A40A0B1" w14:textId="0346FE67" w:rsidR="004D2A67" w:rsidRDefault="000213E5">
      <w:pPr>
        <w:pStyle w:val="TableofFigures"/>
        <w:rPr>
          <w:rFonts w:asciiTheme="minorHAnsi" w:eastAsiaTheme="minorEastAsia" w:hAnsiTheme="minorHAnsi" w:cstheme="minorBidi"/>
          <w:bCs w:val="0"/>
          <w:sz w:val="22"/>
          <w:szCs w:val="22"/>
          <w:lang w:val="en-AU" w:eastAsia="en-AU"/>
        </w:rPr>
      </w:pPr>
      <w:hyperlink w:anchor="_Toc459332202" w:history="1">
        <w:r w:rsidR="004D2A67" w:rsidRPr="00066AC2">
          <w:rPr>
            <w:rStyle w:val="Hyperlink"/>
          </w:rPr>
          <w:t>Figure A1 13: In-situ particulate nitrogen concentration (a) and total suspended solids (b) per colour class, measured over 13 wet seasons (c.a., December to April inclusive) from 2002/03 to 2014/15 wet season. Boxplot presents the median (dark black line), 25</w:t>
        </w:r>
        <w:r w:rsidR="004D2A67" w:rsidRPr="00066AC2">
          <w:rPr>
            <w:rStyle w:val="Hyperlink"/>
            <w:vertAlign w:val="superscript"/>
          </w:rPr>
          <w:t>th</w:t>
        </w:r>
        <w:r w:rsidR="004D2A67" w:rsidRPr="00066AC2">
          <w:rPr>
            <w:rStyle w:val="Hyperlink"/>
          </w:rPr>
          <w:t xml:space="preserve"> and 75</w:t>
        </w:r>
        <w:r w:rsidR="004D2A67" w:rsidRPr="00066AC2">
          <w:rPr>
            <w:rStyle w:val="Hyperlink"/>
            <w:vertAlign w:val="superscript"/>
          </w:rPr>
          <w:t>th</w:t>
        </w:r>
        <w:r w:rsidR="004D2A67" w:rsidRPr="00066AC2">
          <w:rPr>
            <w:rStyle w:val="Hyperlink"/>
          </w:rPr>
          <w:t xml:space="preserve"> percentile values (rectangle) and 5</w:t>
        </w:r>
        <w:r w:rsidR="004D2A67" w:rsidRPr="00066AC2">
          <w:rPr>
            <w:rStyle w:val="Hyperlink"/>
            <w:vertAlign w:val="superscript"/>
          </w:rPr>
          <w:t>th</w:t>
        </w:r>
        <w:r w:rsidR="004D2A67" w:rsidRPr="00066AC2">
          <w:rPr>
            <w:rStyle w:val="Hyperlink"/>
          </w:rPr>
          <w:t xml:space="preserve"> and 95</w:t>
        </w:r>
        <w:r w:rsidR="004D2A67" w:rsidRPr="00066AC2">
          <w:rPr>
            <w:rStyle w:val="Hyperlink"/>
            <w:vertAlign w:val="superscript"/>
          </w:rPr>
          <w:t>th</w:t>
        </w:r>
        <w:r w:rsidR="004D2A67" w:rsidRPr="00066AC2">
          <w:rPr>
            <w:rStyle w:val="Hyperlink"/>
          </w:rPr>
          <w:t xml:space="preserve"> percentile values (vertical lines). Nudge was applied to data on x-axis for better data visualisation.</w:t>
        </w:r>
        <w:r w:rsidR="004D2A67">
          <w:rPr>
            <w:webHidden/>
          </w:rPr>
          <w:tab/>
        </w:r>
        <w:r w:rsidR="004D2A67">
          <w:rPr>
            <w:webHidden/>
          </w:rPr>
          <w:fldChar w:fldCharType="begin"/>
        </w:r>
        <w:r w:rsidR="004D2A67">
          <w:rPr>
            <w:webHidden/>
          </w:rPr>
          <w:instrText xml:space="preserve"> PAGEREF _Toc459332202 \h </w:instrText>
        </w:r>
        <w:r w:rsidR="004D2A67">
          <w:rPr>
            <w:webHidden/>
          </w:rPr>
        </w:r>
        <w:r w:rsidR="004D2A67">
          <w:rPr>
            <w:webHidden/>
          </w:rPr>
          <w:fldChar w:fldCharType="separate"/>
        </w:r>
        <w:r w:rsidR="007F5336">
          <w:rPr>
            <w:webHidden/>
          </w:rPr>
          <w:t>154</w:t>
        </w:r>
        <w:r w:rsidR="004D2A67">
          <w:rPr>
            <w:webHidden/>
          </w:rPr>
          <w:fldChar w:fldCharType="end"/>
        </w:r>
      </w:hyperlink>
    </w:p>
    <w:p w14:paraId="4C6194AB" w14:textId="2185B60C" w:rsidR="004D2A67" w:rsidRDefault="000213E5">
      <w:pPr>
        <w:pStyle w:val="TableofFigures"/>
        <w:rPr>
          <w:rFonts w:asciiTheme="minorHAnsi" w:eastAsiaTheme="minorEastAsia" w:hAnsiTheme="minorHAnsi" w:cstheme="minorBidi"/>
          <w:bCs w:val="0"/>
          <w:sz w:val="22"/>
          <w:szCs w:val="22"/>
          <w:lang w:val="en-AU" w:eastAsia="en-AU"/>
        </w:rPr>
      </w:pPr>
      <w:hyperlink w:anchor="_Toc459332203" w:history="1">
        <w:r w:rsidR="004D2A67" w:rsidRPr="00066AC2">
          <w:rPr>
            <w:rStyle w:val="Hyperlink"/>
          </w:rPr>
          <w:t>Figure A1 14: Median mass of particulate nitrogen (a) and total suspended solids (b), and their per-cent contribution across the six-colour class. Error bars stand for 95%CI (see text for explanation).</w:t>
        </w:r>
        <w:r w:rsidR="004D2A67">
          <w:rPr>
            <w:webHidden/>
          </w:rPr>
          <w:tab/>
        </w:r>
        <w:r w:rsidR="004D2A67">
          <w:rPr>
            <w:webHidden/>
          </w:rPr>
          <w:fldChar w:fldCharType="begin"/>
        </w:r>
        <w:r w:rsidR="004D2A67">
          <w:rPr>
            <w:webHidden/>
          </w:rPr>
          <w:instrText xml:space="preserve"> PAGEREF _Toc459332203 \h </w:instrText>
        </w:r>
        <w:r w:rsidR="004D2A67">
          <w:rPr>
            <w:webHidden/>
          </w:rPr>
        </w:r>
        <w:r w:rsidR="004D2A67">
          <w:rPr>
            <w:webHidden/>
          </w:rPr>
          <w:fldChar w:fldCharType="separate"/>
        </w:r>
        <w:r w:rsidR="007F5336">
          <w:rPr>
            <w:webHidden/>
          </w:rPr>
          <w:t>157</w:t>
        </w:r>
        <w:r w:rsidR="004D2A67">
          <w:rPr>
            <w:webHidden/>
          </w:rPr>
          <w:fldChar w:fldCharType="end"/>
        </w:r>
      </w:hyperlink>
    </w:p>
    <w:p w14:paraId="56915350" w14:textId="6B541903" w:rsidR="004D2A67" w:rsidRDefault="000213E5">
      <w:pPr>
        <w:pStyle w:val="TableofFigures"/>
        <w:rPr>
          <w:rFonts w:asciiTheme="minorHAnsi" w:eastAsiaTheme="minorEastAsia" w:hAnsiTheme="minorHAnsi" w:cstheme="minorBidi"/>
          <w:bCs w:val="0"/>
          <w:sz w:val="22"/>
          <w:szCs w:val="22"/>
          <w:lang w:val="en-AU" w:eastAsia="en-AU"/>
        </w:rPr>
      </w:pPr>
      <w:hyperlink w:anchor="_Toc459332204" w:history="1">
        <w:r w:rsidR="004D2A67" w:rsidRPr="00066AC2">
          <w:rPr>
            <w:rStyle w:val="Hyperlink"/>
          </w:rPr>
          <w:t>Figure A1 15: Relationship between DIN load (ton) against the relative DIN mass (ton) in plume waters (see text for explanation).</w:t>
        </w:r>
        <w:r w:rsidR="004D2A67">
          <w:rPr>
            <w:webHidden/>
          </w:rPr>
          <w:tab/>
        </w:r>
        <w:r w:rsidR="004D2A67">
          <w:rPr>
            <w:webHidden/>
          </w:rPr>
          <w:fldChar w:fldCharType="begin"/>
        </w:r>
        <w:r w:rsidR="004D2A67">
          <w:rPr>
            <w:webHidden/>
          </w:rPr>
          <w:instrText xml:space="preserve"> PAGEREF _Toc459332204 \h </w:instrText>
        </w:r>
        <w:r w:rsidR="004D2A67">
          <w:rPr>
            <w:webHidden/>
          </w:rPr>
        </w:r>
        <w:r w:rsidR="004D2A67">
          <w:rPr>
            <w:webHidden/>
          </w:rPr>
          <w:fldChar w:fldCharType="separate"/>
        </w:r>
        <w:r w:rsidR="007F5336">
          <w:rPr>
            <w:webHidden/>
          </w:rPr>
          <w:t>159</w:t>
        </w:r>
        <w:r w:rsidR="004D2A67">
          <w:rPr>
            <w:webHidden/>
          </w:rPr>
          <w:fldChar w:fldCharType="end"/>
        </w:r>
      </w:hyperlink>
    </w:p>
    <w:p w14:paraId="5F22ECA2" w14:textId="77777777" w:rsidR="00725F21" w:rsidRDefault="00EB33A6" w:rsidP="00725F21">
      <w:pPr>
        <w:rPr>
          <w:rFonts w:cs="Arial"/>
          <w:lang w:val="en-AU"/>
        </w:rPr>
      </w:pPr>
      <w:r>
        <w:rPr>
          <w:rFonts w:cs="Arial"/>
          <w:lang w:val="en-AU"/>
        </w:rPr>
        <w:fldChar w:fldCharType="end"/>
      </w:r>
    </w:p>
    <w:p w14:paraId="3FDFB1CE" w14:textId="77777777" w:rsidR="004D2A67" w:rsidRDefault="00725F21">
      <w:pPr>
        <w:pStyle w:val="TableofFigures"/>
        <w:rPr>
          <w:color w:val="0070C0"/>
          <w:lang w:val="en-AU"/>
        </w:rPr>
      </w:pPr>
      <w:r w:rsidRPr="00501790">
        <w:rPr>
          <w:color w:val="0070C0"/>
          <w:lang w:val="en-AU"/>
        </w:rPr>
        <w:t>Appendix 2:</w:t>
      </w:r>
      <w:r w:rsidR="00501790" w:rsidRPr="00501790">
        <w:rPr>
          <w:color w:val="0070C0"/>
          <w:lang w:val="en-AU"/>
        </w:rPr>
        <w:t xml:space="preserve"> Additional Information </w:t>
      </w:r>
    </w:p>
    <w:p w14:paraId="074DE22D" w14:textId="6FD17F44" w:rsidR="004D2A67" w:rsidRDefault="00EB33A6">
      <w:pPr>
        <w:pStyle w:val="TableofFigures"/>
        <w:rPr>
          <w:rFonts w:asciiTheme="minorHAnsi" w:eastAsiaTheme="minorEastAsia" w:hAnsiTheme="minorHAnsi" w:cstheme="minorBidi"/>
          <w:bCs w:val="0"/>
          <w:sz w:val="22"/>
          <w:szCs w:val="22"/>
          <w:lang w:val="en-AU" w:eastAsia="en-AU"/>
        </w:rPr>
      </w:pPr>
      <w:r>
        <w:rPr>
          <w:lang w:val="en-AU"/>
        </w:rPr>
        <w:fldChar w:fldCharType="begin"/>
      </w:r>
      <w:r w:rsidR="00725F21">
        <w:rPr>
          <w:lang w:val="en-AU"/>
        </w:rPr>
        <w:instrText xml:space="preserve"> TOC \h \z \c "Table A2" </w:instrText>
      </w:r>
      <w:r>
        <w:rPr>
          <w:lang w:val="en-AU"/>
        </w:rPr>
        <w:fldChar w:fldCharType="separate"/>
      </w:r>
      <w:hyperlink w:anchor="_Toc459332205" w:history="1">
        <w:r w:rsidR="004D2A67" w:rsidRPr="00556338">
          <w:rPr>
            <w:rStyle w:val="Hyperlink"/>
          </w:rPr>
          <w:t xml:space="preserve">Table A2 1: </w:t>
        </w:r>
        <w:r w:rsidR="004D2A67" w:rsidRPr="00556338">
          <w:rPr>
            <w:rStyle w:val="Hyperlink"/>
            <w:rFonts w:cs="Arial"/>
          </w:rPr>
          <w:t>Relative annual freshwater discharge (fraction of long-term median) for the major GBR Catchment rivers influencing the sampling  sites of the MMP Inshore Water Quality Monitoring Program.</w:t>
        </w:r>
        <w:r w:rsidR="004D2A67">
          <w:rPr>
            <w:webHidden/>
          </w:rPr>
          <w:tab/>
        </w:r>
        <w:r w:rsidR="004D2A67">
          <w:rPr>
            <w:webHidden/>
          </w:rPr>
          <w:fldChar w:fldCharType="begin"/>
        </w:r>
        <w:r w:rsidR="004D2A67">
          <w:rPr>
            <w:webHidden/>
          </w:rPr>
          <w:instrText xml:space="preserve"> PAGEREF _Toc459332205 \h </w:instrText>
        </w:r>
        <w:r w:rsidR="004D2A67">
          <w:rPr>
            <w:webHidden/>
          </w:rPr>
        </w:r>
        <w:r w:rsidR="004D2A67">
          <w:rPr>
            <w:webHidden/>
          </w:rPr>
          <w:fldChar w:fldCharType="separate"/>
        </w:r>
        <w:r w:rsidR="007F5336">
          <w:rPr>
            <w:webHidden/>
          </w:rPr>
          <w:t>166</w:t>
        </w:r>
        <w:r w:rsidR="004D2A67">
          <w:rPr>
            <w:webHidden/>
          </w:rPr>
          <w:fldChar w:fldCharType="end"/>
        </w:r>
      </w:hyperlink>
    </w:p>
    <w:p w14:paraId="51EA7E7C" w14:textId="1B3DDA22" w:rsidR="004D2A67" w:rsidRDefault="000213E5">
      <w:pPr>
        <w:pStyle w:val="TableofFigures"/>
        <w:rPr>
          <w:rFonts w:asciiTheme="minorHAnsi" w:eastAsiaTheme="minorEastAsia" w:hAnsiTheme="minorHAnsi" w:cstheme="minorBidi"/>
          <w:bCs w:val="0"/>
          <w:sz w:val="22"/>
          <w:szCs w:val="22"/>
          <w:lang w:val="en-AU" w:eastAsia="en-AU"/>
        </w:rPr>
      </w:pPr>
      <w:hyperlink w:anchor="_Toc459332206" w:history="1">
        <w:r w:rsidR="004D2A67" w:rsidRPr="00556338">
          <w:rPr>
            <w:rStyle w:val="Hyperlink"/>
          </w:rPr>
          <w:t>Table A2 2: The 75th and 95th percentile flow (ML/day) for the major GBR rivers  (Long-term flow calculated from daily discharges between 1970 to 2000 obtained from DNRM).</w:t>
        </w:r>
        <w:r w:rsidR="004D2A67">
          <w:rPr>
            <w:webHidden/>
          </w:rPr>
          <w:tab/>
        </w:r>
        <w:r w:rsidR="004D2A67">
          <w:rPr>
            <w:webHidden/>
          </w:rPr>
          <w:fldChar w:fldCharType="begin"/>
        </w:r>
        <w:r w:rsidR="004D2A67">
          <w:rPr>
            <w:webHidden/>
          </w:rPr>
          <w:instrText xml:space="preserve"> PAGEREF _Toc459332206 \h </w:instrText>
        </w:r>
        <w:r w:rsidR="004D2A67">
          <w:rPr>
            <w:webHidden/>
          </w:rPr>
        </w:r>
        <w:r w:rsidR="004D2A67">
          <w:rPr>
            <w:webHidden/>
          </w:rPr>
          <w:fldChar w:fldCharType="separate"/>
        </w:r>
        <w:r w:rsidR="007F5336">
          <w:rPr>
            <w:webHidden/>
          </w:rPr>
          <w:t>167</w:t>
        </w:r>
        <w:r w:rsidR="004D2A67">
          <w:rPr>
            <w:webHidden/>
          </w:rPr>
          <w:fldChar w:fldCharType="end"/>
        </w:r>
      </w:hyperlink>
    </w:p>
    <w:p w14:paraId="2C034659" w14:textId="47982794" w:rsidR="004D2A67" w:rsidRDefault="000213E5">
      <w:pPr>
        <w:pStyle w:val="TableofFigures"/>
        <w:rPr>
          <w:rFonts w:asciiTheme="minorHAnsi" w:eastAsiaTheme="minorEastAsia" w:hAnsiTheme="minorHAnsi" w:cstheme="minorBidi"/>
          <w:bCs w:val="0"/>
          <w:sz w:val="22"/>
          <w:szCs w:val="22"/>
          <w:lang w:val="en-AU" w:eastAsia="en-AU"/>
        </w:rPr>
      </w:pPr>
      <w:hyperlink w:anchor="_Toc459332207" w:history="1">
        <w:r w:rsidR="004D2A67" w:rsidRPr="00556338">
          <w:rPr>
            <w:rStyle w:val="Hyperlink"/>
          </w:rPr>
          <w:t>Table A2 4:Summary statistics for direct water sampling data from inshore lagoon sites from June 2014-June 2015</w:t>
        </w:r>
        <w:r w:rsidR="004D2A67" w:rsidRPr="00556338">
          <w:rPr>
            <w:rStyle w:val="Hyperlink"/>
            <w:lang w:val="en-AU"/>
          </w:rPr>
          <w:t>.</w:t>
        </w:r>
        <w:r w:rsidR="004D2A67">
          <w:rPr>
            <w:webHidden/>
          </w:rPr>
          <w:tab/>
        </w:r>
        <w:r w:rsidR="004D2A67">
          <w:rPr>
            <w:webHidden/>
          </w:rPr>
          <w:fldChar w:fldCharType="begin"/>
        </w:r>
        <w:r w:rsidR="004D2A67">
          <w:rPr>
            <w:webHidden/>
          </w:rPr>
          <w:instrText xml:space="preserve"> PAGEREF _Toc459332207 \h </w:instrText>
        </w:r>
        <w:r w:rsidR="004D2A67">
          <w:rPr>
            <w:webHidden/>
          </w:rPr>
        </w:r>
        <w:r w:rsidR="004D2A67">
          <w:rPr>
            <w:webHidden/>
          </w:rPr>
          <w:fldChar w:fldCharType="separate"/>
        </w:r>
        <w:r w:rsidR="007F5336">
          <w:rPr>
            <w:webHidden/>
          </w:rPr>
          <w:t>171</w:t>
        </w:r>
        <w:r w:rsidR="004D2A67">
          <w:rPr>
            <w:webHidden/>
          </w:rPr>
          <w:fldChar w:fldCharType="end"/>
        </w:r>
      </w:hyperlink>
    </w:p>
    <w:p w14:paraId="14AE7C02" w14:textId="4B85B45F" w:rsidR="004D2A67" w:rsidRDefault="000213E5">
      <w:pPr>
        <w:pStyle w:val="TableofFigures"/>
        <w:rPr>
          <w:rFonts w:asciiTheme="minorHAnsi" w:eastAsiaTheme="minorEastAsia" w:hAnsiTheme="minorHAnsi" w:cstheme="minorBidi"/>
          <w:bCs w:val="0"/>
          <w:sz w:val="22"/>
          <w:szCs w:val="22"/>
          <w:lang w:val="en-AU" w:eastAsia="en-AU"/>
        </w:rPr>
      </w:pPr>
      <w:hyperlink w:anchor="_Toc459332208" w:history="1">
        <w:r w:rsidR="004D2A67" w:rsidRPr="00556338">
          <w:rPr>
            <w:rStyle w:val="Hyperlink"/>
          </w:rPr>
          <w:t>Table A2 5: Summary of turbidity (NTU) data from ECO FLNTUSB instruments</w:t>
        </w:r>
        <w:r w:rsidR="004D2A67">
          <w:rPr>
            <w:webHidden/>
          </w:rPr>
          <w:tab/>
        </w:r>
        <w:r w:rsidR="004D2A67">
          <w:rPr>
            <w:webHidden/>
          </w:rPr>
          <w:fldChar w:fldCharType="begin"/>
        </w:r>
        <w:r w:rsidR="004D2A67">
          <w:rPr>
            <w:webHidden/>
          </w:rPr>
          <w:instrText xml:space="preserve"> PAGEREF _Toc459332208 \h </w:instrText>
        </w:r>
        <w:r w:rsidR="004D2A67">
          <w:rPr>
            <w:webHidden/>
          </w:rPr>
        </w:r>
        <w:r w:rsidR="004D2A67">
          <w:rPr>
            <w:webHidden/>
          </w:rPr>
          <w:fldChar w:fldCharType="separate"/>
        </w:r>
        <w:r w:rsidR="007F5336">
          <w:rPr>
            <w:webHidden/>
          </w:rPr>
          <w:t>183</w:t>
        </w:r>
        <w:r w:rsidR="004D2A67">
          <w:rPr>
            <w:webHidden/>
          </w:rPr>
          <w:fldChar w:fldCharType="end"/>
        </w:r>
      </w:hyperlink>
    </w:p>
    <w:p w14:paraId="04D80AA2" w14:textId="4869B0FA" w:rsidR="004D2A67" w:rsidRDefault="000213E5">
      <w:pPr>
        <w:pStyle w:val="TableofFigures"/>
        <w:rPr>
          <w:rFonts w:asciiTheme="minorHAnsi" w:eastAsiaTheme="minorEastAsia" w:hAnsiTheme="minorHAnsi" w:cstheme="minorBidi"/>
          <w:bCs w:val="0"/>
          <w:sz w:val="22"/>
          <w:szCs w:val="22"/>
          <w:lang w:val="en-AU" w:eastAsia="en-AU"/>
        </w:rPr>
      </w:pPr>
      <w:hyperlink w:anchor="_Toc459332209" w:history="1">
        <w:r w:rsidR="004D2A67" w:rsidRPr="00556338">
          <w:rPr>
            <w:rStyle w:val="Hyperlink"/>
          </w:rPr>
          <w:t>Table A2 6: Summary of data collected during the 2014-2015 wet season under the MMP program.</w:t>
        </w:r>
        <w:r w:rsidR="004D2A67">
          <w:rPr>
            <w:webHidden/>
          </w:rPr>
          <w:tab/>
        </w:r>
        <w:r w:rsidR="004D2A67">
          <w:rPr>
            <w:webHidden/>
          </w:rPr>
          <w:fldChar w:fldCharType="begin"/>
        </w:r>
        <w:r w:rsidR="004D2A67">
          <w:rPr>
            <w:webHidden/>
          </w:rPr>
          <w:instrText xml:space="preserve"> PAGEREF _Toc459332209 \h </w:instrText>
        </w:r>
        <w:r w:rsidR="004D2A67">
          <w:rPr>
            <w:webHidden/>
          </w:rPr>
        </w:r>
        <w:r w:rsidR="004D2A67">
          <w:rPr>
            <w:webHidden/>
          </w:rPr>
          <w:fldChar w:fldCharType="separate"/>
        </w:r>
        <w:r w:rsidR="007F5336">
          <w:rPr>
            <w:webHidden/>
          </w:rPr>
          <w:t>194</w:t>
        </w:r>
        <w:r w:rsidR="004D2A67">
          <w:rPr>
            <w:webHidden/>
          </w:rPr>
          <w:fldChar w:fldCharType="end"/>
        </w:r>
      </w:hyperlink>
    </w:p>
    <w:p w14:paraId="6F1C9B47" w14:textId="2766377D" w:rsidR="004D2A67" w:rsidRDefault="000213E5">
      <w:pPr>
        <w:pStyle w:val="TableofFigures"/>
        <w:rPr>
          <w:rFonts w:asciiTheme="minorHAnsi" w:eastAsiaTheme="minorEastAsia" w:hAnsiTheme="minorHAnsi" w:cstheme="minorBidi"/>
          <w:bCs w:val="0"/>
          <w:sz w:val="22"/>
          <w:szCs w:val="22"/>
          <w:lang w:val="en-AU" w:eastAsia="en-AU"/>
        </w:rPr>
      </w:pPr>
      <w:hyperlink w:anchor="_Toc459332210" w:history="1">
        <w:r w:rsidR="004D2A67" w:rsidRPr="00556338">
          <w:rPr>
            <w:rStyle w:val="Hyperlink"/>
          </w:rPr>
          <w:t>Table A2 16: Interim water quality index for each water quality sampling location, calculated using AIMS wet and dry season samples.</w:t>
        </w:r>
        <w:r w:rsidR="004D2A67">
          <w:rPr>
            <w:webHidden/>
          </w:rPr>
          <w:tab/>
        </w:r>
        <w:r w:rsidR="004D2A67">
          <w:rPr>
            <w:webHidden/>
          </w:rPr>
          <w:fldChar w:fldCharType="begin"/>
        </w:r>
        <w:r w:rsidR="004D2A67">
          <w:rPr>
            <w:webHidden/>
          </w:rPr>
          <w:instrText xml:space="preserve"> PAGEREF _Toc459332210 \h </w:instrText>
        </w:r>
        <w:r w:rsidR="004D2A67">
          <w:rPr>
            <w:webHidden/>
          </w:rPr>
        </w:r>
        <w:r w:rsidR="004D2A67">
          <w:rPr>
            <w:webHidden/>
          </w:rPr>
          <w:fldChar w:fldCharType="separate"/>
        </w:r>
        <w:r w:rsidR="007F5336">
          <w:rPr>
            <w:webHidden/>
          </w:rPr>
          <w:t>196</w:t>
        </w:r>
        <w:r w:rsidR="004D2A67">
          <w:rPr>
            <w:webHidden/>
          </w:rPr>
          <w:fldChar w:fldCharType="end"/>
        </w:r>
      </w:hyperlink>
    </w:p>
    <w:p w14:paraId="5F22ECB4" w14:textId="77777777" w:rsidR="00EE68BF" w:rsidRPr="008467AA" w:rsidRDefault="00EB33A6" w:rsidP="00725F21">
      <w:pPr>
        <w:rPr>
          <w:rFonts w:cs="Arial"/>
          <w:sz w:val="20"/>
          <w:lang w:val="en-AU"/>
        </w:rPr>
      </w:pPr>
      <w:r>
        <w:rPr>
          <w:rFonts w:cs="Arial"/>
          <w:lang w:val="en-AU"/>
        </w:rPr>
        <w:fldChar w:fldCharType="end"/>
      </w:r>
    </w:p>
    <w:p w14:paraId="5E854339" w14:textId="12DD6C32" w:rsidR="004D2A67" w:rsidRDefault="00EB33A6">
      <w:pPr>
        <w:pStyle w:val="TableofFigures"/>
        <w:rPr>
          <w:rFonts w:asciiTheme="minorHAnsi" w:eastAsiaTheme="minorEastAsia" w:hAnsiTheme="minorHAnsi" w:cstheme="minorBidi"/>
          <w:bCs w:val="0"/>
          <w:sz w:val="22"/>
          <w:szCs w:val="22"/>
          <w:lang w:val="en-AU" w:eastAsia="en-AU"/>
        </w:rPr>
      </w:pPr>
      <w:r>
        <w:rPr>
          <w:rFonts w:cs="Arial"/>
          <w:lang w:val="en-AU"/>
        </w:rPr>
        <w:fldChar w:fldCharType="begin"/>
      </w:r>
      <w:r w:rsidR="00725F21">
        <w:rPr>
          <w:rFonts w:cs="Arial"/>
          <w:lang w:val="en-AU"/>
        </w:rPr>
        <w:instrText xml:space="preserve"> TOC \h \z \c "Figure A2" </w:instrText>
      </w:r>
      <w:r>
        <w:rPr>
          <w:rFonts w:cs="Arial"/>
          <w:lang w:val="en-AU"/>
        </w:rPr>
        <w:fldChar w:fldCharType="separate"/>
      </w:r>
      <w:hyperlink w:anchor="_Toc459332211" w:history="1">
        <w:r w:rsidR="004D2A67" w:rsidRPr="002909AF">
          <w:rPr>
            <w:rStyle w:val="Hyperlink"/>
            <w:lang w:val="en-AU"/>
          </w:rPr>
          <w:t xml:space="preserve">Continuous </w:t>
        </w:r>
        <w:r w:rsidR="004D2A67" w:rsidRPr="002909AF">
          <w:rPr>
            <w:rStyle w:val="Hyperlink"/>
            <w:i/>
            <w:lang w:val="en-AU"/>
          </w:rPr>
          <w:t>in situ</w:t>
        </w:r>
        <w:r w:rsidR="004D2A67" w:rsidRPr="002909AF">
          <w:rPr>
            <w:rStyle w:val="Hyperlink"/>
            <w:lang w:val="en-AU"/>
          </w:rPr>
          <w:t xml:space="preserve"> measurements of chlorophyll fluorescence and turbidity were performed at 15 sites using WET Labs ECO FLNTUSB Combination Fluorometer and Turbidity Sensors; salinity and temperature loggers were deployed at eight locations, with three of these being placed in close proximity to Russell-Mulgrave, Tully and Burdekin river mouths (Figure 4-1, Table 4-1; </w:t>
        </w:r>
        <w:r w:rsidR="004D2A67" w:rsidRPr="002909AF">
          <w:rPr>
            <w:rStyle w:val="Hyperlink"/>
          </w:rPr>
          <w:t>Figure A2 5</w:t>
        </w:r>
        <w:r w:rsidR="004D2A67" w:rsidRPr="002909AF">
          <w:rPr>
            <w:rStyle w:val="Hyperlink"/>
            <w:lang w:val="en-AU"/>
          </w:rPr>
          <w:t>). Additional temperature loggers are also deployed at all MMP inshore coral reef monitoring sites (reported in Thompson et al., 2015).</w:t>
        </w:r>
        <w:r w:rsidR="004D2A67">
          <w:rPr>
            <w:webHidden/>
          </w:rPr>
          <w:tab/>
        </w:r>
        <w:r w:rsidR="004D2A67">
          <w:rPr>
            <w:webHidden/>
          </w:rPr>
          <w:fldChar w:fldCharType="begin"/>
        </w:r>
        <w:r w:rsidR="004D2A67">
          <w:rPr>
            <w:webHidden/>
          </w:rPr>
          <w:instrText xml:space="preserve"> PAGEREF _Toc459332211 \h </w:instrText>
        </w:r>
        <w:r w:rsidR="004D2A67">
          <w:rPr>
            <w:webHidden/>
          </w:rPr>
        </w:r>
        <w:r w:rsidR="004D2A67">
          <w:rPr>
            <w:webHidden/>
          </w:rPr>
          <w:fldChar w:fldCharType="separate"/>
        </w:r>
        <w:r w:rsidR="007F5336">
          <w:rPr>
            <w:webHidden/>
          </w:rPr>
          <w:t>16</w:t>
        </w:r>
        <w:r w:rsidR="004D2A67">
          <w:rPr>
            <w:webHidden/>
          </w:rPr>
          <w:fldChar w:fldCharType="end"/>
        </w:r>
      </w:hyperlink>
    </w:p>
    <w:p w14:paraId="3970DA58" w14:textId="4D4E5EA3" w:rsidR="004D2A67" w:rsidRDefault="000213E5">
      <w:pPr>
        <w:pStyle w:val="TableofFigures"/>
        <w:rPr>
          <w:rFonts w:asciiTheme="minorHAnsi" w:eastAsiaTheme="minorEastAsia" w:hAnsiTheme="minorHAnsi" w:cstheme="minorBidi"/>
          <w:bCs w:val="0"/>
          <w:sz w:val="22"/>
          <w:szCs w:val="22"/>
          <w:lang w:val="en-AU" w:eastAsia="en-AU"/>
        </w:rPr>
      </w:pPr>
      <w:hyperlink w:anchor="_Toc459332212" w:history="1">
        <w:r w:rsidR="004D2A67" w:rsidRPr="002909AF">
          <w:rPr>
            <w:rStyle w:val="Hyperlink"/>
          </w:rPr>
          <w:t>Figure A2 1: Long-term total wet season discharge (top figure) (1 October to 30 September) and flow rates (bottom figure) for the Russell-Mulgrave River</w:t>
        </w:r>
        <w:r w:rsidR="004D2A67">
          <w:rPr>
            <w:webHidden/>
          </w:rPr>
          <w:tab/>
        </w:r>
        <w:r w:rsidR="004D2A67">
          <w:rPr>
            <w:webHidden/>
          </w:rPr>
          <w:fldChar w:fldCharType="begin"/>
        </w:r>
        <w:r w:rsidR="004D2A67">
          <w:rPr>
            <w:webHidden/>
          </w:rPr>
          <w:instrText xml:space="preserve"> PAGEREF _Toc459332212 \h </w:instrText>
        </w:r>
        <w:r w:rsidR="004D2A67">
          <w:rPr>
            <w:webHidden/>
          </w:rPr>
        </w:r>
        <w:r w:rsidR="004D2A67">
          <w:rPr>
            <w:webHidden/>
          </w:rPr>
          <w:fldChar w:fldCharType="separate"/>
        </w:r>
        <w:r w:rsidR="007F5336">
          <w:rPr>
            <w:webHidden/>
          </w:rPr>
          <w:t>168</w:t>
        </w:r>
        <w:r w:rsidR="004D2A67">
          <w:rPr>
            <w:webHidden/>
          </w:rPr>
          <w:fldChar w:fldCharType="end"/>
        </w:r>
      </w:hyperlink>
    </w:p>
    <w:p w14:paraId="39752661" w14:textId="31DA8F32" w:rsidR="004D2A67" w:rsidRDefault="000213E5">
      <w:pPr>
        <w:pStyle w:val="TableofFigures"/>
        <w:rPr>
          <w:rFonts w:asciiTheme="minorHAnsi" w:eastAsiaTheme="minorEastAsia" w:hAnsiTheme="minorHAnsi" w:cstheme="minorBidi"/>
          <w:bCs w:val="0"/>
          <w:sz w:val="22"/>
          <w:szCs w:val="22"/>
          <w:lang w:val="en-AU" w:eastAsia="en-AU"/>
        </w:rPr>
      </w:pPr>
      <w:hyperlink w:anchor="_Toc459332213" w:history="1">
        <w:r w:rsidR="004D2A67" w:rsidRPr="002909AF">
          <w:rPr>
            <w:rStyle w:val="Hyperlink"/>
          </w:rPr>
          <w:t>Figure A2 2: Long-term total wet season discharge (top figure) (1 October to 30 September) and flow rates (bottom figure) for the Tully River</w:t>
        </w:r>
        <w:r w:rsidR="004D2A67">
          <w:rPr>
            <w:webHidden/>
          </w:rPr>
          <w:tab/>
        </w:r>
        <w:r w:rsidR="004D2A67">
          <w:rPr>
            <w:webHidden/>
          </w:rPr>
          <w:fldChar w:fldCharType="begin"/>
        </w:r>
        <w:r w:rsidR="004D2A67">
          <w:rPr>
            <w:webHidden/>
          </w:rPr>
          <w:instrText xml:space="preserve"> PAGEREF _Toc459332213 \h </w:instrText>
        </w:r>
        <w:r w:rsidR="004D2A67">
          <w:rPr>
            <w:webHidden/>
          </w:rPr>
        </w:r>
        <w:r w:rsidR="004D2A67">
          <w:rPr>
            <w:webHidden/>
          </w:rPr>
          <w:fldChar w:fldCharType="separate"/>
        </w:r>
        <w:r w:rsidR="007F5336">
          <w:rPr>
            <w:webHidden/>
          </w:rPr>
          <w:t>169</w:t>
        </w:r>
        <w:r w:rsidR="004D2A67">
          <w:rPr>
            <w:webHidden/>
          </w:rPr>
          <w:fldChar w:fldCharType="end"/>
        </w:r>
      </w:hyperlink>
    </w:p>
    <w:p w14:paraId="5E4E2ADB" w14:textId="27271D1E" w:rsidR="004D2A67" w:rsidRDefault="000213E5">
      <w:pPr>
        <w:pStyle w:val="TableofFigures"/>
        <w:rPr>
          <w:rFonts w:asciiTheme="minorHAnsi" w:eastAsiaTheme="minorEastAsia" w:hAnsiTheme="minorHAnsi" w:cstheme="minorBidi"/>
          <w:bCs w:val="0"/>
          <w:sz w:val="22"/>
          <w:szCs w:val="22"/>
          <w:lang w:val="en-AU" w:eastAsia="en-AU"/>
        </w:rPr>
      </w:pPr>
      <w:hyperlink w:anchor="_Toc459332214" w:history="1">
        <w:r w:rsidR="004D2A67" w:rsidRPr="002909AF">
          <w:rPr>
            <w:rStyle w:val="Hyperlink"/>
          </w:rPr>
          <w:t>Figure A2 3: Long-term total wet season discharge (top figure) (1 October to 30 September) and flow rates (bottom figure) for the Burdekin River</w:t>
        </w:r>
        <w:r w:rsidR="004D2A67">
          <w:rPr>
            <w:webHidden/>
          </w:rPr>
          <w:tab/>
        </w:r>
        <w:r w:rsidR="004D2A67">
          <w:rPr>
            <w:webHidden/>
          </w:rPr>
          <w:fldChar w:fldCharType="begin"/>
        </w:r>
        <w:r w:rsidR="004D2A67">
          <w:rPr>
            <w:webHidden/>
          </w:rPr>
          <w:instrText xml:space="preserve"> PAGEREF _Toc459332214 \h </w:instrText>
        </w:r>
        <w:r w:rsidR="004D2A67">
          <w:rPr>
            <w:webHidden/>
          </w:rPr>
        </w:r>
        <w:r w:rsidR="004D2A67">
          <w:rPr>
            <w:webHidden/>
          </w:rPr>
          <w:fldChar w:fldCharType="separate"/>
        </w:r>
        <w:r w:rsidR="007F5336">
          <w:rPr>
            <w:webHidden/>
          </w:rPr>
          <w:t>170</w:t>
        </w:r>
        <w:r w:rsidR="004D2A67">
          <w:rPr>
            <w:webHidden/>
          </w:rPr>
          <w:fldChar w:fldCharType="end"/>
        </w:r>
      </w:hyperlink>
    </w:p>
    <w:p w14:paraId="77CF08AB" w14:textId="3F1BC117" w:rsidR="004D2A67" w:rsidRDefault="000213E5">
      <w:pPr>
        <w:pStyle w:val="TableofFigures"/>
        <w:rPr>
          <w:rFonts w:asciiTheme="minorHAnsi" w:eastAsiaTheme="minorEastAsia" w:hAnsiTheme="minorHAnsi" w:cstheme="minorBidi"/>
          <w:bCs w:val="0"/>
          <w:sz w:val="22"/>
          <w:szCs w:val="22"/>
          <w:lang w:val="en-AU" w:eastAsia="en-AU"/>
        </w:rPr>
      </w:pPr>
      <w:hyperlink w:anchor="_Toc459332215" w:history="1">
        <w:r w:rsidR="004D2A67" w:rsidRPr="002909AF">
          <w:rPr>
            <w:rStyle w:val="Hyperlink"/>
          </w:rPr>
          <w:t>Figure A2 4: Time series of daily means of chlorophyll (green line) and turbidity (red line) collected by ECO FLNTUSB instruments.</w:t>
        </w:r>
        <w:r w:rsidR="004D2A67">
          <w:rPr>
            <w:webHidden/>
          </w:rPr>
          <w:tab/>
        </w:r>
        <w:r w:rsidR="004D2A67">
          <w:rPr>
            <w:webHidden/>
          </w:rPr>
          <w:fldChar w:fldCharType="begin"/>
        </w:r>
        <w:r w:rsidR="004D2A67">
          <w:rPr>
            <w:webHidden/>
          </w:rPr>
          <w:instrText xml:space="preserve"> PAGEREF _Toc459332215 \h </w:instrText>
        </w:r>
        <w:r w:rsidR="004D2A67">
          <w:rPr>
            <w:webHidden/>
          </w:rPr>
        </w:r>
        <w:r w:rsidR="004D2A67">
          <w:rPr>
            <w:webHidden/>
          </w:rPr>
          <w:fldChar w:fldCharType="separate"/>
        </w:r>
        <w:r w:rsidR="007F5336">
          <w:rPr>
            <w:webHidden/>
          </w:rPr>
          <w:t>186</w:t>
        </w:r>
        <w:r w:rsidR="004D2A67">
          <w:rPr>
            <w:webHidden/>
          </w:rPr>
          <w:fldChar w:fldCharType="end"/>
        </w:r>
      </w:hyperlink>
    </w:p>
    <w:p w14:paraId="5C8C84A7" w14:textId="6441D853" w:rsidR="004D2A67" w:rsidRDefault="000213E5">
      <w:pPr>
        <w:pStyle w:val="TableofFigures"/>
        <w:rPr>
          <w:rFonts w:asciiTheme="minorHAnsi" w:eastAsiaTheme="minorEastAsia" w:hAnsiTheme="minorHAnsi" w:cstheme="minorBidi"/>
          <w:bCs w:val="0"/>
          <w:sz w:val="22"/>
          <w:szCs w:val="22"/>
          <w:lang w:val="en-AU" w:eastAsia="en-AU"/>
        </w:rPr>
      </w:pPr>
      <w:hyperlink w:anchor="_Toc459332216" w:history="1">
        <w:r w:rsidR="004D2A67" w:rsidRPr="002909AF">
          <w:rPr>
            <w:rStyle w:val="Hyperlink"/>
          </w:rPr>
          <w:t>Figure A2 5: Time series of daily means of temperature (red line) and salinity (blue line) derived from the Sea-Bird Electronics (SBE) CTD profilers.</w:t>
        </w:r>
        <w:r w:rsidR="004D2A67">
          <w:rPr>
            <w:webHidden/>
          </w:rPr>
          <w:tab/>
        </w:r>
        <w:r w:rsidR="004D2A67">
          <w:rPr>
            <w:webHidden/>
          </w:rPr>
          <w:fldChar w:fldCharType="begin"/>
        </w:r>
        <w:r w:rsidR="004D2A67">
          <w:rPr>
            <w:webHidden/>
          </w:rPr>
          <w:instrText xml:space="preserve"> PAGEREF _Toc459332216 \h </w:instrText>
        </w:r>
        <w:r w:rsidR="004D2A67">
          <w:rPr>
            <w:webHidden/>
          </w:rPr>
        </w:r>
        <w:r w:rsidR="004D2A67">
          <w:rPr>
            <w:webHidden/>
          </w:rPr>
          <w:fldChar w:fldCharType="separate"/>
        </w:r>
        <w:r w:rsidR="007F5336">
          <w:rPr>
            <w:webHidden/>
          </w:rPr>
          <w:t>192</w:t>
        </w:r>
        <w:r w:rsidR="004D2A67">
          <w:rPr>
            <w:webHidden/>
          </w:rPr>
          <w:fldChar w:fldCharType="end"/>
        </w:r>
      </w:hyperlink>
    </w:p>
    <w:p w14:paraId="15C9D050" w14:textId="357EE41A" w:rsidR="004D2A67" w:rsidRDefault="000213E5">
      <w:pPr>
        <w:pStyle w:val="TableofFigures"/>
        <w:rPr>
          <w:rFonts w:asciiTheme="minorHAnsi" w:eastAsiaTheme="minorEastAsia" w:hAnsiTheme="minorHAnsi" w:cstheme="minorBidi"/>
          <w:bCs w:val="0"/>
          <w:sz w:val="22"/>
          <w:szCs w:val="22"/>
          <w:lang w:val="en-AU" w:eastAsia="en-AU"/>
        </w:rPr>
      </w:pPr>
      <w:hyperlink w:anchor="_Toc459332217" w:history="1">
        <w:r w:rsidR="004D2A67" w:rsidRPr="002909AF">
          <w:rPr>
            <w:rStyle w:val="Hyperlink"/>
          </w:rPr>
          <w:t>Figure A2 15: Mixing plots for DIN in the Russell-Mulgrave, Tully and Burdekin regions for 2014-15. Sites are colour coded to identify location on maps and sampling date relative to river flow over wet season.</w:t>
        </w:r>
        <w:r w:rsidR="004D2A67" w:rsidRPr="002909AF">
          <w:rPr>
            <w:rStyle w:val="Hyperlink"/>
            <w:lang w:val="en-AU"/>
          </w:rPr>
          <w:t xml:space="preserve"> </w:t>
        </w:r>
        <w:r w:rsidR="004D2A67" w:rsidRPr="002909AF">
          <w:rPr>
            <w:rStyle w:val="Hyperlink"/>
          </w:rPr>
          <w:t>Freshwater end were estimated from all samples collected at salinity &lt; 5 in each region.</w:t>
        </w:r>
        <w:r w:rsidR="004D2A67">
          <w:rPr>
            <w:webHidden/>
          </w:rPr>
          <w:tab/>
        </w:r>
        <w:r w:rsidR="004D2A67">
          <w:rPr>
            <w:webHidden/>
          </w:rPr>
          <w:fldChar w:fldCharType="begin"/>
        </w:r>
        <w:r w:rsidR="004D2A67">
          <w:rPr>
            <w:webHidden/>
          </w:rPr>
          <w:instrText xml:space="preserve"> PAGEREF _Toc459332217 \h </w:instrText>
        </w:r>
        <w:r w:rsidR="004D2A67">
          <w:rPr>
            <w:webHidden/>
          </w:rPr>
        </w:r>
        <w:r w:rsidR="004D2A67">
          <w:rPr>
            <w:webHidden/>
          </w:rPr>
          <w:fldChar w:fldCharType="separate"/>
        </w:r>
        <w:r w:rsidR="007F5336">
          <w:rPr>
            <w:webHidden/>
          </w:rPr>
          <w:t>203</w:t>
        </w:r>
        <w:r w:rsidR="004D2A67">
          <w:rPr>
            <w:webHidden/>
          </w:rPr>
          <w:fldChar w:fldCharType="end"/>
        </w:r>
      </w:hyperlink>
    </w:p>
    <w:p w14:paraId="7A495823" w14:textId="382001D2" w:rsidR="004D2A67" w:rsidRDefault="000213E5">
      <w:pPr>
        <w:pStyle w:val="TableofFigures"/>
        <w:rPr>
          <w:rFonts w:asciiTheme="minorHAnsi" w:eastAsiaTheme="minorEastAsia" w:hAnsiTheme="minorHAnsi" w:cstheme="minorBidi"/>
          <w:bCs w:val="0"/>
          <w:sz w:val="22"/>
          <w:szCs w:val="22"/>
          <w:lang w:val="en-AU" w:eastAsia="en-AU"/>
        </w:rPr>
      </w:pPr>
      <w:hyperlink w:anchor="_Toc459332218" w:history="1">
        <w:r w:rsidR="004D2A67" w:rsidRPr="002909AF">
          <w:rPr>
            <w:rStyle w:val="Hyperlink"/>
          </w:rPr>
          <w:t xml:space="preserve">Figure A2 16: Mixing plots for DIP in the Russell-Mulgrave, Tully and Burdekin regions for 2014-15. Sites are colour coded to identify location on maps and sampling date relative to river flow over </w:t>
        </w:r>
        <w:r w:rsidR="004D2A67" w:rsidRPr="002909AF">
          <w:rPr>
            <w:rStyle w:val="Hyperlink"/>
          </w:rPr>
          <w:lastRenderedPageBreak/>
          <w:t>wet season.</w:t>
        </w:r>
        <w:r w:rsidR="004D2A67" w:rsidRPr="002909AF">
          <w:rPr>
            <w:rStyle w:val="Hyperlink"/>
            <w:lang w:val="en-AU"/>
          </w:rPr>
          <w:t xml:space="preserve"> </w:t>
        </w:r>
        <w:r w:rsidR="004D2A67" w:rsidRPr="002909AF">
          <w:rPr>
            <w:rStyle w:val="Hyperlink"/>
          </w:rPr>
          <w:t>Freshwater end were estimated from all samples collected at salinity &lt; 5 in each region.</w:t>
        </w:r>
        <w:r w:rsidR="004D2A67">
          <w:rPr>
            <w:webHidden/>
          </w:rPr>
          <w:tab/>
        </w:r>
        <w:r w:rsidR="004D2A67">
          <w:rPr>
            <w:webHidden/>
          </w:rPr>
          <w:fldChar w:fldCharType="begin"/>
        </w:r>
        <w:r w:rsidR="004D2A67">
          <w:rPr>
            <w:webHidden/>
          </w:rPr>
          <w:instrText xml:space="preserve"> PAGEREF _Toc459332218 \h </w:instrText>
        </w:r>
        <w:r w:rsidR="004D2A67">
          <w:rPr>
            <w:webHidden/>
          </w:rPr>
        </w:r>
        <w:r w:rsidR="004D2A67">
          <w:rPr>
            <w:webHidden/>
          </w:rPr>
          <w:fldChar w:fldCharType="separate"/>
        </w:r>
        <w:r w:rsidR="007F5336">
          <w:rPr>
            <w:webHidden/>
          </w:rPr>
          <w:t>204</w:t>
        </w:r>
        <w:r w:rsidR="004D2A67">
          <w:rPr>
            <w:webHidden/>
          </w:rPr>
          <w:fldChar w:fldCharType="end"/>
        </w:r>
      </w:hyperlink>
    </w:p>
    <w:p w14:paraId="6AC73711" w14:textId="7E6EFF95" w:rsidR="004D2A67" w:rsidRDefault="000213E5">
      <w:pPr>
        <w:pStyle w:val="TableofFigures"/>
        <w:rPr>
          <w:rFonts w:asciiTheme="minorHAnsi" w:eastAsiaTheme="minorEastAsia" w:hAnsiTheme="minorHAnsi" w:cstheme="minorBidi"/>
          <w:bCs w:val="0"/>
          <w:sz w:val="22"/>
          <w:szCs w:val="22"/>
          <w:lang w:val="en-AU" w:eastAsia="en-AU"/>
        </w:rPr>
      </w:pPr>
      <w:hyperlink w:anchor="_Toc459332219" w:history="1">
        <w:r w:rsidR="004D2A67" w:rsidRPr="002909AF">
          <w:rPr>
            <w:rStyle w:val="Hyperlink"/>
          </w:rPr>
          <w:t>Figure A2 17: Mixing plots for Kd(PAR) in the Russell-Mulgrave, Tully and Burdekin regions for 2014-15. Sites are colour coded to identify location on maps and sampling date relative to river flow over wet season.</w:t>
        </w:r>
        <w:r w:rsidR="004D2A67" w:rsidRPr="002909AF">
          <w:rPr>
            <w:rStyle w:val="Hyperlink"/>
            <w:lang w:val="en-AU"/>
          </w:rPr>
          <w:t xml:space="preserve"> </w:t>
        </w:r>
        <w:r w:rsidR="004D2A67" w:rsidRPr="002909AF">
          <w:rPr>
            <w:rStyle w:val="Hyperlink"/>
          </w:rPr>
          <w:t>Freshwater end were estimated from all samples collected at salinity &lt; 5 in each region.</w:t>
        </w:r>
        <w:r w:rsidR="004D2A67">
          <w:rPr>
            <w:webHidden/>
          </w:rPr>
          <w:tab/>
        </w:r>
        <w:r w:rsidR="004D2A67">
          <w:rPr>
            <w:webHidden/>
          </w:rPr>
          <w:fldChar w:fldCharType="begin"/>
        </w:r>
        <w:r w:rsidR="004D2A67">
          <w:rPr>
            <w:webHidden/>
          </w:rPr>
          <w:instrText xml:space="preserve"> PAGEREF _Toc459332219 \h </w:instrText>
        </w:r>
        <w:r w:rsidR="004D2A67">
          <w:rPr>
            <w:webHidden/>
          </w:rPr>
        </w:r>
        <w:r w:rsidR="004D2A67">
          <w:rPr>
            <w:webHidden/>
          </w:rPr>
          <w:fldChar w:fldCharType="separate"/>
        </w:r>
        <w:r w:rsidR="007F5336">
          <w:rPr>
            <w:webHidden/>
          </w:rPr>
          <w:t>205</w:t>
        </w:r>
        <w:r w:rsidR="004D2A67">
          <w:rPr>
            <w:webHidden/>
          </w:rPr>
          <w:fldChar w:fldCharType="end"/>
        </w:r>
      </w:hyperlink>
    </w:p>
    <w:p w14:paraId="779866DB" w14:textId="2A5DD141" w:rsidR="004D2A67" w:rsidRDefault="000213E5">
      <w:pPr>
        <w:pStyle w:val="TableofFigures"/>
        <w:rPr>
          <w:rFonts w:asciiTheme="minorHAnsi" w:eastAsiaTheme="minorEastAsia" w:hAnsiTheme="minorHAnsi" w:cstheme="minorBidi"/>
          <w:bCs w:val="0"/>
          <w:sz w:val="22"/>
          <w:szCs w:val="22"/>
          <w:lang w:val="en-AU" w:eastAsia="en-AU"/>
        </w:rPr>
      </w:pPr>
      <w:hyperlink w:anchor="_Toc459332220" w:history="1">
        <w:r w:rsidR="004D2A67" w:rsidRPr="002909AF">
          <w:rPr>
            <w:rStyle w:val="Hyperlink"/>
          </w:rPr>
          <w:t>Figure A2 18: Mixing plots for TSS in the Russell-Mulgrave, Tully and Burdekin regions for 2014-15. Sites are colour coded to identify location on maps and sampling date relative to river flow over wet season.</w:t>
        </w:r>
        <w:r w:rsidR="004D2A67" w:rsidRPr="002909AF">
          <w:rPr>
            <w:rStyle w:val="Hyperlink"/>
            <w:lang w:val="en-AU"/>
          </w:rPr>
          <w:t xml:space="preserve"> </w:t>
        </w:r>
        <w:r w:rsidR="004D2A67" w:rsidRPr="002909AF">
          <w:rPr>
            <w:rStyle w:val="Hyperlink"/>
          </w:rPr>
          <w:t>Freshwater end were estimated from all samples collected at salinity &lt; 5 in each region.</w:t>
        </w:r>
        <w:r w:rsidR="004D2A67">
          <w:rPr>
            <w:webHidden/>
          </w:rPr>
          <w:tab/>
        </w:r>
        <w:r w:rsidR="004D2A67">
          <w:rPr>
            <w:webHidden/>
          </w:rPr>
          <w:fldChar w:fldCharType="begin"/>
        </w:r>
        <w:r w:rsidR="004D2A67">
          <w:rPr>
            <w:webHidden/>
          </w:rPr>
          <w:instrText xml:space="preserve"> PAGEREF _Toc459332220 \h </w:instrText>
        </w:r>
        <w:r w:rsidR="004D2A67">
          <w:rPr>
            <w:webHidden/>
          </w:rPr>
        </w:r>
        <w:r w:rsidR="004D2A67">
          <w:rPr>
            <w:webHidden/>
          </w:rPr>
          <w:fldChar w:fldCharType="separate"/>
        </w:r>
        <w:r w:rsidR="007F5336">
          <w:rPr>
            <w:webHidden/>
          </w:rPr>
          <w:t>206</w:t>
        </w:r>
        <w:r w:rsidR="004D2A67">
          <w:rPr>
            <w:webHidden/>
          </w:rPr>
          <w:fldChar w:fldCharType="end"/>
        </w:r>
      </w:hyperlink>
    </w:p>
    <w:p w14:paraId="2CAEDE1D" w14:textId="42826104" w:rsidR="004D2A67" w:rsidRDefault="000213E5">
      <w:pPr>
        <w:pStyle w:val="TableofFigures"/>
        <w:rPr>
          <w:rFonts w:asciiTheme="minorHAnsi" w:eastAsiaTheme="minorEastAsia" w:hAnsiTheme="minorHAnsi" w:cstheme="minorBidi"/>
          <w:bCs w:val="0"/>
          <w:sz w:val="22"/>
          <w:szCs w:val="22"/>
          <w:lang w:val="en-AU" w:eastAsia="en-AU"/>
        </w:rPr>
      </w:pPr>
      <w:hyperlink w:anchor="_Toc459332221" w:history="1">
        <w:r w:rsidR="004D2A67" w:rsidRPr="002909AF">
          <w:rPr>
            <w:rStyle w:val="Hyperlink"/>
          </w:rPr>
          <w:t>Figure A2 19: Mixing plots for Chl-a in the Russell-Mulgrave, Tully and Burdekin regions for 2014-15. Sites are colour coded to identify location on maps and sampling date relative to river flow over wet season.</w:t>
        </w:r>
        <w:r w:rsidR="004D2A67" w:rsidRPr="002909AF">
          <w:rPr>
            <w:rStyle w:val="Hyperlink"/>
            <w:lang w:val="en-AU"/>
          </w:rPr>
          <w:t xml:space="preserve"> </w:t>
        </w:r>
        <w:r w:rsidR="004D2A67" w:rsidRPr="002909AF">
          <w:rPr>
            <w:rStyle w:val="Hyperlink"/>
          </w:rPr>
          <w:t>Freshwater end were estimated from all samples collected at salinity &lt; 5 in each region.</w:t>
        </w:r>
        <w:r w:rsidR="004D2A67">
          <w:rPr>
            <w:webHidden/>
          </w:rPr>
          <w:tab/>
        </w:r>
        <w:r w:rsidR="004D2A67">
          <w:rPr>
            <w:webHidden/>
          </w:rPr>
          <w:fldChar w:fldCharType="begin"/>
        </w:r>
        <w:r w:rsidR="004D2A67">
          <w:rPr>
            <w:webHidden/>
          </w:rPr>
          <w:instrText xml:space="preserve"> PAGEREF _Toc459332221 \h </w:instrText>
        </w:r>
        <w:r w:rsidR="004D2A67">
          <w:rPr>
            <w:webHidden/>
          </w:rPr>
        </w:r>
        <w:r w:rsidR="004D2A67">
          <w:rPr>
            <w:webHidden/>
          </w:rPr>
          <w:fldChar w:fldCharType="separate"/>
        </w:r>
        <w:r w:rsidR="007F5336">
          <w:rPr>
            <w:webHidden/>
          </w:rPr>
          <w:t>207</w:t>
        </w:r>
        <w:r w:rsidR="004D2A67">
          <w:rPr>
            <w:webHidden/>
          </w:rPr>
          <w:fldChar w:fldCharType="end"/>
        </w:r>
      </w:hyperlink>
    </w:p>
    <w:p w14:paraId="4B8BD06E" w14:textId="449B1ADA" w:rsidR="004D2A67" w:rsidRDefault="000213E5">
      <w:pPr>
        <w:pStyle w:val="TableofFigures"/>
        <w:rPr>
          <w:rFonts w:asciiTheme="minorHAnsi" w:eastAsiaTheme="minorEastAsia" w:hAnsiTheme="minorHAnsi" w:cstheme="minorBidi"/>
          <w:bCs w:val="0"/>
          <w:sz w:val="22"/>
          <w:szCs w:val="22"/>
          <w:lang w:val="en-AU" w:eastAsia="en-AU"/>
        </w:rPr>
      </w:pPr>
      <w:hyperlink w:anchor="_Toc459332222" w:history="1">
        <w:r w:rsidR="004D2A67" w:rsidRPr="002909AF">
          <w:rPr>
            <w:rStyle w:val="Hyperlink"/>
          </w:rPr>
          <w:t>Figure A2 20: Mixing plots for CDOM in the Russell-Mulgrave, Tully and Burdekin regions for 2014-15. Sites are colour coded to identify location on maps and sampling date relative to river flow over wet season.</w:t>
        </w:r>
        <w:r w:rsidR="004D2A67" w:rsidRPr="002909AF">
          <w:rPr>
            <w:rStyle w:val="Hyperlink"/>
            <w:lang w:val="en-AU"/>
          </w:rPr>
          <w:t xml:space="preserve"> </w:t>
        </w:r>
        <w:r w:rsidR="004D2A67" w:rsidRPr="002909AF">
          <w:rPr>
            <w:rStyle w:val="Hyperlink"/>
          </w:rPr>
          <w:t>Freshwater end were estimated from all samples collected at salinity &lt; 5 in each region.</w:t>
        </w:r>
        <w:r w:rsidR="004D2A67">
          <w:rPr>
            <w:webHidden/>
          </w:rPr>
          <w:tab/>
        </w:r>
        <w:r w:rsidR="004D2A67">
          <w:rPr>
            <w:webHidden/>
          </w:rPr>
          <w:fldChar w:fldCharType="begin"/>
        </w:r>
        <w:r w:rsidR="004D2A67">
          <w:rPr>
            <w:webHidden/>
          </w:rPr>
          <w:instrText xml:space="preserve"> PAGEREF _Toc459332222 \h </w:instrText>
        </w:r>
        <w:r w:rsidR="004D2A67">
          <w:rPr>
            <w:webHidden/>
          </w:rPr>
        </w:r>
        <w:r w:rsidR="004D2A67">
          <w:rPr>
            <w:webHidden/>
          </w:rPr>
          <w:fldChar w:fldCharType="separate"/>
        </w:r>
        <w:r w:rsidR="007F5336">
          <w:rPr>
            <w:webHidden/>
          </w:rPr>
          <w:t>208</w:t>
        </w:r>
        <w:r w:rsidR="004D2A67">
          <w:rPr>
            <w:webHidden/>
          </w:rPr>
          <w:fldChar w:fldCharType="end"/>
        </w:r>
      </w:hyperlink>
    </w:p>
    <w:p w14:paraId="5F22ECC9" w14:textId="77777777" w:rsidR="00590307" w:rsidRDefault="00EB33A6" w:rsidP="00590307">
      <w:pPr>
        <w:rPr>
          <w:rFonts w:cs="Arial"/>
          <w:sz w:val="20"/>
          <w:lang w:val="en-AU"/>
        </w:rPr>
      </w:pPr>
      <w:r>
        <w:rPr>
          <w:rFonts w:cs="Arial"/>
          <w:sz w:val="20"/>
          <w:lang w:val="en-AU"/>
        </w:rPr>
        <w:fldChar w:fldCharType="end"/>
      </w:r>
    </w:p>
    <w:p w14:paraId="5F22ECCA" w14:textId="7CF21734" w:rsidR="00725F21" w:rsidRPr="00501790" w:rsidRDefault="00725F21" w:rsidP="00725F21">
      <w:pPr>
        <w:rPr>
          <w:color w:val="0070C0"/>
          <w:lang w:val="en-AU"/>
        </w:rPr>
      </w:pPr>
      <w:r w:rsidRPr="00501790">
        <w:rPr>
          <w:color w:val="0070C0"/>
          <w:lang w:val="en-AU"/>
        </w:rPr>
        <w:t>Appendix 3:</w:t>
      </w:r>
      <w:r w:rsidR="00501790" w:rsidRPr="00501790">
        <w:rPr>
          <w:color w:val="0070C0"/>
          <w:lang w:val="en-AU"/>
        </w:rPr>
        <w:t xml:space="preserve"> QA</w:t>
      </w:r>
      <w:r w:rsidR="001D1811">
        <w:rPr>
          <w:color w:val="0070C0"/>
          <w:lang w:val="en-AU"/>
        </w:rPr>
        <w:t>/</w:t>
      </w:r>
      <w:r w:rsidR="00501790" w:rsidRPr="00501790">
        <w:rPr>
          <w:color w:val="0070C0"/>
          <w:lang w:val="en-AU"/>
        </w:rPr>
        <w:t>QC Information</w:t>
      </w:r>
    </w:p>
    <w:p w14:paraId="450328B1" w14:textId="03689945" w:rsidR="004D2A67" w:rsidRDefault="00EB33A6">
      <w:pPr>
        <w:pStyle w:val="TableofFigures"/>
        <w:rPr>
          <w:rFonts w:asciiTheme="minorHAnsi" w:eastAsiaTheme="minorEastAsia" w:hAnsiTheme="minorHAnsi" w:cstheme="minorBidi"/>
          <w:bCs w:val="0"/>
          <w:sz w:val="22"/>
          <w:szCs w:val="22"/>
          <w:lang w:val="en-AU" w:eastAsia="en-AU"/>
        </w:rPr>
      </w:pPr>
      <w:r>
        <w:rPr>
          <w:rFonts w:cs="Arial"/>
          <w:lang w:val="en-AU"/>
        </w:rPr>
        <w:fldChar w:fldCharType="begin"/>
      </w:r>
      <w:r w:rsidR="00725F21">
        <w:rPr>
          <w:rFonts w:cs="Arial"/>
          <w:lang w:val="en-AU"/>
        </w:rPr>
        <w:instrText xml:space="preserve"> TOC \h \z \c "Table A3" </w:instrText>
      </w:r>
      <w:r>
        <w:rPr>
          <w:rFonts w:cs="Arial"/>
          <w:lang w:val="en-AU"/>
        </w:rPr>
        <w:fldChar w:fldCharType="separate"/>
      </w:r>
      <w:hyperlink w:anchor="_Toc459332223" w:history="1">
        <w:r w:rsidR="004D2A67" w:rsidRPr="00F6101B">
          <w:rPr>
            <w:rStyle w:val="Hyperlink"/>
          </w:rPr>
          <w:t>Table A3 1: Limit of detection (LOD) for analyses of marine water quality parameters.</w:t>
        </w:r>
        <w:r w:rsidR="004D2A67">
          <w:rPr>
            <w:webHidden/>
          </w:rPr>
          <w:tab/>
        </w:r>
        <w:r w:rsidR="004D2A67">
          <w:rPr>
            <w:webHidden/>
          </w:rPr>
          <w:fldChar w:fldCharType="begin"/>
        </w:r>
        <w:r w:rsidR="004D2A67">
          <w:rPr>
            <w:webHidden/>
          </w:rPr>
          <w:instrText xml:space="preserve"> PAGEREF _Toc459332223 \h </w:instrText>
        </w:r>
        <w:r w:rsidR="004D2A67">
          <w:rPr>
            <w:webHidden/>
          </w:rPr>
        </w:r>
        <w:r w:rsidR="004D2A67">
          <w:rPr>
            <w:webHidden/>
          </w:rPr>
          <w:fldChar w:fldCharType="separate"/>
        </w:r>
        <w:r w:rsidR="007F5336">
          <w:rPr>
            <w:webHidden/>
          </w:rPr>
          <w:t>210</w:t>
        </w:r>
        <w:r w:rsidR="004D2A67">
          <w:rPr>
            <w:webHidden/>
          </w:rPr>
          <w:fldChar w:fldCharType="end"/>
        </w:r>
      </w:hyperlink>
    </w:p>
    <w:p w14:paraId="253CE179" w14:textId="6DB7CAA5" w:rsidR="004D2A67" w:rsidRDefault="000213E5">
      <w:pPr>
        <w:pStyle w:val="TableofFigures"/>
        <w:rPr>
          <w:rFonts w:asciiTheme="minorHAnsi" w:eastAsiaTheme="minorEastAsia" w:hAnsiTheme="minorHAnsi" w:cstheme="minorBidi"/>
          <w:bCs w:val="0"/>
          <w:sz w:val="22"/>
          <w:szCs w:val="22"/>
          <w:lang w:val="en-AU" w:eastAsia="en-AU"/>
        </w:rPr>
      </w:pPr>
      <w:hyperlink w:anchor="_Toc459332224" w:history="1">
        <w:r w:rsidR="004D2A67" w:rsidRPr="00F6101B">
          <w:rPr>
            <w:rStyle w:val="Hyperlink"/>
          </w:rPr>
          <w:t>Table A3 2: Summary of coefficients of variation (CV, in %) of replicate measurements (N) of a standard or reference material.</w:t>
        </w:r>
        <w:r w:rsidR="004D2A67">
          <w:rPr>
            <w:webHidden/>
          </w:rPr>
          <w:tab/>
        </w:r>
        <w:r w:rsidR="004D2A67">
          <w:rPr>
            <w:webHidden/>
          </w:rPr>
          <w:fldChar w:fldCharType="begin"/>
        </w:r>
        <w:r w:rsidR="004D2A67">
          <w:rPr>
            <w:webHidden/>
          </w:rPr>
          <w:instrText xml:space="preserve"> PAGEREF _Toc459332224 \h </w:instrText>
        </w:r>
        <w:r w:rsidR="004D2A67">
          <w:rPr>
            <w:webHidden/>
          </w:rPr>
        </w:r>
        <w:r w:rsidR="004D2A67">
          <w:rPr>
            <w:webHidden/>
          </w:rPr>
          <w:fldChar w:fldCharType="separate"/>
        </w:r>
        <w:r w:rsidR="007F5336">
          <w:rPr>
            <w:webHidden/>
          </w:rPr>
          <w:t>211</w:t>
        </w:r>
        <w:r w:rsidR="004D2A67">
          <w:rPr>
            <w:webHidden/>
          </w:rPr>
          <w:fldChar w:fldCharType="end"/>
        </w:r>
      </w:hyperlink>
    </w:p>
    <w:p w14:paraId="2BA2AA43" w14:textId="1ABBE13F" w:rsidR="004D2A67" w:rsidRDefault="000213E5">
      <w:pPr>
        <w:pStyle w:val="TableofFigures"/>
        <w:rPr>
          <w:rFonts w:asciiTheme="minorHAnsi" w:eastAsiaTheme="minorEastAsia" w:hAnsiTheme="minorHAnsi" w:cstheme="minorBidi"/>
          <w:bCs w:val="0"/>
          <w:sz w:val="22"/>
          <w:szCs w:val="22"/>
          <w:lang w:val="en-AU" w:eastAsia="en-AU"/>
        </w:rPr>
      </w:pPr>
      <w:hyperlink w:anchor="_Toc459332225" w:history="1">
        <w:r w:rsidR="004D2A67" w:rsidRPr="00F6101B">
          <w:rPr>
            <w:rStyle w:val="Hyperlink"/>
          </w:rPr>
          <w:t>Table A3 3: Summary of average recovery of known analyte concentrations.</w:t>
        </w:r>
        <w:r w:rsidR="004D2A67">
          <w:rPr>
            <w:webHidden/>
          </w:rPr>
          <w:tab/>
        </w:r>
        <w:r w:rsidR="004D2A67">
          <w:rPr>
            <w:webHidden/>
          </w:rPr>
          <w:fldChar w:fldCharType="begin"/>
        </w:r>
        <w:r w:rsidR="004D2A67">
          <w:rPr>
            <w:webHidden/>
          </w:rPr>
          <w:instrText xml:space="preserve"> PAGEREF _Toc459332225 \h </w:instrText>
        </w:r>
        <w:r w:rsidR="004D2A67">
          <w:rPr>
            <w:webHidden/>
          </w:rPr>
        </w:r>
        <w:r w:rsidR="004D2A67">
          <w:rPr>
            <w:webHidden/>
          </w:rPr>
          <w:fldChar w:fldCharType="separate"/>
        </w:r>
        <w:r w:rsidR="007F5336">
          <w:rPr>
            <w:webHidden/>
          </w:rPr>
          <w:t>212</w:t>
        </w:r>
        <w:r w:rsidR="004D2A67">
          <w:rPr>
            <w:webHidden/>
          </w:rPr>
          <w:fldChar w:fldCharType="end"/>
        </w:r>
      </w:hyperlink>
    </w:p>
    <w:p w14:paraId="1A6A94E0" w14:textId="4DFBD480" w:rsidR="004D2A67" w:rsidRDefault="000213E5">
      <w:pPr>
        <w:pStyle w:val="TableofFigures"/>
        <w:rPr>
          <w:rFonts w:asciiTheme="minorHAnsi" w:eastAsiaTheme="minorEastAsia" w:hAnsiTheme="minorHAnsi" w:cstheme="minorBidi"/>
          <w:bCs w:val="0"/>
          <w:sz w:val="22"/>
          <w:szCs w:val="22"/>
          <w:lang w:val="en-AU" w:eastAsia="en-AU"/>
        </w:rPr>
      </w:pPr>
      <w:hyperlink w:anchor="_Toc459332226" w:history="1">
        <w:r w:rsidR="004D2A67" w:rsidRPr="00F6101B">
          <w:rPr>
            <w:rStyle w:val="Hyperlink"/>
          </w:rPr>
          <w:t>Table A3 4: Summary of average Z-scores of replicate measurements (N) of a standard or reference material.</w:t>
        </w:r>
        <w:r w:rsidR="004D2A67">
          <w:rPr>
            <w:webHidden/>
          </w:rPr>
          <w:tab/>
        </w:r>
        <w:r w:rsidR="004D2A67">
          <w:rPr>
            <w:webHidden/>
          </w:rPr>
          <w:fldChar w:fldCharType="begin"/>
        </w:r>
        <w:r w:rsidR="004D2A67">
          <w:rPr>
            <w:webHidden/>
          </w:rPr>
          <w:instrText xml:space="preserve"> PAGEREF _Toc459332226 \h </w:instrText>
        </w:r>
        <w:r w:rsidR="004D2A67">
          <w:rPr>
            <w:webHidden/>
          </w:rPr>
        </w:r>
        <w:r w:rsidR="004D2A67">
          <w:rPr>
            <w:webHidden/>
          </w:rPr>
          <w:fldChar w:fldCharType="separate"/>
        </w:r>
        <w:r w:rsidR="007F5336">
          <w:rPr>
            <w:webHidden/>
          </w:rPr>
          <w:t>212</w:t>
        </w:r>
        <w:r w:rsidR="004D2A67">
          <w:rPr>
            <w:webHidden/>
          </w:rPr>
          <w:fldChar w:fldCharType="end"/>
        </w:r>
      </w:hyperlink>
    </w:p>
    <w:p w14:paraId="05DE0243" w14:textId="07896A09" w:rsidR="004D2A67" w:rsidRDefault="000213E5">
      <w:pPr>
        <w:pStyle w:val="TableofFigures"/>
        <w:rPr>
          <w:rFonts w:asciiTheme="minorHAnsi" w:eastAsiaTheme="minorEastAsia" w:hAnsiTheme="minorHAnsi" w:cstheme="minorBidi"/>
          <w:bCs w:val="0"/>
          <w:sz w:val="22"/>
          <w:szCs w:val="22"/>
          <w:lang w:val="en-AU" w:eastAsia="en-AU"/>
        </w:rPr>
      </w:pPr>
      <w:hyperlink w:anchor="_Toc459332227" w:history="1">
        <w:r w:rsidR="004D2A67" w:rsidRPr="00F6101B">
          <w:rPr>
            <w:rStyle w:val="Hyperlink"/>
          </w:rPr>
          <w:t>Table A3 5: Comparison of instrument readings of wet filter blanks to actual sample readings</w:t>
        </w:r>
        <w:r w:rsidR="004D2A67">
          <w:rPr>
            <w:webHidden/>
          </w:rPr>
          <w:tab/>
        </w:r>
        <w:r w:rsidR="004D2A67">
          <w:rPr>
            <w:webHidden/>
          </w:rPr>
          <w:fldChar w:fldCharType="begin"/>
        </w:r>
        <w:r w:rsidR="004D2A67">
          <w:rPr>
            <w:webHidden/>
          </w:rPr>
          <w:instrText xml:space="preserve"> PAGEREF _Toc459332227 \h </w:instrText>
        </w:r>
        <w:r w:rsidR="004D2A67">
          <w:rPr>
            <w:webHidden/>
          </w:rPr>
        </w:r>
        <w:r w:rsidR="004D2A67">
          <w:rPr>
            <w:webHidden/>
          </w:rPr>
          <w:fldChar w:fldCharType="separate"/>
        </w:r>
        <w:r w:rsidR="007F5336">
          <w:rPr>
            <w:webHidden/>
          </w:rPr>
          <w:t>213</w:t>
        </w:r>
        <w:r w:rsidR="004D2A67">
          <w:rPr>
            <w:webHidden/>
          </w:rPr>
          <w:fldChar w:fldCharType="end"/>
        </w:r>
      </w:hyperlink>
    </w:p>
    <w:p w14:paraId="5F22ECD0" w14:textId="77777777" w:rsidR="00725F21" w:rsidRDefault="00EB33A6" w:rsidP="00590307">
      <w:pPr>
        <w:rPr>
          <w:rFonts w:cs="Arial"/>
          <w:sz w:val="20"/>
          <w:lang w:val="en-AU"/>
        </w:rPr>
      </w:pPr>
      <w:r>
        <w:rPr>
          <w:rFonts w:cs="Arial"/>
          <w:sz w:val="20"/>
          <w:lang w:val="en-AU"/>
        </w:rPr>
        <w:fldChar w:fldCharType="end"/>
      </w:r>
    </w:p>
    <w:p w14:paraId="5E0D95DF" w14:textId="76B103E5" w:rsidR="004D2A67" w:rsidRDefault="00EB33A6">
      <w:pPr>
        <w:pStyle w:val="TableofFigures"/>
        <w:rPr>
          <w:rFonts w:asciiTheme="minorHAnsi" w:eastAsiaTheme="minorEastAsia" w:hAnsiTheme="minorHAnsi" w:cstheme="minorBidi"/>
          <w:bCs w:val="0"/>
          <w:sz w:val="22"/>
          <w:szCs w:val="22"/>
          <w:lang w:val="en-AU" w:eastAsia="en-AU"/>
        </w:rPr>
      </w:pPr>
      <w:r>
        <w:rPr>
          <w:rFonts w:cs="Arial"/>
          <w:lang w:val="en-AU"/>
        </w:rPr>
        <w:fldChar w:fldCharType="begin"/>
      </w:r>
      <w:r w:rsidR="00725F21">
        <w:rPr>
          <w:rFonts w:cs="Arial"/>
          <w:lang w:val="en-AU"/>
        </w:rPr>
        <w:instrText xml:space="preserve"> TOC \h \z \c "Figure A3" </w:instrText>
      </w:r>
      <w:r>
        <w:rPr>
          <w:rFonts w:cs="Arial"/>
          <w:lang w:val="en-AU"/>
        </w:rPr>
        <w:fldChar w:fldCharType="separate"/>
      </w:r>
      <w:hyperlink w:anchor="_Toc459332228" w:history="1">
        <w:r w:rsidR="004D2A67" w:rsidRPr="00BA6CF0">
          <w:rPr>
            <w:rStyle w:val="Hyperlink"/>
          </w:rPr>
          <w:t>Figure A3 1: Match-up of instrument readings of turbidity (NTU) from field deployments of WET Labs Eco FLNTUSB Combination Fluorometer and Turbidity Sensors with values from standard laboratory analysis of concurrently collected water samples.</w:t>
        </w:r>
        <w:r w:rsidR="004D2A67">
          <w:rPr>
            <w:webHidden/>
          </w:rPr>
          <w:tab/>
        </w:r>
        <w:r w:rsidR="004D2A67">
          <w:rPr>
            <w:webHidden/>
          </w:rPr>
          <w:fldChar w:fldCharType="begin"/>
        </w:r>
        <w:r w:rsidR="004D2A67">
          <w:rPr>
            <w:webHidden/>
          </w:rPr>
          <w:instrText xml:space="preserve"> PAGEREF _Toc459332228 \h </w:instrText>
        </w:r>
        <w:r w:rsidR="004D2A67">
          <w:rPr>
            <w:webHidden/>
          </w:rPr>
        </w:r>
        <w:r w:rsidR="004D2A67">
          <w:rPr>
            <w:webHidden/>
          </w:rPr>
          <w:fldChar w:fldCharType="separate"/>
        </w:r>
        <w:r w:rsidR="007F5336">
          <w:rPr>
            <w:webHidden/>
          </w:rPr>
          <w:t>214</w:t>
        </w:r>
        <w:r w:rsidR="004D2A67">
          <w:rPr>
            <w:webHidden/>
          </w:rPr>
          <w:fldChar w:fldCharType="end"/>
        </w:r>
      </w:hyperlink>
    </w:p>
    <w:p w14:paraId="5F22ECD2" w14:textId="77777777" w:rsidR="00725F21" w:rsidRPr="008467AA" w:rsidRDefault="00EB33A6" w:rsidP="00590307">
      <w:pPr>
        <w:rPr>
          <w:rFonts w:cs="Arial"/>
          <w:sz w:val="20"/>
          <w:lang w:val="en-AU"/>
        </w:rPr>
      </w:pPr>
      <w:r>
        <w:rPr>
          <w:rFonts w:cs="Arial"/>
          <w:sz w:val="20"/>
          <w:lang w:val="en-AU"/>
        </w:rPr>
        <w:fldChar w:fldCharType="end"/>
      </w:r>
    </w:p>
    <w:p w14:paraId="5F22ECD3" w14:textId="77777777" w:rsidR="008C5312" w:rsidRPr="008467AA" w:rsidRDefault="008C5312" w:rsidP="003631D3">
      <w:pPr>
        <w:ind w:left="284" w:hanging="284"/>
        <w:rPr>
          <w:color w:val="0070C0"/>
          <w:lang w:val="en-AU"/>
        </w:rPr>
      </w:pPr>
    </w:p>
    <w:p w14:paraId="5F22ECD4" w14:textId="77777777" w:rsidR="008C5312" w:rsidRPr="008467AA" w:rsidRDefault="008C5312" w:rsidP="003631D3">
      <w:pPr>
        <w:ind w:left="284" w:hanging="284"/>
        <w:rPr>
          <w:color w:val="0070C0"/>
          <w:lang w:val="en-AU"/>
        </w:rPr>
        <w:sectPr w:rsidR="008C5312" w:rsidRPr="008467AA" w:rsidSect="00AB3744">
          <w:headerReference w:type="even" r:id="rId288"/>
          <w:footerReference w:type="default" r:id="rId289"/>
          <w:headerReference w:type="first" r:id="rId290"/>
          <w:type w:val="nextColumn"/>
          <w:pgSz w:w="11907" w:h="16840" w:code="9"/>
          <w:pgMar w:top="1440" w:right="1418" w:bottom="1440" w:left="1418" w:header="862" w:footer="720" w:gutter="0"/>
          <w:pgNumType w:fmt="lowerRoman"/>
          <w:cols w:space="720"/>
        </w:sectPr>
      </w:pPr>
    </w:p>
    <w:p w14:paraId="5F22ECD5" w14:textId="77777777" w:rsidR="00654FD5" w:rsidRPr="00F65073" w:rsidRDefault="00654FD5" w:rsidP="00C27BEB">
      <w:pPr>
        <w:pStyle w:val="Heading1"/>
      </w:pPr>
      <w:bookmarkStart w:id="5" w:name="_Toc330115298"/>
      <w:bookmarkStart w:id="6" w:name="_Toc330177377"/>
      <w:bookmarkStart w:id="7" w:name="_Toc330177721"/>
      <w:bookmarkStart w:id="8" w:name="_Toc330191319"/>
      <w:bookmarkStart w:id="9" w:name="_Toc330281932"/>
      <w:bookmarkStart w:id="10" w:name="_Toc436082059"/>
      <w:bookmarkStart w:id="11" w:name="_Toc436913463"/>
      <w:bookmarkStart w:id="12" w:name="_Toc462307420"/>
      <w:bookmarkEnd w:id="2"/>
      <w:bookmarkEnd w:id="3"/>
      <w:r w:rsidRPr="00F65073">
        <w:lastRenderedPageBreak/>
        <w:t xml:space="preserve">Executive </w:t>
      </w:r>
      <w:r w:rsidRPr="00830830">
        <w:t>Summary</w:t>
      </w:r>
      <w:bookmarkEnd w:id="5"/>
      <w:bookmarkEnd w:id="6"/>
      <w:bookmarkEnd w:id="7"/>
      <w:bookmarkEnd w:id="8"/>
      <w:bookmarkEnd w:id="9"/>
      <w:bookmarkEnd w:id="10"/>
      <w:bookmarkEnd w:id="11"/>
      <w:bookmarkEnd w:id="12"/>
    </w:p>
    <w:p w14:paraId="5F22ECD6" w14:textId="77777777" w:rsidR="007039A3" w:rsidRPr="00CD2D89" w:rsidRDefault="007039A3" w:rsidP="00CD2D89">
      <w:pPr>
        <w:pStyle w:val="Heading2"/>
      </w:pPr>
      <w:bookmarkStart w:id="13" w:name="_Toc462307421"/>
      <w:r w:rsidRPr="00CD2D89">
        <w:t>The program</w:t>
      </w:r>
      <w:bookmarkEnd w:id="13"/>
    </w:p>
    <w:p w14:paraId="78761DB0" w14:textId="56E8C74C" w:rsidR="00124F1B" w:rsidRDefault="00317599" w:rsidP="00BD272C">
      <w:pPr>
        <w:rPr>
          <w:i/>
          <w:lang w:val="en-AU"/>
        </w:rPr>
      </w:pPr>
      <w:r w:rsidRPr="00F65073">
        <w:rPr>
          <w:lang w:val="en-AU"/>
        </w:rPr>
        <w:t>The management of water quality remains an essential requirement to ensure the long-term protection of the coastal and inshore ecosystems of the Great Barrier Reef (GBR)</w:t>
      </w:r>
      <w:r w:rsidR="00471D40">
        <w:rPr>
          <w:lang w:val="en-AU"/>
        </w:rPr>
        <w:t xml:space="preserve"> </w:t>
      </w:r>
      <w:r w:rsidR="003E6F68">
        <w:rPr>
          <w:lang w:val="en-AU"/>
        </w:rPr>
        <w:t>(Commonwealth of Australia, 2015)</w:t>
      </w:r>
      <w:r w:rsidRPr="00F65073">
        <w:rPr>
          <w:lang w:val="en-AU"/>
        </w:rPr>
        <w:t>. The land management initiatives under the Australian and Queensland Government's Reef Water Quality Protection Plan (Reef Plan)</w:t>
      </w:r>
      <w:r w:rsidR="00077237">
        <w:rPr>
          <w:lang w:val="en-AU"/>
        </w:rPr>
        <w:t xml:space="preserve"> and the Reef 2050 </w:t>
      </w:r>
      <w:r w:rsidR="00124F1B">
        <w:rPr>
          <w:lang w:val="en-AU"/>
        </w:rPr>
        <w:t xml:space="preserve">Long Term Sustainability </w:t>
      </w:r>
      <w:r w:rsidR="00077237">
        <w:rPr>
          <w:lang w:val="en-AU"/>
        </w:rPr>
        <w:t>Plan</w:t>
      </w:r>
      <w:r w:rsidRPr="00F65073">
        <w:rPr>
          <w:lang w:val="en-AU"/>
        </w:rPr>
        <w:t xml:space="preserve"> </w:t>
      </w:r>
      <w:r w:rsidR="00124F1B">
        <w:rPr>
          <w:lang w:val="en-AU"/>
        </w:rPr>
        <w:t xml:space="preserve">(Reef 2050 Plan) </w:t>
      </w:r>
      <w:r w:rsidRPr="00F65073">
        <w:rPr>
          <w:lang w:val="en-AU"/>
        </w:rPr>
        <w:t xml:space="preserve">are key </w:t>
      </w:r>
      <w:r w:rsidR="00077237">
        <w:rPr>
          <w:lang w:val="en-AU"/>
        </w:rPr>
        <w:t>actions</w:t>
      </w:r>
      <w:r w:rsidR="00077237" w:rsidRPr="00F65073">
        <w:rPr>
          <w:lang w:val="en-AU"/>
        </w:rPr>
        <w:t xml:space="preserve"> </w:t>
      </w:r>
      <w:r w:rsidRPr="00F65073">
        <w:rPr>
          <w:lang w:val="en-AU"/>
        </w:rPr>
        <w:t>to improve the water quality entering the GBR</w:t>
      </w:r>
      <w:r w:rsidR="009F31F5">
        <w:rPr>
          <w:lang w:val="en-AU"/>
        </w:rPr>
        <w:t>. The goal of Reef Plan is</w:t>
      </w:r>
      <w:r w:rsidRPr="00F65073">
        <w:rPr>
          <w:lang w:val="en-AU"/>
        </w:rPr>
        <w:t xml:space="preserve"> </w:t>
      </w:r>
      <w:r w:rsidRPr="00F65073">
        <w:rPr>
          <w:i/>
          <w:lang w:val="en-AU"/>
        </w:rPr>
        <w:t xml:space="preserve">“To ensure that by 2020 the quality of water entering the reef from broadscale land use has no detrimental impact on the health and resilience of the Great Barrier Reef.” </w:t>
      </w:r>
    </w:p>
    <w:p w14:paraId="5F22ECD7" w14:textId="3B3286F4" w:rsidR="00317599" w:rsidRPr="00F65073" w:rsidRDefault="00317599" w:rsidP="00BD272C">
      <w:pPr>
        <w:rPr>
          <w:lang w:val="en-AU"/>
        </w:rPr>
      </w:pPr>
      <w:r w:rsidRPr="00F65073">
        <w:rPr>
          <w:lang w:val="en-AU"/>
        </w:rPr>
        <w:t xml:space="preserve">This report summarises the results of water quality monitoring activities, carried out by the Australian Institute of Marine Science </w:t>
      </w:r>
      <w:r w:rsidR="00124F1B">
        <w:rPr>
          <w:lang w:val="en-AU"/>
        </w:rPr>
        <w:t xml:space="preserve">(AIMS) </w:t>
      </w:r>
      <w:r w:rsidR="00BE0DB8" w:rsidRPr="00F65073">
        <w:rPr>
          <w:lang w:val="en-AU"/>
        </w:rPr>
        <w:t xml:space="preserve">and James Cook University </w:t>
      </w:r>
      <w:r w:rsidR="00124F1B">
        <w:rPr>
          <w:lang w:val="en-AU"/>
        </w:rPr>
        <w:t xml:space="preserve">(JCU) </w:t>
      </w:r>
      <w:r w:rsidRPr="00F65073">
        <w:rPr>
          <w:lang w:val="en-AU"/>
        </w:rPr>
        <w:t xml:space="preserve">as part of the Marine Monitoring Program (MMP) </w:t>
      </w:r>
      <w:r w:rsidR="002E3FC9">
        <w:rPr>
          <w:lang w:val="en-AU"/>
        </w:rPr>
        <w:t xml:space="preserve">in 2014-15, with reference to previous data </w:t>
      </w:r>
      <w:r w:rsidRPr="00F65073">
        <w:rPr>
          <w:lang w:val="en-AU"/>
        </w:rPr>
        <w:t>from 2005 to 201</w:t>
      </w:r>
      <w:r w:rsidR="002E3FC9">
        <w:rPr>
          <w:lang w:val="en-AU"/>
        </w:rPr>
        <w:t>4</w:t>
      </w:r>
      <w:r w:rsidRPr="00F65073">
        <w:rPr>
          <w:lang w:val="en-AU"/>
        </w:rPr>
        <w:t>.</w:t>
      </w:r>
      <w:r w:rsidR="006E4422" w:rsidRPr="00F65073">
        <w:rPr>
          <w:lang w:val="en-AU"/>
        </w:rPr>
        <w:t xml:space="preserve"> </w:t>
      </w:r>
    </w:p>
    <w:p w14:paraId="5F22ECD8" w14:textId="77777777" w:rsidR="00317599" w:rsidRPr="008617A0" w:rsidRDefault="00317599" w:rsidP="008617A0">
      <w:pPr>
        <w:pStyle w:val="Heading2"/>
        <w:rPr>
          <w:rStyle w:val="Heading20"/>
        </w:rPr>
      </w:pPr>
      <w:bookmarkStart w:id="14" w:name="_Toc334990031"/>
      <w:bookmarkStart w:id="15" w:name="_Toc334990234"/>
      <w:bookmarkStart w:id="16" w:name="_Toc393133558"/>
      <w:bookmarkStart w:id="17" w:name="_Toc406143725"/>
      <w:bookmarkStart w:id="18" w:name="_Toc462307422"/>
      <w:r w:rsidRPr="008617A0">
        <w:rPr>
          <w:rStyle w:val="Heading20"/>
        </w:rPr>
        <w:t>Methods</w:t>
      </w:r>
      <w:bookmarkEnd w:id="14"/>
      <w:bookmarkEnd w:id="15"/>
      <w:bookmarkEnd w:id="16"/>
      <w:bookmarkEnd w:id="17"/>
      <w:bookmarkEnd w:id="18"/>
      <w:r w:rsidRPr="008617A0">
        <w:rPr>
          <w:rStyle w:val="Heading20"/>
        </w:rPr>
        <w:t xml:space="preserve"> </w:t>
      </w:r>
    </w:p>
    <w:p w14:paraId="5F22ECDA" w14:textId="324A6FA9" w:rsidR="00F65073" w:rsidRDefault="00317599" w:rsidP="00BD272C">
      <w:pPr>
        <w:rPr>
          <w:lang w:val="en-AU"/>
        </w:rPr>
      </w:pPr>
      <w:r w:rsidRPr="00F65073">
        <w:rPr>
          <w:rFonts w:eastAsia="MS Mincho"/>
          <w:lang w:val="en-AU"/>
        </w:rPr>
        <w:t xml:space="preserve">The </w:t>
      </w:r>
      <w:r w:rsidR="00B161BF" w:rsidRPr="00F65073">
        <w:rPr>
          <w:rFonts w:eastAsia="MS Mincho"/>
          <w:lang w:val="en-AU"/>
        </w:rPr>
        <w:t>objective</w:t>
      </w:r>
      <w:r w:rsidRPr="00F65073">
        <w:rPr>
          <w:rFonts w:eastAsia="MS Mincho"/>
          <w:lang w:val="en-AU"/>
        </w:rPr>
        <w:t xml:space="preserve"> of the MMP is to </w:t>
      </w:r>
      <w:r w:rsidR="00B161BF" w:rsidRPr="00F65073">
        <w:rPr>
          <w:lang w:val="en-AU"/>
        </w:rPr>
        <w:t xml:space="preserve">assess trends in ecosystem health and resilience indicators for the </w:t>
      </w:r>
      <w:r w:rsidR="00124F1B">
        <w:rPr>
          <w:lang w:val="en-AU"/>
        </w:rPr>
        <w:t>GBR</w:t>
      </w:r>
      <w:r w:rsidR="00B161BF" w:rsidRPr="00F65073">
        <w:rPr>
          <w:lang w:val="en-AU"/>
        </w:rPr>
        <w:t xml:space="preserve"> in relation to water quality and its linkages to end-of-catchment loads</w:t>
      </w:r>
      <w:r w:rsidRPr="00F65073">
        <w:rPr>
          <w:rFonts w:eastAsia="MS Mincho"/>
          <w:lang w:val="en-AU"/>
        </w:rPr>
        <w:t xml:space="preserve">. </w:t>
      </w:r>
      <w:r w:rsidR="003E6F68">
        <w:rPr>
          <w:rFonts w:eastAsia="MS Mincho"/>
          <w:lang w:val="en-AU"/>
        </w:rPr>
        <w:t>The focus of this report is</w:t>
      </w:r>
      <w:r w:rsidR="003E6F68">
        <w:t xml:space="preserve"> on </w:t>
      </w:r>
      <w:r w:rsidR="003E6F68" w:rsidRPr="00096E43">
        <w:t>assess</w:t>
      </w:r>
      <w:r w:rsidR="003E6F68">
        <w:t>ing</w:t>
      </w:r>
      <w:r w:rsidR="003E6F68" w:rsidRPr="00096E43">
        <w:t xml:space="preserve"> temporal and spatial trends in inshore marine water quality</w:t>
      </w:r>
      <w:r w:rsidR="00124F1B">
        <w:t>,</w:t>
      </w:r>
      <w:r w:rsidR="003E6F68" w:rsidRPr="00096E43">
        <w:t xml:space="preserve"> and</w:t>
      </w:r>
      <w:r w:rsidR="003E6F68">
        <w:t xml:space="preserve"> linking </w:t>
      </w:r>
      <w:r w:rsidR="00BF4890">
        <w:t xml:space="preserve">river discharge and </w:t>
      </w:r>
      <w:r w:rsidR="003E6F68" w:rsidRPr="00096E43">
        <w:t>pollutant concentrations to end-of-catchment loads</w:t>
      </w:r>
      <w:r w:rsidR="003E6F68">
        <w:t>.</w:t>
      </w:r>
      <w:r w:rsidR="003E6F68" w:rsidRPr="00F65073">
        <w:rPr>
          <w:lang w:val="en-AU"/>
        </w:rPr>
        <w:t xml:space="preserve"> </w:t>
      </w:r>
      <w:r w:rsidRPr="00F65073">
        <w:rPr>
          <w:lang w:val="en-AU"/>
        </w:rPr>
        <w:t xml:space="preserve">The </w:t>
      </w:r>
      <w:r w:rsidR="00B161BF" w:rsidRPr="00F65073">
        <w:rPr>
          <w:rFonts w:eastAsia="MS Mincho"/>
          <w:lang w:val="en-AU"/>
        </w:rPr>
        <w:t xml:space="preserve">inshore water quality monitoring component </w:t>
      </w:r>
      <w:r w:rsidR="00124F1B">
        <w:rPr>
          <w:lang w:val="en-AU"/>
        </w:rPr>
        <w:t>is designed</w:t>
      </w:r>
      <w:r w:rsidRPr="00F65073">
        <w:rPr>
          <w:lang w:val="en-AU"/>
        </w:rPr>
        <w:t xml:space="preserve"> for the detection of change in </w:t>
      </w:r>
      <w:r w:rsidR="006E4422" w:rsidRPr="00F65073">
        <w:rPr>
          <w:lang w:val="en-AU"/>
        </w:rPr>
        <w:t xml:space="preserve">the inshore GBR lagoon in response to </w:t>
      </w:r>
      <w:r w:rsidR="00124F1B">
        <w:rPr>
          <w:lang w:val="en-AU"/>
        </w:rPr>
        <w:t xml:space="preserve">changes in </w:t>
      </w:r>
      <w:r w:rsidR="00456967" w:rsidRPr="00F65073">
        <w:rPr>
          <w:lang w:val="en-AU"/>
        </w:rPr>
        <w:t>end</w:t>
      </w:r>
      <w:r w:rsidR="00456967">
        <w:rPr>
          <w:lang w:val="en-AU"/>
        </w:rPr>
        <w:t>-</w:t>
      </w:r>
      <w:r w:rsidR="00456967" w:rsidRPr="00F65073">
        <w:rPr>
          <w:lang w:val="en-AU"/>
        </w:rPr>
        <w:t>of</w:t>
      </w:r>
      <w:r w:rsidR="00456967">
        <w:rPr>
          <w:lang w:val="en-AU"/>
        </w:rPr>
        <w:t>-</w:t>
      </w:r>
      <w:r w:rsidR="00BE0DB8" w:rsidRPr="00F65073">
        <w:rPr>
          <w:lang w:val="en-AU"/>
        </w:rPr>
        <w:t>catchment loads</w:t>
      </w:r>
      <w:r w:rsidRPr="00F65073">
        <w:rPr>
          <w:lang w:val="en-AU"/>
        </w:rPr>
        <w:t xml:space="preserve">. </w:t>
      </w:r>
      <w:r w:rsidR="00483B38" w:rsidRPr="00F65073">
        <w:rPr>
          <w:lang w:val="en-AU"/>
        </w:rPr>
        <w:t>Until the end of 2014</w:t>
      </w:r>
      <w:r w:rsidR="006E4422" w:rsidRPr="00F65073">
        <w:rPr>
          <w:lang w:val="en-AU"/>
        </w:rPr>
        <w:t xml:space="preserve">, water quality monitoring </w:t>
      </w:r>
      <w:r w:rsidR="009237E6">
        <w:rPr>
          <w:lang w:val="en-AU"/>
        </w:rPr>
        <w:t>for a range of water quality parameters included total suspended solids and dissolved and partic</w:t>
      </w:r>
      <w:r w:rsidR="007772AC">
        <w:rPr>
          <w:lang w:val="en-AU"/>
        </w:rPr>
        <w:t xml:space="preserve">ulate nutrients </w:t>
      </w:r>
      <w:r w:rsidR="006E4422" w:rsidRPr="00F65073">
        <w:rPr>
          <w:lang w:val="en-AU"/>
        </w:rPr>
        <w:t>was carried out in</w:t>
      </w:r>
      <w:r w:rsidR="00483B38" w:rsidRPr="00F65073">
        <w:rPr>
          <w:lang w:val="en-AU"/>
        </w:rPr>
        <w:t xml:space="preserve"> four Natural Resource Management (NRM) regions: Wet Tropics (comprising three sub-regions), Burdekin, Mackay Whitsunday </w:t>
      </w:r>
      <w:r w:rsidR="006E4422" w:rsidRPr="00F65073">
        <w:rPr>
          <w:lang w:val="en-AU"/>
        </w:rPr>
        <w:t xml:space="preserve">and </w:t>
      </w:r>
      <w:r w:rsidR="00483B38" w:rsidRPr="00F65073">
        <w:rPr>
          <w:lang w:val="en-AU"/>
        </w:rPr>
        <w:t>Fitzroy</w:t>
      </w:r>
      <w:r w:rsidR="00483B38" w:rsidRPr="00F65073">
        <w:rPr>
          <w:rFonts w:ascii="Helvetica" w:hAnsi="Helvetica" w:cs="Helvetica"/>
          <w:lang w:val="en-AU"/>
        </w:rPr>
        <w:t xml:space="preserve">. </w:t>
      </w:r>
      <w:r w:rsidR="006E4422" w:rsidRPr="00F65073">
        <w:rPr>
          <w:rFonts w:ascii="Helvetica" w:hAnsi="Helvetica" w:cs="Helvetica"/>
          <w:lang w:val="en-AU"/>
        </w:rPr>
        <w:t>After a review of the program</w:t>
      </w:r>
      <w:r w:rsidR="00124F1B">
        <w:rPr>
          <w:rFonts w:ascii="Helvetica" w:hAnsi="Helvetica" w:cs="Helvetica"/>
          <w:lang w:val="en-AU"/>
        </w:rPr>
        <w:t xml:space="preserve"> in 2013 and 2014</w:t>
      </w:r>
      <w:r w:rsidR="006E4422" w:rsidRPr="00F65073">
        <w:rPr>
          <w:rFonts w:ascii="Helvetica" w:hAnsi="Helvetica" w:cs="Helvetica"/>
          <w:lang w:val="en-AU"/>
        </w:rPr>
        <w:t xml:space="preserve">, </w:t>
      </w:r>
      <w:r w:rsidR="00483B38" w:rsidRPr="00F65073">
        <w:rPr>
          <w:rFonts w:ascii="Helvetica" w:hAnsi="Helvetica" w:cs="Helvetica"/>
          <w:lang w:val="en-AU"/>
        </w:rPr>
        <w:t xml:space="preserve">a new sampling design was adopted </w:t>
      </w:r>
      <w:r w:rsidR="006E4422" w:rsidRPr="00F65073">
        <w:rPr>
          <w:rFonts w:ascii="Helvetica" w:hAnsi="Helvetica" w:cs="Helvetica"/>
          <w:lang w:val="en-AU"/>
        </w:rPr>
        <w:t>in 2015 and</w:t>
      </w:r>
      <w:r w:rsidR="00483B38" w:rsidRPr="00F65073">
        <w:rPr>
          <w:rFonts w:ascii="Helvetica" w:hAnsi="Helvetica" w:cs="Helvetica"/>
          <w:lang w:val="en-AU"/>
        </w:rPr>
        <w:t xml:space="preserve"> </w:t>
      </w:r>
      <w:r w:rsidR="003E6F68">
        <w:rPr>
          <w:rFonts w:ascii="Helvetica" w:hAnsi="Helvetica" w:cs="Helvetica"/>
          <w:lang w:val="en-AU"/>
        </w:rPr>
        <w:t xml:space="preserve">more intensive </w:t>
      </w:r>
      <w:r w:rsidR="00483B38" w:rsidRPr="00F65073">
        <w:rPr>
          <w:rFonts w:ascii="Helvetica" w:hAnsi="Helvetica" w:cs="Helvetica"/>
          <w:lang w:val="en-AU"/>
        </w:rPr>
        <w:t xml:space="preserve">sampling was </w:t>
      </w:r>
      <w:r w:rsidR="0065355B">
        <w:rPr>
          <w:rFonts w:ascii="Helvetica" w:hAnsi="Helvetica" w:cs="Helvetica"/>
          <w:lang w:val="en-AU"/>
        </w:rPr>
        <w:t>focussed</w:t>
      </w:r>
      <w:r w:rsidR="00483B38" w:rsidRPr="00F65073">
        <w:rPr>
          <w:rFonts w:ascii="Helvetica" w:hAnsi="Helvetica" w:cs="Helvetica"/>
          <w:lang w:val="en-AU"/>
        </w:rPr>
        <w:t xml:space="preserve"> in three NRM regions: </w:t>
      </w:r>
      <w:r w:rsidR="00483B38" w:rsidRPr="00F65073">
        <w:rPr>
          <w:lang w:val="en-AU"/>
        </w:rPr>
        <w:t xml:space="preserve">Wet Tropics (comprising </w:t>
      </w:r>
      <w:r w:rsidR="003E6F68">
        <w:rPr>
          <w:lang w:val="en-AU"/>
        </w:rPr>
        <w:t xml:space="preserve">two </w:t>
      </w:r>
      <w:r w:rsidR="00483B38" w:rsidRPr="00F65073">
        <w:rPr>
          <w:lang w:val="en-AU"/>
        </w:rPr>
        <w:t>sub-regions</w:t>
      </w:r>
      <w:r w:rsidR="006E4422" w:rsidRPr="00F65073">
        <w:rPr>
          <w:lang w:val="en-AU"/>
        </w:rPr>
        <w:t>, or “focus areas”</w:t>
      </w:r>
      <w:r w:rsidR="00483B38" w:rsidRPr="00F65073">
        <w:rPr>
          <w:lang w:val="en-AU"/>
        </w:rPr>
        <w:t>), Burdekin</w:t>
      </w:r>
      <w:r w:rsidR="00456967">
        <w:rPr>
          <w:lang w:val="en-AU"/>
        </w:rPr>
        <w:t xml:space="preserve"> and</w:t>
      </w:r>
      <w:r w:rsidR="00483B38" w:rsidRPr="00F65073">
        <w:rPr>
          <w:lang w:val="en-AU"/>
        </w:rPr>
        <w:t xml:space="preserve"> </w:t>
      </w:r>
      <w:r w:rsidR="00456967" w:rsidRPr="00F65073">
        <w:rPr>
          <w:lang w:val="en-AU"/>
        </w:rPr>
        <w:t>Mackay</w:t>
      </w:r>
      <w:r w:rsidR="002E3FC9">
        <w:rPr>
          <w:lang w:val="en-AU"/>
        </w:rPr>
        <w:t xml:space="preserve"> </w:t>
      </w:r>
      <w:r w:rsidR="00483B38" w:rsidRPr="00F65073">
        <w:rPr>
          <w:lang w:val="en-AU"/>
        </w:rPr>
        <w:t>Whitsunday</w:t>
      </w:r>
      <w:r w:rsidR="006E4422" w:rsidRPr="00F65073">
        <w:rPr>
          <w:lang w:val="en-AU"/>
        </w:rPr>
        <w:t>. As before, sampling locations</w:t>
      </w:r>
      <w:r w:rsidR="00483B38" w:rsidRPr="00F65073">
        <w:rPr>
          <w:lang w:val="en-AU"/>
        </w:rPr>
        <w:t xml:space="preserve"> were </w:t>
      </w:r>
      <w:r w:rsidR="00483B38" w:rsidRPr="00F65073">
        <w:rPr>
          <w:rFonts w:ascii="Helvetica" w:hAnsi="Helvetica" w:cs="Helvetica"/>
          <w:lang w:val="en-AU"/>
        </w:rPr>
        <w:t>selected along gradient</w:t>
      </w:r>
      <w:r w:rsidR="006E4422" w:rsidRPr="00F65073">
        <w:rPr>
          <w:rFonts w:ascii="Helvetica" w:hAnsi="Helvetica" w:cs="Helvetica"/>
          <w:lang w:val="en-AU"/>
        </w:rPr>
        <w:t>s</w:t>
      </w:r>
      <w:r w:rsidR="00483B38" w:rsidRPr="00F65073">
        <w:rPr>
          <w:rFonts w:ascii="Helvetica" w:hAnsi="Helvetica" w:cs="Helvetica"/>
          <w:lang w:val="en-AU"/>
        </w:rPr>
        <w:t xml:space="preserve"> of exposure to </w:t>
      </w:r>
      <w:r w:rsidR="00124F1B">
        <w:rPr>
          <w:rFonts w:ascii="Helvetica" w:hAnsi="Helvetica" w:cs="Helvetica"/>
          <w:lang w:val="en-AU"/>
        </w:rPr>
        <w:t xml:space="preserve">land </w:t>
      </w:r>
      <w:r w:rsidR="00483B38" w:rsidRPr="00F65073">
        <w:rPr>
          <w:rFonts w:ascii="Helvetica" w:hAnsi="Helvetica" w:cs="Helvetica"/>
          <w:lang w:val="en-AU"/>
        </w:rPr>
        <w:t xml:space="preserve">runoff to ensure </w:t>
      </w:r>
      <w:r w:rsidR="006E4422" w:rsidRPr="00F65073">
        <w:rPr>
          <w:rFonts w:ascii="Helvetica" w:hAnsi="Helvetica" w:cs="Helvetica"/>
          <w:lang w:val="en-AU"/>
        </w:rPr>
        <w:t xml:space="preserve">representativeness </w:t>
      </w:r>
      <w:r w:rsidR="00483B38" w:rsidRPr="00F65073">
        <w:rPr>
          <w:rFonts w:ascii="Helvetica" w:hAnsi="Helvetica" w:cs="Helvetica"/>
          <w:lang w:val="en-AU"/>
        </w:rPr>
        <w:t>of a range of environmental conditions.</w:t>
      </w:r>
      <w:r w:rsidR="00BD272C">
        <w:rPr>
          <w:rFonts w:ascii="Helvetica" w:hAnsi="Helvetica" w:cs="Helvetica"/>
          <w:lang w:val="en-AU"/>
        </w:rPr>
        <w:t xml:space="preserve"> </w:t>
      </w:r>
      <w:r w:rsidR="00483B38" w:rsidRPr="00F65073">
        <w:rPr>
          <w:color w:val="000000" w:themeColor="text1"/>
          <w:lang w:val="en-AU"/>
        </w:rPr>
        <w:t xml:space="preserve">Sampling of six open water stations along the ‘Cairns </w:t>
      </w:r>
      <w:r w:rsidR="00124F1B" w:rsidRPr="00F65073">
        <w:rPr>
          <w:color w:val="000000" w:themeColor="text1"/>
          <w:lang w:val="en-AU"/>
        </w:rPr>
        <w:t>Transect’</w:t>
      </w:r>
      <w:r w:rsidR="00124F1B">
        <w:rPr>
          <w:color w:val="000000" w:themeColor="text1"/>
          <w:lang w:val="en-AU"/>
        </w:rPr>
        <w:t xml:space="preserve"> </w:t>
      </w:r>
      <w:r w:rsidR="00C8197B">
        <w:rPr>
          <w:color w:val="000000" w:themeColor="text1"/>
          <w:lang w:val="en-AU"/>
        </w:rPr>
        <w:t>is</w:t>
      </w:r>
      <w:r w:rsidR="00483B38" w:rsidRPr="00F65073">
        <w:rPr>
          <w:color w:val="000000" w:themeColor="text1"/>
          <w:lang w:val="en-AU"/>
        </w:rPr>
        <w:t xml:space="preserve"> also continued in the new design for the implicit value of the </w:t>
      </w:r>
      <w:r w:rsidR="00D009F1" w:rsidRPr="00F65073">
        <w:rPr>
          <w:color w:val="000000" w:themeColor="text1"/>
          <w:lang w:val="en-AU"/>
        </w:rPr>
        <w:t xml:space="preserve">long-term </w:t>
      </w:r>
      <w:r w:rsidR="00483B38" w:rsidRPr="00F65073">
        <w:rPr>
          <w:color w:val="000000" w:themeColor="text1"/>
          <w:lang w:val="en-AU"/>
        </w:rPr>
        <w:t>data set it provides</w:t>
      </w:r>
      <w:r w:rsidR="006E4422" w:rsidRPr="00F65073">
        <w:rPr>
          <w:color w:val="000000" w:themeColor="text1"/>
          <w:lang w:val="en-AU"/>
        </w:rPr>
        <w:t>, starting in 1989</w:t>
      </w:r>
      <w:r w:rsidR="00483B38" w:rsidRPr="00F65073">
        <w:rPr>
          <w:color w:val="000000" w:themeColor="text1"/>
          <w:lang w:val="en-AU"/>
        </w:rPr>
        <w:t>.</w:t>
      </w:r>
      <w:r w:rsidRPr="00F65073">
        <w:rPr>
          <w:color w:val="000000" w:themeColor="text1"/>
          <w:lang w:val="en-AU"/>
        </w:rPr>
        <w:t xml:space="preserve"> </w:t>
      </w:r>
      <w:r w:rsidR="003E6F68">
        <w:rPr>
          <w:color w:val="000000" w:themeColor="text1"/>
          <w:lang w:val="en-AU"/>
        </w:rPr>
        <w:t>The revised program design includes monthly sampling</w:t>
      </w:r>
      <w:r w:rsidR="00C8197B">
        <w:rPr>
          <w:color w:val="000000" w:themeColor="text1"/>
          <w:lang w:val="en-AU"/>
        </w:rPr>
        <w:t xml:space="preserve"> of transects in the focus areas</w:t>
      </w:r>
      <w:r w:rsidR="003E6F68">
        <w:rPr>
          <w:color w:val="000000" w:themeColor="text1"/>
          <w:lang w:val="en-AU"/>
        </w:rPr>
        <w:t xml:space="preserve"> year round, with higher frequency sampling in the wet season which also captures flood events.</w:t>
      </w:r>
      <w:r w:rsidR="00C8197B">
        <w:rPr>
          <w:color w:val="000000" w:themeColor="text1"/>
          <w:lang w:val="en-AU"/>
        </w:rPr>
        <w:t xml:space="preserve"> </w:t>
      </w:r>
      <w:r w:rsidR="009E2498" w:rsidRPr="00F65073">
        <w:rPr>
          <w:lang w:val="en-AU"/>
        </w:rPr>
        <w:t xml:space="preserve">The </w:t>
      </w:r>
      <w:r w:rsidR="00D009F1" w:rsidRPr="00F65073">
        <w:rPr>
          <w:lang w:val="en-AU"/>
        </w:rPr>
        <w:t>more frequent sampling in the wet season, combined with analyses of remote sensing data and exposure models</w:t>
      </w:r>
      <w:r w:rsidR="00C8197B">
        <w:rPr>
          <w:lang w:val="en-AU"/>
        </w:rPr>
        <w:t>,</w:t>
      </w:r>
      <w:r w:rsidR="00D009F1" w:rsidRPr="00F65073">
        <w:rPr>
          <w:lang w:val="en-AU"/>
        </w:rPr>
        <w:t xml:space="preserve"> </w:t>
      </w:r>
      <w:r w:rsidR="00C8197B">
        <w:rPr>
          <w:lang w:val="en-AU"/>
        </w:rPr>
        <w:t>provides information</w:t>
      </w:r>
      <w:r w:rsidR="00C8197B" w:rsidRPr="00F65073">
        <w:rPr>
          <w:lang w:val="en-AU"/>
        </w:rPr>
        <w:t xml:space="preserve"> </w:t>
      </w:r>
      <w:r w:rsidR="00BD272C">
        <w:rPr>
          <w:lang w:val="en-AU"/>
        </w:rPr>
        <w:t xml:space="preserve">for </w:t>
      </w:r>
      <w:r w:rsidR="00842CA3" w:rsidRPr="00F65073">
        <w:rPr>
          <w:lang w:val="en-AU"/>
        </w:rPr>
        <w:t>characterising</w:t>
      </w:r>
      <w:r w:rsidR="00D009F1" w:rsidRPr="00F65073">
        <w:rPr>
          <w:lang w:val="en-AU"/>
        </w:rPr>
        <w:t xml:space="preserve"> </w:t>
      </w:r>
      <w:r w:rsidR="009E2498" w:rsidRPr="00F65073">
        <w:rPr>
          <w:lang w:val="en-AU"/>
        </w:rPr>
        <w:t xml:space="preserve">the spatial and temporal variability </w:t>
      </w:r>
      <w:r w:rsidR="00D009F1" w:rsidRPr="00F65073">
        <w:rPr>
          <w:lang w:val="en-AU"/>
        </w:rPr>
        <w:t xml:space="preserve">of land-sourced contaminant transport </w:t>
      </w:r>
      <w:r w:rsidR="009E2498" w:rsidRPr="00F65073">
        <w:rPr>
          <w:lang w:val="en-AU"/>
        </w:rPr>
        <w:t>associated with flood plumes</w:t>
      </w:r>
      <w:r w:rsidR="00D009F1" w:rsidRPr="00F65073">
        <w:rPr>
          <w:lang w:val="en-AU"/>
        </w:rPr>
        <w:t>.</w:t>
      </w:r>
      <w:r w:rsidR="009E2498" w:rsidRPr="00F65073">
        <w:rPr>
          <w:lang w:val="en-AU"/>
        </w:rPr>
        <w:t xml:space="preserve"> </w:t>
      </w:r>
    </w:p>
    <w:p w14:paraId="5F22ECDB" w14:textId="64BB6752" w:rsidR="008C499F" w:rsidRDefault="00B05E41" w:rsidP="00CD2D89">
      <w:pPr>
        <w:pStyle w:val="Heading2"/>
      </w:pPr>
      <w:bookmarkStart w:id="19" w:name="_Toc462307423"/>
      <w:bookmarkStart w:id="20" w:name="_Toc393133559"/>
      <w:bookmarkStart w:id="21" w:name="_Toc406143726"/>
      <w:r>
        <w:t>Drivers, activities, impacts and pressures</w:t>
      </w:r>
      <w:bookmarkEnd w:id="19"/>
    </w:p>
    <w:p w14:paraId="5F22ECDC" w14:textId="467A8DD2" w:rsidR="006A1398" w:rsidRPr="00B10E2E" w:rsidRDefault="006A1398" w:rsidP="0047264A">
      <w:pPr>
        <w:rPr>
          <w:lang w:val="en-AU"/>
        </w:rPr>
      </w:pPr>
      <w:r>
        <w:rPr>
          <w:lang w:val="en-AU"/>
        </w:rPr>
        <w:t xml:space="preserve">The 2014-15 </w:t>
      </w:r>
      <w:r w:rsidRPr="00B10E2E">
        <w:rPr>
          <w:lang w:val="en-AU"/>
        </w:rPr>
        <w:t xml:space="preserve">wet season was characterised </w:t>
      </w:r>
      <w:r>
        <w:rPr>
          <w:lang w:val="en-AU"/>
        </w:rPr>
        <w:t xml:space="preserve">by a late wet season start (mid-January), </w:t>
      </w:r>
      <w:r w:rsidR="003E6F68">
        <w:rPr>
          <w:lang w:val="en-AU"/>
        </w:rPr>
        <w:t xml:space="preserve">with </w:t>
      </w:r>
      <w:r w:rsidRPr="00B10E2E">
        <w:rPr>
          <w:lang w:val="en-AU"/>
        </w:rPr>
        <w:t>below median rainfall and flow</w:t>
      </w:r>
      <w:r w:rsidR="003E6F68">
        <w:rPr>
          <w:lang w:val="en-AU"/>
        </w:rPr>
        <w:t>. The</w:t>
      </w:r>
      <w:r w:rsidR="003955E0">
        <w:rPr>
          <w:lang w:val="en-AU"/>
        </w:rPr>
        <w:t xml:space="preserve"> </w:t>
      </w:r>
      <w:r w:rsidRPr="00B10E2E">
        <w:rPr>
          <w:lang w:val="en-AU"/>
        </w:rPr>
        <w:t xml:space="preserve">total GBR river inputs </w:t>
      </w:r>
      <w:r w:rsidR="003E6F68">
        <w:rPr>
          <w:lang w:val="en-AU"/>
        </w:rPr>
        <w:t>were</w:t>
      </w:r>
      <w:r w:rsidR="003E6F68" w:rsidRPr="00B10E2E">
        <w:rPr>
          <w:lang w:val="en-AU"/>
        </w:rPr>
        <w:t xml:space="preserve"> </w:t>
      </w:r>
      <w:r w:rsidRPr="00B10E2E">
        <w:rPr>
          <w:lang w:val="en-AU"/>
        </w:rPr>
        <w:t xml:space="preserve">less than 800,000 ML, making it the fourth driest year in 15 years. </w:t>
      </w:r>
    </w:p>
    <w:p w14:paraId="5F22ECDD" w14:textId="22DB5763" w:rsidR="002F77BD" w:rsidRDefault="002F77BD" w:rsidP="0047264A">
      <w:pPr>
        <w:rPr>
          <w:lang w:val="en-AU"/>
        </w:rPr>
      </w:pPr>
      <w:r>
        <w:rPr>
          <w:lang w:val="en-AU"/>
        </w:rPr>
        <w:t>Two major cyclones brought intense rainfall to the southern GBR catchment</w:t>
      </w:r>
      <w:r w:rsidR="00600B67">
        <w:rPr>
          <w:lang w:val="en-AU"/>
        </w:rPr>
        <w:t>s</w:t>
      </w:r>
      <w:r>
        <w:rPr>
          <w:lang w:val="en-AU"/>
        </w:rPr>
        <w:t xml:space="preserve"> (</w:t>
      </w:r>
      <w:r w:rsidR="00C83C66">
        <w:rPr>
          <w:lang w:val="en-AU"/>
        </w:rPr>
        <w:t xml:space="preserve">Category </w:t>
      </w:r>
      <w:r>
        <w:rPr>
          <w:lang w:val="en-AU"/>
        </w:rPr>
        <w:t xml:space="preserve">5 </w:t>
      </w:r>
      <w:r w:rsidR="00C83C66">
        <w:rPr>
          <w:lang w:val="en-AU"/>
        </w:rPr>
        <w:t xml:space="preserve">Cyclone </w:t>
      </w:r>
      <w:r>
        <w:rPr>
          <w:lang w:val="en-AU"/>
        </w:rPr>
        <w:t xml:space="preserve">Marcia, landfall on 20 February 2015 near Rockhampton) and the far </w:t>
      </w:r>
      <w:r w:rsidR="00C83C66">
        <w:rPr>
          <w:lang w:val="en-AU"/>
        </w:rPr>
        <w:t xml:space="preserve">north </w:t>
      </w:r>
      <w:r>
        <w:rPr>
          <w:lang w:val="en-AU"/>
        </w:rPr>
        <w:t xml:space="preserve">(Category 3 </w:t>
      </w:r>
      <w:r w:rsidR="00C83C66">
        <w:rPr>
          <w:lang w:val="en-AU"/>
        </w:rPr>
        <w:t xml:space="preserve">Cyclone </w:t>
      </w:r>
      <w:r>
        <w:rPr>
          <w:lang w:val="en-AU"/>
        </w:rPr>
        <w:t xml:space="preserve">Nathan, landfall on 20 March 2015 north of Cooktown). </w:t>
      </w:r>
      <w:r w:rsidR="00600B67">
        <w:rPr>
          <w:lang w:val="en-AU"/>
        </w:rPr>
        <w:t>While t</w:t>
      </w:r>
      <w:r>
        <w:rPr>
          <w:lang w:val="en-AU"/>
        </w:rPr>
        <w:t xml:space="preserve">hese storms did not result in any above-median flood signal in the regions </w:t>
      </w:r>
      <w:r w:rsidR="00600B67">
        <w:rPr>
          <w:lang w:val="en-AU"/>
        </w:rPr>
        <w:t xml:space="preserve">where </w:t>
      </w:r>
      <w:r>
        <w:rPr>
          <w:lang w:val="en-AU"/>
        </w:rPr>
        <w:t>the MMP water quality monitoring is undertaken</w:t>
      </w:r>
      <w:r w:rsidR="003E6F68">
        <w:rPr>
          <w:lang w:val="en-AU"/>
        </w:rPr>
        <w:t xml:space="preserve">, </w:t>
      </w:r>
      <w:r w:rsidR="00153C40" w:rsidRPr="00A13B8E">
        <w:rPr>
          <w:lang w:val="en-AU"/>
        </w:rPr>
        <w:t>the Fitzroy River reached peak of 172,000 ML/day (</w:t>
      </w:r>
      <w:r w:rsidR="00153C40">
        <w:rPr>
          <w:lang w:val="en-AU"/>
        </w:rPr>
        <w:t>l</w:t>
      </w:r>
      <w:r w:rsidR="00153C40" w:rsidRPr="00A13B8E">
        <w:rPr>
          <w:lang w:val="en-AU"/>
        </w:rPr>
        <w:t xml:space="preserve">ong-term median </w:t>
      </w:r>
      <w:r w:rsidR="00153C40">
        <w:rPr>
          <w:lang w:val="en-AU"/>
        </w:rPr>
        <w:t>is</w:t>
      </w:r>
      <w:r w:rsidR="00153C40" w:rsidRPr="00A13B8E">
        <w:rPr>
          <w:lang w:val="en-AU"/>
        </w:rPr>
        <w:t xml:space="preserve"> 2,000 ML/day) </w:t>
      </w:r>
      <w:r w:rsidR="00153C40">
        <w:rPr>
          <w:lang w:val="en-AU"/>
        </w:rPr>
        <w:t>during the passage of e</w:t>
      </w:r>
      <w:r w:rsidR="00153C40" w:rsidRPr="00A13B8E">
        <w:rPr>
          <w:lang w:val="en-AU"/>
        </w:rPr>
        <w:t>x-Tropical Cyclone Marcia</w:t>
      </w:r>
      <w:r>
        <w:rPr>
          <w:lang w:val="en-AU"/>
        </w:rPr>
        <w:t>.</w:t>
      </w:r>
      <w:r w:rsidRPr="007372F5">
        <w:rPr>
          <w:lang w:val="en-AU"/>
        </w:rPr>
        <w:t xml:space="preserve"> </w:t>
      </w:r>
    </w:p>
    <w:p w14:paraId="6CAAD213" w14:textId="2CE090B1" w:rsidR="00505B72" w:rsidRDefault="00B05E41" w:rsidP="004A5BF7">
      <w:pPr>
        <w:rPr>
          <w:rFonts w:cs="Arial"/>
          <w:color w:val="000000" w:themeColor="text1"/>
          <w:lang w:val="en-AU"/>
        </w:rPr>
      </w:pPr>
      <w:r>
        <w:rPr>
          <w:lang w:val="en-AU"/>
        </w:rPr>
        <w:t xml:space="preserve">End of catchment </w:t>
      </w:r>
      <w:r>
        <w:t xml:space="preserve">pollutant loads measured in 2014-15 showed distinct variations between the regions, with the Wet Tropics, Fitzroy and Burnett Mary regions dominating the </w:t>
      </w:r>
      <w:r w:rsidR="005F6551">
        <w:t>dissolved inorganic nitrogen (</w:t>
      </w:r>
      <w:r>
        <w:t>DIN</w:t>
      </w:r>
      <w:r w:rsidR="005F6551">
        <w:t>)</w:t>
      </w:r>
      <w:r>
        <w:t xml:space="preserve">, </w:t>
      </w:r>
      <w:r w:rsidR="005F6551">
        <w:t>particulate nitrogen (</w:t>
      </w:r>
      <w:r>
        <w:t>PN</w:t>
      </w:r>
      <w:r w:rsidR="005F6551">
        <w:t>)</w:t>
      </w:r>
      <w:r>
        <w:t xml:space="preserve"> and </w:t>
      </w:r>
      <w:r w:rsidR="005F6551">
        <w:t>particulate phosphorus (</w:t>
      </w:r>
      <w:r>
        <w:t>PP</w:t>
      </w:r>
      <w:r w:rsidR="005F6551">
        <w:t>)</w:t>
      </w:r>
      <w:r>
        <w:t xml:space="preserve"> loads across the GBR. </w:t>
      </w:r>
      <w:r>
        <w:lastRenderedPageBreak/>
        <w:t xml:space="preserve">The greatest TSS loads were measured from the Burdekin and Fitzroy regions, with relatively small </w:t>
      </w:r>
      <w:r w:rsidR="005F6551">
        <w:t>total suspended solids (</w:t>
      </w:r>
      <w:r>
        <w:t>TSS</w:t>
      </w:r>
      <w:r w:rsidR="005F6551">
        <w:t>)</w:t>
      </w:r>
      <w:r>
        <w:t xml:space="preserve"> loads from the Cape York and Mackay Whitsunday regions. The largest PSII</w:t>
      </w:r>
      <w:r w:rsidR="005F6551">
        <w:t xml:space="preserve"> herbicide</w:t>
      </w:r>
      <w:r>
        <w:t xml:space="preserve"> loads were measured from the Wet Tropics region, followed by the Mackay Whitsunday region. </w:t>
      </w:r>
      <w:r w:rsidR="00505B72" w:rsidRPr="00654C99">
        <w:rPr>
          <w:rFonts w:cs="Arial"/>
          <w:color w:val="000000" w:themeColor="text1"/>
          <w:lang w:val="en-AU"/>
        </w:rPr>
        <w:t xml:space="preserve">To provide context for the </w:t>
      </w:r>
      <w:r w:rsidR="00505B72">
        <w:rPr>
          <w:rFonts w:cs="Arial"/>
          <w:color w:val="000000" w:themeColor="text1"/>
          <w:lang w:val="en-AU"/>
        </w:rPr>
        <w:t xml:space="preserve">water quality </w:t>
      </w:r>
      <w:r w:rsidR="00505B72" w:rsidRPr="00654C99">
        <w:rPr>
          <w:rFonts w:cs="Arial"/>
          <w:color w:val="000000" w:themeColor="text1"/>
          <w:lang w:val="en-AU"/>
        </w:rPr>
        <w:t xml:space="preserve">monitoring results, end of catchment loads are considered in this report, and presented for the rivers influencing each sampling region in the Regional results </w:t>
      </w:r>
      <w:r w:rsidR="00505B72" w:rsidRPr="003C2349">
        <w:rPr>
          <w:rFonts w:cs="Arial"/>
          <w:color w:val="000000" w:themeColor="text1"/>
          <w:lang w:val="en-AU"/>
        </w:rPr>
        <w:t>(</w:t>
      </w:r>
      <w:r w:rsidR="005F6551">
        <w:rPr>
          <w:rFonts w:cs="Arial"/>
          <w:color w:val="000000" w:themeColor="text1"/>
          <w:lang w:val="en-AU"/>
        </w:rPr>
        <w:t>S</w:t>
      </w:r>
      <w:r w:rsidR="00505B72" w:rsidRPr="003C2349">
        <w:rPr>
          <w:rFonts w:cs="Arial"/>
          <w:color w:val="000000" w:themeColor="text1"/>
          <w:lang w:val="en-AU"/>
        </w:rPr>
        <w:t xml:space="preserve">ection </w:t>
      </w:r>
      <w:r w:rsidR="00505B72">
        <w:rPr>
          <w:rFonts w:cs="Arial"/>
          <w:color w:val="000000" w:themeColor="text1"/>
          <w:lang w:val="en-AU"/>
        </w:rPr>
        <w:t>6</w:t>
      </w:r>
      <w:r w:rsidR="00505B72" w:rsidRPr="003C2349">
        <w:rPr>
          <w:rFonts w:cs="Arial"/>
          <w:color w:val="000000" w:themeColor="text1"/>
          <w:lang w:val="en-AU"/>
        </w:rPr>
        <w:t>)</w:t>
      </w:r>
      <w:r w:rsidR="00505B72" w:rsidRPr="00654C99">
        <w:rPr>
          <w:rFonts w:cs="Arial"/>
          <w:color w:val="000000" w:themeColor="text1"/>
          <w:lang w:val="en-AU"/>
        </w:rPr>
        <w:t xml:space="preserve">. </w:t>
      </w:r>
    </w:p>
    <w:p w14:paraId="3EAA5508" w14:textId="3E1B93D1" w:rsidR="00B05E41" w:rsidRDefault="00B05E41" w:rsidP="004A5BF7">
      <w:pPr>
        <w:pStyle w:val="Heading2"/>
      </w:pPr>
      <w:bookmarkStart w:id="22" w:name="_Toc459328851"/>
      <w:bookmarkStart w:id="23" w:name="_Toc459329210"/>
      <w:bookmarkStart w:id="24" w:name="_Toc459329571"/>
      <w:bookmarkStart w:id="25" w:name="_Toc459329931"/>
      <w:bookmarkStart w:id="26" w:name="_Toc459330291"/>
      <w:bookmarkStart w:id="27" w:name="_Toc459330651"/>
      <w:bookmarkStart w:id="28" w:name="_Toc459331011"/>
      <w:bookmarkStart w:id="29" w:name="_Toc459331371"/>
      <w:bookmarkStart w:id="30" w:name="_Toc459331731"/>
      <w:bookmarkStart w:id="31" w:name="_Toc462307424"/>
      <w:bookmarkEnd w:id="22"/>
      <w:bookmarkEnd w:id="23"/>
      <w:bookmarkEnd w:id="24"/>
      <w:bookmarkEnd w:id="25"/>
      <w:bookmarkEnd w:id="26"/>
      <w:bookmarkEnd w:id="27"/>
      <w:bookmarkEnd w:id="28"/>
      <w:bookmarkEnd w:id="29"/>
      <w:bookmarkEnd w:id="30"/>
      <w:r>
        <w:t xml:space="preserve">Exposure of the </w:t>
      </w:r>
      <w:r w:rsidR="004D2A67">
        <w:t>Great Barrier Reef</w:t>
      </w:r>
      <w:r>
        <w:t xml:space="preserve"> lagoon to river discharge</w:t>
      </w:r>
      <w:bookmarkEnd w:id="31"/>
    </w:p>
    <w:p w14:paraId="278612BB" w14:textId="68FD2AD3" w:rsidR="00B05E41" w:rsidRDefault="00B05E41" w:rsidP="0047264A">
      <w:r>
        <w:rPr>
          <w:szCs w:val="22"/>
          <w:lang w:val="en-AU"/>
        </w:rPr>
        <w:t xml:space="preserve">This year, the estimate of river plume exposure using remote sensing imagery was complemented by a cumulative exposure estimate </w:t>
      </w:r>
      <w:r>
        <w:t>using numerical tracer</w:t>
      </w:r>
      <w:r>
        <w:rPr>
          <w:color w:val="1F497D"/>
        </w:rPr>
        <w:t xml:space="preserve"> </w:t>
      </w:r>
      <w:r>
        <w:t xml:space="preserve">experiments within the eReefs hydrodynamic model. </w:t>
      </w:r>
      <w:r w:rsidRPr="009853B1">
        <w:t>These tracer maps indicate the spatial extent of influence of individual rivers</w:t>
      </w:r>
      <w:r>
        <w:t xml:space="preserve"> and can help to identify where rivers are likely to have influenced other areas. The tracer maps</w:t>
      </w:r>
      <w:r w:rsidRPr="009853B1">
        <w:t xml:space="preserve"> confirmed that the areas exposed to </w:t>
      </w:r>
      <w:r>
        <w:t>river</w:t>
      </w:r>
      <w:r w:rsidRPr="009853B1">
        <w:t xml:space="preserve"> </w:t>
      </w:r>
      <w:r>
        <w:t>plumes</w:t>
      </w:r>
      <w:r w:rsidRPr="009853B1">
        <w:t xml:space="preserve"> in 2014-15 were much smaller for all focus </w:t>
      </w:r>
      <w:r>
        <w:t>areas</w:t>
      </w:r>
      <w:r w:rsidRPr="009853B1">
        <w:t xml:space="preserve"> </w:t>
      </w:r>
      <w:r>
        <w:t xml:space="preserve">compared to </w:t>
      </w:r>
      <w:r w:rsidRPr="009853B1">
        <w:t>the extreme wet season of 2010-11</w:t>
      </w:r>
      <w:r>
        <w:t>.</w:t>
      </w:r>
    </w:p>
    <w:p w14:paraId="37C5750A" w14:textId="0DC2293B" w:rsidR="00F579FD" w:rsidRPr="004A5BF7" w:rsidRDefault="00B05E41" w:rsidP="004A5BF7">
      <w:pPr>
        <w:rPr>
          <w:lang w:val="en-AU"/>
        </w:rPr>
      </w:pPr>
      <w:r w:rsidRPr="004A5BF7">
        <w:rPr>
          <w:lang w:val="en-AU"/>
        </w:rPr>
        <w:t>The tracer maps are complemented by plume exposure maps that can be used to provide context for changes in the local inshore water quality in the light of changes in the delivery of runoff from certain catchments. Characterisation of plume water types using remote sensing imagery is used assess the</w:t>
      </w:r>
      <w:r w:rsidR="00F579FD" w:rsidRPr="004A5BF7">
        <w:rPr>
          <w:lang w:val="en-AU"/>
        </w:rPr>
        <w:t xml:space="preserve"> broadscale water quality</w:t>
      </w:r>
      <w:r w:rsidRPr="004A5BF7">
        <w:rPr>
          <w:lang w:val="en-AU"/>
        </w:rPr>
        <w:t xml:space="preserve"> composition</w:t>
      </w:r>
      <w:r w:rsidR="00F579FD" w:rsidRPr="004A5BF7">
        <w:rPr>
          <w:lang w:val="en-AU"/>
        </w:rPr>
        <w:t xml:space="preserve"> of river plumes</w:t>
      </w:r>
      <w:r w:rsidR="002F77BD" w:rsidRPr="00F579FD">
        <w:rPr>
          <w:lang w:val="en-AU"/>
        </w:rPr>
        <w:t xml:space="preserve">. </w:t>
      </w:r>
      <w:r w:rsidRPr="00F579FD">
        <w:rPr>
          <w:lang w:val="en-AU"/>
        </w:rPr>
        <w:t>Plumes are classified into three water types: Primary</w:t>
      </w:r>
      <w:r w:rsidR="00F579FD" w:rsidRPr="00F579FD">
        <w:rPr>
          <w:lang w:val="en-AU"/>
        </w:rPr>
        <w:t xml:space="preserve"> - </w:t>
      </w:r>
      <w:r w:rsidR="00F579FD" w:rsidRPr="004A5BF7">
        <w:rPr>
          <w:lang w:val="en-AU"/>
        </w:rPr>
        <w:t xml:space="preserve">very high turbidity, low salinity (0 to 10 ppt), and very high values of </w:t>
      </w:r>
      <w:r w:rsidR="005F6551">
        <w:rPr>
          <w:lang w:val="en-AU"/>
        </w:rPr>
        <w:t>colour dissolved organic matter (</w:t>
      </w:r>
      <w:r w:rsidR="00F579FD" w:rsidRPr="004A5BF7">
        <w:rPr>
          <w:lang w:val="en-AU"/>
        </w:rPr>
        <w:t>CDOM</w:t>
      </w:r>
      <w:r w:rsidR="005F6551">
        <w:rPr>
          <w:lang w:val="en-AU"/>
        </w:rPr>
        <w:t>)</w:t>
      </w:r>
      <w:r w:rsidR="00F579FD" w:rsidRPr="004A5BF7">
        <w:rPr>
          <w:lang w:val="en-AU"/>
        </w:rPr>
        <w:t xml:space="preserve"> and TSS; Secondary - intermediate salinity, elevated CDOM concentrations, and reduced TSS due to sedimentation, where phytoplankton growth is prompted by the increased light (due to lower TSS) and high nutrient availability delivered by the river plume; Tertiary - exhibits no or low TSS associated with the river plume, and above-ambient concentrations of </w:t>
      </w:r>
      <w:r w:rsidR="005F6551">
        <w:rPr>
          <w:lang w:val="en-AU"/>
        </w:rPr>
        <w:t xml:space="preserve">chlorophyll </w:t>
      </w:r>
      <w:r w:rsidR="005F6551" w:rsidRPr="004A5BF7">
        <w:rPr>
          <w:i/>
          <w:lang w:val="en-AU"/>
        </w:rPr>
        <w:t>a</w:t>
      </w:r>
      <w:r w:rsidR="005F6551">
        <w:rPr>
          <w:lang w:val="en-AU"/>
        </w:rPr>
        <w:t xml:space="preserve"> (</w:t>
      </w:r>
      <w:r w:rsidR="00F579FD" w:rsidRPr="004A5BF7">
        <w:rPr>
          <w:lang w:val="en-AU"/>
        </w:rPr>
        <w:t>Chl-a</w:t>
      </w:r>
      <w:r w:rsidR="005F6551">
        <w:rPr>
          <w:lang w:val="en-AU"/>
        </w:rPr>
        <w:t xml:space="preserve">) </w:t>
      </w:r>
      <w:r w:rsidR="00F579FD" w:rsidRPr="004A5BF7">
        <w:rPr>
          <w:lang w:val="en-AU"/>
        </w:rPr>
        <w:t>and CDOM.  The plume types are also related to water quality concentrations and colour classes using True Colour imagery.</w:t>
      </w:r>
    </w:p>
    <w:p w14:paraId="0F13C045" w14:textId="39FBDAD3" w:rsidR="00C23B84" w:rsidRDefault="00F579FD" w:rsidP="00B05E41">
      <w:pPr>
        <w:rPr>
          <w:sz w:val="24"/>
          <w:szCs w:val="24"/>
          <w:lang w:val="en-AU" w:eastAsia="en-AU"/>
        </w:rPr>
      </w:pPr>
      <w:r>
        <w:rPr>
          <w:lang w:val="en-AU"/>
        </w:rPr>
        <w:t xml:space="preserve">The 2014-15 plume water type </w:t>
      </w:r>
      <w:r w:rsidR="00B05E41">
        <w:rPr>
          <w:lang w:val="en-AU"/>
        </w:rPr>
        <w:t>maps illustrate a well-documented insho</w:t>
      </w:r>
      <w:r>
        <w:rPr>
          <w:lang w:val="en-AU"/>
        </w:rPr>
        <w:t>re to offshore spatial pattern</w:t>
      </w:r>
      <w:r w:rsidR="00B05E41">
        <w:rPr>
          <w:lang w:val="en-AU"/>
        </w:rPr>
        <w:t xml:space="preserve">, with the highest frequency of </w:t>
      </w:r>
      <w:r>
        <w:rPr>
          <w:lang w:val="en-AU"/>
        </w:rPr>
        <w:t>P</w:t>
      </w:r>
      <w:r w:rsidR="00B05E41">
        <w:rPr>
          <w:lang w:val="en-AU"/>
        </w:rPr>
        <w:t xml:space="preserve">rimary plume waters </w:t>
      </w:r>
      <w:r>
        <w:rPr>
          <w:lang w:val="en-AU"/>
        </w:rPr>
        <w:t xml:space="preserve">in the coastal areas </w:t>
      </w:r>
      <w:r w:rsidR="00B05E41">
        <w:rPr>
          <w:lang w:val="en-AU"/>
        </w:rPr>
        <w:t xml:space="preserve">and offshore areas </w:t>
      </w:r>
      <w:r>
        <w:rPr>
          <w:lang w:val="en-AU"/>
        </w:rPr>
        <w:t>most</w:t>
      </w:r>
      <w:r w:rsidR="00B05E41">
        <w:rPr>
          <w:lang w:val="en-AU"/>
        </w:rPr>
        <w:t xml:space="preserve"> frequently exposed to Tertiary </w:t>
      </w:r>
      <w:r>
        <w:rPr>
          <w:lang w:val="en-AU"/>
        </w:rPr>
        <w:t xml:space="preserve">plume </w:t>
      </w:r>
      <w:r w:rsidR="00B05E41">
        <w:rPr>
          <w:lang w:val="en-AU"/>
        </w:rPr>
        <w:t>water type</w:t>
      </w:r>
      <w:r>
        <w:rPr>
          <w:lang w:val="en-AU"/>
        </w:rPr>
        <w:t>s</w:t>
      </w:r>
      <w:r w:rsidR="00B05E41">
        <w:rPr>
          <w:lang w:val="en-AU"/>
        </w:rPr>
        <w:t>.</w:t>
      </w:r>
      <w:r>
        <w:rPr>
          <w:lang w:val="en-AU"/>
        </w:rPr>
        <w:t xml:space="preserve"> </w:t>
      </w:r>
      <w:r w:rsidR="00C83C66">
        <w:rPr>
          <w:szCs w:val="22"/>
          <w:lang w:val="en-AU"/>
        </w:rPr>
        <w:t>For example, t</w:t>
      </w:r>
      <w:r w:rsidR="002F77BD">
        <w:t>he total GBR area exposed to</w:t>
      </w:r>
      <w:r w:rsidR="00153C40">
        <w:t xml:space="preserve"> </w:t>
      </w:r>
      <w:r w:rsidR="00C23B84">
        <w:t>P</w:t>
      </w:r>
      <w:r w:rsidR="00153C40">
        <w:t>rimary</w:t>
      </w:r>
      <w:r w:rsidR="002F77BD">
        <w:t xml:space="preserve"> plume waters </w:t>
      </w:r>
      <w:r w:rsidR="00153C40">
        <w:t xml:space="preserve">(i.e. colour classes 1-4) </w:t>
      </w:r>
      <w:r w:rsidR="00C83C66">
        <w:rPr>
          <w:szCs w:val="22"/>
          <w:lang w:val="en-AU"/>
        </w:rPr>
        <w:t xml:space="preserve">in 2014-15 </w:t>
      </w:r>
      <w:r w:rsidR="002F77BD">
        <w:t xml:space="preserve">was </w:t>
      </w:r>
      <w:r w:rsidR="00153C40">
        <w:t>calculated</w:t>
      </w:r>
      <w:r w:rsidR="00600B67">
        <w:t xml:space="preserve"> to be around </w:t>
      </w:r>
      <w:r w:rsidR="00153C40">
        <w:t xml:space="preserve">15,980 </w:t>
      </w:r>
      <w:r w:rsidR="002F77BD" w:rsidRPr="005816C7">
        <w:t>km</w:t>
      </w:r>
      <w:r w:rsidR="002F77BD" w:rsidRPr="005816C7">
        <w:rPr>
          <w:vertAlign w:val="superscript"/>
        </w:rPr>
        <w:t>2</w:t>
      </w:r>
      <w:r w:rsidR="002F77BD">
        <w:t xml:space="preserve">, which is </w:t>
      </w:r>
      <w:r w:rsidR="00153C40">
        <w:t>48</w:t>
      </w:r>
      <w:r w:rsidR="002F77BD" w:rsidRPr="005816C7">
        <w:t>%</w:t>
      </w:r>
      <w:r w:rsidR="002F77BD">
        <w:t xml:space="preserve"> of the</w:t>
      </w:r>
      <w:r w:rsidR="00153C40">
        <w:t xml:space="preserve"> areas exposed to </w:t>
      </w:r>
      <w:r w:rsidR="00C23B84">
        <w:t>P</w:t>
      </w:r>
      <w:r w:rsidR="002F77BD">
        <w:rPr>
          <w:szCs w:val="22"/>
          <w:lang w:val="en-AU"/>
        </w:rPr>
        <w:t>rimary</w:t>
      </w:r>
      <w:r w:rsidR="00C83C66">
        <w:rPr>
          <w:szCs w:val="22"/>
          <w:lang w:val="en-AU"/>
        </w:rPr>
        <w:t xml:space="preserve"> plume</w:t>
      </w:r>
      <w:r w:rsidR="002F77BD">
        <w:rPr>
          <w:szCs w:val="22"/>
          <w:lang w:val="en-AU"/>
        </w:rPr>
        <w:t xml:space="preserve"> </w:t>
      </w:r>
      <w:r w:rsidR="00153C40" w:rsidRPr="00883BEF">
        <w:rPr>
          <w:lang w:val="en-AU"/>
        </w:rPr>
        <w:t>water in the 2010-11 wet season, the wettest recorded period over the</w:t>
      </w:r>
      <w:r w:rsidR="00153C40">
        <w:rPr>
          <w:lang w:val="en-AU"/>
        </w:rPr>
        <w:t xml:space="preserve"> course of the</w:t>
      </w:r>
      <w:r w:rsidR="00153C40" w:rsidRPr="00883BEF">
        <w:rPr>
          <w:lang w:val="en-AU"/>
        </w:rPr>
        <w:t xml:space="preserve"> MMP. </w:t>
      </w:r>
    </w:p>
    <w:p w14:paraId="2FC8264B" w14:textId="3C312A6F" w:rsidR="003955E0" w:rsidRPr="00883BEF" w:rsidRDefault="00F579FD" w:rsidP="003955E0">
      <w:pPr>
        <w:rPr>
          <w:lang w:val="en-AU"/>
        </w:rPr>
      </w:pPr>
      <w:r>
        <w:rPr>
          <w:lang w:val="en-AU"/>
        </w:rPr>
        <w:t>R</w:t>
      </w:r>
      <w:r w:rsidR="002F77BD">
        <w:rPr>
          <w:lang w:val="en-AU"/>
        </w:rPr>
        <w:t xml:space="preserve">iver plume frequency maps </w:t>
      </w:r>
      <w:r>
        <w:rPr>
          <w:lang w:val="en-AU"/>
        </w:rPr>
        <w:t>are used to assess</w:t>
      </w:r>
      <w:r w:rsidR="00153C40" w:rsidRPr="00A13B8E">
        <w:rPr>
          <w:lang w:val="en-AU"/>
        </w:rPr>
        <w:t xml:space="preserve"> the frequency </w:t>
      </w:r>
      <w:r w:rsidR="00153C40">
        <w:rPr>
          <w:lang w:val="en-AU"/>
        </w:rPr>
        <w:t xml:space="preserve">that </w:t>
      </w:r>
      <w:r w:rsidR="00153C40" w:rsidRPr="00A13B8E">
        <w:rPr>
          <w:lang w:val="en-AU"/>
        </w:rPr>
        <w:t>an area was exposed to plume waters over the wet season</w:t>
      </w:r>
      <w:r w:rsidRPr="00F579FD">
        <w:rPr>
          <w:lang w:val="en-AU"/>
        </w:rPr>
        <w:t xml:space="preserve"> </w:t>
      </w:r>
      <w:r>
        <w:rPr>
          <w:lang w:val="en-AU"/>
        </w:rPr>
        <w:t>on a</w:t>
      </w:r>
      <w:r w:rsidRPr="00A13B8E">
        <w:rPr>
          <w:lang w:val="en-AU"/>
        </w:rPr>
        <w:t xml:space="preserve"> weekly basis</w:t>
      </w:r>
      <w:r w:rsidR="00153C40" w:rsidRPr="00A13B8E">
        <w:rPr>
          <w:lang w:val="en-AU"/>
        </w:rPr>
        <w:t xml:space="preserve">. For example, if </w:t>
      </w:r>
      <w:r>
        <w:rPr>
          <w:lang w:val="en-AU"/>
        </w:rPr>
        <w:t xml:space="preserve">a </w:t>
      </w:r>
      <w:r w:rsidRPr="00A13B8E">
        <w:rPr>
          <w:lang w:val="en-AU"/>
        </w:rPr>
        <w:t xml:space="preserve">particular area is inundated by plume waters in three weeks </w:t>
      </w:r>
      <w:r>
        <w:rPr>
          <w:lang w:val="en-AU"/>
        </w:rPr>
        <w:t>during</w:t>
      </w:r>
      <w:r w:rsidR="00153C40" w:rsidRPr="00A13B8E">
        <w:rPr>
          <w:lang w:val="en-AU"/>
        </w:rPr>
        <w:t xml:space="preserve"> a wet season (c.a., December to April, inclusive, which corresponds to 22 weeks), the frequency for that area is c.a., 3/22. The plume frequency maps </w:t>
      </w:r>
      <w:r>
        <w:rPr>
          <w:lang w:val="en-AU"/>
        </w:rPr>
        <w:t>are</w:t>
      </w:r>
      <w:r w:rsidR="00153C40">
        <w:rPr>
          <w:lang w:val="en-AU"/>
        </w:rPr>
        <w:t xml:space="preserve"> categoris</w:t>
      </w:r>
      <w:r w:rsidR="00153C40" w:rsidRPr="00A13B8E">
        <w:rPr>
          <w:lang w:val="en-AU"/>
        </w:rPr>
        <w:t xml:space="preserve">ed in five equally-spaced classes to represent different levels of exposure to plume waters. </w:t>
      </w:r>
      <w:r w:rsidR="003955E0">
        <w:rPr>
          <w:lang w:val="en-AU"/>
        </w:rPr>
        <w:t xml:space="preserve">The frequency maps follow similar patterns to previous years but </w:t>
      </w:r>
      <w:r w:rsidR="00C23B84">
        <w:rPr>
          <w:lang w:val="en-AU"/>
        </w:rPr>
        <w:t xml:space="preserve">the higher frequency areas </w:t>
      </w:r>
      <w:r w:rsidR="003955E0">
        <w:rPr>
          <w:lang w:val="en-AU"/>
        </w:rPr>
        <w:t>are more constrained to the inshore areas.</w:t>
      </w:r>
      <w:r w:rsidR="00C23B84">
        <w:rPr>
          <w:lang w:val="en-AU"/>
        </w:rPr>
        <w:t xml:space="preserve"> </w:t>
      </w:r>
    </w:p>
    <w:p w14:paraId="4F52255D" w14:textId="00955266" w:rsidR="00C83C66" w:rsidRDefault="00C23B84" w:rsidP="00C23B84">
      <w:pPr>
        <w:rPr>
          <w:rFonts w:cs="Arial"/>
        </w:rPr>
      </w:pPr>
      <w:r w:rsidRPr="00606AC1">
        <w:rPr>
          <w:lang w:val="en-AU"/>
        </w:rPr>
        <w:t xml:space="preserve">The plume water type maps and plume frequency maps can be overlaid with information on the presence or distribution of GBR ecosystems (coral reefs and seagrass) to help identify ecosystems which may experience acute or chronic high exposure to contaminants in river plumes and thus, help to evaluate the susceptibility of GBR ecosystems to land-sourced contaminants. </w:t>
      </w:r>
      <w:r w:rsidR="00606AC1" w:rsidRPr="00606AC1">
        <w:rPr>
          <w:rFonts w:cs="Arial"/>
          <w:lang w:val="en-AU"/>
        </w:rPr>
        <w:t xml:space="preserve">The lowest risk categories (I and II) are characterised by low frequency of the Primary and Secondary plume types, and the highest risk categories (III and IV) are characterised by high frequency of Primary and Secondary plume types. </w:t>
      </w:r>
      <w:r w:rsidR="00E46BD6" w:rsidRPr="00606AC1">
        <w:rPr>
          <w:lang w:val="en-AU"/>
        </w:rPr>
        <w:t>The risk</w:t>
      </w:r>
      <w:r w:rsidR="00A16EAC" w:rsidRPr="00606AC1">
        <w:rPr>
          <w:lang w:val="en-AU"/>
        </w:rPr>
        <w:t xml:space="preserve"> categories have</w:t>
      </w:r>
      <w:r w:rsidR="00E46BD6" w:rsidRPr="00606AC1">
        <w:rPr>
          <w:lang w:val="en-AU"/>
        </w:rPr>
        <w:t xml:space="preserve"> </w:t>
      </w:r>
      <w:r w:rsidR="00E46BD6" w:rsidRPr="00606AC1">
        <w:rPr>
          <w:rFonts w:cs="Arial"/>
        </w:rPr>
        <w:t xml:space="preserve">not </w:t>
      </w:r>
      <w:r w:rsidR="00A16EAC" w:rsidRPr="00606AC1">
        <w:rPr>
          <w:rFonts w:cs="Arial"/>
        </w:rPr>
        <w:t xml:space="preserve">been </w:t>
      </w:r>
      <w:r w:rsidR="00E46BD6" w:rsidRPr="00606AC1">
        <w:rPr>
          <w:rFonts w:cs="Arial"/>
        </w:rPr>
        <w:t xml:space="preserve">validated against ecological data </w:t>
      </w:r>
      <w:r w:rsidR="00A16EAC" w:rsidRPr="00606AC1">
        <w:rPr>
          <w:rFonts w:cs="Arial"/>
        </w:rPr>
        <w:t>yet, so they represent theoretical levels of risk</w:t>
      </w:r>
      <w:r w:rsidR="00E46BD6" w:rsidRPr="00606AC1">
        <w:rPr>
          <w:rFonts w:cs="Arial"/>
        </w:rPr>
        <w:t>.</w:t>
      </w:r>
      <w:r w:rsidR="00EA0178" w:rsidRPr="00606AC1">
        <w:rPr>
          <w:rFonts w:cs="Arial"/>
        </w:rPr>
        <w:t xml:space="preserve"> In addition, the information is based on surface </w:t>
      </w:r>
      <w:r w:rsidR="00A16EAC" w:rsidRPr="00606AC1">
        <w:rPr>
          <w:rFonts w:cs="Arial"/>
        </w:rPr>
        <w:t>plume maps</w:t>
      </w:r>
      <w:r w:rsidR="00EA0178" w:rsidRPr="00606AC1">
        <w:rPr>
          <w:rFonts w:cs="Arial"/>
        </w:rPr>
        <w:t xml:space="preserve">, which </w:t>
      </w:r>
      <w:r w:rsidR="00075AF2" w:rsidRPr="00606AC1">
        <w:rPr>
          <w:rFonts w:cs="Arial"/>
        </w:rPr>
        <w:t xml:space="preserve">does </w:t>
      </w:r>
      <w:r w:rsidR="00A16EAC" w:rsidRPr="00606AC1">
        <w:rPr>
          <w:rFonts w:cs="Arial"/>
        </w:rPr>
        <w:t xml:space="preserve">not necessarily represent </w:t>
      </w:r>
      <w:r w:rsidR="00075AF2" w:rsidRPr="00606AC1">
        <w:rPr>
          <w:rFonts w:cs="Arial"/>
        </w:rPr>
        <w:t>exposure to</w:t>
      </w:r>
      <w:r w:rsidR="00A16EAC" w:rsidRPr="00606AC1">
        <w:rPr>
          <w:rFonts w:cs="Arial"/>
        </w:rPr>
        <w:t xml:space="preserve"> benthic communities in a flood event. </w:t>
      </w:r>
    </w:p>
    <w:p w14:paraId="3286A52F" w14:textId="6A043A8E" w:rsidR="00D2594B" w:rsidRDefault="002F77BD" w:rsidP="002F77BD">
      <w:r w:rsidRPr="00606AC1">
        <w:rPr>
          <w:lang w:val="en-AU"/>
        </w:rPr>
        <w:t xml:space="preserve">In 2014-15, </w:t>
      </w:r>
      <w:r w:rsidR="00EA0178" w:rsidRPr="00606AC1">
        <w:rPr>
          <w:lang w:val="en-AU"/>
        </w:rPr>
        <w:t>it is estimated that</w:t>
      </w:r>
      <w:r w:rsidR="00EA0178" w:rsidRPr="00606AC1">
        <w:t xml:space="preserve"> </w:t>
      </w:r>
      <w:r w:rsidRPr="00606AC1">
        <w:rPr>
          <w:rFonts w:cs="Arial"/>
        </w:rPr>
        <w:t>62%</w:t>
      </w:r>
      <w:r w:rsidRPr="00606AC1">
        <w:rPr>
          <w:rFonts w:cs="Arial"/>
          <w:vertAlign w:val="superscript"/>
        </w:rPr>
        <w:t xml:space="preserve"> </w:t>
      </w:r>
      <w:r w:rsidRPr="00606AC1">
        <w:t xml:space="preserve">of the GBR coral reefs were </w:t>
      </w:r>
      <w:r w:rsidR="00876499" w:rsidRPr="00606AC1">
        <w:t xml:space="preserve">potentially </w:t>
      </w:r>
      <w:r w:rsidRPr="00606AC1">
        <w:t>exposed to river plume waters, but very few (</w:t>
      </w:r>
      <w:r w:rsidR="00BB0899">
        <w:t>&lt;</w:t>
      </w:r>
      <w:r w:rsidRPr="00606AC1">
        <w:t xml:space="preserve">3%) were in the high potential risk categories from river plume exposure (III and IV). </w:t>
      </w:r>
      <w:r w:rsidR="00C83C66">
        <w:t>However, it</w:t>
      </w:r>
      <w:r w:rsidR="003E6F68" w:rsidRPr="00606AC1">
        <w:t xml:space="preserve"> is estimated that </w:t>
      </w:r>
      <w:r w:rsidRPr="00606AC1">
        <w:t xml:space="preserve">97% and 94% of the GBR </w:t>
      </w:r>
      <w:r w:rsidR="00043F97" w:rsidRPr="00606AC1">
        <w:t>surveyed seagrass (</w:t>
      </w:r>
      <w:r w:rsidRPr="00606AC1">
        <w:t>coastal</w:t>
      </w:r>
      <w:r w:rsidR="00043F97" w:rsidRPr="00606AC1">
        <w:t>)</w:t>
      </w:r>
      <w:r w:rsidRPr="00606AC1">
        <w:t xml:space="preserve"> and </w:t>
      </w:r>
      <w:r w:rsidR="00043F97" w:rsidRPr="00606AC1">
        <w:t>deep</w:t>
      </w:r>
      <w:r w:rsidR="00075AF2" w:rsidRPr="00606AC1">
        <w:t>-</w:t>
      </w:r>
      <w:r w:rsidR="00043F97" w:rsidRPr="00606AC1">
        <w:t xml:space="preserve">water (&gt; 15 metres) modelled </w:t>
      </w:r>
      <w:r w:rsidRPr="00606AC1">
        <w:t>seagrasses respectively, were exposed to river plumes</w:t>
      </w:r>
      <w:r w:rsidR="008F674F" w:rsidRPr="00606AC1">
        <w:t xml:space="preserve"> with </w:t>
      </w:r>
      <w:r w:rsidR="00075AF2" w:rsidRPr="00606AC1">
        <w:lastRenderedPageBreak/>
        <w:t>10</w:t>
      </w:r>
      <w:r w:rsidR="008F674F" w:rsidRPr="00606AC1">
        <w:t>% in the high potential risk category</w:t>
      </w:r>
      <w:r w:rsidRPr="00606AC1">
        <w:t xml:space="preserve">. Of the </w:t>
      </w:r>
      <w:r w:rsidR="00075AF2" w:rsidRPr="00606AC1">
        <w:t xml:space="preserve">surveyed seagrass </w:t>
      </w:r>
      <w:r w:rsidRPr="00606AC1">
        <w:t xml:space="preserve">meadows exposed to </w:t>
      </w:r>
      <w:r w:rsidR="00C83C66">
        <w:t>highest</w:t>
      </w:r>
      <w:r w:rsidR="00C83C66" w:rsidRPr="00606AC1">
        <w:t xml:space="preserve"> </w:t>
      </w:r>
      <w:r w:rsidRPr="00606AC1">
        <w:t xml:space="preserve">risk categories </w:t>
      </w:r>
      <w:r w:rsidR="00C83C66">
        <w:t>(</w:t>
      </w:r>
      <w:r w:rsidRPr="00606AC1">
        <w:t>III and IV</w:t>
      </w:r>
      <w:r w:rsidR="00C83C66">
        <w:t>)</w:t>
      </w:r>
      <w:r w:rsidRPr="00606AC1">
        <w:t>, 95% were in the Fitzroy region, followed by the Wet Tropics (92%), Burdekin (83%), Mackay Whitsunday (58%) and Cape York (52%)</w:t>
      </w:r>
      <w:r w:rsidR="00075AF2" w:rsidRPr="00606AC1">
        <w:t xml:space="preserve"> </w:t>
      </w:r>
      <w:r w:rsidR="00BB0899">
        <w:t xml:space="preserve">regions </w:t>
      </w:r>
      <w:r w:rsidR="00075AF2" w:rsidRPr="00606AC1">
        <w:t>(areas are shown in Table 5-4)</w:t>
      </w:r>
      <w:r w:rsidRPr="00606AC1">
        <w:t xml:space="preserve">. </w:t>
      </w:r>
      <w:r w:rsidR="00BB0899">
        <w:t xml:space="preserve">Only a small proportion of deepwater modelled seagrass were in the higher risk categories. </w:t>
      </w:r>
    </w:p>
    <w:p w14:paraId="625B75C6" w14:textId="47172BF4" w:rsidR="003E6F68" w:rsidRDefault="00B05E41" w:rsidP="002F77BD">
      <w:r>
        <w:rPr>
          <w:rFonts w:cs="Arial"/>
          <w:szCs w:val="22"/>
          <w:lang w:val="en-AU"/>
        </w:rPr>
        <w:t>An ocean colour based model has been under development to estimate the dispersion of individual parameters including DIN</w:t>
      </w:r>
      <w:r w:rsidR="005F6551">
        <w:rPr>
          <w:rFonts w:cs="Arial"/>
          <w:szCs w:val="22"/>
          <w:lang w:val="en-AU"/>
        </w:rPr>
        <w:t xml:space="preserve">, </w:t>
      </w:r>
      <w:r>
        <w:rPr>
          <w:rFonts w:cs="Arial"/>
          <w:szCs w:val="22"/>
          <w:lang w:val="en-AU"/>
        </w:rPr>
        <w:t xml:space="preserve">TSS and </w:t>
      </w:r>
      <w:r w:rsidR="005F6551">
        <w:rPr>
          <w:rFonts w:cs="Arial"/>
          <w:szCs w:val="22"/>
          <w:lang w:val="en-AU"/>
        </w:rPr>
        <w:t>PN</w:t>
      </w:r>
      <w:r>
        <w:rPr>
          <w:rFonts w:cs="Arial"/>
          <w:szCs w:val="22"/>
          <w:lang w:val="en-AU"/>
        </w:rPr>
        <w:t xml:space="preserve"> delivered by river plumes to GBR waters. This model combines in-situ data, Moderate Resolution Imaging Spectroradiometer (MODIS satellite) imagery and modelled annual end-of-catchment loads from the GBR catchments. In the model, monitored end-of-catchment loads provide the amount of each parameter delivered to the GBR, in-situ data provides the pollutant mass in river plumes, and satellite imagery provides the direction and intensity of pollutant mass dispersed over the GBR lagoon. The eReefs hydrodynamic model also provides an estimate of the boundary of plume extent in the wet season (tracer maps). This model produces annual maps of average DIN, TSS and PN concentration in the GBR waters. </w:t>
      </w:r>
      <w:r w:rsidR="00291EFB">
        <w:rPr>
          <w:rFonts w:cs="Arial"/>
          <w:szCs w:val="22"/>
          <w:lang w:val="en-AU"/>
        </w:rPr>
        <w:t>The maps are presented as a time series from 2004 to 2015 and can be used to assess the concentration of pollutants from river plumes and assess relative contributions of pollutants from individual rivers to different NRM regions.</w:t>
      </w:r>
    </w:p>
    <w:p w14:paraId="5F22ECE1" w14:textId="77777777" w:rsidR="00654FD5" w:rsidRPr="00842CA3" w:rsidRDefault="00654FD5" w:rsidP="00CD2D89">
      <w:pPr>
        <w:pStyle w:val="Heading2"/>
      </w:pPr>
      <w:bookmarkStart w:id="32" w:name="_Toc462307425"/>
      <w:r w:rsidRPr="00842CA3">
        <w:t xml:space="preserve">Trends in key </w:t>
      </w:r>
      <w:r w:rsidR="005F00BD" w:rsidRPr="00842CA3">
        <w:t>water quality in</w:t>
      </w:r>
      <w:r w:rsidRPr="00842CA3">
        <w:t>dicators</w:t>
      </w:r>
      <w:bookmarkEnd w:id="20"/>
      <w:bookmarkEnd w:id="21"/>
      <w:bookmarkEnd w:id="32"/>
      <w:r w:rsidRPr="00842CA3">
        <w:t xml:space="preserve"> </w:t>
      </w:r>
    </w:p>
    <w:p w14:paraId="5F22ECE2" w14:textId="50162C4F" w:rsidR="00A24EBB" w:rsidRPr="00842CA3" w:rsidRDefault="00A24EBB" w:rsidP="00FA0EF3">
      <w:pPr>
        <w:rPr>
          <w:lang w:val="en-AU"/>
        </w:rPr>
      </w:pPr>
      <w:r w:rsidRPr="00842CA3">
        <w:rPr>
          <w:lang w:val="en-AU"/>
        </w:rPr>
        <w:t>T</w:t>
      </w:r>
      <w:r w:rsidR="00317599" w:rsidRPr="00842CA3">
        <w:rPr>
          <w:lang w:val="en-AU"/>
        </w:rPr>
        <w:t>his report provide</w:t>
      </w:r>
      <w:r w:rsidRPr="00842CA3">
        <w:rPr>
          <w:lang w:val="en-AU"/>
        </w:rPr>
        <w:t>s detailed information on the</w:t>
      </w:r>
      <w:r w:rsidR="00317599" w:rsidRPr="00842CA3">
        <w:rPr>
          <w:lang w:val="en-AU"/>
        </w:rPr>
        <w:t xml:space="preserve"> temporal trends of water quality indicators</w:t>
      </w:r>
      <w:r w:rsidR="00036EC2">
        <w:rPr>
          <w:lang w:val="en-AU"/>
        </w:rPr>
        <w:t xml:space="preserve"> relative the Water Quality Guidelines for the GBR,</w:t>
      </w:r>
      <w:r w:rsidRPr="00842CA3">
        <w:rPr>
          <w:lang w:val="en-AU"/>
        </w:rPr>
        <w:t xml:space="preserve"> </w:t>
      </w:r>
      <w:r w:rsidR="00C765D2">
        <w:rPr>
          <w:lang w:val="en-AU"/>
        </w:rPr>
        <w:t>throughout the year</w:t>
      </w:r>
      <w:r w:rsidRPr="00842CA3">
        <w:rPr>
          <w:lang w:val="en-AU"/>
        </w:rPr>
        <w:t>.</w:t>
      </w:r>
    </w:p>
    <w:p w14:paraId="5F22ECE3" w14:textId="48AA3B31" w:rsidR="00654FD5" w:rsidRDefault="00317599" w:rsidP="00FA0EF3">
      <w:pPr>
        <w:rPr>
          <w:rFonts w:cs="Arial"/>
          <w:lang w:val="en-AU"/>
        </w:rPr>
      </w:pPr>
      <w:r w:rsidRPr="00842CA3">
        <w:rPr>
          <w:lang w:val="en-AU"/>
        </w:rPr>
        <w:t xml:space="preserve">The key </w:t>
      </w:r>
      <w:r w:rsidR="00A24EBB" w:rsidRPr="00842CA3">
        <w:rPr>
          <w:lang w:val="en-AU"/>
        </w:rPr>
        <w:t xml:space="preserve">water quality </w:t>
      </w:r>
      <w:r w:rsidRPr="00842CA3">
        <w:rPr>
          <w:lang w:val="en-AU"/>
        </w:rPr>
        <w:t>indicators</w:t>
      </w:r>
      <w:r w:rsidR="00BD272C">
        <w:rPr>
          <w:lang w:val="en-AU"/>
        </w:rPr>
        <w:t xml:space="preserve"> are aggregated</w:t>
      </w:r>
      <w:r w:rsidRPr="00842CA3">
        <w:rPr>
          <w:lang w:val="en-AU"/>
        </w:rPr>
        <w:t xml:space="preserve"> </w:t>
      </w:r>
      <w:r w:rsidR="00BD272C">
        <w:rPr>
          <w:lang w:val="en-AU"/>
        </w:rPr>
        <w:t>into</w:t>
      </w:r>
      <w:r w:rsidRPr="00842CA3">
        <w:rPr>
          <w:lang w:val="en-AU"/>
        </w:rPr>
        <w:t xml:space="preserve"> </w:t>
      </w:r>
      <w:r w:rsidR="00BD272C">
        <w:rPr>
          <w:lang w:val="en-AU"/>
        </w:rPr>
        <w:t>a</w:t>
      </w:r>
      <w:r w:rsidR="007B5205">
        <w:rPr>
          <w:lang w:val="en-AU"/>
        </w:rPr>
        <w:t xml:space="preserve"> site-specific</w:t>
      </w:r>
      <w:r w:rsidR="00BD272C">
        <w:rPr>
          <w:lang w:val="en-AU"/>
        </w:rPr>
        <w:t xml:space="preserve"> </w:t>
      </w:r>
      <w:r w:rsidR="00BB0899">
        <w:rPr>
          <w:lang w:val="en-AU"/>
        </w:rPr>
        <w:t>W</w:t>
      </w:r>
      <w:r w:rsidR="00BD272C">
        <w:rPr>
          <w:lang w:val="en-AU"/>
        </w:rPr>
        <w:t xml:space="preserve">ater </w:t>
      </w:r>
      <w:r w:rsidR="00BB0899">
        <w:rPr>
          <w:lang w:val="en-AU"/>
        </w:rPr>
        <w:t>Q</w:t>
      </w:r>
      <w:r w:rsidR="00BD272C">
        <w:rPr>
          <w:lang w:val="en-AU"/>
        </w:rPr>
        <w:t xml:space="preserve">uality </w:t>
      </w:r>
      <w:r w:rsidR="00BB0899">
        <w:rPr>
          <w:lang w:val="en-AU"/>
        </w:rPr>
        <w:t>I</w:t>
      </w:r>
      <w:r w:rsidR="00BD272C">
        <w:rPr>
          <w:lang w:val="en-AU"/>
        </w:rPr>
        <w:t xml:space="preserve">ndex, which is summarised </w:t>
      </w:r>
      <w:r w:rsidRPr="00842CA3">
        <w:rPr>
          <w:lang w:val="en-AU"/>
        </w:rPr>
        <w:t xml:space="preserve">at the scale of </w:t>
      </w:r>
      <w:r w:rsidR="00BD272C" w:rsidRPr="00842CA3">
        <w:rPr>
          <w:lang w:val="en-AU"/>
        </w:rPr>
        <w:t xml:space="preserve">NRM </w:t>
      </w:r>
      <w:r w:rsidRPr="00842CA3">
        <w:rPr>
          <w:lang w:val="en-AU"/>
        </w:rPr>
        <w:t xml:space="preserve">regions </w:t>
      </w:r>
      <w:r w:rsidRPr="00842CA3">
        <w:rPr>
          <w:color w:val="000000" w:themeColor="text1"/>
          <w:lang w:val="en-AU"/>
        </w:rPr>
        <w:t xml:space="preserve">to give a general overview of major </w:t>
      </w:r>
      <w:r w:rsidR="00BD272C" w:rsidRPr="00842CA3">
        <w:rPr>
          <w:lang w:val="en-AU"/>
        </w:rPr>
        <w:t>trends</w:t>
      </w:r>
      <w:r w:rsidR="00BD272C" w:rsidRPr="00842CA3">
        <w:rPr>
          <w:color w:val="000000" w:themeColor="text1"/>
          <w:lang w:val="en-AU"/>
        </w:rPr>
        <w:t xml:space="preserve"> </w:t>
      </w:r>
      <w:r w:rsidRPr="00842CA3">
        <w:rPr>
          <w:color w:val="000000" w:themeColor="text1"/>
          <w:lang w:val="en-AU"/>
        </w:rPr>
        <w:t xml:space="preserve">in the water quality along sections of the northern, central and southern GBR (Figure </w:t>
      </w:r>
      <w:r w:rsidR="005F6551">
        <w:rPr>
          <w:color w:val="000000" w:themeColor="text1"/>
          <w:lang w:val="en-AU"/>
        </w:rPr>
        <w:t>i</w:t>
      </w:r>
      <w:r w:rsidRPr="00842CA3">
        <w:rPr>
          <w:color w:val="000000" w:themeColor="text1"/>
          <w:lang w:val="en-AU"/>
        </w:rPr>
        <w:t>).</w:t>
      </w:r>
      <w:r w:rsidR="00A24EBB" w:rsidRPr="00842CA3">
        <w:rPr>
          <w:lang w:val="en-AU"/>
        </w:rPr>
        <w:t xml:space="preserve"> The regional </w:t>
      </w:r>
      <w:r w:rsidR="00BB0899">
        <w:rPr>
          <w:lang w:val="en-AU"/>
        </w:rPr>
        <w:t>W</w:t>
      </w:r>
      <w:r w:rsidR="00BB0899" w:rsidRPr="00842CA3">
        <w:rPr>
          <w:lang w:val="en-AU"/>
        </w:rPr>
        <w:t xml:space="preserve">ater </w:t>
      </w:r>
      <w:r w:rsidR="00BB0899">
        <w:rPr>
          <w:lang w:val="en-AU"/>
        </w:rPr>
        <w:t>Q</w:t>
      </w:r>
      <w:r w:rsidR="00A24EBB" w:rsidRPr="00842CA3">
        <w:rPr>
          <w:lang w:val="en-AU"/>
        </w:rPr>
        <w:t xml:space="preserve">uality </w:t>
      </w:r>
      <w:r w:rsidR="00BB0899">
        <w:rPr>
          <w:lang w:val="en-AU"/>
        </w:rPr>
        <w:t>I</w:t>
      </w:r>
      <w:r w:rsidR="00A24EBB" w:rsidRPr="00842CA3">
        <w:rPr>
          <w:lang w:val="en-AU"/>
        </w:rPr>
        <w:t>ndex is currently based on a selected set of variables for which GBR water quality guidelines are available and uses data from permanent sites that were sampled from 2005-2015</w:t>
      </w:r>
      <w:r w:rsidR="00082F25">
        <w:rPr>
          <w:lang w:val="en-AU"/>
        </w:rPr>
        <w:t xml:space="preserve"> and the new sites established in 20</w:t>
      </w:r>
      <w:r w:rsidR="00194DA7">
        <w:rPr>
          <w:lang w:val="en-AU"/>
        </w:rPr>
        <w:t>15</w:t>
      </w:r>
      <w:r w:rsidR="00A24EBB" w:rsidRPr="00842CA3">
        <w:rPr>
          <w:lang w:val="en-AU"/>
        </w:rPr>
        <w:t xml:space="preserve">. The index provides a useful representation of water quality condition in the inshore GBR, however, it is important to </w:t>
      </w:r>
      <w:r w:rsidR="00BD272C">
        <w:rPr>
          <w:lang w:val="en-AU"/>
        </w:rPr>
        <w:t>note</w:t>
      </w:r>
      <w:r w:rsidR="00A24EBB" w:rsidRPr="00842CA3">
        <w:rPr>
          <w:lang w:val="en-AU"/>
        </w:rPr>
        <w:t xml:space="preserve"> that a more comprehensive index would encompass a much wider range of </w:t>
      </w:r>
      <w:r w:rsidR="00A24EBB" w:rsidRPr="00075AF2">
        <w:rPr>
          <w:lang w:val="en-AU"/>
        </w:rPr>
        <w:t>variables</w:t>
      </w:r>
      <w:r w:rsidR="00A24EBB" w:rsidRPr="00842CA3">
        <w:rPr>
          <w:lang w:val="en-AU"/>
        </w:rPr>
        <w:t xml:space="preserve"> and </w:t>
      </w:r>
      <w:r w:rsidR="00075AF2">
        <w:rPr>
          <w:lang w:val="en-AU"/>
        </w:rPr>
        <w:t>all</w:t>
      </w:r>
      <w:r w:rsidR="00075AF2" w:rsidRPr="00842CA3">
        <w:rPr>
          <w:lang w:val="en-AU"/>
        </w:rPr>
        <w:t xml:space="preserve"> </w:t>
      </w:r>
      <w:r w:rsidR="00A24EBB" w:rsidRPr="00842CA3">
        <w:rPr>
          <w:lang w:val="en-AU"/>
        </w:rPr>
        <w:t xml:space="preserve">sampling sites in a region to </w:t>
      </w:r>
      <w:r w:rsidR="00036EC2">
        <w:rPr>
          <w:lang w:val="en-AU"/>
        </w:rPr>
        <w:t>capture</w:t>
      </w:r>
      <w:r w:rsidR="00036EC2" w:rsidRPr="00842CA3">
        <w:rPr>
          <w:lang w:val="en-AU"/>
        </w:rPr>
        <w:t xml:space="preserve"> </w:t>
      </w:r>
      <w:r w:rsidR="00A24EBB" w:rsidRPr="00842CA3">
        <w:rPr>
          <w:lang w:val="en-AU"/>
        </w:rPr>
        <w:t>a wider range of conditions along environmental gradients. For example, t</w:t>
      </w:r>
      <w:r w:rsidR="00A24EBB" w:rsidRPr="00842CA3">
        <w:rPr>
          <w:rFonts w:cs="Arial"/>
          <w:lang w:val="en-AU"/>
        </w:rPr>
        <w:t xml:space="preserve">he index does not reflect the marked increases measured in </w:t>
      </w:r>
      <w:r w:rsidR="009B70CD">
        <w:rPr>
          <w:rFonts w:cs="Arial"/>
          <w:lang w:val="en-AU"/>
        </w:rPr>
        <w:t xml:space="preserve">dissolved </w:t>
      </w:r>
      <w:r w:rsidR="00A24EBB" w:rsidRPr="00842CA3">
        <w:rPr>
          <w:rFonts w:cs="Arial"/>
          <w:lang w:val="en-AU"/>
        </w:rPr>
        <w:t>organic carbon over the monitoring period 2005</w:t>
      </w:r>
      <w:r w:rsidR="00BB0899">
        <w:rPr>
          <w:rFonts w:cs="Arial"/>
          <w:lang w:val="en-AU"/>
        </w:rPr>
        <w:t xml:space="preserve"> to </w:t>
      </w:r>
      <w:r w:rsidR="00A24EBB" w:rsidRPr="00842CA3">
        <w:rPr>
          <w:rFonts w:cs="Arial"/>
          <w:lang w:val="en-AU"/>
        </w:rPr>
        <w:t>2015</w:t>
      </w:r>
      <w:r w:rsidR="004105A2" w:rsidRPr="00842CA3">
        <w:rPr>
          <w:rFonts w:cs="Arial"/>
          <w:lang w:val="en-AU"/>
        </w:rPr>
        <w:t xml:space="preserve"> in all regions</w:t>
      </w:r>
      <w:r w:rsidR="00BD272C">
        <w:rPr>
          <w:rFonts w:cs="Arial"/>
          <w:lang w:val="en-AU"/>
        </w:rPr>
        <w:t>, because no suitable guidelines are available for these indicators</w:t>
      </w:r>
      <w:r w:rsidR="00A24EBB" w:rsidRPr="00842CA3">
        <w:rPr>
          <w:rFonts w:cs="Arial"/>
          <w:lang w:val="en-AU"/>
        </w:rPr>
        <w:t>.</w:t>
      </w:r>
      <w:r w:rsidR="00766668">
        <w:rPr>
          <w:rFonts w:cs="Arial"/>
          <w:lang w:val="en-AU"/>
        </w:rPr>
        <w:t xml:space="preserve"> </w:t>
      </w:r>
      <w:r w:rsidR="00082F25">
        <w:rPr>
          <w:lang w:val="en-AU"/>
        </w:rPr>
        <w:t xml:space="preserve">In this year’s index calculation </w:t>
      </w:r>
      <w:r w:rsidR="00A54F38">
        <w:rPr>
          <w:lang w:val="en-AU"/>
        </w:rPr>
        <w:t xml:space="preserve">dissolved </w:t>
      </w:r>
      <w:r w:rsidR="00833B2D">
        <w:rPr>
          <w:lang w:val="en-AU"/>
        </w:rPr>
        <w:t xml:space="preserve">oxidised </w:t>
      </w:r>
      <w:r w:rsidR="00A54F38">
        <w:rPr>
          <w:lang w:val="en-AU"/>
        </w:rPr>
        <w:t>nitrogen (</w:t>
      </w:r>
      <w:r w:rsidR="00082F25">
        <w:rPr>
          <w:lang w:val="en-AU"/>
        </w:rPr>
        <w:t>NO</w:t>
      </w:r>
      <w:r w:rsidR="00082F25" w:rsidRPr="004A5BF7">
        <w:rPr>
          <w:vertAlign w:val="subscript"/>
          <w:lang w:val="en-AU"/>
        </w:rPr>
        <w:t>x</w:t>
      </w:r>
      <w:r w:rsidR="00A54F38">
        <w:rPr>
          <w:lang w:val="en-AU"/>
        </w:rPr>
        <w:t>)</w:t>
      </w:r>
      <w:r w:rsidR="00F445EF">
        <w:rPr>
          <w:lang w:val="en-AU"/>
        </w:rPr>
        <w:t xml:space="preserve"> was included for the first time</w:t>
      </w:r>
      <w:r w:rsidR="00082F25">
        <w:rPr>
          <w:lang w:val="en-AU"/>
        </w:rPr>
        <w:t xml:space="preserve">, to reflect the changes found in this variable over the MMP sampling period. </w:t>
      </w:r>
      <w:r w:rsidR="00766668">
        <w:rPr>
          <w:rFonts w:cs="Arial"/>
          <w:lang w:val="en-AU"/>
        </w:rPr>
        <w:t xml:space="preserve">In addition, the data collected prior to implementation of the new monitoring design this year was dominated by dry season conditions; the incorporation of </w:t>
      </w:r>
      <w:r w:rsidR="00D2594B">
        <w:rPr>
          <w:rFonts w:cs="Arial"/>
          <w:lang w:val="en-AU"/>
        </w:rPr>
        <w:t>more wet</w:t>
      </w:r>
      <w:r w:rsidR="00766668">
        <w:rPr>
          <w:rFonts w:cs="Arial"/>
          <w:lang w:val="en-AU"/>
        </w:rPr>
        <w:t xml:space="preserve"> season data in the future is likely to present a different perspective of overall water quality conditions.</w:t>
      </w:r>
    </w:p>
    <w:p w14:paraId="5F22ECE5" w14:textId="77777777" w:rsidR="00A24EBB" w:rsidRPr="00842CA3" w:rsidRDefault="00A24EBB" w:rsidP="00FA0EF3">
      <w:pPr>
        <w:rPr>
          <w:color w:val="000000" w:themeColor="text1"/>
          <w:lang w:val="en-AU"/>
        </w:rPr>
      </w:pPr>
    </w:p>
    <w:p w14:paraId="5F22ECE6" w14:textId="77777777" w:rsidR="00A24EBB" w:rsidRPr="00842CA3" w:rsidRDefault="00A24EBB" w:rsidP="00BD1DB3">
      <w:pPr>
        <w:jc w:val="center"/>
        <w:rPr>
          <w:rFonts w:cs="Arial"/>
          <w:lang w:val="en-AU"/>
        </w:rPr>
      </w:pPr>
      <w:r w:rsidRPr="0026385A">
        <w:rPr>
          <w:noProof/>
          <w:color w:val="0070C0"/>
          <w:lang w:val="en-AU" w:eastAsia="en-AU"/>
        </w:rPr>
        <w:drawing>
          <wp:inline distT="0" distB="0" distL="0" distR="0" wp14:anchorId="5F2323A7" wp14:editId="72A01375">
            <wp:extent cx="5661812" cy="1802921"/>
            <wp:effectExtent l="0" t="0" r="0" b="6985"/>
            <wp:docPr id="7" name="Picture 7" descr="Graph showing results of the site-specific Water Quality Index from 2006-07 to 2014-15 for the Wet Tropics, Burdekin and Mackay Whitsunday regions. The Water Quality Index aggregates scores for five variables: concentrations of dissolved oxidised nitrogen, particulate nitrogen and phosphorus, chlorophyll-a and a combined water clarity indicator (total suspended solids, turbidity and Secchi depth), relative to Guideline values (GBRMPA 2010, DERM 2009). . Water Quality Index colour coding: dark green- ‘very good’; light green-‘good’; yellow – ‘moderate; orange – ‘poor’; red – ‘very poor’. " title="Results of the site-specific Water Quality Index from 2006-07 to 2014-15 for the Wet Tropics, Burdekin and Mackay Whitsunday reg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onborg\Desktop\MMP report 2014-15\Graphs 2014-2015\Worms\wormsWQOverall_flntu.niskin.2014.reef.av.daily.png"/>
                    <pic:cNvPicPr>
                      <a:picLocks noChangeAspect="1" noChangeArrowheads="1"/>
                    </pic:cNvPicPr>
                  </pic:nvPicPr>
                  <pic:blipFill rotWithShape="1">
                    <a:blip r:embed="rId291">
                      <a:extLst>
                        <a:ext uri="{28A0092B-C50C-407E-A947-70E740481C1C}">
                          <a14:useLocalDpi xmlns:a14="http://schemas.microsoft.com/office/drawing/2010/main" val="0"/>
                        </a:ext>
                      </a:extLst>
                    </a:blip>
                    <a:srcRect/>
                    <a:stretch/>
                  </pic:blipFill>
                  <pic:spPr bwMode="auto">
                    <a:xfrm>
                      <a:off x="0" y="0"/>
                      <a:ext cx="5726464" cy="1823509"/>
                    </a:xfrm>
                    <a:prstGeom prst="rect">
                      <a:avLst/>
                    </a:prstGeom>
                    <a:noFill/>
                    <a:ln>
                      <a:noFill/>
                    </a:ln>
                    <a:extLst>
                      <a:ext uri="{53640926-AAD7-44D8-BBD7-CCE9431645EC}">
                        <a14:shadowObscured xmlns:a14="http://schemas.microsoft.com/office/drawing/2010/main"/>
                      </a:ext>
                    </a:extLst>
                  </pic:spPr>
                </pic:pic>
              </a:graphicData>
            </a:graphic>
          </wp:inline>
        </w:drawing>
      </w:r>
    </w:p>
    <w:p w14:paraId="5F22ECE8" w14:textId="4043AEBE" w:rsidR="00A24EBB" w:rsidRPr="00B704DA" w:rsidRDefault="00A24EBB" w:rsidP="00164E5E">
      <w:pPr>
        <w:pStyle w:val="Caption"/>
        <w:rPr>
          <w:rStyle w:val="IntenseReference"/>
          <w:lang w:val="en-US"/>
        </w:rPr>
      </w:pPr>
      <w:r w:rsidRPr="00390310">
        <w:t xml:space="preserve">Figure </w:t>
      </w:r>
      <w:r w:rsidR="005F6551">
        <w:t>i</w:t>
      </w:r>
      <w:r w:rsidRPr="00390310">
        <w:t xml:space="preserve">. </w:t>
      </w:r>
      <w:r w:rsidR="00F445EF" w:rsidRPr="00E36C16">
        <w:rPr>
          <w:szCs w:val="18"/>
        </w:rPr>
        <w:t xml:space="preserve">Results of the </w:t>
      </w:r>
      <w:r w:rsidR="007B5205">
        <w:rPr>
          <w:szCs w:val="18"/>
        </w:rPr>
        <w:t xml:space="preserve">site-specific </w:t>
      </w:r>
      <w:r w:rsidR="00F445EF" w:rsidRPr="00E36C16">
        <w:rPr>
          <w:szCs w:val="18"/>
        </w:rPr>
        <w:t>Water Quality Index from 2006-07 to 2014-15 for the Wet Tropics, Burdekin and Mackay Whitsunday regions</w:t>
      </w:r>
      <w:r w:rsidRPr="00984C57">
        <w:rPr>
          <w:szCs w:val="18"/>
        </w:rPr>
        <w:t xml:space="preserve">. </w:t>
      </w:r>
      <w:r w:rsidRPr="00833B2D">
        <w:rPr>
          <w:rStyle w:val="IntenseReference"/>
          <w:szCs w:val="18"/>
        </w:rPr>
        <w:t xml:space="preserve">The </w:t>
      </w:r>
      <w:r w:rsidR="009D4FE5" w:rsidRPr="00833B2D">
        <w:rPr>
          <w:rStyle w:val="IntenseReference"/>
          <w:szCs w:val="18"/>
        </w:rPr>
        <w:t>W</w:t>
      </w:r>
      <w:r w:rsidRPr="00833B2D">
        <w:rPr>
          <w:rStyle w:val="IntenseReference"/>
          <w:szCs w:val="18"/>
        </w:rPr>
        <w:t xml:space="preserve">ater </w:t>
      </w:r>
      <w:r w:rsidR="009D4FE5" w:rsidRPr="00833B2D">
        <w:rPr>
          <w:rStyle w:val="IntenseReference"/>
          <w:szCs w:val="18"/>
        </w:rPr>
        <w:t>Q</w:t>
      </w:r>
      <w:r w:rsidRPr="00833B2D">
        <w:rPr>
          <w:rStyle w:val="IntenseReference"/>
          <w:szCs w:val="18"/>
        </w:rPr>
        <w:t xml:space="preserve">uality </w:t>
      </w:r>
      <w:r w:rsidR="009D4FE5" w:rsidRPr="00833B2D">
        <w:rPr>
          <w:rStyle w:val="IntenseReference"/>
          <w:szCs w:val="18"/>
        </w:rPr>
        <w:t>I</w:t>
      </w:r>
      <w:r w:rsidRPr="00833B2D">
        <w:rPr>
          <w:rStyle w:val="IntenseReference"/>
          <w:szCs w:val="18"/>
        </w:rPr>
        <w:t xml:space="preserve">ndex aggregates scores for </w:t>
      </w:r>
      <w:r w:rsidR="00842CA3" w:rsidRPr="00833B2D">
        <w:rPr>
          <w:rStyle w:val="IntenseReference"/>
          <w:szCs w:val="18"/>
        </w:rPr>
        <w:t xml:space="preserve">five </w:t>
      </w:r>
      <w:r w:rsidR="00F445EF" w:rsidRPr="00EB1AFA">
        <w:rPr>
          <w:rStyle w:val="IntenseReference"/>
          <w:szCs w:val="18"/>
        </w:rPr>
        <w:t>variables</w:t>
      </w:r>
      <w:r w:rsidRPr="00EB1AFA">
        <w:rPr>
          <w:rStyle w:val="IntenseReference"/>
          <w:szCs w:val="18"/>
        </w:rPr>
        <w:t xml:space="preserve">: concentrations of </w:t>
      </w:r>
      <w:r w:rsidR="00842CA3" w:rsidRPr="00053E65">
        <w:rPr>
          <w:rStyle w:val="IntenseReference"/>
          <w:szCs w:val="18"/>
        </w:rPr>
        <w:t>dissolved oxidised nitrogen</w:t>
      </w:r>
      <w:r w:rsidR="007772AC">
        <w:rPr>
          <w:rStyle w:val="IntenseReference"/>
          <w:szCs w:val="18"/>
        </w:rPr>
        <w:t>,</w:t>
      </w:r>
      <w:r w:rsidR="00842CA3" w:rsidRPr="00053E65">
        <w:rPr>
          <w:rStyle w:val="IntenseReference"/>
          <w:szCs w:val="18"/>
        </w:rPr>
        <w:t xml:space="preserve"> </w:t>
      </w:r>
      <w:r w:rsidRPr="00053E65">
        <w:rPr>
          <w:rStyle w:val="IntenseReference"/>
          <w:szCs w:val="18"/>
        </w:rPr>
        <w:t>particulate nitrogen and phosphorus, chlorophyll</w:t>
      </w:r>
      <w:r w:rsidR="009D4FE5" w:rsidRPr="00053E65">
        <w:rPr>
          <w:rStyle w:val="IntenseReference"/>
          <w:szCs w:val="18"/>
        </w:rPr>
        <w:t>-a</w:t>
      </w:r>
      <w:r w:rsidRPr="00053E65">
        <w:rPr>
          <w:rStyle w:val="IntenseReference"/>
          <w:szCs w:val="18"/>
        </w:rPr>
        <w:t xml:space="preserve"> and a combined water clarity indicator (</w:t>
      </w:r>
      <w:r w:rsidR="007772AC">
        <w:rPr>
          <w:rStyle w:val="IntenseReference"/>
          <w:szCs w:val="18"/>
        </w:rPr>
        <w:t xml:space="preserve">total </w:t>
      </w:r>
      <w:r w:rsidRPr="00053E65">
        <w:rPr>
          <w:rStyle w:val="IntenseReference"/>
          <w:szCs w:val="18"/>
        </w:rPr>
        <w:t>suspended solids, turbidity and Secchi depth), relative to Guideline values (GBRMPA 2010</w:t>
      </w:r>
      <w:r w:rsidR="007E5958" w:rsidRPr="00053E65">
        <w:rPr>
          <w:rStyle w:val="IntenseReference"/>
          <w:szCs w:val="18"/>
        </w:rPr>
        <w:t>, DERM 2009</w:t>
      </w:r>
      <w:r w:rsidRPr="00053E65">
        <w:rPr>
          <w:rStyle w:val="IntenseReference"/>
          <w:szCs w:val="18"/>
        </w:rPr>
        <w:t xml:space="preserve">). </w:t>
      </w:r>
      <w:r w:rsidR="00B704DA" w:rsidRPr="00053E65">
        <w:rPr>
          <w:rStyle w:val="IntenseReference"/>
          <w:szCs w:val="18"/>
        </w:rPr>
        <w:t xml:space="preserve">. Water </w:t>
      </w:r>
      <w:r w:rsidR="007772AC">
        <w:rPr>
          <w:rStyle w:val="IntenseReference"/>
          <w:szCs w:val="18"/>
        </w:rPr>
        <w:t>Q</w:t>
      </w:r>
      <w:r w:rsidR="00B704DA" w:rsidRPr="00053E65">
        <w:rPr>
          <w:rStyle w:val="IntenseReference"/>
          <w:szCs w:val="18"/>
        </w:rPr>
        <w:t xml:space="preserve">uality </w:t>
      </w:r>
      <w:r w:rsidR="007772AC">
        <w:rPr>
          <w:rStyle w:val="IntenseReference"/>
          <w:szCs w:val="18"/>
        </w:rPr>
        <w:t>I</w:t>
      </w:r>
      <w:r w:rsidR="00B704DA" w:rsidRPr="00053E65">
        <w:rPr>
          <w:rStyle w:val="IntenseReference"/>
          <w:szCs w:val="18"/>
        </w:rPr>
        <w:t>ndex colour coding: dark green- ‘very good’; light green-‘good’; yellow – ‘moderate; orange – ‘poor’; red – ‘very poor’.</w:t>
      </w:r>
      <w:r w:rsidR="00B704DA" w:rsidRPr="00702B17">
        <w:rPr>
          <w:rStyle w:val="IntenseReference"/>
        </w:rPr>
        <w:t xml:space="preserve"> </w:t>
      </w:r>
    </w:p>
    <w:p w14:paraId="5F22ECEA" w14:textId="4330C1E2" w:rsidR="00703CCC" w:rsidRPr="00842CA3" w:rsidRDefault="00654FD5" w:rsidP="00703CCC">
      <w:pPr>
        <w:rPr>
          <w:lang w:val="en-AU"/>
        </w:rPr>
      </w:pPr>
      <w:r w:rsidRPr="00842CA3">
        <w:rPr>
          <w:rFonts w:cs="Arial"/>
          <w:lang w:val="en-AU"/>
        </w:rPr>
        <w:t xml:space="preserve">The </w:t>
      </w:r>
      <w:r w:rsidR="00F445EF">
        <w:rPr>
          <w:rFonts w:cs="Arial"/>
          <w:lang w:val="en-AU"/>
        </w:rPr>
        <w:t>W</w:t>
      </w:r>
      <w:r w:rsidRPr="00842CA3">
        <w:rPr>
          <w:rFonts w:cs="Arial"/>
          <w:lang w:val="en-AU"/>
        </w:rPr>
        <w:t xml:space="preserve">ater </w:t>
      </w:r>
      <w:r w:rsidR="00F445EF">
        <w:rPr>
          <w:rFonts w:cs="Arial"/>
          <w:lang w:val="en-AU"/>
        </w:rPr>
        <w:t>Q</w:t>
      </w:r>
      <w:r w:rsidRPr="00842CA3">
        <w:rPr>
          <w:rFonts w:cs="Arial"/>
          <w:lang w:val="en-AU"/>
        </w:rPr>
        <w:t xml:space="preserve">uality </w:t>
      </w:r>
      <w:r w:rsidR="00F445EF">
        <w:rPr>
          <w:rFonts w:cs="Arial"/>
          <w:lang w:val="en-AU"/>
        </w:rPr>
        <w:t>I</w:t>
      </w:r>
      <w:r w:rsidRPr="00842CA3">
        <w:rPr>
          <w:rFonts w:cs="Arial"/>
          <w:lang w:val="en-AU"/>
        </w:rPr>
        <w:t xml:space="preserve">ndex </w:t>
      </w:r>
      <w:r w:rsidR="00766668">
        <w:rPr>
          <w:rFonts w:cs="Arial"/>
          <w:lang w:val="en-AU"/>
        </w:rPr>
        <w:t xml:space="preserve">(dominated by dry season data until now) </w:t>
      </w:r>
      <w:r w:rsidRPr="00842CA3">
        <w:rPr>
          <w:rFonts w:cs="Arial"/>
          <w:lang w:val="en-AU"/>
        </w:rPr>
        <w:t xml:space="preserve">has maintained ‘good’ index scores in the </w:t>
      </w:r>
      <w:r w:rsidRPr="00842CA3">
        <w:rPr>
          <w:rFonts w:cs="Arial"/>
          <w:b/>
          <w:lang w:val="en-AU"/>
        </w:rPr>
        <w:t xml:space="preserve">Wet Tropics </w:t>
      </w:r>
      <w:r w:rsidR="00B048B6" w:rsidRPr="004A5BF7">
        <w:rPr>
          <w:rFonts w:cs="Arial"/>
          <w:lang w:val="en-AU"/>
        </w:rPr>
        <w:t>region</w:t>
      </w:r>
      <w:r w:rsidR="00B048B6" w:rsidRPr="00842CA3">
        <w:rPr>
          <w:rFonts w:cs="Arial"/>
          <w:lang w:val="en-AU"/>
        </w:rPr>
        <w:t xml:space="preserve"> </w:t>
      </w:r>
      <w:r w:rsidR="00A24EBB" w:rsidRPr="00842CA3">
        <w:rPr>
          <w:rFonts w:cs="Arial"/>
          <w:lang w:val="en-AU"/>
        </w:rPr>
        <w:t>throughout the program</w:t>
      </w:r>
      <w:r w:rsidR="00B165A2">
        <w:rPr>
          <w:rFonts w:cs="Arial"/>
          <w:lang w:val="en-AU"/>
        </w:rPr>
        <w:t xml:space="preserve">, despite </w:t>
      </w:r>
      <w:r w:rsidR="00B165A2">
        <w:rPr>
          <w:rFonts w:cs="Arial"/>
          <w:szCs w:val="22"/>
          <w:lang w:val="en-AU" w:eastAsia="en-AU"/>
        </w:rPr>
        <w:t>i</w:t>
      </w:r>
      <w:r w:rsidR="00B165A2">
        <w:rPr>
          <w:rFonts w:cs="Arial"/>
          <w:szCs w:val="22"/>
          <w:lang w:val="en-AU"/>
        </w:rPr>
        <w:t>ncreased c</w:t>
      </w:r>
      <w:r w:rsidR="00B165A2" w:rsidRPr="00842CA3">
        <w:rPr>
          <w:rFonts w:cs="Arial"/>
          <w:szCs w:val="22"/>
          <w:lang w:val="en-AU"/>
        </w:rPr>
        <w:t xml:space="preserve">oncentrations of dissolved organic carbon, </w:t>
      </w:r>
      <w:r w:rsidR="00B165A2" w:rsidRPr="00842CA3">
        <w:rPr>
          <w:lang w:val="en-AU"/>
        </w:rPr>
        <w:t>NO</w:t>
      </w:r>
      <w:r w:rsidR="00B165A2" w:rsidRPr="00842CA3">
        <w:rPr>
          <w:vertAlign w:val="subscript"/>
          <w:lang w:val="en-AU"/>
        </w:rPr>
        <w:t>x</w:t>
      </w:r>
      <w:r w:rsidR="00B165A2" w:rsidRPr="00842CA3">
        <w:rPr>
          <w:rFonts w:cs="Arial"/>
          <w:szCs w:val="22"/>
          <w:lang w:val="en-AU"/>
        </w:rPr>
        <w:t xml:space="preserve"> and in turbidity levels</w:t>
      </w:r>
      <w:r w:rsidR="00B165A2">
        <w:rPr>
          <w:rFonts w:cs="Arial"/>
          <w:szCs w:val="22"/>
          <w:lang w:val="en-AU"/>
        </w:rPr>
        <w:t xml:space="preserve">. </w:t>
      </w:r>
      <w:r w:rsidRPr="00842CA3">
        <w:rPr>
          <w:rFonts w:cs="Arial"/>
          <w:lang w:val="en-AU"/>
        </w:rPr>
        <w:t xml:space="preserve"> </w:t>
      </w:r>
      <w:r w:rsidR="001D4312">
        <w:rPr>
          <w:rFonts w:cs="Arial"/>
          <w:lang w:val="en-AU"/>
        </w:rPr>
        <w:t xml:space="preserve">The multi-year trends of the wet season water quality showed a </w:t>
      </w:r>
      <w:r w:rsidR="001D4312" w:rsidRPr="008467AA">
        <w:rPr>
          <w:lang w:val="en-AU"/>
        </w:rPr>
        <w:t>reduction in concentration</w:t>
      </w:r>
      <w:r w:rsidR="001D4312">
        <w:rPr>
          <w:lang w:val="en-AU"/>
        </w:rPr>
        <w:t>s</w:t>
      </w:r>
      <w:r w:rsidR="001D4312" w:rsidRPr="008467AA">
        <w:rPr>
          <w:lang w:val="en-AU"/>
        </w:rPr>
        <w:t xml:space="preserve"> </w:t>
      </w:r>
      <w:r w:rsidR="001D4312">
        <w:rPr>
          <w:lang w:val="en-AU"/>
        </w:rPr>
        <w:t xml:space="preserve">of dissolved nutrients and particulate phosphorus </w:t>
      </w:r>
      <w:r w:rsidR="001D4312" w:rsidRPr="008467AA">
        <w:rPr>
          <w:lang w:val="en-AU"/>
        </w:rPr>
        <w:t xml:space="preserve">after 2012, </w:t>
      </w:r>
      <w:r w:rsidR="001D4312">
        <w:rPr>
          <w:lang w:val="en-AU"/>
        </w:rPr>
        <w:t>when river flow returned to lower values</w:t>
      </w:r>
      <w:r w:rsidR="00766668">
        <w:rPr>
          <w:lang w:val="en-AU"/>
        </w:rPr>
        <w:t xml:space="preserve"> than experienced in the previous years</w:t>
      </w:r>
      <w:r w:rsidR="001D4312">
        <w:rPr>
          <w:lang w:val="en-AU"/>
        </w:rPr>
        <w:t xml:space="preserve">. </w:t>
      </w:r>
    </w:p>
    <w:p w14:paraId="5F22ECEB" w14:textId="6A1F135F" w:rsidR="001D4312" w:rsidRPr="00842CA3" w:rsidRDefault="00317599" w:rsidP="001D4312">
      <w:pPr>
        <w:rPr>
          <w:lang w:val="en-AU"/>
        </w:rPr>
      </w:pPr>
      <w:r w:rsidRPr="00842CA3">
        <w:rPr>
          <w:rFonts w:cs="Arial"/>
          <w:lang w:val="en-AU"/>
        </w:rPr>
        <w:t xml:space="preserve">The overall water quality </w:t>
      </w:r>
      <w:r w:rsidR="00082F25">
        <w:rPr>
          <w:rFonts w:cs="Arial"/>
          <w:lang w:val="en-AU"/>
        </w:rPr>
        <w:t xml:space="preserve">at sites </w:t>
      </w:r>
      <w:r w:rsidRPr="00842CA3">
        <w:rPr>
          <w:rFonts w:cs="Arial"/>
          <w:lang w:val="en-AU"/>
        </w:rPr>
        <w:t xml:space="preserve">in the </w:t>
      </w:r>
      <w:r w:rsidRPr="00842CA3">
        <w:rPr>
          <w:rFonts w:cs="Arial"/>
          <w:b/>
          <w:lang w:val="en-AU"/>
        </w:rPr>
        <w:t xml:space="preserve">Burdekin </w:t>
      </w:r>
      <w:r w:rsidR="00B048B6" w:rsidRPr="004A5BF7">
        <w:rPr>
          <w:rFonts w:cs="Arial"/>
          <w:lang w:val="en-AU"/>
        </w:rPr>
        <w:t>region</w:t>
      </w:r>
      <w:r w:rsidR="00B048B6" w:rsidRPr="00842CA3">
        <w:rPr>
          <w:rFonts w:cs="Arial"/>
          <w:lang w:val="en-AU"/>
        </w:rPr>
        <w:t xml:space="preserve"> </w:t>
      </w:r>
      <w:r w:rsidRPr="00842CA3">
        <w:rPr>
          <w:rFonts w:cs="Arial"/>
          <w:lang w:val="en-AU"/>
        </w:rPr>
        <w:t>showed initial improvements at the start of the monitoring program</w:t>
      </w:r>
      <w:r w:rsidR="00BB0899">
        <w:rPr>
          <w:rFonts w:cs="Arial"/>
          <w:lang w:val="en-AU"/>
        </w:rPr>
        <w:t>,</w:t>
      </w:r>
      <w:r w:rsidRPr="00842CA3">
        <w:rPr>
          <w:rFonts w:cs="Arial"/>
          <w:lang w:val="en-AU"/>
        </w:rPr>
        <w:t xml:space="preserve"> and has remained </w:t>
      </w:r>
      <w:r w:rsidR="00E73210">
        <w:rPr>
          <w:rFonts w:cs="Arial"/>
          <w:lang w:val="en-AU"/>
        </w:rPr>
        <w:t xml:space="preserve">more or less </w:t>
      </w:r>
      <w:r w:rsidRPr="00842CA3">
        <w:rPr>
          <w:rFonts w:cs="Arial"/>
          <w:lang w:val="en-AU"/>
        </w:rPr>
        <w:t>stable over the last several years with continuous overall index scores of ‘good’ or ‘very good’ since 2008</w:t>
      </w:r>
      <w:r w:rsidR="00112C0D">
        <w:rPr>
          <w:rFonts w:cs="Arial"/>
          <w:lang w:val="en-AU"/>
        </w:rPr>
        <w:t xml:space="preserve"> at all sites</w:t>
      </w:r>
      <w:r w:rsidRPr="00842CA3">
        <w:rPr>
          <w:rFonts w:cs="Arial"/>
          <w:lang w:val="en-AU"/>
        </w:rPr>
        <w:t>.</w:t>
      </w:r>
      <w:r w:rsidR="00B165A2">
        <w:rPr>
          <w:rFonts w:cs="Arial"/>
          <w:lang w:val="en-AU"/>
        </w:rPr>
        <w:t xml:space="preserve"> It should be noted that these </w:t>
      </w:r>
      <w:r w:rsidR="00B165A2" w:rsidRPr="00842CA3">
        <w:rPr>
          <w:rFonts w:cs="Arial"/>
          <w:lang w:val="en-AU"/>
        </w:rPr>
        <w:t>‘good’ or ‘very good’</w:t>
      </w:r>
      <w:r w:rsidR="00B165A2">
        <w:rPr>
          <w:rFonts w:cs="Arial"/>
          <w:lang w:val="en-AU"/>
        </w:rPr>
        <w:t xml:space="preserve"> scores are not reflecting the </w:t>
      </w:r>
      <w:r w:rsidR="00B165A2">
        <w:rPr>
          <w:rFonts w:cs="Arial"/>
          <w:szCs w:val="22"/>
          <w:lang w:val="en-AU" w:eastAsia="en-AU"/>
        </w:rPr>
        <w:t>i</w:t>
      </w:r>
      <w:r w:rsidR="00B165A2">
        <w:rPr>
          <w:rFonts w:cs="Arial"/>
          <w:szCs w:val="22"/>
          <w:lang w:val="en-AU"/>
        </w:rPr>
        <w:t>ncreased c</w:t>
      </w:r>
      <w:r w:rsidR="00B165A2" w:rsidRPr="00842CA3">
        <w:rPr>
          <w:rFonts w:cs="Arial"/>
          <w:szCs w:val="22"/>
          <w:lang w:val="en-AU"/>
        </w:rPr>
        <w:t xml:space="preserve">oncentrations of dissolved organic carbon, </w:t>
      </w:r>
      <w:r w:rsidR="00B165A2" w:rsidRPr="00842CA3">
        <w:rPr>
          <w:lang w:val="en-AU"/>
        </w:rPr>
        <w:t>NO</w:t>
      </w:r>
      <w:r w:rsidR="00B165A2" w:rsidRPr="00842CA3">
        <w:rPr>
          <w:vertAlign w:val="subscript"/>
          <w:lang w:val="en-AU"/>
        </w:rPr>
        <w:t>x</w:t>
      </w:r>
      <w:r w:rsidR="00B165A2" w:rsidRPr="00842CA3">
        <w:rPr>
          <w:rFonts w:cs="Arial"/>
          <w:szCs w:val="22"/>
          <w:lang w:val="en-AU"/>
        </w:rPr>
        <w:t xml:space="preserve"> and in turbidity levels</w:t>
      </w:r>
      <w:r w:rsidR="00B165A2">
        <w:rPr>
          <w:rFonts w:cs="Arial"/>
          <w:szCs w:val="22"/>
          <w:lang w:val="en-AU"/>
        </w:rPr>
        <w:t xml:space="preserve">. </w:t>
      </w:r>
      <w:r w:rsidRPr="00842CA3">
        <w:rPr>
          <w:rFonts w:cs="Arial"/>
          <w:lang w:val="en-AU"/>
        </w:rPr>
        <w:t xml:space="preserve"> </w:t>
      </w:r>
      <w:r w:rsidR="001D4312">
        <w:rPr>
          <w:rFonts w:cs="Arial"/>
          <w:lang w:val="en-AU"/>
        </w:rPr>
        <w:t xml:space="preserve">The multi-year trends of the wet season water quality showed a </w:t>
      </w:r>
      <w:r w:rsidR="001D4312" w:rsidRPr="008467AA">
        <w:rPr>
          <w:lang w:val="en-AU"/>
        </w:rPr>
        <w:t>reduction in concentration</w:t>
      </w:r>
      <w:r w:rsidR="001D4312">
        <w:rPr>
          <w:lang w:val="en-AU"/>
        </w:rPr>
        <w:t>s</w:t>
      </w:r>
      <w:r w:rsidR="001D4312" w:rsidRPr="008467AA">
        <w:rPr>
          <w:lang w:val="en-AU"/>
        </w:rPr>
        <w:t xml:space="preserve"> </w:t>
      </w:r>
      <w:r w:rsidR="001D4312">
        <w:rPr>
          <w:lang w:val="en-AU"/>
        </w:rPr>
        <w:t xml:space="preserve">of dissolved nutrients and coloured dissolved organic matter (a proxy for freshwater inputs) </w:t>
      </w:r>
      <w:r w:rsidR="001D4312" w:rsidRPr="008467AA">
        <w:rPr>
          <w:lang w:val="en-AU"/>
        </w:rPr>
        <w:t xml:space="preserve">after 2012, </w:t>
      </w:r>
      <w:r w:rsidR="001D4312">
        <w:rPr>
          <w:lang w:val="en-AU"/>
        </w:rPr>
        <w:t xml:space="preserve">when river flow returned to lower values. </w:t>
      </w:r>
    </w:p>
    <w:p w14:paraId="5F22ECEC" w14:textId="2BB364E9" w:rsidR="002F77BD" w:rsidRDefault="00654FD5" w:rsidP="00EE5D45">
      <w:pPr>
        <w:rPr>
          <w:rFonts w:cs="Arial"/>
          <w:color w:val="000000" w:themeColor="text1"/>
          <w:lang w:val="en-AU"/>
        </w:rPr>
      </w:pPr>
      <w:r w:rsidRPr="00842CA3">
        <w:rPr>
          <w:rFonts w:cs="Arial"/>
          <w:color w:val="000000" w:themeColor="text1"/>
          <w:lang w:val="en-AU"/>
        </w:rPr>
        <w:t xml:space="preserve">Water quality in the </w:t>
      </w:r>
      <w:r w:rsidR="00456967" w:rsidRPr="00842CA3">
        <w:rPr>
          <w:rFonts w:cs="Arial"/>
          <w:b/>
          <w:color w:val="000000" w:themeColor="text1"/>
          <w:lang w:val="en-AU"/>
        </w:rPr>
        <w:t>Mackay</w:t>
      </w:r>
      <w:r w:rsidR="00D2594B">
        <w:rPr>
          <w:rFonts w:cs="Arial"/>
          <w:b/>
          <w:color w:val="000000" w:themeColor="text1"/>
          <w:lang w:val="en-AU"/>
        </w:rPr>
        <w:t xml:space="preserve"> </w:t>
      </w:r>
      <w:r w:rsidRPr="00842CA3">
        <w:rPr>
          <w:rFonts w:cs="Arial"/>
          <w:b/>
          <w:color w:val="000000" w:themeColor="text1"/>
          <w:lang w:val="en-AU"/>
        </w:rPr>
        <w:t xml:space="preserve">Whitsunday </w:t>
      </w:r>
      <w:r w:rsidR="00B048B6" w:rsidRPr="004A5BF7">
        <w:rPr>
          <w:rFonts w:cs="Arial"/>
          <w:color w:val="000000" w:themeColor="text1"/>
          <w:lang w:val="en-AU"/>
        </w:rPr>
        <w:t>region</w:t>
      </w:r>
      <w:r w:rsidR="00B048B6" w:rsidRPr="00842CA3">
        <w:rPr>
          <w:rFonts w:cs="Arial"/>
          <w:color w:val="000000" w:themeColor="text1"/>
          <w:lang w:val="en-AU"/>
        </w:rPr>
        <w:t xml:space="preserve"> </w:t>
      </w:r>
      <w:r w:rsidRPr="00842CA3">
        <w:rPr>
          <w:rFonts w:cs="Arial"/>
          <w:color w:val="000000" w:themeColor="text1"/>
          <w:lang w:val="en-AU"/>
        </w:rPr>
        <w:t xml:space="preserve">has steadily declined over the course of the MMP monitoring and </w:t>
      </w:r>
      <w:r w:rsidR="00E73210">
        <w:rPr>
          <w:rFonts w:cs="Arial"/>
          <w:color w:val="000000" w:themeColor="text1"/>
          <w:lang w:val="en-AU"/>
        </w:rPr>
        <w:t>returned</w:t>
      </w:r>
      <w:r w:rsidRPr="00842CA3">
        <w:rPr>
          <w:rFonts w:cs="Arial"/>
          <w:color w:val="000000" w:themeColor="text1"/>
          <w:lang w:val="en-AU"/>
        </w:rPr>
        <w:t xml:space="preserve"> a ‘moderate’ </w:t>
      </w:r>
      <w:r w:rsidR="00BB0899">
        <w:rPr>
          <w:rFonts w:cs="Arial"/>
          <w:color w:val="000000" w:themeColor="text1"/>
          <w:lang w:val="en-AU"/>
        </w:rPr>
        <w:t>index score</w:t>
      </w:r>
      <w:r w:rsidR="00BB0899" w:rsidRPr="00842CA3">
        <w:rPr>
          <w:rFonts w:cs="Arial"/>
          <w:color w:val="000000" w:themeColor="text1"/>
          <w:lang w:val="en-AU"/>
        </w:rPr>
        <w:t xml:space="preserve"> </w:t>
      </w:r>
      <w:r w:rsidRPr="00842CA3">
        <w:rPr>
          <w:rFonts w:cs="Arial"/>
          <w:color w:val="000000" w:themeColor="text1"/>
          <w:lang w:val="en-AU"/>
        </w:rPr>
        <w:t xml:space="preserve">for the </w:t>
      </w:r>
      <w:r w:rsidR="00E73210">
        <w:rPr>
          <w:rFonts w:cs="Arial"/>
          <w:color w:val="000000" w:themeColor="text1"/>
          <w:lang w:val="en-AU"/>
        </w:rPr>
        <w:t>fourth</w:t>
      </w:r>
      <w:r w:rsidRPr="00842CA3">
        <w:rPr>
          <w:rFonts w:cs="Arial"/>
          <w:color w:val="000000" w:themeColor="text1"/>
          <w:lang w:val="en-AU"/>
        </w:rPr>
        <w:t xml:space="preserve"> consecutive year. As </w:t>
      </w:r>
      <w:r w:rsidR="00317599" w:rsidRPr="00842CA3">
        <w:rPr>
          <w:rFonts w:cs="Arial"/>
          <w:color w:val="000000" w:themeColor="text1"/>
          <w:lang w:val="en-AU"/>
        </w:rPr>
        <w:t>indicated by</w:t>
      </w:r>
      <w:r w:rsidRPr="00842CA3">
        <w:rPr>
          <w:rFonts w:cs="Arial"/>
          <w:color w:val="000000" w:themeColor="text1"/>
          <w:lang w:val="en-AU"/>
        </w:rPr>
        <w:t xml:space="preserve"> the increased </w:t>
      </w:r>
      <w:r w:rsidR="00E73210" w:rsidRPr="00842CA3">
        <w:rPr>
          <w:rFonts w:cs="Arial"/>
          <w:color w:val="000000" w:themeColor="text1"/>
          <w:lang w:val="en-AU"/>
        </w:rPr>
        <w:t xml:space="preserve">turbidity levels </w:t>
      </w:r>
      <w:r w:rsidR="00E73210">
        <w:rPr>
          <w:rFonts w:cs="Arial"/>
          <w:color w:val="000000" w:themeColor="text1"/>
          <w:lang w:val="en-AU"/>
        </w:rPr>
        <w:t xml:space="preserve">and </w:t>
      </w:r>
      <w:r w:rsidR="00317599" w:rsidRPr="00842CA3">
        <w:rPr>
          <w:rFonts w:cs="Arial"/>
          <w:color w:val="000000" w:themeColor="text1"/>
          <w:lang w:val="en-AU"/>
        </w:rPr>
        <w:t xml:space="preserve">concentrations of </w:t>
      </w:r>
      <w:r w:rsidRPr="00842CA3">
        <w:rPr>
          <w:rFonts w:cs="Arial"/>
          <w:color w:val="000000" w:themeColor="text1"/>
          <w:lang w:val="en-AU"/>
        </w:rPr>
        <w:t>organic carbon</w:t>
      </w:r>
      <w:r w:rsidR="00317599" w:rsidRPr="00842CA3">
        <w:rPr>
          <w:rFonts w:cs="Arial"/>
          <w:color w:val="000000" w:themeColor="text1"/>
          <w:lang w:val="en-AU"/>
        </w:rPr>
        <w:t xml:space="preserve"> and </w:t>
      </w:r>
      <w:r w:rsidRPr="00842CA3">
        <w:rPr>
          <w:rFonts w:cs="Arial"/>
          <w:color w:val="000000" w:themeColor="text1"/>
          <w:lang w:val="en-AU"/>
        </w:rPr>
        <w:t>NO</w:t>
      </w:r>
      <w:r w:rsidRPr="00842CA3">
        <w:rPr>
          <w:rFonts w:cs="Arial"/>
          <w:color w:val="000000" w:themeColor="text1"/>
          <w:vertAlign w:val="subscript"/>
          <w:lang w:val="en-AU"/>
        </w:rPr>
        <w:t>X</w:t>
      </w:r>
      <w:r w:rsidR="00317599" w:rsidRPr="00842CA3">
        <w:rPr>
          <w:rFonts w:cs="Arial"/>
          <w:color w:val="000000" w:themeColor="text1"/>
          <w:lang w:val="en-AU"/>
        </w:rPr>
        <w:t xml:space="preserve">, </w:t>
      </w:r>
      <w:r w:rsidRPr="00842CA3">
        <w:rPr>
          <w:rFonts w:cs="Arial"/>
          <w:color w:val="000000" w:themeColor="text1"/>
          <w:lang w:val="en-AU"/>
        </w:rPr>
        <w:t xml:space="preserve">this decline most likely reflects the impacts of above-median river flows in this region </w:t>
      </w:r>
      <w:r w:rsidR="00317599" w:rsidRPr="00842CA3">
        <w:rPr>
          <w:rFonts w:cs="Arial"/>
          <w:color w:val="000000" w:themeColor="text1"/>
          <w:lang w:val="en-AU"/>
        </w:rPr>
        <w:t>from</w:t>
      </w:r>
      <w:r w:rsidRPr="00842CA3">
        <w:rPr>
          <w:rFonts w:cs="Arial"/>
          <w:color w:val="000000" w:themeColor="text1"/>
          <w:lang w:val="en-AU"/>
        </w:rPr>
        <w:t xml:space="preserve"> 2007</w:t>
      </w:r>
      <w:r w:rsidR="00317599" w:rsidRPr="00842CA3">
        <w:rPr>
          <w:rFonts w:cs="Arial"/>
          <w:color w:val="000000" w:themeColor="text1"/>
          <w:lang w:val="en-AU"/>
        </w:rPr>
        <w:t xml:space="preserve"> onwards,</w:t>
      </w:r>
      <w:r w:rsidRPr="00842CA3">
        <w:rPr>
          <w:rFonts w:cs="Arial"/>
          <w:color w:val="000000" w:themeColor="text1"/>
          <w:lang w:val="en-AU"/>
        </w:rPr>
        <w:t xml:space="preserve"> along with the likely exposure to runoff from the neighbouring large catchments of the Burdekin </w:t>
      </w:r>
      <w:r w:rsidR="00BB0899">
        <w:rPr>
          <w:rFonts w:cs="Arial"/>
          <w:color w:val="000000" w:themeColor="text1"/>
          <w:lang w:val="en-AU"/>
        </w:rPr>
        <w:t>R</w:t>
      </w:r>
      <w:r w:rsidR="00BB0899" w:rsidRPr="00842CA3">
        <w:rPr>
          <w:rFonts w:cs="Arial"/>
          <w:color w:val="000000" w:themeColor="text1"/>
          <w:lang w:val="en-AU"/>
        </w:rPr>
        <w:t>ivers</w:t>
      </w:r>
      <w:r w:rsidRPr="00842CA3">
        <w:rPr>
          <w:rFonts w:cs="Arial"/>
          <w:color w:val="000000" w:themeColor="text1"/>
          <w:lang w:val="en-AU"/>
        </w:rPr>
        <w:t>.</w:t>
      </w:r>
    </w:p>
    <w:p w14:paraId="68437B9C" w14:textId="77777777" w:rsidR="005F6551" w:rsidRDefault="00505B72" w:rsidP="004A5BF7">
      <w:pPr>
        <w:rPr>
          <w:rFonts w:cs="Arial"/>
          <w:color w:val="000000" w:themeColor="text1"/>
          <w:lang w:val="en-AU"/>
        </w:rPr>
      </w:pPr>
      <w:r>
        <w:rPr>
          <w:rFonts w:cs="Arial"/>
          <w:color w:val="000000" w:themeColor="text1"/>
          <w:lang w:val="en-AU"/>
        </w:rPr>
        <w:t xml:space="preserve">Water quality monitoring data collected in the wet season also contributes to the understanding of variability associated with periods of elevated river discharge and cyclonic activity. Correlations between water quality parameters and discharge, wind, salinity and Chl-a were calculated focus each focus area, with the most significant correlations between discharge, salinity and Chl-a </w:t>
      </w:r>
      <w:r w:rsidR="00B048B6">
        <w:rPr>
          <w:rFonts w:cs="Arial"/>
          <w:color w:val="000000" w:themeColor="text1"/>
          <w:lang w:val="en-AU"/>
        </w:rPr>
        <w:t>for different parameters</w:t>
      </w:r>
      <w:r>
        <w:rPr>
          <w:rFonts w:cs="Arial"/>
          <w:color w:val="000000" w:themeColor="text1"/>
          <w:lang w:val="en-AU"/>
        </w:rPr>
        <w:t>. Box-plots were also used to describe transport of water quality parameters across pl</w:t>
      </w:r>
      <w:r w:rsidR="00B048B6">
        <w:rPr>
          <w:rFonts w:cs="Arial"/>
          <w:color w:val="000000" w:themeColor="text1"/>
          <w:lang w:val="en-AU"/>
        </w:rPr>
        <w:t>ume water types with significant differences varying between focus areas and the 2014-15 or long term datasets.</w:t>
      </w:r>
      <w:r>
        <w:rPr>
          <w:rFonts w:cs="Arial"/>
          <w:color w:val="000000" w:themeColor="text1"/>
          <w:lang w:val="en-AU"/>
        </w:rPr>
        <w:t xml:space="preserve"> For those parameters with guidelines, </w:t>
      </w:r>
      <w:r w:rsidR="00B048B6">
        <w:rPr>
          <w:rFonts w:cs="Arial"/>
          <w:color w:val="000000" w:themeColor="text1"/>
          <w:lang w:val="en-AU"/>
        </w:rPr>
        <w:t>several parameters</w:t>
      </w:r>
      <w:r>
        <w:rPr>
          <w:rFonts w:cs="Arial"/>
          <w:color w:val="000000" w:themeColor="text1"/>
          <w:lang w:val="en-AU"/>
        </w:rPr>
        <w:t xml:space="preserve"> were constantly above the thresholds in plume water type</w:t>
      </w:r>
      <w:r w:rsidR="00B048B6">
        <w:rPr>
          <w:rFonts w:cs="Arial"/>
          <w:color w:val="000000" w:themeColor="text1"/>
          <w:lang w:val="en-AU"/>
        </w:rPr>
        <w:t>s</w:t>
      </w:r>
      <w:r>
        <w:rPr>
          <w:rFonts w:cs="Arial"/>
          <w:color w:val="000000" w:themeColor="text1"/>
          <w:lang w:val="en-AU"/>
        </w:rPr>
        <w:t xml:space="preserve"> in the 2014-15 and long term (2005 to 2015) data set</w:t>
      </w:r>
      <w:r w:rsidR="00B048B6">
        <w:rPr>
          <w:rFonts w:cs="Arial"/>
          <w:color w:val="000000" w:themeColor="text1"/>
          <w:lang w:val="en-AU"/>
        </w:rPr>
        <w:t>; these characteristics varied between focus areas and summarised in the regional results (Section 6).</w:t>
      </w:r>
    </w:p>
    <w:p w14:paraId="56AFE762" w14:textId="60500623" w:rsidR="005F6551" w:rsidRPr="004A5BF7" w:rsidRDefault="005F6551" w:rsidP="004A5BF7">
      <w:pPr>
        <w:rPr>
          <w:rFonts w:cs="Arial"/>
          <w:color w:val="000000" w:themeColor="text1"/>
          <w:lang w:val="en-AU"/>
        </w:rPr>
      </w:pPr>
      <w:r>
        <w:rPr>
          <w:rFonts w:cs="Arial"/>
          <w:color w:val="000000" w:themeColor="text1"/>
          <w:lang w:val="en-AU"/>
        </w:rPr>
        <w:t xml:space="preserve">As part of the Reef Plan Report Card, Chl-a and TSS concentrations are assessed using remote sensing information to define a Water Quality Metric. The metric is derived from the relative area of the inshore water body in the Wet Tropics, Burdekin, Mackay Whitsunday NRM regions that exceeds the annual mean guideline value. </w:t>
      </w:r>
      <w:r>
        <w:rPr>
          <w:rFonts w:eastAsia="Arial" w:cs="Arial"/>
        </w:rPr>
        <w:t xml:space="preserve">Information for Cape York and the Burnett Mary regions is not sufficiently validated with field data so there is a high degree of uncertainty in scores derived from remote sensing in these regions. </w:t>
      </w:r>
      <w:r>
        <w:rPr>
          <w:rFonts w:cs="Arial"/>
          <w:color w:val="000000" w:themeColor="text1"/>
          <w:lang w:val="en-AU"/>
        </w:rPr>
        <w:t>The overall metric score was assessed as ‘</w:t>
      </w:r>
      <w:r>
        <w:t>moderate’</w:t>
      </w:r>
      <w:r w:rsidRPr="00D853C3">
        <w:rPr>
          <w:rFonts w:eastAsia="Arial" w:cs="Arial"/>
        </w:rPr>
        <w:t xml:space="preserve"> in </w:t>
      </w:r>
      <w:r>
        <w:rPr>
          <w:rFonts w:eastAsia="Arial" w:cs="Arial"/>
        </w:rPr>
        <w:t>2014-15 (Figure A1-2).</w:t>
      </w:r>
      <w:r w:rsidRPr="00475910">
        <w:rPr>
          <w:rFonts w:eastAsia="Arial" w:cs="Arial"/>
        </w:rPr>
        <w:t xml:space="preserve"> The </w:t>
      </w:r>
      <w:r>
        <w:t>trend</w:t>
      </w:r>
      <w:r w:rsidRPr="00475910">
        <w:rPr>
          <w:rFonts w:eastAsia="Arial" w:cs="Arial"/>
        </w:rPr>
        <w:t xml:space="preserve"> </w:t>
      </w:r>
      <w:r>
        <w:rPr>
          <w:rFonts w:eastAsia="Arial" w:cs="Arial"/>
        </w:rPr>
        <w:t xml:space="preserve">for the overall metric score </w:t>
      </w:r>
      <w:r w:rsidRPr="00475910">
        <w:rPr>
          <w:rFonts w:eastAsia="Arial" w:cs="Arial"/>
        </w:rPr>
        <w:t>reflects the cumulative impact</w:t>
      </w:r>
      <w:r>
        <w:rPr>
          <w:rFonts w:eastAsia="Arial" w:cs="Arial"/>
        </w:rPr>
        <w:t>s</w:t>
      </w:r>
      <w:r w:rsidRPr="00475910">
        <w:rPr>
          <w:rFonts w:eastAsia="Arial" w:cs="Arial"/>
        </w:rPr>
        <w:t xml:space="preserve"> </w:t>
      </w:r>
      <w:r>
        <w:rPr>
          <w:rFonts w:eastAsia="Arial" w:cs="Arial"/>
        </w:rPr>
        <w:t>of multiple floods and cyclones since 2007-08</w:t>
      </w:r>
      <w:r w:rsidRPr="00475910">
        <w:rPr>
          <w:rFonts w:eastAsia="Arial" w:cs="Arial"/>
        </w:rPr>
        <w:t>. C</w:t>
      </w:r>
      <w:r>
        <w:rPr>
          <w:rFonts w:eastAsia="Arial" w:cs="Arial"/>
        </w:rPr>
        <w:t>omponents scores for c</w:t>
      </w:r>
      <w:r w:rsidRPr="00475910">
        <w:rPr>
          <w:rFonts w:eastAsia="Arial" w:cs="Arial"/>
        </w:rPr>
        <w:t xml:space="preserve">oncentrations of </w:t>
      </w:r>
      <w:r>
        <w:rPr>
          <w:rFonts w:eastAsia="Arial" w:cs="Arial"/>
        </w:rPr>
        <w:t>Chl-a and TSS</w:t>
      </w:r>
      <w:r w:rsidRPr="00475910">
        <w:rPr>
          <w:rFonts w:eastAsia="Arial" w:cs="Arial"/>
        </w:rPr>
        <w:t xml:space="preserve"> </w:t>
      </w:r>
      <w:r w:rsidRPr="00D14C64">
        <w:rPr>
          <w:rFonts w:eastAsia="Arial" w:cs="Arial"/>
        </w:rPr>
        <w:t xml:space="preserve">were </w:t>
      </w:r>
      <w:r>
        <w:rPr>
          <w:rFonts w:eastAsia="Arial" w:cs="Arial"/>
        </w:rPr>
        <w:t>‘</w:t>
      </w:r>
      <w:r w:rsidRPr="0001401D">
        <w:t>poor</w:t>
      </w:r>
      <w:r>
        <w:t>’</w:t>
      </w:r>
      <w:r w:rsidRPr="0001401D">
        <w:t xml:space="preserve"> </w:t>
      </w:r>
      <w:r w:rsidRPr="0001401D">
        <w:rPr>
          <w:rFonts w:eastAsia="Arial" w:cs="Arial"/>
        </w:rPr>
        <w:t xml:space="preserve">and </w:t>
      </w:r>
      <w:r>
        <w:rPr>
          <w:rFonts w:eastAsia="Arial" w:cs="Arial"/>
        </w:rPr>
        <w:t>‘</w:t>
      </w:r>
      <w:r>
        <w:t>moderate’</w:t>
      </w:r>
      <w:r w:rsidRPr="00D14C64">
        <w:t xml:space="preserve"> </w:t>
      </w:r>
      <w:r w:rsidRPr="00D14C64">
        <w:rPr>
          <w:rFonts w:eastAsia="Arial" w:cs="Arial"/>
        </w:rPr>
        <w:t>respectively</w:t>
      </w:r>
      <w:r w:rsidRPr="00475910">
        <w:rPr>
          <w:rFonts w:eastAsia="Arial" w:cs="Arial"/>
        </w:rPr>
        <w:t xml:space="preserve"> </w:t>
      </w:r>
      <w:r w:rsidRPr="00854C65">
        <w:rPr>
          <w:rFonts w:eastAsia="Arial" w:cs="Arial"/>
        </w:rPr>
        <w:t xml:space="preserve">in </w:t>
      </w:r>
      <w:r>
        <w:rPr>
          <w:rFonts w:eastAsia="Arial" w:cs="Arial"/>
        </w:rPr>
        <w:t xml:space="preserve">2014-15 (Figure A1-2). </w:t>
      </w:r>
    </w:p>
    <w:p w14:paraId="354C8440" w14:textId="77777777" w:rsidR="005F6551" w:rsidRDefault="005F6551" w:rsidP="005F6551">
      <w:pPr>
        <w:spacing w:after="0"/>
        <w:rPr>
          <w:rFonts w:eastAsia="Arial" w:cs="Arial"/>
        </w:rPr>
      </w:pPr>
    </w:p>
    <w:p w14:paraId="537A696F" w14:textId="77777777" w:rsidR="005F6551" w:rsidRDefault="005F6551" w:rsidP="005F6551">
      <w:pPr>
        <w:spacing w:after="0"/>
        <w:rPr>
          <w:rFonts w:eastAsia="Arial" w:cs="Arial"/>
        </w:rPr>
      </w:pPr>
      <w:r w:rsidRPr="003C2349">
        <w:rPr>
          <w:rFonts w:eastAsia="Arial" w:cs="Arial"/>
          <w:noProof/>
          <w:lang w:val="en-AU" w:eastAsia="en-AU"/>
        </w:rPr>
        <w:drawing>
          <wp:inline distT="0" distB="0" distL="0" distR="0" wp14:anchorId="5CBDE2E0" wp14:editId="7BB597DE">
            <wp:extent cx="5716747" cy="2067339"/>
            <wp:effectExtent l="0" t="0" r="0" b="9525"/>
            <wp:docPr id="7202" name="Picture 7202" descr="Three-panel line graph showing the score and trend for chlorophyll a, total suspended solids and the overall water quality index for the Reef for the 10-year period from 2005-06 to 2014-15. For chlorophyll a, scores were 40, 37, 33, 30, 29, 11, 22, 20, 23, 27. For total suspended solids, scores were 60, 54, 60, 59, 59, 51, 51, 55, 46, 58. For the overall water quality index, scores were 50, 45, 47, 44, 44, 31, 37, 37, 34, 43." title="Trend in water quality from 2005-06 to 20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2">
                      <a:extLst>
                        <a:ext uri="{28A0092B-C50C-407E-A947-70E740481C1C}">
                          <a14:useLocalDpi xmlns:a14="http://schemas.microsoft.com/office/drawing/2010/main" val="0"/>
                        </a:ext>
                      </a:extLst>
                    </a:blip>
                    <a:srcRect/>
                    <a:stretch>
                      <a:fillRect/>
                    </a:stretch>
                  </pic:blipFill>
                  <pic:spPr bwMode="auto">
                    <a:xfrm>
                      <a:off x="0" y="0"/>
                      <a:ext cx="5720503" cy="2068697"/>
                    </a:xfrm>
                    <a:prstGeom prst="rect">
                      <a:avLst/>
                    </a:prstGeom>
                    <a:noFill/>
                  </pic:spPr>
                </pic:pic>
              </a:graphicData>
            </a:graphic>
          </wp:inline>
        </w:drawing>
      </w:r>
    </w:p>
    <w:p w14:paraId="18ACE498" w14:textId="2074266A" w:rsidR="005F6551" w:rsidRPr="0036395F" w:rsidRDefault="005F6551" w:rsidP="004A5BF7">
      <w:pPr>
        <w:pStyle w:val="Caption"/>
      </w:pPr>
      <w:r w:rsidRPr="00D56743">
        <w:t xml:space="preserve">Figure </w:t>
      </w:r>
      <w:r>
        <w:t xml:space="preserve">ii. </w:t>
      </w:r>
      <w:r w:rsidRPr="00D56743">
        <w:t xml:space="preserve">Trend in water quality from 2005-06 to 2014-15. </w:t>
      </w:r>
      <w:r w:rsidRPr="00E12468">
        <w:t xml:space="preserve">The overall water quality score is the average of the </w:t>
      </w:r>
      <w:r>
        <w:t xml:space="preserve">weighted </w:t>
      </w:r>
      <w:r w:rsidRPr="00E12468">
        <w:t xml:space="preserve">component scores for chlorophyll </w:t>
      </w:r>
      <w:r w:rsidRPr="00E12468">
        <w:rPr>
          <w:i/>
        </w:rPr>
        <w:t>a</w:t>
      </w:r>
      <w:r w:rsidRPr="00E12468">
        <w:t xml:space="preserve"> and total suspended solids. </w:t>
      </w:r>
      <w:r w:rsidRPr="008C4A1B">
        <w:t xml:space="preserve">Values are indexed scores scaled from 0-100; </w:t>
      </w:r>
      <w:r w:rsidRPr="008C4A1B">
        <w:rPr>
          <w:rFonts w:cs="Arial"/>
          <w:color w:val="008000"/>
        </w:rPr>
        <w:t>■</w:t>
      </w:r>
      <w:r>
        <w:rPr>
          <w:rFonts w:cs="Arial"/>
          <w:color w:val="008000"/>
        </w:rPr>
        <w:t xml:space="preserve"> </w:t>
      </w:r>
      <w:r w:rsidRPr="008C4A1B">
        <w:t>=</w:t>
      </w:r>
      <w:r>
        <w:t xml:space="preserve"> </w:t>
      </w:r>
      <w:r w:rsidRPr="008C4A1B">
        <w:t>very good (8</w:t>
      </w:r>
      <w:r>
        <w:t>1</w:t>
      </w:r>
      <w:r w:rsidRPr="008C4A1B">
        <w:t xml:space="preserve">-100), </w:t>
      </w:r>
      <w:r w:rsidRPr="008C4A1B">
        <w:rPr>
          <w:rFonts w:cs="Arial"/>
          <w:color w:val="92D050"/>
        </w:rPr>
        <w:t>■</w:t>
      </w:r>
      <w:r>
        <w:rPr>
          <w:rFonts w:cs="Arial"/>
          <w:color w:val="92D050"/>
        </w:rPr>
        <w:t xml:space="preserve"> </w:t>
      </w:r>
      <w:r w:rsidRPr="008C4A1B">
        <w:t>=</w:t>
      </w:r>
      <w:r>
        <w:t xml:space="preserve"> </w:t>
      </w:r>
      <w:r w:rsidRPr="008C4A1B">
        <w:t>good (6</w:t>
      </w:r>
      <w:r>
        <w:t xml:space="preserve">1 - </w:t>
      </w:r>
      <w:r w:rsidRPr="008C4A1B">
        <w:t xml:space="preserve">80), </w:t>
      </w:r>
      <w:r w:rsidRPr="008C4A1B">
        <w:rPr>
          <w:rFonts w:cs="Arial"/>
          <w:color w:val="FFFF00"/>
        </w:rPr>
        <w:t>■</w:t>
      </w:r>
      <w:r>
        <w:rPr>
          <w:rFonts w:cs="Arial"/>
          <w:color w:val="FFFF00"/>
        </w:rPr>
        <w:t xml:space="preserve"> </w:t>
      </w:r>
      <w:r w:rsidRPr="008C4A1B">
        <w:t>=</w:t>
      </w:r>
      <w:r>
        <w:t xml:space="preserve"> </w:t>
      </w:r>
      <w:r w:rsidRPr="008C4A1B">
        <w:t>moderate (4</w:t>
      </w:r>
      <w:r>
        <w:t xml:space="preserve">1 - </w:t>
      </w:r>
      <w:r w:rsidRPr="008C4A1B">
        <w:t xml:space="preserve">60), </w:t>
      </w:r>
      <w:r w:rsidRPr="008C4A1B">
        <w:rPr>
          <w:rFonts w:cs="Arial"/>
          <w:color w:val="FFC000"/>
        </w:rPr>
        <w:t>■</w:t>
      </w:r>
      <w:r>
        <w:rPr>
          <w:rFonts w:cs="Arial"/>
          <w:color w:val="FFC000"/>
        </w:rPr>
        <w:t xml:space="preserve"> </w:t>
      </w:r>
      <w:r w:rsidRPr="008C4A1B">
        <w:t>=</w:t>
      </w:r>
      <w:r>
        <w:t xml:space="preserve"> </w:t>
      </w:r>
      <w:r w:rsidRPr="008C4A1B">
        <w:t>poor (2</w:t>
      </w:r>
      <w:r>
        <w:t xml:space="preserve">1 - </w:t>
      </w:r>
      <w:r w:rsidRPr="008C4A1B">
        <w:t xml:space="preserve">40), </w:t>
      </w:r>
      <w:r w:rsidRPr="008C4A1B">
        <w:rPr>
          <w:rFonts w:cs="Arial"/>
          <w:color w:val="FF0000"/>
        </w:rPr>
        <w:t>■</w:t>
      </w:r>
      <w:r>
        <w:rPr>
          <w:rFonts w:cs="Arial"/>
          <w:color w:val="FF0000"/>
        </w:rPr>
        <w:t xml:space="preserve"> </w:t>
      </w:r>
      <w:r w:rsidRPr="008C4A1B">
        <w:t>=</w:t>
      </w:r>
      <w:r>
        <w:t xml:space="preserve"> </w:t>
      </w:r>
      <w:r w:rsidRPr="008C4A1B">
        <w:t xml:space="preserve">very poor (0 - </w:t>
      </w:r>
      <w:r w:rsidRPr="008C4A1B">
        <w:rPr>
          <w:color w:val="000000"/>
        </w:rPr>
        <w:t>20). NB: Scores</w:t>
      </w:r>
      <w:r w:rsidRPr="008C4A1B">
        <w:t xml:space="preserve"> are unitless.</w:t>
      </w:r>
      <w:r>
        <w:t xml:space="preserve"> </w:t>
      </w:r>
    </w:p>
    <w:p w14:paraId="5F22ECED" w14:textId="77777777" w:rsidR="00317599" w:rsidRPr="001825AB" w:rsidRDefault="00317599" w:rsidP="006A1398">
      <w:pPr>
        <w:pStyle w:val="Heading2"/>
      </w:pPr>
      <w:bookmarkStart w:id="33" w:name="_Toc459328854"/>
      <w:bookmarkStart w:id="34" w:name="_Toc459329213"/>
      <w:bookmarkStart w:id="35" w:name="_Toc459329574"/>
      <w:bookmarkStart w:id="36" w:name="_Toc459329934"/>
      <w:bookmarkStart w:id="37" w:name="_Toc459330294"/>
      <w:bookmarkStart w:id="38" w:name="_Toc459330654"/>
      <w:bookmarkStart w:id="39" w:name="_Toc459331014"/>
      <w:bookmarkStart w:id="40" w:name="_Toc459331374"/>
      <w:bookmarkStart w:id="41" w:name="_Toc459331734"/>
      <w:bookmarkStart w:id="42" w:name="_Toc459328855"/>
      <w:bookmarkStart w:id="43" w:name="_Toc459329214"/>
      <w:bookmarkStart w:id="44" w:name="_Toc459329575"/>
      <w:bookmarkStart w:id="45" w:name="_Toc459329935"/>
      <w:bookmarkStart w:id="46" w:name="_Toc459330295"/>
      <w:bookmarkStart w:id="47" w:name="_Toc459330655"/>
      <w:bookmarkStart w:id="48" w:name="_Toc459331015"/>
      <w:bookmarkStart w:id="49" w:name="_Toc459331375"/>
      <w:bookmarkStart w:id="50" w:name="_Toc459331735"/>
      <w:bookmarkStart w:id="51" w:name="_Toc459328856"/>
      <w:bookmarkStart w:id="52" w:name="_Toc459329215"/>
      <w:bookmarkStart w:id="53" w:name="_Toc459329576"/>
      <w:bookmarkStart w:id="54" w:name="_Toc459329936"/>
      <w:bookmarkStart w:id="55" w:name="_Toc459330296"/>
      <w:bookmarkStart w:id="56" w:name="_Toc459330656"/>
      <w:bookmarkStart w:id="57" w:name="_Toc459331016"/>
      <w:bookmarkStart w:id="58" w:name="_Toc459331376"/>
      <w:bookmarkStart w:id="59" w:name="_Toc459331736"/>
      <w:bookmarkStart w:id="60" w:name="_Toc459328857"/>
      <w:bookmarkStart w:id="61" w:name="_Toc459329216"/>
      <w:bookmarkStart w:id="62" w:name="_Toc459329577"/>
      <w:bookmarkStart w:id="63" w:name="_Toc459329937"/>
      <w:bookmarkStart w:id="64" w:name="_Toc459330297"/>
      <w:bookmarkStart w:id="65" w:name="_Toc459330657"/>
      <w:bookmarkStart w:id="66" w:name="_Toc459331017"/>
      <w:bookmarkStart w:id="67" w:name="_Toc459331377"/>
      <w:bookmarkStart w:id="68" w:name="_Toc459331737"/>
      <w:bookmarkStart w:id="69" w:name="_Toc459328859"/>
      <w:bookmarkStart w:id="70" w:name="_Toc459329218"/>
      <w:bookmarkStart w:id="71" w:name="_Toc459329579"/>
      <w:bookmarkStart w:id="72" w:name="_Toc459329939"/>
      <w:bookmarkStart w:id="73" w:name="_Toc459330299"/>
      <w:bookmarkStart w:id="74" w:name="_Toc459330659"/>
      <w:bookmarkStart w:id="75" w:name="_Toc459331019"/>
      <w:bookmarkStart w:id="76" w:name="_Toc459331379"/>
      <w:bookmarkStart w:id="77" w:name="_Toc459331739"/>
      <w:bookmarkStart w:id="78" w:name="_Toc459328860"/>
      <w:bookmarkStart w:id="79" w:name="_Toc459329219"/>
      <w:bookmarkStart w:id="80" w:name="_Toc459329580"/>
      <w:bookmarkStart w:id="81" w:name="_Toc459329940"/>
      <w:bookmarkStart w:id="82" w:name="_Toc459330300"/>
      <w:bookmarkStart w:id="83" w:name="_Toc459330660"/>
      <w:bookmarkStart w:id="84" w:name="_Toc459331020"/>
      <w:bookmarkStart w:id="85" w:name="_Toc459331380"/>
      <w:bookmarkStart w:id="86" w:name="_Toc459331740"/>
      <w:bookmarkStart w:id="87" w:name="_Toc459328861"/>
      <w:bookmarkStart w:id="88" w:name="_Toc459329220"/>
      <w:bookmarkStart w:id="89" w:name="_Toc459329581"/>
      <w:bookmarkStart w:id="90" w:name="_Toc459329941"/>
      <w:bookmarkStart w:id="91" w:name="_Toc459330301"/>
      <w:bookmarkStart w:id="92" w:name="_Toc459330661"/>
      <w:bookmarkStart w:id="93" w:name="_Toc459331021"/>
      <w:bookmarkStart w:id="94" w:name="_Toc459331381"/>
      <w:bookmarkStart w:id="95" w:name="_Toc459331741"/>
      <w:bookmarkStart w:id="96" w:name="_Toc459328862"/>
      <w:bookmarkStart w:id="97" w:name="_Toc459329221"/>
      <w:bookmarkStart w:id="98" w:name="_Toc459329582"/>
      <w:bookmarkStart w:id="99" w:name="_Toc459329942"/>
      <w:bookmarkStart w:id="100" w:name="_Toc459330302"/>
      <w:bookmarkStart w:id="101" w:name="_Toc459330662"/>
      <w:bookmarkStart w:id="102" w:name="_Toc459331022"/>
      <w:bookmarkStart w:id="103" w:name="_Toc459331382"/>
      <w:bookmarkStart w:id="104" w:name="_Toc459331742"/>
      <w:bookmarkStart w:id="105" w:name="_Toc459328863"/>
      <w:bookmarkStart w:id="106" w:name="_Toc459329222"/>
      <w:bookmarkStart w:id="107" w:name="_Toc459329583"/>
      <w:bookmarkStart w:id="108" w:name="_Toc459329943"/>
      <w:bookmarkStart w:id="109" w:name="_Toc459330303"/>
      <w:bookmarkStart w:id="110" w:name="_Toc459330663"/>
      <w:bookmarkStart w:id="111" w:name="_Toc459331023"/>
      <w:bookmarkStart w:id="112" w:name="_Toc459331383"/>
      <w:bookmarkStart w:id="113" w:name="_Toc459331743"/>
      <w:bookmarkStart w:id="114" w:name="_Toc393133560"/>
      <w:bookmarkStart w:id="115" w:name="_Toc406143727"/>
      <w:bookmarkStart w:id="116" w:name="_Toc462307426"/>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r w:rsidRPr="001825AB">
        <w:t>Conclusions</w:t>
      </w:r>
      <w:bookmarkEnd w:id="114"/>
      <w:bookmarkEnd w:id="115"/>
      <w:bookmarkEnd w:id="116"/>
    </w:p>
    <w:p w14:paraId="606EA02E" w14:textId="30BD0383" w:rsidR="007713B0" w:rsidRDefault="007713B0" w:rsidP="00BD1DB3">
      <w:pPr>
        <w:autoSpaceDE w:val="0"/>
        <w:autoSpaceDN w:val="0"/>
        <w:adjustRightInd w:val="0"/>
        <w:rPr>
          <w:rFonts w:cs="Arial"/>
          <w:szCs w:val="22"/>
          <w:lang w:val="en-AU" w:eastAsia="en-AU"/>
        </w:rPr>
      </w:pPr>
      <w:r>
        <w:rPr>
          <w:rFonts w:cs="Arial"/>
          <w:szCs w:val="22"/>
          <w:lang w:val="en-AU" w:eastAsia="en-AU"/>
        </w:rPr>
        <w:t>River discharge in the 2014-15 sampling period was below median discharge in most rivers in the GBR catchments, except for the southern parts of the GBR. This resulted in a reduced area of influence from river plumes in the GBR compared to previous sampling years. However, this did not necessarily result in improvements in water quality parameters, with many parameters showing stable or increasing concentrations.</w:t>
      </w:r>
    </w:p>
    <w:p w14:paraId="5F22ECEF" w14:textId="226978EE" w:rsidR="00BD1DB3" w:rsidRPr="009B70CD" w:rsidRDefault="00BD1DB3" w:rsidP="00BD1DB3">
      <w:pPr>
        <w:autoSpaceDE w:val="0"/>
        <w:autoSpaceDN w:val="0"/>
        <w:adjustRightInd w:val="0"/>
        <w:rPr>
          <w:rFonts w:cs="Arial"/>
          <w:lang w:val="en-AU"/>
        </w:rPr>
      </w:pPr>
      <w:r>
        <w:rPr>
          <w:rFonts w:cs="Arial"/>
          <w:szCs w:val="22"/>
          <w:lang w:val="en-AU" w:eastAsia="en-AU"/>
        </w:rPr>
        <w:t xml:space="preserve">The </w:t>
      </w:r>
      <w:r w:rsidRPr="003D4767">
        <w:rPr>
          <w:rFonts w:cs="Arial"/>
          <w:lang w:val="en-AU"/>
        </w:rPr>
        <w:t xml:space="preserve">general increase measured in turbidity over the monitoring period suggests that the water transparency has decreased, thereby reducing the light available for plankton and coral symbiont </w:t>
      </w:r>
      <w:r w:rsidR="00DB7714">
        <w:rPr>
          <w:rFonts w:cs="Arial"/>
          <w:lang w:val="en-AU"/>
        </w:rPr>
        <w:t xml:space="preserve">and seagrass </w:t>
      </w:r>
      <w:r w:rsidR="00E73210">
        <w:rPr>
          <w:rFonts w:cs="Arial"/>
          <w:lang w:val="en-AU"/>
        </w:rPr>
        <w:t>productivity</w:t>
      </w:r>
      <w:r w:rsidRPr="003D4767">
        <w:rPr>
          <w:rFonts w:cs="Arial"/>
          <w:lang w:val="en-AU"/>
        </w:rPr>
        <w:t xml:space="preserve">. </w:t>
      </w:r>
      <w:r>
        <w:rPr>
          <w:rFonts w:cs="Arial"/>
          <w:lang w:val="en-AU"/>
        </w:rPr>
        <w:t xml:space="preserve">These increased turbidity levels are </w:t>
      </w:r>
      <w:r w:rsidRPr="00BD1DB3">
        <w:rPr>
          <w:rFonts w:cs="Arial"/>
          <w:lang w:val="en-AU"/>
        </w:rPr>
        <w:t xml:space="preserve">strongly influenced by variations in the inflow of particles from the </w:t>
      </w:r>
      <w:r w:rsidRPr="009B70CD">
        <w:rPr>
          <w:rFonts w:cs="Arial"/>
          <w:lang w:val="en-AU"/>
        </w:rPr>
        <w:t xml:space="preserve">catchment and resuspension by wind, currents and tides. </w:t>
      </w:r>
      <w:r w:rsidR="00A54F38">
        <w:rPr>
          <w:rFonts w:cs="Arial"/>
          <w:lang w:val="en-AU"/>
        </w:rPr>
        <w:t xml:space="preserve">Overall, this does not necessarily mean that </w:t>
      </w:r>
      <w:r w:rsidR="00D2594B">
        <w:rPr>
          <w:rFonts w:cs="Arial"/>
          <w:lang w:val="en-AU"/>
        </w:rPr>
        <w:t>concentrations of total suspended solids</w:t>
      </w:r>
      <w:r w:rsidR="00A54F38">
        <w:rPr>
          <w:rFonts w:cs="Arial"/>
          <w:lang w:val="en-AU"/>
        </w:rPr>
        <w:t xml:space="preserve"> </w:t>
      </w:r>
      <w:r w:rsidR="00D2594B">
        <w:rPr>
          <w:rFonts w:cs="Arial"/>
          <w:lang w:val="en-AU"/>
        </w:rPr>
        <w:t>have</w:t>
      </w:r>
      <w:r w:rsidR="00A54F38">
        <w:rPr>
          <w:rFonts w:cs="Arial"/>
          <w:lang w:val="en-AU"/>
        </w:rPr>
        <w:t xml:space="preserve"> increased, but the proportion of smaller particles and dissolved compounds that increase turbidity have increased over the period.</w:t>
      </w:r>
    </w:p>
    <w:p w14:paraId="5F22ECF0" w14:textId="435100BA" w:rsidR="00BD1DB3" w:rsidRPr="009B70CD" w:rsidRDefault="00BD1DB3" w:rsidP="00BD1DB3">
      <w:pPr>
        <w:rPr>
          <w:lang w:val="en-AU"/>
        </w:rPr>
      </w:pPr>
      <w:r w:rsidRPr="009B70CD">
        <w:rPr>
          <w:lang w:val="en-AU"/>
        </w:rPr>
        <w:t xml:space="preserve">Plankton biomass production in the GBR is considered to be limited by the availability of nitrogen. An increase in readily available dissolved </w:t>
      </w:r>
      <w:r w:rsidR="00155E36">
        <w:rPr>
          <w:lang w:val="en-AU"/>
        </w:rPr>
        <w:t xml:space="preserve">oxidised </w:t>
      </w:r>
      <w:r w:rsidRPr="009B70CD">
        <w:rPr>
          <w:lang w:val="en-AU"/>
        </w:rPr>
        <w:t>nitrogen (NO</w:t>
      </w:r>
      <w:r w:rsidRPr="009B70CD">
        <w:rPr>
          <w:vertAlign w:val="subscript"/>
          <w:lang w:val="en-AU"/>
        </w:rPr>
        <w:t>x</w:t>
      </w:r>
      <w:r w:rsidRPr="009B70CD">
        <w:rPr>
          <w:lang w:val="en-AU"/>
        </w:rPr>
        <w:t xml:space="preserve">) concentrations, as found over the monitoring period, is therefore unexpected. </w:t>
      </w:r>
      <w:r w:rsidR="00E73210" w:rsidRPr="009B70CD">
        <w:rPr>
          <w:lang w:val="en-AU"/>
        </w:rPr>
        <w:t xml:space="preserve">We offer </w:t>
      </w:r>
      <w:r w:rsidRPr="009B70CD">
        <w:rPr>
          <w:lang w:val="en-AU"/>
        </w:rPr>
        <w:t xml:space="preserve">two </w:t>
      </w:r>
      <w:r w:rsidR="00E73210" w:rsidRPr="009B70CD">
        <w:rPr>
          <w:lang w:val="en-AU"/>
        </w:rPr>
        <w:t>plausible</w:t>
      </w:r>
      <w:r w:rsidRPr="009B70CD">
        <w:rPr>
          <w:lang w:val="en-AU"/>
        </w:rPr>
        <w:t xml:space="preserve"> </w:t>
      </w:r>
      <w:r w:rsidR="00E73210" w:rsidRPr="009B70CD">
        <w:rPr>
          <w:lang w:val="en-AU"/>
        </w:rPr>
        <w:t>explanations</w:t>
      </w:r>
      <w:r w:rsidRPr="009B70CD">
        <w:rPr>
          <w:lang w:val="en-AU"/>
        </w:rPr>
        <w:t>: either the plankton community is obtaining enough nitrogen from other sources (e.g. ammonium</w:t>
      </w:r>
      <w:r w:rsidR="00072C7B" w:rsidRPr="009B70CD">
        <w:rPr>
          <w:lang w:val="en-AU"/>
        </w:rPr>
        <w:t xml:space="preserve"> or </w:t>
      </w:r>
      <w:r w:rsidR="007772AC">
        <w:rPr>
          <w:lang w:val="en-AU"/>
        </w:rPr>
        <w:t>dissolved organic nitrogen</w:t>
      </w:r>
      <w:r w:rsidRPr="009B70CD">
        <w:rPr>
          <w:lang w:val="en-AU"/>
        </w:rPr>
        <w:t>)</w:t>
      </w:r>
      <w:r w:rsidR="00E73210" w:rsidRPr="009B70CD">
        <w:rPr>
          <w:lang w:val="en-AU"/>
        </w:rPr>
        <w:t>,</w:t>
      </w:r>
      <w:r w:rsidRPr="009B70CD">
        <w:rPr>
          <w:lang w:val="en-AU"/>
        </w:rPr>
        <w:t xml:space="preserve"> or their growth is limited by other factors than nitrogen (e.g. light). The increases in turbidity, suggest that plankton growth </w:t>
      </w:r>
      <w:r w:rsidR="00E73210" w:rsidRPr="009B70CD">
        <w:rPr>
          <w:lang w:val="en-AU"/>
        </w:rPr>
        <w:t>might be</w:t>
      </w:r>
      <w:r w:rsidRPr="009B70CD">
        <w:rPr>
          <w:lang w:val="en-AU"/>
        </w:rPr>
        <w:t xml:space="preserve"> light-limited </w:t>
      </w:r>
      <w:r w:rsidR="00E73210" w:rsidRPr="009B70CD">
        <w:rPr>
          <w:lang w:val="en-AU"/>
        </w:rPr>
        <w:t xml:space="preserve">and </w:t>
      </w:r>
      <w:r w:rsidRPr="009B70CD">
        <w:rPr>
          <w:lang w:val="en-AU"/>
        </w:rPr>
        <w:t>the plankton community is not able to use the extra NO</w:t>
      </w:r>
      <w:r w:rsidRPr="009B70CD">
        <w:rPr>
          <w:vertAlign w:val="subscript"/>
          <w:lang w:val="en-AU"/>
        </w:rPr>
        <w:t>x</w:t>
      </w:r>
      <w:r w:rsidRPr="009B70CD">
        <w:rPr>
          <w:lang w:val="en-AU"/>
        </w:rPr>
        <w:t>. As this NO</w:t>
      </w:r>
      <w:r w:rsidRPr="009B70CD">
        <w:rPr>
          <w:vertAlign w:val="subscript"/>
          <w:lang w:val="en-AU"/>
        </w:rPr>
        <w:t>x</w:t>
      </w:r>
      <w:r w:rsidRPr="009B70CD">
        <w:rPr>
          <w:lang w:val="en-AU"/>
        </w:rPr>
        <w:t xml:space="preserve"> is not used within the coastal area it will be exported </w:t>
      </w:r>
      <w:r w:rsidR="00E73210" w:rsidRPr="009B70CD">
        <w:rPr>
          <w:lang w:val="en-AU"/>
        </w:rPr>
        <w:t>further offshore</w:t>
      </w:r>
      <w:r w:rsidRPr="009B70CD">
        <w:rPr>
          <w:lang w:val="en-AU"/>
        </w:rPr>
        <w:t xml:space="preserve">, where it </w:t>
      </w:r>
      <w:r w:rsidR="00E73210" w:rsidRPr="009B70CD">
        <w:rPr>
          <w:lang w:val="en-AU"/>
        </w:rPr>
        <w:t>may</w:t>
      </w:r>
      <w:r w:rsidRPr="009B70CD">
        <w:rPr>
          <w:lang w:val="en-AU"/>
        </w:rPr>
        <w:t xml:space="preserve"> </w:t>
      </w:r>
      <w:r w:rsidR="00E73210" w:rsidRPr="009B70CD">
        <w:rPr>
          <w:lang w:val="en-AU"/>
        </w:rPr>
        <w:t xml:space="preserve">promote </w:t>
      </w:r>
      <w:r w:rsidRPr="009B70CD">
        <w:rPr>
          <w:lang w:val="en-AU"/>
        </w:rPr>
        <w:t>plankton production.</w:t>
      </w:r>
    </w:p>
    <w:p w14:paraId="5F22ECF1" w14:textId="6136623E" w:rsidR="00BD1DB3" w:rsidRPr="009B70CD" w:rsidRDefault="00BD1DB3" w:rsidP="00BD1DB3">
      <w:pPr>
        <w:rPr>
          <w:rFonts w:cs="Arial"/>
          <w:lang w:val="en-AU"/>
        </w:rPr>
      </w:pPr>
      <w:r w:rsidRPr="009B70CD">
        <w:rPr>
          <w:rFonts w:cs="Arial"/>
          <w:szCs w:val="22"/>
          <w:lang w:val="en-AU"/>
        </w:rPr>
        <w:t xml:space="preserve">Over the monitoring period, an increase in the organic carbon concentrations was found in all regions. Organic carbon </w:t>
      </w:r>
      <w:r w:rsidRPr="009B70CD">
        <w:rPr>
          <w:rFonts w:cs="Arial"/>
          <w:szCs w:val="22"/>
          <w:lang w:val="en-AU" w:eastAsia="en-AU"/>
        </w:rPr>
        <w:t xml:space="preserve">constitutes the major carbon source for heterotrophic microbial growth in marine pelagic systems and increases in </w:t>
      </w:r>
      <w:r w:rsidRPr="009B70CD">
        <w:rPr>
          <w:rFonts w:cs="Arial"/>
          <w:szCs w:val="22"/>
          <w:lang w:val="en-AU"/>
        </w:rPr>
        <w:t>organic carbon</w:t>
      </w:r>
      <w:r w:rsidRPr="009B70CD">
        <w:rPr>
          <w:rFonts w:cs="Arial"/>
          <w:szCs w:val="22"/>
          <w:lang w:val="en-AU" w:eastAsia="en-AU"/>
        </w:rPr>
        <w:t xml:space="preserve"> </w:t>
      </w:r>
      <w:r w:rsidRPr="009B70CD">
        <w:rPr>
          <w:rFonts w:cs="Arial"/>
          <w:szCs w:val="22"/>
          <w:lang w:val="en-AU"/>
        </w:rPr>
        <w:t>have previously been shown to promote m</w:t>
      </w:r>
      <w:r w:rsidRPr="009B70CD">
        <w:rPr>
          <w:rFonts w:cs="Arial"/>
          <w:szCs w:val="22"/>
          <w:lang w:val="en-AU" w:eastAsia="en-AU"/>
        </w:rPr>
        <w:t xml:space="preserve">icrobial activity and </w:t>
      </w:r>
      <w:r w:rsidRPr="009B70CD">
        <w:rPr>
          <w:rFonts w:cs="Arial"/>
          <w:szCs w:val="22"/>
          <w:lang w:val="en-AU"/>
        </w:rPr>
        <w:t xml:space="preserve">coral diseases. </w:t>
      </w:r>
      <w:r w:rsidR="00820A9A" w:rsidRPr="009B70CD">
        <w:rPr>
          <w:rFonts w:cs="Arial"/>
          <w:szCs w:val="22"/>
          <w:lang w:val="en-AU"/>
        </w:rPr>
        <w:t>The observed i</w:t>
      </w:r>
      <w:r w:rsidRPr="009B70CD">
        <w:rPr>
          <w:rFonts w:cs="Arial"/>
          <w:lang w:val="en-AU" w:eastAsia="en-AU"/>
        </w:rPr>
        <w:t xml:space="preserve">ncreases in </w:t>
      </w:r>
      <w:r w:rsidRPr="009B70CD">
        <w:rPr>
          <w:rFonts w:cs="Arial"/>
          <w:szCs w:val="22"/>
          <w:lang w:val="en-AU"/>
        </w:rPr>
        <w:t>organic carbon</w:t>
      </w:r>
      <w:r w:rsidRPr="009B70CD">
        <w:rPr>
          <w:rFonts w:cs="Arial"/>
          <w:lang w:val="en-AU" w:eastAsia="en-AU"/>
        </w:rPr>
        <w:t xml:space="preserve"> </w:t>
      </w:r>
      <w:r w:rsidR="00820A9A" w:rsidRPr="009B70CD">
        <w:rPr>
          <w:rFonts w:cs="Arial"/>
          <w:lang w:val="en-AU" w:eastAsia="en-AU"/>
        </w:rPr>
        <w:t>in the inshore GBR lagoon</w:t>
      </w:r>
      <w:r w:rsidRPr="009B70CD">
        <w:rPr>
          <w:rFonts w:cs="Arial"/>
          <w:lang w:val="en-AU"/>
        </w:rPr>
        <w:t xml:space="preserve"> </w:t>
      </w:r>
      <w:r w:rsidR="00820A9A" w:rsidRPr="009B70CD">
        <w:rPr>
          <w:rFonts w:cs="Arial"/>
          <w:lang w:val="en-AU"/>
        </w:rPr>
        <w:t>may</w:t>
      </w:r>
      <w:r w:rsidRPr="009B70CD">
        <w:rPr>
          <w:rFonts w:cs="Arial"/>
          <w:lang w:val="en-AU"/>
        </w:rPr>
        <w:t xml:space="preserve"> have several probable, though not necessarily mutually exclusive, explanations: either the coral and plankton community have increased primary production or they are directing more of their production towards o</w:t>
      </w:r>
      <w:r w:rsidRPr="009B70CD">
        <w:rPr>
          <w:rFonts w:cs="Arial"/>
          <w:szCs w:val="22"/>
          <w:lang w:val="en-AU"/>
        </w:rPr>
        <w:t>rganic carbon</w:t>
      </w:r>
      <w:r w:rsidRPr="009B70CD">
        <w:rPr>
          <w:rFonts w:cs="Arial"/>
          <w:lang w:val="en-AU"/>
        </w:rPr>
        <w:t xml:space="preserve"> release</w:t>
      </w:r>
      <w:r w:rsidR="00820A9A" w:rsidRPr="009B70CD">
        <w:rPr>
          <w:rFonts w:cs="Arial"/>
          <w:lang w:val="en-AU"/>
        </w:rPr>
        <w:t>,</w:t>
      </w:r>
      <w:r w:rsidRPr="009B70CD">
        <w:rPr>
          <w:rFonts w:cs="Arial"/>
          <w:lang w:val="en-AU"/>
        </w:rPr>
        <w:t xml:space="preserve"> or there is an enhanced export </w:t>
      </w:r>
      <w:r w:rsidR="00820A9A" w:rsidRPr="009B70CD">
        <w:rPr>
          <w:rFonts w:cs="Arial"/>
          <w:lang w:val="en-AU"/>
        </w:rPr>
        <w:t xml:space="preserve">of organic carbon </w:t>
      </w:r>
      <w:r w:rsidRPr="009B70CD">
        <w:rPr>
          <w:rFonts w:cs="Arial"/>
          <w:lang w:val="en-AU"/>
        </w:rPr>
        <w:t>from the catchment</w:t>
      </w:r>
      <w:r w:rsidR="00820A9A" w:rsidRPr="009B70CD">
        <w:rPr>
          <w:rFonts w:cs="Arial"/>
          <w:lang w:val="en-AU"/>
        </w:rPr>
        <w:t>, e.g. as eroded soils</w:t>
      </w:r>
      <w:r w:rsidRPr="009B70CD">
        <w:rPr>
          <w:rFonts w:cs="Arial"/>
          <w:lang w:val="en-AU"/>
        </w:rPr>
        <w:t xml:space="preserve">. </w:t>
      </w:r>
    </w:p>
    <w:p w14:paraId="01176C23" w14:textId="208273AB" w:rsidR="007713B0" w:rsidRDefault="007713B0" w:rsidP="00BD1DB3">
      <w:pPr>
        <w:autoSpaceDE w:val="0"/>
        <w:autoSpaceDN w:val="0"/>
        <w:adjustRightInd w:val="0"/>
        <w:rPr>
          <w:rFonts w:cs="Arial"/>
          <w:szCs w:val="22"/>
          <w:lang w:val="en-AU" w:eastAsia="en-AU"/>
        </w:rPr>
      </w:pPr>
      <w:r>
        <w:rPr>
          <w:rFonts w:cs="Arial"/>
          <w:szCs w:val="22"/>
          <w:lang w:val="en-AU" w:eastAsia="en-AU"/>
        </w:rPr>
        <w:t>Our finding of i</w:t>
      </w:r>
      <w:r>
        <w:rPr>
          <w:rFonts w:cs="Arial"/>
          <w:szCs w:val="22"/>
          <w:lang w:val="en-AU"/>
        </w:rPr>
        <w:t>ncreased c</w:t>
      </w:r>
      <w:r w:rsidRPr="00842CA3">
        <w:rPr>
          <w:rFonts w:cs="Arial"/>
          <w:szCs w:val="22"/>
          <w:lang w:val="en-AU"/>
        </w:rPr>
        <w:t xml:space="preserve">oncentrations of dissolved organic carbon, </w:t>
      </w:r>
      <w:r w:rsidRPr="00842CA3">
        <w:rPr>
          <w:lang w:val="en-AU"/>
        </w:rPr>
        <w:t>NO</w:t>
      </w:r>
      <w:r w:rsidRPr="00842CA3">
        <w:rPr>
          <w:vertAlign w:val="subscript"/>
          <w:lang w:val="en-AU"/>
        </w:rPr>
        <w:t>x</w:t>
      </w:r>
      <w:r w:rsidRPr="00842CA3">
        <w:rPr>
          <w:rFonts w:cs="Arial"/>
          <w:szCs w:val="22"/>
          <w:lang w:val="en-AU"/>
        </w:rPr>
        <w:t xml:space="preserve"> and in</w:t>
      </w:r>
      <w:r>
        <w:rPr>
          <w:rFonts w:cs="Arial"/>
          <w:szCs w:val="22"/>
          <w:lang w:val="en-AU"/>
        </w:rPr>
        <w:t>creases in</w:t>
      </w:r>
      <w:r w:rsidRPr="00842CA3">
        <w:rPr>
          <w:rFonts w:cs="Arial"/>
          <w:szCs w:val="22"/>
          <w:lang w:val="en-AU"/>
        </w:rPr>
        <w:t xml:space="preserve"> turbidity levels in all regions</w:t>
      </w:r>
      <w:r>
        <w:rPr>
          <w:rFonts w:cs="Arial"/>
          <w:szCs w:val="22"/>
          <w:lang w:val="en-AU"/>
        </w:rPr>
        <w:t xml:space="preserve"> suggest that </w:t>
      </w:r>
      <w:r w:rsidRPr="00842CA3">
        <w:rPr>
          <w:rFonts w:cs="Arial"/>
          <w:szCs w:val="22"/>
          <w:lang w:val="en-AU"/>
        </w:rPr>
        <w:t xml:space="preserve">the </w:t>
      </w:r>
      <w:r w:rsidRPr="00C51DE2">
        <w:rPr>
          <w:rFonts w:cs="Arial"/>
          <w:szCs w:val="22"/>
          <w:lang w:val="en-AU" w:eastAsia="en-AU"/>
        </w:rPr>
        <w:t>mechanisms controlling the carbon and nutrient cycle in the GBR lagoon have undergone changes. The coincidence of these changes with a period of elevated runoff</w:t>
      </w:r>
      <w:r>
        <w:rPr>
          <w:rFonts w:cs="Arial"/>
          <w:szCs w:val="22"/>
          <w:lang w:val="en-AU" w:eastAsia="en-AU"/>
        </w:rPr>
        <w:t xml:space="preserve"> </w:t>
      </w:r>
      <w:r w:rsidRPr="00C51DE2">
        <w:rPr>
          <w:rFonts w:cs="Arial"/>
          <w:szCs w:val="22"/>
          <w:lang w:val="en-AU" w:eastAsia="en-AU"/>
        </w:rPr>
        <w:t xml:space="preserve">as a result of high rainfall </w:t>
      </w:r>
      <w:r>
        <w:rPr>
          <w:rFonts w:cs="Arial"/>
          <w:szCs w:val="22"/>
          <w:lang w:val="en-AU" w:eastAsia="en-AU"/>
        </w:rPr>
        <w:t>in previous years</w:t>
      </w:r>
      <w:r w:rsidRPr="00C51DE2">
        <w:rPr>
          <w:rFonts w:cs="Arial"/>
          <w:szCs w:val="22"/>
          <w:lang w:val="en-AU" w:eastAsia="en-AU"/>
        </w:rPr>
        <w:t xml:space="preserve"> implies the responsiveness of these fundamental cycles to terrestrial inputs.</w:t>
      </w:r>
    </w:p>
    <w:p w14:paraId="37947E03" w14:textId="46539B3A" w:rsidR="002B109B" w:rsidRPr="00BD1DB3" w:rsidRDefault="00605BF2" w:rsidP="00BD1DB3">
      <w:pPr>
        <w:autoSpaceDE w:val="0"/>
        <w:autoSpaceDN w:val="0"/>
        <w:adjustRightInd w:val="0"/>
        <w:rPr>
          <w:color w:val="000000" w:themeColor="text1"/>
          <w:lang w:val="en-AU"/>
        </w:rPr>
      </w:pPr>
      <w:r w:rsidRPr="009B70CD">
        <w:rPr>
          <w:lang w:val="en-AU"/>
        </w:rPr>
        <w:t>Sustained i</w:t>
      </w:r>
      <w:r w:rsidR="005A7F56" w:rsidRPr="009B70CD">
        <w:rPr>
          <w:lang w:val="en-AU"/>
        </w:rPr>
        <w:t>mprovements in the m</w:t>
      </w:r>
      <w:r w:rsidR="008C499F" w:rsidRPr="009B70CD">
        <w:rPr>
          <w:lang w:val="en-AU"/>
        </w:rPr>
        <w:t xml:space="preserve">arine </w:t>
      </w:r>
      <w:r w:rsidR="005A7F56" w:rsidRPr="009B70CD">
        <w:rPr>
          <w:lang w:val="en-AU"/>
        </w:rPr>
        <w:t>water quality</w:t>
      </w:r>
      <w:r w:rsidRPr="009B70CD">
        <w:rPr>
          <w:lang w:val="en-AU"/>
        </w:rPr>
        <w:t xml:space="preserve"> of the inshore GBR are not yet observed in the MMP water quality program</w:t>
      </w:r>
      <w:r w:rsidR="005A7F56" w:rsidRPr="009B70CD">
        <w:rPr>
          <w:lang w:val="en-AU"/>
        </w:rPr>
        <w:t xml:space="preserve"> </w:t>
      </w:r>
      <w:r w:rsidR="00356935">
        <w:rPr>
          <w:lang w:val="en-AU"/>
        </w:rPr>
        <w:t xml:space="preserve">even though there has been good </w:t>
      </w:r>
      <w:r w:rsidR="005A7F56" w:rsidRPr="009B70CD">
        <w:rPr>
          <w:lang w:val="en-AU"/>
        </w:rPr>
        <w:t>progress in improv</w:t>
      </w:r>
      <w:r w:rsidRPr="009B70CD">
        <w:rPr>
          <w:lang w:val="en-AU"/>
        </w:rPr>
        <w:t>ing</w:t>
      </w:r>
      <w:r w:rsidR="005A7F56" w:rsidRPr="009B70CD">
        <w:rPr>
          <w:lang w:val="en-AU"/>
        </w:rPr>
        <w:t xml:space="preserve"> land management practices</w:t>
      </w:r>
      <w:r w:rsidR="007713B0">
        <w:rPr>
          <w:lang w:val="en-AU"/>
        </w:rPr>
        <w:t>,</w:t>
      </w:r>
      <w:r w:rsidR="005A7F56" w:rsidRPr="009B70CD">
        <w:rPr>
          <w:lang w:val="en-AU"/>
        </w:rPr>
        <w:t xml:space="preserve"> and</w:t>
      </w:r>
      <w:r w:rsidR="007713B0">
        <w:rPr>
          <w:lang w:val="en-AU"/>
        </w:rPr>
        <w:t xml:space="preserve"> with</w:t>
      </w:r>
      <w:r w:rsidR="005A7F56" w:rsidRPr="009B70CD">
        <w:rPr>
          <w:lang w:val="en-AU"/>
        </w:rPr>
        <w:t xml:space="preserve"> </w:t>
      </w:r>
      <w:r w:rsidR="00F7415E" w:rsidRPr="009B70CD">
        <w:rPr>
          <w:lang w:val="en-AU"/>
        </w:rPr>
        <w:t xml:space="preserve">river discharge at </w:t>
      </w:r>
      <w:r w:rsidRPr="009B70CD">
        <w:rPr>
          <w:lang w:val="en-AU"/>
        </w:rPr>
        <w:t>or</w:t>
      </w:r>
      <w:r w:rsidR="00F7415E" w:rsidRPr="009B70CD">
        <w:rPr>
          <w:lang w:val="en-AU"/>
        </w:rPr>
        <w:t xml:space="preserve"> below the long-term median in the last two years. </w:t>
      </w:r>
      <w:r w:rsidRPr="009B70CD">
        <w:rPr>
          <w:lang w:val="en-AU"/>
        </w:rPr>
        <w:t xml:space="preserve">This </w:t>
      </w:r>
      <w:r w:rsidR="005A7F56" w:rsidRPr="009B70CD">
        <w:rPr>
          <w:lang w:val="en-AU"/>
        </w:rPr>
        <w:t xml:space="preserve">highlights </w:t>
      </w:r>
      <w:r w:rsidRPr="009B70CD">
        <w:rPr>
          <w:lang w:val="en-AU"/>
        </w:rPr>
        <w:t xml:space="preserve">the complexity of the relationship between river inputs and ambient </w:t>
      </w:r>
      <w:r>
        <w:rPr>
          <w:color w:val="000000" w:themeColor="text1"/>
          <w:lang w:val="en-AU"/>
        </w:rPr>
        <w:t xml:space="preserve">water quality and the expected slow response timeframe. </w:t>
      </w:r>
      <w:r w:rsidR="002B109B">
        <w:rPr>
          <w:color w:val="000000" w:themeColor="text1"/>
          <w:lang w:val="en-AU"/>
        </w:rPr>
        <w:t>C</w:t>
      </w:r>
      <w:r w:rsidR="00BD1DB3" w:rsidRPr="00BD1DB3">
        <w:rPr>
          <w:color w:val="000000" w:themeColor="text1"/>
          <w:lang w:val="en-AU"/>
        </w:rPr>
        <w:t xml:space="preserve">ontinued </w:t>
      </w:r>
      <w:r w:rsidR="00BD1DB3">
        <w:rPr>
          <w:color w:val="000000" w:themeColor="text1"/>
          <w:lang w:val="en-AU"/>
        </w:rPr>
        <w:t xml:space="preserve">water quality </w:t>
      </w:r>
      <w:r w:rsidR="00BD1DB3" w:rsidRPr="00BD1DB3">
        <w:rPr>
          <w:color w:val="000000" w:themeColor="text1"/>
          <w:lang w:val="en-AU"/>
        </w:rPr>
        <w:t>monitoring of the c</w:t>
      </w:r>
      <w:r w:rsidR="00BD1DB3">
        <w:rPr>
          <w:color w:val="000000" w:themeColor="text1"/>
          <w:lang w:val="en-AU"/>
        </w:rPr>
        <w:t>oastal and inshore GBR lagoon will be</w:t>
      </w:r>
      <w:r w:rsidR="00BD1DB3" w:rsidRPr="00BD1DB3">
        <w:rPr>
          <w:color w:val="000000" w:themeColor="text1"/>
          <w:lang w:val="en-AU"/>
        </w:rPr>
        <w:t xml:space="preserve"> fundamental to determine and track long-term </w:t>
      </w:r>
      <w:r w:rsidR="00BD1DB3">
        <w:rPr>
          <w:color w:val="000000" w:themeColor="text1"/>
          <w:lang w:val="en-AU"/>
        </w:rPr>
        <w:t xml:space="preserve">changes </w:t>
      </w:r>
      <w:r>
        <w:rPr>
          <w:color w:val="000000" w:themeColor="text1"/>
          <w:lang w:val="en-AU"/>
        </w:rPr>
        <w:t>in</w:t>
      </w:r>
      <w:r w:rsidR="00BD1DB3" w:rsidRPr="00BD1DB3">
        <w:rPr>
          <w:color w:val="000000" w:themeColor="text1"/>
          <w:lang w:val="en-AU"/>
        </w:rPr>
        <w:t xml:space="preserve"> response to management actions and interventions, for example those under Reef Plan</w:t>
      </w:r>
      <w:r>
        <w:rPr>
          <w:color w:val="000000" w:themeColor="text1"/>
          <w:lang w:val="en-AU"/>
        </w:rPr>
        <w:t xml:space="preserve"> and the Reef 2050 Plan</w:t>
      </w:r>
      <w:r w:rsidR="00B165A2">
        <w:rPr>
          <w:color w:val="000000" w:themeColor="text1"/>
          <w:lang w:val="en-AU"/>
        </w:rPr>
        <w:t>.</w:t>
      </w:r>
      <w:r w:rsidR="00B165A2" w:rsidDel="00B165A2">
        <w:rPr>
          <w:color w:val="000000" w:themeColor="text1"/>
          <w:lang w:val="en-AU"/>
        </w:rPr>
        <w:t xml:space="preserve"> </w:t>
      </w:r>
    </w:p>
    <w:p w14:paraId="5F22ECF3" w14:textId="77777777" w:rsidR="001D23CE" w:rsidRPr="00842CA3" w:rsidRDefault="003C0645" w:rsidP="001D23CE">
      <w:pPr>
        <w:rPr>
          <w:color w:val="00B0F0"/>
          <w:lang w:val="en-AU"/>
        </w:rPr>
      </w:pPr>
      <w:r w:rsidRPr="00BD1DB3">
        <w:rPr>
          <w:color w:val="00B0F0"/>
          <w:lang w:val="en-AU"/>
        </w:rPr>
        <w:br w:type="page"/>
      </w:r>
    </w:p>
    <w:p w14:paraId="5F22ECF4" w14:textId="77777777" w:rsidR="00057454" w:rsidRPr="00842CA3" w:rsidRDefault="00057454" w:rsidP="00C27BEB">
      <w:pPr>
        <w:pStyle w:val="Heading1"/>
      </w:pPr>
      <w:bookmarkStart w:id="117" w:name="_Toc436082060"/>
      <w:bookmarkStart w:id="118" w:name="_Toc436913464"/>
      <w:bookmarkStart w:id="119" w:name="_Toc462307427"/>
      <w:r w:rsidRPr="00842CA3">
        <w:t>Preface</w:t>
      </w:r>
      <w:bookmarkEnd w:id="117"/>
      <w:bookmarkEnd w:id="118"/>
      <w:bookmarkEnd w:id="119"/>
    </w:p>
    <w:p w14:paraId="5F22ECF5" w14:textId="75C6A653" w:rsidR="007943E1" w:rsidRPr="009B70CD" w:rsidRDefault="00222CC6" w:rsidP="00461784">
      <w:pPr>
        <w:rPr>
          <w:szCs w:val="22"/>
          <w:lang w:val="en-AU"/>
        </w:rPr>
      </w:pPr>
      <w:r w:rsidRPr="00842CA3">
        <w:rPr>
          <w:lang w:val="en-AU"/>
        </w:rPr>
        <w:t>M</w:t>
      </w:r>
      <w:r w:rsidR="007943E1" w:rsidRPr="00842CA3">
        <w:rPr>
          <w:lang w:val="en-AU"/>
        </w:rPr>
        <w:t xml:space="preserve">anagement of human pressures on regional and local scales, such as enhanced nutrient runoff and overfishing, is vital to provide corals and reef organisms with the </w:t>
      </w:r>
      <w:r w:rsidRPr="00842CA3">
        <w:rPr>
          <w:lang w:val="en-AU"/>
        </w:rPr>
        <w:t>optimum</w:t>
      </w:r>
      <w:r w:rsidR="007943E1" w:rsidRPr="00842CA3">
        <w:rPr>
          <w:lang w:val="en-AU"/>
        </w:rPr>
        <w:t xml:space="preserve"> </w:t>
      </w:r>
      <w:r w:rsidR="00F435E6" w:rsidRPr="00842CA3">
        <w:rPr>
          <w:lang w:val="en-AU"/>
        </w:rPr>
        <w:t xml:space="preserve">conditions </w:t>
      </w:r>
      <w:r w:rsidR="007943E1" w:rsidRPr="00842CA3">
        <w:rPr>
          <w:lang w:val="en-AU"/>
        </w:rPr>
        <w:t xml:space="preserve">to cope with global stressors, such as climate change and ocean acidification (Bellwood </w:t>
      </w:r>
      <w:r w:rsidR="002819E0" w:rsidRPr="009B70CD">
        <w:rPr>
          <w:lang w:val="en-AU"/>
        </w:rPr>
        <w:t>et al</w:t>
      </w:r>
      <w:r w:rsidR="007943E1" w:rsidRPr="009B70CD">
        <w:rPr>
          <w:lang w:val="en-AU"/>
        </w:rPr>
        <w:t>.</w:t>
      </w:r>
      <w:r w:rsidR="009B70CD">
        <w:rPr>
          <w:lang w:val="en-AU"/>
        </w:rPr>
        <w:t>,</w:t>
      </w:r>
      <w:r w:rsidR="007943E1" w:rsidRPr="009B70CD">
        <w:rPr>
          <w:lang w:val="en-AU"/>
        </w:rPr>
        <w:t xml:space="preserve"> </w:t>
      </w:r>
      <w:r w:rsidR="007943E1" w:rsidRPr="00842CA3">
        <w:rPr>
          <w:lang w:val="en-AU"/>
        </w:rPr>
        <w:t xml:space="preserve">2004, Marshall and Johnson 2007, Carpenter </w:t>
      </w:r>
      <w:r w:rsidR="002819E0" w:rsidRPr="009B70CD">
        <w:rPr>
          <w:lang w:val="en-AU"/>
        </w:rPr>
        <w:t>et al</w:t>
      </w:r>
      <w:r w:rsidR="007943E1" w:rsidRPr="009B70CD">
        <w:rPr>
          <w:lang w:val="en-AU"/>
        </w:rPr>
        <w:t>.</w:t>
      </w:r>
      <w:r w:rsidR="009B70CD">
        <w:rPr>
          <w:lang w:val="en-AU"/>
        </w:rPr>
        <w:t>,</w:t>
      </w:r>
      <w:r w:rsidR="007943E1" w:rsidRPr="009B70CD">
        <w:rPr>
          <w:lang w:val="en-AU"/>
        </w:rPr>
        <w:t xml:space="preserve"> </w:t>
      </w:r>
      <w:r w:rsidR="007943E1" w:rsidRPr="00842CA3">
        <w:rPr>
          <w:lang w:val="en-AU"/>
        </w:rPr>
        <w:t>2008, Mora 2008</w:t>
      </w:r>
      <w:r w:rsidR="00B936D0" w:rsidRPr="00842CA3">
        <w:rPr>
          <w:lang w:val="en-AU"/>
        </w:rPr>
        <w:t xml:space="preserve">, Hughes </w:t>
      </w:r>
      <w:r w:rsidR="002819E0" w:rsidRPr="009B70CD">
        <w:rPr>
          <w:lang w:val="en-AU"/>
        </w:rPr>
        <w:t>et al</w:t>
      </w:r>
      <w:r w:rsidR="00B936D0" w:rsidRPr="009B70CD">
        <w:rPr>
          <w:lang w:val="en-AU"/>
        </w:rPr>
        <w:t>.</w:t>
      </w:r>
      <w:r w:rsidR="009B70CD">
        <w:rPr>
          <w:lang w:val="en-AU"/>
        </w:rPr>
        <w:t>,</w:t>
      </w:r>
      <w:r w:rsidR="00B936D0" w:rsidRPr="009B70CD">
        <w:rPr>
          <w:lang w:val="en-AU"/>
        </w:rPr>
        <w:t xml:space="preserve"> </w:t>
      </w:r>
      <w:r w:rsidR="00B936D0" w:rsidRPr="00842CA3">
        <w:rPr>
          <w:lang w:val="en-AU"/>
        </w:rPr>
        <w:t>2010</w:t>
      </w:r>
      <w:r w:rsidR="007943E1" w:rsidRPr="00842CA3">
        <w:rPr>
          <w:lang w:val="en-AU"/>
        </w:rPr>
        <w:t xml:space="preserve">). The management of water quality remains a strategic priority for the </w:t>
      </w:r>
      <w:r w:rsidR="007943E1" w:rsidRPr="00842CA3">
        <w:rPr>
          <w:lang w:val="en-AU" w:eastAsia="en-AU"/>
        </w:rPr>
        <w:t xml:space="preserve">Great Barrier Reef Marine Park Authority (GBRMPA) </w:t>
      </w:r>
      <w:r w:rsidR="007943E1" w:rsidRPr="00842CA3">
        <w:rPr>
          <w:lang w:val="en-AU"/>
        </w:rPr>
        <w:t xml:space="preserve">to ensure the long-term protection of </w:t>
      </w:r>
      <w:r w:rsidR="007943E1" w:rsidRPr="009B70CD">
        <w:rPr>
          <w:lang w:val="en-AU"/>
        </w:rPr>
        <w:t>the coastal and inshore ecosystems of the GBR (GBRMPA 201</w:t>
      </w:r>
      <w:r w:rsidR="00D80951" w:rsidRPr="009B70CD">
        <w:rPr>
          <w:lang w:val="en-AU"/>
        </w:rPr>
        <w:t>4 a, b</w:t>
      </w:r>
      <w:r w:rsidR="007943E1" w:rsidRPr="009B70CD">
        <w:rPr>
          <w:lang w:val="en-AU"/>
        </w:rPr>
        <w:t xml:space="preserve">). </w:t>
      </w:r>
      <w:r w:rsidR="00634ACD" w:rsidRPr="009B70CD">
        <w:rPr>
          <w:lang w:val="en-AU"/>
        </w:rPr>
        <w:t>A</w:t>
      </w:r>
      <w:r w:rsidR="007943E1" w:rsidRPr="009B70CD">
        <w:rPr>
          <w:lang w:val="en-AU"/>
        </w:rPr>
        <w:t xml:space="preserve"> key </w:t>
      </w:r>
      <w:r w:rsidR="00DD650A">
        <w:rPr>
          <w:lang w:val="en-AU"/>
        </w:rPr>
        <w:t xml:space="preserve">policy </w:t>
      </w:r>
      <w:r w:rsidR="007943E1" w:rsidRPr="009B70CD">
        <w:rPr>
          <w:lang w:val="en-AU"/>
        </w:rPr>
        <w:t xml:space="preserve">is </w:t>
      </w:r>
      <w:r w:rsidR="007C75E1" w:rsidRPr="009B70CD">
        <w:rPr>
          <w:lang w:val="en-AU"/>
        </w:rPr>
        <w:t>the Reef Water Quality Protection Plan (</w:t>
      </w:r>
      <w:r w:rsidR="007943E1" w:rsidRPr="009B70CD">
        <w:rPr>
          <w:lang w:val="en-AU"/>
        </w:rPr>
        <w:t>Reef Plan</w:t>
      </w:r>
      <w:r w:rsidR="007C75E1" w:rsidRPr="009B70CD">
        <w:rPr>
          <w:lang w:val="en-AU"/>
        </w:rPr>
        <w:t xml:space="preserve">; </w:t>
      </w:r>
      <w:r w:rsidR="007943E1" w:rsidRPr="009B70CD">
        <w:rPr>
          <w:lang w:val="en-AU"/>
        </w:rPr>
        <w:t>Anon 2</w:t>
      </w:r>
      <w:r w:rsidRPr="009B70CD">
        <w:rPr>
          <w:lang w:val="en-AU"/>
        </w:rPr>
        <w:t>0</w:t>
      </w:r>
      <w:r w:rsidR="007943E1" w:rsidRPr="009B70CD">
        <w:rPr>
          <w:lang w:val="en-AU"/>
        </w:rPr>
        <w:t xml:space="preserve">13), </w:t>
      </w:r>
      <w:r w:rsidR="000E2960" w:rsidRPr="009B70CD">
        <w:rPr>
          <w:lang w:val="en-AU"/>
        </w:rPr>
        <w:t>now a key component of</w:t>
      </w:r>
      <w:r w:rsidR="007943E1" w:rsidRPr="009B70CD">
        <w:rPr>
          <w:lang w:val="en-AU"/>
        </w:rPr>
        <w:t xml:space="preserve"> </w:t>
      </w:r>
      <w:r w:rsidR="000E2960" w:rsidRPr="009B70CD">
        <w:rPr>
          <w:lang w:val="en-AU"/>
        </w:rPr>
        <w:t>the Reef 2050 Long Term Sustainability Plan</w:t>
      </w:r>
      <w:r w:rsidR="00DD650A">
        <w:rPr>
          <w:lang w:val="en-AU"/>
        </w:rPr>
        <w:t xml:space="preserve"> (</w:t>
      </w:r>
      <w:r w:rsidR="007772AC">
        <w:rPr>
          <w:lang w:val="en-AU"/>
        </w:rPr>
        <w:t xml:space="preserve">Reef 2050 Plan; </w:t>
      </w:r>
      <w:r w:rsidR="00DD650A">
        <w:rPr>
          <w:lang w:val="en-AU"/>
        </w:rPr>
        <w:t>Commonwealth of Australia, 2015)</w:t>
      </w:r>
      <w:r w:rsidR="000E2960" w:rsidRPr="009B70CD">
        <w:rPr>
          <w:rStyle w:val="FootnoteReference"/>
          <w:lang w:val="en-AU"/>
        </w:rPr>
        <w:footnoteReference w:id="2"/>
      </w:r>
      <w:r w:rsidR="000E2960" w:rsidRPr="009B70CD">
        <w:rPr>
          <w:lang w:val="en-AU"/>
        </w:rPr>
        <w:t xml:space="preserve">, </w:t>
      </w:r>
      <w:r w:rsidR="002B109B">
        <w:rPr>
          <w:lang w:val="en-AU"/>
        </w:rPr>
        <w:t xml:space="preserve">the latter </w:t>
      </w:r>
      <w:r w:rsidR="000E2960" w:rsidRPr="009B70CD">
        <w:rPr>
          <w:lang w:val="en-AU"/>
        </w:rPr>
        <w:t xml:space="preserve">which provides the overarching framework for the integrated management of the </w:t>
      </w:r>
      <w:r w:rsidR="009B70CD" w:rsidRPr="009B70CD">
        <w:rPr>
          <w:rStyle w:val="Emphasis"/>
          <w:rFonts w:eastAsia="SimSun" w:cs="Arial"/>
          <w:i w:val="0"/>
        </w:rPr>
        <w:t>Great Barrier Reef World Heritage Area</w:t>
      </w:r>
      <w:r w:rsidR="009B70CD" w:rsidRPr="009B70CD">
        <w:rPr>
          <w:lang w:val="en-AU"/>
        </w:rPr>
        <w:t xml:space="preserve"> (</w:t>
      </w:r>
      <w:r w:rsidR="000E2960" w:rsidRPr="009B70CD">
        <w:rPr>
          <w:lang w:val="en-AU"/>
        </w:rPr>
        <w:t>GBRWHA</w:t>
      </w:r>
      <w:r w:rsidR="009B70CD" w:rsidRPr="009B70CD">
        <w:rPr>
          <w:lang w:val="en-AU"/>
        </w:rPr>
        <w:t>)</w:t>
      </w:r>
      <w:r w:rsidR="000E2960" w:rsidRPr="009B70CD">
        <w:rPr>
          <w:lang w:val="en-AU"/>
        </w:rPr>
        <w:t>.</w:t>
      </w:r>
      <w:r w:rsidR="000E2960" w:rsidRPr="009B70CD">
        <w:rPr>
          <w:szCs w:val="22"/>
          <w:lang w:val="en-AU"/>
        </w:rPr>
        <w:t xml:space="preserve"> </w:t>
      </w:r>
    </w:p>
    <w:p w14:paraId="5F22ECF6" w14:textId="3DE3ABB6" w:rsidR="00057454" w:rsidRPr="00842CA3" w:rsidRDefault="00057454" w:rsidP="00461784">
      <w:pPr>
        <w:rPr>
          <w:lang w:val="en-AU"/>
        </w:rPr>
      </w:pPr>
      <w:r w:rsidRPr="00842CA3">
        <w:rPr>
          <w:lang w:val="en-AU" w:eastAsia="en-AU"/>
        </w:rPr>
        <w:t xml:space="preserve">The Marine Monitoring Program (MMP), formerly known as </w:t>
      </w:r>
      <w:r w:rsidR="007C75E1" w:rsidRPr="00842CA3">
        <w:rPr>
          <w:lang w:val="en-AU" w:eastAsia="en-AU"/>
        </w:rPr>
        <w:t xml:space="preserve">the </w:t>
      </w:r>
      <w:r w:rsidRPr="00842CA3">
        <w:rPr>
          <w:lang w:val="en-AU"/>
        </w:rPr>
        <w:t>Reef Plan MMP,</w:t>
      </w:r>
      <w:r w:rsidRPr="00842CA3">
        <w:rPr>
          <w:lang w:val="en-AU" w:eastAsia="en-AU"/>
        </w:rPr>
        <w:t xml:space="preserve"> was designed and developed by the </w:t>
      </w:r>
      <w:r w:rsidR="007943E1" w:rsidRPr="00842CA3">
        <w:rPr>
          <w:lang w:val="en-AU"/>
        </w:rPr>
        <w:t xml:space="preserve">GBRMPA </w:t>
      </w:r>
      <w:r w:rsidR="00634ACD" w:rsidRPr="00842CA3">
        <w:rPr>
          <w:lang w:val="en-AU"/>
        </w:rPr>
        <w:t xml:space="preserve">in collaboration with science agencies and is currently funded by the </w:t>
      </w:r>
      <w:r w:rsidR="002B109B">
        <w:rPr>
          <w:lang w:val="en-AU"/>
        </w:rPr>
        <w:t>Australian Government Reef Programme</w:t>
      </w:r>
      <w:r w:rsidR="00634ACD" w:rsidRPr="00842CA3">
        <w:rPr>
          <w:lang w:val="en-AU"/>
        </w:rPr>
        <w:t>.</w:t>
      </w:r>
      <w:r w:rsidRPr="00842CA3">
        <w:rPr>
          <w:lang w:val="en-AU" w:eastAsia="en-AU"/>
        </w:rPr>
        <w:t xml:space="preserve"> A summary of the MMP’s overall goals and objectives and a description of the sub-programs </w:t>
      </w:r>
      <w:r w:rsidR="00A173D0" w:rsidRPr="00842CA3">
        <w:rPr>
          <w:lang w:val="en-AU" w:eastAsia="en-AU"/>
        </w:rPr>
        <w:t xml:space="preserve">are </w:t>
      </w:r>
      <w:r w:rsidRPr="00842CA3">
        <w:rPr>
          <w:lang w:val="en-AU" w:eastAsia="en-AU"/>
        </w:rPr>
        <w:t>available at</w:t>
      </w:r>
      <w:r w:rsidR="00634ACD" w:rsidRPr="00842CA3">
        <w:rPr>
          <w:lang w:val="en-AU" w:eastAsia="en-AU"/>
        </w:rPr>
        <w:t xml:space="preserve"> </w:t>
      </w:r>
      <w:hyperlink r:id="rId293" w:history="1">
        <w:r w:rsidR="00634ACD" w:rsidRPr="00842CA3">
          <w:rPr>
            <w:rStyle w:val="Hyperlink"/>
            <w:lang w:val="en-AU" w:eastAsia="en-AU"/>
          </w:rPr>
          <w:t>http://www.gbrmpa.gov.au/managing-the-reef/how-the-reefs-managed/reef-2050-marine-monitoring-program</w:t>
        </w:r>
      </w:hyperlink>
      <w:r w:rsidR="00634ACD" w:rsidRPr="00842CA3">
        <w:rPr>
          <w:lang w:val="en-AU" w:eastAsia="en-AU"/>
        </w:rPr>
        <w:t xml:space="preserve"> and </w:t>
      </w:r>
      <w:hyperlink r:id="rId294" w:tooltip="A summary of the MMP’s overall goals and objectives and a description of the sub-programs" w:history="1">
        <w:r w:rsidR="000F409D" w:rsidRPr="00842CA3">
          <w:rPr>
            <w:rStyle w:val="Hyperlink"/>
            <w:color w:val="auto"/>
            <w:lang w:val="en-AU"/>
          </w:rPr>
          <w:t>http://e-atlas.org.au/rrmmp</w:t>
        </w:r>
      </w:hyperlink>
      <w:r w:rsidRPr="00842CA3">
        <w:rPr>
          <w:lang w:val="en-AU"/>
        </w:rPr>
        <w:t>.</w:t>
      </w:r>
      <w:r w:rsidR="00E62147" w:rsidRPr="00842CA3">
        <w:rPr>
          <w:lang w:val="en-AU"/>
        </w:rPr>
        <w:t xml:space="preserve"> </w:t>
      </w:r>
      <w:r w:rsidR="000E2960" w:rsidRPr="00842CA3">
        <w:rPr>
          <w:lang w:val="en-AU"/>
        </w:rPr>
        <w:t xml:space="preserve">The MMP was established in 2005 to help assess the long-term status and health of </w:t>
      </w:r>
      <w:r w:rsidR="00654C99">
        <w:rPr>
          <w:lang w:val="en-AU"/>
        </w:rPr>
        <w:t>Great Barrier Reef (</w:t>
      </w:r>
      <w:r w:rsidR="000E2960" w:rsidRPr="00842CA3">
        <w:rPr>
          <w:lang w:val="en-AU"/>
        </w:rPr>
        <w:t>GBR</w:t>
      </w:r>
      <w:r w:rsidR="00654C99">
        <w:rPr>
          <w:lang w:val="en-AU"/>
        </w:rPr>
        <w:t>)</w:t>
      </w:r>
      <w:r w:rsidR="000E2960" w:rsidRPr="00842CA3">
        <w:rPr>
          <w:lang w:val="en-AU"/>
        </w:rPr>
        <w:t xml:space="preserve"> ecosystems and is a critical component in the assessment of regional water quality as land management practices are improved across GBR catchments. </w:t>
      </w:r>
      <w:r w:rsidRPr="00842CA3">
        <w:rPr>
          <w:lang w:val="en-AU"/>
        </w:rPr>
        <w:t xml:space="preserve">The MMP forms an integral part of the </w:t>
      </w:r>
      <w:r w:rsidRPr="00842CA3">
        <w:rPr>
          <w:i/>
          <w:lang w:val="en-AU"/>
        </w:rPr>
        <w:t xml:space="preserve">Paddock to Reef Integrated Monitoring, </w:t>
      </w:r>
      <w:r w:rsidR="00656E11" w:rsidRPr="00842CA3">
        <w:rPr>
          <w:i/>
          <w:lang w:val="en-AU"/>
        </w:rPr>
        <w:t>Modelling</w:t>
      </w:r>
      <w:r w:rsidRPr="00842CA3">
        <w:rPr>
          <w:i/>
          <w:lang w:val="en-AU"/>
        </w:rPr>
        <w:t xml:space="preserve"> and Reporting Program</w:t>
      </w:r>
      <w:r w:rsidR="007772AC">
        <w:rPr>
          <w:lang w:val="en-AU"/>
        </w:rPr>
        <w:t xml:space="preserve"> (Paddock to Reef program)</w:t>
      </w:r>
      <w:r w:rsidRPr="00842CA3">
        <w:rPr>
          <w:lang w:val="en-AU"/>
        </w:rPr>
        <w:t xml:space="preserve"> which is a key action of Reef Plan and is designed to evaluate the efficiency and effectiveness of </w:t>
      </w:r>
      <w:r w:rsidR="007772AC">
        <w:rPr>
          <w:lang w:val="en-AU"/>
        </w:rPr>
        <w:t xml:space="preserve">program </w:t>
      </w:r>
      <w:r w:rsidRPr="00842CA3">
        <w:rPr>
          <w:lang w:val="en-AU"/>
        </w:rPr>
        <w:t>implementation</w:t>
      </w:r>
      <w:r w:rsidR="007772AC">
        <w:rPr>
          <w:lang w:val="en-AU"/>
        </w:rPr>
        <w:t>,</w:t>
      </w:r>
      <w:r w:rsidRPr="00842CA3">
        <w:rPr>
          <w:lang w:val="en-AU"/>
        </w:rPr>
        <w:t xml:space="preserve"> and report on progress towards the </w:t>
      </w:r>
      <w:r w:rsidR="007772AC">
        <w:rPr>
          <w:lang w:val="en-AU"/>
        </w:rPr>
        <w:t xml:space="preserve">Reef Plan and </w:t>
      </w:r>
      <w:r w:rsidRPr="00842CA3">
        <w:rPr>
          <w:lang w:val="en-AU"/>
        </w:rPr>
        <w:t xml:space="preserve">Reef </w:t>
      </w:r>
      <w:r w:rsidR="000B1E2A" w:rsidRPr="00842CA3">
        <w:rPr>
          <w:lang w:val="en-AU"/>
        </w:rPr>
        <w:t xml:space="preserve">2050 </w:t>
      </w:r>
      <w:r w:rsidRPr="00842CA3">
        <w:rPr>
          <w:lang w:val="en-AU"/>
        </w:rPr>
        <w:t xml:space="preserve">Plan goals and targets. A key output of the Paddock to Reef </w:t>
      </w:r>
      <w:r w:rsidR="007772AC">
        <w:rPr>
          <w:lang w:val="en-AU"/>
        </w:rPr>
        <w:t>p</w:t>
      </w:r>
      <w:r w:rsidR="007772AC" w:rsidRPr="00842CA3">
        <w:rPr>
          <w:lang w:val="en-AU"/>
        </w:rPr>
        <w:t xml:space="preserve">rogram </w:t>
      </w:r>
      <w:r w:rsidRPr="00842CA3">
        <w:rPr>
          <w:lang w:val="en-AU"/>
        </w:rPr>
        <w:t xml:space="preserve">is an annual report card, including an assessment of </w:t>
      </w:r>
      <w:r w:rsidR="00654C99">
        <w:rPr>
          <w:lang w:val="en-AU"/>
        </w:rPr>
        <w:t>GBR</w:t>
      </w:r>
      <w:r w:rsidR="00654C99" w:rsidRPr="00842CA3">
        <w:rPr>
          <w:lang w:val="en-AU"/>
        </w:rPr>
        <w:t xml:space="preserve"> </w:t>
      </w:r>
      <w:r w:rsidRPr="00842CA3">
        <w:rPr>
          <w:lang w:val="en-AU"/>
        </w:rPr>
        <w:t xml:space="preserve">water quality and ecosystem condition to which the MMP contributes assessments and information. The first Annual </w:t>
      </w:r>
      <w:r w:rsidR="009F2A3D" w:rsidRPr="00842CA3">
        <w:rPr>
          <w:lang w:val="en-AU"/>
        </w:rPr>
        <w:t xml:space="preserve">Reef </w:t>
      </w:r>
      <w:r w:rsidR="00401FB8" w:rsidRPr="00842CA3">
        <w:rPr>
          <w:lang w:val="en-AU"/>
        </w:rPr>
        <w:t xml:space="preserve">Plan </w:t>
      </w:r>
      <w:r w:rsidRPr="00842CA3">
        <w:rPr>
          <w:lang w:val="en-AU"/>
        </w:rPr>
        <w:t xml:space="preserve">Report Card </w:t>
      </w:r>
      <w:r w:rsidR="009F2A3D" w:rsidRPr="00842CA3">
        <w:rPr>
          <w:lang w:val="en-AU"/>
        </w:rPr>
        <w:t xml:space="preserve">for </w:t>
      </w:r>
      <w:r w:rsidR="00401FB8" w:rsidRPr="00842CA3">
        <w:rPr>
          <w:lang w:val="en-AU"/>
        </w:rPr>
        <w:t>20</w:t>
      </w:r>
      <w:r w:rsidR="009F2A3D" w:rsidRPr="00842CA3">
        <w:rPr>
          <w:lang w:val="en-AU"/>
        </w:rPr>
        <w:t xml:space="preserve">09 </w:t>
      </w:r>
      <w:r w:rsidRPr="00842CA3">
        <w:rPr>
          <w:lang w:val="en-AU"/>
        </w:rPr>
        <w:t>(Anon. 2011) serve</w:t>
      </w:r>
      <w:r w:rsidR="00A173D0" w:rsidRPr="00842CA3">
        <w:rPr>
          <w:lang w:val="en-AU"/>
        </w:rPr>
        <w:t>s</w:t>
      </w:r>
      <w:r w:rsidRPr="00842CA3">
        <w:rPr>
          <w:lang w:val="en-AU"/>
        </w:rPr>
        <w:t xml:space="preserve"> as a baseline for future assessments, </w:t>
      </w:r>
      <w:r w:rsidR="009F2A3D" w:rsidRPr="00842CA3">
        <w:rPr>
          <w:lang w:val="en-AU"/>
        </w:rPr>
        <w:t xml:space="preserve">and report cards for </w:t>
      </w:r>
      <w:r w:rsidR="00401FB8" w:rsidRPr="00842CA3">
        <w:rPr>
          <w:lang w:val="en-AU"/>
        </w:rPr>
        <w:t>2010</w:t>
      </w:r>
      <w:r w:rsidR="00634ACD" w:rsidRPr="00842CA3">
        <w:rPr>
          <w:lang w:val="en-AU"/>
        </w:rPr>
        <w:t>,</w:t>
      </w:r>
      <w:r w:rsidR="00401FB8" w:rsidRPr="00842CA3">
        <w:rPr>
          <w:lang w:val="en-AU"/>
        </w:rPr>
        <w:t xml:space="preserve"> 2011 </w:t>
      </w:r>
      <w:r w:rsidR="00634ACD" w:rsidRPr="00842CA3">
        <w:rPr>
          <w:lang w:val="en-AU"/>
        </w:rPr>
        <w:t xml:space="preserve">and 2012/13 </w:t>
      </w:r>
      <w:r w:rsidR="00401FB8" w:rsidRPr="00842CA3">
        <w:rPr>
          <w:lang w:val="en-AU"/>
        </w:rPr>
        <w:t xml:space="preserve">have since been released </w:t>
      </w:r>
      <w:r w:rsidRPr="00842CA3">
        <w:rPr>
          <w:lang w:val="en-AU"/>
        </w:rPr>
        <w:t xml:space="preserve">(available at </w:t>
      </w:r>
      <w:hyperlink r:id="rId295" w:tooltip="The first Annual Reef Plan Report Card for 2009 (Anon. 2011), serves as a baseline for future assessments, recently with report cards for 2010 and 2011 " w:history="1">
        <w:r w:rsidRPr="00842CA3">
          <w:rPr>
            <w:rStyle w:val="Hyperlink"/>
            <w:color w:val="auto"/>
            <w:lang w:val="en-AU"/>
          </w:rPr>
          <w:t>www.reefplan.qld.gov.au</w:t>
        </w:r>
      </w:hyperlink>
      <w:r w:rsidRPr="00842CA3">
        <w:rPr>
          <w:lang w:val="en-AU"/>
        </w:rPr>
        <w:t>).</w:t>
      </w:r>
    </w:p>
    <w:p w14:paraId="5F22ECF7" w14:textId="670BDCB9" w:rsidR="00B176F9" w:rsidRPr="00842CA3" w:rsidRDefault="00654C99" w:rsidP="00461784">
      <w:pPr>
        <w:rPr>
          <w:lang w:val="en-AU"/>
        </w:rPr>
      </w:pPr>
      <w:r>
        <w:rPr>
          <w:lang w:val="en-AU"/>
        </w:rPr>
        <w:t xml:space="preserve">Inshore </w:t>
      </w:r>
      <w:r w:rsidR="00B176F9" w:rsidRPr="00842CA3">
        <w:rPr>
          <w:lang w:val="en-AU"/>
        </w:rPr>
        <w:t xml:space="preserve">water quality monitoring </w:t>
      </w:r>
      <w:r>
        <w:rPr>
          <w:lang w:val="en-AU"/>
        </w:rPr>
        <w:t>in</w:t>
      </w:r>
      <w:r w:rsidRPr="00842CA3">
        <w:rPr>
          <w:lang w:val="en-AU"/>
        </w:rPr>
        <w:t xml:space="preserve"> </w:t>
      </w:r>
      <w:r w:rsidR="00B176F9" w:rsidRPr="00842CA3">
        <w:rPr>
          <w:lang w:val="en-AU"/>
        </w:rPr>
        <w:t xml:space="preserve">the MMP includes ambient and event sampling </w:t>
      </w:r>
      <w:r w:rsidR="00EB33A6" w:rsidRPr="00842CA3">
        <w:rPr>
          <w:lang w:val="en-AU"/>
        </w:rPr>
        <w:fldChar w:fldCharType="begin"/>
      </w:r>
      <w:r w:rsidR="00B176F9" w:rsidRPr="00842CA3">
        <w:rPr>
          <w:lang w:val="en-AU"/>
        </w:rPr>
        <w:instrText xml:space="preserve"> ADDIN EN.CITE &lt;EndNote&gt;&lt;Cite&gt;&lt;Author&gt;Johnson&lt;/Author&gt;&lt;Year&gt;2011&lt;/Year&gt;&lt;RecNum&gt;1001&lt;/RecNum&gt;&lt;DisplayText&gt;(Johnson et al., 2011; Martin et al., 2014)&lt;/DisplayText&gt;&lt;record&gt;&lt;rec-number&gt;1001&lt;/rec-number&gt;&lt;foreign-keys&gt;&lt;key app="EN" db-id="wwzpfssaux292keptesxd5t6srsfvpzsde2p"&gt;1001&lt;/key&gt;&lt;/foreign-keys&gt;&lt;ref-type name="Book"&gt;6&lt;/ref-type&gt;&lt;contributors&gt;&lt;authors&gt;&lt;author&gt;Johnson, Johanna&lt;/author&gt;&lt;author&gt;Brando, Vittorio&lt;/author&gt;&lt;author&gt;Devlin, Michelle&lt;/author&gt;&lt;author&gt;McKenzie, Len&lt;/author&gt;&lt;author&gt;Morris, Sheridan&lt;/author&gt;&lt;author&gt;Schaffelke, Britta&lt;/author&gt;&lt;author&gt;Thompson, Angus&lt;/author&gt;&lt;author&gt;Waterhouse, Jane&lt;/author&gt;&lt;author&gt;Waycott, M&lt;/author&gt;&lt;/authors&gt;&lt;/contributors&gt;&lt;titles&gt;&lt;title&gt;Reef rescue marine monitoring program: 2009/2010 synthesis report&lt;/title&gt;&lt;/titles&gt;&lt;dates&gt;&lt;year&gt;2011&lt;/year&gt;&lt;/dates&gt;&lt;publisher&gt;Reef and Rainforest Research Centre&lt;/publisher&gt;&lt;isbn&gt;1921359617&lt;/isbn&gt;&lt;urls&gt;&lt;/urls&gt;&lt;/record&gt;&lt;/Cite&gt;&lt;Cite&gt;&lt;Author&gt;Martin&lt;/Author&gt;&lt;Year&gt;2014&lt;/Year&gt;&lt;RecNum&gt;1141&lt;/RecNum&gt;&lt;record&gt;&lt;rec-number&gt;1141&lt;/rec-number&gt;&lt;foreign-keys&gt;&lt;key app="EN" db-id="wwzpfssaux292keptesxd5t6srsfvpzsde2p"&gt;1141&lt;/key&gt;&lt;/foreign-keys&gt;&lt;ref-type name="Report"&gt;27&lt;/ref-type&gt;&lt;contributors&gt;&lt;authors&gt;&lt;author&gt;Martin, KC&lt;/author&gt;&lt;author&gt;McKenzie, L.J&lt;/author&gt;&lt;author&gt;Thompson, A&lt;/author&gt;&lt;author&gt;Muller, J&lt;/author&gt;&lt;author&gt;Bentley, C&lt;/author&gt;&lt;author&gt;Paxman, C&lt;/author&gt;&lt;author&gt;Collier, C&lt;/author&gt;&lt;author&gt;Waycott, M&lt;/author&gt;&lt;author&gt;Brando, V&lt;/author&gt;&lt;author&gt;Devlin, M&lt;/author&gt;&lt;author&gt;Schaffelke, B. 2014, &lt;/author&gt;&lt;/authors&gt;&lt;/contributors&gt;&lt;titles&gt;&lt;title&gt;Reef Rescue Marine Monitoring Program synthesis report. 2010-2011&lt;/title&gt;&lt;secondary-title&gt;A report to the Great Barrier Reef Marine Park Authority.&lt;/secondary-title&gt;&lt;/titles&gt;&lt;dates&gt;&lt;year&gt;2014&lt;/year&gt;&lt;/dates&gt;&lt;pub-location&gt;GBRMPA, Townsville.&lt;/pub-location&gt;&lt;urls&gt;&lt;/urls&gt;&lt;/record&gt;&lt;/Cite&gt;&lt;/EndNote&gt;</w:instrText>
      </w:r>
      <w:r w:rsidR="00EB33A6" w:rsidRPr="00842CA3">
        <w:rPr>
          <w:lang w:val="en-AU"/>
        </w:rPr>
        <w:fldChar w:fldCharType="separate"/>
      </w:r>
      <w:r w:rsidR="00B176F9" w:rsidRPr="00842CA3">
        <w:rPr>
          <w:lang w:val="en-AU"/>
        </w:rPr>
        <w:t>(</w:t>
      </w:r>
      <w:r w:rsidR="00AE45B2">
        <w:rPr>
          <w:lang w:val="en-AU"/>
        </w:rPr>
        <w:t xml:space="preserve">Schaffelke et al. 2013; Devlin et al. 2014; </w:t>
      </w:r>
      <w:hyperlink w:anchor="_ENREF_22" w:tooltip="Johnson, 2011 #1001" w:history="1">
        <w:r w:rsidR="00B176F9" w:rsidRPr="00842CA3">
          <w:rPr>
            <w:lang w:val="en-AU"/>
          </w:rPr>
          <w:t>Johnson et al., 2011</w:t>
        </w:r>
      </w:hyperlink>
      <w:r w:rsidR="00B176F9" w:rsidRPr="00842CA3">
        <w:rPr>
          <w:lang w:val="en-AU"/>
        </w:rPr>
        <w:t xml:space="preserve">; </w:t>
      </w:r>
      <w:hyperlink w:anchor="_ENREF_26" w:tooltip="Martin, 2014 #1141" w:history="1">
        <w:r w:rsidR="00B176F9" w:rsidRPr="00842CA3">
          <w:rPr>
            <w:lang w:val="en-AU"/>
          </w:rPr>
          <w:t>Martin et al., 2014</w:t>
        </w:r>
      </w:hyperlink>
      <w:r w:rsidR="00B176F9" w:rsidRPr="00842CA3">
        <w:rPr>
          <w:lang w:val="en-AU"/>
        </w:rPr>
        <w:t>)</w:t>
      </w:r>
      <w:r w:rsidR="00EB33A6" w:rsidRPr="00842CA3">
        <w:rPr>
          <w:lang w:val="en-AU"/>
        </w:rPr>
        <w:fldChar w:fldCharType="end"/>
      </w:r>
      <w:r w:rsidR="00986BFD" w:rsidRPr="00842CA3">
        <w:rPr>
          <w:lang w:val="en-AU"/>
        </w:rPr>
        <w:t xml:space="preserve"> and is carried out </w:t>
      </w:r>
      <w:r w:rsidR="00B176F9" w:rsidRPr="00842CA3">
        <w:rPr>
          <w:lang w:val="en-AU"/>
        </w:rPr>
        <w:t xml:space="preserve">in partnership with the other MMP </w:t>
      </w:r>
      <w:r w:rsidR="00986BFD" w:rsidRPr="00842CA3">
        <w:rPr>
          <w:lang w:val="en-AU"/>
        </w:rPr>
        <w:t xml:space="preserve">components </w:t>
      </w:r>
      <w:r w:rsidR="00B176F9" w:rsidRPr="00842CA3">
        <w:rPr>
          <w:lang w:val="en-AU"/>
        </w:rPr>
        <w:t xml:space="preserve">including </w:t>
      </w:r>
      <w:r w:rsidR="00986BFD" w:rsidRPr="00842CA3">
        <w:rPr>
          <w:lang w:val="en-AU"/>
        </w:rPr>
        <w:t>pesticide monitoring</w:t>
      </w:r>
      <w:r w:rsidR="00B176F9" w:rsidRPr="00842CA3">
        <w:rPr>
          <w:lang w:val="en-AU"/>
        </w:rPr>
        <w:t xml:space="preserve"> </w:t>
      </w:r>
      <w:r w:rsidR="00EB33A6" w:rsidRPr="00842CA3">
        <w:rPr>
          <w:lang w:val="en-AU"/>
        </w:rPr>
        <w:fldChar w:fldCharType="begin">
          <w:fldData xml:space="preserve">PEVuZE5vdGU+PENpdGU+PEF1dGhvcj5Kb2huc29uPC9BdXRob3I+PFllYXI+MjAxMTwvWWVhcj48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</w:fldData>
        </w:fldChar>
      </w:r>
      <w:r w:rsidR="00B176F9" w:rsidRPr="00842CA3">
        <w:rPr>
          <w:lang w:val="en-AU"/>
        </w:rPr>
        <w:instrText xml:space="preserve"> ADDIN EN.CITE </w:instrText>
      </w:r>
      <w:r w:rsidR="00EB33A6" w:rsidRPr="00842CA3">
        <w:rPr>
          <w:lang w:val="en-AU"/>
        </w:rPr>
        <w:fldChar w:fldCharType="begin">
          <w:fldData xml:space="preserve">PEVuZE5vdGU+PENpdGU+PEF1dGhvcj5Kb2huc29uPC9BdXRob3I+PFllYXI+MjAxMTwvWWVhcj48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</w:fldData>
        </w:fldChar>
      </w:r>
      <w:r w:rsidR="00B176F9" w:rsidRPr="00842CA3">
        <w:rPr>
          <w:lang w:val="en-AU"/>
        </w:rPr>
        <w:instrText xml:space="preserve"> ADDIN EN.CITE.DATA </w:instrText>
      </w:r>
      <w:r w:rsidR="00EB33A6" w:rsidRPr="00842CA3">
        <w:rPr>
          <w:lang w:val="en-AU"/>
        </w:rPr>
      </w:r>
      <w:r w:rsidR="00EB33A6" w:rsidRPr="00842CA3">
        <w:rPr>
          <w:lang w:val="en-AU"/>
        </w:rPr>
        <w:fldChar w:fldCharType="end"/>
      </w:r>
      <w:r w:rsidR="00EB33A6" w:rsidRPr="00842CA3">
        <w:rPr>
          <w:lang w:val="en-AU"/>
        </w:rPr>
      </w:r>
      <w:r w:rsidR="00EB33A6" w:rsidRPr="00842CA3">
        <w:rPr>
          <w:lang w:val="en-AU"/>
        </w:rPr>
        <w:fldChar w:fldCharType="separate"/>
      </w:r>
      <w:r w:rsidR="00B176F9" w:rsidRPr="00842CA3">
        <w:rPr>
          <w:lang w:val="en-AU"/>
        </w:rPr>
        <w:t>(</w:t>
      </w:r>
      <w:hyperlink w:anchor="_ENREF_4" w:tooltip="Bentley, 2012 #1071" w:history="1">
        <w:r w:rsidR="00986BFD" w:rsidRPr="00842CA3">
          <w:rPr>
            <w:lang w:val="en-AU"/>
          </w:rPr>
          <w:t>Bentley et al., 2013)</w:t>
        </w:r>
      </w:hyperlink>
      <w:r w:rsidR="00EB33A6" w:rsidRPr="00842CA3">
        <w:rPr>
          <w:lang w:val="en-AU"/>
        </w:rPr>
        <w:fldChar w:fldCharType="end"/>
      </w:r>
      <w:r w:rsidR="00B176F9" w:rsidRPr="00842CA3">
        <w:rPr>
          <w:lang w:val="en-AU"/>
        </w:rPr>
        <w:t xml:space="preserve">, coral monitoring </w:t>
      </w:r>
      <w:r w:rsidR="00842CA3">
        <w:rPr>
          <w:lang w:val="en-AU"/>
        </w:rPr>
        <w:t>(Thom</w:t>
      </w:r>
      <w:r w:rsidR="00986BFD" w:rsidRPr="00842CA3">
        <w:rPr>
          <w:lang w:val="en-AU"/>
        </w:rPr>
        <w:t>son et al.</w:t>
      </w:r>
      <w:r w:rsidR="009B70CD">
        <w:rPr>
          <w:lang w:val="en-AU"/>
        </w:rPr>
        <w:t>,</w:t>
      </w:r>
      <w:r w:rsidR="00986BFD" w:rsidRPr="00842CA3">
        <w:rPr>
          <w:lang w:val="en-AU"/>
        </w:rPr>
        <w:t xml:space="preserve"> 2014) </w:t>
      </w:r>
      <w:r w:rsidR="00B176F9" w:rsidRPr="00842CA3">
        <w:rPr>
          <w:lang w:val="en-AU"/>
        </w:rPr>
        <w:t xml:space="preserve">and seagrass monitoring </w:t>
      </w:r>
      <w:r w:rsidR="00EB33A6" w:rsidRPr="00842CA3">
        <w:rPr>
          <w:lang w:val="en-AU"/>
        </w:rPr>
        <w:fldChar w:fldCharType="begin">
          <w:fldData xml:space="preserve">PEVuZE5vdGU+PENpdGU+PEF1dGhvcj5UaG9tcHNvbjwvQXV0aG9yPjxZZWFyPjIwMTM8L1llYXI+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</w:fldData>
        </w:fldChar>
      </w:r>
      <w:r w:rsidR="00B176F9" w:rsidRPr="00842CA3">
        <w:rPr>
          <w:lang w:val="en-AU"/>
        </w:rPr>
        <w:instrText xml:space="preserve"> ADDIN EN.CITE </w:instrText>
      </w:r>
      <w:r w:rsidR="00EB33A6" w:rsidRPr="00842CA3">
        <w:rPr>
          <w:lang w:val="en-AU"/>
        </w:rPr>
        <w:fldChar w:fldCharType="begin">
          <w:fldData xml:space="preserve">PEVuZE5vdGU+PENpdGU+PEF1dGhvcj5UaG9tcHNvbjwvQXV0aG9yPjxZZWFyPjIwMTM8L1llYXI+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</w:fldData>
        </w:fldChar>
      </w:r>
      <w:r w:rsidR="00B176F9" w:rsidRPr="00842CA3">
        <w:rPr>
          <w:lang w:val="en-AU"/>
        </w:rPr>
        <w:instrText xml:space="preserve"> ADDIN EN.CITE.DATA </w:instrText>
      </w:r>
      <w:r w:rsidR="00EB33A6" w:rsidRPr="00842CA3">
        <w:rPr>
          <w:lang w:val="en-AU"/>
        </w:rPr>
      </w:r>
      <w:r w:rsidR="00EB33A6" w:rsidRPr="00842CA3">
        <w:rPr>
          <w:lang w:val="en-AU"/>
        </w:rPr>
        <w:fldChar w:fldCharType="end"/>
      </w:r>
      <w:r w:rsidR="00EB33A6" w:rsidRPr="00842CA3">
        <w:rPr>
          <w:lang w:val="en-AU"/>
        </w:rPr>
      </w:r>
      <w:r w:rsidR="00EB33A6" w:rsidRPr="00842CA3">
        <w:rPr>
          <w:lang w:val="en-AU"/>
        </w:rPr>
        <w:fldChar w:fldCharType="separate"/>
      </w:r>
      <w:r w:rsidR="00B176F9" w:rsidRPr="00842CA3">
        <w:rPr>
          <w:lang w:val="en-AU"/>
        </w:rPr>
        <w:t>(</w:t>
      </w:r>
      <w:hyperlink w:anchor="_ENREF_28" w:tooltip="McKenzie, 2014 #967" w:history="1">
        <w:r w:rsidR="00B176F9" w:rsidRPr="00842CA3">
          <w:rPr>
            <w:lang w:val="en-AU"/>
          </w:rPr>
          <w:t>McKenzie et al., 2014</w:t>
        </w:r>
      </w:hyperlink>
      <w:r w:rsidR="00B176F9" w:rsidRPr="00842CA3">
        <w:rPr>
          <w:lang w:val="en-AU"/>
        </w:rPr>
        <w:t>)</w:t>
      </w:r>
      <w:r w:rsidR="00EB33A6" w:rsidRPr="00842CA3">
        <w:rPr>
          <w:lang w:val="en-AU"/>
        </w:rPr>
        <w:fldChar w:fldCharType="end"/>
      </w:r>
      <w:r w:rsidR="00B176F9" w:rsidRPr="00842CA3">
        <w:rPr>
          <w:lang w:val="en-AU"/>
        </w:rPr>
        <w:t>.</w:t>
      </w:r>
    </w:p>
    <w:p w14:paraId="5F22ECF9" w14:textId="0CE14700" w:rsidR="00D009F1" w:rsidRPr="00842CA3" w:rsidRDefault="00057454" w:rsidP="00461784">
      <w:pPr>
        <w:rPr>
          <w:lang w:val="en-AU"/>
        </w:rPr>
      </w:pPr>
      <w:r w:rsidRPr="00842CA3">
        <w:rPr>
          <w:lang w:val="en-AU"/>
        </w:rPr>
        <w:t>The Australian Institute of Marine Science (AIMS)</w:t>
      </w:r>
      <w:r w:rsidR="00B176F9" w:rsidRPr="00842CA3">
        <w:rPr>
          <w:lang w:val="en-AU"/>
        </w:rPr>
        <w:t xml:space="preserve"> and James Cook University </w:t>
      </w:r>
      <w:r w:rsidR="00654C99">
        <w:rPr>
          <w:lang w:val="en-AU"/>
        </w:rPr>
        <w:t xml:space="preserve">(JCU) </w:t>
      </w:r>
      <w:r w:rsidRPr="00842CA3">
        <w:rPr>
          <w:lang w:val="en-AU"/>
        </w:rPr>
        <w:t xml:space="preserve">entered into a co-investment </w:t>
      </w:r>
      <w:r w:rsidR="007C75E1" w:rsidRPr="00842CA3">
        <w:rPr>
          <w:lang w:val="en-AU"/>
        </w:rPr>
        <w:t>agreement</w:t>
      </w:r>
      <w:r w:rsidRPr="00842CA3">
        <w:rPr>
          <w:lang w:val="en-AU"/>
        </w:rPr>
        <w:t xml:space="preserve"> </w:t>
      </w:r>
      <w:r w:rsidR="00B176F9" w:rsidRPr="00842CA3">
        <w:rPr>
          <w:lang w:val="en-AU"/>
        </w:rPr>
        <w:t xml:space="preserve">with GBRMPA </w:t>
      </w:r>
      <w:r w:rsidRPr="00842CA3">
        <w:rPr>
          <w:lang w:val="en-AU"/>
        </w:rPr>
        <w:t xml:space="preserve">in </w:t>
      </w:r>
      <w:r w:rsidR="00634ACD" w:rsidRPr="00842CA3">
        <w:rPr>
          <w:lang w:val="en-AU"/>
        </w:rPr>
        <w:t>February 2014</w:t>
      </w:r>
      <w:r w:rsidRPr="00842CA3">
        <w:rPr>
          <w:lang w:val="en-AU"/>
        </w:rPr>
        <w:t xml:space="preserve"> to provide monitoring activities under the </w:t>
      </w:r>
      <w:r w:rsidRPr="00842CA3">
        <w:rPr>
          <w:lang w:val="en-AU" w:eastAsia="en-AU"/>
        </w:rPr>
        <w:t>MMP</w:t>
      </w:r>
      <w:r w:rsidR="005E600B" w:rsidRPr="00842CA3">
        <w:rPr>
          <w:lang w:val="en-AU" w:eastAsia="en-AU"/>
        </w:rPr>
        <w:t xml:space="preserve"> </w:t>
      </w:r>
      <w:r w:rsidR="000E2960" w:rsidRPr="00842CA3">
        <w:rPr>
          <w:lang w:val="en-AU" w:eastAsia="en-AU"/>
        </w:rPr>
        <w:t>for the 2014</w:t>
      </w:r>
      <w:r w:rsidR="00DD650A">
        <w:rPr>
          <w:lang w:val="en-AU" w:eastAsia="en-AU"/>
        </w:rPr>
        <w:t>-</w:t>
      </w:r>
      <w:r w:rsidR="000E2960" w:rsidRPr="00842CA3">
        <w:rPr>
          <w:lang w:val="en-AU" w:eastAsia="en-AU"/>
        </w:rPr>
        <w:t>15 monitoring year</w:t>
      </w:r>
      <w:r w:rsidRPr="00842CA3">
        <w:rPr>
          <w:lang w:val="en-AU" w:eastAsia="en-AU"/>
        </w:rPr>
        <w:t>.</w:t>
      </w:r>
      <w:r w:rsidR="007C75E1" w:rsidRPr="00842CA3">
        <w:rPr>
          <w:lang w:val="en-AU" w:eastAsia="en-AU"/>
        </w:rPr>
        <w:t xml:space="preserve"> </w:t>
      </w:r>
      <w:r w:rsidR="00AE45B2" w:rsidRPr="00842CA3">
        <w:t>The water quality monitoring activities in the current contract period of the MMP</w:t>
      </w:r>
      <w:r w:rsidR="00AE45B2">
        <w:t xml:space="preserve"> are built on activities </w:t>
      </w:r>
      <w:r w:rsidR="00AE45B2" w:rsidRPr="00842CA3">
        <w:t>established under previous arrangements from 2005 to 2014</w:t>
      </w:r>
      <w:r w:rsidR="00AE45B2">
        <w:t xml:space="preserve"> through the expansion of monitoring in </w:t>
      </w:r>
      <w:r w:rsidR="00DD650A">
        <w:t>four</w:t>
      </w:r>
      <w:r w:rsidR="00AE45B2">
        <w:t xml:space="preserve"> focus regions.</w:t>
      </w:r>
    </w:p>
    <w:p w14:paraId="5F22ECFC" w14:textId="77777777" w:rsidR="00A475F0" w:rsidRPr="00842CA3" w:rsidRDefault="00A475F0">
      <w:pPr>
        <w:spacing w:before="0" w:after="0"/>
        <w:jc w:val="left"/>
        <w:rPr>
          <w:rFonts w:cs="Arial"/>
          <w:b/>
          <w:i/>
          <w:kern w:val="28"/>
          <w:sz w:val="36"/>
          <w:szCs w:val="28"/>
          <w:lang w:val="en-AU"/>
        </w:rPr>
      </w:pPr>
      <w:bookmarkStart w:id="120" w:name="_Toc436082061"/>
      <w:bookmarkStart w:id="121" w:name="_Toc167192422"/>
      <w:bookmarkStart w:id="122" w:name="_Toc330104786"/>
      <w:bookmarkStart w:id="123" w:name="_Toc330104937"/>
      <w:bookmarkStart w:id="124" w:name="_Toc330105841"/>
      <w:bookmarkStart w:id="125" w:name="_Toc330113421"/>
      <w:bookmarkStart w:id="126" w:name="_Toc330115339"/>
      <w:bookmarkStart w:id="127" w:name="_Toc330177419"/>
      <w:bookmarkStart w:id="128" w:name="_Toc330177763"/>
      <w:bookmarkStart w:id="129" w:name="_Toc330191361"/>
      <w:bookmarkStart w:id="130" w:name="_Toc330281974"/>
      <w:r w:rsidRPr="00842CA3">
        <w:rPr>
          <w:lang w:val="en-AU"/>
        </w:rPr>
        <w:br w:type="page"/>
      </w:r>
    </w:p>
    <w:p w14:paraId="5F22ECFD" w14:textId="51DFCAC5" w:rsidR="00057454" w:rsidRDefault="00057454" w:rsidP="00C27BEB">
      <w:pPr>
        <w:pStyle w:val="Heading1"/>
      </w:pPr>
      <w:bookmarkStart w:id="131" w:name="_Toc436913465"/>
      <w:bookmarkStart w:id="132" w:name="_Toc462307428"/>
      <w:r w:rsidRPr="00842CA3">
        <w:t>Introduction</w:t>
      </w:r>
      <w:bookmarkEnd w:id="120"/>
      <w:bookmarkEnd w:id="121"/>
      <w:bookmarkEnd w:id="131"/>
      <w:bookmarkEnd w:id="132"/>
    </w:p>
    <w:p w14:paraId="5F22ECFE" w14:textId="3EB04F98" w:rsidR="00445760" w:rsidRDefault="005F6551" w:rsidP="00EC46B4">
      <w:pPr>
        <w:rPr>
          <w:lang w:val="en-AU"/>
        </w:rPr>
      </w:pPr>
      <w:bookmarkStart w:id="133" w:name="_Toc114372528"/>
      <w:bookmarkStart w:id="134" w:name="_Toc139938360"/>
      <w:bookmarkStart w:id="135" w:name="_Toc153077315"/>
      <w:bookmarkStart w:id="136" w:name="_Toc153103618"/>
      <w:r>
        <w:rPr>
          <w:noProof/>
          <w:lang w:val="en-AU" w:eastAsia="en-AU"/>
        </w:rPr>
        <w:drawing>
          <wp:anchor distT="0" distB="0" distL="114300" distR="114300" simplePos="0" relativeHeight="251646464" behindDoc="0" locked="0" layoutInCell="1" allowOverlap="1" wp14:anchorId="53CE0769" wp14:editId="7166D0A2">
            <wp:simplePos x="0" y="0"/>
            <wp:positionH relativeFrom="column">
              <wp:posOffset>880110</wp:posOffset>
            </wp:positionH>
            <wp:positionV relativeFrom="paragraph">
              <wp:posOffset>1584960</wp:posOffset>
            </wp:positionV>
            <wp:extent cx="3943350" cy="6071870"/>
            <wp:effectExtent l="0" t="0" r="0" b="5080"/>
            <wp:wrapTopAndBottom/>
            <wp:docPr id="58" name="Picture 58" descr="Map showing the Great Barrier Reef Marine Park, major marine ecosystems (coral reefs and surveyed seagrass beds), NRM regions and marine NRM regions (delineated by dark grey lines) and major rivers." title="The Great Barrier Reef Marine Park, major marine ecosystems (coral reefs and surveyed seagrass beds), NRM regions and marine NRM regions (delineated by dark grey lines) and major riv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_catchment_map_v2_300ppi-01.jpg"/>
                    <pic:cNvPicPr/>
                  </pic:nvPicPr>
                  <pic:blipFill>
                    <a:blip r:embed="rId296">
                      <a:extLst>
                        <a:ext uri="{28A0092B-C50C-407E-A947-70E740481C1C}">
                          <a14:useLocalDpi xmlns:a14="http://schemas.microsoft.com/office/drawing/2010/main" val="0"/>
                        </a:ext>
                      </a:extLst>
                    </a:blip>
                    <a:stretch>
                      <a:fillRect/>
                    </a:stretch>
                  </pic:blipFill>
                  <pic:spPr>
                    <a:xfrm>
                      <a:off x="0" y="0"/>
                      <a:ext cx="3943350" cy="6071870"/>
                    </a:xfrm>
                    <a:prstGeom prst="rect">
                      <a:avLst/>
                    </a:prstGeom>
                  </pic:spPr>
                </pic:pic>
              </a:graphicData>
            </a:graphic>
            <wp14:sizeRelH relativeFrom="page">
              <wp14:pctWidth>0</wp14:pctWidth>
            </wp14:sizeRelH>
            <wp14:sizeRelV relativeFrom="page">
              <wp14:pctHeight>0</wp14:pctHeight>
            </wp14:sizeRelV>
          </wp:anchor>
        </w:drawing>
      </w:r>
      <w:r w:rsidR="00445760" w:rsidRPr="00842CA3">
        <w:rPr>
          <w:lang w:val="en-AU"/>
        </w:rPr>
        <w:t>The GBR is the most extensive reef system in the world and comprises over 2,900 km</w:t>
      </w:r>
      <w:r w:rsidR="00445760" w:rsidRPr="002C153E">
        <w:rPr>
          <w:vertAlign w:val="superscript"/>
          <w:lang w:val="en-AU"/>
        </w:rPr>
        <w:t>2</w:t>
      </w:r>
      <w:r w:rsidR="00445760" w:rsidRPr="00842CA3">
        <w:rPr>
          <w:lang w:val="en-AU"/>
        </w:rPr>
        <w:t xml:space="preserve"> of coral reefs. It also </w:t>
      </w:r>
      <w:r w:rsidR="00654C99">
        <w:rPr>
          <w:lang w:val="en-AU"/>
        </w:rPr>
        <w:t>includes large areas</w:t>
      </w:r>
      <w:r w:rsidR="00654C99" w:rsidRPr="00842CA3">
        <w:rPr>
          <w:lang w:val="en-AU"/>
        </w:rPr>
        <w:t xml:space="preserve"> of seagrass meadows</w:t>
      </w:r>
      <w:r w:rsidR="00654C99">
        <w:rPr>
          <w:lang w:val="en-AU"/>
        </w:rPr>
        <w:t xml:space="preserve">, estimated to be </w:t>
      </w:r>
      <w:r w:rsidR="00445760" w:rsidRPr="00842CA3">
        <w:rPr>
          <w:lang w:val="en-AU"/>
        </w:rPr>
        <w:t>over 43,000 km</w:t>
      </w:r>
      <w:r w:rsidR="00445760" w:rsidRPr="002C153E">
        <w:rPr>
          <w:vertAlign w:val="superscript"/>
          <w:lang w:val="en-AU"/>
        </w:rPr>
        <w:t>2</w:t>
      </w:r>
      <w:r w:rsidR="00445760" w:rsidRPr="00842CA3">
        <w:rPr>
          <w:lang w:val="en-AU"/>
        </w:rPr>
        <w:t xml:space="preserve"> </w:t>
      </w:r>
      <w:r w:rsidR="00654C99">
        <w:rPr>
          <w:lang w:val="en-AU"/>
        </w:rPr>
        <w:t xml:space="preserve">from </w:t>
      </w:r>
      <w:r w:rsidR="00AE45B2">
        <w:rPr>
          <w:lang w:val="en-AU"/>
        </w:rPr>
        <w:t>survey</w:t>
      </w:r>
      <w:r w:rsidR="00654C99">
        <w:rPr>
          <w:lang w:val="en-AU"/>
        </w:rPr>
        <w:t>s of intertidal areas</w:t>
      </w:r>
      <w:r w:rsidR="00AE45B2">
        <w:rPr>
          <w:lang w:val="en-AU"/>
        </w:rPr>
        <w:t xml:space="preserve"> and </w:t>
      </w:r>
      <w:r w:rsidR="00654C99">
        <w:rPr>
          <w:lang w:val="en-AU"/>
        </w:rPr>
        <w:t>predictive modelling</w:t>
      </w:r>
      <w:r w:rsidR="00654C99" w:rsidRPr="00842CA3">
        <w:rPr>
          <w:lang w:val="en-AU"/>
        </w:rPr>
        <w:t xml:space="preserve"> </w:t>
      </w:r>
      <w:r w:rsidR="00654C99">
        <w:rPr>
          <w:lang w:val="en-AU"/>
        </w:rPr>
        <w:t xml:space="preserve">of </w:t>
      </w:r>
      <w:r w:rsidR="00AE45B2">
        <w:rPr>
          <w:lang w:val="en-AU"/>
        </w:rPr>
        <w:t>deepwater</w:t>
      </w:r>
      <w:r w:rsidR="00654C99">
        <w:rPr>
          <w:lang w:val="en-AU"/>
        </w:rPr>
        <w:t xml:space="preserve"> seagrass beds using knowledge of environmental variables </w:t>
      </w:r>
      <w:r w:rsidR="00445760" w:rsidRPr="00842CA3">
        <w:rPr>
          <w:lang w:val="en-AU"/>
        </w:rPr>
        <w:t>(</w:t>
      </w:r>
      <w:r w:rsidR="00EC46B4">
        <w:rPr>
          <w:lang w:val="en-AU"/>
        </w:rPr>
        <w:fldChar w:fldCharType="begin"/>
      </w:r>
      <w:r w:rsidR="00EC46B4">
        <w:rPr>
          <w:lang w:val="en-AU"/>
        </w:rPr>
        <w:instrText xml:space="preserve"> REF _Ref459145840 \h </w:instrText>
      </w:r>
      <w:r w:rsidR="00EC46B4">
        <w:rPr>
          <w:lang w:val="en-AU"/>
        </w:rPr>
      </w:r>
      <w:r w:rsidR="00EC46B4">
        <w:rPr>
          <w:lang w:val="en-AU"/>
        </w:rPr>
        <w:fldChar w:fldCharType="separate"/>
      </w:r>
      <w:r w:rsidR="007F5336" w:rsidRPr="004C5FAB">
        <w:t xml:space="preserve">Figure </w:t>
      </w:r>
      <w:r w:rsidR="007F5336">
        <w:rPr>
          <w:noProof/>
        </w:rPr>
        <w:t>3</w:t>
      </w:r>
      <w:r w:rsidR="007F5336">
        <w:noBreakHyphen/>
      </w:r>
      <w:r w:rsidR="007F5336">
        <w:rPr>
          <w:noProof/>
        </w:rPr>
        <w:t>1</w:t>
      </w:r>
      <w:r w:rsidR="00EC46B4">
        <w:rPr>
          <w:lang w:val="en-AU"/>
        </w:rPr>
        <w:fldChar w:fldCharType="end"/>
      </w:r>
      <w:r w:rsidR="00445760" w:rsidRPr="00842CA3">
        <w:rPr>
          <w:lang w:val="en-AU"/>
        </w:rPr>
        <w:t xml:space="preserve">). Thirty </w:t>
      </w:r>
      <w:r w:rsidR="00AE45B2">
        <w:rPr>
          <w:lang w:val="en-AU"/>
        </w:rPr>
        <w:t xml:space="preserve">five </w:t>
      </w:r>
      <w:r w:rsidR="00445760" w:rsidRPr="00842CA3">
        <w:rPr>
          <w:lang w:val="en-AU"/>
        </w:rPr>
        <w:t xml:space="preserve">major rivers drain into the GBR, all of which vary considerably in length, catchment area, and flow frequency and intensity. Rivers discharging into the GBR lagoon are the main </w:t>
      </w:r>
      <w:r w:rsidR="002B109B">
        <w:rPr>
          <w:lang w:val="en-AU"/>
        </w:rPr>
        <w:t xml:space="preserve">source of </w:t>
      </w:r>
      <w:r w:rsidR="00445760" w:rsidRPr="00842CA3">
        <w:rPr>
          <w:lang w:val="en-AU"/>
        </w:rPr>
        <w:t xml:space="preserve">land-based pollutants (i.e., sediments, nutrients and pesticides) </w:t>
      </w:r>
      <w:r w:rsidR="00654C99">
        <w:rPr>
          <w:lang w:val="en-AU"/>
        </w:rPr>
        <w:t>in</w:t>
      </w:r>
      <w:r w:rsidR="00445760" w:rsidRPr="00842CA3">
        <w:rPr>
          <w:lang w:val="en-AU"/>
        </w:rPr>
        <w:t xml:space="preserve"> the GBR. The actual distribution and movement of the individual pollutants varies considerably between the </w:t>
      </w:r>
      <w:r w:rsidR="00654C99">
        <w:rPr>
          <w:lang w:val="en-AU"/>
        </w:rPr>
        <w:t>w</w:t>
      </w:r>
      <w:r w:rsidR="00654C99" w:rsidRPr="00842CA3">
        <w:rPr>
          <w:lang w:val="en-AU"/>
        </w:rPr>
        <w:t xml:space="preserve">et </w:t>
      </w:r>
      <w:r w:rsidR="00445760" w:rsidRPr="00842CA3">
        <w:rPr>
          <w:lang w:val="en-AU"/>
        </w:rPr>
        <w:t xml:space="preserve">(north of Townsville) and </w:t>
      </w:r>
      <w:r w:rsidR="00654C99">
        <w:rPr>
          <w:lang w:val="en-AU"/>
        </w:rPr>
        <w:t>d</w:t>
      </w:r>
      <w:r w:rsidR="00654C99" w:rsidRPr="00842CA3">
        <w:rPr>
          <w:lang w:val="en-AU"/>
        </w:rPr>
        <w:t xml:space="preserve">ry </w:t>
      </w:r>
      <w:r w:rsidR="00654C99">
        <w:rPr>
          <w:lang w:val="en-AU"/>
        </w:rPr>
        <w:t>t</w:t>
      </w:r>
      <w:r w:rsidR="00654C99" w:rsidRPr="00842CA3">
        <w:rPr>
          <w:lang w:val="en-AU"/>
        </w:rPr>
        <w:t xml:space="preserve">ropic </w:t>
      </w:r>
      <w:r w:rsidR="00445760" w:rsidRPr="00842CA3">
        <w:rPr>
          <w:lang w:val="en-AU"/>
        </w:rPr>
        <w:t xml:space="preserve">rivers </w:t>
      </w:r>
      <w:r w:rsidR="00EB33A6" w:rsidRPr="00842CA3">
        <w:rPr>
          <w:lang w:val="en-AU"/>
        </w:rPr>
        <w:fldChar w:fldCharType="begin"/>
      </w:r>
      <w:r w:rsidR="00445760" w:rsidRPr="00842CA3">
        <w:rPr>
          <w:lang w:val="en-AU"/>
        </w:rPr>
        <w:instrText xml:space="preserve"> ADDIN EN.CITE &lt;EndNote&gt;&lt;Cite&gt;&lt;Author&gt;Devlin&lt;/Author&gt;&lt;Year&gt;2011&lt;/Year&gt;&lt;RecNum&gt;1034&lt;/RecNum&gt;&lt;DisplayText&gt;(Devlin et al., 2011; Devlin et al., 2013)&lt;/DisplayText&gt;&lt;record&gt;&lt;rec-number&gt;1034&lt;/rec-number&gt;&lt;foreign-keys&gt;&lt;key app="EN" db-id="wwzpfssaux292keptesxd5t6srsfvpzsde2p"&gt;1034&lt;/key&gt;&lt;/foreign-keys&gt;&lt;ref-type name="Journal Article"&gt;17&lt;/ref-type&gt;&lt;contributors&gt;&lt;authors&gt;&lt;author&gt;Devlin, Michelle&lt;/author&gt;&lt;author&gt;Schroeder, Thomas&lt;/author&gt;&lt;author&gt;McKinna, Lachlan&lt;/author&gt;&lt;author&gt;Brodie, Jon&lt;/author&gt;&lt;author&gt;Brando, Vittorio&lt;/author&gt;&lt;author&gt;Dekker, Arnold&lt;/author&gt;&lt;/authors&gt;&lt;/contributors&gt;&lt;titles&gt;&lt;title&gt;Monitoring and mapping of flood plumes in the Great Barrier Reef based on in-situ and remote sensing observations&lt;/title&gt;&lt;secondary-title&gt;Advances in Environmental Remote Sensing to Monitor Global Changes, CRC Press, Boca Raton&lt;/secondary-title&gt;&lt;/titles&gt;&lt;periodical&gt;&lt;full-title&gt;Advances in Environmental Remote Sensing to Monitor Global Changes, CRC Press, Boca Raton&lt;/full-title&gt;&lt;/periodical&gt;&lt;dates&gt;&lt;year&gt;2011&lt;/year&gt;&lt;/dates&gt;&lt;urls&gt;&lt;/urls&gt;&lt;/record&gt;&lt;/Cite&gt;&lt;Cite&gt;&lt;Author&gt;Devlin&lt;/Author&gt;&lt;Year&gt;2013&lt;/Year&gt;&lt;RecNum&gt;791&lt;/RecNum&gt;&lt;record&gt;&lt;rec-number&gt;791&lt;/rec-number&gt;&lt;foreign-keys&gt;&lt;key app="EN" db-id="wwzpfssaux292keptesxd5t6srsfvpzsde2p"&gt;791&lt;/key&gt;&lt;/foreign-keys&gt;&lt;ref-type name="Report"&gt;27&lt;/ref-type&gt;&lt;contributors&gt;&lt;authors&gt;&lt;author&gt;Devlin, M. J.&lt;/author&gt;&lt;author&gt;Álvarez-Romero, J.&lt;/author&gt;&lt;author&gt;da Silva, E. T.&lt;/author&gt;&lt;author&gt;DeBose, J.&lt;/author&gt;&lt;author&gt;Petus, C.&lt;/author&gt;&lt;author&gt;Wenger, A.&lt;/author&gt;&lt;/authors&gt;&lt;/contributors&gt;&lt;titles&gt;&lt;title&gt;Reef Rescue Marine Monitoring Program. Final report of JCU activities 2011/12 – Flood plumes and extreme weather monitoring for the Great Barrier Reef Marine Park Authority&lt;/title&gt;&lt;/titles&gt;&lt;dates&gt;&lt;year&gt;2013&lt;/year&gt;&lt;/dates&gt;&lt;pub-location&gt;Townsville&lt;/pub-location&gt;&lt;publisher&gt;James Cook University&lt;/publisher&gt;&lt;work-type&gt;Report ER&lt;/work-type&gt;&lt;urls&gt;&lt;related-urls&gt;&lt;url&gt;http://hdl.handle.net/11017/2803&lt;/url&gt;&lt;/related-urls&gt;&lt;/urls&gt;&lt;/record&gt;&lt;/Cite&gt;&lt;/EndNote&gt;</w:instrText>
      </w:r>
      <w:r w:rsidR="00EB33A6" w:rsidRPr="00842CA3">
        <w:rPr>
          <w:lang w:val="en-AU"/>
        </w:rPr>
        <w:fldChar w:fldCharType="separate"/>
      </w:r>
      <w:r w:rsidR="00445760" w:rsidRPr="00842CA3">
        <w:rPr>
          <w:lang w:val="en-AU"/>
        </w:rPr>
        <w:t>(</w:t>
      </w:r>
      <w:hyperlink w:anchor="_ENREF_16" w:tooltip="Devlin, 2011 #1034" w:history="1">
        <w:r w:rsidR="00445760" w:rsidRPr="00842CA3">
          <w:rPr>
            <w:lang w:val="en-AU"/>
          </w:rPr>
          <w:t>Devlin et al.</w:t>
        </w:r>
        <w:r w:rsidR="007B5205">
          <w:rPr>
            <w:lang w:val="en-AU"/>
          </w:rPr>
          <w:t>,</w:t>
        </w:r>
        <w:r w:rsidR="00445760" w:rsidRPr="00842CA3">
          <w:rPr>
            <w:lang w:val="en-AU"/>
          </w:rPr>
          <w:t xml:space="preserve"> 2011</w:t>
        </w:r>
      </w:hyperlink>
      <w:r w:rsidR="00445760" w:rsidRPr="00842CA3">
        <w:rPr>
          <w:lang w:val="en-AU"/>
        </w:rPr>
        <w:t xml:space="preserve">; </w:t>
      </w:r>
      <w:hyperlink w:anchor="_ENREF_19" w:tooltip="Devlin, 2013 #791" w:history="1">
        <w:r w:rsidR="00445760" w:rsidRPr="00842CA3">
          <w:rPr>
            <w:lang w:val="en-AU"/>
          </w:rPr>
          <w:t>Devlin et al., 2013</w:t>
        </w:r>
      </w:hyperlink>
      <w:r w:rsidR="00AE45B2">
        <w:rPr>
          <w:lang w:val="en-AU"/>
        </w:rPr>
        <w:t>; Brodie et al.</w:t>
      </w:r>
      <w:r w:rsidR="007B5205">
        <w:rPr>
          <w:lang w:val="en-AU"/>
        </w:rPr>
        <w:t>,</w:t>
      </w:r>
      <w:r w:rsidR="00AE45B2">
        <w:rPr>
          <w:lang w:val="en-AU"/>
        </w:rPr>
        <w:t xml:space="preserve"> 2013a, 2013b</w:t>
      </w:r>
      <w:r w:rsidR="00445760" w:rsidRPr="00842CA3">
        <w:rPr>
          <w:lang w:val="en-AU"/>
        </w:rPr>
        <w:t>)</w:t>
      </w:r>
      <w:r w:rsidR="00EB33A6" w:rsidRPr="00842CA3">
        <w:rPr>
          <w:lang w:val="en-AU"/>
        </w:rPr>
        <w:fldChar w:fldCharType="end"/>
      </w:r>
      <w:r w:rsidR="00445760" w:rsidRPr="00842CA3">
        <w:rPr>
          <w:lang w:val="en-AU"/>
        </w:rPr>
        <w:t>.</w:t>
      </w:r>
    </w:p>
    <w:p w14:paraId="5F22ED02" w14:textId="1548312A" w:rsidR="00445760" w:rsidRPr="004C5FAB" w:rsidRDefault="00445760" w:rsidP="005F6551">
      <w:pPr>
        <w:pStyle w:val="Caption"/>
        <w:rPr>
          <w:rStyle w:val="IntenseReference"/>
        </w:rPr>
      </w:pPr>
      <w:bookmarkStart w:id="137" w:name="_Ref428869690"/>
      <w:bookmarkStart w:id="138" w:name="_Ref459145840"/>
      <w:bookmarkStart w:id="139" w:name="_Toc427833267"/>
      <w:bookmarkStart w:id="140" w:name="_Toc434607137"/>
      <w:bookmarkStart w:id="141" w:name="_Toc436913466"/>
      <w:bookmarkStart w:id="142" w:name="_Toc459332353"/>
      <w:r w:rsidRPr="004C5FAB">
        <w:t xml:space="preserve">Figure </w:t>
      </w:r>
      <w:r w:rsidR="00C62884">
        <w:fldChar w:fldCharType="begin"/>
      </w:r>
      <w:r w:rsidR="00C62884">
        <w:instrText xml:space="preserve"> STYLEREF 1 \s </w:instrText>
      </w:r>
      <w:r w:rsidR="00C62884">
        <w:fldChar w:fldCharType="separate"/>
      </w:r>
      <w:r w:rsidR="007F5336">
        <w:rPr>
          <w:noProof/>
        </w:rPr>
        <w:t>3</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1</w:t>
      </w:r>
      <w:r w:rsidR="00C62884">
        <w:fldChar w:fldCharType="end"/>
      </w:r>
      <w:bookmarkEnd w:id="137"/>
      <w:bookmarkEnd w:id="138"/>
      <w:r w:rsidRPr="004C5FAB">
        <w:t>: The Great Barrier Reef Marine Park</w:t>
      </w:r>
      <w:r w:rsidRPr="004C5FAB">
        <w:rPr>
          <w:rStyle w:val="IntenseReference"/>
        </w:rPr>
        <w:t xml:space="preserve">, major marine ecosystems (coral reefs and </w:t>
      </w:r>
      <w:r w:rsidR="00DD650A">
        <w:rPr>
          <w:rStyle w:val="IntenseReference"/>
        </w:rPr>
        <w:t xml:space="preserve">surveyed </w:t>
      </w:r>
      <w:r w:rsidRPr="004C5FAB">
        <w:rPr>
          <w:rStyle w:val="IntenseReference"/>
        </w:rPr>
        <w:t xml:space="preserve">seagrass beds), </w:t>
      </w:r>
      <w:r w:rsidR="00DD650A">
        <w:rPr>
          <w:rStyle w:val="IntenseReference"/>
        </w:rPr>
        <w:t>NRM</w:t>
      </w:r>
      <w:r w:rsidRPr="004C5FAB">
        <w:rPr>
          <w:rStyle w:val="IntenseReference"/>
        </w:rPr>
        <w:t xml:space="preserve"> regions and marine </w:t>
      </w:r>
      <w:r w:rsidR="00DD650A">
        <w:rPr>
          <w:rStyle w:val="IntenseReference"/>
        </w:rPr>
        <w:t>NRM regions</w:t>
      </w:r>
      <w:r w:rsidR="00DD650A" w:rsidRPr="004C5FAB">
        <w:rPr>
          <w:rStyle w:val="IntenseReference"/>
        </w:rPr>
        <w:t xml:space="preserve"> </w:t>
      </w:r>
      <w:r w:rsidRPr="004C5FAB">
        <w:rPr>
          <w:rStyle w:val="IntenseReference"/>
        </w:rPr>
        <w:t xml:space="preserve">(delineated by dark grey </w:t>
      </w:r>
      <w:r w:rsidR="00AA630A">
        <w:rPr>
          <w:rStyle w:val="IntenseReference"/>
        </w:rPr>
        <w:t>lines</w:t>
      </w:r>
      <w:r w:rsidRPr="004C5FAB">
        <w:rPr>
          <w:rStyle w:val="IntenseReference"/>
        </w:rPr>
        <w:t>) and major rivers</w:t>
      </w:r>
      <w:r w:rsidR="00DD650A">
        <w:rPr>
          <w:rStyle w:val="IntenseReference"/>
        </w:rPr>
        <w:t>.</w:t>
      </w:r>
      <w:bookmarkEnd w:id="139"/>
      <w:bookmarkEnd w:id="140"/>
      <w:bookmarkEnd w:id="141"/>
      <w:bookmarkEnd w:id="142"/>
    </w:p>
    <w:p w14:paraId="5F22ED04" w14:textId="3DA47B07" w:rsidR="00445760" w:rsidRPr="00842CA3" w:rsidRDefault="00445760" w:rsidP="00445760">
      <w:pPr>
        <w:rPr>
          <w:lang w:val="en-AU"/>
        </w:rPr>
      </w:pPr>
      <w:r w:rsidRPr="00842CA3">
        <w:rPr>
          <w:lang w:val="en-AU"/>
        </w:rPr>
        <w:t xml:space="preserve">The GBR catchment </w:t>
      </w:r>
      <w:r w:rsidR="003A77F5">
        <w:rPr>
          <w:lang w:val="en-AU"/>
        </w:rPr>
        <w:t>is</w:t>
      </w:r>
      <w:r w:rsidRPr="00842CA3">
        <w:rPr>
          <w:lang w:val="en-AU"/>
        </w:rPr>
        <w:t xml:space="preserve"> divided into six Natural Resource Management (NRM) regions (</w:t>
      </w:r>
      <w:r w:rsidR="006E39D1">
        <w:fldChar w:fldCharType="begin"/>
      </w:r>
      <w:r w:rsidR="006E39D1">
        <w:instrText xml:space="preserve"> REF _Ref428869690 \h  \* MERGEFORMAT </w:instrText>
      </w:r>
      <w:r w:rsidR="006E39D1">
        <w:fldChar w:fldCharType="separate"/>
      </w:r>
      <w:r w:rsidR="007F5336" w:rsidRPr="007F5336">
        <w:rPr>
          <w:lang w:val="en-AU"/>
        </w:rPr>
        <w:t>Figure 3</w:t>
      </w:r>
      <w:r w:rsidR="007F5336" w:rsidRPr="007F5336">
        <w:rPr>
          <w:lang w:val="en-AU"/>
        </w:rPr>
        <w:noBreakHyphen/>
        <w:t>1</w:t>
      </w:r>
      <w:r w:rsidR="006E39D1">
        <w:fldChar w:fldCharType="end"/>
      </w:r>
      <w:r w:rsidRPr="00842CA3">
        <w:rPr>
          <w:lang w:val="en-AU"/>
        </w:rPr>
        <w:t>), each defined by a set of land use, biophysical and socio-economic characteristics. The Cape York region is largely undeveloped and is considered to have the least impact on GBR ecosystems from existing land-based activities</w:t>
      </w:r>
      <w:r w:rsidR="000B4B03">
        <w:rPr>
          <w:lang w:val="en-AU"/>
        </w:rPr>
        <w:t xml:space="preserve"> (Brodie et al. 2013b)</w:t>
      </w:r>
      <w:r w:rsidRPr="00842CA3">
        <w:rPr>
          <w:lang w:val="en-AU"/>
        </w:rPr>
        <w:t>. In contrast, the Wet Tropics, Burdekin, Mackay</w:t>
      </w:r>
      <w:r w:rsidR="00654C99">
        <w:rPr>
          <w:lang w:val="en-AU"/>
        </w:rPr>
        <w:t xml:space="preserve"> </w:t>
      </w:r>
      <w:r w:rsidRPr="00842CA3">
        <w:rPr>
          <w:lang w:val="en-AU"/>
        </w:rPr>
        <w:t>Whitsunday, Fitzroy and the Burnett</w:t>
      </w:r>
      <w:r w:rsidR="00D2594B">
        <w:rPr>
          <w:lang w:val="en-AU"/>
        </w:rPr>
        <w:t xml:space="preserve"> </w:t>
      </w:r>
      <w:r w:rsidRPr="00842CA3">
        <w:rPr>
          <w:lang w:val="en-AU"/>
        </w:rPr>
        <w:t>Mary regions are characterised by more extensive agricultural land uses including sugarcane, grazing, bananas and other horticulture, cropping, mining and urban development, and contribute to discharge of sediments, nutrients and pesticides</w:t>
      </w:r>
      <w:r w:rsidRPr="00842CA3" w:rsidDel="004E6242">
        <w:rPr>
          <w:lang w:val="en-AU"/>
        </w:rPr>
        <w:t xml:space="preserve"> </w:t>
      </w:r>
      <w:r w:rsidRPr="00842CA3">
        <w:rPr>
          <w:lang w:val="en-AU"/>
        </w:rPr>
        <w:t>to the GBR during the wet season</w:t>
      </w:r>
      <w:r w:rsidR="000B4B03">
        <w:rPr>
          <w:lang w:val="en-AU"/>
        </w:rPr>
        <w:t xml:space="preserve"> (Waterhouse et al.</w:t>
      </w:r>
      <w:r w:rsidR="007B5205">
        <w:rPr>
          <w:lang w:val="en-AU"/>
        </w:rPr>
        <w:t>,</w:t>
      </w:r>
      <w:r w:rsidR="000B4B03">
        <w:rPr>
          <w:lang w:val="en-AU"/>
        </w:rPr>
        <w:t xml:space="preserve"> 2012</w:t>
      </w:r>
      <w:r w:rsidR="00EC46B4">
        <w:rPr>
          <w:lang w:val="en-AU"/>
        </w:rPr>
        <w:t>;</w:t>
      </w:r>
      <w:r w:rsidR="000B4B03">
        <w:rPr>
          <w:lang w:val="en-AU"/>
        </w:rPr>
        <w:t xml:space="preserve"> Brodie et al.</w:t>
      </w:r>
      <w:r w:rsidR="007B5205">
        <w:rPr>
          <w:lang w:val="en-AU"/>
        </w:rPr>
        <w:t>,</w:t>
      </w:r>
      <w:r w:rsidR="000B4B03">
        <w:rPr>
          <w:lang w:val="en-AU"/>
        </w:rPr>
        <w:t xml:space="preserve"> 2013b)</w:t>
      </w:r>
      <w:r w:rsidRPr="00842CA3">
        <w:rPr>
          <w:lang w:val="en-AU"/>
        </w:rPr>
        <w:t xml:space="preserve">. </w:t>
      </w:r>
    </w:p>
    <w:p w14:paraId="70CCF73E" w14:textId="47BEA3E5" w:rsidR="000B4B03" w:rsidRDefault="0029043B" w:rsidP="0029043B">
      <w:pPr>
        <w:rPr>
          <w:rFonts w:eastAsia="MS Mincho"/>
          <w:lang w:val="en-AU" w:eastAsia="ja-JP"/>
        </w:rPr>
      </w:pPr>
      <w:r w:rsidRPr="008467AA">
        <w:rPr>
          <w:lang w:val="en-AU"/>
        </w:rPr>
        <w:t xml:space="preserve">Coastal areas around the world are under increasing pressure from human population growth, intensifying land use and urban and industrial development. As a result, increased loads of </w:t>
      </w:r>
      <w:r w:rsidRPr="008467AA">
        <w:rPr>
          <w:rFonts w:cs="Arial"/>
          <w:lang w:val="en-AU"/>
        </w:rPr>
        <w:t>suspended sediment, nutrients and pollutants,</w:t>
      </w:r>
      <w:r w:rsidRPr="008467AA">
        <w:rPr>
          <w:lang w:val="en-AU"/>
        </w:rPr>
        <w:t xml:space="preserve"> such as pesticides and other chemicals, invariably enter coastal waters and may lead to a decline in estuarine and coastal marine water quality. </w:t>
      </w:r>
      <w:r w:rsidR="000B4B03" w:rsidRPr="00161636">
        <w:rPr>
          <w:lang w:val="en-AU"/>
        </w:rPr>
        <w:t xml:space="preserve">Water quality in the GBR is influenced by an array of factors including diffuse source land-based runoff, point source pollution, and extreme weather conditions. </w:t>
      </w:r>
      <w:r w:rsidRPr="008467AA">
        <w:rPr>
          <w:lang w:val="en-AU"/>
        </w:rPr>
        <w:t xml:space="preserve">It is well documented that sediment and nutrient loads carried by </w:t>
      </w:r>
      <w:r w:rsidR="000B4B03">
        <w:rPr>
          <w:lang w:val="en-AU"/>
        </w:rPr>
        <w:t>rainfall</w:t>
      </w:r>
      <w:r w:rsidR="00654C99">
        <w:rPr>
          <w:lang w:val="en-AU"/>
        </w:rPr>
        <w:t>-</w:t>
      </w:r>
      <w:r w:rsidR="000B4B03">
        <w:rPr>
          <w:lang w:val="en-AU"/>
        </w:rPr>
        <w:t xml:space="preserve">driven </w:t>
      </w:r>
      <w:r w:rsidRPr="008467AA">
        <w:rPr>
          <w:lang w:val="en-AU"/>
        </w:rPr>
        <w:t xml:space="preserve">land runoff into the coastal and inshore zones of the </w:t>
      </w:r>
      <w:r w:rsidRPr="008467AA">
        <w:rPr>
          <w:rFonts w:eastAsia="MS Mincho"/>
          <w:lang w:val="en-AU" w:eastAsia="ja-JP"/>
        </w:rPr>
        <w:t xml:space="preserve">GBR </w:t>
      </w:r>
      <w:r w:rsidRPr="008467AA">
        <w:rPr>
          <w:lang w:val="en-AU"/>
        </w:rPr>
        <w:t xml:space="preserve">have increased since European settlement (e.g., Kroon </w:t>
      </w:r>
      <w:r w:rsidRPr="009B70CD">
        <w:rPr>
          <w:lang w:val="en-AU"/>
        </w:rPr>
        <w:t>et al.</w:t>
      </w:r>
      <w:r w:rsidR="009B70CD">
        <w:rPr>
          <w:lang w:val="en-AU"/>
        </w:rPr>
        <w:t>,</w:t>
      </w:r>
      <w:r w:rsidRPr="008467AA">
        <w:rPr>
          <w:lang w:val="en-AU"/>
        </w:rPr>
        <w:t xml:space="preserve"> 2012</w:t>
      </w:r>
      <w:r w:rsidR="00EC46B4">
        <w:rPr>
          <w:lang w:val="en-AU"/>
        </w:rPr>
        <w:t xml:space="preserve">; </w:t>
      </w:r>
      <w:r>
        <w:rPr>
          <w:lang w:val="en-AU"/>
        </w:rPr>
        <w:t xml:space="preserve">Waters </w:t>
      </w:r>
      <w:r w:rsidRPr="009B70CD">
        <w:rPr>
          <w:lang w:val="en-AU"/>
        </w:rPr>
        <w:t>et al.</w:t>
      </w:r>
      <w:r w:rsidR="009B70CD">
        <w:rPr>
          <w:lang w:val="en-AU"/>
        </w:rPr>
        <w:t>,</w:t>
      </w:r>
      <w:r>
        <w:rPr>
          <w:lang w:val="en-AU"/>
        </w:rPr>
        <w:t xml:space="preserve"> 2014</w:t>
      </w:r>
      <w:r w:rsidRPr="008467AA">
        <w:rPr>
          <w:lang w:val="en-AU"/>
        </w:rPr>
        <w:t xml:space="preserve">). Nutrients </w:t>
      </w:r>
      <w:r w:rsidR="00654C99">
        <w:rPr>
          <w:lang w:val="en-AU"/>
        </w:rPr>
        <w:t xml:space="preserve">are necessary </w:t>
      </w:r>
      <w:r w:rsidRPr="008467AA">
        <w:rPr>
          <w:lang w:val="en-AU"/>
        </w:rPr>
        <w:t>to sustain t</w:t>
      </w:r>
      <w:r w:rsidRPr="008467AA">
        <w:rPr>
          <w:rFonts w:eastAsia="MS Mincho"/>
          <w:lang w:val="en-AU" w:eastAsia="ja-JP"/>
        </w:rPr>
        <w:t>he biological productivity of the GBR</w:t>
      </w:r>
      <w:r w:rsidR="00654C99">
        <w:rPr>
          <w:rFonts w:eastAsia="MS Mincho"/>
          <w:lang w:val="en-AU" w:eastAsia="ja-JP"/>
        </w:rPr>
        <w:t>, and</w:t>
      </w:r>
      <w:r w:rsidRPr="008467AA">
        <w:rPr>
          <w:rFonts w:eastAsia="MS Mincho"/>
          <w:lang w:val="en-AU" w:eastAsia="ja-JP"/>
        </w:rPr>
        <w:t xml:space="preserve"> are supplied by a number of processes and sources such as upwelling of nutrient-enriched deep water from the Coral Sea and nitrogen fixation</w:t>
      </w:r>
      <w:r w:rsidR="00654C99">
        <w:rPr>
          <w:rFonts w:eastAsia="MS Mincho"/>
          <w:lang w:val="en-AU" w:eastAsia="ja-JP"/>
        </w:rPr>
        <w:t xml:space="preserve">, for example, </w:t>
      </w:r>
      <w:r w:rsidRPr="008467AA">
        <w:rPr>
          <w:rFonts w:eastAsia="MS Mincho"/>
          <w:lang w:val="en-AU" w:eastAsia="ja-JP"/>
        </w:rPr>
        <w:t xml:space="preserve">by (cyano-) bacteria (Furnas </w:t>
      </w:r>
      <w:r w:rsidRPr="009B70CD">
        <w:rPr>
          <w:rFonts w:eastAsia="MS Mincho"/>
          <w:lang w:val="en-AU" w:eastAsia="ja-JP"/>
        </w:rPr>
        <w:t>et al.</w:t>
      </w:r>
      <w:r w:rsidR="009B70CD">
        <w:rPr>
          <w:rFonts w:eastAsia="MS Mincho"/>
          <w:lang w:val="en-AU" w:eastAsia="ja-JP"/>
        </w:rPr>
        <w:t>,</w:t>
      </w:r>
      <w:r w:rsidRPr="008467AA">
        <w:rPr>
          <w:rFonts w:eastAsia="MS Mincho"/>
          <w:lang w:val="en-AU" w:eastAsia="ja-JP"/>
        </w:rPr>
        <w:t xml:space="preserve"> 2011). However, land runoff is the largest source of new nutrients to the inshore GBR (ibid.), especially during monsoonal flood events</w:t>
      </w:r>
      <w:r w:rsidR="000B4B03">
        <w:rPr>
          <w:rFonts w:eastAsia="MS Mincho"/>
          <w:lang w:val="en-AU" w:eastAsia="ja-JP"/>
        </w:rPr>
        <w:t xml:space="preserve"> (Devlin and Schaffelke 2009)</w:t>
      </w:r>
      <w:r w:rsidRPr="008467AA">
        <w:rPr>
          <w:rFonts w:eastAsia="MS Mincho"/>
          <w:lang w:val="en-AU" w:eastAsia="ja-JP"/>
        </w:rPr>
        <w:t xml:space="preserve">. </w:t>
      </w:r>
      <w:r w:rsidRPr="008467AA">
        <w:rPr>
          <w:lang w:val="en-AU"/>
        </w:rPr>
        <w:t>These</w:t>
      </w:r>
      <w:r w:rsidRPr="008467AA">
        <w:rPr>
          <w:rFonts w:eastAsia="MS Mincho"/>
          <w:lang w:val="en-AU" w:eastAsia="ja-JP"/>
        </w:rPr>
        <w:t xml:space="preserve"> nutrients augment the regional stocks of nutrients already stored in biomass or detritus (Furnas </w:t>
      </w:r>
      <w:r w:rsidRPr="009B70CD">
        <w:rPr>
          <w:rFonts w:eastAsia="MS Mincho"/>
          <w:lang w:val="en-AU" w:eastAsia="ja-JP"/>
        </w:rPr>
        <w:t>et al.</w:t>
      </w:r>
      <w:r w:rsidR="009B70CD">
        <w:rPr>
          <w:rFonts w:eastAsia="MS Mincho"/>
          <w:lang w:val="en-AU" w:eastAsia="ja-JP"/>
        </w:rPr>
        <w:t>,</w:t>
      </w:r>
      <w:r w:rsidRPr="008467AA">
        <w:rPr>
          <w:rFonts w:eastAsia="MS Mincho"/>
          <w:lang w:val="en-AU" w:eastAsia="ja-JP"/>
        </w:rPr>
        <w:t xml:space="preserve"> 2011)</w:t>
      </w:r>
      <w:r w:rsidR="002B109B">
        <w:rPr>
          <w:rFonts w:eastAsia="MS Mincho"/>
          <w:lang w:val="en-AU" w:eastAsia="ja-JP"/>
        </w:rPr>
        <w:t>,</w:t>
      </w:r>
      <w:r w:rsidRPr="008467AA">
        <w:rPr>
          <w:rFonts w:eastAsia="MS Mincho"/>
          <w:lang w:val="en-AU" w:eastAsia="ja-JP"/>
        </w:rPr>
        <w:t xml:space="preserve"> which are continuously recycled to supply nutrients for marine plants and bacteria (Furnas </w:t>
      </w:r>
      <w:r w:rsidRPr="009B70CD">
        <w:rPr>
          <w:rFonts w:eastAsia="MS Mincho"/>
          <w:iCs/>
          <w:lang w:val="en-AU" w:eastAsia="ja-JP"/>
        </w:rPr>
        <w:t>et al.</w:t>
      </w:r>
      <w:r w:rsidR="009B70CD">
        <w:rPr>
          <w:rFonts w:eastAsia="MS Mincho"/>
          <w:iCs/>
          <w:lang w:val="en-AU" w:eastAsia="ja-JP"/>
        </w:rPr>
        <w:t>,</w:t>
      </w:r>
      <w:r w:rsidRPr="008467AA">
        <w:rPr>
          <w:rFonts w:eastAsia="MS Mincho"/>
          <w:lang w:val="en-AU" w:eastAsia="ja-JP"/>
        </w:rPr>
        <w:t xml:space="preserve"> 2005</w:t>
      </w:r>
      <w:r w:rsidR="009B70CD">
        <w:rPr>
          <w:rFonts w:eastAsia="MS Mincho"/>
          <w:lang w:val="en-AU" w:eastAsia="ja-JP"/>
        </w:rPr>
        <w:t>, 2011</w:t>
      </w:r>
      <w:r w:rsidRPr="008467AA">
        <w:rPr>
          <w:rFonts w:eastAsia="MS Mincho"/>
          <w:lang w:val="en-AU" w:eastAsia="ja-JP"/>
        </w:rPr>
        <w:t xml:space="preserve">). </w:t>
      </w:r>
    </w:p>
    <w:p w14:paraId="5F22ED07" w14:textId="547335AC" w:rsidR="00445760" w:rsidRPr="008467AA" w:rsidRDefault="000B4B03" w:rsidP="00445760">
      <w:pPr>
        <w:rPr>
          <w:lang w:val="en-AU"/>
        </w:rPr>
      </w:pPr>
      <w:r>
        <w:rPr>
          <w:lang w:val="en-AU"/>
        </w:rPr>
        <w:t>W</w:t>
      </w:r>
      <w:r w:rsidRPr="008467AA">
        <w:rPr>
          <w:lang w:val="en-AU"/>
        </w:rPr>
        <w:t xml:space="preserve">ater </w:t>
      </w:r>
      <w:r w:rsidR="0029043B" w:rsidRPr="008467AA">
        <w:rPr>
          <w:lang w:val="en-AU"/>
        </w:rPr>
        <w:t xml:space="preserve">quality parameters in the GBR vary along cross-shelf, seasonal and latitudinal gradients (e.g. Schaffelke </w:t>
      </w:r>
      <w:r w:rsidR="0029043B" w:rsidRPr="009B70CD">
        <w:rPr>
          <w:lang w:val="en-AU"/>
        </w:rPr>
        <w:t>et al.</w:t>
      </w:r>
      <w:r w:rsidR="009B70CD">
        <w:rPr>
          <w:lang w:val="en-AU"/>
        </w:rPr>
        <w:t>,</w:t>
      </w:r>
      <w:r w:rsidR="0029043B" w:rsidRPr="008467AA">
        <w:rPr>
          <w:lang w:val="en-AU"/>
        </w:rPr>
        <w:t xml:space="preserve"> 2012a</w:t>
      </w:r>
      <w:r w:rsidR="0029043B">
        <w:rPr>
          <w:lang w:val="en-AU"/>
        </w:rPr>
        <w:t xml:space="preserve">, 2013; previous MMP reports, Devlin </w:t>
      </w:r>
      <w:r w:rsidR="0029043B" w:rsidRPr="009B70CD">
        <w:rPr>
          <w:lang w:val="en-AU"/>
        </w:rPr>
        <w:t>et al.</w:t>
      </w:r>
      <w:r w:rsidR="009B70CD">
        <w:rPr>
          <w:lang w:val="en-AU"/>
        </w:rPr>
        <w:t>,</w:t>
      </w:r>
      <w:r w:rsidR="0029043B">
        <w:rPr>
          <w:lang w:val="en-AU"/>
        </w:rPr>
        <w:t xml:space="preserve"> in press</w:t>
      </w:r>
      <w:r w:rsidR="00EC46B4">
        <w:rPr>
          <w:lang w:val="en-AU"/>
        </w:rPr>
        <w:t xml:space="preserve">; </w:t>
      </w:r>
      <w:r w:rsidR="0029043B">
        <w:rPr>
          <w:lang w:val="en-AU"/>
        </w:rPr>
        <w:t xml:space="preserve">Thompson </w:t>
      </w:r>
      <w:r w:rsidR="0029043B" w:rsidRPr="009B70CD">
        <w:rPr>
          <w:lang w:val="en-AU"/>
        </w:rPr>
        <w:t>et al.</w:t>
      </w:r>
      <w:r w:rsidR="009B70CD">
        <w:rPr>
          <w:lang w:val="en-AU"/>
        </w:rPr>
        <w:t>,</w:t>
      </w:r>
      <w:r w:rsidR="0029043B">
        <w:rPr>
          <w:lang w:val="en-AU"/>
        </w:rPr>
        <w:t xml:space="preserve"> 2014</w:t>
      </w:r>
      <w:r w:rsidR="0029043B" w:rsidRPr="008467AA">
        <w:rPr>
          <w:lang w:val="en-AU"/>
        </w:rPr>
        <w:t>)</w:t>
      </w:r>
      <w:r w:rsidR="00D2594B">
        <w:rPr>
          <w:lang w:val="en-AU"/>
        </w:rPr>
        <w:t xml:space="preserve"> </w:t>
      </w:r>
      <w:r>
        <w:rPr>
          <w:lang w:val="en-AU"/>
        </w:rPr>
        <w:t>r</w:t>
      </w:r>
      <w:r w:rsidRPr="008467AA">
        <w:rPr>
          <w:rFonts w:eastAsia="MS Mincho"/>
          <w:lang w:val="en-AU" w:eastAsia="ja-JP"/>
        </w:rPr>
        <w:t>eflecting diff</w:t>
      </w:r>
      <w:r>
        <w:rPr>
          <w:rFonts w:eastAsia="MS Mincho"/>
          <w:lang w:val="en-AU" w:eastAsia="ja-JP"/>
        </w:rPr>
        <w:t>erences in inputs and transport. There is also high variability between years, driven by La Nina and El Nino cycles.</w:t>
      </w:r>
      <w:r w:rsidR="00EC46B4">
        <w:rPr>
          <w:rFonts w:eastAsia="MS Mincho"/>
          <w:lang w:val="en-AU" w:eastAsia="ja-JP"/>
        </w:rPr>
        <w:t xml:space="preserve"> </w:t>
      </w:r>
      <w:r w:rsidR="003A77F5">
        <w:rPr>
          <w:lang w:val="en-AU"/>
        </w:rPr>
        <w:t>E</w:t>
      </w:r>
      <w:r w:rsidR="00445760" w:rsidRPr="008467AA">
        <w:rPr>
          <w:lang w:val="en-AU"/>
        </w:rPr>
        <w:t xml:space="preserve">levated concentrations of dissolved inorganic nitrogen (DIN) </w:t>
      </w:r>
      <w:r w:rsidR="003A77F5">
        <w:rPr>
          <w:lang w:val="en-AU"/>
        </w:rPr>
        <w:t xml:space="preserve">in </w:t>
      </w:r>
      <w:r w:rsidR="003A77F5" w:rsidRPr="00061B8B">
        <w:rPr>
          <w:lang w:val="en-AU"/>
        </w:rPr>
        <w:t>coastal waters</w:t>
      </w:r>
      <w:r w:rsidR="003A77F5" w:rsidRPr="003A77F5">
        <w:rPr>
          <w:lang w:val="en-AU"/>
        </w:rPr>
        <w:t xml:space="preserve"> </w:t>
      </w:r>
      <w:r w:rsidR="00445760" w:rsidRPr="008467AA">
        <w:rPr>
          <w:lang w:val="en-AU"/>
        </w:rPr>
        <w:t xml:space="preserve">has been linked to fertilised agriculture (predominantly sugarcane) in the Wet Tropics region, while high </w:t>
      </w:r>
      <w:r w:rsidR="007B5205">
        <w:rPr>
          <w:lang w:val="en-AU"/>
        </w:rPr>
        <w:t>total suspended solids (</w:t>
      </w:r>
      <w:r w:rsidR="00445760" w:rsidRPr="008467AA">
        <w:rPr>
          <w:lang w:val="en-AU"/>
        </w:rPr>
        <w:t>TSS</w:t>
      </w:r>
      <w:r w:rsidR="007B5205">
        <w:rPr>
          <w:lang w:val="en-AU"/>
        </w:rPr>
        <w:t>)</w:t>
      </w:r>
      <w:r w:rsidR="00445760" w:rsidRPr="008467AA">
        <w:rPr>
          <w:lang w:val="en-AU"/>
        </w:rPr>
        <w:t xml:space="preserve"> concentrations are mainly linked to grazing activities in the Dry Tropics and in particular the Burdekin catchment </w:t>
      </w:r>
      <w:r w:rsidR="00EB33A6" w:rsidRPr="008467AA">
        <w:rPr>
          <w:lang w:val="en-AU"/>
        </w:rPr>
        <w:fldChar w:fldCharType="begin">
          <w:fldData xml:space="preserve">PEVuZE5vdGU+PENpdGU+PEF1dGhvcj5Ccm9kaWU8L0F1dGhvcj48WWVhcj4yMDE0PC9ZZWFyPjxS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=
</w:fldData>
        </w:fldChar>
      </w:r>
      <w:r w:rsidR="00445760" w:rsidRPr="008467AA">
        <w:rPr>
          <w:lang w:val="en-AU"/>
        </w:rPr>
        <w:instrText xml:space="preserve"> ADDIN EN.CITE </w:instrText>
      </w:r>
      <w:r w:rsidR="00EB33A6" w:rsidRPr="008467AA">
        <w:rPr>
          <w:lang w:val="en-AU"/>
        </w:rPr>
        <w:fldChar w:fldCharType="begin">
          <w:fldData xml:space="preserve">PEVuZE5vdGU+PENpdGU+PEF1dGhvcj5Ccm9kaWU8L0F1dGhvcj48WWVhcj4yMDE0PC9ZZWFyPjxS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=
</w:fldData>
        </w:fldChar>
      </w:r>
      <w:r w:rsidR="00445760" w:rsidRPr="008467AA">
        <w:rPr>
          <w:lang w:val="en-AU"/>
        </w:rPr>
        <w:instrText xml:space="preserve"> ADDIN EN.CITE.DATA </w:instrText>
      </w:r>
      <w:r w:rsidR="00EB33A6" w:rsidRPr="008467AA">
        <w:rPr>
          <w:lang w:val="en-AU"/>
        </w:rPr>
      </w:r>
      <w:r w:rsidR="00EB33A6" w:rsidRPr="008467AA">
        <w:rPr>
          <w:lang w:val="en-AU"/>
        </w:rPr>
        <w:fldChar w:fldCharType="end"/>
      </w:r>
      <w:r w:rsidR="00EB33A6" w:rsidRPr="008467AA">
        <w:rPr>
          <w:lang w:val="en-AU"/>
        </w:rPr>
      </w:r>
      <w:r w:rsidR="00EB33A6" w:rsidRPr="008467AA">
        <w:rPr>
          <w:lang w:val="en-AU"/>
        </w:rPr>
        <w:fldChar w:fldCharType="separate"/>
      </w:r>
      <w:r w:rsidR="00445760" w:rsidRPr="008467AA">
        <w:rPr>
          <w:lang w:val="en-AU"/>
        </w:rPr>
        <w:t>(</w:t>
      </w:r>
      <w:hyperlink w:anchor="_ENREF_9" w:tooltip="Brodie, 2008 #1147" w:history="1">
        <w:r w:rsidR="00445760" w:rsidRPr="008467AA">
          <w:rPr>
            <w:lang w:val="en-AU"/>
          </w:rPr>
          <w:t>Brodie et al., 2008</w:t>
        </w:r>
      </w:hyperlink>
      <w:r w:rsidR="009B70CD">
        <w:rPr>
          <w:lang w:val="en-AU"/>
        </w:rPr>
        <w:t xml:space="preserve">, 2012, </w:t>
      </w:r>
      <w:r>
        <w:rPr>
          <w:lang w:val="en-AU"/>
        </w:rPr>
        <w:t>2013a, 2013b</w:t>
      </w:r>
      <w:r w:rsidR="00EC46B4">
        <w:rPr>
          <w:lang w:val="en-AU"/>
        </w:rPr>
        <w:t>;</w:t>
      </w:r>
      <w:r w:rsidRPr="008467AA">
        <w:rPr>
          <w:lang w:val="en-AU"/>
        </w:rPr>
        <w:t xml:space="preserve"> </w:t>
      </w:r>
      <w:hyperlink w:anchor="_ENREF_13" w:tooltip="Brodie, 2012 #1150" w:history="1">
        <w:r w:rsidR="009B70CD">
          <w:rPr>
            <w:lang w:val="en-AU"/>
          </w:rPr>
          <w:t>Brodie and Waterhouse</w:t>
        </w:r>
        <w:r w:rsidR="00445760" w:rsidRPr="008467AA">
          <w:rPr>
            <w:lang w:val="en-AU"/>
          </w:rPr>
          <w:t xml:space="preserve"> 2012</w:t>
        </w:r>
      </w:hyperlink>
      <w:r>
        <w:rPr>
          <w:lang w:val="en-AU"/>
        </w:rPr>
        <w:t>;</w:t>
      </w:r>
      <w:r w:rsidRPr="008467AA">
        <w:rPr>
          <w:lang w:val="en-AU"/>
        </w:rPr>
        <w:t xml:space="preserve"> </w:t>
      </w:r>
      <w:hyperlink w:anchor="_ENREF_23" w:tooltip="Joo, 2012 #1144" w:history="1">
        <w:r w:rsidR="00445760" w:rsidRPr="008467AA">
          <w:rPr>
            <w:lang w:val="en-AU"/>
          </w:rPr>
          <w:t>Joo et al., 2012</w:t>
        </w:r>
      </w:hyperlink>
      <w:r>
        <w:rPr>
          <w:lang w:val="en-AU"/>
        </w:rPr>
        <w:t>;</w:t>
      </w:r>
      <w:r w:rsidRPr="008467AA">
        <w:rPr>
          <w:lang w:val="en-AU"/>
        </w:rPr>
        <w:t xml:space="preserve"> </w:t>
      </w:r>
      <w:hyperlink w:anchor="_ENREF_25" w:tooltip="Kroon, 2012 #625" w:history="1">
        <w:r w:rsidR="00445760" w:rsidRPr="008467AA">
          <w:rPr>
            <w:lang w:val="en-AU"/>
          </w:rPr>
          <w:t>Kroon 2012</w:t>
        </w:r>
      </w:hyperlink>
      <w:r>
        <w:rPr>
          <w:lang w:val="en-AU"/>
        </w:rPr>
        <w:t>;</w:t>
      </w:r>
      <w:r w:rsidRPr="008467AA">
        <w:rPr>
          <w:lang w:val="en-AU"/>
        </w:rPr>
        <w:t xml:space="preserve"> </w:t>
      </w:r>
      <w:hyperlink w:anchor="_ENREF_27" w:tooltip="Maughan, 2009 #1151" w:history="1">
        <w:r w:rsidR="009B70CD">
          <w:rPr>
            <w:lang w:val="en-AU"/>
          </w:rPr>
          <w:t>Maughan and Brodie</w:t>
        </w:r>
        <w:r w:rsidR="00445760" w:rsidRPr="008467AA">
          <w:rPr>
            <w:lang w:val="en-AU"/>
          </w:rPr>
          <w:t xml:space="preserve"> 2009</w:t>
        </w:r>
      </w:hyperlink>
      <w:r>
        <w:rPr>
          <w:lang w:val="en-AU"/>
        </w:rPr>
        <w:t>;</w:t>
      </w:r>
      <w:r w:rsidRPr="008467AA">
        <w:rPr>
          <w:lang w:val="en-AU"/>
        </w:rPr>
        <w:t xml:space="preserve"> </w:t>
      </w:r>
      <w:hyperlink w:anchor="_ENREF_34" w:tooltip="Waterhouse, 2012 #1143" w:history="1">
        <w:r w:rsidR="00445760" w:rsidRPr="008467AA">
          <w:rPr>
            <w:lang w:val="en-AU"/>
          </w:rPr>
          <w:t>Waterhouse et al., 2012</w:t>
        </w:r>
      </w:hyperlink>
      <w:r>
        <w:rPr>
          <w:lang w:val="en-AU"/>
        </w:rPr>
        <w:t>; Waterhouse et al.</w:t>
      </w:r>
      <w:r w:rsidR="007B5205">
        <w:rPr>
          <w:lang w:val="en-AU"/>
        </w:rPr>
        <w:t>,</w:t>
      </w:r>
      <w:r>
        <w:rPr>
          <w:lang w:val="en-AU"/>
        </w:rPr>
        <w:t xml:space="preserve"> 2014, 2015</w:t>
      </w:r>
      <w:r w:rsidR="00EC46B4">
        <w:rPr>
          <w:lang w:val="en-AU"/>
        </w:rPr>
        <w:t>,</w:t>
      </w:r>
      <w:r>
        <w:rPr>
          <w:lang w:val="en-AU"/>
        </w:rPr>
        <w:t xml:space="preserve"> Waters et al.</w:t>
      </w:r>
      <w:r w:rsidR="007B5205">
        <w:rPr>
          <w:lang w:val="en-AU"/>
        </w:rPr>
        <w:t>,</w:t>
      </w:r>
      <w:r>
        <w:rPr>
          <w:lang w:val="en-AU"/>
        </w:rPr>
        <w:t xml:space="preserve"> 2014</w:t>
      </w:r>
      <w:r w:rsidR="00445760" w:rsidRPr="008467AA">
        <w:rPr>
          <w:lang w:val="en-AU"/>
        </w:rPr>
        <w:t>)</w:t>
      </w:r>
      <w:r w:rsidR="00EB33A6" w:rsidRPr="008467AA">
        <w:rPr>
          <w:lang w:val="en-AU"/>
        </w:rPr>
        <w:fldChar w:fldCharType="end"/>
      </w:r>
      <w:r w:rsidR="00445760" w:rsidRPr="008467AA">
        <w:rPr>
          <w:lang w:val="en-AU"/>
        </w:rPr>
        <w:t xml:space="preserve">. </w:t>
      </w:r>
    </w:p>
    <w:p w14:paraId="5F22ED08" w14:textId="6EF538ED" w:rsidR="00057454" w:rsidRPr="008467AA" w:rsidRDefault="00754CC3" w:rsidP="00A72698">
      <w:pPr>
        <w:rPr>
          <w:lang w:val="en-AU"/>
        </w:rPr>
      </w:pPr>
      <w:r w:rsidRPr="008467AA">
        <w:rPr>
          <w:lang w:val="en-AU"/>
        </w:rPr>
        <w:t>Concern about these negative effects of land runoff triggered the formulation of the Reef Plan for catchments adjacent to the GBR</w:t>
      </w:r>
      <w:r w:rsidR="00DD650A">
        <w:rPr>
          <w:lang w:val="en-AU"/>
        </w:rPr>
        <w:t>WHA</w:t>
      </w:r>
      <w:r w:rsidRPr="008467AA">
        <w:rPr>
          <w:lang w:val="en-AU"/>
        </w:rPr>
        <w:t xml:space="preserve"> by the Australian and Queensland g</w:t>
      </w:r>
      <w:r w:rsidR="0029043B">
        <w:rPr>
          <w:lang w:val="en-AU"/>
        </w:rPr>
        <w:t>overnments</w:t>
      </w:r>
      <w:r w:rsidR="00EA01D4">
        <w:rPr>
          <w:lang w:val="en-AU"/>
        </w:rPr>
        <w:t xml:space="preserve"> in 2003</w:t>
      </w:r>
      <w:r w:rsidR="0029043B">
        <w:rPr>
          <w:lang w:val="en-AU"/>
        </w:rPr>
        <w:t xml:space="preserve"> (Anon. 2003; 2009). </w:t>
      </w:r>
      <w:r w:rsidRPr="008467AA">
        <w:rPr>
          <w:lang w:val="en-AU"/>
        </w:rPr>
        <w:t>Reef Plan was revised and updated</w:t>
      </w:r>
      <w:r w:rsidR="00EA01D4">
        <w:rPr>
          <w:lang w:val="en-AU"/>
        </w:rPr>
        <w:t xml:space="preserve"> in</w:t>
      </w:r>
      <w:r w:rsidR="00DD650A">
        <w:rPr>
          <w:lang w:val="en-AU"/>
        </w:rPr>
        <w:t xml:space="preserve"> 2009 and</w:t>
      </w:r>
      <w:r w:rsidR="00EA01D4">
        <w:rPr>
          <w:lang w:val="en-AU"/>
        </w:rPr>
        <w:t xml:space="preserve"> 2013</w:t>
      </w:r>
      <w:r w:rsidRPr="008467AA">
        <w:rPr>
          <w:lang w:val="en-AU"/>
        </w:rPr>
        <w:t xml:space="preserve"> (Anon. 2013)</w:t>
      </w:r>
      <w:r w:rsidR="00F71600" w:rsidRPr="008467AA">
        <w:rPr>
          <w:lang w:val="en-AU"/>
        </w:rPr>
        <w:t>.</w:t>
      </w:r>
      <w:r w:rsidR="002B109B">
        <w:rPr>
          <w:lang w:val="en-AU"/>
        </w:rPr>
        <w:t xml:space="preserve"> </w:t>
      </w:r>
      <w:r w:rsidR="005C1D01">
        <w:rPr>
          <w:lang w:val="en-AU"/>
        </w:rPr>
        <w:t>More recently</w:t>
      </w:r>
      <w:r w:rsidR="00DD650A">
        <w:rPr>
          <w:lang w:val="en-AU"/>
        </w:rPr>
        <w:t xml:space="preserve">, </w:t>
      </w:r>
      <w:r w:rsidR="002B109B">
        <w:rPr>
          <w:lang w:val="en-AU"/>
        </w:rPr>
        <w:t xml:space="preserve">UNESCO </w:t>
      </w:r>
      <w:r w:rsidR="00DD650A">
        <w:rPr>
          <w:lang w:val="en-AU"/>
        </w:rPr>
        <w:t xml:space="preserve">raised concerns </w:t>
      </w:r>
      <w:r w:rsidR="005C1D01">
        <w:rPr>
          <w:lang w:val="en-AU"/>
        </w:rPr>
        <w:t>regarding the current state and management of the GBR</w:t>
      </w:r>
      <w:r w:rsidR="00DD650A">
        <w:rPr>
          <w:lang w:val="en-AU"/>
        </w:rPr>
        <w:t>WHA which</w:t>
      </w:r>
      <w:r w:rsidR="005C1D01">
        <w:rPr>
          <w:lang w:val="en-AU"/>
        </w:rPr>
        <w:t xml:space="preserve"> </w:t>
      </w:r>
      <w:r w:rsidR="002B109B">
        <w:rPr>
          <w:lang w:val="en-AU"/>
        </w:rPr>
        <w:t xml:space="preserve">led to </w:t>
      </w:r>
      <w:r w:rsidR="005C1D01">
        <w:rPr>
          <w:lang w:val="en-AU"/>
        </w:rPr>
        <w:t xml:space="preserve">the development of the </w:t>
      </w:r>
      <w:r w:rsidR="002B109B">
        <w:rPr>
          <w:lang w:val="en-AU"/>
        </w:rPr>
        <w:t>Reef 2050 Plan to “</w:t>
      </w:r>
      <w:r w:rsidR="002B109B" w:rsidRPr="004A5BF7">
        <w:rPr>
          <w:i/>
          <w:lang w:val="en-AU"/>
        </w:rPr>
        <w:t xml:space="preserve">ensure the GBR continues to improve on its </w:t>
      </w:r>
      <w:r w:rsidR="005C1D01" w:rsidRPr="004A5BF7">
        <w:rPr>
          <w:i/>
          <w:lang w:val="en-AU"/>
        </w:rPr>
        <w:t>Outstanding Universal Value every decade between now and 2050 to be a natural wonder</w:t>
      </w:r>
      <w:r w:rsidR="002B109B" w:rsidRPr="004A5BF7">
        <w:rPr>
          <w:i/>
          <w:lang w:val="en-AU"/>
        </w:rPr>
        <w:t xml:space="preserve"> for </w:t>
      </w:r>
      <w:r w:rsidR="005C1D01" w:rsidRPr="004A5BF7">
        <w:rPr>
          <w:i/>
          <w:lang w:val="en-AU"/>
        </w:rPr>
        <w:t xml:space="preserve">each </w:t>
      </w:r>
      <w:r w:rsidR="002B109B" w:rsidRPr="004A5BF7">
        <w:rPr>
          <w:i/>
          <w:lang w:val="en-AU"/>
        </w:rPr>
        <w:t>successive generation</w:t>
      </w:r>
      <w:r w:rsidR="005C1D01" w:rsidRPr="004A5BF7">
        <w:rPr>
          <w:i/>
          <w:lang w:val="en-AU"/>
        </w:rPr>
        <w:t xml:space="preserve"> to come</w:t>
      </w:r>
      <w:r w:rsidR="002B109B">
        <w:rPr>
          <w:lang w:val="en-AU"/>
        </w:rPr>
        <w:t>”</w:t>
      </w:r>
      <w:r w:rsidR="005C1D01">
        <w:rPr>
          <w:lang w:val="en-AU"/>
        </w:rPr>
        <w:t>.</w:t>
      </w:r>
      <w:r w:rsidR="00F71600" w:rsidRPr="008467AA">
        <w:rPr>
          <w:lang w:val="en-AU"/>
        </w:rPr>
        <w:t xml:space="preserve"> The </w:t>
      </w:r>
      <w:r w:rsidR="00057454" w:rsidRPr="008467AA">
        <w:rPr>
          <w:lang w:val="en-AU"/>
        </w:rPr>
        <w:t xml:space="preserve">Reef </w:t>
      </w:r>
      <w:r w:rsidR="000B1E2A" w:rsidRPr="008467AA">
        <w:rPr>
          <w:lang w:val="en-AU"/>
        </w:rPr>
        <w:t xml:space="preserve">2050 </w:t>
      </w:r>
      <w:r w:rsidR="00057454" w:rsidRPr="008467AA">
        <w:rPr>
          <w:lang w:val="en-AU"/>
        </w:rPr>
        <w:t xml:space="preserve">Plan actions and initiatives aim to improve land management practices that are expected to result in measurable positive changes in the downstream water quality of creeks and rivers. These actions and initiatives should, with time, also lead to improved water quality in the coastal and inshore GBR (see Brodie </w:t>
      </w:r>
      <w:r w:rsidR="002819E0" w:rsidRPr="009B70CD">
        <w:rPr>
          <w:lang w:val="en-AU"/>
        </w:rPr>
        <w:t>et al</w:t>
      </w:r>
      <w:r w:rsidR="00057454" w:rsidRPr="009B70CD">
        <w:rPr>
          <w:lang w:val="en-AU"/>
        </w:rPr>
        <w:t>.</w:t>
      </w:r>
      <w:r w:rsidR="009B70CD">
        <w:rPr>
          <w:lang w:val="en-AU"/>
        </w:rPr>
        <w:t>,</w:t>
      </w:r>
      <w:r w:rsidR="00057454" w:rsidRPr="008467AA">
        <w:rPr>
          <w:lang w:val="en-AU"/>
        </w:rPr>
        <w:t xml:space="preserve"> </w:t>
      </w:r>
      <w:r w:rsidR="0058444D" w:rsidRPr="008467AA">
        <w:rPr>
          <w:lang w:val="en-AU"/>
        </w:rPr>
        <w:t>2012</w:t>
      </w:r>
      <w:r w:rsidR="004B77D2" w:rsidRPr="008467AA">
        <w:rPr>
          <w:lang w:val="en-AU"/>
        </w:rPr>
        <w:t xml:space="preserve"> </w:t>
      </w:r>
      <w:r w:rsidR="00057454" w:rsidRPr="008467AA">
        <w:rPr>
          <w:lang w:val="en-AU"/>
        </w:rPr>
        <w:t>for a discussion of expected time lags in the ecosystem response). Given that the benthic communities on inshore reefs of the G</w:t>
      </w:r>
      <w:r w:rsidR="00222CC6" w:rsidRPr="008467AA">
        <w:rPr>
          <w:lang w:val="en-AU"/>
        </w:rPr>
        <w:t>BR</w:t>
      </w:r>
      <w:r w:rsidR="00057454" w:rsidRPr="008467AA">
        <w:rPr>
          <w:lang w:val="en-AU"/>
        </w:rPr>
        <w:t xml:space="preserve"> show clear responses to gradients in water quality, especially of water turbidity, sedimentation rate and nutrient availability (</w:t>
      </w:r>
      <w:r w:rsidR="00D21927" w:rsidRPr="008467AA">
        <w:rPr>
          <w:lang w:val="en-AU"/>
        </w:rPr>
        <w:t>e.g</w:t>
      </w:r>
      <w:r w:rsidR="00456967">
        <w:rPr>
          <w:lang w:val="en-AU"/>
        </w:rPr>
        <w:t>.</w:t>
      </w:r>
      <w:r w:rsidR="00D21927" w:rsidRPr="008467AA">
        <w:rPr>
          <w:lang w:val="en-AU"/>
        </w:rPr>
        <w:t xml:space="preserve"> </w:t>
      </w:r>
      <w:r w:rsidR="00057454" w:rsidRPr="008467AA">
        <w:rPr>
          <w:lang w:val="en-AU"/>
        </w:rPr>
        <w:t xml:space="preserve">Thompson </w:t>
      </w:r>
      <w:r w:rsidR="002819E0" w:rsidRPr="009B70CD">
        <w:rPr>
          <w:lang w:val="en-AU"/>
        </w:rPr>
        <w:t>et al</w:t>
      </w:r>
      <w:r w:rsidR="00057454" w:rsidRPr="009B70CD">
        <w:rPr>
          <w:lang w:val="en-AU"/>
        </w:rPr>
        <w:t>.</w:t>
      </w:r>
      <w:r w:rsidR="009B70CD">
        <w:rPr>
          <w:lang w:val="en-AU"/>
        </w:rPr>
        <w:t>,</w:t>
      </w:r>
      <w:r w:rsidR="00E26623" w:rsidRPr="008467AA">
        <w:rPr>
          <w:lang w:val="en-AU"/>
        </w:rPr>
        <w:t xml:space="preserve"> 2010</w:t>
      </w:r>
      <w:r w:rsidR="00EC46B4">
        <w:rPr>
          <w:lang w:val="en-AU"/>
        </w:rPr>
        <w:t>;</w:t>
      </w:r>
      <w:r w:rsidR="00EC46B4" w:rsidRPr="008467AA">
        <w:rPr>
          <w:lang w:val="en-AU"/>
        </w:rPr>
        <w:t xml:space="preserve"> </w:t>
      </w:r>
      <w:r w:rsidR="00BF4A16" w:rsidRPr="008467AA">
        <w:rPr>
          <w:lang w:val="en-AU"/>
        </w:rPr>
        <w:t xml:space="preserve">Uthicke </w:t>
      </w:r>
      <w:r w:rsidR="002819E0" w:rsidRPr="009B70CD">
        <w:rPr>
          <w:lang w:val="en-AU"/>
        </w:rPr>
        <w:t>et al</w:t>
      </w:r>
      <w:r w:rsidR="00BF4A16" w:rsidRPr="009B70CD">
        <w:rPr>
          <w:lang w:val="en-AU"/>
        </w:rPr>
        <w:t>.</w:t>
      </w:r>
      <w:r w:rsidR="009B70CD">
        <w:rPr>
          <w:lang w:val="en-AU"/>
        </w:rPr>
        <w:t>,</w:t>
      </w:r>
      <w:r w:rsidR="00D21927" w:rsidRPr="008467AA">
        <w:rPr>
          <w:lang w:val="en-AU"/>
        </w:rPr>
        <w:t xml:space="preserve"> 2010</w:t>
      </w:r>
      <w:r w:rsidR="00057454" w:rsidRPr="008467AA">
        <w:rPr>
          <w:lang w:val="en-AU"/>
        </w:rPr>
        <w:t xml:space="preserve">), improved land management practices have the potential to reduce levels of chronic environmental stresses </w:t>
      </w:r>
      <w:r w:rsidR="00E4761F" w:rsidRPr="008467AA">
        <w:rPr>
          <w:lang w:val="en-AU"/>
        </w:rPr>
        <w:t xml:space="preserve">that impact on </w:t>
      </w:r>
      <w:r w:rsidR="00057454" w:rsidRPr="008467AA">
        <w:rPr>
          <w:lang w:val="en-AU"/>
        </w:rPr>
        <w:t>coral reef communities.</w:t>
      </w:r>
      <w:r w:rsidR="001C4115" w:rsidRPr="008467AA">
        <w:rPr>
          <w:lang w:val="en-AU"/>
        </w:rPr>
        <w:t xml:space="preserve"> However, recent assessments raise the question whether these actions will be sufficient to ensure the resilience of the GBR ecosystems into the future (Bartley 2014a,b; Kroon et al.</w:t>
      </w:r>
      <w:r w:rsidR="009B70CD">
        <w:rPr>
          <w:lang w:val="en-AU"/>
        </w:rPr>
        <w:t>,</w:t>
      </w:r>
      <w:r w:rsidR="001C4115" w:rsidRPr="008467AA">
        <w:rPr>
          <w:lang w:val="en-AU"/>
        </w:rPr>
        <w:t xml:space="preserve"> 2014).</w:t>
      </w:r>
    </w:p>
    <w:p w14:paraId="12E0FD67" w14:textId="13C6BAD8" w:rsidR="007335A5" w:rsidRDefault="00057454" w:rsidP="00F77F98">
      <w:pPr>
        <w:rPr>
          <w:lang w:val="en-AU"/>
        </w:rPr>
      </w:pPr>
      <w:r w:rsidRPr="008467AA">
        <w:rPr>
          <w:lang w:val="en-AU"/>
        </w:rPr>
        <w:t xml:space="preserve">Reef Plan actions also include the establishment of </w:t>
      </w:r>
      <w:r w:rsidR="007335A5">
        <w:rPr>
          <w:lang w:val="en-AU"/>
        </w:rPr>
        <w:t xml:space="preserve">the Paddock to Reef integrated monitoring, modelling and reporting program, </w:t>
      </w:r>
      <w:r w:rsidRPr="008467AA">
        <w:rPr>
          <w:lang w:val="en-AU"/>
        </w:rPr>
        <w:t xml:space="preserve">extending from the paddock to the Reef, to assess the effectiveness of </w:t>
      </w:r>
      <w:r w:rsidR="007335A5">
        <w:rPr>
          <w:lang w:val="en-AU"/>
        </w:rPr>
        <w:t xml:space="preserve">the </w:t>
      </w:r>
      <w:r w:rsidR="007335A5" w:rsidRPr="008467AA">
        <w:rPr>
          <w:lang w:val="en-AU"/>
        </w:rPr>
        <w:t xml:space="preserve">implementation </w:t>
      </w:r>
      <w:r w:rsidR="007335A5">
        <w:rPr>
          <w:lang w:val="en-AU"/>
        </w:rPr>
        <w:t xml:space="preserve">of </w:t>
      </w:r>
      <w:r w:rsidRPr="008467AA">
        <w:rPr>
          <w:lang w:val="en-AU"/>
        </w:rPr>
        <w:t>Reef Plan</w:t>
      </w:r>
      <w:r w:rsidR="007335A5">
        <w:rPr>
          <w:lang w:val="en-AU"/>
        </w:rPr>
        <w:t xml:space="preserve"> actions</w:t>
      </w:r>
      <w:r w:rsidRPr="008467AA">
        <w:rPr>
          <w:lang w:val="en-AU"/>
        </w:rPr>
        <w:t xml:space="preserve">. </w:t>
      </w:r>
      <w:r w:rsidR="00F23CC9" w:rsidRPr="008467AA">
        <w:rPr>
          <w:lang w:val="en-AU"/>
        </w:rPr>
        <w:t>The MMP is an integral part of this monitoring provid</w:t>
      </w:r>
      <w:r w:rsidR="00742704" w:rsidRPr="008467AA">
        <w:rPr>
          <w:lang w:val="en-AU"/>
        </w:rPr>
        <w:t>ing</w:t>
      </w:r>
      <w:r w:rsidR="00F23CC9" w:rsidRPr="008467AA">
        <w:rPr>
          <w:lang w:val="en-AU"/>
        </w:rPr>
        <w:t xml:space="preserve"> physicochemical and biological data to investigate the effects of changes in inputs from the GBR catchments on marine water quality</w:t>
      </w:r>
      <w:r w:rsidR="007335A5">
        <w:rPr>
          <w:lang w:val="en-AU"/>
        </w:rPr>
        <w:t>,</w:t>
      </w:r>
      <w:r w:rsidR="00F23CC9" w:rsidRPr="008467AA">
        <w:rPr>
          <w:lang w:val="en-AU"/>
        </w:rPr>
        <w:t xml:space="preserve"> and</w:t>
      </w:r>
      <w:r w:rsidR="0075770B" w:rsidRPr="008467AA">
        <w:rPr>
          <w:lang w:val="en-AU"/>
        </w:rPr>
        <w:t xml:space="preserve"> </w:t>
      </w:r>
      <w:r w:rsidR="007335A5">
        <w:rPr>
          <w:lang w:val="en-AU"/>
        </w:rPr>
        <w:t xml:space="preserve">assess </w:t>
      </w:r>
      <w:r w:rsidR="0075770B" w:rsidRPr="008467AA">
        <w:rPr>
          <w:lang w:val="en-AU"/>
        </w:rPr>
        <w:t>the condition of</w:t>
      </w:r>
      <w:r w:rsidR="00F23CC9" w:rsidRPr="008467AA">
        <w:rPr>
          <w:lang w:val="en-AU"/>
        </w:rPr>
        <w:t xml:space="preserve"> inshore ecosystems.</w:t>
      </w:r>
    </w:p>
    <w:p w14:paraId="5F22ED0B" w14:textId="7BC3F384" w:rsidR="00164FC3" w:rsidRDefault="00F77F98" w:rsidP="00164FC3">
      <w:pPr>
        <w:rPr>
          <w:lang w:val="en-AU"/>
        </w:rPr>
      </w:pPr>
      <w:r w:rsidRPr="00161636">
        <w:rPr>
          <w:lang w:val="en-AU"/>
        </w:rPr>
        <w:t xml:space="preserve">Monitoring the impacts of land based runoff into the GBR </w:t>
      </w:r>
      <w:r w:rsidR="0029043B">
        <w:rPr>
          <w:lang w:val="en-AU"/>
        </w:rPr>
        <w:t>includes more intense</w:t>
      </w:r>
      <w:r w:rsidRPr="00161636">
        <w:rPr>
          <w:lang w:val="en-AU"/>
        </w:rPr>
        <w:t xml:space="preserve"> sampling </w:t>
      </w:r>
      <w:r w:rsidR="0029043B">
        <w:rPr>
          <w:lang w:val="en-AU"/>
        </w:rPr>
        <w:t>during</w:t>
      </w:r>
      <w:r w:rsidRPr="00161636">
        <w:rPr>
          <w:lang w:val="en-AU"/>
        </w:rPr>
        <w:t xml:space="preserve"> the wet season and high flow events to characterise the input of terrestrially sourced pollutants delivered through river discharge to the GBR </w:t>
      </w:r>
      <w:r w:rsidR="00EB33A6" w:rsidRPr="00161636">
        <w:rPr>
          <w:lang w:val="en-AU"/>
        </w:rPr>
        <w:fldChar w:fldCharType="begin">
          <w:fldData xml:space="preserve">PEVuZE5vdGU+PENpdGU+PEF1dGhvcj5EZXZsaW48L0F1dGhvcj48WWVhcj4yMDEyPC9ZZWFyPjxS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</w:fldData>
        </w:fldChar>
      </w:r>
      <w:r w:rsidRPr="00161636">
        <w:rPr>
          <w:lang w:val="en-AU"/>
        </w:rPr>
        <w:instrText xml:space="preserve"> ADDIN EN.CITE </w:instrText>
      </w:r>
      <w:r w:rsidR="00EB33A6" w:rsidRPr="00161636">
        <w:rPr>
          <w:lang w:val="en-AU"/>
        </w:rPr>
        <w:fldChar w:fldCharType="begin">
          <w:fldData xml:space="preserve">PEVuZE5vdGU+PENpdGU+PEF1dGhvcj5EZXZsaW48L0F1dGhvcj48WWVhcj4yMDEyPC9ZZWFyPjxS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</w:fldData>
        </w:fldChar>
      </w:r>
      <w:r w:rsidRPr="00161636">
        <w:rPr>
          <w:lang w:val="en-AU"/>
        </w:rPr>
        <w:instrText xml:space="preserve"> ADDIN EN.CITE.DATA </w:instrText>
      </w:r>
      <w:r w:rsidR="00EB33A6" w:rsidRPr="00161636">
        <w:rPr>
          <w:lang w:val="en-AU"/>
        </w:rPr>
      </w:r>
      <w:r w:rsidR="00EB33A6" w:rsidRPr="00161636">
        <w:rPr>
          <w:lang w:val="en-AU"/>
        </w:rPr>
        <w:fldChar w:fldCharType="end"/>
      </w:r>
      <w:r w:rsidR="00EB33A6" w:rsidRPr="00161636">
        <w:rPr>
          <w:lang w:val="en-AU"/>
        </w:rPr>
      </w:r>
      <w:r w:rsidR="00EB33A6" w:rsidRPr="00161636">
        <w:rPr>
          <w:lang w:val="en-AU"/>
        </w:rPr>
        <w:fldChar w:fldCharType="separate"/>
      </w:r>
      <w:r w:rsidRPr="00161636">
        <w:rPr>
          <w:lang w:val="en-AU"/>
        </w:rPr>
        <w:t>(</w:t>
      </w:r>
      <w:hyperlink w:anchor="_ENREF_18" w:tooltip="Devlin, 2012 #1007" w:history="1">
        <w:r w:rsidRPr="00161636">
          <w:rPr>
            <w:lang w:val="en-AU"/>
          </w:rPr>
          <w:t>Devlin et al., 2012</w:t>
        </w:r>
      </w:hyperlink>
      <w:r w:rsidR="00EC46B4">
        <w:rPr>
          <w:lang w:val="en-AU"/>
        </w:rPr>
        <w:t xml:space="preserve">; </w:t>
      </w:r>
      <w:hyperlink w:anchor="_ENREF_19" w:tooltip="Devlin, 2013 #791" w:history="1">
        <w:r w:rsidRPr="00161636">
          <w:rPr>
            <w:lang w:val="en-AU"/>
          </w:rPr>
          <w:t>Devlin et al., 2013</w:t>
        </w:r>
      </w:hyperlink>
      <w:r w:rsidR="00EC46B4">
        <w:rPr>
          <w:lang w:val="en-AU"/>
        </w:rPr>
        <w:t>;</w:t>
      </w:r>
      <w:r w:rsidR="00EC46B4" w:rsidRPr="00161636">
        <w:rPr>
          <w:lang w:val="en-AU"/>
        </w:rPr>
        <w:t xml:space="preserve"> </w:t>
      </w:r>
      <w:hyperlink w:anchor="_ENREF_22" w:tooltip="Johnson, 2011 #1001" w:history="1">
        <w:r w:rsidRPr="00161636">
          <w:rPr>
            <w:lang w:val="en-AU"/>
          </w:rPr>
          <w:t>Johnson et al., 2011</w:t>
        </w:r>
      </w:hyperlink>
      <w:r w:rsidRPr="00161636">
        <w:rPr>
          <w:lang w:val="en-AU"/>
        </w:rPr>
        <w:t>)</w:t>
      </w:r>
      <w:r w:rsidR="00EB33A6" w:rsidRPr="00161636">
        <w:rPr>
          <w:lang w:val="en-AU"/>
        </w:rPr>
        <w:fldChar w:fldCharType="end"/>
      </w:r>
      <w:r w:rsidRPr="00161636">
        <w:rPr>
          <w:lang w:val="en-AU"/>
        </w:rPr>
        <w:t xml:space="preserve">. </w:t>
      </w:r>
      <w:r w:rsidR="00B452DA" w:rsidRPr="008467AA">
        <w:rPr>
          <w:lang w:val="en-AU"/>
        </w:rPr>
        <w:t xml:space="preserve">The information gathered under the current MMP inshore water quality sampling program has improved our understanding of the spatial distribution and temporal variability of water quality in the coastal and inshore GBR. This includes detailed information about the </w:t>
      </w:r>
      <w:r w:rsidR="00164FC3" w:rsidRPr="008467AA">
        <w:rPr>
          <w:lang w:val="en-AU"/>
        </w:rPr>
        <w:t>temporal</w:t>
      </w:r>
      <w:r w:rsidR="006A31C4" w:rsidRPr="008467AA">
        <w:rPr>
          <w:lang w:val="en-AU"/>
        </w:rPr>
        <w:t>/</w:t>
      </w:r>
      <w:r w:rsidR="00AB13BC" w:rsidRPr="008467AA">
        <w:rPr>
          <w:lang w:val="en-AU"/>
        </w:rPr>
        <w:t>spatial</w:t>
      </w:r>
      <w:r w:rsidR="00164FC3" w:rsidRPr="008467AA">
        <w:rPr>
          <w:lang w:val="en-AU"/>
        </w:rPr>
        <w:t xml:space="preserve"> trends in </w:t>
      </w:r>
      <w:r w:rsidR="006A31C4" w:rsidRPr="008467AA">
        <w:rPr>
          <w:lang w:val="en-AU"/>
        </w:rPr>
        <w:t>water quality around inshore coral reefs, detailed information about water quality in flood plumes (both included in this report), coral cover and composition (separate report by</w:t>
      </w:r>
      <w:r w:rsidR="007648A8" w:rsidRPr="008467AA">
        <w:rPr>
          <w:lang w:val="en-AU"/>
        </w:rPr>
        <w:t xml:space="preserve"> Thompson et al.</w:t>
      </w:r>
      <w:r w:rsidR="0070210F">
        <w:rPr>
          <w:lang w:val="en-AU"/>
        </w:rPr>
        <w:t>,</w:t>
      </w:r>
      <w:r w:rsidR="007648A8" w:rsidRPr="008467AA">
        <w:rPr>
          <w:lang w:val="en-AU"/>
        </w:rPr>
        <w:t xml:space="preserve"> 2015</w:t>
      </w:r>
      <w:r w:rsidR="006A31C4" w:rsidRPr="008467AA">
        <w:rPr>
          <w:lang w:val="en-AU"/>
        </w:rPr>
        <w:t>)</w:t>
      </w:r>
      <w:r w:rsidR="007335A5">
        <w:rPr>
          <w:lang w:val="en-AU"/>
        </w:rPr>
        <w:t>, seagrass health and extent (McKenzie et al.</w:t>
      </w:r>
      <w:r w:rsidR="00EC46B4">
        <w:rPr>
          <w:lang w:val="en-AU"/>
        </w:rPr>
        <w:t>,</w:t>
      </w:r>
      <w:r w:rsidR="007335A5">
        <w:rPr>
          <w:lang w:val="en-AU"/>
        </w:rPr>
        <w:t xml:space="preserve"> 2015)</w:t>
      </w:r>
      <w:r w:rsidR="007648A8" w:rsidRPr="008467AA">
        <w:rPr>
          <w:lang w:val="en-AU"/>
        </w:rPr>
        <w:t xml:space="preserve"> </w:t>
      </w:r>
      <w:r w:rsidR="00164FC3" w:rsidRPr="008467AA">
        <w:rPr>
          <w:lang w:val="en-AU"/>
        </w:rPr>
        <w:t xml:space="preserve">and information about herbicide levels in the inshore GBR (separate report by </w:t>
      </w:r>
      <w:r w:rsidR="00D2594B">
        <w:rPr>
          <w:lang w:val="en-AU"/>
        </w:rPr>
        <w:t>University of Queensland</w:t>
      </w:r>
      <w:r w:rsidR="00164FC3" w:rsidRPr="008467AA">
        <w:rPr>
          <w:lang w:val="en-AU"/>
        </w:rPr>
        <w:t xml:space="preserve">, Gallen </w:t>
      </w:r>
      <w:r w:rsidR="00164FC3" w:rsidRPr="0070210F">
        <w:rPr>
          <w:lang w:val="en-AU"/>
        </w:rPr>
        <w:t>et al.</w:t>
      </w:r>
      <w:r w:rsidR="0070210F">
        <w:rPr>
          <w:lang w:val="en-AU"/>
        </w:rPr>
        <w:t>,</w:t>
      </w:r>
      <w:r w:rsidR="00164FC3" w:rsidRPr="0070210F">
        <w:rPr>
          <w:lang w:val="en-AU"/>
        </w:rPr>
        <w:t xml:space="preserve"> </w:t>
      </w:r>
      <w:r w:rsidR="00164FC3" w:rsidRPr="008467AA">
        <w:rPr>
          <w:lang w:val="en-AU"/>
        </w:rPr>
        <w:t>201</w:t>
      </w:r>
      <w:r w:rsidR="007648A8" w:rsidRPr="008467AA">
        <w:rPr>
          <w:lang w:val="en-AU"/>
        </w:rPr>
        <w:t>5</w:t>
      </w:r>
      <w:r w:rsidR="00164FC3" w:rsidRPr="008467AA">
        <w:rPr>
          <w:lang w:val="en-AU"/>
        </w:rPr>
        <w:t xml:space="preserve">).  </w:t>
      </w:r>
    </w:p>
    <w:bookmarkEnd w:id="133"/>
    <w:bookmarkEnd w:id="134"/>
    <w:bookmarkEnd w:id="135"/>
    <w:bookmarkEnd w:id="136"/>
    <w:p w14:paraId="5F22ED0F" w14:textId="5E9E2FB3" w:rsidR="003A77F5" w:rsidRPr="00161636" w:rsidRDefault="003A77F5" w:rsidP="004A5BF7">
      <w:pPr>
        <w:rPr>
          <w:i/>
          <w:lang w:val="en-AU"/>
        </w:rPr>
      </w:pPr>
      <w:r w:rsidRPr="00161636">
        <w:rPr>
          <w:lang w:val="en-AU"/>
        </w:rPr>
        <w:t>Th</w:t>
      </w:r>
      <w:r w:rsidR="00654D50">
        <w:rPr>
          <w:lang w:val="en-AU"/>
        </w:rPr>
        <w:t>e present</w:t>
      </w:r>
      <w:r w:rsidRPr="00161636">
        <w:rPr>
          <w:lang w:val="en-AU"/>
        </w:rPr>
        <w:t xml:space="preserve"> report </w:t>
      </w:r>
      <w:r w:rsidRPr="00161636">
        <w:rPr>
          <w:lang w:val="en-AU" w:eastAsia="en-AU"/>
        </w:rPr>
        <w:t xml:space="preserve">combines the results of the AIMS and JCU Water Quality Monitoring into an integrated report. This better reflects the monitoring design, which is based on co-location of sampling sites, and the overarching objective of the MMP to: </w:t>
      </w:r>
      <w:r w:rsidRPr="00161636">
        <w:rPr>
          <w:rFonts w:cs="Arial"/>
          <w:i/>
          <w:color w:val="000000"/>
          <w:szCs w:val="22"/>
          <w:lang w:val="en-AU"/>
        </w:rPr>
        <w:t>Assess trends in ecosystem health and resilience indicators for the Great Barrier Reef in relation to water quality and its linkages to end-of-catchment loads</w:t>
      </w:r>
      <w:r w:rsidRPr="00161636">
        <w:rPr>
          <w:rFonts w:cs="Arial"/>
          <w:i/>
          <w:lang w:val="en-AU"/>
        </w:rPr>
        <w:t>”</w:t>
      </w:r>
      <w:r w:rsidR="00762090">
        <w:rPr>
          <w:rFonts w:cs="Arial"/>
          <w:i/>
          <w:lang w:val="en-AU"/>
        </w:rPr>
        <w:t xml:space="preserve">. </w:t>
      </w:r>
      <w:r w:rsidR="00450ACB">
        <w:rPr>
          <w:rFonts w:cs="Arial"/>
          <w:lang w:val="en-AU"/>
        </w:rPr>
        <w:t>Th</w:t>
      </w:r>
      <w:r w:rsidR="00762090">
        <w:rPr>
          <w:rFonts w:cs="Arial"/>
          <w:lang w:val="en-AU"/>
        </w:rPr>
        <w:t>is</w:t>
      </w:r>
      <w:r w:rsidR="00450ACB" w:rsidRPr="00161636">
        <w:rPr>
          <w:rFonts w:cs="Arial"/>
          <w:lang w:val="en-AU"/>
        </w:rPr>
        <w:t xml:space="preserve"> </w:t>
      </w:r>
      <w:r w:rsidRPr="00161636">
        <w:rPr>
          <w:rFonts w:cs="Arial"/>
          <w:lang w:val="en-AU"/>
        </w:rPr>
        <w:t xml:space="preserve">objective </w:t>
      </w:r>
      <w:r w:rsidR="00450ACB">
        <w:rPr>
          <w:rFonts w:cs="Arial"/>
          <w:lang w:val="en-AU"/>
        </w:rPr>
        <w:t>support</w:t>
      </w:r>
      <w:r w:rsidR="00762090">
        <w:rPr>
          <w:rFonts w:cs="Arial"/>
          <w:lang w:val="en-AU"/>
        </w:rPr>
        <w:t>s</w:t>
      </w:r>
      <w:r w:rsidRPr="00161636">
        <w:rPr>
          <w:rFonts w:cs="Arial"/>
          <w:lang w:val="en-AU"/>
        </w:rPr>
        <w:t xml:space="preserve"> the ongoing progress toward Reef Plan’s</w:t>
      </w:r>
      <w:r w:rsidRPr="00161636">
        <w:rPr>
          <w:lang w:val="en-AU"/>
        </w:rPr>
        <w:t xml:space="preserve"> single long-term goal for the marine environment</w:t>
      </w:r>
      <w:r w:rsidR="00762090">
        <w:rPr>
          <w:lang w:val="en-AU"/>
        </w:rPr>
        <w:t xml:space="preserve"> </w:t>
      </w:r>
      <w:r w:rsidRPr="00161636">
        <w:rPr>
          <w:i/>
          <w:lang w:val="en-AU"/>
        </w:rPr>
        <w:t>“To ensure that by 2020 the quality of water entering the reef from broadscale land use has no detrimental impact on the health and resilience of the Great Barrier Reef.”</w:t>
      </w:r>
    </w:p>
    <w:p w14:paraId="5F22ED10" w14:textId="5E327B83" w:rsidR="00A77B00" w:rsidRDefault="00762090" w:rsidP="00E14245">
      <w:pPr>
        <w:rPr>
          <w:lang w:val="en-AU"/>
        </w:rPr>
      </w:pPr>
      <w:r w:rsidRPr="007C7E14">
        <w:rPr>
          <w:lang w:val="en-AU"/>
        </w:rPr>
        <w:t xml:space="preserve">The </w:t>
      </w:r>
      <w:r>
        <w:rPr>
          <w:lang w:val="en-AU"/>
        </w:rPr>
        <w:t>overarching objective of the inshore water quality monitoring program is to “</w:t>
      </w:r>
      <w:r>
        <w:rPr>
          <w:rFonts w:cs="Arial"/>
          <w:i/>
          <w:color w:val="000000"/>
          <w:szCs w:val="22"/>
          <w:lang w:val="en-AU"/>
        </w:rPr>
        <w:t>A</w:t>
      </w:r>
      <w:r w:rsidRPr="007C7E14">
        <w:rPr>
          <w:rFonts w:cs="Arial"/>
          <w:i/>
          <w:color w:val="000000"/>
          <w:szCs w:val="22"/>
          <w:lang w:val="en-AU"/>
        </w:rPr>
        <w:t>ssess temporal and spatial trends in inshore marine water quality and link pollutant concentrations to end-of-catchment loads</w:t>
      </w:r>
      <w:r>
        <w:rPr>
          <w:rFonts w:cs="Arial"/>
          <w:i/>
          <w:color w:val="000000"/>
          <w:szCs w:val="22"/>
          <w:lang w:val="en-AU"/>
        </w:rPr>
        <w:t xml:space="preserve">”. </w:t>
      </w:r>
      <w:r w:rsidR="00F26233">
        <w:rPr>
          <w:lang w:val="en-AU"/>
        </w:rPr>
        <w:t>The specific objectives are</w:t>
      </w:r>
      <w:r>
        <w:rPr>
          <w:lang w:val="en-AU"/>
        </w:rPr>
        <w:t xml:space="preserve"> to</w:t>
      </w:r>
      <w:r w:rsidR="00F26233">
        <w:rPr>
          <w:lang w:val="en-AU"/>
        </w:rPr>
        <w:t>:</w:t>
      </w:r>
    </w:p>
    <w:p w14:paraId="048E98DF" w14:textId="65B9E8AE" w:rsidR="00762090" w:rsidRDefault="00762090" w:rsidP="004A5BF7">
      <w:pPr>
        <w:pStyle w:val="ListParagraph"/>
        <w:numPr>
          <w:ilvl w:val="0"/>
          <w:numId w:val="47"/>
        </w:numPr>
        <w:spacing w:before="0"/>
        <w:ind w:left="1134" w:hanging="425"/>
        <w:contextualSpacing w:val="0"/>
        <w:jc w:val="left"/>
        <w:rPr>
          <w:rFonts w:cs="Arial"/>
          <w:szCs w:val="22"/>
        </w:rPr>
      </w:pPr>
      <w:r>
        <w:rPr>
          <w:rFonts w:cs="Arial"/>
          <w:szCs w:val="22"/>
        </w:rPr>
        <w:t xml:space="preserve">monitor, assess and report the three dimensional extent and duration of flood plumes and link concentrations of suspended sediment, nutrients and pesticides to end-of-catchment loads; </w:t>
      </w:r>
    </w:p>
    <w:p w14:paraId="6D8B452D" w14:textId="77777777" w:rsidR="00762090" w:rsidRDefault="00762090" w:rsidP="004A5BF7">
      <w:pPr>
        <w:pStyle w:val="ListParagraph"/>
        <w:numPr>
          <w:ilvl w:val="0"/>
          <w:numId w:val="47"/>
        </w:numPr>
        <w:spacing w:before="0"/>
        <w:ind w:left="1134" w:hanging="425"/>
        <w:contextualSpacing w:val="0"/>
        <w:jc w:val="left"/>
        <w:rPr>
          <w:rFonts w:cs="Arial"/>
          <w:szCs w:val="22"/>
        </w:rPr>
      </w:pPr>
      <w:r>
        <w:rPr>
          <w:rFonts w:cs="Arial"/>
          <w:szCs w:val="22"/>
        </w:rPr>
        <w:t xml:space="preserve">monitor, assess and report trends in inshore concentrations of sediment, chlorophyll a, nutrients and pesticides against the Water Quality Guidelines for the Great Barrier Reef Marine Park (or other water quality guidelines if appropriate); </w:t>
      </w:r>
    </w:p>
    <w:p w14:paraId="12E9C8F6" w14:textId="51B92DCD" w:rsidR="00762090" w:rsidRDefault="00762090" w:rsidP="004A5BF7">
      <w:pPr>
        <w:pStyle w:val="ListParagraph"/>
        <w:numPr>
          <w:ilvl w:val="0"/>
          <w:numId w:val="47"/>
        </w:numPr>
        <w:spacing w:before="0"/>
        <w:ind w:left="1134" w:hanging="425"/>
        <w:contextualSpacing w:val="0"/>
        <w:jc w:val="left"/>
        <w:rPr>
          <w:rFonts w:cs="Arial"/>
          <w:szCs w:val="22"/>
        </w:rPr>
      </w:pPr>
      <w:r>
        <w:rPr>
          <w:rFonts w:cs="Arial"/>
          <w:szCs w:val="22"/>
        </w:rPr>
        <w:t xml:space="preserve">monitor, assess and report trends in turbidity and light attenuation for key </w:t>
      </w:r>
      <w:r w:rsidR="00D2594B">
        <w:rPr>
          <w:rFonts w:cs="Arial"/>
          <w:szCs w:val="22"/>
        </w:rPr>
        <w:t>GBR</w:t>
      </w:r>
      <w:r>
        <w:rPr>
          <w:rFonts w:cs="Arial"/>
          <w:szCs w:val="22"/>
        </w:rPr>
        <w:t xml:space="preserve"> inshore habitats against established thresholds and/or guidelines; and </w:t>
      </w:r>
    </w:p>
    <w:p w14:paraId="2DCF315A" w14:textId="77777777" w:rsidR="00762090" w:rsidRPr="00762090" w:rsidRDefault="00762090" w:rsidP="004A5BF7">
      <w:pPr>
        <w:pStyle w:val="ListParagraph"/>
        <w:numPr>
          <w:ilvl w:val="0"/>
          <w:numId w:val="47"/>
        </w:numPr>
        <w:spacing w:before="0"/>
        <w:ind w:left="1134" w:hanging="425"/>
        <w:contextualSpacing w:val="0"/>
        <w:jc w:val="left"/>
        <w:rPr>
          <w:rFonts w:cs="Arial"/>
          <w:szCs w:val="22"/>
        </w:rPr>
      </w:pPr>
      <w:r>
        <w:rPr>
          <w:rFonts w:cs="Arial"/>
          <w:iCs/>
          <w:szCs w:val="22"/>
        </w:rPr>
        <w:t xml:space="preserve">monitor, assess and report the extent, frequency and intensity of impacts on Great Barrier Reef inshore seagrass meadows and coral reefs from flood plumes and link to </w:t>
      </w:r>
      <w:r>
        <w:rPr>
          <w:rFonts w:cs="Arial"/>
          <w:szCs w:val="22"/>
        </w:rPr>
        <w:t>end-of-catchment loads</w:t>
      </w:r>
      <w:r>
        <w:rPr>
          <w:rFonts w:cs="Arial"/>
          <w:iCs/>
          <w:szCs w:val="22"/>
        </w:rPr>
        <w:t>.</w:t>
      </w:r>
    </w:p>
    <w:p w14:paraId="7CA2966B" w14:textId="77777777" w:rsidR="00762090" w:rsidRDefault="00762090" w:rsidP="004A5BF7">
      <w:pPr>
        <w:spacing w:before="0" w:after="0"/>
        <w:jc w:val="left"/>
        <w:rPr>
          <w:rFonts w:cs="Arial"/>
          <w:szCs w:val="22"/>
        </w:rPr>
      </w:pPr>
    </w:p>
    <w:p w14:paraId="68CEBBB5" w14:textId="4A50E1D3" w:rsidR="00762090" w:rsidRDefault="00762090" w:rsidP="004A5BF7">
      <w:pPr>
        <w:spacing w:before="0" w:after="0"/>
        <w:jc w:val="left"/>
        <w:rPr>
          <w:rFonts w:cs="Arial"/>
          <w:szCs w:val="22"/>
        </w:rPr>
      </w:pPr>
      <w:r>
        <w:rPr>
          <w:rFonts w:cs="Arial"/>
          <w:szCs w:val="22"/>
        </w:rPr>
        <w:t>The program methods and results in 2014-15 are presented in this report</w:t>
      </w:r>
      <w:r w:rsidRPr="00762090">
        <w:rPr>
          <w:rFonts w:cs="Arial"/>
          <w:szCs w:val="22"/>
        </w:rPr>
        <w:t xml:space="preserve"> </w:t>
      </w:r>
      <w:r>
        <w:rPr>
          <w:rFonts w:cs="Arial"/>
          <w:szCs w:val="22"/>
        </w:rPr>
        <w:t>with regional and GBR-wide interpretation.</w:t>
      </w:r>
    </w:p>
    <w:p w14:paraId="62466191" w14:textId="77777777" w:rsidR="00762090" w:rsidRPr="00762090" w:rsidRDefault="00762090" w:rsidP="004A5BF7">
      <w:pPr>
        <w:spacing w:before="0" w:after="0"/>
        <w:jc w:val="left"/>
        <w:rPr>
          <w:rFonts w:cs="Arial"/>
          <w:szCs w:val="22"/>
        </w:rPr>
      </w:pPr>
    </w:p>
    <w:p w14:paraId="5F22ED11" w14:textId="77777777" w:rsidR="001254DC" w:rsidRPr="00842CA3" w:rsidRDefault="001254DC" w:rsidP="00445760">
      <w:pPr>
        <w:rPr>
          <w:lang w:val="en-AU"/>
        </w:rPr>
      </w:pPr>
      <w:r w:rsidRPr="00842CA3">
        <w:rPr>
          <w:lang w:val="en-AU"/>
        </w:rPr>
        <w:br w:type="page"/>
      </w:r>
    </w:p>
    <w:p w14:paraId="5F22ED12" w14:textId="77777777" w:rsidR="00EE5D45" w:rsidRDefault="00057454" w:rsidP="00C27BEB">
      <w:pPr>
        <w:pStyle w:val="Heading1"/>
      </w:pPr>
      <w:r w:rsidRPr="00842CA3">
        <w:tab/>
      </w:r>
      <w:bookmarkStart w:id="143" w:name="_Toc436082062"/>
      <w:bookmarkStart w:id="144" w:name="_Toc436913467"/>
      <w:bookmarkStart w:id="145" w:name="_Toc462307429"/>
      <w:r w:rsidRPr="00842CA3">
        <w:t>Methods</w:t>
      </w:r>
      <w:r w:rsidR="000823CB" w:rsidRPr="00842CA3">
        <w:t xml:space="preserve"> summary</w:t>
      </w:r>
      <w:bookmarkEnd w:id="143"/>
      <w:bookmarkEnd w:id="144"/>
      <w:bookmarkEnd w:id="145"/>
    </w:p>
    <w:p w14:paraId="5F22ED13" w14:textId="77777777" w:rsidR="002C153E" w:rsidRPr="00CF0BE8" w:rsidRDefault="002C153E" w:rsidP="00CF0BE8">
      <w:pPr>
        <w:pStyle w:val="Heading2"/>
      </w:pPr>
      <w:bookmarkStart w:id="146" w:name="_Toc462307430"/>
      <w:r w:rsidRPr="00CF0BE8">
        <w:t>Overview</w:t>
      </w:r>
      <w:bookmarkEnd w:id="146"/>
    </w:p>
    <w:p w14:paraId="5F22ED14" w14:textId="7FAEC7A0" w:rsidR="00A77B00" w:rsidRPr="00842CA3" w:rsidRDefault="00C42FAC" w:rsidP="00A77B00">
      <w:pPr>
        <w:rPr>
          <w:lang w:val="en-AU"/>
        </w:rPr>
      </w:pPr>
      <w:r>
        <w:rPr>
          <w:lang w:val="en-AU" w:eastAsia="en-AU"/>
        </w:rPr>
        <w:t>This section provides an overview of</w:t>
      </w:r>
      <w:r w:rsidR="00A77B00" w:rsidRPr="00842CA3">
        <w:rPr>
          <w:lang w:val="en-AU" w:eastAsia="en-AU"/>
        </w:rPr>
        <w:t xml:space="preserve"> the sampl</w:t>
      </w:r>
      <w:r w:rsidR="000823CB" w:rsidRPr="00842CA3">
        <w:rPr>
          <w:lang w:val="en-AU" w:eastAsia="en-AU"/>
        </w:rPr>
        <w:t>ing design and indicators</w:t>
      </w:r>
      <w:r>
        <w:rPr>
          <w:lang w:val="en-AU" w:eastAsia="en-AU"/>
        </w:rPr>
        <w:t xml:space="preserve"> that are monitored as part of the program</w:t>
      </w:r>
      <w:r w:rsidR="000823CB" w:rsidRPr="00842CA3">
        <w:rPr>
          <w:lang w:val="en-AU" w:eastAsia="en-AU"/>
        </w:rPr>
        <w:t>. More details of the</w:t>
      </w:r>
      <w:r w:rsidR="00A77B00" w:rsidRPr="00842CA3">
        <w:rPr>
          <w:lang w:val="en-AU" w:eastAsia="en-AU"/>
        </w:rPr>
        <w:t xml:space="preserve"> </w:t>
      </w:r>
      <w:r w:rsidR="000823CB" w:rsidRPr="00842CA3">
        <w:rPr>
          <w:lang w:val="en-AU" w:eastAsia="en-AU"/>
        </w:rPr>
        <w:t xml:space="preserve">data </w:t>
      </w:r>
      <w:r w:rsidR="00A77B00" w:rsidRPr="00842CA3">
        <w:rPr>
          <w:lang w:val="en-AU" w:eastAsia="en-AU"/>
        </w:rPr>
        <w:t>collection, preparation</w:t>
      </w:r>
      <w:r w:rsidR="00F77F98">
        <w:rPr>
          <w:lang w:val="en-AU" w:eastAsia="en-AU"/>
        </w:rPr>
        <w:t>,</w:t>
      </w:r>
      <w:r w:rsidR="00A77B00" w:rsidRPr="00842CA3">
        <w:rPr>
          <w:lang w:val="en-AU" w:eastAsia="en-AU"/>
        </w:rPr>
        <w:t xml:space="preserve"> and analytical methods</w:t>
      </w:r>
      <w:r w:rsidR="000823CB" w:rsidRPr="00842CA3">
        <w:rPr>
          <w:lang w:val="en-AU" w:eastAsia="en-AU"/>
        </w:rPr>
        <w:t xml:space="preserve"> are </w:t>
      </w:r>
      <w:r>
        <w:rPr>
          <w:lang w:val="en-AU" w:eastAsia="en-AU"/>
        </w:rPr>
        <w:t xml:space="preserve">presented </w:t>
      </w:r>
      <w:r w:rsidR="000823CB" w:rsidRPr="00842CA3">
        <w:rPr>
          <w:lang w:val="en-AU" w:eastAsia="en-AU"/>
        </w:rPr>
        <w:t xml:space="preserve">in Appendix 1 and </w:t>
      </w:r>
      <w:r w:rsidR="00A77B00" w:rsidRPr="00842CA3">
        <w:rPr>
          <w:lang w:val="en-AU" w:eastAsia="en-AU"/>
        </w:rPr>
        <w:t>in a separate QA</w:t>
      </w:r>
      <w:r w:rsidR="002B109B">
        <w:rPr>
          <w:lang w:val="en-AU" w:eastAsia="en-AU"/>
        </w:rPr>
        <w:t>/</w:t>
      </w:r>
      <w:r w:rsidR="00A77B00" w:rsidRPr="00842CA3">
        <w:rPr>
          <w:lang w:val="en-AU" w:eastAsia="en-AU"/>
        </w:rPr>
        <w:t>QC report, updated annually (</w:t>
      </w:r>
      <w:r w:rsidR="00A77B00" w:rsidRPr="00842CA3">
        <w:rPr>
          <w:szCs w:val="22"/>
          <w:lang w:val="en-AU"/>
        </w:rPr>
        <w:t xml:space="preserve">GBRMPA </w:t>
      </w:r>
      <w:r w:rsidR="007648A8" w:rsidRPr="00842CA3">
        <w:rPr>
          <w:szCs w:val="22"/>
          <w:lang w:val="en-AU"/>
        </w:rPr>
        <w:t>2015</w:t>
      </w:r>
      <w:r w:rsidR="00F72EC2" w:rsidRPr="00842CA3">
        <w:rPr>
          <w:szCs w:val="22"/>
          <w:lang w:val="en-AU"/>
        </w:rPr>
        <w:t>c</w:t>
      </w:r>
      <w:r w:rsidR="00A77B00" w:rsidRPr="00842CA3">
        <w:rPr>
          <w:lang w:val="en-AU"/>
        </w:rPr>
        <w:t>)</w:t>
      </w:r>
      <w:r>
        <w:rPr>
          <w:lang w:val="en-AU"/>
        </w:rPr>
        <w:t>. The QA/QC report</w:t>
      </w:r>
      <w:r w:rsidR="000823CB" w:rsidRPr="00842CA3">
        <w:rPr>
          <w:lang w:val="en-AU"/>
        </w:rPr>
        <w:t xml:space="preserve"> </w:t>
      </w:r>
      <w:r w:rsidR="00BB4C78" w:rsidRPr="00842CA3">
        <w:rPr>
          <w:lang w:val="en-AU"/>
        </w:rPr>
        <w:t>covers</w:t>
      </w:r>
      <w:r w:rsidR="00A77B00" w:rsidRPr="00842CA3">
        <w:rPr>
          <w:lang w:val="en-AU"/>
        </w:rPr>
        <w:t xml:space="preserve"> the objectives and principles of analyses, step-by-step sample analysis procedures, instrument performance, data management </w:t>
      </w:r>
      <w:r w:rsidR="003C5462">
        <w:rPr>
          <w:lang w:val="en-AU"/>
        </w:rPr>
        <w:t>and analyses</w:t>
      </w:r>
      <w:r w:rsidR="002B109B">
        <w:rPr>
          <w:lang w:val="en-AU"/>
        </w:rPr>
        <w:t>,</w:t>
      </w:r>
      <w:r w:rsidR="003C5462">
        <w:rPr>
          <w:lang w:val="en-AU"/>
        </w:rPr>
        <w:t xml:space="preserve"> </w:t>
      </w:r>
      <w:r w:rsidR="00A77B00" w:rsidRPr="00842CA3">
        <w:rPr>
          <w:lang w:val="en-AU"/>
        </w:rPr>
        <w:t>and quality control</w:t>
      </w:r>
      <w:r w:rsidR="008D5F0E" w:rsidRPr="00842CA3">
        <w:rPr>
          <w:lang w:val="en-AU"/>
        </w:rPr>
        <w:t xml:space="preserve"> measures</w:t>
      </w:r>
      <w:r w:rsidR="00A77B00" w:rsidRPr="00842CA3">
        <w:rPr>
          <w:lang w:val="en-AU"/>
        </w:rPr>
        <w:t>.</w:t>
      </w:r>
    </w:p>
    <w:p w14:paraId="5F22ED15" w14:textId="4D5EE519" w:rsidR="008D5F0E" w:rsidRPr="00CF0BE8" w:rsidRDefault="008D5F0E" w:rsidP="00CF0BE8">
      <w:pPr>
        <w:pStyle w:val="Heading2"/>
      </w:pPr>
      <w:bookmarkStart w:id="147" w:name="_Toc229069183"/>
      <w:bookmarkStart w:id="148" w:name="_Toc462307431"/>
      <w:r w:rsidRPr="00CF0BE8">
        <w:t xml:space="preserve">Sampling </w:t>
      </w:r>
      <w:bookmarkEnd w:id="147"/>
      <w:r w:rsidR="0074693A" w:rsidRPr="00CF0BE8">
        <w:t>design</w:t>
      </w:r>
      <w:bookmarkEnd w:id="148"/>
    </w:p>
    <w:p w14:paraId="6D59AEDA" w14:textId="38FA001F" w:rsidR="00C42FAC" w:rsidRDefault="008D5F0E" w:rsidP="00483B38">
      <w:pPr>
        <w:rPr>
          <w:lang w:val="en-AU"/>
        </w:rPr>
      </w:pPr>
      <w:r w:rsidRPr="00842CA3">
        <w:rPr>
          <w:rFonts w:eastAsia="MS Mincho"/>
          <w:lang w:val="en-AU"/>
        </w:rPr>
        <w:t xml:space="preserve">The MMP inshore water </w:t>
      </w:r>
      <w:r w:rsidR="007648A8" w:rsidRPr="00842CA3">
        <w:rPr>
          <w:rFonts w:eastAsia="MS Mincho"/>
          <w:lang w:val="en-AU"/>
        </w:rPr>
        <w:t xml:space="preserve">quality </w:t>
      </w:r>
      <w:r w:rsidR="00A91AEF" w:rsidRPr="00842CA3">
        <w:rPr>
          <w:rFonts w:eastAsia="MS Mincho"/>
          <w:lang w:val="en-AU"/>
        </w:rPr>
        <w:t xml:space="preserve">monitoring </w:t>
      </w:r>
      <w:r w:rsidR="003C5462" w:rsidRPr="00842CA3">
        <w:rPr>
          <w:rFonts w:eastAsia="MS Mincho"/>
          <w:lang w:val="en-AU"/>
        </w:rPr>
        <w:t>i</w:t>
      </w:r>
      <w:r w:rsidR="003C5462">
        <w:rPr>
          <w:rFonts w:eastAsia="MS Mincho"/>
          <w:lang w:val="en-AU"/>
        </w:rPr>
        <w:t>s</w:t>
      </w:r>
      <w:r w:rsidR="00C42FAC">
        <w:rPr>
          <w:rFonts w:eastAsia="MS Mincho"/>
          <w:lang w:val="en-AU"/>
        </w:rPr>
        <w:t xml:space="preserve"> designed</w:t>
      </w:r>
      <w:r w:rsidR="003C5462" w:rsidRPr="00842CA3">
        <w:rPr>
          <w:rFonts w:eastAsia="MS Mincho"/>
          <w:lang w:val="en-AU"/>
        </w:rPr>
        <w:t xml:space="preserve"> </w:t>
      </w:r>
      <w:r w:rsidRPr="00842CA3">
        <w:rPr>
          <w:rFonts w:eastAsia="MS Mincho"/>
          <w:lang w:val="en-AU"/>
        </w:rPr>
        <w:t>to quantify temporal and spatial variation in inshore water quality</w:t>
      </w:r>
      <w:r w:rsidR="00C42FAC">
        <w:rPr>
          <w:rFonts w:eastAsia="MS Mincho"/>
          <w:lang w:val="en-AU"/>
        </w:rPr>
        <w:t xml:space="preserve"> conditions</w:t>
      </w:r>
      <w:r w:rsidRPr="00842CA3">
        <w:rPr>
          <w:rFonts w:eastAsia="MS Mincho"/>
          <w:lang w:val="en-AU"/>
        </w:rPr>
        <w:t xml:space="preserve">. </w:t>
      </w:r>
      <w:r w:rsidRPr="00842CA3">
        <w:rPr>
          <w:lang w:val="en-AU"/>
        </w:rPr>
        <w:t>To facilitate the identification of relationships between the</w:t>
      </w:r>
      <w:r w:rsidR="00A91AEF" w:rsidRPr="00842CA3">
        <w:rPr>
          <w:lang w:val="en-AU"/>
        </w:rPr>
        <w:t xml:space="preserve"> </w:t>
      </w:r>
      <w:r w:rsidR="00456967" w:rsidRPr="00842CA3">
        <w:rPr>
          <w:lang w:val="en-AU"/>
        </w:rPr>
        <w:t>end</w:t>
      </w:r>
      <w:r w:rsidR="00456967">
        <w:rPr>
          <w:lang w:val="en-AU"/>
        </w:rPr>
        <w:t>-</w:t>
      </w:r>
      <w:r w:rsidR="00456967" w:rsidRPr="00842CA3">
        <w:rPr>
          <w:lang w:val="en-AU"/>
        </w:rPr>
        <w:t>of</w:t>
      </w:r>
      <w:r w:rsidR="00456967">
        <w:rPr>
          <w:lang w:val="en-AU"/>
        </w:rPr>
        <w:t>-</w:t>
      </w:r>
      <w:r w:rsidR="00A91AEF" w:rsidRPr="00842CA3">
        <w:rPr>
          <w:lang w:val="en-AU"/>
        </w:rPr>
        <w:t>catchment loads and</w:t>
      </w:r>
      <w:r w:rsidRPr="00842CA3">
        <w:rPr>
          <w:lang w:val="en-AU"/>
        </w:rPr>
        <w:t xml:space="preserve"> </w:t>
      </w:r>
      <w:r w:rsidR="00A91AEF" w:rsidRPr="00842CA3">
        <w:rPr>
          <w:lang w:val="en-AU"/>
        </w:rPr>
        <w:t xml:space="preserve">water quality </w:t>
      </w:r>
      <w:r w:rsidRPr="00842CA3">
        <w:rPr>
          <w:lang w:val="en-AU"/>
        </w:rPr>
        <w:t>it is essential that the environmental setting of each monitoring location is adequately described</w:t>
      </w:r>
      <w:r w:rsidR="00483B38" w:rsidRPr="00842CA3">
        <w:rPr>
          <w:lang w:val="en-AU"/>
        </w:rPr>
        <w:t xml:space="preserve">. </w:t>
      </w:r>
    </w:p>
    <w:p w14:paraId="5F22ED16" w14:textId="5111CB87" w:rsidR="00483B38" w:rsidRPr="00842CA3" w:rsidRDefault="00C42FAC" w:rsidP="00483B38">
      <w:pPr>
        <w:rPr>
          <w:lang w:val="en-AU"/>
        </w:rPr>
      </w:pPr>
      <w:r>
        <w:rPr>
          <w:lang w:val="en-AU"/>
        </w:rPr>
        <w:t>From 2005 to</w:t>
      </w:r>
      <w:r w:rsidR="00483B38" w:rsidRPr="00842CA3">
        <w:rPr>
          <w:lang w:val="en-AU"/>
        </w:rPr>
        <w:t xml:space="preserve"> 2014 the following design was used to determine the trends in water quality</w:t>
      </w:r>
      <w:r w:rsidR="00337E4F">
        <w:rPr>
          <w:lang w:val="en-AU"/>
        </w:rPr>
        <w:t>, and included a specific ambient water quality program conducted by AIMS, and a wet season monitoring program conducted by JCU</w:t>
      </w:r>
      <w:r w:rsidR="00483B38" w:rsidRPr="00842CA3">
        <w:rPr>
          <w:lang w:val="en-AU"/>
        </w:rPr>
        <w:t xml:space="preserve">:  </w:t>
      </w:r>
    </w:p>
    <w:p w14:paraId="5F22ED18" w14:textId="6CE3F249" w:rsidR="00483B38" w:rsidRPr="00842CA3" w:rsidRDefault="0070210F" w:rsidP="004A5BF7">
      <w:pPr>
        <w:pStyle w:val="ListParagraph"/>
        <w:numPr>
          <w:ilvl w:val="0"/>
          <w:numId w:val="2"/>
        </w:numPr>
        <w:spacing w:before="0"/>
        <w:ind w:left="777" w:hanging="357"/>
        <w:contextualSpacing w:val="0"/>
        <w:jc w:val="left"/>
        <w:rPr>
          <w:rFonts w:cs="Arial"/>
          <w:szCs w:val="22"/>
          <w:lang w:val="en-AU"/>
        </w:rPr>
      </w:pPr>
      <w:r>
        <w:rPr>
          <w:rFonts w:cs="Arial"/>
          <w:szCs w:val="22"/>
          <w:lang w:val="en-AU"/>
        </w:rPr>
        <w:t>Chlorophyll a and t</w:t>
      </w:r>
      <w:r w:rsidR="00483B38" w:rsidRPr="00842CA3">
        <w:rPr>
          <w:rFonts w:cs="Arial"/>
          <w:szCs w:val="22"/>
          <w:lang w:val="en-AU"/>
        </w:rPr>
        <w:t xml:space="preserve">urbidity </w:t>
      </w:r>
      <w:r w:rsidR="006937BC" w:rsidRPr="00161636">
        <w:rPr>
          <w:rFonts w:cs="Arial"/>
          <w:szCs w:val="22"/>
          <w:lang w:val="en-AU"/>
        </w:rPr>
        <w:t xml:space="preserve">continuously </w:t>
      </w:r>
      <w:r w:rsidR="00483B38" w:rsidRPr="00842CA3">
        <w:rPr>
          <w:rFonts w:cs="Arial"/>
          <w:szCs w:val="22"/>
          <w:lang w:val="en-AU"/>
        </w:rPr>
        <w:t xml:space="preserve">monitored </w:t>
      </w:r>
      <w:r w:rsidR="00C42FAC">
        <w:rPr>
          <w:rFonts w:cs="Arial"/>
          <w:szCs w:val="22"/>
          <w:lang w:val="en-AU"/>
        </w:rPr>
        <w:t xml:space="preserve">with in-situ loggers </w:t>
      </w:r>
      <w:r w:rsidR="00483B38" w:rsidRPr="00842CA3">
        <w:rPr>
          <w:rFonts w:cs="Arial"/>
          <w:szCs w:val="22"/>
          <w:lang w:val="en-AU"/>
        </w:rPr>
        <w:t>at 14 stations</w:t>
      </w:r>
      <w:r w:rsidR="00C42FAC">
        <w:rPr>
          <w:rFonts w:cs="Arial"/>
          <w:szCs w:val="22"/>
          <w:lang w:val="en-AU"/>
        </w:rPr>
        <w:t xml:space="preserve"> across the Wet Tropics, Burdekin and Mackay Whitsunday regions (see Table 4-1);</w:t>
      </w:r>
    </w:p>
    <w:p w14:paraId="5F22ED19" w14:textId="3CA1D435" w:rsidR="00483B38" w:rsidRPr="00842CA3" w:rsidRDefault="00483B38" w:rsidP="004A5BF7">
      <w:pPr>
        <w:pStyle w:val="ListParagraph"/>
        <w:numPr>
          <w:ilvl w:val="0"/>
          <w:numId w:val="2"/>
        </w:numPr>
        <w:spacing w:before="0"/>
        <w:ind w:left="777" w:hanging="357"/>
        <w:contextualSpacing w:val="0"/>
        <w:jc w:val="left"/>
        <w:rPr>
          <w:rFonts w:cs="Arial"/>
          <w:szCs w:val="22"/>
          <w:lang w:val="en-AU"/>
        </w:rPr>
      </w:pPr>
      <w:r w:rsidRPr="00842CA3">
        <w:rPr>
          <w:rFonts w:cs="Arial"/>
          <w:szCs w:val="22"/>
          <w:lang w:val="en-AU"/>
        </w:rPr>
        <w:t xml:space="preserve">20 stations which were sampled 3 times a year (wet, early and late dry seasons) </w:t>
      </w:r>
      <w:r w:rsidR="00C42FAC">
        <w:rPr>
          <w:rFonts w:cs="Arial"/>
          <w:szCs w:val="22"/>
          <w:lang w:val="en-AU"/>
        </w:rPr>
        <w:t>across the Wet Tropics, Burdekin and Mackay Whitsunday regions (see Table 4-1);</w:t>
      </w:r>
    </w:p>
    <w:p w14:paraId="5F22ED1A" w14:textId="6117A12E" w:rsidR="00F27130" w:rsidRPr="00842CA3" w:rsidRDefault="00C42FAC" w:rsidP="004A5BF7">
      <w:pPr>
        <w:pStyle w:val="ListParagraph"/>
        <w:numPr>
          <w:ilvl w:val="0"/>
          <w:numId w:val="2"/>
        </w:numPr>
        <w:spacing w:before="0"/>
        <w:ind w:left="777" w:hanging="357"/>
        <w:contextualSpacing w:val="0"/>
        <w:jc w:val="left"/>
        <w:rPr>
          <w:rFonts w:cs="Arial"/>
          <w:szCs w:val="22"/>
          <w:lang w:val="en-AU"/>
        </w:rPr>
      </w:pPr>
      <w:r>
        <w:rPr>
          <w:rFonts w:cs="Arial"/>
          <w:szCs w:val="22"/>
          <w:lang w:val="en-AU"/>
        </w:rPr>
        <w:t>W</w:t>
      </w:r>
      <w:r w:rsidR="00F27130" w:rsidRPr="00842CA3">
        <w:rPr>
          <w:rFonts w:cs="Arial"/>
          <w:szCs w:val="22"/>
          <w:lang w:val="en-AU"/>
        </w:rPr>
        <w:t xml:space="preserve">et season sampling stations </w:t>
      </w:r>
      <w:r>
        <w:rPr>
          <w:rFonts w:cs="Arial"/>
          <w:szCs w:val="22"/>
          <w:lang w:val="en-AU"/>
        </w:rPr>
        <w:t>in</w:t>
      </w:r>
      <w:r w:rsidRPr="00842CA3">
        <w:rPr>
          <w:rFonts w:cs="Arial"/>
          <w:szCs w:val="22"/>
          <w:lang w:val="en-AU"/>
        </w:rPr>
        <w:t xml:space="preserve"> </w:t>
      </w:r>
      <w:r w:rsidR="00F27130" w:rsidRPr="00842CA3">
        <w:rPr>
          <w:rFonts w:cs="Arial"/>
          <w:szCs w:val="22"/>
          <w:lang w:val="en-AU"/>
        </w:rPr>
        <w:t xml:space="preserve">most NRM </w:t>
      </w:r>
      <w:r w:rsidR="007E7774">
        <w:rPr>
          <w:rFonts w:cs="Arial"/>
          <w:szCs w:val="22"/>
          <w:lang w:val="en-AU"/>
        </w:rPr>
        <w:t>areas</w:t>
      </w:r>
      <w:r w:rsidR="00F27130" w:rsidRPr="00842CA3">
        <w:rPr>
          <w:rFonts w:cs="Arial"/>
          <w:szCs w:val="22"/>
          <w:lang w:val="en-AU"/>
        </w:rPr>
        <w:t xml:space="preserve"> (Normanby, Russe</w:t>
      </w:r>
      <w:r>
        <w:rPr>
          <w:rFonts w:cs="Arial"/>
          <w:szCs w:val="22"/>
          <w:lang w:val="en-AU"/>
        </w:rPr>
        <w:t>l</w:t>
      </w:r>
      <w:r w:rsidR="00F27130" w:rsidRPr="00842CA3">
        <w:rPr>
          <w:rFonts w:cs="Arial"/>
          <w:szCs w:val="22"/>
          <w:lang w:val="en-AU"/>
        </w:rPr>
        <w:t>l-Mulgrave, Tully, Herbert, Burdekin</w:t>
      </w:r>
      <w:r>
        <w:rPr>
          <w:rFonts w:cs="Arial"/>
          <w:szCs w:val="22"/>
          <w:lang w:val="en-AU"/>
        </w:rPr>
        <w:t xml:space="preserve"> and</w:t>
      </w:r>
      <w:r w:rsidRPr="00842CA3">
        <w:rPr>
          <w:rFonts w:cs="Arial"/>
          <w:szCs w:val="22"/>
          <w:lang w:val="en-AU"/>
        </w:rPr>
        <w:t xml:space="preserve"> </w:t>
      </w:r>
      <w:r w:rsidR="00F27130" w:rsidRPr="00842CA3">
        <w:rPr>
          <w:rFonts w:cs="Arial"/>
          <w:szCs w:val="22"/>
          <w:lang w:val="en-AU"/>
        </w:rPr>
        <w:t>Fitzroy)</w:t>
      </w:r>
      <w:r w:rsidRPr="00C42FAC">
        <w:rPr>
          <w:rFonts w:cs="Arial"/>
          <w:szCs w:val="22"/>
          <w:lang w:val="en-AU"/>
        </w:rPr>
        <w:t xml:space="preserve"> </w:t>
      </w:r>
      <w:r>
        <w:rPr>
          <w:rFonts w:cs="Arial"/>
          <w:szCs w:val="22"/>
          <w:lang w:val="en-AU"/>
        </w:rPr>
        <w:t>(9 to 15 sites per location); and</w:t>
      </w:r>
    </w:p>
    <w:p w14:paraId="5F22ED1B" w14:textId="76BE173A" w:rsidR="00F27130" w:rsidRPr="00842CA3" w:rsidRDefault="00F27130" w:rsidP="004A5BF7">
      <w:pPr>
        <w:pStyle w:val="ListParagraph"/>
        <w:numPr>
          <w:ilvl w:val="0"/>
          <w:numId w:val="2"/>
        </w:numPr>
        <w:spacing w:before="0"/>
        <w:ind w:left="777" w:hanging="357"/>
        <w:contextualSpacing w:val="0"/>
        <w:jc w:val="left"/>
        <w:rPr>
          <w:rFonts w:cs="Arial"/>
          <w:szCs w:val="22"/>
          <w:lang w:val="en-AU"/>
        </w:rPr>
      </w:pPr>
      <w:r w:rsidRPr="00842CA3">
        <w:rPr>
          <w:rFonts w:cs="Arial"/>
          <w:szCs w:val="22"/>
          <w:lang w:val="en-AU"/>
        </w:rPr>
        <w:t>Flood sampling in response to high flow conditions</w:t>
      </w:r>
      <w:r w:rsidR="002C153E">
        <w:rPr>
          <w:rFonts w:cs="Arial"/>
          <w:szCs w:val="22"/>
          <w:lang w:val="en-AU"/>
        </w:rPr>
        <w:t xml:space="preserve"> </w:t>
      </w:r>
      <w:r w:rsidR="00C42FAC">
        <w:rPr>
          <w:rFonts w:cs="Arial"/>
          <w:szCs w:val="22"/>
          <w:lang w:val="en-AU"/>
        </w:rPr>
        <w:t>across all of the NRM regions (where relevant)</w:t>
      </w:r>
      <w:r w:rsidR="002C153E">
        <w:rPr>
          <w:rFonts w:cs="Arial"/>
          <w:szCs w:val="22"/>
          <w:lang w:val="en-AU"/>
        </w:rPr>
        <w:t xml:space="preserve"> (</w:t>
      </w:r>
      <w:r w:rsidR="005067A9">
        <w:rPr>
          <w:rFonts w:cs="Arial"/>
          <w:szCs w:val="22"/>
          <w:lang w:val="en-AU"/>
        </w:rPr>
        <w:t>most frequently in</w:t>
      </w:r>
      <w:r w:rsidR="00C42FAC">
        <w:rPr>
          <w:rFonts w:cs="Arial"/>
          <w:szCs w:val="22"/>
          <w:lang w:val="en-AU"/>
        </w:rPr>
        <w:t xml:space="preserve"> </w:t>
      </w:r>
      <w:r w:rsidR="002C153E">
        <w:rPr>
          <w:rFonts w:cs="Arial"/>
          <w:szCs w:val="22"/>
          <w:lang w:val="en-AU"/>
        </w:rPr>
        <w:t>Tully, Russell-Mulgrave, Burdekin,</w:t>
      </w:r>
      <w:r w:rsidR="005067A9">
        <w:rPr>
          <w:rFonts w:cs="Arial"/>
          <w:szCs w:val="22"/>
          <w:lang w:val="en-AU"/>
        </w:rPr>
        <w:t xml:space="preserve"> Fitzroy and</w:t>
      </w:r>
      <w:r w:rsidR="002C153E">
        <w:rPr>
          <w:rFonts w:cs="Arial"/>
          <w:szCs w:val="22"/>
          <w:lang w:val="en-AU"/>
        </w:rPr>
        <w:t xml:space="preserve"> Normanby)</w:t>
      </w:r>
      <w:r w:rsidR="00C42FAC">
        <w:rPr>
          <w:rFonts w:cs="Arial"/>
          <w:szCs w:val="22"/>
          <w:lang w:val="en-AU"/>
        </w:rPr>
        <w:t>.</w:t>
      </w:r>
    </w:p>
    <w:p w14:paraId="5F22ED1C" w14:textId="77777777" w:rsidR="00483B38" w:rsidRDefault="00483B38" w:rsidP="00483B38">
      <w:pPr>
        <w:rPr>
          <w:lang w:val="en-AU"/>
        </w:rPr>
      </w:pPr>
    </w:p>
    <w:p w14:paraId="7EB778D5" w14:textId="4BD3393B" w:rsidR="008E4D85" w:rsidRPr="007E7774" w:rsidRDefault="008E4D85" w:rsidP="008E4D85">
      <w:pPr>
        <w:rPr>
          <w:lang w:val="en-AU"/>
        </w:rPr>
      </w:pPr>
      <w:r w:rsidRPr="00337E4F">
        <w:rPr>
          <w:lang w:val="en-AU"/>
        </w:rPr>
        <w:t xml:space="preserve">In </w:t>
      </w:r>
      <w:r w:rsidR="00337E4F" w:rsidRPr="00337E4F">
        <w:rPr>
          <w:lang w:val="en-AU"/>
        </w:rPr>
        <w:t>2014-15, the GBRMPA led a review of the MMP design, which resulted in</w:t>
      </w:r>
      <w:r w:rsidRPr="00337E4F">
        <w:rPr>
          <w:lang w:val="en-AU"/>
        </w:rPr>
        <w:t xml:space="preserve"> a new sampling design </w:t>
      </w:r>
      <w:r w:rsidR="00892F55">
        <w:rPr>
          <w:lang w:val="en-AU"/>
        </w:rPr>
        <w:t>for</w:t>
      </w:r>
      <w:r w:rsidR="00337E4F" w:rsidRPr="00337E4F">
        <w:rPr>
          <w:lang w:val="en-AU"/>
        </w:rPr>
        <w:t xml:space="preserve"> the inshore water quality monitoring progra</w:t>
      </w:r>
      <w:r w:rsidR="00892F55">
        <w:rPr>
          <w:lang w:val="en-AU"/>
        </w:rPr>
        <w:t>m, intended</w:t>
      </w:r>
      <w:r w:rsidR="00337E4F" w:rsidRPr="00337E4F">
        <w:rPr>
          <w:lang w:val="en-AU"/>
        </w:rPr>
        <w:t xml:space="preserve"> </w:t>
      </w:r>
      <w:r w:rsidRPr="00337E4F">
        <w:rPr>
          <w:lang w:val="en-AU"/>
        </w:rPr>
        <w:t>to increase the potential for detection of links between end-of-catchment loads and marine water quality. The design focuse</w:t>
      </w:r>
      <w:r w:rsidR="00337E4F" w:rsidRPr="00337E4F">
        <w:rPr>
          <w:lang w:val="en-AU"/>
        </w:rPr>
        <w:t>s</w:t>
      </w:r>
      <w:r w:rsidRPr="00337E4F">
        <w:rPr>
          <w:lang w:val="en-AU"/>
        </w:rPr>
        <w:t xml:space="preserve"> on four </w:t>
      </w:r>
      <w:r w:rsidR="00D2594B">
        <w:rPr>
          <w:lang w:val="en-AU"/>
        </w:rPr>
        <w:t>focus areas</w:t>
      </w:r>
      <w:r w:rsidR="00337E4F" w:rsidRPr="00337E4F">
        <w:rPr>
          <w:lang w:val="en-AU"/>
        </w:rPr>
        <w:t xml:space="preserve"> </w:t>
      </w:r>
      <w:r w:rsidR="00D2594B">
        <w:rPr>
          <w:lang w:val="en-AU"/>
        </w:rPr>
        <w:t>–</w:t>
      </w:r>
      <w:r w:rsidR="00337E4F" w:rsidRPr="00337E4F">
        <w:rPr>
          <w:lang w:val="en-AU"/>
        </w:rPr>
        <w:t xml:space="preserve"> </w:t>
      </w:r>
      <w:r w:rsidR="00D2594B">
        <w:rPr>
          <w:lang w:val="en-AU"/>
        </w:rPr>
        <w:t xml:space="preserve">the </w:t>
      </w:r>
      <w:r w:rsidR="00337E4F" w:rsidRPr="00337E4F">
        <w:rPr>
          <w:lang w:val="en-AU"/>
        </w:rPr>
        <w:t>Russell-Mulgrave, Tully</w:t>
      </w:r>
      <w:r w:rsidR="00D2594B">
        <w:rPr>
          <w:lang w:val="en-AU"/>
        </w:rPr>
        <w:t xml:space="preserve"> and</w:t>
      </w:r>
      <w:r w:rsidR="00337E4F" w:rsidRPr="00337E4F">
        <w:rPr>
          <w:lang w:val="en-AU"/>
        </w:rPr>
        <w:t xml:space="preserve"> Burdekin </w:t>
      </w:r>
      <w:r w:rsidR="00D2594B">
        <w:rPr>
          <w:lang w:val="en-AU"/>
        </w:rPr>
        <w:t xml:space="preserve">Rivers </w:t>
      </w:r>
      <w:r w:rsidR="00337E4F" w:rsidRPr="00337E4F">
        <w:rPr>
          <w:lang w:val="en-AU"/>
        </w:rPr>
        <w:t xml:space="preserve">and </w:t>
      </w:r>
      <w:r w:rsidR="00D2594B">
        <w:rPr>
          <w:lang w:val="en-AU"/>
        </w:rPr>
        <w:t xml:space="preserve">rivers in the </w:t>
      </w:r>
      <w:r w:rsidR="00337E4F" w:rsidRPr="00337E4F">
        <w:rPr>
          <w:lang w:val="en-AU"/>
        </w:rPr>
        <w:t>Mackay</w:t>
      </w:r>
      <w:r w:rsidR="00337E4F">
        <w:rPr>
          <w:lang w:val="en-AU"/>
        </w:rPr>
        <w:t xml:space="preserve"> </w:t>
      </w:r>
      <w:r w:rsidR="00337E4F" w:rsidRPr="00337E4F">
        <w:rPr>
          <w:lang w:val="en-AU"/>
        </w:rPr>
        <w:t>Whitsunday</w:t>
      </w:r>
      <w:r w:rsidR="005067A9">
        <w:rPr>
          <w:lang w:val="en-AU"/>
        </w:rPr>
        <w:t xml:space="preserve"> </w:t>
      </w:r>
      <w:r w:rsidR="00D2594B">
        <w:rPr>
          <w:lang w:val="en-AU"/>
        </w:rPr>
        <w:t>region</w:t>
      </w:r>
      <w:r w:rsidR="00337E4F">
        <w:rPr>
          <w:lang w:val="en-AU"/>
        </w:rPr>
        <w:t>.</w:t>
      </w:r>
      <w:r w:rsidR="00892F55">
        <w:rPr>
          <w:lang w:val="en-AU"/>
        </w:rPr>
        <w:t xml:space="preserve"> </w:t>
      </w:r>
      <w:r w:rsidRPr="007E7774">
        <w:rPr>
          <w:lang w:val="en-AU"/>
        </w:rPr>
        <w:t xml:space="preserve">This </w:t>
      </w:r>
      <w:r w:rsidR="00337E4F">
        <w:rPr>
          <w:lang w:val="en-AU"/>
        </w:rPr>
        <w:t xml:space="preserve">report covers </w:t>
      </w:r>
      <w:r w:rsidRPr="007E7774">
        <w:rPr>
          <w:lang w:val="en-AU"/>
        </w:rPr>
        <w:t xml:space="preserve">the initial year for </w:t>
      </w:r>
      <w:r w:rsidR="005067A9">
        <w:rPr>
          <w:lang w:val="en-AU"/>
        </w:rPr>
        <w:t xml:space="preserve">this </w:t>
      </w:r>
      <w:r w:rsidRPr="007E7774">
        <w:rPr>
          <w:lang w:val="en-AU"/>
        </w:rPr>
        <w:t>integrat</w:t>
      </w:r>
      <w:r w:rsidR="005067A9">
        <w:rPr>
          <w:lang w:val="en-AU"/>
        </w:rPr>
        <w:t>ed design which</w:t>
      </w:r>
      <w:r w:rsidR="00892F55">
        <w:rPr>
          <w:lang w:val="en-AU"/>
        </w:rPr>
        <w:t xml:space="preserve"> formally commenced in </w:t>
      </w:r>
      <w:r w:rsidR="00B165A2">
        <w:rPr>
          <w:lang w:val="en-AU"/>
        </w:rPr>
        <w:t xml:space="preserve">February </w:t>
      </w:r>
      <w:r w:rsidR="00892F55">
        <w:rPr>
          <w:lang w:val="en-AU"/>
        </w:rPr>
        <w:t>2015.</w:t>
      </w:r>
    </w:p>
    <w:p w14:paraId="67D5070F" w14:textId="763FF69F" w:rsidR="005067A9" w:rsidRDefault="00A02EF5" w:rsidP="005067A9">
      <w:pPr>
        <w:rPr>
          <w:rFonts w:eastAsia="Calibri"/>
          <w:lang w:val="en-AU"/>
        </w:rPr>
      </w:pPr>
      <w:r>
        <w:rPr>
          <w:lang w:val="en-AU"/>
        </w:rPr>
        <w:t xml:space="preserve">Three of the focus areas are </w:t>
      </w:r>
      <w:r w:rsidR="008E4D85" w:rsidRPr="007E7774">
        <w:rPr>
          <w:rFonts w:eastAsia="Calibri"/>
          <w:lang w:val="en-AU"/>
        </w:rPr>
        <w:t>targeted for intensive sampling</w:t>
      </w:r>
      <w:r w:rsidR="00D2594B">
        <w:rPr>
          <w:rFonts w:eastAsia="Calibri"/>
          <w:lang w:val="en-AU"/>
        </w:rPr>
        <w:t xml:space="preserve"> - </w:t>
      </w:r>
      <w:r w:rsidR="008E4D85" w:rsidRPr="007E7774">
        <w:rPr>
          <w:rFonts w:eastAsia="Calibri"/>
          <w:lang w:val="en-AU"/>
        </w:rPr>
        <w:t>Russell-Mulgrave, Tully and Burdekin</w:t>
      </w:r>
      <w:r w:rsidR="00D2594B">
        <w:rPr>
          <w:rFonts w:eastAsia="Calibri"/>
          <w:lang w:val="en-AU"/>
        </w:rPr>
        <w:t>,</w:t>
      </w:r>
      <w:r w:rsidR="008E4D85" w:rsidRPr="007E7774">
        <w:rPr>
          <w:rFonts w:eastAsia="Calibri"/>
          <w:lang w:val="en-AU"/>
        </w:rPr>
        <w:t xml:space="preserve"> </w:t>
      </w:r>
      <w:r w:rsidR="00D2594B">
        <w:rPr>
          <w:rFonts w:eastAsia="Calibri"/>
          <w:lang w:val="en-AU"/>
        </w:rPr>
        <w:t xml:space="preserve">and were </w:t>
      </w:r>
      <w:r w:rsidR="008E4D85" w:rsidRPr="007E7774">
        <w:rPr>
          <w:rFonts w:eastAsia="Calibri"/>
          <w:lang w:val="en-AU"/>
        </w:rPr>
        <w:t xml:space="preserve">chosen </w:t>
      </w:r>
      <w:r w:rsidR="00D2594B">
        <w:rPr>
          <w:rFonts w:eastAsia="Calibri"/>
          <w:lang w:val="en-AU"/>
        </w:rPr>
        <w:t xml:space="preserve">as priority areas based on </w:t>
      </w:r>
      <w:r>
        <w:rPr>
          <w:rFonts w:eastAsia="Calibri"/>
          <w:lang w:val="en-AU"/>
        </w:rPr>
        <w:t>water quality risk assessments</w:t>
      </w:r>
      <w:r w:rsidR="008E4D85" w:rsidRPr="007E7774">
        <w:rPr>
          <w:rFonts w:eastAsia="Calibri"/>
          <w:lang w:val="en-AU"/>
        </w:rPr>
        <w:t xml:space="preserve"> reported </w:t>
      </w:r>
      <w:r w:rsidR="008E4D85">
        <w:rPr>
          <w:rFonts w:eastAsia="Calibri"/>
          <w:lang w:val="en-AU"/>
        </w:rPr>
        <w:t xml:space="preserve">elsewhere </w:t>
      </w:r>
      <w:r w:rsidR="008E4D85" w:rsidRPr="007E7774">
        <w:rPr>
          <w:rFonts w:eastAsia="Calibri"/>
          <w:lang w:val="en-AU"/>
        </w:rPr>
        <w:fldChar w:fldCharType="begin"/>
      </w:r>
      <w:r w:rsidR="008E4D85" w:rsidRPr="007E7774">
        <w:rPr>
          <w:rFonts w:eastAsia="Calibri"/>
          <w:lang w:val="en-AU"/>
        </w:rPr>
        <w:instrText xml:space="preserve"> ADDIN EN.CITE &lt;EndNote&gt;&lt;Cite&gt;&lt;Author&gt;Brodie&lt;/Author&gt;&lt;Year&gt;2014&lt;/Year&gt;&lt;RecNum&gt;1045&lt;/RecNum&gt;&lt;DisplayText&gt;(Brodie et al., 2014)&lt;/DisplayText&gt;&lt;record&gt;&lt;rec-number&gt;1045&lt;/rec-number&gt;&lt;foreign-keys&gt;&lt;key app="EN" db-id="wwzpfssaux292keptesxd5t6srsfvpzsde2p"&gt;1045&lt;/key&gt;&lt;/foreign-keys&gt;&lt;ref-type name="Journal Article"&gt;17&lt;/ref-type&gt;&lt;contributors&gt;&lt;authors&gt;&lt;author&gt;Brodie, J&lt;/author&gt;&lt;author&gt;Burford, M&lt;/author&gt;&lt;author&gt;Davis, A&lt;/author&gt;&lt;author&gt;da Silva, E&lt;/author&gt;&lt;author&gt;Devlin, M&lt;/author&gt;&lt;author&gt;Furnas, M&lt;/author&gt;&lt;author&gt;Kroon, F&lt;/author&gt;&lt;author&gt;Lewis, S&lt;/author&gt;&lt;author&gt;Lønborg, C&lt;/author&gt;&lt;author&gt;O’Brien, D&lt;/author&gt;&lt;author&gt;Schaffelke, B&lt;/author&gt;&lt;/authors&gt;&lt;/contributors&gt;&lt;titles&gt;&lt;title&gt;The relative risks to water quality from particulate nitrogen discharged from rivers to the Great Barrier Reef in comparison to other forms of nitrogen. &lt;/title&gt;&lt;/titles&gt;&lt;pages&gt;81&lt;/pages&gt;&lt;volume&gt;TropWATER Report 14/31. October 2014&lt;/volume&gt;&lt;dates&gt;&lt;year&gt;2014&lt;/year&gt;&lt;/dates&gt;&lt;urls&gt;&lt;/urls&gt;&lt;/record&gt;&lt;/Cite&gt;&lt;/EndNote&gt;</w:instrText>
      </w:r>
      <w:r w:rsidR="008E4D85" w:rsidRPr="007E7774">
        <w:rPr>
          <w:rFonts w:eastAsia="Calibri"/>
          <w:lang w:val="en-AU"/>
        </w:rPr>
        <w:fldChar w:fldCharType="separate"/>
      </w:r>
      <w:r w:rsidR="008E4D85" w:rsidRPr="007E7774">
        <w:rPr>
          <w:rFonts w:eastAsia="Calibri"/>
          <w:lang w:val="en-AU"/>
        </w:rPr>
        <w:t>(</w:t>
      </w:r>
      <w:hyperlink w:anchor="_ENREF_10" w:tooltip="Brodie, 2014 #1045" w:history="1">
        <w:r w:rsidR="008E4D85" w:rsidRPr="007E7774">
          <w:rPr>
            <w:rFonts w:eastAsia="Calibri"/>
            <w:lang w:val="en-AU"/>
          </w:rPr>
          <w:t>Brodie et al., 201</w:t>
        </w:r>
        <w:r>
          <w:rPr>
            <w:rFonts w:eastAsia="Calibri"/>
            <w:lang w:val="en-AU"/>
          </w:rPr>
          <w:t>3b</w:t>
        </w:r>
      </w:hyperlink>
      <w:r w:rsidR="008E4D85" w:rsidRPr="007E7774">
        <w:rPr>
          <w:rFonts w:eastAsia="Calibri"/>
          <w:lang w:val="en-AU"/>
        </w:rPr>
        <w:t>)</w:t>
      </w:r>
      <w:r w:rsidR="008E4D85" w:rsidRPr="007E7774">
        <w:rPr>
          <w:rFonts w:eastAsia="Calibri"/>
          <w:lang w:val="en-AU"/>
        </w:rPr>
        <w:fldChar w:fldCharType="end"/>
      </w:r>
      <w:r w:rsidR="008E4D85">
        <w:rPr>
          <w:rFonts w:eastAsia="Calibri"/>
          <w:lang w:val="en-AU"/>
        </w:rPr>
        <w:t xml:space="preserve"> and availability/quality of long-term data</w:t>
      </w:r>
      <w:r w:rsidR="008E4D85" w:rsidRPr="007E7774">
        <w:rPr>
          <w:rFonts w:eastAsia="Calibri"/>
          <w:lang w:val="en-AU"/>
        </w:rPr>
        <w:t xml:space="preserve">. The Tully River catchment is also the ideal location to assess the long-term effectiveness of Reef Plan as data can be collected every year as it is the wettest catchment in Australia. Repeated sampling in the Tully </w:t>
      </w:r>
      <w:r w:rsidR="00D2594B">
        <w:rPr>
          <w:rFonts w:eastAsia="Calibri"/>
          <w:lang w:val="en-AU"/>
        </w:rPr>
        <w:t xml:space="preserve">focus area </w:t>
      </w:r>
      <w:r w:rsidR="008E4D85" w:rsidRPr="007E7774">
        <w:rPr>
          <w:rFonts w:eastAsia="Calibri"/>
          <w:lang w:val="en-AU"/>
        </w:rPr>
        <w:t xml:space="preserve">also adds value to the long-term data set collected in this </w:t>
      </w:r>
      <w:r w:rsidR="00D2594B">
        <w:rPr>
          <w:rFonts w:eastAsia="Calibri"/>
          <w:lang w:val="en-AU"/>
        </w:rPr>
        <w:t>area</w:t>
      </w:r>
      <w:r w:rsidR="008E4D85" w:rsidRPr="007E7774">
        <w:rPr>
          <w:rFonts w:eastAsia="Calibri"/>
          <w:lang w:val="en-AU"/>
        </w:rPr>
        <w:t xml:space="preserve"> from 1994 to 2012 </w:t>
      </w:r>
      <w:r w:rsidR="008E4D85" w:rsidRPr="007E7774">
        <w:rPr>
          <w:rFonts w:eastAsia="Calibri"/>
          <w:lang w:val="en-AU"/>
        </w:rPr>
        <w:fldChar w:fldCharType="begin"/>
      </w:r>
      <w:r w:rsidR="008E4D85" w:rsidRPr="007E7774">
        <w:rPr>
          <w:rFonts w:eastAsia="Calibri"/>
          <w:lang w:val="en-AU"/>
        </w:rPr>
        <w:instrText xml:space="preserve"> ADDIN EN.CITE &lt;EndNote&gt;&lt;Cite&gt;&lt;Author&gt;Devlin&lt;/Author&gt;&lt;Year&gt;2009&lt;/Year&gt;&lt;RecNum&gt;907&lt;/RecNum&gt;&lt;DisplayText&gt;(Devlin and Schaffelke, 2009)&lt;/DisplayText&gt;&lt;record&gt;&lt;rec-number&gt;907&lt;/rec-number&gt;&lt;foreign-keys&gt;&lt;key app="EN" db-id="wwzpfssaux292keptesxd5t6srsfvpzsde2p"&gt;907&lt;/key&gt;&lt;/foreign-keys&gt;&lt;ref-type name="Journal Article"&gt;17&lt;/ref-type&gt;&lt;contributors&gt;&lt;authors&gt;&lt;author&gt;Devlin, Michelle&lt;/author&gt;&lt;author&gt;Schaffelke, Britta&lt;/author&gt;&lt;/authors&gt;&lt;/contributors&gt;&lt;titles&gt;&lt;title&gt;Spatial extent of riverine flood plumes and exposure of marine ecosystems in the Tully coastal region, Great Barrier Reef&lt;/title&gt;&lt;secondary-title&gt;Marine and Freshwater Research&lt;/secondary-title&gt;&lt;/titles&gt;&lt;periodical&gt;&lt;full-title&gt;Marine and Freshwater Research&lt;/full-title&gt;&lt;/periodical&gt;&lt;pages&gt;1109-1122&lt;/pages&gt;&lt;volume&gt;60&lt;/volume&gt;&lt;number&gt;11&lt;/number&gt;&lt;dates&gt;&lt;year&gt;2009&lt;/year&gt;&lt;/dates&gt;&lt;isbn&gt;1448-6059&lt;/isbn&gt;&lt;urls&gt;&lt;/urls&gt;&lt;/record&gt;&lt;/Cite&gt;&lt;/EndNote&gt;</w:instrText>
      </w:r>
      <w:r w:rsidR="008E4D85" w:rsidRPr="007E7774">
        <w:rPr>
          <w:rFonts w:eastAsia="Calibri"/>
          <w:lang w:val="en-AU"/>
        </w:rPr>
        <w:fldChar w:fldCharType="separate"/>
      </w:r>
      <w:r w:rsidR="008E4D85" w:rsidRPr="007E7774">
        <w:rPr>
          <w:rFonts w:eastAsia="Calibri"/>
          <w:lang w:val="en-AU"/>
        </w:rPr>
        <w:t>(</w:t>
      </w:r>
      <w:hyperlink w:anchor="_ENREF_15" w:tooltip="Devlin, 2009 #907" w:history="1">
        <w:r w:rsidR="008E4D85" w:rsidRPr="007E7774">
          <w:rPr>
            <w:rFonts w:eastAsia="Calibri"/>
            <w:lang w:val="en-AU"/>
          </w:rPr>
          <w:t>Devlin and Schaffelke 2009</w:t>
        </w:r>
      </w:hyperlink>
      <w:r w:rsidR="008E4D85" w:rsidRPr="007E7774">
        <w:rPr>
          <w:rFonts w:eastAsia="Calibri"/>
          <w:lang w:val="en-AU"/>
        </w:rPr>
        <w:t>)</w:t>
      </w:r>
      <w:r w:rsidR="008E4D85" w:rsidRPr="007E7774">
        <w:rPr>
          <w:rFonts w:eastAsia="Calibri"/>
          <w:lang w:val="en-AU"/>
        </w:rPr>
        <w:fldChar w:fldCharType="end"/>
      </w:r>
      <w:r w:rsidR="008E4D85" w:rsidRPr="007E7774">
        <w:rPr>
          <w:rFonts w:eastAsia="Calibri"/>
          <w:lang w:val="en-AU"/>
        </w:rPr>
        <w:t xml:space="preserve">. Additional reporting for the Barron-Daintree </w:t>
      </w:r>
      <w:r w:rsidR="008E4D85">
        <w:rPr>
          <w:rFonts w:eastAsia="Calibri"/>
          <w:lang w:val="en-AU"/>
        </w:rPr>
        <w:t xml:space="preserve">sub-region of the Wet Tropics </w:t>
      </w:r>
      <w:r w:rsidR="008E4D85" w:rsidRPr="007E7774">
        <w:rPr>
          <w:rFonts w:eastAsia="Calibri"/>
          <w:lang w:val="en-AU"/>
        </w:rPr>
        <w:t xml:space="preserve">is also included due to the continued collection of data in the long term Cairns transect. </w:t>
      </w:r>
    </w:p>
    <w:p w14:paraId="609B0E17" w14:textId="7C6D9469" w:rsidR="005067A9" w:rsidRDefault="005067A9" w:rsidP="008E4D85">
      <w:pPr>
        <w:rPr>
          <w:rFonts w:eastAsia="Calibri"/>
          <w:lang w:val="en-AU"/>
        </w:rPr>
      </w:pPr>
      <w:r>
        <w:rPr>
          <w:lang w:val="en-AU"/>
        </w:rPr>
        <w:t>The s</w:t>
      </w:r>
      <w:r w:rsidRPr="0000155C">
        <w:rPr>
          <w:rFonts w:ascii="Helvetica" w:hAnsi="Helvetica" w:cs="Helvetica"/>
          <w:szCs w:val="22"/>
          <w:lang w:val="en-AU"/>
        </w:rPr>
        <w:t xml:space="preserve">ites </w:t>
      </w:r>
      <w:r>
        <w:rPr>
          <w:rFonts w:ascii="Helvetica" w:hAnsi="Helvetica" w:cs="Helvetica"/>
          <w:szCs w:val="22"/>
          <w:lang w:val="en-AU"/>
        </w:rPr>
        <w:t>in each focus area are</w:t>
      </w:r>
      <w:r w:rsidRPr="0000155C">
        <w:rPr>
          <w:rFonts w:ascii="Helvetica" w:hAnsi="Helvetica" w:cs="Helvetica"/>
          <w:szCs w:val="22"/>
          <w:lang w:val="en-AU"/>
        </w:rPr>
        <w:t xml:space="preserve"> selected along </w:t>
      </w:r>
      <w:r>
        <w:rPr>
          <w:rFonts w:ascii="Helvetica" w:hAnsi="Helvetica" w:cs="Helvetica"/>
          <w:szCs w:val="22"/>
          <w:lang w:val="en-AU"/>
        </w:rPr>
        <w:t xml:space="preserve">water quality </w:t>
      </w:r>
      <w:r w:rsidRPr="0000155C">
        <w:rPr>
          <w:rFonts w:ascii="Helvetica" w:hAnsi="Helvetica" w:cs="Helvetica"/>
          <w:szCs w:val="22"/>
          <w:lang w:val="en-AU"/>
        </w:rPr>
        <w:t>gradient</w:t>
      </w:r>
      <w:r>
        <w:rPr>
          <w:rFonts w:ascii="Helvetica" w:hAnsi="Helvetica" w:cs="Helvetica"/>
          <w:szCs w:val="22"/>
          <w:lang w:val="en-AU"/>
        </w:rPr>
        <w:t>s</w:t>
      </w:r>
      <w:r w:rsidRPr="0000155C">
        <w:rPr>
          <w:rFonts w:ascii="Helvetica" w:hAnsi="Helvetica" w:cs="Helvetica"/>
          <w:szCs w:val="22"/>
          <w:lang w:val="en-AU"/>
        </w:rPr>
        <w:t xml:space="preserve"> </w:t>
      </w:r>
      <w:r>
        <w:rPr>
          <w:rFonts w:ascii="Helvetica" w:hAnsi="Helvetica" w:cs="Helvetica"/>
          <w:szCs w:val="22"/>
          <w:lang w:val="en-AU"/>
        </w:rPr>
        <w:t>(</w:t>
      </w:r>
      <w:r w:rsidRPr="0000155C">
        <w:rPr>
          <w:rFonts w:ascii="Helvetica" w:hAnsi="Helvetica" w:cs="Helvetica"/>
          <w:szCs w:val="22"/>
          <w:lang w:val="en-AU"/>
        </w:rPr>
        <w:t>exposure to runoff</w:t>
      </w:r>
      <w:r>
        <w:rPr>
          <w:rFonts w:ascii="Helvetica" w:hAnsi="Helvetica" w:cs="Helvetica"/>
          <w:szCs w:val="22"/>
          <w:lang w:val="en-AU"/>
        </w:rPr>
        <w:t>). This was</w:t>
      </w:r>
      <w:r w:rsidRPr="0000155C">
        <w:rPr>
          <w:rFonts w:ascii="Helvetica" w:hAnsi="Helvetica" w:cs="Helvetica"/>
          <w:szCs w:val="22"/>
          <w:lang w:val="en-AU"/>
        </w:rPr>
        <w:t xml:space="preserve"> largely determined </w:t>
      </w:r>
      <w:r>
        <w:rPr>
          <w:rFonts w:ascii="Helvetica" w:hAnsi="Helvetica" w:cs="Helvetica"/>
          <w:szCs w:val="22"/>
          <w:lang w:val="en-AU"/>
        </w:rPr>
        <w:t>by</w:t>
      </w:r>
      <w:r w:rsidRPr="0000155C">
        <w:rPr>
          <w:rFonts w:ascii="Helvetica" w:hAnsi="Helvetica" w:cs="Helvetica"/>
          <w:szCs w:val="22"/>
          <w:lang w:val="en-AU"/>
        </w:rPr>
        <w:t xml:space="preserve"> increasing distance from a river mouth in a northerly direction to reflect the predominantly northward flow of surface water forced by the prevailing south-easterly winds (Larcombe </w:t>
      </w:r>
      <w:r w:rsidRPr="0070210F">
        <w:rPr>
          <w:rFonts w:ascii="Helvetica" w:hAnsi="Helvetica" w:cs="Helvetica"/>
          <w:szCs w:val="22"/>
          <w:lang w:val="en-AU"/>
        </w:rPr>
        <w:t>et al.</w:t>
      </w:r>
      <w:r>
        <w:rPr>
          <w:rFonts w:ascii="Helvetica" w:hAnsi="Helvetica" w:cs="Helvetica"/>
          <w:szCs w:val="22"/>
          <w:lang w:val="en-AU"/>
        </w:rPr>
        <w:t>,</w:t>
      </w:r>
      <w:r w:rsidRPr="0000155C">
        <w:rPr>
          <w:rFonts w:ascii="Helvetica" w:hAnsi="Helvetica" w:cs="Helvetica"/>
          <w:szCs w:val="22"/>
          <w:lang w:val="en-AU"/>
        </w:rPr>
        <w:t xml:space="preserve"> 1995</w:t>
      </w:r>
      <w:r w:rsidR="00EC46B4">
        <w:rPr>
          <w:rFonts w:ascii="Helvetica" w:hAnsi="Helvetica" w:cs="Helvetica"/>
          <w:szCs w:val="22"/>
          <w:lang w:val="en-AU"/>
        </w:rPr>
        <w:t>;</w:t>
      </w:r>
      <w:r w:rsidRPr="0000155C">
        <w:rPr>
          <w:rFonts w:ascii="Helvetica" w:hAnsi="Helvetica" w:cs="Helvetica"/>
          <w:szCs w:val="22"/>
          <w:lang w:val="en-AU"/>
        </w:rPr>
        <w:t xml:space="preserve"> Brinkman </w:t>
      </w:r>
      <w:r w:rsidRPr="0070210F">
        <w:rPr>
          <w:rFonts w:ascii="Helvetica" w:hAnsi="Helvetica" w:cs="Helvetica"/>
          <w:szCs w:val="22"/>
          <w:lang w:val="en-AU"/>
        </w:rPr>
        <w:t>et al.</w:t>
      </w:r>
      <w:r>
        <w:rPr>
          <w:rFonts w:ascii="Helvetica" w:hAnsi="Helvetica" w:cs="Helvetica"/>
          <w:szCs w:val="22"/>
          <w:lang w:val="en-AU"/>
        </w:rPr>
        <w:t>,</w:t>
      </w:r>
      <w:r w:rsidRPr="0000155C">
        <w:rPr>
          <w:rFonts w:ascii="Helvetica" w:hAnsi="Helvetica" w:cs="Helvetica"/>
          <w:szCs w:val="22"/>
          <w:lang w:val="en-AU"/>
        </w:rPr>
        <w:t xml:space="preserve"> 2011).</w:t>
      </w:r>
      <w:r>
        <w:rPr>
          <w:rFonts w:ascii="Helvetica" w:hAnsi="Helvetica" w:cs="Helvetica"/>
          <w:szCs w:val="22"/>
          <w:lang w:val="en-AU"/>
        </w:rPr>
        <w:t xml:space="preserve"> Most of the ambient sampling sites that were monitored </w:t>
      </w:r>
      <w:r w:rsidR="007C4E29">
        <w:rPr>
          <w:rFonts w:ascii="Helvetica" w:hAnsi="Helvetica" w:cs="Helvetica"/>
          <w:szCs w:val="22"/>
          <w:lang w:val="en-AU"/>
        </w:rPr>
        <w:t xml:space="preserve">from </w:t>
      </w:r>
      <w:r>
        <w:rPr>
          <w:rFonts w:ascii="Helvetica" w:hAnsi="Helvetica" w:cs="Helvetica"/>
          <w:szCs w:val="22"/>
          <w:lang w:val="en-AU"/>
        </w:rPr>
        <w:t>2005</w:t>
      </w:r>
      <w:r w:rsidR="007C4E29">
        <w:rPr>
          <w:rFonts w:ascii="Helvetica" w:hAnsi="Helvetica" w:cs="Helvetica"/>
          <w:szCs w:val="22"/>
          <w:lang w:val="en-AU"/>
        </w:rPr>
        <w:t xml:space="preserve"> to </w:t>
      </w:r>
      <w:r>
        <w:rPr>
          <w:rFonts w:ascii="Helvetica" w:hAnsi="Helvetica" w:cs="Helvetica"/>
          <w:szCs w:val="22"/>
          <w:lang w:val="en-AU"/>
        </w:rPr>
        <w:t xml:space="preserve">2014 are included, </w:t>
      </w:r>
      <w:r>
        <w:rPr>
          <w:lang w:val="en-AU"/>
        </w:rPr>
        <w:t>allowing</w:t>
      </w:r>
      <w:r w:rsidRPr="00EA1830">
        <w:rPr>
          <w:lang w:val="en-AU"/>
        </w:rPr>
        <w:t xml:space="preserve"> for the continuation of the valuable long-term time series</w:t>
      </w:r>
      <w:r>
        <w:rPr>
          <w:rFonts w:ascii="Helvetica" w:hAnsi="Helvetica" w:cs="Helvetica"/>
          <w:szCs w:val="22"/>
          <w:lang w:val="en-AU"/>
        </w:rPr>
        <w:t>. M</w:t>
      </w:r>
      <w:r w:rsidRPr="007E7774">
        <w:rPr>
          <w:lang w:val="en-AU"/>
        </w:rPr>
        <w:t xml:space="preserve">ost </w:t>
      </w:r>
      <w:r w:rsidR="007C4E29">
        <w:rPr>
          <w:lang w:val="en-AU"/>
        </w:rPr>
        <w:t>areas</w:t>
      </w:r>
      <w:r w:rsidRPr="007E7774">
        <w:rPr>
          <w:lang w:val="en-AU"/>
        </w:rPr>
        <w:t xml:space="preserve"> are sampled more frequent</w:t>
      </w:r>
      <w:r>
        <w:rPr>
          <w:lang w:val="en-AU"/>
        </w:rPr>
        <w:t>ly</w:t>
      </w:r>
      <w:r w:rsidRPr="007E7774">
        <w:rPr>
          <w:lang w:val="en-AU"/>
        </w:rPr>
        <w:t xml:space="preserve"> (typical</w:t>
      </w:r>
      <w:r>
        <w:rPr>
          <w:lang w:val="en-AU"/>
        </w:rPr>
        <w:t>ly</w:t>
      </w:r>
      <w:r w:rsidRPr="007E7774">
        <w:rPr>
          <w:lang w:val="en-AU"/>
        </w:rPr>
        <w:t xml:space="preserve"> between 5 to 10 times)</w:t>
      </w:r>
      <w:r>
        <w:rPr>
          <w:lang w:val="en-AU"/>
        </w:rPr>
        <w:t xml:space="preserve"> to </w:t>
      </w:r>
      <w:r w:rsidRPr="007E7774">
        <w:rPr>
          <w:lang w:val="en-AU"/>
        </w:rPr>
        <w:t>improve</w:t>
      </w:r>
      <w:r>
        <w:rPr>
          <w:lang w:val="en-AU"/>
        </w:rPr>
        <w:t xml:space="preserve"> the</w:t>
      </w:r>
      <w:r w:rsidRPr="007E7774">
        <w:rPr>
          <w:lang w:val="en-AU"/>
        </w:rPr>
        <w:t xml:space="preserve"> ability to detect and interpret trends in water quality in key areas</w:t>
      </w:r>
      <w:r>
        <w:rPr>
          <w:lang w:val="en-AU"/>
        </w:rPr>
        <w:t xml:space="preserve"> in relation to end of catchment loads,</w:t>
      </w:r>
      <w:r w:rsidRPr="007E7774">
        <w:rPr>
          <w:lang w:val="en-AU"/>
        </w:rPr>
        <w:t xml:space="preserve"> and </w:t>
      </w:r>
      <w:r>
        <w:rPr>
          <w:lang w:val="en-AU"/>
        </w:rPr>
        <w:t>provide data for</w:t>
      </w:r>
      <w:r w:rsidRPr="007E7774">
        <w:rPr>
          <w:lang w:val="en-AU"/>
        </w:rPr>
        <w:t xml:space="preserve"> the validation of the eReefs model suite. </w:t>
      </w:r>
    </w:p>
    <w:p w14:paraId="646774F1" w14:textId="447D3F1C" w:rsidR="008E4D85" w:rsidRPr="007E7774" w:rsidRDefault="00476957" w:rsidP="008E4D85">
      <w:pPr>
        <w:rPr>
          <w:lang w:val="en-AU"/>
        </w:rPr>
      </w:pPr>
      <w:r>
        <w:rPr>
          <w:rFonts w:eastAsia="Calibri"/>
          <w:lang w:val="en-AU"/>
        </w:rPr>
        <w:fldChar w:fldCharType="begin"/>
      </w:r>
      <w:r>
        <w:rPr>
          <w:rFonts w:eastAsia="Calibri"/>
          <w:lang w:val="en-AU"/>
        </w:rPr>
        <w:instrText xml:space="preserve"> REF _Ref459146034 \h </w:instrText>
      </w:r>
      <w:r>
        <w:rPr>
          <w:rFonts w:eastAsia="Calibri"/>
          <w:lang w:val="en-AU"/>
        </w:rPr>
      </w:r>
      <w:r>
        <w:rPr>
          <w:rFonts w:eastAsia="Calibri"/>
          <w:lang w:val="en-AU"/>
        </w:rPr>
        <w:fldChar w:fldCharType="separate"/>
      </w:r>
      <w:r w:rsidR="007F5336" w:rsidRPr="00390310">
        <w:t xml:space="preserve">Figure </w:t>
      </w:r>
      <w:r w:rsidR="007F5336">
        <w:rPr>
          <w:noProof/>
        </w:rPr>
        <w:t>4</w:t>
      </w:r>
      <w:r w:rsidR="007F5336">
        <w:noBreakHyphen/>
      </w:r>
      <w:r w:rsidR="007F5336">
        <w:rPr>
          <w:noProof/>
        </w:rPr>
        <w:t>1</w:t>
      </w:r>
      <w:r>
        <w:rPr>
          <w:rFonts w:eastAsia="Calibri"/>
          <w:lang w:val="en-AU"/>
        </w:rPr>
        <w:fldChar w:fldCharType="end"/>
      </w:r>
      <w:r w:rsidR="00862D84">
        <w:rPr>
          <w:rFonts w:eastAsia="Calibri"/>
          <w:lang w:val="en-AU"/>
        </w:rPr>
        <w:t xml:space="preserve">, </w:t>
      </w:r>
      <w:r w:rsidR="00EC46B4">
        <w:rPr>
          <w:rFonts w:eastAsia="Calibri"/>
          <w:lang w:val="en-AU"/>
        </w:rPr>
        <w:fldChar w:fldCharType="begin"/>
      </w:r>
      <w:r w:rsidR="00EC46B4">
        <w:rPr>
          <w:rFonts w:eastAsia="Calibri"/>
          <w:lang w:val="en-AU"/>
        </w:rPr>
        <w:instrText xml:space="preserve"> REF _Ref459146094 \h </w:instrText>
      </w:r>
      <w:r w:rsidR="00EC46B4">
        <w:rPr>
          <w:rFonts w:eastAsia="Calibri"/>
          <w:lang w:val="en-AU"/>
        </w:rPr>
      </w:r>
      <w:r w:rsidR="00EC46B4">
        <w:rPr>
          <w:rFonts w:eastAsia="Calibri"/>
          <w:lang w:val="en-AU"/>
        </w:rPr>
        <w:fldChar w:fldCharType="separate"/>
      </w:r>
      <w:r w:rsidR="007F5336" w:rsidRPr="00EC46B4">
        <w:t xml:space="preserve">Table </w:t>
      </w:r>
      <w:r w:rsidR="007F5336">
        <w:rPr>
          <w:noProof/>
        </w:rPr>
        <w:t>4</w:t>
      </w:r>
      <w:r w:rsidR="007F5336">
        <w:noBreakHyphen/>
      </w:r>
      <w:r w:rsidR="007F5336">
        <w:rPr>
          <w:noProof/>
        </w:rPr>
        <w:t>1</w:t>
      </w:r>
      <w:r w:rsidR="00EC46B4">
        <w:rPr>
          <w:rFonts w:eastAsia="Calibri"/>
          <w:lang w:val="en-AU"/>
        </w:rPr>
        <w:fldChar w:fldCharType="end"/>
      </w:r>
      <w:r w:rsidR="00EC46B4">
        <w:rPr>
          <w:rFonts w:eastAsia="Calibri"/>
          <w:lang w:val="en-AU"/>
        </w:rPr>
        <w:t xml:space="preserve"> </w:t>
      </w:r>
      <w:r w:rsidR="00862D84">
        <w:rPr>
          <w:rFonts w:eastAsia="Calibri"/>
          <w:lang w:val="en-AU"/>
        </w:rPr>
        <w:t xml:space="preserve">and </w:t>
      </w:r>
      <w:r w:rsidR="00EC46B4">
        <w:rPr>
          <w:rFonts w:eastAsia="Calibri"/>
          <w:lang w:val="en-AU"/>
        </w:rPr>
        <w:fldChar w:fldCharType="begin"/>
      </w:r>
      <w:r w:rsidR="00EC46B4">
        <w:rPr>
          <w:rFonts w:eastAsia="Calibri"/>
          <w:lang w:val="en-AU"/>
        </w:rPr>
        <w:instrText xml:space="preserve"> REF _Ref459146103 \h </w:instrText>
      </w:r>
      <w:r w:rsidR="00EC46B4">
        <w:rPr>
          <w:rFonts w:eastAsia="Calibri"/>
          <w:lang w:val="en-AU"/>
        </w:rPr>
      </w:r>
      <w:r w:rsidR="00EC46B4">
        <w:rPr>
          <w:rFonts w:eastAsia="Calibri"/>
          <w:lang w:val="en-AU"/>
        </w:rPr>
        <w:fldChar w:fldCharType="separate"/>
      </w:r>
      <w:r w:rsidR="007F5336" w:rsidRPr="00D25F94">
        <w:t xml:space="preserve">Table </w:t>
      </w:r>
      <w:r w:rsidR="007F5336">
        <w:rPr>
          <w:noProof/>
        </w:rPr>
        <w:t>4</w:t>
      </w:r>
      <w:r w:rsidR="007F5336">
        <w:noBreakHyphen/>
      </w:r>
      <w:r w:rsidR="007F5336">
        <w:rPr>
          <w:noProof/>
        </w:rPr>
        <w:t>2</w:t>
      </w:r>
      <w:r w:rsidR="00EC46B4">
        <w:rPr>
          <w:rFonts w:eastAsia="Calibri"/>
          <w:lang w:val="en-AU"/>
        </w:rPr>
        <w:fldChar w:fldCharType="end"/>
      </w:r>
      <w:r w:rsidR="00EC46B4">
        <w:rPr>
          <w:rFonts w:eastAsia="Calibri"/>
          <w:lang w:val="en-AU"/>
        </w:rPr>
        <w:t xml:space="preserve"> </w:t>
      </w:r>
      <w:r w:rsidR="005067A9">
        <w:rPr>
          <w:rFonts w:eastAsia="Calibri"/>
          <w:lang w:val="en-AU"/>
        </w:rPr>
        <w:t xml:space="preserve">provide </w:t>
      </w:r>
      <w:r w:rsidR="008E4D85">
        <w:rPr>
          <w:rFonts w:eastAsia="Calibri"/>
          <w:lang w:val="en-AU"/>
        </w:rPr>
        <w:t xml:space="preserve">an overview of the geographic locations of the </w:t>
      </w:r>
      <w:r w:rsidR="005067A9">
        <w:rPr>
          <w:rFonts w:eastAsia="Calibri"/>
          <w:lang w:val="en-AU"/>
        </w:rPr>
        <w:t xml:space="preserve">current </w:t>
      </w:r>
      <w:r w:rsidR="008E4D85">
        <w:rPr>
          <w:rFonts w:eastAsia="Calibri"/>
          <w:lang w:val="en-AU"/>
        </w:rPr>
        <w:t>sampling sites.</w:t>
      </w:r>
    </w:p>
    <w:p w14:paraId="67F49E43" w14:textId="2E11EBFA" w:rsidR="005067A9" w:rsidRPr="00842CA3" w:rsidRDefault="0093048D" w:rsidP="005067A9">
      <w:pPr>
        <w:rPr>
          <w:lang w:val="en-AU"/>
        </w:rPr>
      </w:pPr>
      <w:r>
        <w:rPr>
          <w:lang w:val="en-AU"/>
        </w:rPr>
        <w:t>The list of parameters sampling in the program is provided in</w:t>
      </w:r>
      <w:r w:rsidR="00EC46B4">
        <w:rPr>
          <w:lang w:val="en-AU"/>
        </w:rPr>
        <w:t xml:space="preserve"> </w:t>
      </w:r>
      <w:r w:rsidR="00EC46B4">
        <w:rPr>
          <w:lang w:val="en-AU"/>
        </w:rPr>
        <w:fldChar w:fldCharType="begin"/>
      </w:r>
      <w:r w:rsidR="00EC46B4">
        <w:rPr>
          <w:lang w:val="en-AU"/>
        </w:rPr>
        <w:instrText xml:space="preserve"> REF _Ref459146115 \h </w:instrText>
      </w:r>
      <w:r w:rsidR="00EC46B4">
        <w:rPr>
          <w:lang w:val="en-AU"/>
        </w:rPr>
      </w:r>
      <w:r w:rsidR="00EC46B4">
        <w:rPr>
          <w:lang w:val="en-AU"/>
        </w:rPr>
        <w:fldChar w:fldCharType="separate"/>
      </w:r>
      <w:r w:rsidR="007F5336" w:rsidRPr="009C0725">
        <w:t xml:space="preserve">Table </w:t>
      </w:r>
      <w:r w:rsidR="007F5336">
        <w:rPr>
          <w:noProof/>
        </w:rPr>
        <w:t>4</w:t>
      </w:r>
      <w:r w:rsidR="007F5336">
        <w:noBreakHyphen/>
      </w:r>
      <w:r w:rsidR="007F5336">
        <w:rPr>
          <w:noProof/>
        </w:rPr>
        <w:t>3</w:t>
      </w:r>
      <w:r w:rsidR="00EC46B4">
        <w:rPr>
          <w:lang w:val="en-AU"/>
        </w:rPr>
        <w:fldChar w:fldCharType="end"/>
      </w:r>
      <w:r>
        <w:rPr>
          <w:lang w:val="en-AU"/>
        </w:rPr>
        <w:t>, and includes</w:t>
      </w:r>
      <w:r w:rsidR="005067A9">
        <w:rPr>
          <w:lang w:val="en-AU"/>
        </w:rPr>
        <w:t xml:space="preserve">: </w:t>
      </w:r>
    </w:p>
    <w:p w14:paraId="2E685C03" w14:textId="3E5FE40E" w:rsidR="005067A9" w:rsidRDefault="0093048D" w:rsidP="004A5BF7">
      <w:pPr>
        <w:pStyle w:val="ListParagraph"/>
        <w:numPr>
          <w:ilvl w:val="0"/>
          <w:numId w:val="2"/>
        </w:numPr>
        <w:spacing w:before="0"/>
        <w:ind w:left="777" w:hanging="357"/>
        <w:contextualSpacing w:val="0"/>
        <w:rPr>
          <w:rFonts w:cs="Arial"/>
          <w:szCs w:val="22"/>
          <w:lang w:val="en-AU"/>
        </w:rPr>
      </w:pPr>
      <w:r>
        <w:rPr>
          <w:rFonts w:cs="Arial"/>
          <w:szCs w:val="22"/>
          <w:lang w:val="en-AU"/>
        </w:rPr>
        <w:t>Continuous measurement of s</w:t>
      </w:r>
      <w:r w:rsidR="005067A9" w:rsidRPr="00842CA3">
        <w:rPr>
          <w:rFonts w:cs="Arial"/>
          <w:szCs w:val="22"/>
          <w:lang w:val="en-AU"/>
        </w:rPr>
        <w:t xml:space="preserve">alinity at 8 </w:t>
      </w:r>
      <w:r w:rsidR="005067A9">
        <w:rPr>
          <w:rFonts w:cs="Arial"/>
          <w:szCs w:val="22"/>
          <w:lang w:val="en-AU"/>
        </w:rPr>
        <w:t>stations</w:t>
      </w:r>
      <w:r>
        <w:rPr>
          <w:rFonts w:cs="Arial"/>
          <w:szCs w:val="22"/>
          <w:lang w:val="en-AU"/>
        </w:rPr>
        <w:t>;</w:t>
      </w:r>
    </w:p>
    <w:p w14:paraId="084332F9" w14:textId="30567409" w:rsidR="005067A9" w:rsidRPr="00842CA3" w:rsidRDefault="0093048D" w:rsidP="004A5BF7">
      <w:pPr>
        <w:pStyle w:val="ListParagraph"/>
        <w:numPr>
          <w:ilvl w:val="0"/>
          <w:numId w:val="2"/>
        </w:numPr>
        <w:spacing w:before="0"/>
        <w:ind w:left="777" w:hanging="357"/>
        <w:contextualSpacing w:val="0"/>
        <w:rPr>
          <w:rFonts w:cs="Arial"/>
          <w:szCs w:val="22"/>
          <w:lang w:val="en-AU"/>
        </w:rPr>
      </w:pPr>
      <w:r>
        <w:rPr>
          <w:rFonts w:cs="Arial"/>
          <w:szCs w:val="22"/>
          <w:lang w:val="en-AU"/>
        </w:rPr>
        <w:t xml:space="preserve">Continuous measurement of </w:t>
      </w:r>
      <w:r w:rsidR="005067A9" w:rsidRPr="00842CA3">
        <w:rPr>
          <w:rFonts w:cs="Arial"/>
          <w:szCs w:val="22"/>
          <w:lang w:val="en-AU"/>
        </w:rPr>
        <w:t xml:space="preserve">Chlorophyll a and </w:t>
      </w:r>
      <w:r w:rsidR="005067A9">
        <w:rPr>
          <w:rFonts w:cs="Arial"/>
          <w:szCs w:val="22"/>
          <w:lang w:val="en-AU"/>
        </w:rPr>
        <w:t>t</w:t>
      </w:r>
      <w:r w:rsidR="005067A9" w:rsidRPr="00842CA3">
        <w:rPr>
          <w:rFonts w:cs="Arial"/>
          <w:szCs w:val="22"/>
          <w:lang w:val="en-AU"/>
        </w:rPr>
        <w:t>urbidity at 15 stations</w:t>
      </w:r>
      <w:r>
        <w:rPr>
          <w:rFonts w:cs="Arial"/>
          <w:szCs w:val="22"/>
          <w:lang w:val="en-AU"/>
        </w:rPr>
        <w:t>;</w:t>
      </w:r>
    </w:p>
    <w:p w14:paraId="15072ED6" w14:textId="4DDFE684" w:rsidR="005067A9" w:rsidRPr="00842CA3" w:rsidRDefault="005067A9" w:rsidP="004A5BF7">
      <w:pPr>
        <w:pStyle w:val="ListParagraph"/>
        <w:numPr>
          <w:ilvl w:val="0"/>
          <w:numId w:val="2"/>
        </w:numPr>
        <w:spacing w:before="0"/>
        <w:ind w:left="777" w:hanging="357"/>
        <w:contextualSpacing w:val="0"/>
        <w:rPr>
          <w:rFonts w:cs="Arial"/>
          <w:szCs w:val="22"/>
          <w:lang w:val="en-AU"/>
        </w:rPr>
      </w:pPr>
      <w:r w:rsidRPr="00842CA3">
        <w:rPr>
          <w:rFonts w:cs="Arial"/>
          <w:szCs w:val="22"/>
          <w:lang w:val="en-AU"/>
        </w:rPr>
        <w:t xml:space="preserve">32 stations sampled during the </w:t>
      </w:r>
      <w:r>
        <w:rPr>
          <w:rFonts w:cs="Arial"/>
          <w:szCs w:val="22"/>
          <w:lang w:val="en-AU"/>
        </w:rPr>
        <w:t>year with more frequent sampling during the wet season</w:t>
      </w:r>
      <w:r w:rsidR="0093048D">
        <w:rPr>
          <w:rFonts w:cs="Arial"/>
          <w:szCs w:val="22"/>
          <w:lang w:val="en-AU"/>
        </w:rPr>
        <w:t>; and</w:t>
      </w:r>
    </w:p>
    <w:p w14:paraId="4F9C79F2" w14:textId="6F6C880F" w:rsidR="005067A9" w:rsidRPr="00842CA3" w:rsidRDefault="005067A9" w:rsidP="004A5BF7">
      <w:pPr>
        <w:pStyle w:val="ListParagraph"/>
        <w:numPr>
          <w:ilvl w:val="0"/>
          <w:numId w:val="2"/>
        </w:numPr>
        <w:spacing w:before="0"/>
        <w:ind w:left="777" w:hanging="357"/>
        <w:contextualSpacing w:val="0"/>
        <w:rPr>
          <w:rFonts w:cs="Arial"/>
          <w:szCs w:val="22"/>
          <w:lang w:val="en-AU"/>
        </w:rPr>
      </w:pPr>
      <w:r>
        <w:rPr>
          <w:rFonts w:cs="Arial"/>
          <w:szCs w:val="22"/>
          <w:lang w:val="en-AU"/>
        </w:rPr>
        <w:t>27 additional</w:t>
      </w:r>
      <w:r w:rsidRPr="00842CA3">
        <w:rPr>
          <w:rFonts w:cs="Arial"/>
          <w:szCs w:val="22"/>
          <w:lang w:val="en-AU"/>
        </w:rPr>
        <w:t xml:space="preserve"> stations sampled during high flow conditions</w:t>
      </w:r>
      <w:r>
        <w:rPr>
          <w:rFonts w:cs="Arial"/>
          <w:szCs w:val="22"/>
          <w:lang w:val="en-AU"/>
        </w:rPr>
        <w:t xml:space="preserve"> (flood response)</w:t>
      </w:r>
      <w:r w:rsidR="0093048D">
        <w:rPr>
          <w:rFonts w:cs="Arial"/>
          <w:szCs w:val="22"/>
          <w:lang w:val="en-AU"/>
        </w:rPr>
        <w:t>.</w:t>
      </w:r>
    </w:p>
    <w:p w14:paraId="0405CAA4" w14:textId="4B1BE2C8" w:rsidR="008E4D85" w:rsidRPr="00762D01" w:rsidRDefault="00EC46B4" w:rsidP="004A5BF7">
      <w:pPr>
        <w:rPr>
          <w:lang w:val="en-AU" w:eastAsia="en-AU"/>
        </w:rPr>
      </w:pPr>
      <w:r>
        <w:rPr>
          <w:noProof/>
          <w:lang w:val="en-AU" w:eastAsia="en-AU"/>
        </w:rPr>
        <w:drawing>
          <wp:anchor distT="0" distB="0" distL="114300" distR="114300" simplePos="0" relativeHeight="251670016" behindDoc="0" locked="0" layoutInCell="1" allowOverlap="1" wp14:anchorId="5FB0BDE0" wp14:editId="7C25D172">
            <wp:simplePos x="0" y="0"/>
            <wp:positionH relativeFrom="column">
              <wp:posOffset>642620</wp:posOffset>
            </wp:positionH>
            <wp:positionV relativeFrom="paragraph">
              <wp:posOffset>435610</wp:posOffset>
            </wp:positionV>
            <wp:extent cx="4364355" cy="5537200"/>
            <wp:effectExtent l="0" t="0" r="0" b="6350"/>
            <wp:wrapTopAndBottom/>
            <wp:docPr id="24" name="Picture 2" descr="Map showing sampling locations of the MMP water quality monitoring sampled from 2015 onwards. Refer to Figure 3-1 for river names. See Table 4-1 for details of the monitoring activities undertaken at each location. NRM region boundaries are represented by coloured catchment areas." title="monitoring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6" name="Picture 2"/>
                    <pic:cNvPicPr>
                      <a:picLocks noChangeAspect="1" noChangeArrowheads="1"/>
                    </pic:cNvPicPr>
                  </pic:nvPicPr>
                  <pic:blipFill>
                    <a:blip r:embed="rId297">
                      <a:extLst>
                        <a:ext uri="{28A0092B-C50C-407E-A947-70E740481C1C}">
                          <a14:useLocalDpi xmlns:a14="http://schemas.microsoft.com/office/drawing/2010/main" val="0"/>
                        </a:ext>
                      </a:extLst>
                    </a:blip>
                    <a:srcRect/>
                    <a:stretch>
                      <a:fillRect/>
                    </a:stretch>
                  </pic:blipFill>
                  <pic:spPr bwMode="auto">
                    <a:xfrm>
                      <a:off x="0" y="0"/>
                      <a:ext cx="4364355" cy="5537200"/>
                    </a:xfrm>
                    <a:prstGeom prst="rect">
                      <a:avLst/>
                    </a:prstGeom>
                    <a:noFill/>
                    <a:extLst/>
                  </pic:spPr>
                </pic:pic>
              </a:graphicData>
            </a:graphic>
            <wp14:sizeRelH relativeFrom="page">
              <wp14:pctWidth>0</wp14:pctWidth>
            </wp14:sizeRelH>
            <wp14:sizeRelV relativeFrom="page">
              <wp14:pctHeight>0</wp14:pctHeight>
            </wp14:sizeRelV>
          </wp:anchor>
        </w:drawing>
      </w:r>
      <w:r w:rsidR="0093048D" w:rsidRPr="0093048D">
        <w:rPr>
          <w:rFonts w:cs="Arial"/>
          <w:szCs w:val="22"/>
          <w:lang w:val="en-AU"/>
        </w:rPr>
        <w:t xml:space="preserve">Temperature is </w:t>
      </w:r>
      <w:r w:rsidR="0093048D">
        <w:rPr>
          <w:rFonts w:cs="Arial"/>
          <w:szCs w:val="22"/>
          <w:lang w:val="en-AU"/>
        </w:rPr>
        <w:t xml:space="preserve">also </w:t>
      </w:r>
      <w:r w:rsidR="0093048D" w:rsidRPr="0093048D">
        <w:rPr>
          <w:rFonts w:cs="Arial"/>
          <w:szCs w:val="22"/>
          <w:lang w:val="en-AU"/>
        </w:rPr>
        <w:t>continuously monitored at 33 stations (as part of the inshore coral reef monitoring</w:t>
      </w:r>
      <w:r w:rsidR="0093048D">
        <w:rPr>
          <w:rFonts w:cs="Arial"/>
          <w:szCs w:val="22"/>
          <w:lang w:val="en-AU"/>
        </w:rPr>
        <w:t xml:space="preserve"> program.</w:t>
      </w:r>
    </w:p>
    <w:p w14:paraId="234A6159" w14:textId="18C6168E" w:rsidR="008E4D85" w:rsidRPr="004A5BF7" w:rsidRDefault="008E4D85" w:rsidP="00EC46B4">
      <w:pPr>
        <w:pStyle w:val="Caption"/>
      </w:pPr>
      <w:bookmarkStart w:id="149" w:name="_Ref459146034"/>
      <w:bookmarkStart w:id="150" w:name="_Toc459332354"/>
      <w:r w:rsidRPr="00390310">
        <w:t xml:space="preserve">Figure </w:t>
      </w:r>
      <w:r w:rsidR="00C62884">
        <w:fldChar w:fldCharType="begin"/>
      </w:r>
      <w:r w:rsidR="00C62884">
        <w:instrText xml:space="preserve"> STYLEREF 1 \s </w:instrText>
      </w:r>
      <w:r w:rsidR="00C62884">
        <w:fldChar w:fldCharType="separate"/>
      </w:r>
      <w:r w:rsidR="007F5336">
        <w:rPr>
          <w:noProof/>
        </w:rPr>
        <w:t>4</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1</w:t>
      </w:r>
      <w:r w:rsidR="00C62884">
        <w:fldChar w:fldCharType="end"/>
      </w:r>
      <w:bookmarkEnd w:id="149"/>
      <w:r w:rsidRPr="00390310">
        <w:t>: Sampling locations of the MMP water quality monitoring sampled from 2015 onwards</w:t>
      </w:r>
      <w:r w:rsidRPr="00CF0BE8">
        <w:t>.</w:t>
      </w:r>
      <w:r w:rsidR="00862D84">
        <w:t xml:space="preserve"> </w:t>
      </w:r>
      <w:r w:rsidR="00BF4890">
        <w:t>Refer to Figure 3-1 for river names.</w:t>
      </w:r>
      <w:r w:rsidR="007B5205">
        <w:t xml:space="preserve"> </w:t>
      </w:r>
      <w:r w:rsidRPr="004A5BF7">
        <w:t xml:space="preserve">See Table 4-1 for details of the monitoring activities undertaken at each location. NRM </w:t>
      </w:r>
      <w:r w:rsidR="00C604C2" w:rsidRPr="004A5BF7">
        <w:t>r</w:t>
      </w:r>
      <w:r w:rsidRPr="004A5BF7">
        <w:t>egion boundaries are represented by coloured catchment areas.</w:t>
      </w:r>
      <w:bookmarkEnd w:id="150"/>
    </w:p>
    <w:p w14:paraId="77855DE2" w14:textId="77777777" w:rsidR="008E4D85" w:rsidRDefault="008E4D85" w:rsidP="008E4D85">
      <w:pPr>
        <w:spacing w:before="0" w:after="0"/>
        <w:jc w:val="left"/>
        <w:rPr>
          <w:rFonts w:eastAsia="SimSun"/>
          <w:b/>
          <w:sz w:val="18"/>
          <w:szCs w:val="24"/>
          <w:lang w:val="en-AU"/>
        </w:rPr>
      </w:pPr>
    </w:p>
    <w:p w14:paraId="651F1E19" w14:textId="77DD8449" w:rsidR="00C25EF7" w:rsidRPr="00EC46B4" w:rsidRDefault="008E4D85" w:rsidP="00EC46B4">
      <w:pPr>
        <w:pStyle w:val="Caption"/>
      </w:pPr>
      <w:bookmarkStart w:id="151" w:name="_Ref459146094"/>
      <w:bookmarkStart w:id="152" w:name="_Ref452309084"/>
      <w:bookmarkStart w:id="153" w:name="_Toc459332152"/>
      <w:r w:rsidRPr="00EC46B4">
        <w:t xml:space="preserve">Table </w:t>
      </w:r>
      <w:r w:rsidR="00124249">
        <w:fldChar w:fldCharType="begin"/>
      </w:r>
      <w:r w:rsidR="00124249">
        <w:instrText xml:space="preserve"> STYLEREF 1 \s </w:instrText>
      </w:r>
      <w:r w:rsidR="00124249">
        <w:fldChar w:fldCharType="separate"/>
      </w:r>
      <w:r w:rsidR="007F5336">
        <w:rPr>
          <w:noProof/>
        </w:rPr>
        <w:t>4</w:t>
      </w:r>
      <w:r w:rsidR="00124249">
        <w:fldChar w:fldCharType="end"/>
      </w:r>
      <w:r w:rsidR="00124249">
        <w:noBreakHyphen/>
      </w:r>
      <w:r w:rsidR="00124249">
        <w:fldChar w:fldCharType="begin"/>
      </w:r>
      <w:r w:rsidR="00124249">
        <w:instrText xml:space="preserve"> SEQ Table \* ARABIC \s 1 </w:instrText>
      </w:r>
      <w:r w:rsidR="00124249">
        <w:fldChar w:fldCharType="separate"/>
      </w:r>
      <w:r w:rsidR="007F5336">
        <w:rPr>
          <w:noProof/>
        </w:rPr>
        <w:t>1</w:t>
      </w:r>
      <w:r w:rsidR="00124249">
        <w:fldChar w:fldCharType="end"/>
      </w:r>
      <w:bookmarkEnd w:id="151"/>
      <w:bookmarkEnd w:id="152"/>
      <w:r w:rsidRPr="00EC46B4">
        <w:t>: Description of the water quality (WQ) stations sampled by AIMS and JCU in 20</w:t>
      </w:r>
      <w:r w:rsidR="00B87C4A" w:rsidRPr="00EC46B4">
        <w:t>1</w:t>
      </w:r>
      <w:r w:rsidRPr="00EC46B4">
        <w:t>4-15</w:t>
      </w:r>
      <w:r w:rsidRPr="004A5BF7">
        <w:rPr>
          <w:rStyle w:val="IntenseReference"/>
          <w:bCs w:val="0"/>
          <w:color w:val="auto"/>
          <w:lang w:val="en-US"/>
        </w:rPr>
        <w:t>.</w:t>
      </w:r>
      <w:bookmarkEnd w:id="153"/>
      <w:r w:rsidRPr="004A5BF7">
        <w:rPr>
          <w:rStyle w:val="IntenseReference"/>
          <w:bCs w:val="0"/>
          <w:color w:val="auto"/>
          <w:lang w:val="en-US"/>
        </w:rPr>
        <w:t xml:space="preserve"> </w:t>
      </w:r>
      <w:r w:rsidRPr="004A5BF7">
        <w:t>Stations in bold font were part of the ambient monitoring design from 2005-2014.</w:t>
      </w:r>
      <w:r w:rsidR="00CD00BE" w:rsidRPr="004A5BF7">
        <w:t xml:space="preserve"> See Table 4-</w:t>
      </w:r>
      <w:r w:rsidR="00862D84" w:rsidRPr="004A5BF7">
        <w:t>3</w:t>
      </w:r>
      <w:r w:rsidR="00CD00BE" w:rsidRPr="004A5BF7">
        <w:t xml:space="preserve"> for the parameters collected.</w:t>
      </w:r>
    </w:p>
    <w:tbl>
      <w:tblPr>
        <w:tblW w:w="98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4 1: Description of the water quality (WQ) stations sampled by AIMS and JCU in 2014-15. Stations in bold font were part of the ambient monitoring design from 2005-2014. "/>
        <w:tblDescription w:val="Description of the water quality (WQ) stations sampled by AIMS and JCU in 2014-15. Stations in bold font were part of the ambient monitoring design from 2005-2014. See Table 4-3 for the parameters collected."/>
      </w:tblPr>
      <w:tblGrid>
        <w:gridCol w:w="767"/>
        <w:gridCol w:w="3484"/>
        <w:gridCol w:w="1276"/>
        <w:gridCol w:w="959"/>
        <w:gridCol w:w="1176"/>
        <w:gridCol w:w="1104"/>
        <w:gridCol w:w="1111"/>
      </w:tblGrid>
      <w:tr w:rsidR="00EC2DF4" w:rsidRPr="00EC2DF4" w14:paraId="787B366B" w14:textId="77777777" w:rsidTr="00F824BE">
        <w:trPr>
          <w:cantSplit/>
          <w:trHeight w:val="787"/>
          <w:tblHeader/>
          <w:jc w:val="center"/>
        </w:trPr>
        <w:tc>
          <w:tcPr>
            <w:tcW w:w="767" w:type="dxa"/>
            <w:vMerge w:val="restart"/>
            <w:tcBorders>
              <w:top w:val="single" w:sz="4" w:space="0" w:color="auto"/>
              <w:left w:val="single" w:sz="4" w:space="0" w:color="auto"/>
              <w:right w:val="single" w:sz="4" w:space="0" w:color="auto"/>
            </w:tcBorders>
            <w:shd w:val="clear" w:color="auto" w:fill="D9D9D9"/>
            <w:vAlign w:val="center"/>
          </w:tcPr>
          <w:p w14:paraId="07F1C4FE" w14:textId="68FC86D8" w:rsidR="00EC2DF4" w:rsidRDefault="00EC2DF4" w:rsidP="00EC2DF4">
            <w:pPr>
              <w:spacing w:beforeLines="20" w:before="48" w:afterLines="20" w:after="48"/>
              <w:jc w:val="center"/>
              <w:rPr>
                <w:rFonts w:cs="Arial"/>
                <w:b/>
                <w:bCs/>
                <w:color w:val="000000"/>
                <w:sz w:val="18"/>
                <w:szCs w:val="18"/>
                <w:lang w:val="en-US" w:eastAsia="en-AU"/>
              </w:rPr>
            </w:pPr>
            <w:r>
              <w:rPr>
                <w:rFonts w:cs="Arial"/>
                <w:b/>
                <w:bCs/>
                <w:color w:val="000000"/>
                <w:sz w:val="18"/>
                <w:szCs w:val="18"/>
                <w:lang w:val="en-US" w:eastAsia="en-AU"/>
              </w:rPr>
              <w:t>NRM region</w:t>
            </w:r>
          </w:p>
        </w:tc>
        <w:tc>
          <w:tcPr>
            <w:tcW w:w="3484" w:type="dxa"/>
            <w:vMerge w:val="restart"/>
            <w:tcBorders>
              <w:top w:val="single" w:sz="4" w:space="0" w:color="auto"/>
              <w:left w:val="single" w:sz="4" w:space="0" w:color="auto"/>
              <w:right w:val="single" w:sz="4" w:space="0" w:color="auto"/>
            </w:tcBorders>
            <w:shd w:val="clear" w:color="auto" w:fill="D9D9D9"/>
            <w:noWrap/>
            <w:vAlign w:val="center"/>
          </w:tcPr>
          <w:p w14:paraId="611EFFEA" w14:textId="388B1BA1" w:rsidR="00EC2DF4" w:rsidRDefault="00EC2DF4" w:rsidP="00EC2DF4">
            <w:pPr>
              <w:spacing w:beforeLines="20" w:before="48" w:afterLines="20" w:after="48"/>
              <w:jc w:val="left"/>
              <w:rPr>
                <w:rFonts w:cs="Arial"/>
                <w:b/>
                <w:bCs/>
                <w:color w:val="000000"/>
                <w:sz w:val="18"/>
                <w:szCs w:val="18"/>
                <w:lang w:val="en-US" w:eastAsia="en-AU"/>
              </w:rPr>
            </w:pPr>
            <w:r>
              <w:rPr>
                <w:rFonts w:cs="Arial"/>
                <w:b/>
                <w:bCs/>
                <w:color w:val="000000"/>
                <w:sz w:val="18"/>
                <w:szCs w:val="18"/>
                <w:lang w:val="en-US" w:eastAsia="en-AU"/>
              </w:rPr>
              <w:t>Location</w:t>
            </w:r>
          </w:p>
        </w:tc>
        <w:tc>
          <w:tcPr>
            <w:tcW w:w="2235"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0048E8B6" w14:textId="41DA261D" w:rsidR="00EC2DF4" w:rsidRPr="00C25EF7" w:rsidRDefault="00EC2DF4" w:rsidP="00EC2DF4">
            <w:pPr>
              <w:spacing w:beforeLines="20" w:before="48" w:afterLines="20" w:after="48"/>
              <w:jc w:val="center"/>
              <w:rPr>
                <w:rFonts w:cs="Arial"/>
                <w:b/>
                <w:bCs/>
                <w:color w:val="000000"/>
                <w:sz w:val="18"/>
                <w:szCs w:val="18"/>
                <w:lang w:val="en-US" w:eastAsia="en-AU"/>
              </w:rPr>
            </w:pPr>
            <w:r>
              <w:rPr>
                <w:rFonts w:cs="Arial"/>
                <w:b/>
                <w:bCs/>
                <w:color w:val="000000"/>
                <w:sz w:val="18"/>
                <w:szCs w:val="18"/>
                <w:lang w:val="en-US" w:eastAsia="en-AU"/>
              </w:rPr>
              <w:t>Loggers</w:t>
            </w:r>
          </w:p>
        </w:tc>
        <w:tc>
          <w:tcPr>
            <w:tcW w:w="2280"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0ACC456A" w14:textId="0539A72E" w:rsidR="00EC2DF4" w:rsidRPr="00EC2DF4" w:rsidRDefault="00EC2DF4" w:rsidP="00EC2DF4">
            <w:pPr>
              <w:spacing w:beforeLines="20" w:before="48" w:afterLines="20" w:after="48"/>
              <w:jc w:val="center"/>
              <w:rPr>
                <w:rFonts w:cs="Arial"/>
                <w:b/>
                <w:sz w:val="18"/>
                <w:szCs w:val="18"/>
                <w:lang w:val="en-US"/>
              </w:rPr>
            </w:pPr>
            <w:r>
              <w:rPr>
                <w:rFonts w:cs="Arial"/>
                <w:b/>
                <w:sz w:val="18"/>
                <w:szCs w:val="18"/>
                <w:lang w:val="en-US"/>
              </w:rPr>
              <w:t>Routine sampling throughout the year with higher frequency in wet season</w:t>
            </w:r>
          </w:p>
        </w:tc>
        <w:tc>
          <w:tcPr>
            <w:tcW w:w="1111" w:type="dxa"/>
            <w:tcBorders>
              <w:top w:val="single" w:sz="4" w:space="0" w:color="auto"/>
              <w:left w:val="single" w:sz="4" w:space="0" w:color="auto"/>
              <w:bottom w:val="single" w:sz="4" w:space="0" w:color="auto"/>
              <w:right w:val="single" w:sz="4" w:space="0" w:color="auto"/>
            </w:tcBorders>
            <w:shd w:val="clear" w:color="auto" w:fill="D9D9D9"/>
            <w:vAlign w:val="center"/>
          </w:tcPr>
          <w:p w14:paraId="598FB0B7" w14:textId="12CF6230" w:rsidR="00EC2DF4" w:rsidRPr="00EC2DF4" w:rsidRDefault="00EC2DF4" w:rsidP="00EC2DF4">
            <w:pPr>
              <w:spacing w:beforeLines="20" w:before="48" w:afterLines="20" w:after="48"/>
              <w:jc w:val="center"/>
              <w:rPr>
                <w:rFonts w:cs="Arial"/>
                <w:b/>
                <w:sz w:val="18"/>
                <w:szCs w:val="18"/>
                <w:lang w:val="en-US"/>
              </w:rPr>
            </w:pPr>
            <w:r w:rsidRPr="00687549">
              <w:rPr>
                <w:rFonts w:cs="Arial"/>
                <w:b/>
                <w:sz w:val="18"/>
                <w:szCs w:val="18"/>
                <w:lang w:val="en-US"/>
              </w:rPr>
              <w:t>Flood response</w:t>
            </w:r>
            <w:r w:rsidRPr="00C25EF7">
              <w:rPr>
                <w:rFonts w:cs="Arial"/>
                <w:b/>
                <w:sz w:val="18"/>
                <w:szCs w:val="18"/>
                <w:lang w:val="en-US"/>
              </w:rPr>
              <w:t xml:space="preserve"> sampling</w:t>
            </w:r>
          </w:p>
        </w:tc>
      </w:tr>
      <w:tr w:rsidR="00EC2DF4" w:rsidRPr="00EC2DF4" w14:paraId="7F1E173A" w14:textId="77777777" w:rsidTr="00F824BE">
        <w:trPr>
          <w:cantSplit/>
          <w:trHeight w:val="646"/>
          <w:tblHeader/>
          <w:jc w:val="center"/>
        </w:trPr>
        <w:tc>
          <w:tcPr>
            <w:tcW w:w="767" w:type="dxa"/>
            <w:vMerge/>
            <w:tcBorders>
              <w:left w:val="single" w:sz="4" w:space="0" w:color="auto"/>
              <w:bottom w:val="single" w:sz="4" w:space="0" w:color="auto"/>
              <w:right w:val="single" w:sz="4" w:space="0" w:color="auto"/>
            </w:tcBorders>
            <w:shd w:val="clear" w:color="auto" w:fill="D9D9D9"/>
            <w:vAlign w:val="center"/>
          </w:tcPr>
          <w:p w14:paraId="601AF741" w14:textId="744DD54B" w:rsidR="00EC2DF4" w:rsidRDefault="00EC2DF4" w:rsidP="004A5BF7">
            <w:pPr>
              <w:spacing w:beforeLines="20" w:before="48" w:afterLines="20" w:after="48"/>
              <w:jc w:val="center"/>
              <w:rPr>
                <w:rFonts w:cs="Arial"/>
                <w:b/>
                <w:bCs/>
                <w:color w:val="000000"/>
                <w:sz w:val="18"/>
                <w:szCs w:val="18"/>
                <w:lang w:val="en-US" w:eastAsia="en-AU"/>
              </w:rPr>
            </w:pPr>
          </w:p>
        </w:tc>
        <w:tc>
          <w:tcPr>
            <w:tcW w:w="3484" w:type="dxa"/>
            <w:vMerge/>
            <w:tcBorders>
              <w:left w:val="single" w:sz="4" w:space="0" w:color="auto"/>
              <w:bottom w:val="single" w:sz="4" w:space="0" w:color="auto"/>
              <w:right w:val="single" w:sz="4" w:space="0" w:color="auto"/>
            </w:tcBorders>
            <w:shd w:val="clear" w:color="auto" w:fill="D9D9D9"/>
            <w:noWrap/>
            <w:vAlign w:val="center"/>
            <w:hideMark/>
          </w:tcPr>
          <w:p w14:paraId="56B0F382" w14:textId="4CB0DFEB" w:rsidR="00EC2DF4" w:rsidRPr="00C25EF7" w:rsidRDefault="00EC2DF4" w:rsidP="004A5BF7">
            <w:pPr>
              <w:spacing w:beforeLines="20" w:before="48" w:afterLines="20" w:after="48"/>
              <w:jc w:val="left"/>
              <w:rPr>
                <w:rFonts w:cs="Arial"/>
                <w:b/>
                <w:bCs/>
                <w:color w:val="000000"/>
                <w:sz w:val="18"/>
                <w:szCs w:val="18"/>
                <w:lang w:val="en-US" w:eastAsia="en-AU"/>
              </w:rPr>
            </w:pPr>
          </w:p>
        </w:tc>
        <w:tc>
          <w:tcPr>
            <w:tcW w:w="1276"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5CA022B" w14:textId="00E427F6" w:rsidR="00EC2DF4" w:rsidRPr="00C25EF7" w:rsidRDefault="00EC2DF4" w:rsidP="00C604C2">
            <w:pPr>
              <w:spacing w:beforeLines="20" w:before="48" w:afterLines="20" w:after="48"/>
              <w:jc w:val="center"/>
              <w:rPr>
                <w:rFonts w:cs="Arial"/>
                <w:b/>
                <w:bCs/>
                <w:color w:val="000000"/>
                <w:sz w:val="18"/>
                <w:szCs w:val="18"/>
                <w:lang w:val="en-US" w:eastAsia="en-AU"/>
              </w:rPr>
            </w:pPr>
            <w:r w:rsidRPr="00C25EF7">
              <w:rPr>
                <w:rFonts w:cs="Arial"/>
                <w:b/>
                <w:bCs/>
                <w:color w:val="000000"/>
                <w:sz w:val="18"/>
                <w:szCs w:val="18"/>
                <w:lang w:val="en-US" w:eastAsia="en-AU"/>
              </w:rPr>
              <w:t>Turbidity and chlorophyll</w:t>
            </w:r>
          </w:p>
        </w:tc>
        <w:tc>
          <w:tcPr>
            <w:tcW w:w="95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1C1D0A3" w14:textId="663F09A2" w:rsidR="00EC2DF4" w:rsidRPr="00C25EF7" w:rsidRDefault="00EC2DF4" w:rsidP="00C604C2">
            <w:pPr>
              <w:spacing w:beforeLines="20" w:before="48" w:afterLines="20" w:after="48"/>
              <w:jc w:val="center"/>
              <w:rPr>
                <w:rFonts w:cs="Arial"/>
                <w:b/>
                <w:bCs/>
                <w:color w:val="000000"/>
                <w:sz w:val="18"/>
                <w:szCs w:val="18"/>
                <w:lang w:val="en-US" w:eastAsia="en-AU"/>
              </w:rPr>
            </w:pPr>
            <w:r w:rsidRPr="00C25EF7">
              <w:rPr>
                <w:rFonts w:cs="Arial"/>
                <w:b/>
                <w:bCs/>
                <w:color w:val="000000"/>
                <w:sz w:val="18"/>
                <w:szCs w:val="18"/>
                <w:lang w:val="en-US" w:eastAsia="en-AU"/>
              </w:rPr>
              <w:t>Salinity</w:t>
            </w:r>
          </w:p>
        </w:tc>
        <w:tc>
          <w:tcPr>
            <w:tcW w:w="1176"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36DCCB6" w14:textId="461FAFE9" w:rsidR="00EC2DF4" w:rsidRPr="00C25EF7" w:rsidRDefault="00EC2DF4" w:rsidP="00C604C2">
            <w:pPr>
              <w:spacing w:beforeLines="20" w:before="48" w:afterLines="20" w:after="48"/>
              <w:jc w:val="center"/>
              <w:rPr>
                <w:rFonts w:cs="Arial"/>
                <w:b/>
                <w:sz w:val="18"/>
                <w:szCs w:val="18"/>
                <w:lang w:val="en-US"/>
              </w:rPr>
            </w:pPr>
            <w:r w:rsidRPr="00C25EF7">
              <w:rPr>
                <w:rFonts w:cs="Arial"/>
                <w:b/>
                <w:sz w:val="18"/>
                <w:szCs w:val="18"/>
                <w:lang w:val="en-US"/>
              </w:rPr>
              <w:t>AIMS and JCU</w:t>
            </w:r>
          </w:p>
        </w:tc>
        <w:tc>
          <w:tcPr>
            <w:tcW w:w="1104"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653579B" w14:textId="55B5864E" w:rsidR="00EC2DF4" w:rsidRPr="00C25EF7" w:rsidRDefault="00EC2DF4" w:rsidP="00C604C2">
            <w:pPr>
              <w:spacing w:beforeLines="20" w:before="48" w:afterLines="20" w:after="48"/>
              <w:jc w:val="center"/>
              <w:rPr>
                <w:rFonts w:cs="Arial"/>
                <w:b/>
                <w:sz w:val="18"/>
                <w:szCs w:val="18"/>
                <w:lang w:val="en-US"/>
              </w:rPr>
            </w:pPr>
            <w:r w:rsidRPr="00C25EF7">
              <w:rPr>
                <w:rFonts w:cs="Arial"/>
                <w:b/>
                <w:sz w:val="18"/>
                <w:szCs w:val="18"/>
                <w:lang w:val="en-US"/>
              </w:rPr>
              <w:t>AIMS</w:t>
            </w:r>
            <w:r w:rsidRPr="00C604C2">
              <w:rPr>
                <w:rFonts w:cs="Arial"/>
                <w:b/>
                <w:sz w:val="18"/>
                <w:szCs w:val="18"/>
                <w:lang w:val="en-US"/>
              </w:rPr>
              <w:t xml:space="preserve"> only</w:t>
            </w:r>
          </w:p>
        </w:tc>
        <w:tc>
          <w:tcPr>
            <w:tcW w:w="111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654A7F4" w14:textId="3DDCB99B" w:rsidR="00EC2DF4" w:rsidRPr="00C25EF7" w:rsidRDefault="00EC2DF4" w:rsidP="00C604C2">
            <w:pPr>
              <w:spacing w:beforeLines="20" w:before="48" w:afterLines="20" w:after="48"/>
              <w:jc w:val="center"/>
              <w:rPr>
                <w:rFonts w:cs="Arial"/>
                <w:b/>
                <w:sz w:val="18"/>
                <w:szCs w:val="18"/>
                <w:lang w:val="en-US"/>
              </w:rPr>
            </w:pPr>
            <w:r w:rsidRPr="00C25EF7">
              <w:rPr>
                <w:rFonts w:cs="Arial"/>
                <w:b/>
                <w:sz w:val="18"/>
                <w:szCs w:val="18"/>
                <w:lang w:val="en-US"/>
              </w:rPr>
              <w:t>JCU only</w:t>
            </w:r>
          </w:p>
        </w:tc>
      </w:tr>
      <w:tr w:rsidR="00EC2DF4" w:rsidRPr="00EC2DF4" w14:paraId="6CA54909" w14:textId="77777777" w:rsidTr="00EC2DF4">
        <w:trPr>
          <w:cantSplit/>
          <w:trHeight w:val="221"/>
          <w:jc w:val="center"/>
        </w:trPr>
        <w:tc>
          <w:tcPr>
            <w:tcW w:w="767" w:type="dxa"/>
            <w:vMerge w:val="restart"/>
            <w:tcBorders>
              <w:top w:val="single" w:sz="4" w:space="0" w:color="auto"/>
              <w:left w:val="single" w:sz="4" w:space="0" w:color="auto"/>
              <w:right w:val="single" w:sz="4" w:space="0" w:color="auto"/>
            </w:tcBorders>
            <w:textDirection w:val="btLr"/>
            <w:vAlign w:val="center"/>
          </w:tcPr>
          <w:p w14:paraId="3AFCF326" w14:textId="59CF1458" w:rsidR="00EC2DF4" w:rsidRPr="00C25EF7" w:rsidRDefault="00EC2DF4" w:rsidP="00C604C2">
            <w:pPr>
              <w:spacing w:beforeLines="20" w:before="48" w:afterLines="20" w:after="48"/>
              <w:ind w:left="113" w:right="113"/>
              <w:jc w:val="center"/>
              <w:rPr>
                <w:rFonts w:cs="Arial"/>
                <w:b/>
                <w:bCs/>
                <w:color w:val="000000"/>
                <w:sz w:val="18"/>
                <w:szCs w:val="18"/>
                <w:lang w:val="en-US" w:eastAsia="en-AU"/>
              </w:rPr>
            </w:pPr>
            <w:r w:rsidRPr="00C25EF7">
              <w:rPr>
                <w:rFonts w:cs="Arial"/>
                <w:b/>
                <w:bCs/>
                <w:color w:val="000000"/>
                <w:sz w:val="18"/>
                <w:szCs w:val="18"/>
                <w:lang w:val="en-US" w:eastAsia="en-AU"/>
              </w:rPr>
              <w:t>Wet Tropics</w:t>
            </w:r>
          </w:p>
        </w:tc>
        <w:tc>
          <w:tcPr>
            <w:tcW w:w="3484" w:type="dxa"/>
            <w:tcBorders>
              <w:top w:val="single" w:sz="4" w:space="0" w:color="auto"/>
              <w:left w:val="single" w:sz="4" w:space="0" w:color="auto"/>
              <w:bottom w:val="single" w:sz="4" w:space="0" w:color="auto"/>
              <w:right w:val="single" w:sz="4" w:space="0" w:color="auto"/>
            </w:tcBorders>
            <w:vAlign w:val="center"/>
            <w:hideMark/>
          </w:tcPr>
          <w:p w14:paraId="623E6DCB" w14:textId="5ABDB606" w:rsidR="00EC2DF4" w:rsidRPr="00C25EF7" w:rsidRDefault="00EC2DF4" w:rsidP="00C604C2">
            <w:pPr>
              <w:spacing w:beforeLines="20" w:before="48" w:afterLines="20" w:after="48"/>
              <w:jc w:val="left"/>
              <w:rPr>
                <w:rFonts w:cs="Arial"/>
                <w:b/>
                <w:bCs/>
                <w:color w:val="000000"/>
                <w:sz w:val="18"/>
                <w:szCs w:val="18"/>
                <w:lang w:val="en-US" w:eastAsia="en-AU"/>
              </w:rPr>
            </w:pPr>
            <w:r w:rsidRPr="00C25EF7">
              <w:rPr>
                <w:rFonts w:cs="Arial"/>
                <w:b/>
                <w:bCs/>
                <w:color w:val="000000"/>
                <w:sz w:val="18"/>
                <w:szCs w:val="18"/>
                <w:lang w:val="en-US" w:eastAsia="en-AU"/>
              </w:rPr>
              <w:t>Cairns Long-term transect</w:t>
            </w:r>
          </w:p>
        </w:tc>
        <w:tc>
          <w:tcPr>
            <w:tcW w:w="1276" w:type="dxa"/>
            <w:tcBorders>
              <w:top w:val="single" w:sz="4" w:space="0" w:color="auto"/>
              <w:left w:val="single" w:sz="4" w:space="0" w:color="auto"/>
              <w:bottom w:val="single" w:sz="4" w:space="0" w:color="auto"/>
              <w:right w:val="single" w:sz="4" w:space="0" w:color="auto"/>
            </w:tcBorders>
            <w:vAlign w:val="center"/>
          </w:tcPr>
          <w:p w14:paraId="248755C5" w14:textId="77777777" w:rsidR="00EC2DF4" w:rsidRPr="00C25EF7" w:rsidRDefault="00EC2DF4" w:rsidP="00C604C2">
            <w:pPr>
              <w:spacing w:beforeLines="20" w:before="48" w:afterLines="20" w:after="48"/>
              <w:jc w:val="center"/>
              <w:rPr>
                <w:rFonts w:cs="Arial"/>
                <w:b/>
                <w:bCs/>
                <w:color w:val="000000"/>
                <w:sz w:val="18"/>
                <w:szCs w:val="18"/>
                <w:lang w:val="en-US" w:eastAsia="en-AU"/>
              </w:rPr>
            </w:pPr>
          </w:p>
        </w:tc>
        <w:tc>
          <w:tcPr>
            <w:tcW w:w="959" w:type="dxa"/>
            <w:tcBorders>
              <w:top w:val="single" w:sz="4" w:space="0" w:color="auto"/>
              <w:left w:val="single" w:sz="4" w:space="0" w:color="auto"/>
              <w:bottom w:val="single" w:sz="4" w:space="0" w:color="auto"/>
              <w:right w:val="single" w:sz="4" w:space="0" w:color="auto"/>
            </w:tcBorders>
            <w:vAlign w:val="center"/>
          </w:tcPr>
          <w:p w14:paraId="76F22E58" w14:textId="77777777" w:rsidR="00EC2DF4" w:rsidRPr="00C25EF7" w:rsidRDefault="00EC2DF4" w:rsidP="00C604C2">
            <w:pPr>
              <w:spacing w:beforeLines="20" w:before="48" w:afterLines="20" w:after="48"/>
              <w:jc w:val="center"/>
              <w:rPr>
                <w:rFonts w:cs="Arial"/>
                <w:b/>
                <w:bCs/>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vAlign w:val="center"/>
          </w:tcPr>
          <w:p w14:paraId="43E8E69F" w14:textId="77777777" w:rsidR="00EC2DF4" w:rsidRPr="00C25EF7" w:rsidRDefault="00EC2DF4" w:rsidP="00C604C2">
            <w:pPr>
              <w:spacing w:beforeLines="20" w:before="48" w:afterLines="20" w:after="48"/>
              <w:jc w:val="center"/>
              <w:rPr>
                <w:rFonts w:cs="Arial"/>
                <w:b/>
                <w:bCs/>
                <w:color w:val="000000"/>
                <w:sz w:val="18"/>
                <w:szCs w:val="18"/>
                <w:lang w:val="en-US" w:eastAsia="en-AU"/>
              </w:rPr>
            </w:pPr>
          </w:p>
        </w:tc>
        <w:tc>
          <w:tcPr>
            <w:tcW w:w="1104" w:type="dxa"/>
            <w:tcBorders>
              <w:top w:val="single" w:sz="4" w:space="0" w:color="auto"/>
              <w:left w:val="single" w:sz="4" w:space="0" w:color="auto"/>
              <w:bottom w:val="single" w:sz="4" w:space="0" w:color="auto"/>
              <w:right w:val="single" w:sz="4" w:space="0" w:color="auto"/>
            </w:tcBorders>
            <w:vAlign w:val="center"/>
          </w:tcPr>
          <w:p w14:paraId="58E436F4" w14:textId="77777777" w:rsidR="00EC2DF4" w:rsidRPr="00C25EF7" w:rsidRDefault="00EC2DF4" w:rsidP="00C604C2">
            <w:pPr>
              <w:spacing w:beforeLines="20" w:before="48" w:afterLines="20" w:after="48"/>
              <w:jc w:val="center"/>
              <w:rPr>
                <w:rFonts w:cs="Arial"/>
                <w:b/>
                <w:bCs/>
                <w:color w:val="000000"/>
                <w:sz w:val="18"/>
                <w:szCs w:val="18"/>
                <w:lang w:val="en-US" w:eastAsia="en-AU"/>
              </w:rPr>
            </w:pPr>
          </w:p>
        </w:tc>
        <w:tc>
          <w:tcPr>
            <w:tcW w:w="1111" w:type="dxa"/>
            <w:tcBorders>
              <w:top w:val="single" w:sz="4" w:space="0" w:color="auto"/>
              <w:left w:val="single" w:sz="4" w:space="0" w:color="auto"/>
              <w:bottom w:val="single" w:sz="4" w:space="0" w:color="auto"/>
              <w:right w:val="single" w:sz="4" w:space="0" w:color="auto"/>
            </w:tcBorders>
            <w:vAlign w:val="center"/>
          </w:tcPr>
          <w:p w14:paraId="461D1CA3" w14:textId="77777777" w:rsidR="00EC2DF4" w:rsidRPr="00C25EF7" w:rsidRDefault="00EC2DF4" w:rsidP="00C604C2">
            <w:pPr>
              <w:spacing w:beforeLines="20" w:before="48" w:afterLines="20" w:after="48"/>
              <w:jc w:val="center"/>
              <w:rPr>
                <w:rFonts w:cs="Arial"/>
                <w:b/>
                <w:bCs/>
                <w:color w:val="000000"/>
                <w:sz w:val="18"/>
                <w:szCs w:val="18"/>
                <w:lang w:val="en-US" w:eastAsia="en-AU"/>
              </w:rPr>
            </w:pPr>
          </w:p>
        </w:tc>
      </w:tr>
      <w:tr w:rsidR="00EC2DF4" w:rsidRPr="00EC2DF4" w14:paraId="417FE5D1" w14:textId="77777777" w:rsidTr="00EC2DF4">
        <w:trPr>
          <w:cantSplit/>
          <w:trHeight w:val="125"/>
          <w:jc w:val="center"/>
        </w:trPr>
        <w:tc>
          <w:tcPr>
            <w:tcW w:w="767" w:type="dxa"/>
            <w:vMerge/>
            <w:tcBorders>
              <w:left w:val="single" w:sz="4" w:space="0" w:color="auto"/>
              <w:right w:val="single" w:sz="4" w:space="0" w:color="auto"/>
            </w:tcBorders>
            <w:textDirection w:val="btLr"/>
            <w:vAlign w:val="center"/>
          </w:tcPr>
          <w:p w14:paraId="0E9434F8" w14:textId="77777777" w:rsidR="00EC2DF4" w:rsidRPr="00EC2DF4" w:rsidRDefault="00EC2DF4" w:rsidP="004A5BF7">
            <w:pPr>
              <w:spacing w:beforeLines="20" w:before="48" w:afterLines="20" w:after="48"/>
              <w:ind w:left="113" w:right="113"/>
              <w:jc w:val="center"/>
              <w:rPr>
                <w:rFonts w:cs="Arial"/>
                <w:b/>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1BEFC48D" w14:textId="1508D305" w:rsidR="00EC2DF4" w:rsidRPr="004A5BF7" w:rsidRDefault="00EC2DF4" w:rsidP="004A5BF7">
            <w:pPr>
              <w:spacing w:beforeLines="20" w:before="48" w:afterLines="20" w:after="48"/>
              <w:jc w:val="left"/>
              <w:rPr>
                <w:rFonts w:cs="Arial"/>
                <w:b/>
                <w:color w:val="000000"/>
                <w:sz w:val="18"/>
                <w:szCs w:val="18"/>
                <w:lang w:val="en-US" w:eastAsia="en-AU"/>
              </w:rPr>
            </w:pPr>
            <w:r w:rsidRPr="004A5BF7">
              <w:rPr>
                <w:rFonts w:cs="Arial"/>
                <w:b/>
                <w:color w:val="000000"/>
                <w:sz w:val="18"/>
                <w:szCs w:val="18"/>
                <w:lang w:val="en-US" w:eastAsia="en-AU"/>
              </w:rPr>
              <w:t>Cape Tribulation</w:t>
            </w:r>
          </w:p>
        </w:tc>
        <w:tc>
          <w:tcPr>
            <w:tcW w:w="1276" w:type="dxa"/>
            <w:tcBorders>
              <w:top w:val="single" w:sz="4" w:space="0" w:color="auto"/>
              <w:left w:val="single" w:sz="4" w:space="0" w:color="auto"/>
              <w:bottom w:val="single" w:sz="4" w:space="0" w:color="auto"/>
              <w:right w:val="single" w:sz="4" w:space="0" w:color="auto"/>
            </w:tcBorders>
            <w:vAlign w:val="center"/>
          </w:tcPr>
          <w:p w14:paraId="6334D903"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959" w:type="dxa"/>
            <w:tcBorders>
              <w:top w:val="single" w:sz="4" w:space="0" w:color="auto"/>
              <w:left w:val="single" w:sz="4" w:space="0" w:color="auto"/>
              <w:bottom w:val="single" w:sz="4" w:space="0" w:color="auto"/>
              <w:right w:val="single" w:sz="4" w:space="0" w:color="auto"/>
            </w:tcBorders>
            <w:vAlign w:val="center"/>
          </w:tcPr>
          <w:p w14:paraId="7D7630C3"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vAlign w:val="center"/>
          </w:tcPr>
          <w:p w14:paraId="3A399F87" w14:textId="77777777" w:rsidR="00EC2DF4" w:rsidRPr="004A5BF7" w:rsidRDefault="00EC2DF4" w:rsidP="004A5BF7">
            <w:pPr>
              <w:spacing w:beforeLines="20" w:before="48" w:afterLines="20" w:after="48"/>
              <w:jc w:val="center"/>
              <w:rPr>
                <w:rFonts w:cs="Arial"/>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hideMark/>
          </w:tcPr>
          <w:p w14:paraId="4FA9CD17" w14:textId="77777777" w:rsidR="00EC2DF4" w:rsidRPr="004A5BF7" w:rsidRDefault="00EC2DF4" w:rsidP="004A5BF7">
            <w:pPr>
              <w:spacing w:beforeLines="20" w:before="48" w:afterLines="20" w:after="48"/>
              <w:jc w:val="center"/>
              <w:rPr>
                <w:rFonts w:cs="Arial"/>
                <w:sz w:val="18"/>
                <w:szCs w:val="18"/>
                <w:lang w:val="en-US"/>
              </w:rPr>
            </w:pPr>
            <w:r w:rsidRPr="004A5BF7">
              <w:rPr>
                <w:rFonts w:cs="Arial"/>
                <w:b/>
                <w:sz w:val="18"/>
                <w:szCs w:val="18"/>
                <w:lang w:val="en-US"/>
              </w:rPr>
              <w:t>√</w:t>
            </w:r>
          </w:p>
        </w:tc>
        <w:tc>
          <w:tcPr>
            <w:tcW w:w="1111" w:type="dxa"/>
            <w:tcBorders>
              <w:top w:val="single" w:sz="4" w:space="0" w:color="auto"/>
              <w:left w:val="single" w:sz="4" w:space="0" w:color="auto"/>
              <w:bottom w:val="single" w:sz="4" w:space="0" w:color="auto"/>
              <w:right w:val="single" w:sz="4" w:space="0" w:color="auto"/>
            </w:tcBorders>
            <w:vAlign w:val="center"/>
          </w:tcPr>
          <w:p w14:paraId="402DDD66"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r>
      <w:tr w:rsidR="00EC2DF4" w:rsidRPr="00EC2DF4" w14:paraId="159BD6A2" w14:textId="77777777" w:rsidTr="00EC2DF4">
        <w:trPr>
          <w:cantSplit/>
          <w:trHeight w:val="185"/>
          <w:jc w:val="center"/>
        </w:trPr>
        <w:tc>
          <w:tcPr>
            <w:tcW w:w="767" w:type="dxa"/>
            <w:vMerge/>
            <w:tcBorders>
              <w:left w:val="single" w:sz="4" w:space="0" w:color="auto"/>
              <w:right w:val="single" w:sz="4" w:space="0" w:color="auto"/>
            </w:tcBorders>
            <w:textDirection w:val="btLr"/>
            <w:vAlign w:val="center"/>
          </w:tcPr>
          <w:p w14:paraId="0E66D1D7" w14:textId="77777777" w:rsidR="00EC2DF4" w:rsidRPr="00EC2DF4" w:rsidRDefault="00EC2DF4" w:rsidP="004A5BF7">
            <w:pPr>
              <w:spacing w:beforeLines="20" w:before="48" w:afterLines="20" w:after="48"/>
              <w:ind w:left="113" w:right="113"/>
              <w:jc w:val="center"/>
              <w:rPr>
                <w:rFonts w:cs="Arial"/>
                <w:b/>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62A05712" w14:textId="66C0D2E0" w:rsidR="00EC2DF4" w:rsidRPr="004A5BF7" w:rsidRDefault="00EC2DF4" w:rsidP="004A5BF7">
            <w:pPr>
              <w:spacing w:beforeLines="20" w:before="48" w:afterLines="20" w:after="48"/>
              <w:jc w:val="left"/>
              <w:rPr>
                <w:rFonts w:cs="Arial"/>
                <w:b/>
                <w:color w:val="000000"/>
                <w:sz w:val="18"/>
                <w:szCs w:val="18"/>
                <w:lang w:val="en-US" w:eastAsia="en-AU"/>
              </w:rPr>
            </w:pPr>
            <w:r w:rsidRPr="004A5BF7">
              <w:rPr>
                <w:rFonts w:cs="Arial"/>
                <w:b/>
                <w:color w:val="000000"/>
                <w:sz w:val="18"/>
                <w:szCs w:val="18"/>
                <w:lang w:val="en-US" w:eastAsia="en-AU"/>
              </w:rPr>
              <w:t>Port Douglas</w:t>
            </w:r>
          </w:p>
        </w:tc>
        <w:tc>
          <w:tcPr>
            <w:tcW w:w="1276" w:type="dxa"/>
            <w:tcBorders>
              <w:top w:val="single" w:sz="4" w:space="0" w:color="auto"/>
              <w:left w:val="single" w:sz="4" w:space="0" w:color="auto"/>
              <w:bottom w:val="single" w:sz="4" w:space="0" w:color="auto"/>
              <w:right w:val="single" w:sz="4" w:space="0" w:color="auto"/>
            </w:tcBorders>
            <w:vAlign w:val="center"/>
          </w:tcPr>
          <w:p w14:paraId="0D52F6AC"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959" w:type="dxa"/>
            <w:tcBorders>
              <w:top w:val="single" w:sz="4" w:space="0" w:color="auto"/>
              <w:left w:val="single" w:sz="4" w:space="0" w:color="auto"/>
              <w:bottom w:val="single" w:sz="4" w:space="0" w:color="auto"/>
              <w:right w:val="single" w:sz="4" w:space="0" w:color="auto"/>
            </w:tcBorders>
            <w:vAlign w:val="center"/>
          </w:tcPr>
          <w:p w14:paraId="42CDE992"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vAlign w:val="center"/>
          </w:tcPr>
          <w:p w14:paraId="70864BA5" w14:textId="77777777" w:rsidR="00EC2DF4" w:rsidRPr="004A5BF7" w:rsidRDefault="00EC2DF4" w:rsidP="004A5BF7">
            <w:pPr>
              <w:spacing w:beforeLines="20" w:before="48" w:afterLines="20" w:after="48"/>
              <w:jc w:val="center"/>
              <w:rPr>
                <w:rFonts w:cs="Arial"/>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hideMark/>
          </w:tcPr>
          <w:p w14:paraId="6B10EF53" w14:textId="77777777" w:rsidR="00EC2DF4" w:rsidRPr="004A5BF7" w:rsidRDefault="00EC2DF4" w:rsidP="004A5BF7">
            <w:pPr>
              <w:spacing w:beforeLines="20" w:before="48" w:afterLines="20" w:after="48"/>
              <w:jc w:val="center"/>
              <w:rPr>
                <w:rFonts w:cs="Arial"/>
                <w:sz w:val="18"/>
                <w:szCs w:val="18"/>
                <w:lang w:val="en-US"/>
              </w:rPr>
            </w:pPr>
            <w:r w:rsidRPr="004A5BF7">
              <w:rPr>
                <w:rFonts w:cs="Arial"/>
                <w:b/>
                <w:sz w:val="18"/>
                <w:szCs w:val="18"/>
                <w:lang w:val="en-US"/>
              </w:rPr>
              <w:t>√</w:t>
            </w:r>
          </w:p>
        </w:tc>
        <w:tc>
          <w:tcPr>
            <w:tcW w:w="1111" w:type="dxa"/>
            <w:tcBorders>
              <w:top w:val="single" w:sz="4" w:space="0" w:color="auto"/>
              <w:left w:val="single" w:sz="4" w:space="0" w:color="auto"/>
              <w:bottom w:val="single" w:sz="4" w:space="0" w:color="auto"/>
              <w:right w:val="single" w:sz="4" w:space="0" w:color="auto"/>
            </w:tcBorders>
            <w:vAlign w:val="center"/>
          </w:tcPr>
          <w:p w14:paraId="03BA430F"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r>
      <w:tr w:rsidR="00EC2DF4" w:rsidRPr="00EC2DF4" w14:paraId="33E3AD06" w14:textId="77777777" w:rsidTr="00EC2DF4">
        <w:trPr>
          <w:cantSplit/>
          <w:trHeight w:val="245"/>
          <w:jc w:val="center"/>
        </w:trPr>
        <w:tc>
          <w:tcPr>
            <w:tcW w:w="767" w:type="dxa"/>
            <w:vMerge/>
            <w:tcBorders>
              <w:left w:val="single" w:sz="4" w:space="0" w:color="auto"/>
              <w:right w:val="single" w:sz="4" w:space="0" w:color="auto"/>
            </w:tcBorders>
            <w:textDirection w:val="btLr"/>
            <w:vAlign w:val="center"/>
          </w:tcPr>
          <w:p w14:paraId="4C5D724A" w14:textId="77777777" w:rsidR="00EC2DF4" w:rsidRPr="00EC2DF4" w:rsidRDefault="00EC2DF4" w:rsidP="004A5BF7">
            <w:pPr>
              <w:spacing w:beforeLines="20" w:before="48" w:afterLines="20" w:after="48"/>
              <w:ind w:left="113" w:right="113"/>
              <w:jc w:val="center"/>
              <w:rPr>
                <w:rFonts w:cs="Arial"/>
                <w:b/>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1685CD76" w14:textId="198CDF41" w:rsidR="00EC2DF4" w:rsidRPr="004A5BF7" w:rsidRDefault="00EC2DF4" w:rsidP="004A5BF7">
            <w:pPr>
              <w:spacing w:beforeLines="20" w:before="48" w:afterLines="20" w:after="48"/>
              <w:jc w:val="left"/>
              <w:rPr>
                <w:rFonts w:cs="Arial"/>
                <w:b/>
                <w:color w:val="000000"/>
                <w:sz w:val="18"/>
                <w:szCs w:val="18"/>
                <w:lang w:val="en-US" w:eastAsia="en-AU"/>
              </w:rPr>
            </w:pPr>
            <w:r w:rsidRPr="004A5BF7">
              <w:rPr>
                <w:rFonts w:cs="Arial"/>
                <w:b/>
                <w:color w:val="000000"/>
                <w:sz w:val="18"/>
                <w:szCs w:val="18"/>
                <w:lang w:val="en-US" w:eastAsia="en-AU"/>
              </w:rPr>
              <w:t>Double Island</w:t>
            </w:r>
          </w:p>
        </w:tc>
        <w:tc>
          <w:tcPr>
            <w:tcW w:w="1276" w:type="dxa"/>
            <w:tcBorders>
              <w:top w:val="single" w:sz="4" w:space="0" w:color="auto"/>
              <w:left w:val="single" w:sz="4" w:space="0" w:color="auto"/>
              <w:bottom w:val="single" w:sz="4" w:space="0" w:color="auto"/>
              <w:right w:val="single" w:sz="4" w:space="0" w:color="auto"/>
            </w:tcBorders>
            <w:vAlign w:val="center"/>
          </w:tcPr>
          <w:p w14:paraId="3256D555"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959" w:type="dxa"/>
            <w:tcBorders>
              <w:top w:val="single" w:sz="4" w:space="0" w:color="auto"/>
              <w:left w:val="single" w:sz="4" w:space="0" w:color="auto"/>
              <w:bottom w:val="single" w:sz="4" w:space="0" w:color="auto"/>
              <w:right w:val="single" w:sz="4" w:space="0" w:color="auto"/>
            </w:tcBorders>
            <w:vAlign w:val="center"/>
          </w:tcPr>
          <w:p w14:paraId="4842FE63"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vAlign w:val="center"/>
          </w:tcPr>
          <w:p w14:paraId="4D25F401" w14:textId="77777777" w:rsidR="00EC2DF4" w:rsidRPr="004A5BF7" w:rsidRDefault="00EC2DF4" w:rsidP="004A5BF7">
            <w:pPr>
              <w:spacing w:beforeLines="20" w:before="48" w:afterLines="20" w:after="48"/>
              <w:jc w:val="center"/>
              <w:rPr>
                <w:rFonts w:cs="Arial"/>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hideMark/>
          </w:tcPr>
          <w:p w14:paraId="440EB49D" w14:textId="77777777" w:rsidR="00EC2DF4" w:rsidRPr="004A5BF7" w:rsidRDefault="00EC2DF4" w:rsidP="004A5BF7">
            <w:pPr>
              <w:spacing w:beforeLines="20" w:before="48" w:afterLines="20" w:after="48"/>
              <w:jc w:val="center"/>
              <w:rPr>
                <w:rFonts w:cs="Arial"/>
                <w:sz w:val="18"/>
                <w:szCs w:val="18"/>
                <w:lang w:val="en-US"/>
              </w:rPr>
            </w:pPr>
            <w:r w:rsidRPr="004A5BF7">
              <w:rPr>
                <w:rFonts w:cs="Arial"/>
                <w:b/>
                <w:sz w:val="18"/>
                <w:szCs w:val="18"/>
                <w:lang w:val="en-US"/>
              </w:rPr>
              <w:t>√</w:t>
            </w:r>
          </w:p>
        </w:tc>
        <w:tc>
          <w:tcPr>
            <w:tcW w:w="1111" w:type="dxa"/>
            <w:tcBorders>
              <w:top w:val="single" w:sz="4" w:space="0" w:color="auto"/>
              <w:left w:val="single" w:sz="4" w:space="0" w:color="auto"/>
              <w:bottom w:val="single" w:sz="4" w:space="0" w:color="auto"/>
              <w:right w:val="single" w:sz="4" w:space="0" w:color="auto"/>
            </w:tcBorders>
            <w:vAlign w:val="center"/>
          </w:tcPr>
          <w:p w14:paraId="0333B43E"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r>
      <w:tr w:rsidR="00EC2DF4" w:rsidRPr="00EC2DF4" w14:paraId="1ED93FC1" w14:textId="77777777" w:rsidTr="00EC2DF4">
        <w:trPr>
          <w:cantSplit/>
          <w:trHeight w:val="136"/>
          <w:jc w:val="center"/>
        </w:trPr>
        <w:tc>
          <w:tcPr>
            <w:tcW w:w="767" w:type="dxa"/>
            <w:vMerge/>
            <w:tcBorders>
              <w:left w:val="single" w:sz="4" w:space="0" w:color="auto"/>
              <w:right w:val="single" w:sz="4" w:space="0" w:color="auto"/>
            </w:tcBorders>
            <w:textDirection w:val="btLr"/>
            <w:vAlign w:val="center"/>
          </w:tcPr>
          <w:p w14:paraId="0378C08F" w14:textId="77777777" w:rsidR="00EC2DF4" w:rsidRPr="00EC2DF4" w:rsidRDefault="00EC2DF4" w:rsidP="004A5BF7">
            <w:pPr>
              <w:spacing w:beforeLines="20" w:before="48" w:afterLines="20" w:after="48"/>
              <w:ind w:left="113" w:right="113"/>
              <w:jc w:val="center"/>
              <w:rPr>
                <w:rFonts w:cs="Arial"/>
                <w:b/>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40719DF7" w14:textId="37F66B22" w:rsidR="00EC2DF4" w:rsidRPr="004A5BF7" w:rsidRDefault="00EC2DF4" w:rsidP="004A5BF7">
            <w:pPr>
              <w:spacing w:beforeLines="20" w:before="48" w:afterLines="20" w:after="48"/>
              <w:jc w:val="left"/>
              <w:rPr>
                <w:rFonts w:cs="Arial"/>
                <w:b/>
                <w:color w:val="000000"/>
                <w:sz w:val="18"/>
                <w:szCs w:val="18"/>
                <w:lang w:val="en-US" w:eastAsia="en-AU"/>
              </w:rPr>
            </w:pPr>
            <w:r w:rsidRPr="004A5BF7">
              <w:rPr>
                <w:rFonts w:cs="Arial"/>
                <w:b/>
                <w:color w:val="000000"/>
                <w:sz w:val="18"/>
                <w:szCs w:val="18"/>
                <w:lang w:val="en-US" w:eastAsia="en-AU"/>
              </w:rPr>
              <w:t>Yorkey's Knob</w:t>
            </w:r>
          </w:p>
        </w:tc>
        <w:tc>
          <w:tcPr>
            <w:tcW w:w="1276" w:type="dxa"/>
            <w:tcBorders>
              <w:top w:val="single" w:sz="4" w:space="0" w:color="auto"/>
              <w:left w:val="single" w:sz="4" w:space="0" w:color="auto"/>
              <w:bottom w:val="single" w:sz="4" w:space="0" w:color="auto"/>
              <w:right w:val="single" w:sz="4" w:space="0" w:color="auto"/>
            </w:tcBorders>
            <w:vAlign w:val="center"/>
          </w:tcPr>
          <w:p w14:paraId="423AC549"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959" w:type="dxa"/>
            <w:tcBorders>
              <w:top w:val="single" w:sz="4" w:space="0" w:color="auto"/>
              <w:left w:val="single" w:sz="4" w:space="0" w:color="auto"/>
              <w:bottom w:val="single" w:sz="4" w:space="0" w:color="auto"/>
              <w:right w:val="single" w:sz="4" w:space="0" w:color="auto"/>
            </w:tcBorders>
            <w:vAlign w:val="center"/>
          </w:tcPr>
          <w:p w14:paraId="63AF4A33"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vAlign w:val="center"/>
          </w:tcPr>
          <w:p w14:paraId="56BE67B5" w14:textId="77777777" w:rsidR="00EC2DF4" w:rsidRPr="004A5BF7" w:rsidRDefault="00EC2DF4" w:rsidP="004A5BF7">
            <w:pPr>
              <w:spacing w:beforeLines="20" w:before="48" w:afterLines="20" w:after="48"/>
              <w:jc w:val="center"/>
              <w:rPr>
                <w:rFonts w:cs="Arial"/>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hideMark/>
          </w:tcPr>
          <w:p w14:paraId="619D7B25" w14:textId="77777777" w:rsidR="00EC2DF4" w:rsidRPr="004A5BF7" w:rsidRDefault="00EC2DF4" w:rsidP="004A5BF7">
            <w:pPr>
              <w:spacing w:beforeLines="20" w:before="48" w:afterLines="20" w:after="48"/>
              <w:jc w:val="center"/>
              <w:rPr>
                <w:rFonts w:cs="Arial"/>
                <w:sz w:val="18"/>
                <w:szCs w:val="18"/>
                <w:lang w:val="en-US"/>
              </w:rPr>
            </w:pPr>
            <w:r w:rsidRPr="004A5BF7">
              <w:rPr>
                <w:rFonts w:cs="Arial"/>
                <w:b/>
                <w:sz w:val="18"/>
                <w:szCs w:val="18"/>
                <w:lang w:val="en-US"/>
              </w:rPr>
              <w:t>√</w:t>
            </w:r>
          </w:p>
        </w:tc>
        <w:tc>
          <w:tcPr>
            <w:tcW w:w="1111" w:type="dxa"/>
            <w:tcBorders>
              <w:top w:val="single" w:sz="4" w:space="0" w:color="auto"/>
              <w:left w:val="single" w:sz="4" w:space="0" w:color="auto"/>
              <w:bottom w:val="single" w:sz="4" w:space="0" w:color="auto"/>
              <w:right w:val="single" w:sz="4" w:space="0" w:color="auto"/>
            </w:tcBorders>
            <w:vAlign w:val="center"/>
          </w:tcPr>
          <w:p w14:paraId="718A25F6"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r>
      <w:tr w:rsidR="00EC2DF4" w:rsidRPr="00EC2DF4" w14:paraId="277F33EC"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29A1259F" w14:textId="77777777" w:rsidR="00EC2DF4" w:rsidRPr="00EC2DF4" w:rsidRDefault="00EC2DF4" w:rsidP="004A5BF7">
            <w:pPr>
              <w:spacing w:beforeLines="20" w:before="48" w:afterLines="20" w:after="48"/>
              <w:ind w:left="113" w:right="113"/>
              <w:jc w:val="center"/>
              <w:rPr>
                <w:rFonts w:cs="Arial"/>
                <w:b/>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0F6F909B" w14:textId="4A7FF32F" w:rsidR="00EC2DF4" w:rsidRPr="004A5BF7" w:rsidRDefault="00EC2DF4" w:rsidP="004A5BF7">
            <w:pPr>
              <w:spacing w:beforeLines="20" w:before="48" w:afterLines="20" w:after="48"/>
              <w:jc w:val="left"/>
              <w:rPr>
                <w:rFonts w:cs="Arial"/>
                <w:b/>
                <w:color w:val="000000"/>
                <w:sz w:val="18"/>
                <w:szCs w:val="18"/>
                <w:lang w:val="en-US" w:eastAsia="en-AU"/>
              </w:rPr>
            </w:pPr>
            <w:r w:rsidRPr="004A5BF7">
              <w:rPr>
                <w:rFonts w:cs="Arial"/>
                <w:b/>
                <w:color w:val="000000"/>
                <w:sz w:val="18"/>
                <w:szCs w:val="18"/>
                <w:lang w:val="en-US" w:eastAsia="en-AU"/>
              </w:rPr>
              <w:t>Fairlead Buoy</w:t>
            </w:r>
          </w:p>
        </w:tc>
        <w:tc>
          <w:tcPr>
            <w:tcW w:w="1276" w:type="dxa"/>
            <w:tcBorders>
              <w:top w:val="single" w:sz="4" w:space="0" w:color="auto"/>
              <w:left w:val="single" w:sz="4" w:space="0" w:color="auto"/>
              <w:bottom w:val="single" w:sz="4" w:space="0" w:color="auto"/>
              <w:right w:val="single" w:sz="4" w:space="0" w:color="auto"/>
            </w:tcBorders>
            <w:vAlign w:val="center"/>
          </w:tcPr>
          <w:p w14:paraId="35C5FEFA"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959" w:type="dxa"/>
            <w:tcBorders>
              <w:top w:val="single" w:sz="4" w:space="0" w:color="auto"/>
              <w:left w:val="single" w:sz="4" w:space="0" w:color="auto"/>
              <w:bottom w:val="single" w:sz="4" w:space="0" w:color="auto"/>
              <w:right w:val="single" w:sz="4" w:space="0" w:color="auto"/>
            </w:tcBorders>
            <w:vAlign w:val="center"/>
          </w:tcPr>
          <w:p w14:paraId="07D39E4E"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vAlign w:val="center"/>
          </w:tcPr>
          <w:p w14:paraId="5C6CD5E0" w14:textId="77777777" w:rsidR="00EC2DF4" w:rsidRPr="004A5BF7" w:rsidRDefault="00EC2DF4" w:rsidP="004A5BF7">
            <w:pPr>
              <w:spacing w:beforeLines="20" w:before="48" w:afterLines="20" w:after="48"/>
              <w:jc w:val="center"/>
              <w:rPr>
                <w:rFonts w:cs="Arial"/>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hideMark/>
          </w:tcPr>
          <w:p w14:paraId="5655CD69" w14:textId="77777777" w:rsidR="00EC2DF4" w:rsidRPr="004A5BF7" w:rsidRDefault="00EC2DF4" w:rsidP="004A5BF7">
            <w:pPr>
              <w:spacing w:beforeLines="20" w:before="48" w:afterLines="20" w:after="48"/>
              <w:jc w:val="center"/>
              <w:rPr>
                <w:rFonts w:cs="Arial"/>
                <w:sz w:val="18"/>
                <w:szCs w:val="18"/>
                <w:lang w:val="en-US"/>
              </w:rPr>
            </w:pPr>
            <w:r w:rsidRPr="004A5BF7">
              <w:rPr>
                <w:rFonts w:cs="Arial"/>
                <w:b/>
                <w:sz w:val="18"/>
                <w:szCs w:val="18"/>
                <w:lang w:val="en-US"/>
              </w:rPr>
              <w:t>√</w:t>
            </w:r>
          </w:p>
        </w:tc>
        <w:tc>
          <w:tcPr>
            <w:tcW w:w="1111" w:type="dxa"/>
            <w:tcBorders>
              <w:top w:val="single" w:sz="4" w:space="0" w:color="auto"/>
              <w:left w:val="single" w:sz="4" w:space="0" w:color="auto"/>
              <w:bottom w:val="single" w:sz="4" w:space="0" w:color="auto"/>
              <w:right w:val="single" w:sz="4" w:space="0" w:color="auto"/>
            </w:tcBorders>
            <w:vAlign w:val="center"/>
          </w:tcPr>
          <w:p w14:paraId="34B62996"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r>
      <w:tr w:rsidR="00EC2DF4" w:rsidRPr="00EC2DF4" w14:paraId="7B952F7F" w14:textId="77777777" w:rsidTr="00EC2DF4">
        <w:trPr>
          <w:cantSplit/>
          <w:trHeight w:val="127"/>
          <w:jc w:val="center"/>
        </w:trPr>
        <w:tc>
          <w:tcPr>
            <w:tcW w:w="767" w:type="dxa"/>
            <w:vMerge/>
            <w:tcBorders>
              <w:left w:val="single" w:sz="4" w:space="0" w:color="auto"/>
              <w:right w:val="single" w:sz="4" w:space="0" w:color="auto"/>
            </w:tcBorders>
            <w:textDirection w:val="btLr"/>
            <w:vAlign w:val="center"/>
          </w:tcPr>
          <w:p w14:paraId="29470AC9" w14:textId="77777777" w:rsidR="00EC2DF4" w:rsidRPr="00EC2DF4" w:rsidRDefault="00EC2DF4" w:rsidP="004A5BF7">
            <w:pPr>
              <w:spacing w:beforeLines="20" w:before="48" w:afterLines="20" w:after="48"/>
              <w:ind w:left="113" w:right="113"/>
              <w:jc w:val="center"/>
              <w:rPr>
                <w:rFonts w:cs="Arial"/>
                <w:b/>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55F79E81" w14:textId="262D0C8C" w:rsidR="00EC2DF4" w:rsidRPr="004A5BF7" w:rsidRDefault="00EC2DF4" w:rsidP="004A5BF7">
            <w:pPr>
              <w:spacing w:beforeLines="20" w:before="48" w:afterLines="20" w:after="48"/>
              <w:jc w:val="left"/>
              <w:rPr>
                <w:rFonts w:cs="Arial"/>
                <w:b/>
                <w:color w:val="000000"/>
                <w:sz w:val="18"/>
                <w:szCs w:val="18"/>
                <w:lang w:val="en-US" w:eastAsia="en-AU"/>
              </w:rPr>
            </w:pPr>
            <w:r w:rsidRPr="004A5BF7">
              <w:rPr>
                <w:rFonts w:cs="Arial"/>
                <w:b/>
                <w:color w:val="000000"/>
                <w:sz w:val="18"/>
                <w:szCs w:val="18"/>
                <w:lang w:val="en-US" w:eastAsia="en-AU"/>
              </w:rPr>
              <w:t>Green Island</w:t>
            </w:r>
          </w:p>
        </w:tc>
        <w:tc>
          <w:tcPr>
            <w:tcW w:w="1276" w:type="dxa"/>
            <w:tcBorders>
              <w:top w:val="single" w:sz="4" w:space="0" w:color="auto"/>
              <w:left w:val="single" w:sz="4" w:space="0" w:color="auto"/>
              <w:bottom w:val="single" w:sz="4" w:space="0" w:color="auto"/>
              <w:right w:val="single" w:sz="4" w:space="0" w:color="auto"/>
            </w:tcBorders>
            <w:vAlign w:val="center"/>
          </w:tcPr>
          <w:p w14:paraId="4C3BF7C7"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959" w:type="dxa"/>
            <w:tcBorders>
              <w:top w:val="single" w:sz="4" w:space="0" w:color="auto"/>
              <w:left w:val="single" w:sz="4" w:space="0" w:color="auto"/>
              <w:bottom w:val="single" w:sz="4" w:space="0" w:color="auto"/>
              <w:right w:val="single" w:sz="4" w:space="0" w:color="auto"/>
            </w:tcBorders>
            <w:vAlign w:val="center"/>
          </w:tcPr>
          <w:p w14:paraId="339D7B24"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vAlign w:val="center"/>
          </w:tcPr>
          <w:p w14:paraId="3B89D27E" w14:textId="77777777" w:rsidR="00EC2DF4" w:rsidRPr="004A5BF7" w:rsidRDefault="00EC2DF4" w:rsidP="004A5BF7">
            <w:pPr>
              <w:spacing w:beforeLines="20" w:before="48" w:afterLines="20" w:after="48"/>
              <w:jc w:val="center"/>
              <w:rPr>
                <w:rFonts w:cs="Arial"/>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hideMark/>
          </w:tcPr>
          <w:p w14:paraId="315D1161" w14:textId="77777777" w:rsidR="00EC2DF4" w:rsidRPr="004A5BF7" w:rsidRDefault="00EC2DF4" w:rsidP="004A5BF7">
            <w:pPr>
              <w:spacing w:beforeLines="20" w:before="48" w:afterLines="20" w:after="48"/>
              <w:jc w:val="center"/>
              <w:rPr>
                <w:rFonts w:cs="Arial"/>
                <w:sz w:val="18"/>
                <w:szCs w:val="18"/>
                <w:lang w:val="en-US"/>
              </w:rPr>
            </w:pPr>
            <w:r w:rsidRPr="004A5BF7">
              <w:rPr>
                <w:rFonts w:cs="Arial"/>
                <w:b/>
                <w:sz w:val="18"/>
                <w:szCs w:val="18"/>
                <w:lang w:val="en-US"/>
              </w:rPr>
              <w:t>√</w:t>
            </w:r>
          </w:p>
        </w:tc>
        <w:tc>
          <w:tcPr>
            <w:tcW w:w="1111" w:type="dxa"/>
            <w:tcBorders>
              <w:top w:val="single" w:sz="4" w:space="0" w:color="auto"/>
              <w:left w:val="single" w:sz="4" w:space="0" w:color="auto"/>
              <w:bottom w:val="single" w:sz="4" w:space="0" w:color="auto"/>
              <w:right w:val="single" w:sz="4" w:space="0" w:color="auto"/>
            </w:tcBorders>
            <w:vAlign w:val="center"/>
          </w:tcPr>
          <w:p w14:paraId="5A707567"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r>
      <w:tr w:rsidR="00EC2DF4" w:rsidRPr="00EC2DF4" w14:paraId="373FBA23" w14:textId="77777777" w:rsidTr="00EC2DF4">
        <w:trPr>
          <w:cantSplit/>
          <w:trHeight w:val="70"/>
          <w:jc w:val="center"/>
        </w:trPr>
        <w:tc>
          <w:tcPr>
            <w:tcW w:w="767" w:type="dxa"/>
            <w:vMerge/>
            <w:tcBorders>
              <w:left w:val="single" w:sz="4" w:space="0" w:color="auto"/>
              <w:right w:val="single" w:sz="4" w:space="0" w:color="auto"/>
            </w:tcBorders>
            <w:shd w:val="clear" w:color="auto" w:fill="F2F2F2" w:themeFill="background1" w:themeFillShade="F2"/>
            <w:textDirection w:val="btLr"/>
            <w:vAlign w:val="center"/>
          </w:tcPr>
          <w:p w14:paraId="2B0DA3BE" w14:textId="77777777" w:rsidR="00EC2DF4" w:rsidRPr="00C25EF7" w:rsidRDefault="00EC2DF4" w:rsidP="004A5BF7">
            <w:pPr>
              <w:spacing w:beforeLines="20" w:before="48" w:afterLines="20" w:after="48"/>
              <w:ind w:left="113" w:right="113"/>
              <w:jc w:val="center"/>
              <w:rPr>
                <w:rFonts w:cs="Arial"/>
                <w:b/>
                <w:i/>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54C23CF" w14:textId="25759624" w:rsidR="00EC2DF4" w:rsidRPr="00C25EF7" w:rsidRDefault="00EC2DF4" w:rsidP="004A5BF7">
            <w:pPr>
              <w:spacing w:beforeLines="20" w:before="48" w:afterLines="20" w:after="48"/>
              <w:jc w:val="left"/>
              <w:rPr>
                <w:rFonts w:cs="Arial"/>
                <w:b/>
                <w:i/>
                <w:color w:val="000000"/>
                <w:sz w:val="18"/>
                <w:szCs w:val="18"/>
                <w:lang w:val="en-US" w:eastAsia="en-AU"/>
              </w:rPr>
            </w:pPr>
            <w:r w:rsidRPr="00C25EF7">
              <w:rPr>
                <w:rFonts w:cs="Arial"/>
                <w:b/>
                <w:i/>
                <w:color w:val="000000"/>
                <w:sz w:val="18"/>
                <w:szCs w:val="18"/>
                <w:lang w:val="en-US" w:eastAsia="en-AU"/>
              </w:rPr>
              <w:t>Russell Mulgrave Focus Area</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DDB7229"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9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6B784C2"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96CD59B"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110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F4B4798"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111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606531B"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r>
      <w:tr w:rsidR="00EC2DF4" w:rsidRPr="00EC2DF4" w14:paraId="7A5C3CD1" w14:textId="77777777" w:rsidTr="00EC2DF4">
        <w:trPr>
          <w:cantSplit/>
          <w:trHeight w:val="119"/>
          <w:jc w:val="center"/>
        </w:trPr>
        <w:tc>
          <w:tcPr>
            <w:tcW w:w="767" w:type="dxa"/>
            <w:vMerge/>
            <w:tcBorders>
              <w:left w:val="single" w:sz="4" w:space="0" w:color="auto"/>
              <w:right w:val="single" w:sz="4" w:space="0" w:color="auto"/>
            </w:tcBorders>
            <w:textDirection w:val="btLr"/>
            <w:vAlign w:val="center"/>
          </w:tcPr>
          <w:p w14:paraId="16016520"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2D49C52" w14:textId="454F807F" w:rsidR="00EC2DF4" w:rsidRPr="004A5BF7" w:rsidRDefault="00EC2DF4" w:rsidP="004A5BF7">
            <w:pPr>
              <w:spacing w:beforeLines="20" w:before="48" w:afterLines="20" w:after="48"/>
              <w:jc w:val="left"/>
              <w:rPr>
                <w:rFonts w:cs="Arial"/>
                <w:b/>
                <w:color w:val="000000"/>
                <w:sz w:val="18"/>
                <w:szCs w:val="18"/>
                <w:lang w:val="en-US" w:eastAsia="en-AU"/>
              </w:rPr>
            </w:pPr>
            <w:r w:rsidRPr="004A5BF7">
              <w:rPr>
                <w:rFonts w:cs="Arial"/>
                <w:b/>
                <w:color w:val="000000"/>
                <w:sz w:val="18"/>
                <w:szCs w:val="18"/>
                <w:lang w:val="en-US" w:eastAsia="en-AU"/>
              </w:rPr>
              <w:t>Fitzroy Island West</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DF2D685" w14:textId="77777777" w:rsidR="00EC2DF4" w:rsidRPr="00C25EF7" w:rsidRDefault="00EC2DF4" w:rsidP="004A5BF7">
            <w:pPr>
              <w:spacing w:beforeLines="20" w:before="48" w:afterLines="20" w:after="48"/>
              <w:jc w:val="center"/>
              <w:rPr>
                <w:rFonts w:cs="Arial"/>
                <w:b/>
                <w:color w:val="000000"/>
                <w:sz w:val="18"/>
                <w:szCs w:val="18"/>
                <w:lang w:val="en-US" w:eastAsia="en-AU"/>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tcPr>
          <w:p w14:paraId="081C7A52"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vAlign w:val="center"/>
          </w:tcPr>
          <w:p w14:paraId="478D52A3"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1104" w:type="dxa"/>
            <w:tcBorders>
              <w:top w:val="single" w:sz="4" w:space="0" w:color="auto"/>
              <w:left w:val="single" w:sz="4" w:space="0" w:color="auto"/>
              <w:bottom w:val="single" w:sz="4" w:space="0" w:color="auto"/>
              <w:right w:val="single" w:sz="4" w:space="0" w:color="auto"/>
            </w:tcBorders>
            <w:vAlign w:val="center"/>
            <w:hideMark/>
          </w:tcPr>
          <w:p w14:paraId="13A80F8F" w14:textId="77777777" w:rsidR="00EC2DF4" w:rsidRPr="00C25EF7" w:rsidRDefault="00EC2DF4" w:rsidP="004A5BF7">
            <w:pPr>
              <w:spacing w:beforeLines="20" w:before="48" w:afterLines="20" w:after="48"/>
              <w:jc w:val="center"/>
              <w:rPr>
                <w:rFonts w:cs="Arial"/>
                <w:b/>
                <w:color w:val="000000"/>
                <w:sz w:val="18"/>
                <w:szCs w:val="18"/>
                <w:lang w:val="en-US" w:eastAsia="en-AU"/>
              </w:rPr>
            </w:pPr>
            <w:r w:rsidRPr="004A5BF7">
              <w:rPr>
                <w:rFonts w:cs="Arial"/>
                <w:b/>
                <w:sz w:val="18"/>
                <w:szCs w:val="18"/>
                <w:lang w:val="en-US"/>
              </w:rPr>
              <w:t>√</w:t>
            </w:r>
          </w:p>
        </w:tc>
        <w:tc>
          <w:tcPr>
            <w:tcW w:w="1111" w:type="dxa"/>
            <w:tcBorders>
              <w:top w:val="single" w:sz="4" w:space="0" w:color="auto"/>
              <w:left w:val="single" w:sz="4" w:space="0" w:color="auto"/>
              <w:bottom w:val="single" w:sz="4" w:space="0" w:color="auto"/>
              <w:right w:val="single" w:sz="4" w:space="0" w:color="auto"/>
            </w:tcBorders>
            <w:vAlign w:val="center"/>
          </w:tcPr>
          <w:p w14:paraId="31699A58"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r>
      <w:tr w:rsidR="00EC2DF4" w:rsidRPr="00EC2DF4" w14:paraId="7DD38E05" w14:textId="77777777" w:rsidTr="00EC2DF4">
        <w:trPr>
          <w:cantSplit/>
          <w:trHeight w:val="193"/>
          <w:jc w:val="center"/>
        </w:trPr>
        <w:tc>
          <w:tcPr>
            <w:tcW w:w="767" w:type="dxa"/>
            <w:vMerge/>
            <w:tcBorders>
              <w:left w:val="single" w:sz="4" w:space="0" w:color="auto"/>
              <w:right w:val="single" w:sz="4" w:space="0" w:color="auto"/>
            </w:tcBorders>
            <w:textDirection w:val="btLr"/>
            <w:vAlign w:val="center"/>
          </w:tcPr>
          <w:p w14:paraId="35536B92"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3F9609BF" w14:textId="4E91400F"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RM2</w:t>
            </w:r>
          </w:p>
        </w:tc>
        <w:tc>
          <w:tcPr>
            <w:tcW w:w="1276" w:type="dxa"/>
            <w:tcBorders>
              <w:top w:val="single" w:sz="4" w:space="0" w:color="auto"/>
              <w:left w:val="single" w:sz="4" w:space="0" w:color="auto"/>
              <w:bottom w:val="single" w:sz="4" w:space="0" w:color="auto"/>
              <w:right w:val="single" w:sz="4" w:space="0" w:color="auto"/>
            </w:tcBorders>
            <w:vAlign w:val="center"/>
          </w:tcPr>
          <w:p w14:paraId="550F6A37"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959" w:type="dxa"/>
            <w:tcBorders>
              <w:top w:val="single" w:sz="4" w:space="0" w:color="auto"/>
              <w:left w:val="single" w:sz="4" w:space="0" w:color="auto"/>
              <w:bottom w:val="single" w:sz="4" w:space="0" w:color="auto"/>
              <w:right w:val="single" w:sz="4" w:space="0" w:color="auto"/>
            </w:tcBorders>
            <w:vAlign w:val="center"/>
          </w:tcPr>
          <w:p w14:paraId="4B6AAA27"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vAlign w:val="center"/>
          </w:tcPr>
          <w:p w14:paraId="560E82C4"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1104" w:type="dxa"/>
            <w:tcBorders>
              <w:top w:val="single" w:sz="4" w:space="0" w:color="auto"/>
              <w:left w:val="single" w:sz="4" w:space="0" w:color="auto"/>
              <w:bottom w:val="single" w:sz="4" w:space="0" w:color="auto"/>
              <w:right w:val="single" w:sz="4" w:space="0" w:color="auto"/>
            </w:tcBorders>
            <w:vAlign w:val="center"/>
          </w:tcPr>
          <w:p w14:paraId="05BB88ED"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068098E9" w14:textId="77777777" w:rsidR="00EC2DF4" w:rsidRPr="00C25EF7" w:rsidRDefault="00EC2DF4" w:rsidP="004A5BF7">
            <w:pPr>
              <w:spacing w:beforeLines="20" w:before="48" w:afterLines="20" w:after="48"/>
              <w:jc w:val="center"/>
              <w:rPr>
                <w:rFonts w:cs="Arial"/>
                <w:b/>
                <w:color w:val="000000"/>
                <w:sz w:val="18"/>
                <w:szCs w:val="18"/>
                <w:lang w:val="en-US" w:eastAsia="en-AU"/>
              </w:rPr>
            </w:pPr>
            <w:r w:rsidRPr="004A5BF7">
              <w:rPr>
                <w:rFonts w:cs="Arial"/>
                <w:b/>
                <w:sz w:val="18"/>
                <w:szCs w:val="18"/>
                <w:lang w:val="en-US"/>
              </w:rPr>
              <w:t>√</w:t>
            </w:r>
          </w:p>
        </w:tc>
      </w:tr>
      <w:tr w:rsidR="00EC2DF4" w:rsidRPr="00EC2DF4" w14:paraId="6C7188E1" w14:textId="77777777" w:rsidTr="00EC2DF4">
        <w:trPr>
          <w:cantSplit/>
          <w:trHeight w:val="111"/>
          <w:jc w:val="center"/>
        </w:trPr>
        <w:tc>
          <w:tcPr>
            <w:tcW w:w="767" w:type="dxa"/>
            <w:vMerge/>
            <w:tcBorders>
              <w:left w:val="single" w:sz="4" w:space="0" w:color="auto"/>
              <w:right w:val="single" w:sz="4" w:space="0" w:color="auto"/>
            </w:tcBorders>
            <w:textDirection w:val="btLr"/>
            <w:vAlign w:val="center"/>
          </w:tcPr>
          <w:p w14:paraId="6884374C"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37FC4F6D" w14:textId="5C529DFF"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RM3</w:t>
            </w:r>
          </w:p>
        </w:tc>
        <w:tc>
          <w:tcPr>
            <w:tcW w:w="1276" w:type="dxa"/>
            <w:tcBorders>
              <w:top w:val="single" w:sz="4" w:space="0" w:color="auto"/>
              <w:left w:val="single" w:sz="4" w:space="0" w:color="auto"/>
              <w:bottom w:val="single" w:sz="4" w:space="0" w:color="auto"/>
              <w:right w:val="single" w:sz="4" w:space="0" w:color="auto"/>
            </w:tcBorders>
            <w:vAlign w:val="center"/>
          </w:tcPr>
          <w:p w14:paraId="5314D396"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959" w:type="dxa"/>
            <w:tcBorders>
              <w:top w:val="single" w:sz="4" w:space="0" w:color="auto"/>
              <w:left w:val="single" w:sz="4" w:space="0" w:color="auto"/>
              <w:bottom w:val="single" w:sz="4" w:space="0" w:color="auto"/>
              <w:right w:val="single" w:sz="4" w:space="0" w:color="auto"/>
            </w:tcBorders>
            <w:vAlign w:val="center"/>
          </w:tcPr>
          <w:p w14:paraId="6105FB2E"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3D81FDCF" w14:textId="77777777" w:rsidR="00EC2DF4" w:rsidRPr="00C25EF7" w:rsidRDefault="00EC2DF4" w:rsidP="004A5BF7">
            <w:pPr>
              <w:spacing w:beforeLines="20" w:before="48" w:afterLines="20" w:after="48"/>
              <w:jc w:val="center"/>
              <w:rPr>
                <w:rFonts w:cs="Arial"/>
                <w:b/>
                <w:color w:val="000000"/>
                <w:sz w:val="18"/>
                <w:szCs w:val="18"/>
                <w:lang w:val="en-US" w:eastAsia="en-AU"/>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3EF2CFD5"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1111" w:type="dxa"/>
            <w:tcBorders>
              <w:top w:val="single" w:sz="4" w:space="0" w:color="auto"/>
              <w:left w:val="single" w:sz="4" w:space="0" w:color="auto"/>
              <w:bottom w:val="single" w:sz="4" w:space="0" w:color="auto"/>
              <w:right w:val="single" w:sz="4" w:space="0" w:color="auto"/>
            </w:tcBorders>
            <w:vAlign w:val="center"/>
          </w:tcPr>
          <w:p w14:paraId="041BEBDC"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r>
      <w:tr w:rsidR="00EC2DF4" w:rsidRPr="00EC2DF4" w14:paraId="4D1A3FED" w14:textId="77777777" w:rsidTr="00EC2DF4">
        <w:trPr>
          <w:cantSplit/>
          <w:trHeight w:val="185"/>
          <w:jc w:val="center"/>
        </w:trPr>
        <w:tc>
          <w:tcPr>
            <w:tcW w:w="767" w:type="dxa"/>
            <w:vMerge/>
            <w:tcBorders>
              <w:left w:val="single" w:sz="4" w:space="0" w:color="auto"/>
              <w:right w:val="single" w:sz="4" w:space="0" w:color="auto"/>
            </w:tcBorders>
            <w:textDirection w:val="btLr"/>
            <w:vAlign w:val="center"/>
          </w:tcPr>
          <w:p w14:paraId="41DA4026"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5A9D233C" w14:textId="334A3B86"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RM4</w:t>
            </w:r>
          </w:p>
        </w:tc>
        <w:tc>
          <w:tcPr>
            <w:tcW w:w="1276" w:type="dxa"/>
            <w:tcBorders>
              <w:top w:val="single" w:sz="4" w:space="0" w:color="auto"/>
              <w:left w:val="single" w:sz="4" w:space="0" w:color="auto"/>
              <w:bottom w:val="single" w:sz="4" w:space="0" w:color="auto"/>
              <w:right w:val="single" w:sz="4" w:space="0" w:color="auto"/>
            </w:tcBorders>
            <w:vAlign w:val="center"/>
          </w:tcPr>
          <w:p w14:paraId="0806ADF8"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959" w:type="dxa"/>
            <w:tcBorders>
              <w:top w:val="single" w:sz="4" w:space="0" w:color="auto"/>
              <w:left w:val="single" w:sz="4" w:space="0" w:color="auto"/>
              <w:bottom w:val="single" w:sz="4" w:space="0" w:color="auto"/>
              <w:right w:val="single" w:sz="4" w:space="0" w:color="auto"/>
            </w:tcBorders>
            <w:vAlign w:val="center"/>
          </w:tcPr>
          <w:p w14:paraId="034CBA52"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vAlign w:val="center"/>
          </w:tcPr>
          <w:p w14:paraId="31948A3F"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1104" w:type="dxa"/>
            <w:tcBorders>
              <w:top w:val="single" w:sz="4" w:space="0" w:color="auto"/>
              <w:left w:val="single" w:sz="4" w:space="0" w:color="auto"/>
              <w:bottom w:val="single" w:sz="4" w:space="0" w:color="auto"/>
              <w:right w:val="single" w:sz="4" w:space="0" w:color="auto"/>
            </w:tcBorders>
            <w:vAlign w:val="center"/>
          </w:tcPr>
          <w:p w14:paraId="2A885E0B"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4C8C9D98" w14:textId="77777777" w:rsidR="00EC2DF4" w:rsidRPr="004A5BF7" w:rsidRDefault="00EC2DF4" w:rsidP="004A5BF7">
            <w:pPr>
              <w:spacing w:beforeLines="20" w:before="48" w:afterLines="20" w:after="48"/>
              <w:jc w:val="center"/>
              <w:rPr>
                <w:rFonts w:cs="Arial"/>
                <w:sz w:val="18"/>
                <w:szCs w:val="18"/>
                <w:lang w:val="en-US"/>
              </w:rPr>
            </w:pPr>
            <w:r w:rsidRPr="004A5BF7">
              <w:rPr>
                <w:rFonts w:cs="Arial"/>
                <w:b/>
                <w:sz w:val="18"/>
                <w:szCs w:val="18"/>
                <w:lang w:val="en-US"/>
              </w:rPr>
              <w:t>√</w:t>
            </w:r>
          </w:p>
        </w:tc>
      </w:tr>
      <w:tr w:rsidR="00EC2DF4" w:rsidRPr="00EC2DF4" w14:paraId="7E2E3186" w14:textId="77777777" w:rsidTr="00EC2DF4">
        <w:trPr>
          <w:cantSplit/>
          <w:trHeight w:val="104"/>
          <w:jc w:val="center"/>
        </w:trPr>
        <w:tc>
          <w:tcPr>
            <w:tcW w:w="767" w:type="dxa"/>
            <w:vMerge/>
            <w:tcBorders>
              <w:left w:val="single" w:sz="4" w:space="0" w:color="auto"/>
              <w:right w:val="single" w:sz="4" w:space="0" w:color="auto"/>
            </w:tcBorders>
            <w:textDirection w:val="btLr"/>
            <w:vAlign w:val="center"/>
          </w:tcPr>
          <w:p w14:paraId="44BC0629"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0313327B" w14:textId="6CDBBBAE"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High Island East</w:t>
            </w:r>
          </w:p>
        </w:tc>
        <w:tc>
          <w:tcPr>
            <w:tcW w:w="1276" w:type="dxa"/>
            <w:tcBorders>
              <w:top w:val="single" w:sz="4" w:space="0" w:color="auto"/>
              <w:left w:val="single" w:sz="4" w:space="0" w:color="auto"/>
              <w:bottom w:val="single" w:sz="4" w:space="0" w:color="auto"/>
              <w:right w:val="single" w:sz="4" w:space="0" w:color="auto"/>
            </w:tcBorders>
            <w:vAlign w:val="center"/>
          </w:tcPr>
          <w:p w14:paraId="7C5CFCDD"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959" w:type="dxa"/>
            <w:tcBorders>
              <w:top w:val="single" w:sz="4" w:space="0" w:color="auto"/>
              <w:left w:val="single" w:sz="4" w:space="0" w:color="auto"/>
              <w:bottom w:val="single" w:sz="4" w:space="0" w:color="auto"/>
              <w:right w:val="single" w:sz="4" w:space="0" w:color="auto"/>
            </w:tcBorders>
            <w:vAlign w:val="center"/>
          </w:tcPr>
          <w:p w14:paraId="165D9E6D"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vAlign w:val="center"/>
          </w:tcPr>
          <w:p w14:paraId="2093840E"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1104" w:type="dxa"/>
            <w:tcBorders>
              <w:top w:val="single" w:sz="4" w:space="0" w:color="auto"/>
              <w:left w:val="single" w:sz="4" w:space="0" w:color="auto"/>
              <w:bottom w:val="single" w:sz="4" w:space="0" w:color="auto"/>
              <w:right w:val="single" w:sz="4" w:space="0" w:color="auto"/>
            </w:tcBorders>
            <w:vAlign w:val="center"/>
          </w:tcPr>
          <w:p w14:paraId="563DD95D"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1DC89B2E" w14:textId="77777777" w:rsidR="00EC2DF4" w:rsidRPr="004A5BF7" w:rsidRDefault="00EC2DF4" w:rsidP="004A5BF7">
            <w:pPr>
              <w:spacing w:beforeLines="20" w:before="48" w:afterLines="20" w:after="48"/>
              <w:jc w:val="center"/>
              <w:rPr>
                <w:rFonts w:cs="Arial"/>
                <w:sz w:val="18"/>
                <w:szCs w:val="18"/>
                <w:lang w:val="en-US"/>
              </w:rPr>
            </w:pPr>
            <w:r w:rsidRPr="004A5BF7">
              <w:rPr>
                <w:rFonts w:cs="Arial"/>
                <w:b/>
                <w:sz w:val="18"/>
                <w:szCs w:val="18"/>
                <w:lang w:val="en-US"/>
              </w:rPr>
              <w:t>√</w:t>
            </w:r>
          </w:p>
        </w:tc>
      </w:tr>
      <w:tr w:rsidR="00EC2DF4" w:rsidRPr="00EC2DF4" w14:paraId="6BA83743" w14:textId="77777777" w:rsidTr="00EC2DF4">
        <w:trPr>
          <w:cantSplit/>
          <w:trHeight w:val="121"/>
          <w:jc w:val="center"/>
        </w:trPr>
        <w:tc>
          <w:tcPr>
            <w:tcW w:w="767" w:type="dxa"/>
            <w:vMerge/>
            <w:tcBorders>
              <w:left w:val="single" w:sz="4" w:space="0" w:color="auto"/>
              <w:right w:val="single" w:sz="4" w:space="0" w:color="auto"/>
            </w:tcBorders>
            <w:textDirection w:val="btLr"/>
            <w:vAlign w:val="center"/>
          </w:tcPr>
          <w:p w14:paraId="04144282"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4D2EEB66" w14:textId="7C4527C9"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Normanby Island</w:t>
            </w:r>
          </w:p>
        </w:tc>
        <w:tc>
          <w:tcPr>
            <w:tcW w:w="1276" w:type="dxa"/>
            <w:tcBorders>
              <w:top w:val="single" w:sz="4" w:space="0" w:color="auto"/>
              <w:left w:val="single" w:sz="4" w:space="0" w:color="auto"/>
              <w:bottom w:val="single" w:sz="4" w:space="0" w:color="auto"/>
              <w:right w:val="single" w:sz="4" w:space="0" w:color="auto"/>
            </w:tcBorders>
            <w:vAlign w:val="center"/>
          </w:tcPr>
          <w:p w14:paraId="2E201E7A"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959" w:type="dxa"/>
            <w:tcBorders>
              <w:top w:val="single" w:sz="4" w:space="0" w:color="auto"/>
              <w:left w:val="single" w:sz="4" w:space="0" w:color="auto"/>
              <w:bottom w:val="single" w:sz="4" w:space="0" w:color="auto"/>
              <w:right w:val="single" w:sz="4" w:space="0" w:color="auto"/>
            </w:tcBorders>
            <w:vAlign w:val="center"/>
          </w:tcPr>
          <w:p w14:paraId="213DEB17"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1176" w:type="dxa"/>
            <w:tcBorders>
              <w:top w:val="single" w:sz="4" w:space="0" w:color="auto"/>
              <w:left w:val="single" w:sz="4" w:space="0" w:color="auto"/>
              <w:bottom w:val="single" w:sz="4" w:space="0" w:color="auto"/>
              <w:right w:val="single" w:sz="4" w:space="0" w:color="auto"/>
            </w:tcBorders>
            <w:vAlign w:val="center"/>
          </w:tcPr>
          <w:p w14:paraId="5F7090BE" w14:textId="77777777" w:rsidR="00EC2DF4" w:rsidRPr="00C25EF7" w:rsidRDefault="00EC2DF4" w:rsidP="004A5BF7">
            <w:pPr>
              <w:spacing w:beforeLines="20" w:before="48" w:afterLines="20" w:after="48"/>
              <w:jc w:val="center"/>
              <w:rPr>
                <w:rFonts w:cs="Arial"/>
                <w:b/>
                <w:color w:val="000000"/>
                <w:sz w:val="18"/>
                <w:szCs w:val="18"/>
                <w:lang w:val="en-US" w:eastAsia="en-AU"/>
              </w:rPr>
            </w:pPr>
          </w:p>
        </w:tc>
        <w:tc>
          <w:tcPr>
            <w:tcW w:w="1104" w:type="dxa"/>
            <w:tcBorders>
              <w:top w:val="single" w:sz="4" w:space="0" w:color="auto"/>
              <w:left w:val="single" w:sz="4" w:space="0" w:color="auto"/>
              <w:bottom w:val="single" w:sz="4" w:space="0" w:color="auto"/>
              <w:right w:val="single" w:sz="4" w:space="0" w:color="auto"/>
            </w:tcBorders>
            <w:vAlign w:val="center"/>
          </w:tcPr>
          <w:p w14:paraId="7C6DBC7C"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18E4DDBB" w14:textId="77777777" w:rsidR="00EC2DF4" w:rsidRPr="004A5BF7" w:rsidRDefault="00EC2DF4" w:rsidP="004A5BF7">
            <w:pPr>
              <w:spacing w:beforeLines="20" w:before="48" w:afterLines="20" w:after="48"/>
              <w:jc w:val="center"/>
              <w:rPr>
                <w:rFonts w:cs="Arial"/>
                <w:sz w:val="18"/>
                <w:szCs w:val="18"/>
                <w:lang w:val="en-US"/>
              </w:rPr>
            </w:pPr>
            <w:r w:rsidRPr="004A5BF7">
              <w:rPr>
                <w:rFonts w:cs="Arial"/>
                <w:b/>
                <w:sz w:val="18"/>
                <w:szCs w:val="18"/>
                <w:lang w:val="en-US"/>
              </w:rPr>
              <w:t>√</w:t>
            </w:r>
          </w:p>
        </w:tc>
      </w:tr>
      <w:tr w:rsidR="00EC2DF4" w:rsidRPr="00EC2DF4" w14:paraId="3A043BBE" w14:textId="77777777" w:rsidTr="00EC2DF4">
        <w:trPr>
          <w:cantSplit/>
          <w:trHeight w:val="110"/>
          <w:jc w:val="center"/>
        </w:trPr>
        <w:tc>
          <w:tcPr>
            <w:tcW w:w="767" w:type="dxa"/>
            <w:vMerge/>
            <w:tcBorders>
              <w:left w:val="single" w:sz="4" w:space="0" w:color="auto"/>
              <w:right w:val="single" w:sz="4" w:space="0" w:color="auto"/>
            </w:tcBorders>
            <w:textDirection w:val="btLr"/>
            <w:vAlign w:val="center"/>
          </w:tcPr>
          <w:p w14:paraId="23C14DE4"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F5CE852" w14:textId="18482BB4" w:rsidR="00EC2DF4" w:rsidRPr="004A5BF7" w:rsidRDefault="00EC2DF4" w:rsidP="004A5BF7">
            <w:pPr>
              <w:spacing w:beforeLines="20" w:before="48" w:afterLines="20" w:after="48"/>
              <w:jc w:val="left"/>
              <w:rPr>
                <w:rFonts w:cs="Arial"/>
                <w:b/>
                <w:color w:val="000000"/>
                <w:sz w:val="18"/>
                <w:szCs w:val="18"/>
                <w:lang w:val="en-US" w:eastAsia="en-AU"/>
              </w:rPr>
            </w:pPr>
            <w:r w:rsidRPr="004A5BF7">
              <w:rPr>
                <w:rFonts w:cs="Arial"/>
                <w:b/>
                <w:color w:val="000000"/>
                <w:sz w:val="18"/>
                <w:szCs w:val="18"/>
                <w:lang w:val="en-US" w:eastAsia="en-AU"/>
              </w:rPr>
              <w:t>Frankland Group West (Russell Island)</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1A4F87A"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tcPr>
          <w:p w14:paraId="50DD14B2"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4C6FC93B"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7787AABB"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2AADC105" w14:textId="77777777" w:rsidR="00EC2DF4" w:rsidRPr="004A5BF7" w:rsidRDefault="00EC2DF4" w:rsidP="004A5BF7">
            <w:pPr>
              <w:spacing w:beforeLines="20" w:before="48" w:afterLines="20" w:after="48"/>
              <w:jc w:val="center"/>
              <w:rPr>
                <w:rFonts w:cs="Arial"/>
                <w:b/>
                <w:sz w:val="18"/>
                <w:szCs w:val="18"/>
                <w:lang w:val="en-US"/>
              </w:rPr>
            </w:pPr>
          </w:p>
        </w:tc>
      </w:tr>
      <w:tr w:rsidR="00EC2DF4" w:rsidRPr="00EC2DF4" w14:paraId="4C188EC2"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2FAB2F3A"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4F74B905" w14:textId="49D5F1D4" w:rsidR="00EC2DF4" w:rsidRPr="004A5BF7" w:rsidRDefault="00EC2DF4" w:rsidP="004A5BF7">
            <w:pPr>
              <w:spacing w:beforeLines="20" w:before="48" w:afterLines="20" w:after="48"/>
              <w:jc w:val="left"/>
              <w:rPr>
                <w:rFonts w:cs="Arial"/>
                <w:b/>
                <w:color w:val="000000"/>
                <w:sz w:val="18"/>
                <w:szCs w:val="18"/>
                <w:lang w:val="en-US" w:eastAsia="en-AU"/>
              </w:rPr>
            </w:pPr>
            <w:r w:rsidRPr="004A5BF7">
              <w:rPr>
                <w:rFonts w:cs="Arial"/>
                <w:b/>
                <w:color w:val="000000"/>
                <w:sz w:val="18"/>
                <w:szCs w:val="18"/>
                <w:lang w:val="en-US" w:eastAsia="en-AU"/>
              </w:rPr>
              <w:t>High Island West</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CA33995"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hideMark/>
          </w:tcPr>
          <w:p w14:paraId="2CE4E3A5"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1176" w:type="dxa"/>
            <w:tcBorders>
              <w:top w:val="single" w:sz="4" w:space="0" w:color="auto"/>
              <w:left w:val="single" w:sz="4" w:space="0" w:color="auto"/>
              <w:bottom w:val="single" w:sz="4" w:space="0" w:color="auto"/>
              <w:right w:val="single" w:sz="4" w:space="0" w:color="auto"/>
            </w:tcBorders>
            <w:vAlign w:val="center"/>
            <w:hideMark/>
          </w:tcPr>
          <w:p w14:paraId="63FDF49A"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209D929C"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580E3C45" w14:textId="77777777" w:rsidR="00EC2DF4" w:rsidRPr="004A5BF7" w:rsidRDefault="00EC2DF4" w:rsidP="004A5BF7">
            <w:pPr>
              <w:spacing w:beforeLines="20" w:before="48" w:afterLines="20" w:after="48"/>
              <w:jc w:val="center"/>
              <w:rPr>
                <w:rFonts w:cs="Arial"/>
                <w:b/>
                <w:sz w:val="18"/>
                <w:szCs w:val="18"/>
                <w:lang w:val="en-US"/>
              </w:rPr>
            </w:pPr>
          </w:p>
        </w:tc>
      </w:tr>
      <w:tr w:rsidR="00EC2DF4" w:rsidRPr="00EC2DF4" w14:paraId="63A81091"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046047E8"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652973DA" w14:textId="553F9C69"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Palmer Point</w:t>
            </w:r>
          </w:p>
        </w:tc>
        <w:tc>
          <w:tcPr>
            <w:tcW w:w="1276" w:type="dxa"/>
            <w:tcBorders>
              <w:top w:val="single" w:sz="4" w:space="0" w:color="auto"/>
              <w:left w:val="single" w:sz="4" w:space="0" w:color="auto"/>
              <w:bottom w:val="single" w:sz="4" w:space="0" w:color="auto"/>
              <w:right w:val="single" w:sz="4" w:space="0" w:color="auto"/>
            </w:tcBorders>
            <w:vAlign w:val="center"/>
          </w:tcPr>
          <w:p w14:paraId="7604029C"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12E51D6D"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7AA690B9" w14:textId="77777777" w:rsidR="00EC2DF4" w:rsidRPr="004A5BF7" w:rsidRDefault="00EC2DF4" w:rsidP="004A5BF7">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630AF6E6"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36AED2C3"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r>
      <w:tr w:rsidR="00EC2DF4" w:rsidRPr="00EC2DF4" w14:paraId="54C2C2AB"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04DE1519"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4190705B" w14:textId="7CB34800"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Russell-Mulgrave River mouth mooring</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96C66C5"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hideMark/>
          </w:tcPr>
          <w:p w14:paraId="1EAF3E81"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1176" w:type="dxa"/>
            <w:tcBorders>
              <w:top w:val="single" w:sz="4" w:space="0" w:color="auto"/>
              <w:left w:val="single" w:sz="4" w:space="0" w:color="auto"/>
              <w:bottom w:val="single" w:sz="4" w:space="0" w:color="auto"/>
              <w:right w:val="single" w:sz="4" w:space="0" w:color="auto"/>
            </w:tcBorders>
            <w:vAlign w:val="center"/>
            <w:hideMark/>
          </w:tcPr>
          <w:p w14:paraId="43FD9169"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71C04BF9"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792F7FB2" w14:textId="77777777" w:rsidR="00EC2DF4" w:rsidRPr="004A5BF7" w:rsidRDefault="00EC2DF4" w:rsidP="004A5BF7">
            <w:pPr>
              <w:spacing w:beforeLines="20" w:before="48" w:afterLines="20" w:after="48"/>
              <w:jc w:val="center"/>
              <w:rPr>
                <w:rFonts w:cs="Arial"/>
                <w:b/>
                <w:sz w:val="18"/>
                <w:szCs w:val="18"/>
                <w:lang w:val="en-US"/>
              </w:rPr>
            </w:pPr>
          </w:p>
        </w:tc>
      </w:tr>
      <w:tr w:rsidR="00EC2DF4" w:rsidRPr="00EC2DF4" w14:paraId="7EA4D1A5" w14:textId="77777777" w:rsidTr="00EC2DF4">
        <w:trPr>
          <w:cantSplit/>
          <w:trHeight w:val="85"/>
          <w:jc w:val="center"/>
        </w:trPr>
        <w:tc>
          <w:tcPr>
            <w:tcW w:w="767" w:type="dxa"/>
            <w:vMerge/>
            <w:tcBorders>
              <w:left w:val="single" w:sz="4" w:space="0" w:color="auto"/>
              <w:right w:val="single" w:sz="4" w:space="0" w:color="auto"/>
            </w:tcBorders>
            <w:textDirection w:val="btLr"/>
            <w:vAlign w:val="center"/>
          </w:tcPr>
          <w:p w14:paraId="56990795"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4EB30A5D" w14:textId="56DC258A"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Russell-Mulgrave River mouth</w:t>
            </w:r>
          </w:p>
        </w:tc>
        <w:tc>
          <w:tcPr>
            <w:tcW w:w="1276" w:type="dxa"/>
            <w:tcBorders>
              <w:top w:val="single" w:sz="4" w:space="0" w:color="auto"/>
              <w:left w:val="single" w:sz="4" w:space="0" w:color="auto"/>
              <w:bottom w:val="single" w:sz="4" w:space="0" w:color="auto"/>
              <w:right w:val="single" w:sz="4" w:space="0" w:color="auto"/>
            </w:tcBorders>
            <w:vAlign w:val="center"/>
          </w:tcPr>
          <w:p w14:paraId="2830FFDE"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7AD49CC5"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498F2974" w14:textId="77777777" w:rsidR="00EC2DF4" w:rsidRPr="004A5BF7" w:rsidRDefault="00EC2DF4" w:rsidP="004A5BF7">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14361299"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797427AF"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r>
      <w:tr w:rsidR="00EC2DF4" w:rsidRPr="00EC2DF4" w14:paraId="2E8954BC" w14:textId="77777777" w:rsidTr="00EC2DF4">
        <w:trPr>
          <w:cantSplit/>
          <w:trHeight w:val="159"/>
          <w:jc w:val="center"/>
        </w:trPr>
        <w:tc>
          <w:tcPr>
            <w:tcW w:w="767" w:type="dxa"/>
            <w:vMerge/>
            <w:tcBorders>
              <w:left w:val="single" w:sz="4" w:space="0" w:color="auto"/>
              <w:right w:val="single" w:sz="4" w:space="0" w:color="auto"/>
            </w:tcBorders>
            <w:textDirection w:val="btLr"/>
            <w:vAlign w:val="center"/>
          </w:tcPr>
          <w:p w14:paraId="6229860E"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140B91B8" w14:textId="47C4C0E9"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Russell-Mulgrave junction [River]</w:t>
            </w:r>
          </w:p>
        </w:tc>
        <w:tc>
          <w:tcPr>
            <w:tcW w:w="1276" w:type="dxa"/>
            <w:tcBorders>
              <w:top w:val="single" w:sz="4" w:space="0" w:color="auto"/>
              <w:left w:val="single" w:sz="4" w:space="0" w:color="auto"/>
              <w:bottom w:val="single" w:sz="4" w:space="0" w:color="auto"/>
              <w:right w:val="single" w:sz="4" w:space="0" w:color="auto"/>
            </w:tcBorders>
            <w:vAlign w:val="center"/>
          </w:tcPr>
          <w:p w14:paraId="38D35B93"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1F6CF663"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32350197" w14:textId="77777777" w:rsidR="00EC2DF4" w:rsidRPr="004A5BF7" w:rsidRDefault="00EC2DF4" w:rsidP="004A5BF7">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368ADE97"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088A0D71"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r>
      <w:tr w:rsidR="00EC2DF4" w:rsidRPr="00EC2DF4" w14:paraId="608DD4E1" w14:textId="77777777" w:rsidTr="00EC2DF4">
        <w:trPr>
          <w:cantSplit/>
          <w:trHeight w:val="70"/>
          <w:jc w:val="center"/>
        </w:trPr>
        <w:tc>
          <w:tcPr>
            <w:tcW w:w="767" w:type="dxa"/>
            <w:vMerge/>
            <w:tcBorders>
              <w:left w:val="single" w:sz="4" w:space="0" w:color="auto"/>
              <w:right w:val="single" w:sz="4" w:space="0" w:color="auto"/>
            </w:tcBorders>
            <w:shd w:val="clear" w:color="auto" w:fill="F2F2F2" w:themeFill="background1" w:themeFillShade="F2"/>
            <w:textDirection w:val="btLr"/>
            <w:vAlign w:val="center"/>
          </w:tcPr>
          <w:p w14:paraId="5F87CDEF" w14:textId="77777777" w:rsidR="00EC2DF4" w:rsidRPr="00C25EF7" w:rsidRDefault="00EC2DF4" w:rsidP="004A5BF7">
            <w:pPr>
              <w:spacing w:beforeLines="20" w:before="48" w:afterLines="20" w:after="48"/>
              <w:ind w:left="113" w:right="113"/>
              <w:jc w:val="center"/>
              <w:rPr>
                <w:rFonts w:cs="Arial"/>
                <w:b/>
                <w:i/>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5846AF7" w14:textId="6E08B800" w:rsidR="00EC2DF4" w:rsidRPr="00C25EF7" w:rsidRDefault="00EC2DF4" w:rsidP="004A5BF7">
            <w:pPr>
              <w:spacing w:beforeLines="20" w:before="48" w:afterLines="20" w:after="48"/>
              <w:jc w:val="left"/>
              <w:rPr>
                <w:rFonts w:cs="Arial"/>
                <w:b/>
                <w:i/>
                <w:color w:val="000000"/>
                <w:sz w:val="18"/>
                <w:szCs w:val="18"/>
                <w:lang w:val="en-US" w:eastAsia="en-AU"/>
              </w:rPr>
            </w:pPr>
            <w:r w:rsidRPr="00C25EF7">
              <w:rPr>
                <w:rFonts w:cs="Arial"/>
                <w:b/>
                <w:i/>
                <w:color w:val="000000"/>
                <w:sz w:val="18"/>
                <w:szCs w:val="18"/>
                <w:lang w:val="en-US" w:eastAsia="en-AU"/>
              </w:rPr>
              <w:t>Tully Focus Area</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D9F30C5"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F1ED254"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C77C0E9" w14:textId="77777777" w:rsidR="00EC2DF4" w:rsidRPr="004A5BF7" w:rsidRDefault="00EC2DF4" w:rsidP="004A5BF7">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9308B74"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662AEB0" w14:textId="77777777" w:rsidR="00EC2DF4" w:rsidRPr="004A5BF7" w:rsidRDefault="00EC2DF4" w:rsidP="004A5BF7">
            <w:pPr>
              <w:spacing w:beforeLines="20" w:before="48" w:afterLines="20" w:after="48"/>
              <w:jc w:val="center"/>
              <w:rPr>
                <w:rFonts w:cs="Arial"/>
                <w:b/>
                <w:sz w:val="18"/>
                <w:szCs w:val="18"/>
                <w:lang w:val="en-US"/>
              </w:rPr>
            </w:pPr>
          </w:p>
        </w:tc>
      </w:tr>
      <w:tr w:rsidR="00EC2DF4" w:rsidRPr="00EC2DF4" w14:paraId="7D5C56A0"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713EC66B"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3C2C9953" w14:textId="77F4466D"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King Reef</w:t>
            </w:r>
          </w:p>
        </w:tc>
        <w:tc>
          <w:tcPr>
            <w:tcW w:w="1276" w:type="dxa"/>
            <w:tcBorders>
              <w:top w:val="single" w:sz="4" w:space="0" w:color="auto"/>
              <w:left w:val="single" w:sz="4" w:space="0" w:color="auto"/>
              <w:bottom w:val="single" w:sz="4" w:space="0" w:color="auto"/>
              <w:right w:val="single" w:sz="4" w:space="0" w:color="auto"/>
            </w:tcBorders>
            <w:vAlign w:val="center"/>
          </w:tcPr>
          <w:p w14:paraId="58D308F9"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330C3058"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75A76B6B" w14:textId="77777777" w:rsidR="00EC2DF4" w:rsidRPr="004A5BF7" w:rsidRDefault="00EC2DF4" w:rsidP="004A5BF7">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32D0E4B4"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12E2988C"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r>
      <w:tr w:rsidR="00EC2DF4" w:rsidRPr="00EC2DF4" w14:paraId="2649547F"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4143DBD2"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5A743002" w14:textId="104EFCC5"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East Clump Point</w:t>
            </w:r>
          </w:p>
        </w:tc>
        <w:tc>
          <w:tcPr>
            <w:tcW w:w="1276" w:type="dxa"/>
            <w:tcBorders>
              <w:top w:val="single" w:sz="4" w:space="0" w:color="auto"/>
              <w:left w:val="single" w:sz="4" w:space="0" w:color="auto"/>
              <w:bottom w:val="single" w:sz="4" w:space="0" w:color="auto"/>
              <w:right w:val="single" w:sz="4" w:space="0" w:color="auto"/>
            </w:tcBorders>
            <w:vAlign w:val="center"/>
          </w:tcPr>
          <w:p w14:paraId="70A2B551"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D12DF29"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4807EFC0"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73857A01"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62A66FB9" w14:textId="77777777" w:rsidR="00EC2DF4" w:rsidRPr="004A5BF7" w:rsidRDefault="00EC2DF4" w:rsidP="004A5BF7">
            <w:pPr>
              <w:spacing w:beforeLines="20" w:before="48" w:afterLines="20" w:after="48"/>
              <w:jc w:val="center"/>
              <w:rPr>
                <w:rFonts w:cs="Arial"/>
                <w:b/>
                <w:sz w:val="18"/>
                <w:szCs w:val="18"/>
                <w:lang w:val="en-US"/>
              </w:rPr>
            </w:pPr>
          </w:p>
        </w:tc>
      </w:tr>
      <w:tr w:rsidR="00EC2DF4" w:rsidRPr="00EC2DF4" w14:paraId="58C49ACF"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4A562046"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663B5065" w14:textId="6354E15A" w:rsidR="00EC2DF4" w:rsidRPr="004A5BF7" w:rsidRDefault="00EC2DF4" w:rsidP="004A5BF7">
            <w:pPr>
              <w:spacing w:beforeLines="20" w:before="48" w:afterLines="20" w:after="48"/>
              <w:jc w:val="left"/>
              <w:rPr>
                <w:rFonts w:cs="Arial"/>
                <w:b/>
                <w:color w:val="000000"/>
                <w:sz w:val="18"/>
                <w:szCs w:val="18"/>
                <w:lang w:val="en-US" w:eastAsia="en-AU"/>
              </w:rPr>
            </w:pPr>
            <w:r w:rsidRPr="004A5BF7">
              <w:rPr>
                <w:rFonts w:cs="Arial"/>
                <w:b/>
                <w:color w:val="000000"/>
                <w:sz w:val="18"/>
                <w:szCs w:val="18"/>
                <w:lang w:val="en-US" w:eastAsia="en-AU"/>
              </w:rPr>
              <w:t>Dunk Island North</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427DB88"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hideMark/>
          </w:tcPr>
          <w:p w14:paraId="781DB064"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1176" w:type="dxa"/>
            <w:tcBorders>
              <w:top w:val="single" w:sz="4" w:space="0" w:color="auto"/>
              <w:left w:val="single" w:sz="4" w:space="0" w:color="auto"/>
              <w:bottom w:val="single" w:sz="4" w:space="0" w:color="auto"/>
              <w:right w:val="single" w:sz="4" w:space="0" w:color="auto"/>
            </w:tcBorders>
            <w:vAlign w:val="center"/>
            <w:hideMark/>
          </w:tcPr>
          <w:p w14:paraId="2604F12E"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26A52723"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28DB30C0" w14:textId="77777777" w:rsidR="00EC2DF4" w:rsidRPr="004A5BF7" w:rsidRDefault="00EC2DF4" w:rsidP="004A5BF7">
            <w:pPr>
              <w:spacing w:beforeLines="20" w:before="48" w:afterLines="20" w:after="48"/>
              <w:jc w:val="center"/>
              <w:rPr>
                <w:rFonts w:cs="Arial"/>
                <w:b/>
                <w:sz w:val="18"/>
                <w:szCs w:val="18"/>
                <w:lang w:val="en-US"/>
              </w:rPr>
            </w:pPr>
          </w:p>
        </w:tc>
      </w:tr>
      <w:tr w:rsidR="00EC2DF4" w:rsidRPr="00EC2DF4" w14:paraId="0D7956EE"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3ACF59DB"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0973DAA2" w14:textId="6520EA74"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South Mission Beach</w:t>
            </w:r>
          </w:p>
        </w:tc>
        <w:tc>
          <w:tcPr>
            <w:tcW w:w="1276" w:type="dxa"/>
            <w:tcBorders>
              <w:top w:val="single" w:sz="4" w:space="0" w:color="auto"/>
              <w:left w:val="single" w:sz="4" w:space="0" w:color="auto"/>
              <w:bottom w:val="single" w:sz="4" w:space="0" w:color="auto"/>
              <w:right w:val="single" w:sz="4" w:space="0" w:color="auto"/>
            </w:tcBorders>
            <w:vAlign w:val="center"/>
          </w:tcPr>
          <w:p w14:paraId="57A8AD18"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7D054749"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4E8CA5FE" w14:textId="77777777" w:rsidR="00EC2DF4" w:rsidRPr="004A5BF7" w:rsidRDefault="00EC2DF4" w:rsidP="004A5BF7">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04C8DF76"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93171B5"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r>
      <w:tr w:rsidR="00EC2DF4" w:rsidRPr="00EC2DF4" w14:paraId="232D5EA4"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66E56546"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0308A7C8" w14:textId="3FB6E7BF"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Dunk Island South East</w:t>
            </w:r>
          </w:p>
        </w:tc>
        <w:tc>
          <w:tcPr>
            <w:tcW w:w="1276" w:type="dxa"/>
            <w:tcBorders>
              <w:top w:val="single" w:sz="4" w:space="0" w:color="auto"/>
              <w:left w:val="single" w:sz="4" w:space="0" w:color="auto"/>
              <w:bottom w:val="single" w:sz="4" w:space="0" w:color="auto"/>
              <w:right w:val="single" w:sz="4" w:space="0" w:color="auto"/>
            </w:tcBorders>
            <w:vAlign w:val="center"/>
          </w:tcPr>
          <w:p w14:paraId="21D0923C"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5986D9D8"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25600957"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70530839"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3C6F66B2" w14:textId="77777777" w:rsidR="00EC2DF4" w:rsidRPr="004A5BF7" w:rsidRDefault="00EC2DF4" w:rsidP="004A5BF7">
            <w:pPr>
              <w:spacing w:beforeLines="20" w:before="48" w:afterLines="20" w:after="48"/>
              <w:jc w:val="center"/>
              <w:rPr>
                <w:rFonts w:cs="Arial"/>
                <w:b/>
                <w:sz w:val="18"/>
                <w:szCs w:val="18"/>
                <w:lang w:val="en-US"/>
              </w:rPr>
            </w:pPr>
          </w:p>
        </w:tc>
      </w:tr>
      <w:tr w:rsidR="00EC2DF4" w:rsidRPr="00EC2DF4" w14:paraId="522D15E9"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6C0EDAE1"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1E94711A" w14:textId="096B14EF"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Between Tam O'Shanter and Timana</w:t>
            </w:r>
          </w:p>
        </w:tc>
        <w:tc>
          <w:tcPr>
            <w:tcW w:w="1276" w:type="dxa"/>
            <w:tcBorders>
              <w:top w:val="single" w:sz="4" w:space="0" w:color="auto"/>
              <w:left w:val="single" w:sz="4" w:space="0" w:color="auto"/>
              <w:bottom w:val="single" w:sz="4" w:space="0" w:color="auto"/>
              <w:right w:val="single" w:sz="4" w:space="0" w:color="auto"/>
            </w:tcBorders>
            <w:vAlign w:val="center"/>
          </w:tcPr>
          <w:p w14:paraId="2E0F670E"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1FF14FEA"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079396F5"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4412EB67"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24DDA350" w14:textId="77777777" w:rsidR="00EC2DF4" w:rsidRPr="004A5BF7" w:rsidRDefault="00EC2DF4" w:rsidP="004A5BF7">
            <w:pPr>
              <w:spacing w:beforeLines="20" w:before="48" w:afterLines="20" w:after="48"/>
              <w:jc w:val="center"/>
              <w:rPr>
                <w:rFonts w:cs="Arial"/>
                <w:b/>
                <w:sz w:val="18"/>
                <w:szCs w:val="18"/>
                <w:lang w:val="en-US"/>
              </w:rPr>
            </w:pPr>
          </w:p>
        </w:tc>
      </w:tr>
      <w:tr w:rsidR="00EC2DF4" w:rsidRPr="00EC2DF4" w14:paraId="4C8A01DC"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5DFA3F5D"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6AE6782" w14:textId="10EFE393"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Hull River mouth</w:t>
            </w:r>
          </w:p>
        </w:tc>
        <w:tc>
          <w:tcPr>
            <w:tcW w:w="1276" w:type="dxa"/>
            <w:tcBorders>
              <w:top w:val="single" w:sz="4" w:space="0" w:color="auto"/>
              <w:left w:val="single" w:sz="4" w:space="0" w:color="auto"/>
              <w:bottom w:val="single" w:sz="4" w:space="0" w:color="auto"/>
              <w:right w:val="single" w:sz="4" w:space="0" w:color="auto"/>
            </w:tcBorders>
            <w:vAlign w:val="center"/>
          </w:tcPr>
          <w:p w14:paraId="2000C3E6"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58680746"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9EBF587" w14:textId="77777777" w:rsidR="00EC2DF4" w:rsidRPr="004A5BF7" w:rsidRDefault="00EC2DF4" w:rsidP="004A5BF7">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5C370180"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454173F3"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r>
      <w:tr w:rsidR="00EC2DF4" w:rsidRPr="00EC2DF4" w14:paraId="0B9CA6BA"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7B7A47DA"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657645D6" w14:textId="645DBF21"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Bedarra Island</w:t>
            </w:r>
          </w:p>
        </w:tc>
        <w:tc>
          <w:tcPr>
            <w:tcW w:w="1276" w:type="dxa"/>
            <w:tcBorders>
              <w:top w:val="single" w:sz="4" w:space="0" w:color="auto"/>
              <w:left w:val="single" w:sz="4" w:space="0" w:color="auto"/>
              <w:bottom w:val="single" w:sz="4" w:space="0" w:color="auto"/>
              <w:right w:val="single" w:sz="4" w:space="0" w:color="auto"/>
            </w:tcBorders>
            <w:vAlign w:val="center"/>
          </w:tcPr>
          <w:p w14:paraId="7E040E8B"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7CAEF2B6"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5EA23902"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1071FC8A"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7FF1E271" w14:textId="77777777" w:rsidR="00EC2DF4" w:rsidRPr="004A5BF7" w:rsidRDefault="00EC2DF4" w:rsidP="004A5BF7">
            <w:pPr>
              <w:spacing w:beforeLines="20" w:before="48" w:afterLines="20" w:after="48"/>
              <w:jc w:val="center"/>
              <w:rPr>
                <w:rFonts w:cs="Arial"/>
                <w:b/>
                <w:sz w:val="18"/>
                <w:szCs w:val="18"/>
                <w:lang w:val="en-US"/>
              </w:rPr>
            </w:pPr>
          </w:p>
        </w:tc>
      </w:tr>
      <w:tr w:rsidR="00EC2DF4" w:rsidRPr="00EC2DF4" w14:paraId="384BC819"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715FFCCE"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13B4F162" w14:textId="1D23617F"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Triplets</w:t>
            </w:r>
          </w:p>
        </w:tc>
        <w:tc>
          <w:tcPr>
            <w:tcW w:w="1276" w:type="dxa"/>
            <w:tcBorders>
              <w:top w:val="single" w:sz="4" w:space="0" w:color="auto"/>
              <w:left w:val="single" w:sz="4" w:space="0" w:color="auto"/>
              <w:bottom w:val="single" w:sz="4" w:space="0" w:color="auto"/>
              <w:right w:val="single" w:sz="4" w:space="0" w:color="auto"/>
            </w:tcBorders>
            <w:vAlign w:val="center"/>
          </w:tcPr>
          <w:p w14:paraId="6A0343EF"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1A5216B9"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5A3E6416" w14:textId="77777777" w:rsidR="00EC2DF4" w:rsidRPr="004A5BF7" w:rsidRDefault="00EC2DF4" w:rsidP="004A5BF7">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269298A1"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60F61CE5"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r>
      <w:tr w:rsidR="00EC2DF4" w:rsidRPr="00EC2DF4" w14:paraId="4D37A613"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6244D32B"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4E483D40" w14:textId="0A726978"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Tully River mouth mooring</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A270A4B"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hideMark/>
          </w:tcPr>
          <w:p w14:paraId="16C29114"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1176" w:type="dxa"/>
            <w:tcBorders>
              <w:top w:val="single" w:sz="4" w:space="0" w:color="auto"/>
              <w:left w:val="single" w:sz="4" w:space="0" w:color="auto"/>
              <w:bottom w:val="single" w:sz="4" w:space="0" w:color="auto"/>
              <w:right w:val="single" w:sz="4" w:space="0" w:color="auto"/>
            </w:tcBorders>
            <w:vAlign w:val="center"/>
            <w:hideMark/>
          </w:tcPr>
          <w:p w14:paraId="414457B9"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75E63B88"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1C86BCC1" w14:textId="77777777" w:rsidR="00EC2DF4" w:rsidRPr="004A5BF7" w:rsidRDefault="00EC2DF4" w:rsidP="004A5BF7">
            <w:pPr>
              <w:spacing w:beforeLines="20" w:before="48" w:afterLines="20" w:after="48"/>
              <w:jc w:val="center"/>
              <w:rPr>
                <w:rFonts w:cs="Arial"/>
                <w:b/>
                <w:sz w:val="18"/>
                <w:szCs w:val="18"/>
                <w:lang w:val="en-US"/>
              </w:rPr>
            </w:pPr>
          </w:p>
        </w:tc>
      </w:tr>
      <w:tr w:rsidR="00EC2DF4" w:rsidRPr="00EC2DF4" w14:paraId="4922FA3F" w14:textId="77777777" w:rsidTr="00EC2DF4">
        <w:trPr>
          <w:cantSplit/>
          <w:trHeight w:val="70"/>
          <w:jc w:val="center"/>
        </w:trPr>
        <w:tc>
          <w:tcPr>
            <w:tcW w:w="767" w:type="dxa"/>
            <w:vMerge/>
            <w:tcBorders>
              <w:left w:val="single" w:sz="4" w:space="0" w:color="auto"/>
              <w:bottom w:val="single" w:sz="4" w:space="0" w:color="auto"/>
              <w:right w:val="single" w:sz="4" w:space="0" w:color="auto"/>
            </w:tcBorders>
            <w:textDirection w:val="btLr"/>
            <w:vAlign w:val="center"/>
          </w:tcPr>
          <w:p w14:paraId="36916252"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6AEAFCD8" w14:textId="056609C4"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Tully River</w:t>
            </w:r>
          </w:p>
        </w:tc>
        <w:tc>
          <w:tcPr>
            <w:tcW w:w="1276" w:type="dxa"/>
            <w:tcBorders>
              <w:top w:val="single" w:sz="4" w:space="0" w:color="auto"/>
              <w:left w:val="single" w:sz="4" w:space="0" w:color="auto"/>
              <w:bottom w:val="single" w:sz="4" w:space="0" w:color="auto"/>
              <w:right w:val="single" w:sz="4" w:space="0" w:color="auto"/>
            </w:tcBorders>
            <w:vAlign w:val="center"/>
          </w:tcPr>
          <w:p w14:paraId="421D7069"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7E6E362C"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65212181" w14:textId="77777777" w:rsidR="00EC2DF4" w:rsidRPr="004A5BF7" w:rsidRDefault="00EC2DF4" w:rsidP="004A5BF7">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430F44E1"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3BD23E9C"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r>
      <w:tr w:rsidR="00EC2DF4" w:rsidRPr="00EC2DF4" w14:paraId="7DC5F352" w14:textId="77777777" w:rsidTr="00EC2DF4">
        <w:trPr>
          <w:cantSplit/>
          <w:trHeight w:val="171"/>
          <w:jc w:val="center"/>
        </w:trPr>
        <w:tc>
          <w:tcPr>
            <w:tcW w:w="767" w:type="dxa"/>
            <w:vMerge w:val="restart"/>
            <w:tcBorders>
              <w:top w:val="single" w:sz="4" w:space="0" w:color="auto"/>
              <w:left w:val="single" w:sz="4" w:space="0" w:color="auto"/>
              <w:right w:val="single" w:sz="4" w:space="0" w:color="auto"/>
            </w:tcBorders>
            <w:shd w:val="clear" w:color="auto" w:fill="F2F2F2" w:themeFill="background1" w:themeFillShade="F2"/>
            <w:textDirection w:val="btLr"/>
            <w:vAlign w:val="center"/>
          </w:tcPr>
          <w:p w14:paraId="713B733A" w14:textId="7B9F74A3" w:rsidR="00EC2DF4" w:rsidRPr="00C25EF7" w:rsidRDefault="00EC2DF4" w:rsidP="004A5BF7">
            <w:pPr>
              <w:spacing w:beforeLines="20" w:before="48" w:afterLines="20" w:after="48"/>
              <w:ind w:left="113" w:right="113"/>
              <w:jc w:val="center"/>
              <w:rPr>
                <w:rFonts w:cs="Arial"/>
                <w:b/>
                <w:i/>
                <w:color w:val="000000"/>
                <w:sz w:val="18"/>
                <w:szCs w:val="18"/>
                <w:lang w:val="en-US" w:eastAsia="en-AU"/>
              </w:rPr>
            </w:pPr>
            <w:r w:rsidRPr="00C25EF7">
              <w:rPr>
                <w:rFonts w:cs="Arial"/>
                <w:b/>
                <w:color w:val="000000"/>
                <w:sz w:val="18"/>
                <w:szCs w:val="18"/>
                <w:lang w:val="en-US" w:eastAsia="en-AU"/>
              </w:rPr>
              <w:t>Burdekin</w:t>
            </w:r>
          </w:p>
        </w:tc>
        <w:tc>
          <w:tcPr>
            <w:tcW w:w="348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F12D9F8" w14:textId="34425ECB" w:rsidR="00EC2DF4" w:rsidRPr="00C25EF7" w:rsidRDefault="00EC2DF4" w:rsidP="004A5BF7">
            <w:pPr>
              <w:spacing w:beforeLines="20" w:before="48" w:afterLines="20" w:after="48"/>
              <w:jc w:val="left"/>
              <w:rPr>
                <w:rFonts w:cs="Arial"/>
                <w:b/>
                <w:i/>
                <w:color w:val="000000"/>
                <w:sz w:val="18"/>
                <w:szCs w:val="18"/>
                <w:lang w:val="en-US" w:eastAsia="en-AU"/>
              </w:rPr>
            </w:pPr>
            <w:r w:rsidRPr="00C25EF7">
              <w:rPr>
                <w:rFonts w:cs="Arial"/>
                <w:b/>
                <w:i/>
                <w:color w:val="000000"/>
                <w:sz w:val="18"/>
                <w:szCs w:val="18"/>
                <w:lang w:val="en-US" w:eastAsia="en-AU"/>
              </w:rPr>
              <w:t>Burdekin Focus Area</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D5F3549"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88BE332"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997DF69" w14:textId="77777777" w:rsidR="00EC2DF4" w:rsidRPr="004A5BF7" w:rsidRDefault="00EC2DF4" w:rsidP="004A5BF7">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262AEB7"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ED567B8" w14:textId="77777777" w:rsidR="00EC2DF4" w:rsidRPr="004A5BF7" w:rsidRDefault="00EC2DF4" w:rsidP="004A5BF7">
            <w:pPr>
              <w:spacing w:beforeLines="20" w:before="48" w:afterLines="20" w:after="48"/>
              <w:jc w:val="center"/>
              <w:rPr>
                <w:rFonts w:cs="Arial"/>
                <w:b/>
                <w:sz w:val="18"/>
                <w:szCs w:val="18"/>
                <w:lang w:val="en-US"/>
              </w:rPr>
            </w:pPr>
          </w:p>
        </w:tc>
      </w:tr>
      <w:tr w:rsidR="00EC2DF4" w:rsidRPr="00EC2DF4" w14:paraId="7BA87FAE" w14:textId="77777777" w:rsidTr="00EC2DF4">
        <w:trPr>
          <w:cantSplit/>
          <w:trHeight w:val="90"/>
          <w:jc w:val="center"/>
        </w:trPr>
        <w:tc>
          <w:tcPr>
            <w:tcW w:w="767" w:type="dxa"/>
            <w:vMerge/>
            <w:tcBorders>
              <w:left w:val="single" w:sz="4" w:space="0" w:color="auto"/>
              <w:right w:val="single" w:sz="4" w:space="0" w:color="auto"/>
            </w:tcBorders>
            <w:textDirection w:val="btLr"/>
            <w:vAlign w:val="center"/>
          </w:tcPr>
          <w:p w14:paraId="3EE1F47F"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E149171" w14:textId="10C05DFA"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Pelorus and Orpheus Island West</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F463C8F"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tcPr>
          <w:p w14:paraId="648E00D4"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36C2BEC6"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681D9223"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517C2B3F" w14:textId="77777777" w:rsidR="00EC2DF4" w:rsidRPr="004A5BF7" w:rsidRDefault="00EC2DF4" w:rsidP="004A5BF7">
            <w:pPr>
              <w:spacing w:beforeLines="20" w:before="48" w:afterLines="20" w:after="48"/>
              <w:jc w:val="center"/>
              <w:rPr>
                <w:rFonts w:cs="Arial"/>
                <w:b/>
                <w:sz w:val="18"/>
                <w:szCs w:val="18"/>
                <w:lang w:val="en-US"/>
              </w:rPr>
            </w:pPr>
          </w:p>
        </w:tc>
      </w:tr>
      <w:tr w:rsidR="00EC2DF4" w:rsidRPr="00EC2DF4" w14:paraId="524E6A32"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6BF64DCB"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0A372FE6" w14:textId="7D6D7A35" w:rsidR="00EC2DF4" w:rsidRPr="004A5BF7" w:rsidRDefault="00EC2DF4" w:rsidP="004A5BF7">
            <w:pPr>
              <w:spacing w:beforeLines="20" w:before="48" w:afterLines="20" w:after="48"/>
              <w:jc w:val="left"/>
              <w:rPr>
                <w:rFonts w:cs="Arial"/>
                <w:b/>
                <w:color w:val="000000"/>
                <w:sz w:val="18"/>
                <w:szCs w:val="18"/>
                <w:lang w:val="en-US" w:eastAsia="en-AU"/>
              </w:rPr>
            </w:pPr>
            <w:r w:rsidRPr="004A5BF7">
              <w:rPr>
                <w:rFonts w:cs="Arial"/>
                <w:b/>
                <w:color w:val="000000"/>
                <w:sz w:val="18"/>
                <w:szCs w:val="18"/>
                <w:lang w:val="en-US" w:eastAsia="en-AU"/>
              </w:rPr>
              <w:t>Pandora Reef</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FE34723"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tcPr>
          <w:p w14:paraId="2D2CE893"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2EE32798"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5B72C40A"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5CD79AF5" w14:textId="77777777" w:rsidR="00EC2DF4" w:rsidRPr="004A5BF7" w:rsidRDefault="00EC2DF4" w:rsidP="004A5BF7">
            <w:pPr>
              <w:spacing w:beforeLines="20" w:before="48" w:afterLines="20" w:after="48"/>
              <w:jc w:val="center"/>
              <w:rPr>
                <w:rFonts w:cs="Arial"/>
                <w:b/>
                <w:sz w:val="18"/>
                <w:szCs w:val="18"/>
                <w:lang w:val="en-US"/>
              </w:rPr>
            </w:pPr>
          </w:p>
        </w:tc>
      </w:tr>
      <w:tr w:rsidR="00EC2DF4" w:rsidRPr="00EC2DF4" w14:paraId="716BAAAD"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793FD997"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54CEB77" w14:textId="63135F67"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Cordelia Rocks</w:t>
            </w:r>
          </w:p>
        </w:tc>
        <w:tc>
          <w:tcPr>
            <w:tcW w:w="1276" w:type="dxa"/>
            <w:tcBorders>
              <w:top w:val="single" w:sz="4" w:space="0" w:color="auto"/>
              <w:left w:val="single" w:sz="4" w:space="0" w:color="auto"/>
              <w:bottom w:val="single" w:sz="4" w:space="0" w:color="auto"/>
              <w:right w:val="single" w:sz="4" w:space="0" w:color="auto"/>
            </w:tcBorders>
            <w:vAlign w:val="center"/>
          </w:tcPr>
          <w:p w14:paraId="60CCB57D"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285B6922"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55DD0655" w14:textId="77777777" w:rsidR="00EC2DF4" w:rsidRPr="004A5BF7" w:rsidRDefault="00EC2DF4" w:rsidP="004A5BF7">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1B48C193"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5136DDF2"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r>
      <w:tr w:rsidR="00EC2DF4" w:rsidRPr="00EC2DF4" w14:paraId="6EFEA8D8"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7EEC473B"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4A7F9B6B" w14:textId="218B7AA1" w:rsidR="00EC2DF4" w:rsidRPr="004A5BF7" w:rsidRDefault="00EC2DF4" w:rsidP="004A5BF7">
            <w:pPr>
              <w:spacing w:beforeLines="20" w:before="48" w:afterLines="20" w:after="48"/>
              <w:jc w:val="left"/>
              <w:rPr>
                <w:rFonts w:cs="Arial"/>
                <w:b/>
                <w:color w:val="000000"/>
                <w:sz w:val="18"/>
                <w:szCs w:val="18"/>
                <w:lang w:val="en-US" w:eastAsia="en-AU"/>
              </w:rPr>
            </w:pPr>
            <w:r w:rsidRPr="004A5BF7">
              <w:rPr>
                <w:rFonts w:cs="Arial"/>
                <w:b/>
                <w:color w:val="000000"/>
                <w:sz w:val="18"/>
                <w:szCs w:val="18"/>
                <w:lang w:val="en-US" w:eastAsia="en-AU"/>
              </w:rPr>
              <w:t>Magnetic Island (Geoffrey Bay)</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CD058D7"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tcPr>
          <w:p w14:paraId="4FECEE12"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4F760AB2"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7E85268D"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5524F1E6" w14:textId="77777777" w:rsidR="00EC2DF4" w:rsidRPr="004A5BF7" w:rsidRDefault="00EC2DF4" w:rsidP="004A5BF7">
            <w:pPr>
              <w:spacing w:beforeLines="20" w:before="48" w:afterLines="20" w:after="48"/>
              <w:jc w:val="center"/>
              <w:rPr>
                <w:rFonts w:cs="Arial"/>
                <w:b/>
                <w:sz w:val="18"/>
                <w:szCs w:val="18"/>
                <w:lang w:val="en-US"/>
              </w:rPr>
            </w:pPr>
          </w:p>
        </w:tc>
      </w:tr>
      <w:tr w:rsidR="00EC2DF4" w:rsidRPr="00EC2DF4" w14:paraId="3FE5B1A9"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3DAE5E6A"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3AA0676C" w14:textId="49758CFB"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Inner Cleveland Bay</w:t>
            </w:r>
          </w:p>
        </w:tc>
        <w:tc>
          <w:tcPr>
            <w:tcW w:w="1276" w:type="dxa"/>
            <w:tcBorders>
              <w:top w:val="single" w:sz="4" w:space="0" w:color="auto"/>
              <w:left w:val="single" w:sz="4" w:space="0" w:color="auto"/>
              <w:bottom w:val="single" w:sz="4" w:space="0" w:color="auto"/>
              <w:right w:val="single" w:sz="4" w:space="0" w:color="auto"/>
            </w:tcBorders>
            <w:vAlign w:val="center"/>
          </w:tcPr>
          <w:p w14:paraId="17AC0F04"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3EC8C6AC"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377A937F" w14:textId="77777777" w:rsidR="00EC2DF4" w:rsidRPr="004A5BF7" w:rsidRDefault="00EC2DF4" w:rsidP="004A5BF7">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74792EE6"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68091D7F"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r>
      <w:tr w:rsidR="00EC2DF4" w:rsidRPr="00EC2DF4" w14:paraId="353068B1"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004809F8"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69DD882B" w14:textId="6568CB31"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Cape Cleveland</w:t>
            </w:r>
          </w:p>
        </w:tc>
        <w:tc>
          <w:tcPr>
            <w:tcW w:w="1276" w:type="dxa"/>
            <w:tcBorders>
              <w:top w:val="single" w:sz="4" w:space="0" w:color="auto"/>
              <w:left w:val="single" w:sz="4" w:space="0" w:color="auto"/>
              <w:bottom w:val="single" w:sz="4" w:space="0" w:color="auto"/>
              <w:right w:val="single" w:sz="4" w:space="0" w:color="auto"/>
            </w:tcBorders>
            <w:vAlign w:val="center"/>
          </w:tcPr>
          <w:p w14:paraId="00B29844"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5E8814E9"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5970EEE" w14:textId="77777777" w:rsidR="00EC2DF4" w:rsidRPr="004A5BF7" w:rsidRDefault="00EC2DF4" w:rsidP="004A5BF7">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2F248F10"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2891210C"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r>
      <w:tr w:rsidR="00EC2DF4" w:rsidRPr="00EC2DF4" w14:paraId="4EFEC420"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024D60B0"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1D2D1137" w14:textId="66B32989"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Haughton 2</w:t>
            </w:r>
          </w:p>
        </w:tc>
        <w:tc>
          <w:tcPr>
            <w:tcW w:w="1276" w:type="dxa"/>
            <w:tcBorders>
              <w:top w:val="single" w:sz="4" w:space="0" w:color="auto"/>
              <w:left w:val="single" w:sz="4" w:space="0" w:color="auto"/>
              <w:bottom w:val="single" w:sz="4" w:space="0" w:color="auto"/>
              <w:right w:val="single" w:sz="4" w:space="0" w:color="auto"/>
            </w:tcBorders>
            <w:vAlign w:val="center"/>
          </w:tcPr>
          <w:p w14:paraId="27972154"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6BE654B3"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7E4C5846"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51E3825E"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200D439D" w14:textId="77777777" w:rsidR="00EC2DF4" w:rsidRPr="004A5BF7" w:rsidRDefault="00EC2DF4" w:rsidP="004A5BF7">
            <w:pPr>
              <w:spacing w:beforeLines="20" w:before="48" w:afterLines="20" w:after="48"/>
              <w:jc w:val="center"/>
              <w:rPr>
                <w:rFonts w:cs="Arial"/>
                <w:b/>
                <w:sz w:val="18"/>
                <w:szCs w:val="18"/>
                <w:lang w:val="en-US"/>
              </w:rPr>
            </w:pPr>
          </w:p>
        </w:tc>
      </w:tr>
      <w:tr w:rsidR="00EC2DF4" w:rsidRPr="00EC2DF4" w14:paraId="1E860CC4"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55E6027B"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1EB6DAE4" w14:textId="6D8301B9"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Haughton River mouth</w:t>
            </w:r>
          </w:p>
        </w:tc>
        <w:tc>
          <w:tcPr>
            <w:tcW w:w="1276" w:type="dxa"/>
            <w:tcBorders>
              <w:top w:val="single" w:sz="4" w:space="0" w:color="auto"/>
              <w:left w:val="single" w:sz="4" w:space="0" w:color="auto"/>
              <w:bottom w:val="single" w:sz="4" w:space="0" w:color="auto"/>
              <w:right w:val="single" w:sz="4" w:space="0" w:color="auto"/>
            </w:tcBorders>
            <w:vAlign w:val="center"/>
          </w:tcPr>
          <w:p w14:paraId="556AB5DC"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79CFA364"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DBC37CE" w14:textId="77777777" w:rsidR="00EC2DF4" w:rsidRPr="004A5BF7" w:rsidRDefault="00EC2DF4" w:rsidP="004A5BF7">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28B592B5"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58C9FE6C"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r>
      <w:tr w:rsidR="00EC2DF4" w:rsidRPr="00EC2DF4" w14:paraId="174E7E94"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59A71BB2"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17A46F95" w14:textId="73FA0538"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Barratta Creek</w:t>
            </w:r>
          </w:p>
        </w:tc>
        <w:tc>
          <w:tcPr>
            <w:tcW w:w="1276" w:type="dxa"/>
            <w:tcBorders>
              <w:top w:val="single" w:sz="4" w:space="0" w:color="auto"/>
              <w:left w:val="single" w:sz="4" w:space="0" w:color="auto"/>
              <w:bottom w:val="single" w:sz="4" w:space="0" w:color="auto"/>
              <w:right w:val="single" w:sz="4" w:space="0" w:color="auto"/>
            </w:tcBorders>
            <w:vAlign w:val="center"/>
          </w:tcPr>
          <w:p w14:paraId="6264C52E"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4EED56F8"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022E3918" w14:textId="77777777" w:rsidR="00EC2DF4" w:rsidRPr="004A5BF7" w:rsidRDefault="00EC2DF4" w:rsidP="004A5BF7">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42510EC2"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3AAFF56E"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r>
      <w:tr w:rsidR="00EC2DF4" w:rsidRPr="00EC2DF4" w14:paraId="1E679143"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3F3AFF42"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395AA8BE" w14:textId="7ADE5A4C"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Yongala IMOS NRS</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7F19DB2"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hideMark/>
          </w:tcPr>
          <w:p w14:paraId="1B3B8B89"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1176" w:type="dxa"/>
            <w:tcBorders>
              <w:top w:val="single" w:sz="4" w:space="0" w:color="auto"/>
              <w:left w:val="single" w:sz="4" w:space="0" w:color="auto"/>
              <w:bottom w:val="single" w:sz="4" w:space="0" w:color="auto"/>
              <w:right w:val="single" w:sz="4" w:space="0" w:color="auto"/>
            </w:tcBorders>
            <w:vAlign w:val="center"/>
          </w:tcPr>
          <w:p w14:paraId="5664C063" w14:textId="77777777" w:rsidR="00EC2DF4" w:rsidRPr="004A5BF7" w:rsidRDefault="00EC2DF4" w:rsidP="004A5BF7">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hideMark/>
          </w:tcPr>
          <w:p w14:paraId="723589F3"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1111" w:type="dxa"/>
            <w:tcBorders>
              <w:top w:val="single" w:sz="4" w:space="0" w:color="auto"/>
              <w:left w:val="single" w:sz="4" w:space="0" w:color="auto"/>
              <w:bottom w:val="single" w:sz="4" w:space="0" w:color="auto"/>
              <w:right w:val="single" w:sz="4" w:space="0" w:color="auto"/>
            </w:tcBorders>
            <w:vAlign w:val="center"/>
          </w:tcPr>
          <w:p w14:paraId="0AFA3660" w14:textId="77777777" w:rsidR="00EC2DF4" w:rsidRPr="004A5BF7" w:rsidRDefault="00EC2DF4" w:rsidP="004A5BF7">
            <w:pPr>
              <w:spacing w:beforeLines="20" w:before="48" w:afterLines="20" w:after="48"/>
              <w:jc w:val="center"/>
              <w:rPr>
                <w:rFonts w:cs="Arial"/>
                <w:b/>
                <w:sz w:val="18"/>
                <w:szCs w:val="18"/>
                <w:lang w:val="en-US"/>
              </w:rPr>
            </w:pPr>
          </w:p>
        </w:tc>
      </w:tr>
      <w:tr w:rsidR="00EC2DF4" w:rsidRPr="00EC2DF4" w14:paraId="600C6918"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47BE7BD7"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063C7D8D" w14:textId="555F654F"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Cape Bowling Green</w:t>
            </w:r>
          </w:p>
        </w:tc>
        <w:tc>
          <w:tcPr>
            <w:tcW w:w="1276" w:type="dxa"/>
            <w:tcBorders>
              <w:top w:val="single" w:sz="4" w:space="0" w:color="auto"/>
              <w:left w:val="single" w:sz="4" w:space="0" w:color="auto"/>
              <w:bottom w:val="single" w:sz="4" w:space="0" w:color="auto"/>
              <w:right w:val="single" w:sz="4" w:space="0" w:color="auto"/>
            </w:tcBorders>
            <w:vAlign w:val="center"/>
          </w:tcPr>
          <w:p w14:paraId="5A53EC93"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60A7AB1A"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1B5BED46" w14:textId="77777777" w:rsidR="00EC2DF4" w:rsidRPr="004A5BF7" w:rsidRDefault="00EC2DF4" w:rsidP="004A5BF7">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30AA4E54"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108BB353"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r>
      <w:tr w:rsidR="00EC2DF4" w:rsidRPr="00EC2DF4" w14:paraId="54668953"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62D333D9"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57289FE0" w14:textId="71A1AF69"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Plantation Creek</w:t>
            </w:r>
          </w:p>
        </w:tc>
        <w:tc>
          <w:tcPr>
            <w:tcW w:w="1276" w:type="dxa"/>
            <w:tcBorders>
              <w:top w:val="single" w:sz="4" w:space="0" w:color="auto"/>
              <w:left w:val="single" w:sz="4" w:space="0" w:color="auto"/>
              <w:bottom w:val="single" w:sz="4" w:space="0" w:color="auto"/>
              <w:right w:val="single" w:sz="4" w:space="0" w:color="auto"/>
            </w:tcBorders>
            <w:vAlign w:val="center"/>
          </w:tcPr>
          <w:p w14:paraId="1E8FF57B"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13C92AE1"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77EC03F" w14:textId="77777777" w:rsidR="00EC2DF4" w:rsidRPr="004A5BF7" w:rsidRDefault="00EC2DF4" w:rsidP="004A5BF7">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44A207CE"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1712384A"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r>
      <w:tr w:rsidR="00EC2DF4" w:rsidRPr="00EC2DF4" w14:paraId="6DB5567B"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48C7C0E1"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7CAF1728" w14:textId="5B78EA77"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Burdekin River mouth mooring</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9C9DB2D"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hideMark/>
          </w:tcPr>
          <w:p w14:paraId="5FEA2B28"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1176" w:type="dxa"/>
            <w:tcBorders>
              <w:top w:val="single" w:sz="4" w:space="0" w:color="auto"/>
              <w:left w:val="single" w:sz="4" w:space="0" w:color="auto"/>
              <w:bottom w:val="single" w:sz="4" w:space="0" w:color="auto"/>
              <w:right w:val="single" w:sz="4" w:space="0" w:color="auto"/>
            </w:tcBorders>
            <w:vAlign w:val="center"/>
            <w:hideMark/>
          </w:tcPr>
          <w:p w14:paraId="35868742"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04FFADC5"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5FBA1A48" w14:textId="77777777" w:rsidR="00EC2DF4" w:rsidRPr="004A5BF7" w:rsidRDefault="00EC2DF4" w:rsidP="004A5BF7">
            <w:pPr>
              <w:spacing w:beforeLines="20" w:before="48" w:afterLines="20" w:after="48"/>
              <w:jc w:val="center"/>
              <w:rPr>
                <w:rFonts w:cs="Arial"/>
                <w:b/>
                <w:sz w:val="18"/>
                <w:szCs w:val="18"/>
                <w:lang w:val="en-US"/>
              </w:rPr>
            </w:pPr>
          </w:p>
        </w:tc>
      </w:tr>
      <w:tr w:rsidR="00EC2DF4" w:rsidRPr="00EC2DF4" w14:paraId="5D8A0083" w14:textId="77777777" w:rsidTr="00EC2DF4">
        <w:trPr>
          <w:cantSplit/>
          <w:trHeight w:val="116"/>
          <w:jc w:val="center"/>
        </w:trPr>
        <w:tc>
          <w:tcPr>
            <w:tcW w:w="767" w:type="dxa"/>
            <w:vMerge/>
            <w:tcBorders>
              <w:left w:val="single" w:sz="4" w:space="0" w:color="auto"/>
              <w:right w:val="single" w:sz="4" w:space="0" w:color="auto"/>
            </w:tcBorders>
            <w:textDirection w:val="btLr"/>
            <w:vAlign w:val="center"/>
          </w:tcPr>
          <w:p w14:paraId="42D024F0"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60C3A41E" w14:textId="323F55ED"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Burdekin Mouth 2</w:t>
            </w:r>
          </w:p>
        </w:tc>
        <w:tc>
          <w:tcPr>
            <w:tcW w:w="1276" w:type="dxa"/>
            <w:tcBorders>
              <w:top w:val="single" w:sz="4" w:space="0" w:color="auto"/>
              <w:left w:val="single" w:sz="4" w:space="0" w:color="auto"/>
              <w:bottom w:val="single" w:sz="4" w:space="0" w:color="auto"/>
              <w:right w:val="single" w:sz="4" w:space="0" w:color="auto"/>
            </w:tcBorders>
            <w:vAlign w:val="center"/>
          </w:tcPr>
          <w:p w14:paraId="24E99A14"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30C8B1EE"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1E5EC7F0" w14:textId="77777777" w:rsidR="00EC2DF4" w:rsidRPr="004A5BF7" w:rsidRDefault="00EC2DF4" w:rsidP="004A5BF7">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3528F8D0"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7FDE06FF"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r>
      <w:tr w:rsidR="00EC2DF4" w:rsidRPr="00EC2DF4" w14:paraId="278C182F" w14:textId="77777777" w:rsidTr="00EC2DF4">
        <w:trPr>
          <w:cantSplit/>
          <w:trHeight w:val="262"/>
          <w:jc w:val="center"/>
        </w:trPr>
        <w:tc>
          <w:tcPr>
            <w:tcW w:w="767" w:type="dxa"/>
            <w:vMerge/>
            <w:tcBorders>
              <w:left w:val="single" w:sz="4" w:space="0" w:color="auto"/>
              <w:bottom w:val="single" w:sz="4" w:space="0" w:color="auto"/>
              <w:right w:val="single" w:sz="4" w:space="0" w:color="auto"/>
            </w:tcBorders>
            <w:textDirection w:val="btLr"/>
            <w:vAlign w:val="center"/>
          </w:tcPr>
          <w:p w14:paraId="356B9F41"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124279DC" w14:textId="4625DBBC"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Burdekin Mouth 3</w:t>
            </w:r>
          </w:p>
        </w:tc>
        <w:tc>
          <w:tcPr>
            <w:tcW w:w="1276" w:type="dxa"/>
            <w:tcBorders>
              <w:top w:val="single" w:sz="4" w:space="0" w:color="auto"/>
              <w:left w:val="single" w:sz="4" w:space="0" w:color="auto"/>
              <w:bottom w:val="single" w:sz="4" w:space="0" w:color="auto"/>
              <w:right w:val="single" w:sz="4" w:space="0" w:color="auto"/>
            </w:tcBorders>
            <w:vAlign w:val="center"/>
          </w:tcPr>
          <w:p w14:paraId="31D2AAD4"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79F064AC"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16531CA3" w14:textId="77777777" w:rsidR="00EC2DF4" w:rsidRPr="004A5BF7" w:rsidRDefault="00EC2DF4" w:rsidP="004A5BF7">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0D7E6053"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44421217"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r>
      <w:tr w:rsidR="00EC2DF4" w:rsidRPr="00EC2DF4" w14:paraId="2DB50393" w14:textId="77777777" w:rsidTr="00EC2DF4">
        <w:trPr>
          <w:cantSplit/>
          <w:trHeight w:val="70"/>
          <w:jc w:val="center"/>
        </w:trPr>
        <w:tc>
          <w:tcPr>
            <w:tcW w:w="767" w:type="dxa"/>
            <w:vMerge w:val="restart"/>
            <w:tcBorders>
              <w:top w:val="single" w:sz="4" w:space="0" w:color="auto"/>
              <w:left w:val="single" w:sz="4" w:space="0" w:color="auto"/>
              <w:right w:val="single" w:sz="4" w:space="0" w:color="auto"/>
            </w:tcBorders>
            <w:shd w:val="clear" w:color="auto" w:fill="F2F2F2" w:themeFill="background1" w:themeFillShade="F2"/>
            <w:textDirection w:val="btLr"/>
            <w:vAlign w:val="center"/>
          </w:tcPr>
          <w:p w14:paraId="02DBB817" w14:textId="552C705D" w:rsidR="00EC2DF4" w:rsidRPr="00C25EF7" w:rsidRDefault="00EC2DF4" w:rsidP="004A5BF7">
            <w:pPr>
              <w:spacing w:beforeLines="20" w:before="48" w:afterLines="20" w:after="48"/>
              <w:ind w:left="113" w:right="113"/>
              <w:jc w:val="center"/>
              <w:rPr>
                <w:rFonts w:cs="Arial"/>
                <w:b/>
                <w:i/>
                <w:color w:val="000000"/>
                <w:sz w:val="18"/>
                <w:szCs w:val="18"/>
                <w:lang w:val="en-US" w:eastAsia="en-AU"/>
              </w:rPr>
            </w:pPr>
            <w:r w:rsidRPr="00C25EF7">
              <w:rPr>
                <w:rFonts w:cs="Arial"/>
                <w:b/>
                <w:color w:val="000000"/>
                <w:sz w:val="18"/>
                <w:szCs w:val="18"/>
                <w:lang w:val="en-US" w:eastAsia="en-AU"/>
              </w:rPr>
              <w:t>Mackay Whitsunday</w:t>
            </w:r>
          </w:p>
        </w:tc>
        <w:tc>
          <w:tcPr>
            <w:tcW w:w="348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AA3258F" w14:textId="3AE1C8A8"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b/>
                <w:i/>
                <w:color w:val="000000"/>
                <w:sz w:val="18"/>
                <w:szCs w:val="18"/>
                <w:lang w:val="en-US" w:eastAsia="en-AU"/>
              </w:rPr>
              <w:t>Whitsunday focus area</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D13D4E4"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CDB0BAA"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A5B549F" w14:textId="77777777" w:rsidR="00EC2DF4" w:rsidRPr="004A5BF7" w:rsidRDefault="00EC2DF4" w:rsidP="004A5BF7">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CCA25C3"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217870D" w14:textId="77777777" w:rsidR="00EC2DF4" w:rsidRPr="004A5BF7" w:rsidRDefault="00EC2DF4" w:rsidP="004A5BF7">
            <w:pPr>
              <w:spacing w:beforeLines="20" w:before="48" w:afterLines="20" w:after="48"/>
              <w:jc w:val="center"/>
              <w:rPr>
                <w:rFonts w:cs="Arial"/>
                <w:b/>
                <w:sz w:val="18"/>
                <w:szCs w:val="18"/>
                <w:lang w:val="en-US"/>
              </w:rPr>
            </w:pPr>
          </w:p>
        </w:tc>
      </w:tr>
      <w:tr w:rsidR="00EC2DF4" w:rsidRPr="00EC2DF4" w14:paraId="1880FB91" w14:textId="77777777" w:rsidTr="00EC2DF4">
        <w:trPr>
          <w:cantSplit/>
          <w:trHeight w:val="120"/>
          <w:jc w:val="center"/>
        </w:trPr>
        <w:tc>
          <w:tcPr>
            <w:tcW w:w="767" w:type="dxa"/>
            <w:vMerge/>
            <w:tcBorders>
              <w:left w:val="single" w:sz="4" w:space="0" w:color="auto"/>
              <w:right w:val="single" w:sz="4" w:space="0" w:color="auto"/>
            </w:tcBorders>
            <w:textDirection w:val="btLr"/>
            <w:vAlign w:val="center"/>
          </w:tcPr>
          <w:p w14:paraId="13A15D85"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1456D747" w14:textId="423202C7" w:rsidR="00EC2DF4" w:rsidRPr="004A5BF7" w:rsidRDefault="00EC2DF4" w:rsidP="004A5BF7">
            <w:pPr>
              <w:spacing w:beforeLines="20" w:before="48" w:afterLines="20" w:after="48"/>
              <w:jc w:val="left"/>
              <w:rPr>
                <w:rFonts w:cs="Arial"/>
                <w:b/>
                <w:color w:val="000000"/>
                <w:sz w:val="18"/>
                <w:szCs w:val="18"/>
                <w:lang w:val="en-US" w:eastAsia="en-AU"/>
              </w:rPr>
            </w:pPr>
            <w:r w:rsidRPr="004A5BF7">
              <w:rPr>
                <w:rFonts w:cs="Arial"/>
                <w:b/>
                <w:color w:val="000000"/>
                <w:sz w:val="18"/>
                <w:szCs w:val="18"/>
                <w:lang w:val="en-US" w:eastAsia="en-AU"/>
              </w:rPr>
              <w:t>Double Cone Island</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B83C0F5"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tcPr>
          <w:p w14:paraId="188E4F92"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268F6257"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65BC7653"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0A143C60" w14:textId="77777777" w:rsidR="00EC2DF4" w:rsidRPr="004A5BF7" w:rsidRDefault="00EC2DF4" w:rsidP="004A5BF7">
            <w:pPr>
              <w:spacing w:beforeLines="20" w:before="48" w:afterLines="20" w:after="48"/>
              <w:jc w:val="center"/>
              <w:rPr>
                <w:rFonts w:cs="Arial"/>
                <w:b/>
                <w:sz w:val="18"/>
                <w:szCs w:val="18"/>
                <w:lang w:val="en-US"/>
              </w:rPr>
            </w:pPr>
          </w:p>
        </w:tc>
      </w:tr>
      <w:tr w:rsidR="00EC2DF4" w:rsidRPr="00EC2DF4" w14:paraId="2DA31CD6" w14:textId="77777777" w:rsidTr="00EC2DF4">
        <w:trPr>
          <w:cantSplit/>
          <w:trHeight w:val="120"/>
          <w:jc w:val="center"/>
        </w:trPr>
        <w:tc>
          <w:tcPr>
            <w:tcW w:w="767" w:type="dxa"/>
            <w:vMerge/>
            <w:tcBorders>
              <w:left w:val="single" w:sz="4" w:space="0" w:color="auto"/>
              <w:right w:val="single" w:sz="4" w:space="0" w:color="auto"/>
            </w:tcBorders>
            <w:textDirection w:val="btLr"/>
            <w:vAlign w:val="center"/>
          </w:tcPr>
          <w:p w14:paraId="3F23BE71"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273FAAB7" w14:textId="308D7DE6"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Hook Island W</w:t>
            </w:r>
          </w:p>
        </w:tc>
        <w:tc>
          <w:tcPr>
            <w:tcW w:w="1276" w:type="dxa"/>
            <w:tcBorders>
              <w:top w:val="single" w:sz="4" w:space="0" w:color="auto"/>
              <w:left w:val="single" w:sz="4" w:space="0" w:color="auto"/>
              <w:bottom w:val="single" w:sz="4" w:space="0" w:color="auto"/>
              <w:right w:val="single" w:sz="4" w:space="0" w:color="auto"/>
            </w:tcBorders>
            <w:vAlign w:val="center"/>
          </w:tcPr>
          <w:p w14:paraId="53969253"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5278642D"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6FA7ED02" w14:textId="77777777" w:rsidR="00EC2DF4" w:rsidRPr="004A5BF7" w:rsidRDefault="00EC2DF4" w:rsidP="004A5BF7">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183C5DB1" w14:textId="77777777" w:rsidR="00EC2DF4" w:rsidRPr="004A5BF7" w:rsidRDefault="00EC2DF4" w:rsidP="004A5BF7">
            <w:pPr>
              <w:spacing w:beforeLines="20" w:before="48" w:afterLines="20" w:after="48"/>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5EE2FB6F"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r>
      <w:tr w:rsidR="00EC2DF4" w:rsidRPr="00EC2DF4" w14:paraId="25602823" w14:textId="77777777" w:rsidTr="00EC2DF4">
        <w:trPr>
          <w:cantSplit/>
          <w:trHeight w:val="120"/>
          <w:jc w:val="center"/>
        </w:trPr>
        <w:tc>
          <w:tcPr>
            <w:tcW w:w="767" w:type="dxa"/>
            <w:vMerge/>
            <w:tcBorders>
              <w:left w:val="single" w:sz="4" w:space="0" w:color="auto"/>
              <w:right w:val="single" w:sz="4" w:space="0" w:color="auto"/>
            </w:tcBorders>
            <w:textDirection w:val="btLr"/>
            <w:vAlign w:val="center"/>
          </w:tcPr>
          <w:p w14:paraId="16B3CD46"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65960D9D" w14:textId="594DBF61"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North Molle Island</w:t>
            </w:r>
          </w:p>
        </w:tc>
        <w:tc>
          <w:tcPr>
            <w:tcW w:w="1276" w:type="dxa"/>
            <w:tcBorders>
              <w:top w:val="single" w:sz="4" w:space="0" w:color="auto"/>
              <w:left w:val="single" w:sz="4" w:space="0" w:color="auto"/>
              <w:bottom w:val="single" w:sz="4" w:space="0" w:color="auto"/>
              <w:right w:val="single" w:sz="4" w:space="0" w:color="auto"/>
            </w:tcBorders>
            <w:vAlign w:val="center"/>
          </w:tcPr>
          <w:p w14:paraId="36EA9E44"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61C67363"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15459142" w14:textId="77777777" w:rsidR="00EC2DF4" w:rsidRPr="004A5BF7" w:rsidRDefault="00EC2DF4" w:rsidP="004A5BF7">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28E240DC"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0ADEEE06"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r>
      <w:tr w:rsidR="00EC2DF4" w:rsidRPr="00EC2DF4" w14:paraId="62402BF6" w14:textId="77777777" w:rsidTr="00EC2DF4">
        <w:trPr>
          <w:cantSplit/>
          <w:trHeight w:val="180"/>
          <w:jc w:val="center"/>
        </w:trPr>
        <w:tc>
          <w:tcPr>
            <w:tcW w:w="767" w:type="dxa"/>
            <w:vMerge/>
            <w:tcBorders>
              <w:left w:val="single" w:sz="4" w:space="0" w:color="auto"/>
              <w:right w:val="single" w:sz="4" w:space="0" w:color="auto"/>
            </w:tcBorders>
            <w:textDirection w:val="btLr"/>
            <w:vAlign w:val="center"/>
          </w:tcPr>
          <w:p w14:paraId="698B8C14"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74F07BB0" w14:textId="0AD6B287" w:rsidR="00EC2DF4" w:rsidRPr="004A5BF7" w:rsidRDefault="00EC2DF4" w:rsidP="004A5BF7">
            <w:pPr>
              <w:spacing w:beforeLines="20" w:before="48" w:afterLines="20" w:after="48"/>
              <w:jc w:val="left"/>
              <w:rPr>
                <w:rFonts w:cs="Arial"/>
                <w:b/>
                <w:color w:val="000000"/>
                <w:sz w:val="18"/>
                <w:szCs w:val="18"/>
                <w:lang w:val="en-US" w:eastAsia="en-AU"/>
              </w:rPr>
            </w:pPr>
            <w:r w:rsidRPr="004A5BF7">
              <w:rPr>
                <w:rFonts w:cs="Arial"/>
                <w:b/>
                <w:color w:val="000000"/>
                <w:sz w:val="18"/>
                <w:szCs w:val="18"/>
                <w:lang w:val="en-US" w:eastAsia="en-AU"/>
              </w:rPr>
              <w:t>Pine Island</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18F6F04"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tcPr>
          <w:p w14:paraId="66A2AAA4"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09794CA5"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0D7DFB1C"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3517183F" w14:textId="77777777" w:rsidR="00EC2DF4" w:rsidRPr="004A5BF7" w:rsidRDefault="00EC2DF4" w:rsidP="004A5BF7">
            <w:pPr>
              <w:spacing w:beforeLines="20" w:before="48" w:afterLines="20" w:after="48"/>
              <w:jc w:val="center"/>
              <w:rPr>
                <w:rFonts w:cs="Arial"/>
                <w:b/>
                <w:sz w:val="18"/>
                <w:szCs w:val="18"/>
                <w:lang w:val="en-US"/>
              </w:rPr>
            </w:pPr>
          </w:p>
        </w:tc>
      </w:tr>
      <w:tr w:rsidR="00EC2DF4" w:rsidRPr="00EC2DF4" w14:paraId="3B6F265D" w14:textId="77777777" w:rsidTr="00EC2DF4">
        <w:trPr>
          <w:cantSplit/>
          <w:trHeight w:val="112"/>
          <w:jc w:val="center"/>
        </w:trPr>
        <w:tc>
          <w:tcPr>
            <w:tcW w:w="767" w:type="dxa"/>
            <w:vMerge/>
            <w:tcBorders>
              <w:left w:val="single" w:sz="4" w:space="0" w:color="auto"/>
              <w:right w:val="single" w:sz="4" w:space="0" w:color="auto"/>
            </w:tcBorders>
            <w:textDirection w:val="btLr"/>
            <w:vAlign w:val="center"/>
          </w:tcPr>
          <w:p w14:paraId="269BD474"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52E35C93" w14:textId="2989CD75"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Seaforth Island</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02A4513"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tcPr>
          <w:p w14:paraId="00A8BAE7"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6416F0F4"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5F26B3F4"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6AD291D9" w14:textId="77777777" w:rsidR="00EC2DF4" w:rsidRPr="004A5BF7" w:rsidRDefault="00EC2DF4" w:rsidP="004A5BF7">
            <w:pPr>
              <w:spacing w:beforeLines="20" w:before="48" w:afterLines="20" w:after="48"/>
              <w:jc w:val="center"/>
              <w:rPr>
                <w:rFonts w:cs="Arial"/>
                <w:b/>
                <w:sz w:val="18"/>
                <w:szCs w:val="18"/>
                <w:lang w:val="en-US"/>
              </w:rPr>
            </w:pPr>
          </w:p>
        </w:tc>
      </w:tr>
      <w:tr w:rsidR="00EC2DF4" w:rsidRPr="00EC2DF4" w14:paraId="50CFBEDE"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747DAF06"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321FA257" w14:textId="43321C8A"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OConnell River mouth</w:t>
            </w:r>
          </w:p>
        </w:tc>
        <w:tc>
          <w:tcPr>
            <w:tcW w:w="1276" w:type="dxa"/>
            <w:tcBorders>
              <w:top w:val="single" w:sz="4" w:space="0" w:color="auto"/>
              <w:left w:val="single" w:sz="4" w:space="0" w:color="auto"/>
              <w:bottom w:val="single" w:sz="4" w:space="0" w:color="auto"/>
              <w:right w:val="single" w:sz="4" w:space="0" w:color="auto"/>
            </w:tcBorders>
            <w:vAlign w:val="center"/>
          </w:tcPr>
          <w:p w14:paraId="39F8DD18"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1B46AC0D"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hideMark/>
          </w:tcPr>
          <w:p w14:paraId="01432965"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0897C3CA"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413EC36C" w14:textId="77777777" w:rsidR="00EC2DF4" w:rsidRPr="004A5BF7" w:rsidRDefault="00EC2DF4" w:rsidP="004A5BF7">
            <w:pPr>
              <w:spacing w:beforeLines="20" w:before="48" w:afterLines="20" w:after="48"/>
              <w:jc w:val="center"/>
              <w:rPr>
                <w:rFonts w:cs="Arial"/>
                <w:b/>
                <w:sz w:val="18"/>
                <w:szCs w:val="18"/>
                <w:lang w:val="en-US"/>
              </w:rPr>
            </w:pPr>
          </w:p>
        </w:tc>
      </w:tr>
      <w:tr w:rsidR="00EC2DF4" w:rsidRPr="00EC2DF4" w14:paraId="254F7B93" w14:textId="77777777" w:rsidTr="00EC2DF4">
        <w:trPr>
          <w:cantSplit/>
          <w:trHeight w:val="104"/>
          <w:jc w:val="center"/>
        </w:trPr>
        <w:tc>
          <w:tcPr>
            <w:tcW w:w="767" w:type="dxa"/>
            <w:vMerge/>
            <w:tcBorders>
              <w:left w:val="single" w:sz="4" w:space="0" w:color="auto"/>
              <w:right w:val="single" w:sz="4" w:space="0" w:color="auto"/>
            </w:tcBorders>
            <w:textDirection w:val="btLr"/>
            <w:vAlign w:val="center"/>
          </w:tcPr>
          <w:p w14:paraId="50056398"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4CDA3785" w14:textId="14B071AB"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Repulse Islands dive mooring</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CD01379"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959" w:type="dxa"/>
            <w:tcBorders>
              <w:top w:val="single" w:sz="4" w:space="0" w:color="auto"/>
              <w:left w:val="single" w:sz="4" w:space="0" w:color="auto"/>
              <w:bottom w:val="single" w:sz="4" w:space="0" w:color="auto"/>
              <w:right w:val="single" w:sz="4" w:space="0" w:color="auto"/>
            </w:tcBorders>
            <w:vAlign w:val="center"/>
            <w:hideMark/>
          </w:tcPr>
          <w:p w14:paraId="1587EB0B"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1176" w:type="dxa"/>
            <w:tcBorders>
              <w:top w:val="single" w:sz="4" w:space="0" w:color="auto"/>
              <w:left w:val="single" w:sz="4" w:space="0" w:color="auto"/>
              <w:bottom w:val="single" w:sz="4" w:space="0" w:color="auto"/>
              <w:right w:val="single" w:sz="4" w:space="0" w:color="auto"/>
            </w:tcBorders>
            <w:vAlign w:val="center"/>
            <w:hideMark/>
          </w:tcPr>
          <w:p w14:paraId="1A50AF8F"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c>
          <w:tcPr>
            <w:tcW w:w="1104" w:type="dxa"/>
            <w:tcBorders>
              <w:top w:val="single" w:sz="4" w:space="0" w:color="auto"/>
              <w:left w:val="single" w:sz="4" w:space="0" w:color="auto"/>
              <w:bottom w:val="single" w:sz="4" w:space="0" w:color="auto"/>
              <w:right w:val="single" w:sz="4" w:space="0" w:color="auto"/>
            </w:tcBorders>
            <w:vAlign w:val="center"/>
          </w:tcPr>
          <w:p w14:paraId="246BBB05"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tcPr>
          <w:p w14:paraId="53F27FE3" w14:textId="77777777" w:rsidR="00EC2DF4" w:rsidRPr="004A5BF7" w:rsidRDefault="00EC2DF4" w:rsidP="004A5BF7">
            <w:pPr>
              <w:spacing w:beforeLines="20" w:before="48" w:afterLines="20" w:after="48"/>
              <w:jc w:val="center"/>
              <w:rPr>
                <w:rFonts w:cs="Arial"/>
                <w:b/>
                <w:sz w:val="18"/>
                <w:szCs w:val="18"/>
                <w:lang w:val="en-US"/>
              </w:rPr>
            </w:pPr>
          </w:p>
        </w:tc>
      </w:tr>
      <w:tr w:rsidR="00EC2DF4" w:rsidRPr="00EC2DF4" w14:paraId="487BD476" w14:textId="77777777" w:rsidTr="00EC2DF4">
        <w:trPr>
          <w:cantSplit/>
          <w:trHeight w:val="163"/>
          <w:jc w:val="center"/>
        </w:trPr>
        <w:tc>
          <w:tcPr>
            <w:tcW w:w="767" w:type="dxa"/>
            <w:vMerge/>
            <w:tcBorders>
              <w:left w:val="single" w:sz="4" w:space="0" w:color="auto"/>
              <w:right w:val="single" w:sz="4" w:space="0" w:color="auto"/>
            </w:tcBorders>
            <w:textDirection w:val="btLr"/>
            <w:vAlign w:val="center"/>
          </w:tcPr>
          <w:p w14:paraId="6C85E5A0"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75447F28" w14:textId="79CA9A14"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Rabbit Island NE</w:t>
            </w:r>
          </w:p>
        </w:tc>
        <w:tc>
          <w:tcPr>
            <w:tcW w:w="1276" w:type="dxa"/>
            <w:tcBorders>
              <w:top w:val="single" w:sz="4" w:space="0" w:color="auto"/>
              <w:left w:val="single" w:sz="4" w:space="0" w:color="auto"/>
              <w:bottom w:val="single" w:sz="4" w:space="0" w:color="auto"/>
              <w:right w:val="single" w:sz="4" w:space="0" w:color="auto"/>
            </w:tcBorders>
            <w:vAlign w:val="center"/>
          </w:tcPr>
          <w:p w14:paraId="5F6406F7"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1B6C1025"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1BB409D3" w14:textId="77777777" w:rsidR="00EC2DF4" w:rsidRPr="004A5BF7" w:rsidRDefault="00EC2DF4" w:rsidP="004A5BF7">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64E9A7D6"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72D8A1D1"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r>
      <w:tr w:rsidR="00EC2DF4" w:rsidRPr="00EC2DF4" w14:paraId="71F61B67" w14:textId="77777777" w:rsidTr="00EC2DF4">
        <w:trPr>
          <w:cantSplit/>
          <w:trHeight w:val="70"/>
          <w:jc w:val="center"/>
        </w:trPr>
        <w:tc>
          <w:tcPr>
            <w:tcW w:w="767" w:type="dxa"/>
            <w:vMerge/>
            <w:tcBorders>
              <w:left w:val="single" w:sz="4" w:space="0" w:color="auto"/>
              <w:right w:val="single" w:sz="4" w:space="0" w:color="auto"/>
            </w:tcBorders>
            <w:textDirection w:val="btLr"/>
            <w:vAlign w:val="center"/>
          </w:tcPr>
          <w:p w14:paraId="5F5A4150"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51929300" w14:textId="67C72EC6"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Brampton Island</w:t>
            </w:r>
          </w:p>
        </w:tc>
        <w:tc>
          <w:tcPr>
            <w:tcW w:w="1276" w:type="dxa"/>
            <w:tcBorders>
              <w:top w:val="single" w:sz="4" w:space="0" w:color="auto"/>
              <w:left w:val="single" w:sz="4" w:space="0" w:color="auto"/>
              <w:bottom w:val="single" w:sz="4" w:space="0" w:color="auto"/>
              <w:right w:val="single" w:sz="4" w:space="0" w:color="auto"/>
            </w:tcBorders>
            <w:vAlign w:val="center"/>
          </w:tcPr>
          <w:p w14:paraId="457F8C55"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4937829A"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719A3319" w14:textId="77777777" w:rsidR="00EC2DF4" w:rsidRPr="004A5BF7" w:rsidRDefault="00EC2DF4" w:rsidP="004A5BF7">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43A7282A"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7EBCA440"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r>
      <w:tr w:rsidR="00EC2DF4" w:rsidRPr="00EC2DF4" w14:paraId="4047AEC9" w14:textId="77777777" w:rsidTr="00EC2DF4">
        <w:trPr>
          <w:cantSplit/>
          <w:trHeight w:val="155"/>
          <w:jc w:val="center"/>
        </w:trPr>
        <w:tc>
          <w:tcPr>
            <w:tcW w:w="767" w:type="dxa"/>
            <w:vMerge/>
            <w:tcBorders>
              <w:left w:val="single" w:sz="4" w:space="0" w:color="auto"/>
              <w:right w:val="single" w:sz="4" w:space="0" w:color="auto"/>
            </w:tcBorders>
            <w:textDirection w:val="btLr"/>
            <w:vAlign w:val="center"/>
          </w:tcPr>
          <w:p w14:paraId="23238776"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09862D2A" w14:textId="24887CAC"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Sand Bay</w:t>
            </w:r>
          </w:p>
        </w:tc>
        <w:tc>
          <w:tcPr>
            <w:tcW w:w="1276" w:type="dxa"/>
            <w:tcBorders>
              <w:top w:val="single" w:sz="4" w:space="0" w:color="auto"/>
              <w:left w:val="single" w:sz="4" w:space="0" w:color="auto"/>
              <w:bottom w:val="single" w:sz="4" w:space="0" w:color="auto"/>
              <w:right w:val="single" w:sz="4" w:space="0" w:color="auto"/>
            </w:tcBorders>
            <w:vAlign w:val="center"/>
          </w:tcPr>
          <w:p w14:paraId="73B9C2AD"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386E4F86"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7AED9813" w14:textId="77777777" w:rsidR="00EC2DF4" w:rsidRPr="004A5BF7" w:rsidRDefault="00EC2DF4" w:rsidP="004A5BF7">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07F00D49"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1F3A7114"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r>
      <w:tr w:rsidR="00EC2DF4" w:rsidRPr="00EC2DF4" w14:paraId="09AF977F" w14:textId="77777777" w:rsidTr="00EC2DF4">
        <w:trPr>
          <w:cantSplit/>
          <w:trHeight w:val="70"/>
          <w:jc w:val="center"/>
        </w:trPr>
        <w:tc>
          <w:tcPr>
            <w:tcW w:w="767" w:type="dxa"/>
            <w:vMerge/>
            <w:tcBorders>
              <w:left w:val="single" w:sz="4" w:space="0" w:color="auto"/>
              <w:bottom w:val="single" w:sz="4" w:space="0" w:color="auto"/>
              <w:right w:val="single" w:sz="4" w:space="0" w:color="auto"/>
            </w:tcBorders>
            <w:textDirection w:val="btLr"/>
            <w:vAlign w:val="center"/>
          </w:tcPr>
          <w:p w14:paraId="04A99ED7" w14:textId="77777777" w:rsidR="00EC2DF4" w:rsidRPr="00C25EF7" w:rsidRDefault="00EC2DF4" w:rsidP="004A5BF7">
            <w:pPr>
              <w:spacing w:beforeLines="20" w:before="48" w:afterLines="20" w:after="48"/>
              <w:ind w:left="113" w:right="113"/>
              <w:jc w:val="center"/>
              <w:rPr>
                <w:rFonts w:cs="Arial"/>
                <w:color w:val="000000"/>
                <w:sz w:val="18"/>
                <w:szCs w:val="18"/>
                <w:lang w:val="en-US" w:eastAsia="en-AU"/>
              </w:rPr>
            </w:pPr>
          </w:p>
        </w:tc>
        <w:tc>
          <w:tcPr>
            <w:tcW w:w="3484" w:type="dxa"/>
            <w:tcBorders>
              <w:top w:val="single" w:sz="4" w:space="0" w:color="auto"/>
              <w:left w:val="single" w:sz="4" w:space="0" w:color="auto"/>
              <w:bottom w:val="single" w:sz="4" w:space="0" w:color="auto"/>
              <w:right w:val="single" w:sz="4" w:space="0" w:color="auto"/>
            </w:tcBorders>
            <w:vAlign w:val="center"/>
            <w:hideMark/>
          </w:tcPr>
          <w:p w14:paraId="19093AED" w14:textId="25107D74" w:rsidR="00EC2DF4" w:rsidRPr="00C25EF7" w:rsidRDefault="00EC2DF4" w:rsidP="004A5BF7">
            <w:pPr>
              <w:spacing w:beforeLines="20" w:before="48" w:afterLines="20" w:after="48"/>
              <w:jc w:val="left"/>
              <w:rPr>
                <w:rFonts w:cs="Arial"/>
                <w:color w:val="000000"/>
                <w:sz w:val="18"/>
                <w:szCs w:val="18"/>
                <w:lang w:val="en-US" w:eastAsia="en-AU"/>
              </w:rPr>
            </w:pPr>
            <w:r w:rsidRPr="00C25EF7">
              <w:rPr>
                <w:rFonts w:cs="Arial"/>
                <w:color w:val="000000"/>
                <w:sz w:val="18"/>
                <w:szCs w:val="18"/>
                <w:lang w:val="en-US" w:eastAsia="en-AU"/>
              </w:rPr>
              <w:t>Pioneer River mouth</w:t>
            </w:r>
          </w:p>
        </w:tc>
        <w:tc>
          <w:tcPr>
            <w:tcW w:w="1276" w:type="dxa"/>
            <w:tcBorders>
              <w:top w:val="single" w:sz="4" w:space="0" w:color="auto"/>
              <w:left w:val="single" w:sz="4" w:space="0" w:color="auto"/>
              <w:bottom w:val="single" w:sz="4" w:space="0" w:color="auto"/>
              <w:right w:val="single" w:sz="4" w:space="0" w:color="auto"/>
            </w:tcBorders>
            <w:vAlign w:val="center"/>
          </w:tcPr>
          <w:p w14:paraId="575586B7" w14:textId="77777777" w:rsidR="00EC2DF4" w:rsidRPr="004A5BF7" w:rsidRDefault="00EC2DF4" w:rsidP="004A5BF7">
            <w:pPr>
              <w:spacing w:beforeLines="20" w:before="48" w:afterLines="20" w:after="48"/>
              <w:jc w:val="center"/>
              <w:rPr>
                <w:rFonts w:cs="Arial"/>
                <w:b/>
                <w:sz w:val="18"/>
                <w:szCs w:val="18"/>
                <w:lang w:val="en-US"/>
              </w:rPr>
            </w:pPr>
          </w:p>
        </w:tc>
        <w:tc>
          <w:tcPr>
            <w:tcW w:w="959" w:type="dxa"/>
            <w:tcBorders>
              <w:top w:val="single" w:sz="4" w:space="0" w:color="auto"/>
              <w:left w:val="single" w:sz="4" w:space="0" w:color="auto"/>
              <w:bottom w:val="single" w:sz="4" w:space="0" w:color="auto"/>
              <w:right w:val="single" w:sz="4" w:space="0" w:color="auto"/>
            </w:tcBorders>
            <w:vAlign w:val="center"/>
          </w:tcPr>
          <w:p w14:paraId="071DFA9F" w14:textId="77777777" w:rsidR="00EC2DF4" w:rsidRPr="004A5BF7" w:rsidRDefault="00EC2DF4" w:rsidP="004A5BF7">
            <w:pPr>
              <w:spacing w:beforeLines="20" w:before="48" w:afterLines="20" w:after="48"/>
              <w:jc w:val="center"/>
              <w:rPr>
                <w:rFonts w:cs="Arial"/>
                <w:b/>
                <w:sz w:val="18"/>
                <w:szCs w:val="18"/>
                <w:lang w:val="en-US"/>
              </w:rPr>
            </w:pPr>
          </w:p>
        </w:tc>
        <w:tc>
          <w:tcPr>
            <w:tcW w:w="1176" w:type="dxa"/>
            <w:tcBorders>
              <w:top w:val="single" w:sz="4" w:space="0" w:color="auto"/>
              <w:left w:val="single" w:sz="4" w:space="0" w:color="auto"/>
              <w:bottom w:val="single" w:sz="4" w:space="0" w:color="auto"/>
              <w:right w:val="single" w:sz="4" w:space="0" w:color="auto"/>
            </w:tcBorders>
            <w:vAlign w:val="center"/>
          </w:tcPr>
          <w:p w14:paraId="24244B9A" w14:textId="77777777" w:rsidR="00EC2DF4" w:rsidRPr="004A5BF7" w:rsidRDefault="00EC2DF4" w:rsidP="004A5BF7">
            <w:pPr>
              <w:spacing w:beforeLines="20" w:before="48" w:afterLines="20" w:after="48"/>
              <w:jc w:val="center"/>
              <w:rPr>
                <w:rFonts w:cs="Arial"/>
                <w:b/>
                <w:sz w:val="18"/>
                <w:szCs w:val="18"/>
                <w:lang w:val="en-US"/>
              </w:rPr>
            </w:pPr>
          </w:p>
        </w:tc>
        <w:tc>
          <w:tcPr>
            <w:tcW w:w="1104" w:type="dxa"/>
            <w:tcBorders>
              <w:top w:val="single" w:sz="4" w:space="0" w:color="auto"/>
              <w:left w:val="single" w:sz="4" w:space="0" w:color="auto"/>
              <w:bottom w:val="single" w:sz="4" w:space="0" w:color="auto"/>
              <w:right w:val="single" w:sz="4" w:space="0" w:color="auto"/>
            </w:tcBorders>
            <w:vAlign w:val="center"/>
          </w:tcPr>
          <w:p w14:paraId="1F75225F" w14:textId="77777777" w:rsidR="00EC2DF4" w:rsidRPr="004A5BF7" w:rsidRDefault="00EC2DF4" w:rsidP="004A5BF7">
            <w:pPr>
              <w:spacing w:beforeLines="20" w:before="48" w:afterLines="20" w:after="48"/>
              <w:jc w:val="center"/>
              <w:rPr>
                <w:rFonts w:cs="Arial"/>
                <w:b/>
                <w:sz w:val="18"/>
                <w:szCs w:val="18"/>
                <w:lang w:val="en-US"/>
              </w:rPr>
            </w:pPr>
          </w:p>
        </w:tc>
        <w:tc>
          <w:tcPr>
            <w:tcW w:w="1111" w:type="dxa"/>
            <w:tcBorders>
              <w:top w:val="single" w:sz="4" w:space="0" w:color="auto"/>
              <w:left w:val="single" w:sz="4" w:space="0" w:color="auto"/>
              <w:bottom w:val="single" w:sz="4" w:space="0" w:color="auto"/>
              <w:right w:val="single" w:sz="4" w:space="0" w:color="auto"/>
            </w:tcBorders>
            <w:vAlign w:val="center"/>
            <w:hideMark/>
          </w:tcPr>
          <w:p w14:paraId="6BB45EAA" w14:textId="77777777" w:rsidR="00EC2DF4" w:rsidRPr="004A5BF7" w:rsidRDefault="00EC2DF4" w:rsidP="004A5BF7">
            <w:pPr>
              <w:spacing w:beforeLines="20" w:before="48" w:afterLines="20" w:after="48"/>
              <w:jc w:val="center"/>
              <w:rPr>
                <w:rFonts w:cs="Arial"/>
                <w:b/>
                <w:sz w:val="18"/>
                <w:szCs w:val="18"/>
                <w:lang w:val="en-US"/>
              </w:rPr>
            </w:pPr>
            <w:r w:rsidRPr="004A5BF7">
              <w:rPr>
                <w:rFonts w:cs="Arial"/>
                <w:b/>
                <w:sz w:val="18"/>
                <w:szCs w:val="18"/>
                <w:lang w:val="en-US"/>
              </w:rPr>
              <w:t>√</w:t>
            </w:r>
          </w:p>
        </w:tc>
      </w:tr>
    </w:tbl>
    <w:p w14:paraId="5BF7AE35" w14:textId="2F64C997" w:rsidR="00862D84" w:rsidRDefault="00862D84" w:rsidP="008E4D85">
      <w:pPr>
        <w:rPr>
          <w:rFonts w:cs="Arial"/>
          <w:lang w:val="en-AU"/>
        </w:rPr>
      </w:pPr>
    </w:p>
    <w:p w14:paraId="5C8C23B2" w14:textId="3826BCC2" w:rsidR="00D25F94" w:rsidRPr="009C0725" w:rsidRDefault="00862D84" w:rsidP="004A5BF7">
      <w:pPr>
        <w:pStyle w:val="Caption"/>
      </w:pPr>
      <w:bookmarkStart w:id="154" w:name="_Ref459146103"/>
      <w:bookmarkStart w:id="155" w:name="_Toc459332153"/>
      <w:r w:rsidRPr="00B05E41">
        <w:rPr>
          <w:noProof/>
          <w:lang w:val="en-AU" w:eastAsia="en-AU"/>
        </w:rPr>
        <w:drawing>
          <wp:anchor distT="0" distB="0" distL="114300" distR="114300" simplePos="0" relativeHeight="251643392" behindDoc="0" locked="0" layoutInCell="1" allowOverlap="1" wp14:anchorId="70A57827" wp14:editId="62E2A4DD">
            <wp:simplePos x="0" y="0"/>
            <wp:positionH relativeFrom="column">
              <wp:posOffset>5080</wp:posOffset>
            </wp:positionH>
            <wp:positionV relativeFrom="paragraph">
              <wp:posOffset>581660</wp:posOffset>
            </wp:positionV>
            <wp:extent cx="5705475" cy="1960245"/>
            <wp:effectExtent l="0" t="0" r="0" b="1905"/>
            <wp:wrapTopAndBottom/>
            <wp:docPr id="33" name="Picture 1" descr="Table showing sampling frequency over the calendar year, by AIMS, JCU,and the period where up to five additional flood-response sampling trips may occur depending on timing and location of high flow events" title="Table 4 2: Sampling frequency over the calendar year. x = sampling by AIMS, x = sampling by JCU, blue shading indicates the period where up to five additional flood-response sampling trips may occur depending on timing and location of high flow ev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image001"/>
                    <pic:cNvPicPr>
                      <a:picLocks noChangeAspect="1" noChangeArrowheads="1"/>
                    </pic:cNvPicPr>
                  </pic:nvPicPr>
                  <pic:blipFill rotWithShape="1">
                    <a:blip r:embed="rId298">
                      <a:extLst>
                        <a:ext uri="{28A0092B-C50C-407E-A947-70E740481C1C}">
                          <a14:useLocalDpi xmlns:a14="http://schemas.microsoft.com/office/drawing/2010/main" val="0"/>
                        </a:ext>
                      </a:extLst>
                    </a:blip>
                    <a:srcRect t="19707"/>
                    <a:stretch/>
                  </pic:blipFill>
                  <pic:spPr bwMode="auto">
                    <a:xfrm>
                      <a:off x="0" y="0"/>
                      <a:ext cx="5705475" cy="19602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25F94">
        <w:t xml:space="preserve">Table </w:t>
      </w:r>
      <w:r w:rsidR="00124249">
        <w:fldChar w:fldCharType="begin"/>
      </w:r>
      <w:r w:rsidR="00124249">
        <w:instrText xml:space="preserve"> STYLEREF 1 \s </w:instrText>
      </w:r>
      <w:r w:rsidR="00124249">
        <w:fldChar w:fldCharType="separate"/>
      </w:r>
      <w:r w:rsidR="007F5336">
        <w:rPr>
          <w:noProof/>
        </w:rPr>
        <w:t>4</w:t>
      </w:r>
      <w:r w:rsidR="00124249">
        <w:fldChar w:fldCharType="end"/>
      </w:r>
      <w:r w:rsidR="00124249">
        <w:noBreakHyphen/>
      </w:r>
      <w:r w:rsidR="00124249">
        <w:fldChar w:fldCharType="begin"/>
      </w:r>
      <w:r w:rsidR="00124249">
        <w:instrText xml:space="preserve"> SEQ Table \* ARABIC \s 1 </w:instrText>
      </w:r>
      <w:r w:rsidR="00124249">
        <w:fldChar w:fldCharType="separate"/>
      </w:r>
      <w:r w:rsidR="007F5336">
        <w:rPr>
          <w:noProof/>
        </w:rPr>
        <w:t>2</w:t>
      </w:r>
      <w:r w:rsidR="00124249">
        <w:fldChar w:fldCharType="end"/>
      </w:r>
      <w:bookmarkEnd w:id="154"/>
      <w:r w:rsidRPr="00D25F94">
        <w:t xml:space="preserve">: Sampling frequency over the calendar year. </w:t>
      </w:r>
      <w:r w:rsidRPr="009C0725">
        <w:t>x = sampling by AIMS, x = sampling by JCU, blue shading indicates the period where up to five additional flood-response sampling trips may occur depending on timing and location of high flow events.</w:t>
      </w:r>
      <w:bookmarkEnd w:id="155"/>
    </w:p>
    <w:p w14:paraId="0D4686F0" w14:textId="20EBF5AE" w:rsidR="0093048D" w:rsidRPr="009C0725" w:rsidRDefault="0093048D" w:rsidP="009C0725">
      <w:pPr>
        <w:pStyle w:val="Caption"/>
      </w:pPr>
      <w:bookmarkStart w:id="156" w:name="_Ref459146115"/>
      <w:bookmarkStart w:id="157" w:name="_Toc459332154"/>
      <w:r w:rsidRPr="009C0725">
        <w:t xml:space="preserve">Table </w:t>
      </w:r>
      <w:r w:rsidR="00124249">
        <w:fldChar w:fldCharType="begin"/>
      </w:r>
      <w:r w:rsidR="00124249">
        <w:instrText xml:space="preserve"> STYLEREF 1 \s </w:instrText>
      </w:r>
      <w:r w:rsidR="00124249">
        <w:fldChar w:fldCharType="separate"/>
      </w:r>
      <w:r w:rsidR="007F5336">
        <w:rPr>
          <w:noProof/>
        </w:rPr>
        <w:t>4</w:t>
      </w:r>
      <w:r w:rsidR="00124249">
        <w:fldChar w:fldCharType="end"/>
      </w:r>
      <w:r w:rsidR="00124249">
        <w:noBreakHyphen/>
      </w:r>
      <w:r w:rsidR="00124249">
        <w:fldChar w:fldCharType="begin"/>
      </w:r>
      <w:r w:rsidR="00124249">
        <w:instrText xml:space="preserve"> SEQ Table \* ARABIC \s 1 </w:instrText>
      </w:r>
      <w:r w:rsidR="00124249">
        <w:fldChar w:fldCharType="separate"/>
      </w:r>
      <w:r w:rsidR="007F5336">
        <w:rPr>
          <w:noProof/>
        </w:rPr>
        <w:t>3</w:t>
      </w:r>
      <w:r w:rsidR="00124249">
        <w:fldChar w:fldCharType="end"/>
      </w:r>
      <w:bookmarkEnd w:id="156"/>
      <w:r w:rsidRPr="009C0725">
        <w:t>: List of parameters sampled in the ambient and wet season water quality monitoring.</w:t>
      </w:r>
      <w:bookmarkEnd w:id="157"/>
      <w:r w:rsidR="004A61EF">
        <w:t xml:space="preserve"> </w:t>
      </w:r>
      <w:r w:rsidRPr="009C0725">
        <w:rPr>
          <w:rStyle w:val="IntenseReference"/>
          <w:bCs w:val="0"/>
          <w:color w:val="auto"/>
          <w:lang w:val="en-US"/>
        </w:rPr>
        <w:t>Note that +/- signs identifying the charge of the nutrient ions were omitted for brevity. * Sampled not at all sites.</w:t>
      </w: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4 3: List of parameters sampled in the ambient and wet season water quality monitoring. "/>
        <w:tblDescription w:val="List of parameters sampled in the ambient and wet season water quality monitoring. Note that +/- signs identifying the charge of the nutrient ions were omitted for brevity. * Sampled not at all sites"/>
      </w:tblPr>
      <w:tblGrid>
        <w:gridCol w:w="2096"/>
        <w:gridCol w:w="3184"/>
        <w:gridCol w:w="2044"/>
        <w:gridCol w:w="2021"/>
      </w:tblGrid>
      <w:tr w:rsidR="0093048D" w:rsidRPr="00EC2DF4" w14:paraId="5FD6C775" w14:textId="77777777" w:rsidTr="004A5BF7">
        <w:trPr>
          <w:trHeight w:val="397"/>
          <w:tblHeader/>
        </w:trPr>
        <w:tc>
          <w:tcPr>
            <w:tcW w:w="0" w:type="auto"/>
            <w:shd w:val="clear" w:color="auto" w:fill="D9D9D9" w:themeFill="background1" w:themeFillShade="D9"/>
            <w:vAlign w:val="center"/>
            <w:hideMark/>
          </w:tcPr>
          <w:p w14:paraId="65B3706A" w14:textId="77777777" w:rsidR="0093048D" w:rsidRPr="004A5BF7" w:rsidRDefault="0093048D" w:rsidP="00F824BE">
            <w:pPr>
              <w:spacing w:before="0" w:after="0"/>
              <w:jc w:val="center"/>
              <w:rPr>
                <w:rFonts w:cs="Arial"/>
                <w:b/>
                <w:color w:val="000000"/>
                <w:sz w:val="18"/>
                <w:szCs w:val="18"/>
                <w:lang w:val="en-AU" w:eastAsia="en-AU"/>
              </w:rPr>
            </w:pPr>
            <w:r w:rsidRPr="004A5BF7">
              <w:rPr>
                <w:rFonts w:cs="Arial"/>
                <w:b/>
                <w:color w:val="000000"/>
                <w:sz w:val="18"/>
                <w:szCs w:val="18"/>
                <w:lang w:val="en-AU" w:eastAsia="en-AU"/>
              </w:rPr>
              <w:t>Condition</w:t>
            </w:r>
          </w:p>
        </w:tc>
        <w:tc>
          <w:tcPr>
            <w:tcW w:w="0" w:type="auto"/>
            <w:shd w:val="clear" w:color="auto" w:fill="D9D9D9" w:themeFill="background1" w:themeFillShade="D9"/>
            <w:vAlign w:val="center"/>
            <w:hideMark/>
          </w:tcPr>
          <w:p w14:paraId="2FEC7A6F" w14:textId="77777777" w:rsidR="0093048D" w:rsidRPr="004A5BF7" w:rsidRDefault="0093048D" w:rsidP="00F824BE">
            <w:pPr>
              <w:spacing w:before="0" w:after="0"/>
              <w:jc w:val="center"/>
              <w:rPr>
                <w:rFonts w:cs="Arial"/>
                <w:b/>
                <w:color w:val="000000"/>
                <w:sz w:val="18"/>
                <w:szCs w:val="18"/>
                <w:lang w:val="en-AU" w:eastAsia="en-AU"/>
              </w:rPr>
            </w:pPr>
            <w:r w:rsidRPr="004A5BF7">
              <w:rPr>
                <w:rFonts w:cs="Arial"/>
                <w:b/>
                <w:color w:val="000000"/>
                <w:sz w:val="18"/>
                <w:szCs w:val="18"/>
                <w:lang w:val="en-AU" w:eastAsia="en-AU"/>
              </w:rPr>
              <w:t>Parameter</w:t>
            </w:r>
          </w:p>
        </w:tc>
        <w:tc>
          <w:tcPr>
            <w:tcW w:w="0" w:type="auto"/>
            <w:shd w:val="clear" w:color="auto" w:fill="D9D9D9" w:themeFill="background1" w:themeFillShade="D9"/>
            <w:vAlign w:val="center"/>
            <w:hideMark/>
          </w:tcPr>
          <w:p w14:paraId="1E21CBB1" w14:textId="77777777" w:rsidR="0093048D" w:rsidRPr="004A5BF7" w:rsidRDefault="0093048D" w:rsidP="00F824BE">
            <w:pPr>
              <w:spacing w:before="0" w:after="0"/>
              <w:jc w:val="center"/>
              <w:rPr>
                <w:rFonts w:cs="Arial"/>
                <w:b/>
                <w:color w:val="000000"/>
                <w:sz w:val="18"/>
                <w:szCs w:val="18"/>
                <w:lang w:val="en-AU" w:eastAsia="en-AU"/>
              </w:rPr>
            </w:pPr>
            <w:r w:rsidRPr="004A5BF7">
              <w:rPr>
                <w:rFonts w:cs="Arial"/>
                <w:b/>
                <w:color w:val="000000"/>
                <w:sz w:val="18"/>
                <w:szCs w:val="18"/>
                <w:lang w:val="en-AU" w:eastAsia="en-AU"/>
              </w:rPr>
              <w:t xml:space="preserve">Abbreviation </w:t>
            </w:r>
          </w:p>
        </w:tc>
        <w:tc>
          <w:tcPr>
            <w:tcW w:w="0" w:type="auto"/>
            <w:shd w:val="clear" w:color="auto" w:fill="D9D9D9" w:themeFill="background1" w:themeFillShade="D9"/>
            <w:vAlign w:val="center"/>
            <w:hideMark/>
          </w:tcPr>
          <w:p w14:paraId="11901733" w14:textId="77777777" w:rsidR="0093048D" w:rsidRPr="004A5BF7" w:rsidRDefault="0093048D" w:rsidP="00F824BE">
            <w:pPr>
              <w:spacing w:before="0" w:after="0"/>
              <w:jc w:val="center"/>
              <w:rPr>
                <w:rFonts w:cs="Arial"/>
                <w:b/>
                <w:color w:val="000000"/>
                <w:sz w:val="18"/>
                <w:szCs w:val="18"/>
                <w:lang w:val="en-AU" w:eastAsia="en-AU"/>
              </w:rPr>
            </w:pPr>
            <w:r w:rsidRPr="004A5BF7">
              <w:rPr>
                <w:rFonts w:cs="Arial"/>
                <w:b/>
                <w:color w:val="000000"/>
                <w:sz w:val="18"/>
                <w:szCs w:val="18"/>
                <w:lang w:val="en-AU" w:eastAsia="en-AU"/>
              </w:rPr>
              <w:t>Units of Measure </w:t>
            </w:r>
          </w:p>
        </w:tc>
      </w:tr>
      <w:tr w:rsidR="0093048D" w:rsidRPr="00EC2DF4" w14:paraId="634FC263" w14:textId="77777777" w:rsidTr="00F824BE">
        <w:trPr>
          <w:trHeight w:val="300"/>
        </w:trPr>
        <w:tc>
          <w:tcPr>
            <w:tcW w:w="0" w:type="auto"/>
            <w:vMerge w:val="restart"/>
            <w:shd w:val="clear" w:color="000000" w:fill="FFFFFF"/>
            <w:vAlign w:val="center"/>
            <w:hideMark/>
          </w:tcPr>
          <w:p w14:paraId="4DAEBBBB" w14:textId="77777777" w:rsidR="0093048D" w:rsidRPr="004A5BF7" w:rsidRDefault="0093048D" w:rsidP="00F824BE">
            <w:pPr>
              <w:spacing w:before="0" w:after="0"/>
              <w:jc w:val="left"/>
              <w:rPr>
                <w:rFonts w:cs="Arial"/>
                <w:color w:val="000000"/>
                <w:sz w:val="18"/>
                <w:szCs w:val="18"/>
                <w:lang w:val="en-AU" w:eastAsia="en-AU"/>
              </w:rPr>
            </w:pPr>
            <w:r w:rsidRPr="004A5BF7">
              <w:rPr>
                <w:rFonts w:cs="Arial"/>
                <w:color w:val="000000"/>
                <w:sz w:val="18"/>
                <w:szCs w:val="18"/>
                <w:lang w:val="en-AU" w:eastAsia="en-AU"/>
              </w:rPr>
              <w:t>Physico-chemical </w:t>
            </w:r>
          </w:p>
        </w:tc>
        <w:tc>
          <w:tcPr>
            <w:tcW w:w="0" w:type="auto"/>
            <w:shd w:val="clear" w:color="000000" w:fill="FFFFFF"/>
            <w:vAlign w:val="center"/>
            <w:hideMark/>
          </w:tcPr>
          <w:p w14:paraId="4364C1CF" w14:textId="77777777" w:rsidR="0093048D" w:rsidRPr="004A5BF7" w:rsidRDefault="0093048D" w:rsidP="00F824BE">
            <w:pPr>
              <w:spacing w:before="0" w:after="0"/>
              <w:jc w:val="left"/>
              <w:rPr>
                <w:rFonts w:cs="Arial"/>
                <w:color w:val="000000"/>
                <w:sz w:val="18"/>
                <w:szCs w:val="18"/>
                <w:lang w:val="en-AU" w:eastAsia="en-AU"/>
              </w:rPr>
            </w:pPr>
            <w:r w:rsidRPr="004A5BF7">
              <w:rPr>
                <w:rFonts w:cs="Arial"/>
                <w:color w:val="000000"/>
                <w:sz w:val="18"/>
                <w:szCs w:val="18"/>
                <w:lang w:val="en-AU" w:eastAsia="en-AU"/>
              </w:rPr>
              <w:t>Salinity</w:t>
            </w:r>
          </w:p>
        </w:tc>
        <w:tc>
          <w:tcPr>
            <w:tcW w:w="0" w:type="auto"/>
            <w:shd w:val="clear" w:color="000000" w:fill="FFFFFF"/>
            <w:vAlign w:val="center"/>
            <w:hideMark/>
          </w:tcPr>
          <w:p w14:paraId="0B6C09FA"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Salinity</w:t>
            </w:r>
          </w:p>
        </w:tc>
        <w:tc>
          <w:tcPr>
            <w:tcW w:w="0" w:type="auto"/>
            <w:shd w:val="clear" w:color="000000" w:fill="FFFFFF"/>
            <w:vAlign w:val="center"/>
            <w:hideMark/>
          </w:tcPr>
          <w:p w14:paraId="4AC78540"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PSU</w:t>
            </w:r>
          </w:p>
        </w:tc>
      </w:tr>
      <w:tr w:rsidR="0093048D" w:rsidRPr="00EC2DF4" w14:paraId="44F693EC" w14:textId="77777777" w:rsidTr="00F824BE">
        <w:trPr>
          <w:trHeight w:val="300"/>
        </w:trPr>
        <w:tc>
          <w:tcPr>
            <w:tcW w:w="0" w:type="auto"/>
            <w:vMerge/>
            <w:vAlign w:val="center"/>
            <w:hideMark/>
          </w:tcPr>
          <w:p w14:paraId="05E13D84" w14:textId="77777777" w:rsidR="0093048D" w:rsidRPr="004A5BF7" w:rsidRDefault="0093048D" w:rsidP="00F824BE">
            <w:pPr>
              <w:spacing w:before="0" w:after="0"/>
              <w:jc w:val="left"/>
              <w:rPr>
                <w:rFonts w:cs="Arial"/>
                <w:color w:val="000000"/>
                <w:sz w:val="18"/>
                <w:szCs w:val="18"/>
                <w:lang w:val="en-AU" w:eastAsia="en-AU"/>
              </w:rPr>
            </w:pPr>
          </w:p>
        </w:tc>
        <w:tc>
          <w:tcPr>
            <w:tcW w:w="0" w:type="auto"/>
            <w:shd w:val="clear" w:color="000000" w:fill="FFFFFF"/>
            <w:vAlign w:val="center"/>
            <w:hideMark/>
          </w:tcPr>
          <w:p w14:paraId="2D01937F" w14:textId="77777777" w:rsidR="0093048D" w:rsidRPr="004A5BF7" w:rsidRDefault="0093048D" w:rsidP="00F824BE">
            <w:pPr>
              <w:spacing w:before="0" w:after="0"/>
              <w:jc w:val="left"/>
              <w:rPr>
                <w:rFonts w:cs="Arial"/>
                <w:color w:val="000000"/>
                <w:sz w:val="18"/>
                <w:szCs w:val="18"/>
                <w:lang w:val="en-AU" w:eastAsia="en-AU"/>
              </w:rPr>
            </w:pPr>
            <w:r w:rsidRPr="004A5BF7">
              <w:rPr>
                <w:rFonts w:cs="Arial"/>
                <w:color w:val="000000"/>
                <w:sz w:val="18"/>
                <w:szCs w:val="18"/>
                <w:lang w:val="en-AU" w:eastAsia="en-AU"/>
              </w:rPr>
              <w:t>Temperature</w:t>
            </w:r>
          </w:p>
        </w:tc>
        <w:tc>
          <w:tcPr>
            <w:tcW w:w="0" w:type="auto"/>
            <w:shd w:val="clear" w:color="000000" w:fill="FFFFFF"/>
            <w:vAlign w:val="center"/>
            <w:hideMark/>
          </w:tcPr>
          <w:p w14:paraId="30843EDD"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Temperature</w:t>
            </w:r>
          </w:p>
        </w:tc>
        <w:tc>
          <w:tcPr>
            <w:tcW w:w="0" w:type="auto"/>
            <w:shd w:val="clear" w:color="000000" w:fill="FFFFFF"/>
            <w:vAlign w:val="center"/>
            <w:hideMark/>
          </w:tcPr>
          <w:p w14:paraId="5C6C61F3"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Celsius degree</w:t>
            </w:r>
          </w:p>
        </w:tc>
      </w:tr>
      <w:tr w:rsidR="0093048D" w:rsidRPr="00EC2DF4" w14:paraId="190B364D" w14:textId="77777777" w:rsidTr="00F824BE">
        <w:trPr>
          <w:trHeight w:val="369"/>
        </w:trPr>
        <w:tc>
          <w:tcPr>
            <w:tcW w:w="0" w:type="auto"/>
            <w:vMerge/>
            <w:shd w:val="clear" w:color="000000" w:fill="FFFFFF"/>
            <w:vAlign w:val="center"/>
            <w:hideMark/>
          </w:tcPr>
          <w:p w14:paraId="4295AD1C" w14:textId="77777777" w:rsidR="0093048D" w:rsidRPr="004A5BF7" w:rsidRDefault="0093048D" w:rsidP="00F824BE">
            <w:pPr>
              <w:spacing w:before="0" w:after="0"/>
              <w:jc w:val="left"/>
              <w:rPr>
                <w:rFonts w:cs="Arial"/>
                <w:color w:val="000000"/>
                <w:sz w:val="18"/>
                <w:szCs w:val="18"/>
                <w:lang w:val="en-AU" w:eastAsia="en-AU"/>
              </w:rPr>
            </w:pPr>
          </w:p>
        </w:tc>
        <w:tc>
          <w:tcPr>
            <w:tcW w:w="0" w:type="auto"/>
            <w:shd w:val="clear" w:color="000000" w:fill="FFFFFF"/>
            <w:vAlign w:val="center"/>
            <w:hideMark/>
          </w:tcPr>
          <w:p w14:paraId="031EE5FD" w14:textId="77777777" w:rsidR="0093048D" w:rsidRPr="004A5BF7" w:rsidRDefault="0093048D" w:rsidP="00F824BE">
            <w:pPr>
              <w:spacing w:before="0" w:after="0"/>
              <w:jc w:val="left"/>
              <w:rPr>
                <w:rFonts w:cs="Arial"/>
                <w:color w:val="000000"/>
                <w:sz w:val="18"/>
                <w:szCs w:val="18"/>
                <w:lang w:val="en-AU" w:eastAsia="en-AU"/>
              </w:rPr>
            </w:pPr>
            <w:r w:rsidRPr="004A5BF7">
              <w:rPr>
                <w:rFonts w:cs="Arial"/>
                <w:color w:val="000000"/>
                <w:sz w:val="18"/>
                <w:szCs w:val="18"/>
                <w:lang w:val="en-AU" w:eastAsia="en-AU"/>
              </w:rPr>
              <w:t>Light (underwater attenuation)*</w:t>
            </w:r>
          </w:p>
        </w:tc>
        <w:tc>
          <w:tcPr>
            <w:tcW w:w="0" w:type="auto"/>
            <w:shd w:val="clear" w:color="000000" w:fill="FFFFFF"/>
            <w:vAlign w:val="center"/>
            <w:hideMark/>
          </w:tcPr>
          <w:p w14:paraId="5369D414"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Kd(PAR)</w:t>
            </w:r>
          </w:p>
        </w:tc>
        <w:tc>
          <w:tcPr>
            <w:tcW w:w="0" w:type="auto"/>
            <w:shd w:val="clear" w:color="000000" w:fill="FFFFFF"/>
            <w:vAlign w:val="center"/>
            <w:hideMark/>
          </w:tcPr>
          <w:p w14:paraId="1DF9F3D0"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m</w:t>
            </w:r>
            <w:r w:rsidRPr="004A5BF7">
              <w:rPr>
                <w:rFonts w:cs="Arial"/>
                <w:color w:val="000000"/>
                <w:sz w:val="18"/>
                <w:szCs w:val="18"/>
                <w:vertAlign w:val="superscript"/>
                <w:lang w:val="en-AU" w:eastAsia="en-AU"/>
              </w:rPr>
              <w:t>-1</w:t>
            </w:r>
          </w:p>
        </w:tc>
      </w:tr>
      <w:tr w:rsidR="0093048D" w:rsidRPr="00EC2DF4" w14:paraId="00183AF7" w14:textId="77777777" w:rsidTr="00F824BE">
        <w:trPr>
          <w:trHeight w:val="300"/>
        </w:trPr>
        <w:tc>
          <w:tcPr>
            <w:tcW w:w="0" w:type="auto"/>
            <w:vMerge/>
            <w:shd w:val="clear" w:color="000000" w:fill="FFFFFF"/>
            <w:vAlign w:val="center"/>
            <w:hideMark/>
          </w:tcPr>
          <w:p w14:paraId="5E2EE33D" w14:textId="77777777" w:rsidR="0093048D" w:rsidRPr="004A5BF7" w:rsidRDefault="0093048D" w:rsidP="00F824BE">
            <w:pPr>
              <w:spacing w:before="0" w:after="0"/>
              <w:jc w:val="left"/>
              <w:rPr>
                <w:rFonts w:cs="Arial"/>
                <w:color w:val="000000"/>
                <w:sz w:val="18"/>
                <w:szCs w:val="18"/>
                <w:lang w:val="en-AU" w:eastAsia="en-AU"/>
              </w:rPr>
            </w:pPr>
          </w:p>
        </w:tc>
        <w:tc>
          <w:tcPr>
            <w:tcW w:w="0" w:type="auto"/>
            <w:shd w:val="clear" w:color="000000" w:fill="FFFFFF"/>
            <w:vAlign w:val="center"/>
            <w:hideMark/>
          </w:tcPr>
          <w:p w14:paraId="47D08F00" w14:textId="4CF5BDC1" w:rsidR="0093048D" w:rsidRPr="004A5BF7" w:rsidRDefault="0093048D" w:rsidP="00F824BE">
            <w:pPr>
              <w:spacing w:before="0" w:after="0"/>
              <w:jc w:val="left"/>
              <w:rPr>
                <w:rFonts w:cs="Arial"/>
                <w:color w:val="000000"/>
                <w:sz w:val="18"/>
                <w:szCs w:val="18"/>
                <w:lang w:val="en-AU" w:eastAsia="en-AU"/>
              </w:rPr>
            </w:pPr>
            <w:r w:rsidRPr="004A5BF7">
              <w:rPr>
                <w:rFonts w:cs="Arial"/>
                <w:color w:val="000000"/>
                <w:sz w:val="18"/>
                <w:szCs w:val="18"/>
                <w:lang w:val="en-AU" w:eastAsia="en-AU"/>
              </w:rPr>
              <w:t>Total Suspended Solids</w:t>
            </w:r>
          </w:p>
        </w:tc>
        <w:tc>
          <w:tcPr>
            <w:tcW w:w="0" w:type="auto"/>
            <w:shd w:val="clear" w:color="000000" w:fill="FFFFFF"/>
            <w:vAlign w:val="center"/>
            <w:hideMark/>
          </w:tcPr>
          <w:p w14:paraId="270AC5CC"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TSS</w:t>
            </w:r>
          </w:p>
        </w:tc>
        <w:tc>
          <w:tcPr>
            <w:tcW w:w="0" w:type="auto"/>
            <w:shd w:val="clear" w:color="000000" w:fill="FFFFFF"/>
            <w:vAlign w:val="center"/>
            <w:hideMark/>
          </w:tcPr>
          <w:p w14:paraId="6352F1EF"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mg/L</w:t>
            </w:r>
          </w:p>
        </w:tc>
      </w:tr>
      <w:tr w:rsidR="0093048D" w:rsidRPr="00EC2DF4" w14:paraId="13D71D60" w14:textId="77777777" w:rsidTr="00F824BE">
        <w:trPr>
          <w:trHeight w:val="375"/>
        </w:trPr>
        <w:tc>
          <w:tcPr>
            <w:tcW w:w="0" w:type="auto"/>
            <w:vMerge/>
            <w:shd w:val="clear" w:color="000000" w:fill="FFFFFF"/>
            <w:vAlign w:val="center"/>
            <w:hideMark/>
          </w:tcPr>
          <w:p w14:paraId="3C9AC0BD" w14:textId="77777777" w:rsidR="0093048D" w:rsidRPr="004A5BF7" w:rsidRDefault="0093048D" w:rsidP="00F824BE">
            <w:pPr>
              <w:spacing w:before="0" w:after="0"/>
              <w:jc w:val="left"/>
              <w:rPr>
                <w:rFonts w:cs="Arial"/>
                <w:color w:val="000000"/>
                <w:sz w:val="18"/>
                <w:szCs w:val="18"/>
                <w:lang w:val="en-AU" w:eastAsia="en-AU"/>
              </w:rPr>
            </w:pPr>
          </w:p>
        </w:tc>
        <w:tc>
          <w:tcPr>
            <w:tcW w:w="0" w:type="auto"/>
            <w:shd w:val="clear" w:color="000000" w:fill="FFFFFF"/>
            <w:vAlign w:val="center"/>
            <w:hideMark/>
          </w:tcPr>
          <w:p w14:paraId="17E0F68B" w14:textId="77777777" w:rsidR="0093048D" w:rsidRPr="004A5BF7" w:rsidRDefault="0093048D" w:rsidP="00F824BE">
            <w:pPr>
              <w:spacing w:before="0" w:after="0"/>
              <w:jc w:val="left"/>
              <w:rPr>
                <w:rFonts w:cs="Arial"/>
                <w:color w:val="000000"/>
                <w:sz w:val="18"/>
                <w:szCs w:val="18"/>
                <w:lang w:val="en-AU" w:eastAsia="en-AU"/>
              </w:rPr>
            </w:pPr>
            <w:r w:rsidRPr="004A5BF7">
              <w:rPr>
                <w:rFonts w:cs="Arial"/>
                <w:color w:val="000000"/>
                <w:sz w:val="18"/>
                <w:szCs w:val="18"/>
                <w:lang w:val="en-AU" w:eastAsia="en-AU"/>
              </w:rPr>
              <w:t>Coloured Dissolved Organic Matter</w:t>
            </w:r>
          </w:p>
        </w:tc>
        <w:tc>
          <w:tcPr>
            <w:tcW w:w="0" w:type="auto"/>
            <w:shd w:val="clear" w:color="000000" w:fill="FFFFFF"/>
            <w:vAlign w:val="center"/>
            <w:hideMark/>
          </w:tcPr>
          <w:p w14:paraId="2C5EF87B"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CDOM</w:t>
            </w:r>
          </w:p>
        </w:tc>
        <w:tc>
          <w:tcPr>
            <w:tcW w:w="0" w:type="auto"/>
            <w:shd w:val="clear" w:color="000000" w:fill="FFFFFF"/>
            <w:vAlign w:val="center"/>
            <w:hideMark/>
          </w:tcPr>
          <w:p w14:paraId="526F532F"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m</w:t>
            </w:r>
            <w:r w:rsidRPr="004A5BF7">
              <w:rPr>
                <w:rFonts w:cs="Arial"/>
                <w:color w:val="000000"/>
                <w:sz w:val="18"/>
                <w:szCs w:val="18"/>
                <w:vertAlign w:val="superscript"/>
                <w:lang w:val="en-AU" w:eastAsia="en-AU"/>
              </w:rPr>
              <w:t>-1</w:t>
            </w:r>
          </w:p>
        </w:tc>
      </w:tr>
      <w:tr w:rsidR="0093048D" w:rsidRPr="00EC2DF4" w14:paraId="1050C557" w14:textId="77777777" w:rsidTr="00F824BE">
        <w:trPr>
          <w:trHeight w:val="300"/>
        </w:trPr>
        <w:tc>
          <w:tcPr>
            <w:tcW w:w="0" w:type="auto"/>
            <w:vMerge/>
            <w:shd w:val="clear" w:color="000000" w:fill="FFFFFF"/>
            <w:vAlign w:val="center"/>
            <w:hideMark/>
          </w:tcPr>
          <w:p w14:paraId="3E8EA38C" w14:textId="77777777" w:rsidR="0093048D" w:rsidRPr="004A5BF7" w:rsidRDefault="0093048D" w:rsidP="00F824BE">
            <w:pPr>
              <w:spacing w:before="0" w:after="0"/>
              <w:jc w:val="left"/>
              <w:rPr>
                <w:rFonts w:cs="Arial"/>
                <w:color w:val="000000"/>
                <w:sz w:val="18"/>
                <w:szCs w:val="18"/>
                <w:lang w:val="en-AU" w:eastAsia="en-AU"/>
              </w:rPr>
            </w:pPr>
          </w:p>
        </w:tc>
        <w:tc>
          <w:tcPr>
            <w:tcW w:w="0" w:type="auto"/>
            <w:shd w:val="clear" w:color="000000" w:fill="FFFFFF"/>
            <w:vAlign w:val="center"/>
            <w:hideMark/>
          </w:tcPr>
          <w:p w14:paraId="01250A21" w14:textId="77777777" w:rsidR="0093048D" w:rsidRPr="004A5BF7" w:rsidRDefault="0093048D" w:rsidP="00F824BE">
            <w:pPr>
              <w:spacing w:before="0" w:after="0"/>
              <w:jc w:val="left"/>
              <w:rPr>
                <w:rFonts w:cs="Arial"/>
                <w:color w:val="000000"/>
                <w:sz w:val="18"/>
                <w:szCs w:val="18"/>
                <w:lang w:val="en-AU" w:eastAsia="en-AU"/>
              </w:rPr>
            </w:pPr>
            <w:r w:rsidRPr="004A5BF7">
              <w:rPr>
                <w:rFonts w:cs="Arial"/>
                <w:color w:val="000000"/>
                <w:sz w:val="18"/>
                <w:szCs w:val="18"/>
                <w:lang w:val="en-AU" w:eastAsia="en-AU"/>
              </w:rPr>
              <w:t>Turbidity</w:t>
            </w:r>
          </w:p>
        </w:tc>
        <w:tc>
          <w:tcPr>
            <w:tcW w:w="0" w:type="auto"/>
            <w:shd w:val="clear" w:color="000000" w:fill="FFFFFF"/>
            <w:vAlign w:val="center"/>
            <w:hideMark/>
          </w:tcPr>
          <w:p w14:paraId="0502466B"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Tur</w:t>
            </w:r>
          </w:p>
        </w:tc>
        <w:tc>
          <w:tcPr>
            <w:tcW w:w="0" w:type="auto"/>
            <w:shd w:val="clear" w:color="000000" w:fill="FFFFFF"/>
            <w:vAlign w:val="center"/>
            <w:hideMark/>
          </w:tcPr>
          <w:p w14:paraId="435433B7"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NTU</w:t>
            </w:r>
          </w:p>
        </w:tc>
      </w:tr>
      <w:tr w:rsidR="0093048D" w:rsidRPr="00EC2DF4" w14:paraId="2DAF4B95" w14:textId="77777777" w:rsidTr="00F824BE">
        <w:trPr>
          <w:trHeight w:val="345"/>
        </w:trPr>
        <w:tc>
          <w:tcPr>
            <w:tcW w:w="0" w:type="auto"/>
            <w:vMerge w:val="restart"/>
            <w:shd w:val="clear" w:color="000000" w:fill="FFFFFF"/>
            <w:vAlign w:val="center"/>
            <w:hideMark/>
          </w:tcPr>
          <w:p w14:paraId="05AF4445" w14:textId="609BEB23" w:rsidR="0093048D" w:rsidRPr="004A5BF7" w:rsidRDefault="0093048D" w:rsidP="00D25F94">
            <w:pPr>
              <w:spacing w:before="0" w:after="0"/>
              <w:jc w:val="left"/>
              <w:rPr>
                <w:rFonts w:cs="Arial"/>
                <w:color w:val="000000"/>
                <w:sz w:val="18"/>
                <w:szCs w:val="18"/>
                <w:lang w:val="en-AU" w:eastAsia="en-AU"/>
              </w:rPr>
            </w:pPr>
            <w:r w:rsidRPr="004A5BF7">
              <w:rPr>
                <w:rFonts w:cs="Arial"/>
                <w:color w:val="000000"/>
                <w:sz w:val="18"/>
                <w:szCs w:val="18"/>
                <w:lang w:val="en-AU" w:eastAsia="en-AU"/>
              </w:rPr>
              <w:t>Nutrients</w:t>
            </w:r>
            <w:r w:rsidR="00D25F94">
              <w:rPr>
                <w:rFonts w:cs="Arial"/>
                <w:color w:val="000000"/>
                <w:sz w:val="18"/>
                <w:szCs w:val="18"/>
                <w:vertAlign w:val="superscript"/>
                <w:lang w:val="en-AU" w:eastAsia="en-AU"/>
              </w:rPr>
              <w:t>2</w:t>
            </w:r>
          </w:p>
        </w:tc>
        <w:tc>
          <w:tcPr>
            <w:tcW w:w="0" w:type="auto"/>
            <w:shd w:val="clear" w:color="000000" w:fill="FFFFFF"/>
            <w:vAlign w:val="center"/>
            <w:hideMark/>
          </w:tcPr>
          <w:p w14:paraId="2FDABE3E" w14:textId="77777777" w:rsidR="0093048D" w:rsidRPr="004A5BF7" w:rsidRDefault="0093048D" w:rsidP="00F824BE">
            <w:pPr>
              <w:spacing w:before="0" w:after="0"/>
              <w:jc w:val="left"/>
              <w:rPr>
                <w:rFonts w:cs="Arial"/>
                <w:color w:val="000000"/>
                <w:sz w:val="18"/>
                <w:szCs w:val="18"/>
                <w:lang w:val="en-AU" w:eastAsia="en-AU"/>
              </w:rPr>
            </w:pPr>
            <w:r w:rsidRPr="004A5BF7">
              <w:rPr>
                <w:rFonts w:cs="Arial"/>
                <w:color w:val="000000"/>
                <w:sz w:val="18"/>
                <w:szCs w:val="18"/>
                <w:lang w:val="en-AU" w:eastAsia="en-AU"/>
              </w:rPr>
              <w:t>Ammonium</w:t>
            </w:r>
            <w:r w:rsidRPr="004A5BF7">
              <w:rPr>
                <w:rFonts w:cs="Arial"/>
                <w:color w:val="000000"/>
                <w:sz w:val="18"/>
                <w:szCs w:val="18"/>
                <w:vertAlign w:val="superscript"/>
                <w:lang w:val="en-AU" w:eastAsia="en-AU"/>
              </w:rPr>
              <w:t>1</w:t>
            </w:r>
          </w:p>
        </w:tc>
        <w:tc>
          <w:tcPr>
            <w:tcW w:w="0" w:type="auto"/>
            <w:shd w:val="clear" w:color="auto" w:fill="auto"/>
            <w:noWrap/>
            <w:vAlign w:val="bottom"/>
            <w:hideMark/>
          </w:tcPr>
          <w:p w14:paraId="75C12CAF"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NH</w:t>
            </w:r>
            <w:r w:rsidRPr="004A5BF7">
              <w:rPr>
                <w:rFonts w:cs="Arial"/>
                <w:color w:val="000000"/>
                <w:sz w:val="18"/>
                <w:szCs w:val="18"/>
                <w:vertAlign w:val="subscript"/>
                <w:lang w:val="en-AU" w:eastAsia="en-AU"/>
              </w:rPr>
              <w:t>4</w:t>
            </w:r>
          </w:p>
        </w:tc>
        <w:tc>
          <w:tcPr>
            <w:tcW w:w="0" w:type="auto"/>
            <w:shd w:val="clear" w:color="000000" w:fill="FFFFFF"/>
            <w:vAlign w:val="center"/>
            <w:hideMark/>
          </w:tcPr>
          <w:p w14:paraId="0EDC1F74"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93048D" w:rsidRPr="00EC2DF4" w14:paraId="11A78DA3" w14:textId="77777777" w:rsidTr="00F824BE">
        <w:trPr>
          <w:trHeight w:val="285"/>
        </w:trPr>
        <w:tc>
          <w:tcPr>
            <w:tcW w:w="0" w:type="auto"/>
            <w:vMerge/>
            <w:shd w:val="clear" w:color="000000" w:fill="FFFFFF"/>
            <w:vAlign w:val="center"/>
            <w:hideMark/>
          </w:tcPr>
          <w:p w14:paraId="38F34D93" w14:textId="77777777" w:rsidR="0093048D" w:rsidRPr="004A5BF7" w:rsidRDefault="0093048D" w:rsidP="00F824BE">
            <w:pPr>
              <w:spacing w:before="0" w:after="0"/>
              <w:jc w:val="left"/>
              <w:rPr>
                <w:rFonts w:cs="Arial"/>
                <w:color w:val="000000"/>
                <w:sz w:val="18"/>
                <w:szCs w:val="18"/>
                <w:lang w:val="en-AU" w:eastAsia="en-AU"/>
              </w:rPr>
            </w:pPr>
          </w:p>
        </w:tc>
        <w:tc>
          <w:tcPr>
            <w:tcW w:w="0" w:type="auto"/>
            <w:shd w:val="clear" w:color="000000" w:fill="FFFFFF"/>
            <w:vAlign w:val="center"/>
            <w:hideMark/>
          </w:tcPr>
          <w:p w14:paraId="68F3CDF3" w14:textId="77777777" w:rsidR="0093048D" w:rsidRPr="004A5BF7" w:rsidRDefault="0093048D" w:rsidP="00F824BE">
            <w:pPr>
              <w:spacing w:before="0" w:after="0"/>
              <w:jc w:val="left"/>
              <w:rPr>
                <w:rFonts w:cs="Arial"/>
                <w:color w:val="000000"/>
                <w:sz w:val="18"/>
                <w:szCs w:val="18"/>
                <w:lang w:val="en-AU" w:eastAsia="en-AU"/>
              </w:rPr>
            </w:pPr>
            <w:r w:rsidRPr="004A5BF7">
              <w:rPr>
                <w:rFonts w:cs="Arial"/>
                <w:color w:val="000000"/>
                <w:sz w:val="18"/>
                <w:szCs w:val="18"/>
                <w:lang w:val="en-AU" w:eastAsia="en-AU"/>
              </w:rPr>
              <w:t>Nitrite</w:t>
            </w:r>
            <w:r w:rsidRPr="004A5BF7">
              <w:rPr>
                <w:rFonts w:cs="Arial"/>
                <w:color w:val="000000"/>
                <w:sz w:val="18"/>
                <w:szCs w:val="18"/>
                <w:vertAlign w:val="superscript"/>
                <w:lang w:val="en-AU" w:eastAsia="en-AU"/>
              </w:rPr>
              <w:t>1</w:t>
            </w:r>
          </w:p>
        </w:tc>
        <w:tc>
          <w:tcPr>
            <w:tcW w:w="0" w:type="auto"/>
            <w:shd w:val="clear" w:color="000000" w:fill="FFFFFF"/>
            <w:vAlign w:val="center"/>
            <w:hideMark/>
          </w:tcPr>
          <w:p w14:paraId="6C30E367"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NO</w:t>
            </w:r>
            <w:r w:rsidRPr="004A5BF7">
              <w:rPr>
                <w:rFonts w:cs="Arial"/>
                <w:color w:val="000000"/>
                <w:sz w:val="18"/>
                <w:szCs w:val="18"/>
                <w:vertAlign w:val="subscript"/>
                <w:lang w:val="en-AU" w:eastAsia="en-AU"/>
              </w:rPr>
              <w:t>2</w:t>
            </w:r>
          </w:p>
        </w:tc>
        <w:tc>
          <w:tcPr>
            <w:tcW w:w="0" w:type="auto"/>
            <w:shd w:val="clear" w:color="000000" w:fill="FFFFFF"/>
            <w:vAlign w:val="center"/>
            <w:hideMark/>
          </w:tcPr>
          <w:p w14:paraId="2A90D77D"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93048D" w:rsidRPr="00EC2DF4" w14:paraId="3DFC617B" w14:textId="77777777" w:rsidTr="00F824BE">
        <w:trPr>
          <w:trHeight w:val="375"/>
        </w:trPr>
        <w:tc>
          <w:tcPr>
            <w:tcW w:w="0" w:type="auto"/>
            <w:vMerge/>
            <w:shd w:val="clear" w:color="000000" w:fill="FFFFFF"/>
            <w:vAlign w:val="center"/>
            <w:hideMark/>
          </w:tcPr>
          <w:p w14:paraId="63F154AB" w14:textId="77777777" w:rsidR="0093048D" w:rsidRPr="004A5BF7" w:rsidRDefault="0093048D" w:rsidP="00F824BE">
            <w:pPr>
              <w:spacing w:before="0" w:after="0"/>
              <w:jc w:val="left"/>
              <w:rPr>
                <w:rFonts w:cs="Arial"/>
                <w:color w:val="000000"/>
                <w:sz w:val="18"/>
                <w:szCs w:val="18"/>
                <w:lang w:val="en-AU" w:eastAsia="en-AU"/>
              </w:rPr>
            </w:pPr>
          </w:p>
        </w:tc>
        <w:tc>
          <w:tcPr>
            <w:tcW w:w="0" w:type="auto"/>
            <w:shd w:val="clear" w:color="000000" w:fill="FFFFFF"/>
            <w:vAlign w:val="center"/>
            <w:hideMark/>
          </w:tcPr>
          <w:p w14:paraId="3C4A15A3" w14:textId="77777777" w:rsidR="0093048D" w:rsidRPr="004A5BF7" w:rsidRDefault="0093048D" w:rsidP="00F824BE">
            <w:pPr>
              <w:spacing w:before="0" w:after="0"/>
              <w:jc w:val="left"/>
              <w:rPr>
                <w:rFonts w:cs="Arial"/>
                <w:color w:val="000000"/>
                <w:sz w:val="18"/>
                <w:szCs w:val="18"/>
                <w:lang w:val="en-AU" w:eastAsia="en-AU"/>
              </w:rPr>
            </w:pPr>
            <w:r w:rsidRPr="004A5BF7">
              <w:rPr>
                <w:rFonts w:cs="Arial"/>
                <w:color w:val="000000"/>
                <w:sz w:val="18"/>
                <w:szCs w:val="18"/>
                <w:lang w:val="en-AU" w:eastAsia="en-AU"/>
              </w:rPr>
              <w:t>Nitrate</w:t>
            </w:r>
            <w:r w:rsidRPr="004A5BF7">
              <w:rPr>
                <w:rFonts w:cs="Arial"/>
                <w:color w:val="000000"/>
                <w:sz w:val="18"/>
                <w:szCs w:val="18"/>
                <w:vertAlign w:val="superscript"/>
                <w:lang w:val="en-AU" w:eastAsia="en-AU"/>
              </w:rPr>
              <w:t>1</w:t>
            </w:r>
          </w:p>
        </w:tc>
        <w:tc>
          <w:tcPr>
            <w:tcW w:w="0" w:type="auto"/>
            <w:shd w:val="clear" w:color="000000" w:fill="FFFFFF"/>
            <w:vAlign w:val="center"/>
            <w:hideMark/>
          </w:tcPr>
          <w:p w14:paraId="012CEF2D"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NO</w:t>
            </w:r>
            <w:r w:rsidRPr="004A5BF7">
              <w:rPr>
                <w:rFonts w:cs="Arial"/>
                <w:color w:val="000000"/>
                <w:sz w:val="18"/>
                <w:szCs w:val="18"/>
                <w:vertAlign w:val="subscript"/>
                <w:lang w:val="en-AU" w:eastAsia="en-AU"/>
              </w:rPr>
              <w:t>3</w:t>
            </w:r>
          </w:p>
        </w:tc>
        <w:tc>
          <w:tcPr>
            <w:tcW w:w="0" w:type="auto"/>
            <w:shd w:val="clear" w:color="000000" w:fill="FFFFFF"/>
            <w:vAlign w:val="center"/>
            <w:hideMark/>
          </w:tcPr>
          <w:p w14:paraId="33E04679"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93048D" w:rsidRPr="00EC2DF4" w14:paraId="2926DF5D" w14:textId="77777777" w:rsidTr="00F824BE">
        <w:trPr>
          <w:trHeight w:val="300"/>
        </w:trPr>
        <w:tc>
          <w:tcPr>
            <w:tcW w:w="0" w:type="auto"/>
            <w:vMerge/>
            <w:shd w:val="clear" w:color="000000" w:fill="FFFFFF"/>
            <w:vAlign w:val="center"/>
            <w:hideMark/>
          </w:tcPr>
          <w:p w14:paraId="163482A4" w14:textId="77777777" w:rsidR="0093048D" w:rsidRPr="004A5BF7" w:rsidRDefault="0093048D" w:rsidP="00F824BE">
            <w:pPr>
              <w:spacing w:before="0" w:after="0"/>
              <w:jc w:val="left"/>
              <w:rPr>
                <w:rFonts w:cs="Arial"/>
                <w:color w:val="000000"/>
                <w:sz w:val="18"/>
                <w:szCs w:val="18"/>
                <w:lang w:val="en-AU" w:eastAsia="en-AU"/>
              </w:rPr>
            </w:pPr>
          </w:p>
        </w:tc>
        <w:tc>
          <w:tcPr>
            <w:tcW w:w="0" w:type="auto"/>
            <w:shd w:val="clear" w:color="000000" w:fill="FFFFFF"/>
            <w:vAlign w:val="center"/>
            <w:hideMark/>
          </w:tcPr>
          <w:p w14:paraId="77848C5D" w14:textId="77777777" w:rsidR="0093048D" w:rsidRPr="004A5BF7" w:rsidRDefault="0093048D" w:rsidP="00F824BE">
            <w:pPr>
              <w:spacing w:before="0" w:after="0"/>
              <w:jc w:val="left"/>
              <w:rPr>
                <w:rFonts w:cs="Arial"/>
                <w:color w:val="000000"/>
                <w:sz w:val="18"/>
                <w:szCs w:val="18"/>
                <w:lang w:val="en-AU" w:eastAsia="en-AU"/>
              </w:rPr>
            </w:pPr>
            <w:r w:rsidRPr="004A5BF7">
              <w:rPr>
                <w:rFonts w:cs="Arial"/>
                <w:color w:val="000000"/>
                <w:sz w:val="18"/>
                <w:szCs w:val="18"/>
                <w:lang w:val="en-AU" w:eastAsia="en-AU"/>
              </w:rPr>
              <w:t>dissolved inorganic phosphate</w:t>
            </w:r>
          </w:p>
        </w:tc>
        <w:tc>
          <w:tcPr>
            <w:tcW w:w="0" w:type="auto"/>
            <w:shd w:val="clear" w:color="000000" w:fill="FFFFFF"/>
            <w:vAlign w:val="center"/>
            <w:hideMark/>
          </w:tcPr>
          <w:p w14:paraId="3309D43B"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DIP</w:t>
            </w:r>
          </w:p>
        </w:tc>
        <w:tc>
          <w:tcPr>
            <w:tcW w:w="0" w:type="auto"/>
            <w:shd w:val="clear" w:color="000000" w:fill="FFFFFF"/>
            <w:vAlign w:val="center"/>
            <w:hideMark/>
          </w:tcPr>
          <w:p w14:paraId="1B1FAC6F"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93048D" w:rsidRPr="00EC2DF4" w14:paraId="4F0209DB" w14:textId="77777777" w:rsidTr="00F824BE">
        <w:trPr>
          <w:trHeight w:val="300"/>
        </w:trPr>
        <w:tc>
          <w:tcPr>
            <w:tcW w:w="0" w:type="auto"/>
            <w:vMerge/>
            <w:shd w:val="clear" w:color="000000" w:fill="FFFFFF"/>
            <w:vAlign w:val="center"/>
            <w:hideMark/>
          </w:tcPr>
          <w:p w14:paraId="5353BFBC" w14:textId="77777777" w:rsidR="0093048D" w:rsidRPr="004A5BF7" w:rsidRDefault="0093048D" w:rsidP="00F824BE">
            <w:pPr>
              <w:spacing w:before="0" w:after="0"/>
              <w:jc w:val="left"/>
              <w:rPr>
                <w:rFonts w:cs="Arial"/>
                <w:color w:val="000000"/>
                <w:sz w:val="18"/>
                <w:szCs w:val="18"/>
                <w:lang w:val="en-AU" w:eastAsia="en-AU"/>
              </w:rPr>
            </w:pPr>
          </w:p>
        </w:tc>
        <w:tc>
          <w:tcPr>
            <w:tcW w:w="0" w:type="auto"/>
            <w:shd w:val="clear" w:color="000000" w:fill="FFFFFF"/>
            <w:vAlign w:val="center"/>
            <w:hideMark/>
          </w:tcPr>
          <w:p w14:paraId="4EEF7E0A" w14:textId="77777777" w:rsidR="0093048D" w:rsidRPr="004A5BF7" w:rsidRDefault="0093048D" w:rsidP="00F824BE">
            <w:pPr>
              <w:spacing w:before="0" w:after="0"/>
              <w:jc w:val="left"/>
              <w:rPr>
                <w:rFonts w:cs="Arial"/>
                <w:color w:val="000000"/>
                <w:sz w:val="18"/>
                <w:szCs w:val="18"/>
                <w:lang w:val="en-AU" w:eastAsia="en-AU"/>
              </w:rPr>
            </w:pPr>
            <w:r w:rsidRPr="004A5BF7">
              <w:rPr>
                <w:rFonts w:cs="Arial"/>
                <w:color w:val="000000"/>
                <w:sz w:val="18"/>
                <w:szCs w:val="18"/>
                <w:lang w:val="en-AU" w:eastAsia="en-AU"/>
              </w:rPr>
              <w:t>Silica</w:t>
            </w:r>
          </w:p>
        </w:tc>
        <w:tc>
          <w:tcPr>
            <w:tcW w:w="0" w:type="auto"/>
            <w:shd w:val="clear" w:color="000000" w:fill="FFFFFF"/>
            <w:vAlign w:val="center"/>
            <w:hideMark/>
          </w:tcPr>
          <w:p w14:paraId="54C3314E"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Si</w:t>
            </w:r>
          </w:p>
        </w:tc>
        <w:tc>
          <w:tcPr>
            <w:tcW w:w="0" w:type="auto"/>
            <w:shd w:val="clear" w:color="000000" w:fill="FFFFFF"/>
            <w:vAlign w:val="center"/>
            <w:hideMark/>
          </w:tcPr>
          <w:p w14:paraId="5F4757D9"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93048D" w:rsidRPr="00EC2DF4" w14:paraId="6ABAF408" w14:textId="77777777" w:rsidTr="00F824BE">
        <w:trPr>
          <w:trHeight w:val="300"/>
        </w:trPr>
        <w:tc>
          <w:tcPr>
            <w:tcW w:w="0" w:type="auto"/>
            <w:vMerge/>
            <w:shd w:val="clear" w:color="000000" w:fill="FFFFFF"/>
            <w:vAlign w:val="center"/>
            <w:hideMark/>
          </w:tcPr>
          <w:p w14:paraId="1C40F139" w14:textId="77777777" w:rsidR="0093048D" w:rsidRPr="004A5BF7" w:rsidRDefault="0093048D" w:rsidP="00F824BE">
            <w:pPr>
              <w:spacing w:before="0" w:after="0"/>
              <w:jc w:val="left"/>
              <w:rPr>
                <w:rFonts w:cs="Arial"/>
                <w:color w:val="000000"/>
                <w:sz w:val="18"/>
                <w:szCs w:val="18"/>
                <w:lang w:val="en-AU" w:eastAsia="en-AU"/>
              </w:rPr>
            </w:pPr>
          </w:p>
        </w:tc>
        <w:tc>
          <w:tcPr>
            <w:tcW w:w="0" w:type="auto"/>
            <w:shd w:val="clear" w:color="000000" w:fill="FFFFFF"/>
            <w:vAlign w:val="center"/>
            <w:hideMark/>
          </w:tcPr>
          <w:p w14:paraId="0272E94F" w14:textId="77777777" w:rsidR="0093048D" w:rsidRPr="004A5BF7" w:rsidRDefault="0093048D" w:rsidP="00F824BE">
            <w:pPr>
              <w:spacing w:before="0" w:after="0"/>
              <w:jc w:val="left"/>
              <w:rPr>
                <w:rFonts w:cs="Arial"/>
                <w:color w:val="000000"/>
                <w:sz w:val="18"/>
                <w:szCs w:val="18"/>
                <w:lang w:val="en-AU" w:eastAsia="en-AU"/>
              </w:rPr>
            </w:pPr>
            <w:r w:rsidRPr="004A5BF7">
              <w:rPr>
                <w:rFonts w:cs="Arial"/>
                <w:color w:val="000000"/>
                <w:sz w:val="18"/>
                <w:szCs w:val="18"/>
                <w:lang w:val="en-AU" w:eastAsia="en-AU"/>
              </w:rPr>
              <w:t>dissolved organic carbon</w:t>
            </w:r>
          </w:p>
        </w:tc>
        <w:tc>
          <w:tcPr>
            <w:tcW w:w="0" w:type="auto"/>
            <w:shd w:val="clear" w:color="000000" w:fill="FFFFFF"/>
            <w:vAlign w:val="center"/>
            <w:hideMark/>
          </w:tcPr>
          <w:p w14:paraId="0D6D27C3"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DOC</w:t>
            </w:r>
          </w:p>
        </w:tc>
        <w:tc>
          <w:tcPr>
            <w:tcW w:w="0" w:type="auto"/>
            <w:shd w:val="clear" w:color="000000" w:fill="FFFFFF"/>
            <w:vAlign w:val="center"/>
            <w:hideMark/>
          </w:tcPr>
          <w:p w14:paraId="2F9B0FD4"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93048D" w:rsidRPr="00EC2DF4" w14:paraId="3C864C10" w14:textId="77777777" w:rsidTr="00F824BE">
        <w:trPr>
          <w:trHeight w:val="300"/>
        </w:trPr>
        <w:tc>
          <w:tcPr>
            <w:tcW w:w="0" w:type="auto"/>
            <w:vMerge/>
            <w:shd w:val="clear" w:color="000000" w:fill="FFFFFF"/>
            <w:vAlign w:val="center"/>
            <w:hideMark/>
          </w:tcPr>
          <w:p w14:paraId="2130C3B4" w14:textId="77777777" w:rsidR="0093048D" w:rsidRPr="004A5BF7" w:rsidRDefault="0093048D" w:rsidP="00F824BE">
            <w:pPr>
              <w:spacing w:before="0" w:after="0"/>
              <w:jc w:val="left"/>
              <w:rPr>
                <w:rFonts w:cs="Arial"/>
                <w:color w:val="000000"/>
                <w:sz w:val="18"/>
                <w:szCs w:val="18"/>
                <w:lang w:val="en-AU" w:eastAsia="en-AU"/>
              </w:rPr>
            </w:pPr>
          </w:p>
        </w:tc>
        <w:tc>
          <w:tcPr>
            <w:tcW w:w="0" w:type="auto"/>
            <w:shd w:val="clear" w:color="000000" w:fill="FFFFFF"/>
            <w:vAlign w:val="center"/>
            <w:hideMark/>
          </w:tcPr>
          <w:p w14:paraId="66D0A056" w14:textId="77777777" w:rsidR="0093048D" w:rsidRPr="004A5BF7" w:rsidRDefault="0093048D" w:rsidP="00F824BE">
            <w:pPr>
              <w:spacing w:before="0" w:after="0"/>
              <w:jc w:val="left"/>
              <w:rPr>
                <w:rFonts w:cs="Arial"/>
                <w:color w:val="000000"/>
                <w:sz w:val="18"/>
                <w:szCs w:val="18"/>
                <w:lang w:val="en-AU" w:eastAsia="en-AU"/>
              </w:rPr>
            </w:pPr>
            <w:r w:rsidRPr="004A5BF7">
              <w:rPr>
                <w:rFonts w:cs="Arial"/>
                <w:color w:val="000000"/>
                <w:sz w:val="18"/>
                <w:szCs w:val="18"/>
                <w:lang w:val="en-AU" w:eastAsia="en-AU"/>
              </w:rPr>
              <w:t>dissolved organic nitrogen</w:t>
            </w:r>
          </w:p>
        </w:tc>
        <w:tc>
          <w:tcPr>
            <w:tcW w:w="0" w:type="auto"/>
            <w:shd w:val="clear" w:color="000000" w:fill="FFFFFF"/>
            <w:vAlign w:val="center"/>
            <w:hideMark/>
          </w:tcPr>
          <w:p w14:paraId="6CA3FC2D"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DON</w:t>
            </w:r>
          </w:p>
        </w:tc>
        <w:tc>
          <w:tcPr>
            <w:tcW w:w="0" w:type="auto"/>
            <w:shd w:val="clear" w:color="000000" w:fill="FFFFFF"/>
            <w:vAlign w:val="center"/>
            <w:hideMark/>
          </w:tcPr>
          <w:p w14:paraId="6A0E2AA1"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93048D" w:rsidRPr="00EC2DF4" w14:paraId="32EA6120" w14:textId="77777777" w:rsidTr="00F824BE">
        <w:trPr>
          <w:trHeight w:val="300"/>
        </w:trPr>
        <w:tc>
          <w:tcPr>
            <w:tcW w:w="0" w:type="auto"/>
            <w:vMerge/>
            <w:shd w:val="clear" w:color="000000" w:fill="FFFFFF"/>
            <w:vAlign w:val="center"/>
            <w:hideMark/>
          </w:tcPr>
          <w:p w14:paraId="0720D908" w14:textId="77777777" w:rsidR="0093048D" w:rsidRPr="004A5BF7" w:rsidRDefault="0093048D" w:rsidP="00F824BE">
            <w:pPr>
              <w:spacing w:before="0" w:after="0"/>
              <w:jc w:val="left"/>
              <w:rPr>
                <w:rFonts w:cs="Arial"/>
                <w:color w:val="000000"/>
                <w:sz w:val="18"/>
                <w:szCs w:val="18"/>
                <w:lang w:val="en-AU" w:eastAsia="en-AU"/>
              </w:rPr>
            </w:pPr>
          </w:p>
        </w:tc>
        <w:tc>
          <w:tcPr>
            <w:tcW w:w="0" w:type="auto"/>
            <w:shd w:val="clear" w:color="000000" w:fill="FFFFFF"/>
            <w:vAlign w:val="center"/>
            <w:hideMark/>
          </w:tcPr>
          <w:p w14:paraId="1232CBDF" w14:textId="77777777" w:rsidR="0093048D" w:rsidRPr="004A5BF7" w:rsidRDefault="0093048D" w:rsidP="00F824BE">
            <w:pPr>
              <w:spacing w:before="0" w:after="0"/>
              <w:jc w:val="left"/>
              <w:rPr>
                <w:rFonts w:cs="Arial"/>
                <w:color w:val="000000"/>
                <w:sz w:val="18"/>
                <w:szCs w:val="18"/>
                <w:lang w:val="en-AU" w:eastAsia="en-AU"/>
              </w:rPr>
            </w:pPr>
            <w:r w:rsidRPr="004A5BF7">
              <w:rPr>
                <w:rFonts w:cs="Arial"/>
                <w:color w:val="000000"/>
                <w:sz w:val="18"/>
                <w:szCs w:val="18"/>
                <w:lang w:val="en-AU" w:eastAsia="en-AU"/>
              </w:rPr>
              <w:t>dissolved organic phosphorus</w:t>
            </w:r>
          </w:p>
        </w:tc>
        <w:tc>
          <w:tcPr>
            <w:tcW w:w="0" w:type="auto"/>
            <w:shd w:val="clear" w:color="000000" w:fill="FFFFFF"/>
            <w:vAlign w:val="center"/>
            <w:hideMark/>
          </w:tcPr>
          <w:p w14:paraId="41C3D3D2"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DOP</w:t>
            </w:r>
          </w:p>
        </w:tc>
        <w:tc>
          <w:tcPr>
            <w:tcW w:w="0" w:type="auto"/>
            <w:shd w:val="clear" w:color="000000" w:fill="FFFFFF"/>
            <w:vAlign w:val="center"/>
            <w:hideMark/>
          </w:tcPr>
          <w:p w14:paraId="10A206C5"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93048D" w:rsidRPr="00EC2DF4" w14:paraId="20F7A874" w14:textId="77777777" w:rsidTr="00F824BE">
        <w:trPr>
          <w:trHeight w:val="300"/>
        </w:trPr>
        <w:tc>
          <w:tcPr>
            <w:tcW w:w="0" w:type="auto"/>
            <w:vMerge/>
            <w:shd w:val="clear" w:color="000000" w:fill="FFFFFF"/>
            <w:vAlign w:val="center"/>
            <w:hideMark/>
          </w:tcPr>
          <w:p w14:paraId="649CCCE2" w14:textId="77777777" w:rsidR="0093048D" w:rsidRPr="004A5BF7" w:rsidRDefault="0093048D" w:rsidP="00F824BE">
            <w:pPr>
              <w:spacing w:before="0" w:after="0"/>
              <w:jc w:val="left"/>
              <w:rPr>
                <w:rFonts w:cs="Arial"/>
                <w:color w:val="000000"/>
                <w:sz w:val="18"/>
                <w:szCs w:val="18"/>
                <w:lang w:val="en-AU" w:eastAsia="en-AU"/>
              </w:rPr>
            </w:pPr>
          </w:p>
        </w:tc>
        <w:tc>
          <w:tcPr>
            <w:tcW w:w="0" w:type="auto"/>
            <w:shd w:val="clear" w:color="000000" w:fill="FFFFFF"/>
            <w:vAlign w:val="center"/>
            <w:hideMark/>
          </w:tcPr>
          <w:p w14:paraId="6E6CE625" w14:textId="77777777" w:rsidR="0093048D" w:rsidRPr="004A5BF7" w:rsidRDefault="0093048D" w:rsidP="00F824BE">
            <w:pPr>
              <w:spacing w:before="0" w:after="0"/>
              <w:jc w:val="left"/>
              <w:rPr>
                <w:rFonts w:cs="Arial"/>
                <w:color w:val="000000"/>
                <w:sz w:val="18"/>
                <w:szCs w:val="18"/>
                <w:lang w:val="en-AU" w:eastAsia="en-AU"/>
              </w:rPr>
            </w:pPr>
            <w:r w:rsidRPr="004A5BF7">
              <w:rPr>
                <w:rFonts w:cs="Arial"/>
                <w:color w:val="000000"/>
                <w:sz w:val="18"/>
                <w:szCs w:val="18"/>
                <w:lang w:val="en-AU" w:eastAsia="en-AU"/>
              </w:rPr>
              <w:t>particulate organic carbon</w:t>
            </w:r>
          </w:p>
        </w:tc>
        <w:tc>
          <w:tcPr>
            <w:tcW w:w="0" w:type="auto"/>
            <w:shd w:val="clear" w:color="000000" w:fill="FFFFFF"/>
            <w:vAlign w:val="center"/>
            <w:hideMark/>
          </w:tcPr>
          <w:p w14:paraId="62C616CB"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POC</w:t>
            </w:r>
          </w:p>
        </w:tc>
        <w:tc>
          <w:tcPr>
            <w:tcW w:w="0" w:type="auto"/>
            <w:shd w:val="clear" w:color="000000" w:fill="FFFFFF"/>
            <w:vAlign w:val="center"/>
            <w:hideMark/>
          </w:tcPr>
          <w:p w14:paraId="6465659A"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93048D" w:rsidRPr="00EC2DF4" w14:paraId="2C5E27E4" w14:textId="77777777" w:rsidTr="00F824BE">
        <w:trPr>
          <w:trHeight w:val="300"/>
        </w:trPr>
        <w:tc>
          <w:tcPr>
            <w:tcW w:w="0" w:type="auto"/>
            <w:vMerge/>
            <w:shd w:val="clear" w:color="000000" w:fill="FFFFFF"/>
            <w:vAlign w:val="center"/>
            <w:hideMark/>
          </w:tcPr>
          <w:p w14:paraId="58062602" w14:textId="77777777" w:rsidR="0093048D" w:rsidRPr="004A5BF7" w:rsidRDefault="0093048D" w:rsidP="00F824BE">
            <w:pPr>
              <w:spacing w:before="0" w:after="0"/>
              <w:jc w:val="left"/>
              <w:rPr>
                <w:rFonts w:cs="Arial"/>
                <w:color w:val="000000"/>
                <w:sz w:val="18"/>
                <w:szCs w:val="18"/>
                <w:lang w:val="en-AU" w:eastAsia="en-AU"/>
              </w:rPr>
            </w:pPr>
          </w:p>
        </w:tc>
        <w:tc>
          <w:tcPr>
            <w:tcW w:w="0" w:type="auto"/>
            <w:shd w:val="clear" w:color="000000" w:fill="FFFFFF"/>
            <w:vAlign w:val="center"/>
            <w:hideMark/>
          </w:tcPr>
          <w:p w14:paraId="7EECF995" w14:textId="77777777" w:rsidR="0093048D" w:rsidRPr="004A5BF7" w:rsidRDefault="0093048D" w:rsidP="00F824BE">
            <w:pPr>
              <w:spacing w:before="0" w:after="0"/>
              <w:jc w:val="left"/>
              <w:rPr>
                <w:rFonts w:cs="Arial"/>
                <w:color w:val="000000"/>
                <w:sz w:val="18"/>
                <w:szCs w:val="18"/>
                <w:lang w:val="en-AU" w:eastAsia="en-AU"/>
              </w:rPr>
            </w:pPr>
            <w:r w:rsidRPr="004A5BF7">
              <w:rPr>
                <w:rFonts w:cs="Arial"/>
                <w:color w:val="000000"/>
                <w:sz w:val="18"/>
                <w:szCs w:val="18"/>
                <w:lang w:val="en-AU" w:eastAsia="en-AU"/>
              </w:rPr>
              <w:t>particulate nitrogen</w:t>
            </w:r>
          </w:p>
        </w:tc>
        <w:tc>
          <w:tcPr>
            <w:tcW w:w="0" w:type="auto"/>
            <w:shd w:val="clear" w:color="000000" w:fill="FFFFFF"/>
            <w:vAlign w:val="center"/>
            <w:hideMark/>
          </w:tcPr>
          <w:p w14:paraId="642FC7AE"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PN</w:t>
            </w:r>
          </w:p>
        </w:tc>
        <w:tc>
          <w:tcPr>
            <w:tcW w:w="0" w:type="auto"/>
            <w:shd w:val="clear" w:color="000000" w:fill="FFFFFF"/>
            <w:vAlign w:val="center"/>
            <w:hideMark/>
          </w:tcPr>
          <w:p w14:paraId="180C5679"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93048D" w:rsidRPr="00EC2DF4" w14:paraId="2038D03A" w14:textId="77777777" w:rsidTr="00F824BE">
        <w:trPr>
          <w:trHeight w:val="300"/>
        </w:trPr>
        <w:tc>
          <w:tcPr>
            <w:tcW w:w="0" w:type="auto"/>
            <w:vMerge/>
            <w:shd w:val="clear" w:color="auto" w:fill="auto"/>
            <w:noWrap/>
            <w:vAlign w:val="center"/>
            <w:hideMark/>
          </w:tcPr>
          <w:p w14:paraId="332D17B1" w14:textId="77777777" w:rsidR="0093048D" w:rsidRPr="004A5BF7" w:rsidRDefault="0093048D" w:rsidP="00F824BE">
            <w:pPr>
              <w:spacing w:before="0" w:after="0"/>
              <w:jc w:val="left"/>
              <w:rPr>
                <w:rFonts w:cs="Arial"/>
                <w:color w:val="000000"/>
                <w:sz w:val="18"/>
                <w:szCs w:val="18"/>
                <w:lang w:val="en-AU" w:eastAsia="en-AU"/>
              </w:rPr>
            </w:pPr>
          </w:p>
        </w:tc>
        <w:tc>
          <w:tcPr>
            <w:tcW w:w="0" w:type="auto"/>
            <w:shd w:val="clear" w:color="000000" w:fill="FFFFFF"/>
            <w:vAlign w:val="center"/>
            <w:hideMark/>
          </w:tcPr>
          <w:p w14:paraId="63F2AE2D" w14:textId="77777777" w:rsidR="0093048D" w:rsidRPr="004A5BF7" w:rsidRDefault="0093048D" w:rsidP="00F824BE">
            <w:pPr>
              <w:spacing w:before="0" w:after="0"/>
              <w:jc w:val="left"/>
              <w:rPr>
                <w:rFonts w:cs="Arial"/>
                <w:color w:val="000000"/>
                <w:sz w:val="18"/>
                <w:szCs w:val="18"/>
                <w:lang w:val="en-AU" w:eastAsia="en-AU"/>
              </w:rPr>
            </w:pPr>
            <w:r w:rsidRPr="004A5BF7">
              <w:rPr>
                <w:rFonts w:cs="Arial"/>
                <w:color w:val="000000"/>
                <w:sz w:val="18"/>
                <w:szCs w:val="18"/>
                <w:lang w:val="en-AU" w:eastAsia="en-AU"/>
              </w:rPr>
              <w:t>particulate phosphorus</w:t>
            </w:r>
          </w:p>
        </w:tc>
        <w:tc>
          <w:tcPr>
            <w:tcW w:w="0" w:type="auto"/>
            <w:shd w:val="clear" w:color="000000" w:fill="FFFFFF"/>
            <w:vAlign w:val="center"/>
            <w:hideMark/>
          </w:tcPr>
          <w:p w14:paraId="7010DC1F"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PP</w:t>
            </w:r>
          </w:p>
        </w:tc>
        <w:tc>
          <w:tcPr>
            <w:tcW w:w="0" w:type="auto"/>
            <w:shd w:val="clear" w:color="000000" w:fill="FFFFFF"/>
            <w:vAlign w:val="center"/>
            <w:hideMark/>
          </w:tcPr>
          <w:p w14:paraId="51D9810E"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93048D" w:rsidRPr="00EC2DF4" w14:paraId="0C558B0B" w14:textId="77777777" w:rsidTr="00F824BE">
        <w:trPr>
          <w:trHeight w:val="300"/>
        </w:trPr>
        <w:tc>
          <w:tcPr>
            <w:tcW w:w="0" w:type="auto"/>
            <w:shd w:val="clear" w:color="000000" w:fill="FFFFFF"/>
            <w:vAlign w:val="center"/>
            <w:hideMark/>
          </w:tcPr>
          <w:p w14:paraId="3E990841" w14:textId="77777777" w:rsidR="0093048D" w:rsidRPr="004A5BF7" w:rsidRDefault="0093048D" w:rsidP="00F824BE">
            <w:pPr>
              <w:spacing w:before="0" w:after="0"/>
              <w:jc w:val="left"/>
              <w:rPr>
                <w:rFonts w:cs="Arial"/>
                <w:color w:val="000000"/>
                <w:sz w:val="18"/>
                <w:szCs w:val="18"/>
                <w:lang w:val="en-AU" w:eastAsia="en-AU"/>
              </w:rPr>
            </w:pPr>
            <w:r w:rsidRPr="004A5BF7">
              <w:rPr>
                <w:rFonts w:cs="Arial"/>
                <w:color w:val="000000"/>
                <w:sz w:val="18"/>
                <w:szCs w:val="18"/>
                <w:lang w:val="en-AU" w:eastAsia="en-AU"/>
              </w:rPr>
              <w:t>Productivity</w:t>
            </w:r>
          </w:p>
        </w:tc>
        <w:tc>
          <w:tcPr>
            <w:tcW w:w="0" w:type="auto"/>
            <w:shd w:val="clear" w:color="000000" w:fill="FFFFFF"/>
            <w:vAlign w:val="center"/>
            <w:hideMark/>
          </w:tcPr>
          <w:p w14:paraId="0FDE6E86" w14:textId="77777777" w:rsidR="0093048D" w:rsidRPr="004A5BF7" w:rsidRDefault="0093048D" w:rsidP="00F824BE">
            <w:pPr>
              <w:spacing w:before="0" w:after="0"/>
              <w:jc w:val="left"/>
              <w:rPr>
                <w:rFonts w:cs="Arial"/>
                <w:color w:val="000000"/>
                <w:sz w:val="18"/>
                <w:szCs w:val="18"/>
                <w:lang w:val="en-AU" w:eastAsia="en-AU"/>
              </w:rPr>
            </w:pPr>
            <w:r w:rsidRPr="004A5BF7">
              <w:rPr>
                <w:rFonts w:cs="Arial"/>
                <w:color w:val="000000"/>
                <w:sz w:val="18"/>
                <w:szCs w:val="18"/>
                <w:lang w:val="en-AU" w:eastAsia="en-AU"/>
              </w:rPr>
              <w:t>Chlorophyll-a</w:t>
            </w:r>
          </w:p>
        </w:tc>
        <w:tc>
          <w:tcPr>
            <w:tcW w:w="0" w:type="auto"/>
            <w:shd w:val="clear" w:color="000000" w:fill="FFFFFF"/>
            <w:vAlign w:val="center"/>
            <w:hideMark/>
          </w:tcPr>
          <w:p w14:paraId="6342B40A"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Chl-a</w:t>
            </w:r>
          </w:p>
        </w:tc>
        <w:tc>
          <w:tcPr>
            <w:tcW w:w="0" w:type="auto"/>
            <w:shd w:val="clear" w:color="000000" w:fill="FFFFFF"/>
            <w:vAlign w:val="center"/>
            <w:hideMark/>
          </w:tcPr>
          <w:p w14:paraId="1101C7AA"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µg/L</w:t>
            </w:r>
          </w:p>
        </w:tc>
      </w:tr>
      <w:tr w:rsidR="0093048D" w:rsidRPr="00EC2DF4" w14:paraId="7DD3EE37" w14:textId="77777777" w:rsidTr="00F824BE">
        <w:trPr>
          <w:trHeight w:val="359"/>
        </w:trPr>
        <w:tc>
          <w:tcPr>
            <w:tcW w:w="0" w:type="auto"/>
            <w:shd w:val="clear" w:color="000000" w:fill="FFFFFF"/>
            <w:vAlign w:val="center"/>
            <w:hideMark/>
          </w:tcPr>
          <w:p w14:paraId="48C3E702" w14:textId="77777777" w:rsidR="0093048D" w:rsidRPr="004A5BF7" w:rsidRDefault="0093048D" w:rsidP="00F824BE">
            <w:pPr>
              <w:spacing w:before="0" w:after="0"/>
              <w:jc w:val="left"/>
              <w:rPr>
                <w:rFonts w:cs="Arial"/>
                <w:color w:val="000000"/>
                <w:sz w:val="18"/>
                <w:szCs w:val="18"/>
                <w:lang w:val="en-AU" w:eastAsia="en-AU"/>
              </w:rPr>
            </w:pPr>
            <w:r w:rsidRPr="004A5BF7">
              <w:rPr>
                <w:rFonts w:cs="Arial"/>
                <w:color w:val="000000"/>
                <w:sz w:val="18"/>
                <w:szCs w:val="18"/>
                <w:lang w:val="en-AU" w:eastAsia="en-AU"/>
              </w:rPr>
              <w:t>Pesticides</w:t>
            </w:r>
          </w:p>
        </w:tc>
        <w:tc>
          <w:tcPr>
            <w:tcW w:w="0" w:type="auto"/>
            <w:shd w:val="clear" w:color="000000" w:fill="FFFFFF"/>
            <w:vAlign w:val="center"/>
            <w:hideMark/>
          </w:tcPr>
          <w:p w14:paraId="1E82128B" w14:textId="77777777" w:rsidR="0093048D" w:rsidRPr="004A5BF7" w:rsidRDefault="0093048D" w:rsidP="00F824BE">
            <w:pPr>
              <w:spacing w:before="0" w:after="0"/>
              <w:jc w:val="left"/>
              <w:rPr>
                <w:rFonts w:cs="Arial"/>
                <w:color w:val="000000"/>
                <w:sz w:val="18"/>
                <w:szCs w:val="18"/>
                <w:lang w:val="en-AU" w:eastAsia="en-AU"/>
              </w:rPr>
            </w:pPr>
            <w:r w:rsidRPr="004A5BF7">
              <w:rPr>
                <w:rFonts w:cs="Arial"/>
                <w:color w:val="000000"/>
                <w:sz w:val="18"/>
                <w:szCs w:val="18"/>
                <w:lang w:val="en-AU" w:eastAsia="en-AU"/>
              </w:rPr>
              <w:t>Photosystem II inhibiting herbicide</w:t>
            </w:r>
          </w:p>
        </w:tc>
        <w:tc>
          <w:tcPr>
            <w:tcW w:w="0" w:type="auto"/>
            <w:shd w:val="clear" w:color="000000" w:fill="FFFFFF"/>
            <w:vAlign w:val="center"/>
            <w:hideMark/>
          </w:tcPr>
          <w:p w14:paraId="7F0E17AA"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PSII herbicides</w:t>
            </w:r>
          </w:p>
        </w:tc>
        <w:tc>
          <w:tcPr>
            <w:tcW w:w="0" w:type="auto"/>
            <w:shd w:val="clear" w:color="000000" w:fill="FFFFFF"/>
            <w:vAlign w:val="center"/>
            <w:hideMark/>
          </w:tcPr>
          <w:p w14:paraId="5AAEC54C" w14:textId="77777777" w:rsidR="0093048D" w:rsidRPr="004A5BF7" w:rsidRDefault="0093048D" w:rsidP="00F824BE">
            <w:pPr>
              <w:spacing w:before="0" w:after="0"/>
              <w:jc w:val="center"/>
              <w:rPr>
                <w:rFonts w:cs="Arial"/>
                <w:color w:val="000000"/>
                <w:sz w:val="18"/>
                <w:szCs w:val="18"/>
                <w:lang w:val="en-AU" w:eastAsia="en-AU"/>
              </w:rPr>
            </w:pPr>
            <w:r w:rsidRPr="004A5BF7">
              <w:rPr>
                <w:rFonts w:cs="Arial"/>
                <w:color w:val="000000"/>
                <w:sz w:val="18"/>
                <w:szCs w:val="18"/>
                <w:lang w:val="en-AU" w:eastAsia="en-AU"/>
              </w:rPr>
              <w:t>ng/L</w:t>
            </w:r>
          </w:p>
        </w:tc>
      </w:tr>
      <w:tr w:rsidR="0093048D" w:rsidRPr="00EC2DF4" w14:paraId="6BF8EDF5" w14:textId="77777777" w:rsidTr="00F824BE">
        <w:trPr>
          <w:trHeight w:val="300"/>
        </w:trPr>
        <w:tc>
          <w:tcPr>
            <w:tcW w:w="0" w:type="auto"/>
            <w:gridSpan w:val="4"/>
            <w:shd w:val="clear" w:color="auto" w:fill="auto"/>
            <w:noWrap/>
            <w:vAlign w:val="bottom"/>
            <w:hideMark/>
          </w:tcPr>
          <w:p w14:paraId="4666AC9D" w14:textId="41957550" w:rsidR="00D25F94" w:rsidRPr="00C25EF7" w:rsidRDefault="0093048D" w:rsidP="00D14567">
            <w:pPr>
              <w:spacing w:before="0" w:after="0"/>
              <w:jc w:val="left"/>
              <w:rPr>
                <w:rFonts w:cs="Arial"/>
                <w:i/>
                <w:color w:val="000000"/>
                <w:sz w:val="18"/>
                <w:szCs w:val="18"/>
                <w:lang w:val="en-AU" w:eastAsia="en-AU"/>
              </w:rPr>
            </w:pPr>
            <w:r w:rsidRPr="00C25EF7">
              <w:rPr>
                <w:rFonts w:cs="Arial"/>
                <w:i/>
                <w:color w:val="000000"/>
                <w:sz w:val="18"/>
                <w:szCs w:val="18"/>
                <w:vertAlign w:val="superscript"/>
                <w:lang w:val="en-AU" w:eastAsia="en-AU"/>
              </w:rPr>
              <w:t>1</w:t>
            </w:r>
            <w:r w:rsidRPr="00C25EF7">
              <w:rPr>
                <w:rFonts w:cs="Arial"/>
                <w:i/>
                <w:color w:val="000000"/>
                <w:sz w:val="18"/>
                <w:szCs w:val="18"/>
                <w:lang w:val="en-AU" w:eastAsia="en-AU"/>
              </w:rPr>
              <w:t xml:space="preserve"> note that dissolved inorganic nitrogen (DIN) is the sum of NO</w:t>
            </w:r>
            <w:r w:rsidRPr="00C25EF7">
              <w:rPr>
                <w:rFonts w:cs="Arial"/>
                <w:i/>
                <w:color w:val="000000"/>
                <w:sz w:val="18"/>
                <w:szCs w:val="18"/>
                <w:vertAlign w:val="subscript"/>
                <w:lang w:val="en-AU" w:eastAsia="en-AU"/>
              </w:rPr>
              <w:t>2</w:t>
            </w:r>
            <w:r w:rsidRPr="00C25EF7">
              <w:rPr>
                <w:rFonts w:cs="Arial"/>
                <w:i/>
                <w:color w:val="000000"/>
                <w:sz w:val="18"/>
                <w:szCs w:val="18"/>
                <w:lang w:val="en-AU" w:eastAsia="en-AU"/>
              </w:rPr>
              <w:t>, NO</w:t>
            </w:r>
            <w:r w:rsidRPr="00C25EF7">
              <w:rPr>
                <w:rFonts w:cs="Arial"/>
                <w:i/>
                <w:color w:val="000000"/>
                <w:sz w:val="18"/>
                <w:szCs w:val="18"/>
                <w:vertAlign w:val="subscript"/>
                <w:lang w:val="en-AU" w:eastAsia="en-AU"/>
              </w:rPr>
              <w:t>3</w:t>
            </w:r>
            <w:r w:rsidRPr="00C25EF7">
              <w:rPr>
                <w:rFonts w:cs="Arial"/>
                <w:i/>
                <w:color w:val="000000"/>
                <w:sz w:val="18"/>
                <w:szCs w:val="18"/>
                <w:lang w:val="en-AU" w:eastAsia="en-AU"/>
              </w:rPr>
              <w:t xml:space="preserve"> and NH</w:t>
            </w:r>
            <w:r w:rsidRPr="00C25EF7">
              <w:rPr>
                <w:rFonts w:cs="Arial"/>
                <w:i/>
                <w:color w:val="000000"/>
                <w:sz w:val="18"/>
                <w:szCs w:val="18"/>
                <w:vertAlign w:val="subscript"/>
                <w:lang w:val="en-AU" w:eastAsia="en-AU"/>
              </w:rPr>
              <w:t xml:space="preserve">4 </w:t>
            </w:r>
            <w:r w:rsidRPr="00C25EF7">
              <w:rPr>
                <w:rFonts w:cs="Arial"/>
                <w:i/>
                <w:color w:val="000000"/>
                <w:sz w:val="18"/>
                <w:szCs w:val="18"/>
                <w:lang w:val="en-AU" w:eastAsia="en-AU"/>
              </w:rPr>
              <w:t>and NO</w:t>
            </w:r>
            <w:r w:rsidRPr="00C25EF7">
              <w:rPr>
                <w:rFonts w:cs="Arial"/>
                <w:i/>
                <w:color w:val="000000"/>
                <w:sz w:val="18"/>
                <w:szCs w:val="18"/>
                <w:vertAlign w:val="subscript"/>
                <w:lang w:val="en-AU" w:eastAsia="en-AU"/>
              </w:rPr>
              <w:t>X</w:t>
            </w:r>
            <w:r w:rsidRPr="00C25EF7">
              <w:rPr>
                <w:rFonts w:cs="Arial"/>
                <w:i/>
                <w:color w:val="000000"/>
                <w:sz w:val="18"/>
                <w:szCs w:val="18"/>
                <w:lang w:val="en-AU" w:eastAsia="en-AU"/>
              </w:rPr>
              <w:t xml:space="preserve"> is the sum of NO</w:t>
            </w:r>
            <w:r w:rsidRPr="00C25EF7">
              <w:rPr>
                <w:rFonts w:cs="Arial"/>
                <w:i/>
                <w:color w:val="000000"/>
                <w:sz w:val="18"/>
                <w:szCs w:val="18"/>
                <w:vertAlign w:val="subscript"/>
                <w:lang w:val="en-AU" w:eastAsia="en-AU"/>
              </w:rPr>
              <w:t>2</w:t>
            </w:r>
            <w:r w:rsidRPr="00C25EF7">
              <w:rPr>
                <w:rFonts w:cs="Arial"/>
                <w:i/>
                <w:color w:val="000000"/>
                <w:sz w:val="18"/>
                <w:szCs w:val="18"/>
                <w:lang w:val="en-AU" w:eastAsia="en-AU"/>
              </w:rPr>
              <w:t xml:space="preserve"> and NO</w:t>
            </w:r>
            <w:r w:rsidRPr="00C25EF7">
              <w:rPr>
                <w:rFonts w:cs="Arial"/>
                <w:i/>
                <w:color w:val="000000"/>
                <w:sz w:val="18"/>
                <w:szCs w:val="18"/>
                <w:vertAlign w:val="subscript"/>
                <w:lang w:val="en-AU" w:eastAsia="en-AU"/>
              </w:rPr>
              <w:t>3</w:t>
            </w:r>
          </w:p>
        </w:tc>
      </w:tr>
    </w:tbl>
    <w:p w14:paraId="47CDB18F" w14:textId="77777777" w:rsidR="0093048D" w:rsidRPr="007B644C" w:rsidRDefault="0093048D" w:rsidP="0093048D">
      <w:pPr>
        <w:rPr>
          <w:rFonts w:eastAsia="Calibri"/>
          <w:lang w:val="en-AU"/>
        </w:rPr>
      </w:pPr>
    </w:p>
    <w:p w14:paraId="5F22ED37" w14:textId="744FD802" w:rsidR="001254DC" w:rsidRPr="00C73829" w:rsidRDefault="007D0559" w:rsidP="00654D50">
      <w:pPr>
        <w:pStyle w:val="Heading2"/>
      </w:pPr>
      <w:bookmarkStart w:id="158" w:name="_Toc459158198"/>
      <w:bookmarkStart w:id="159" w:name="_Toc459158471"/>
      <w:bookmarkStart w:id="160" w:name="_Toc459158745"/>
      <w:bookmarkStart w:id="161" w:name="_Toc459209744"/>
      <w:bookmarkStart w:id="162" w:name="_Toc459328870"/>
      <w:bookmarkStart w:id="163" w:name="_Toc459329229"/>
      <w:bookmarkStart w:id="164" w:name="_Toc459329590"/>
      <w:bookmarkStart w:id="165" w:name="_Toc459329950"/>
      <w:bookmarkStart w:id="166" w:name="_Toc459330310"/>
      <w:bookmarkStart w:id="167" w:name="_Toc459330670"/>
      <w:bookmarkStart w:id="168" w:name="_Toc459331030"/>
      <w:bookmarkStart w:id="169" w:name="_Toc459331390"/>
      <w:bookmarkStart w:id="170" w:name="_Toc459331750"/>
      <w:bookmarkStart w:id="171" w:name="_Toc459158199"/>
      <w:bookmarkStart w:id="172" w:name="_Toc459158472"/>
      <w:bookmarkStart w:id="173" w:name="_Toc459158746"/>
      <w:bookmarkStart w:id="174" w:name="_Toc459209745"/>
      <w:bookmarkStart w:id="175" w:name="_Toc459328871"/>
      <w:bookmarkStart w:id="176" w:name="_Toc459329230"/>
      <w:bookmarkStart w:id="177" w:name="_Toc459329591"/>
      <w:bookmarkStart w:id="178" w:name="_Toc459329951"/>
      <w:bookmarkStart w:id="179" w:name="_Toc459330311"/>
      <w:bookmarkStart w:id="180" w:name="_Toc459330671"/>
      <w:bookmarkStart w:id="181" w:name="_Toc459331031"/>
      <w:bookmarkStart w:id="182" w:name="_Toc459331391"/>
      <w:bookmarkStart w:id="183" w:name="_Toc459331751"/>
      <w:bookmarkStart w:id="184" w:name="_Toc459158200"/>
      <w:bookmarkStart w:id="185" w:name="_Toc459158473"/>
      <w:bookmarkStart w:id="186" w:name="_Toc459158747"/>
      <w:bookmarkStart w:id="187" w:name="_Toc459209746"/>
      <w:bookmarkStart w:id="188" w:name="_Toc459328872"/>
      <w:bookmarkStart w:id="189" w:name="_Toc459329231"/>
      <w:bookmarkStart w:id="190" w:name="_Toc459329592"/>
      <w:bookmarkStart w:id="191" w:name="_Toc459329952"/>
      <w:bookmarkStart w:id="192" w:name="_Toc459330312"/>
      <w:bookmarkStart w:id="193" w:name="_Toc459330672"/>
      <w:bookmarkStart w:id="194" w:name="_Toc459331032"/>
      <w:bookmarkStart w:id="195" w:name="_Toc459331392"/>
      <w:bookmarkStart w:id="196" w:name="_Toc459331752"/>
      <w:bookmarkStart w:id="197" w:name="_Toc459158207"/>
      <w:bookmarkStart w:id="198" w:name="_Toc459158480"/>
      <w:bookmarkStart w:id="199" w:name="_Toc459158754"/>
      <w:bookmarkStart w:id="200" w:name="_Toc459209753"/>
      <w:bookmarkStart w:id="201" w:name="_Toc459328879"/>
      <w:bookmarkStart w:id="202" w:name="_Toc459329238"/>
      <w:bookmarkStart w:id="203" w:name="_Toc459329599"/>
      <w:bookmarkStart w:id="204" w:name="_Toc459329959"/>
      <w:bookmarkStart w:id="205" w:name="_Toc459330319"/>
      <w:bookmarkStart w:id="206" w:name="_Toc459330679"/>
      <w:bookmarkStart w:id="207" w:name="_Toc459331039"/>
      <w:bookmarkStart w:id="208" w:name="_Toc459331399"/>
      <w:bookmarkStart w:id="209" w:name="_Toc459331759"/>
      <w:bookmarkStart w:id="210" w:name="_Toc459158208"/>
      <w:bookmarkStart w:id="211" w:name="_Toc459158481"/>
      <w:bookmarkStart w:id="212" w:name="_Toc459158755"/>
      <w:bookmarkStart w:id="213" w:name="_Toc459209754"/>
      <w:bookmarkStart w:id="214" w:name="_Toc459328880"/>
      <w:bookmarkStart w:id="215" w:name="_Toc459329239"/>
      <w:bookmarkStart w:id="216" w:name="_Toc459329600"/>
      <w:bookmarkStart w:id="217" w:name="_Toc459329960"/>
      <w:bookmarkStart w:id="218" w:name="_Toc459330320"/>
      <w:bookmarkStart w:id="219" w:name="_Toc459330680"/>
      <w:bookmarkStart w:id="220" w:name="_Toc459331040"/>
      <w:bookmarkStart w:id="221" w:name="_Toc459331400"/>
      <w:bookmarkStart w:id="222" w:name="_Toc459331760"/>
      <w:bookmarkStart w:id="223" w:name="_Toc459158209"/>
      <w:bookmarkStart w:id="224" w:name="_Toc459158482"/>
      <w:bookmarkStart w:id="225" w:name="_Toc459158756"/>
      <w:bookmarkStart w:id="226" w:name="_Toc459209755"/>
      <w:bookmarkStart w:id="227" w:name="_Toc459328881"/>
      <w:bookmarkStart w:id="228" w:name="_Toc459329240"/>
      <w:bookmarkStart w:id="229" w:name="_Toc459329601"/>
      <w:bookmarkStart w:id="230" w:name="_Toc459329961"/>
      <w:bookmarkStart w:id="231" w:name="_Toc459330321"/>
      <w:bookmarkStart w:id="232" w:name="_Toc459330681"/>
      <w:bookmarkStart w:id="233" w:name="_Toc459331041"/>
      <w:bookmarkStart w:id="234" w:name="_Toc459331401"/>
      <w:bookmarkStart w:id="235" w:name="_Toc459331761"/>
      <w:bookmarkStart w:id="236" w:name="_Toc459158210"/>
      <w:bookmarkStart w:id="237" w:name="_Toc459158483"/>
      <w:bookmarkStart w:id="238" w:name="_Toc459158757"/>
      <w:bookmarkStart w:id="239" w:name="_Toc459209756"/>
      <w:bookmarkStart w:id="240" w:name="_Toc459328882"/>
      <w:bookmarkStart w:id="241" w:name="_Toc459329241"/>
      <w:bookmarkStart w:id="242" w:name="_Toc459329602"/>
      <w:bookmarkStart w:id="243" w:name="_Toc459329962"/>
      <w:bookmarkStart w:id="244" w:name="_Toc459330322"/>
      <w:bookmarkStart w:id="245" w:name="_Toc459330682"/>
      <w:bookmarkStart w:id="246" w:name="_Toc459331042"/>
      <w:bookmarkStart w:id="247" w:name="_Toc459331402"/>
      <w:bookmarkStart w:id="248" w:name="_Toc459331762"/>
      <w:bookmarkStart w:id="249" w:name="_Toc459158211"/>
      <w:bookmarkStart w:id="250" w:name="_Toc459158484"/>
      <w:bookmarkStart w:id="251" w:name="_Toc459158758"/>
      <w:bookmarkStart w:id="252" w:name="_Toc459209757"/>
      <w:bookmarkStart w:id="253" w:name="_Toc459328883"/>
      <w:bookmarkStart w:id="254" w:name="_Toc459329242"/>
      <w:bookmarkStart w:id="255" w:name="_Toc459329603"/>
      <w:bookmarkStart w:id="256" w:name="_Toc459329963"/>
      <w:bookmarkStart w:id="257" w:name="_Toc459330323"/>
      <w:bookmarkStart w:id="258" w:name="_Toc459330683"/>
      <w:bookmarkStart w:id="259" w:name="_Toc459331043"/>
      <w:bookmarkStart w:id="260" w:name="_Toc459331403"/>
      <w:bookmarkStart w:id="261" w:name="_Toc459331763"/>
      <w:bookmarkStart w:id="262" w:name="_Toc459158212"/>
      <w:bookmarkStart w:id="263" w:name="_Toc459158485"/>
      <w:bookmarkStart w:id="264" w:name="_Toc459158759"/>
      <w:bookmarkStart w:id="265" w:name="_Toc459209758"/>
      <w:bookmarkStart w:id="266" w:name="_Toc459328884"/>
      <w:bookmarkStart w:id="267" w:name="_Toc459329243"/>
      <w:bookmarkStart w:id="268" w:name="_Toc459329604"/>
      <w:bookmarkStart w:id="269" w:name="_Toc459329964"/>
      <w:bookmarkStart w:id="270" w:name="_Toc459330324"/>
      <w:bookmarkStart w:id="271" w:name="_Toc459330684"/>
      <w:bookmarkStart w:id="272" w:name="_Toc459331044"/>
      <w:bookmarkStart w:id="273" w:name="_Toc459331404"/>
      <w:bookmarkStart w:id="274" w:name="_Toc459331764"/>
      <w:bookmarkStart w:id="275" w:name="_Toc459158213"/>
      <w:bookmarkStart w:id="276" w:name="_Toc459158486"/>
      <w:bookmarkStart w:id="277" w:name="_Toc459158760"/>
      <w:bookmarkStart w:id="278" w:name="_Toc459209759"/>
      <w:bookmarkStart w:id="279" w:name="_Toc459328885"/>
      <w:bookmarkStart w:id="280" w:name="_Toc459329244"/>
      <w:bookmarkStart w:id="281" w:name="_Toc459329605"/>
      <w:bookmarkStart w:id="282" w:name="_Toc459329965"/>
      <w:bookmarkStart w:id="283" w:name="_Toc459330325"/>
      <w:bookmarkStart w:id="284" w:name="_Toc459330685"/>
      <w:bookmarkStart w:id="285" w:name="_Toc459331045"/>
      <w:bookmarkStart w:id="286" w:name="_Toc459331405"/>
      <w:bookmarkStart w:id="287" w:name="_Toc459331765"/>
      <w:bookmarkStart w:id="288" w:name="_Toc459158214"/>
      <w:bookmarkStart w:id="289" w:name="_Toc459158487"/>
      <w:bookmarkStart w:id="290" w:name="_Toc459158761"/>
      <w:bookmarkStart w:id="291" w:name="_Toc459209760"/>
      <w:bookmarkStart w:id="292" w:name="_Toc459328886"/>
      <w:bookmarkStart w:id="293" w:name="_Toc459329245"/>
      <w:bookmarkStart w:id="294" w:name="_Toc459329606"/>
      <w:bookmarkStart w:id="295" w:name="_Toc459329966"/>
      <w:bookmarkStart w:id="296" w:name="_Toc459330326"/>
      <w:bookmarkStart w:id="297" w:name="_Toc459330686"/>
      <w:bookmarkStart w:id="298" w:name="_Toc459331046"/>
      <w:bookmarkStart w:id="299" w:name="_Toc459331406"/>
      <w:bookmarkStart w:id="300" w:name="_Toc459331766"/>
      <w:bookmarkStart w:id="301" w:name="_Toc459158215"/>
      <w:bookmarkStart w:id="302" w:name="_Toc459158488"/>
      <w:bookmarkStart w:id="303" w:name="_Toc459158762"/>
      <w:bookmarkStart w:id="304" w:name="_Toc459209761"/>
      <w:bookmarkStart w:id="305" w:name="_Toc459328887"/>
      <w:bookmarkStart w:id="306" w:name="_Toc459329246"/>
      <w:bookmarkStart w:id="307" w:name="_Toc459329607"/>
      <w:bookmarkStart w:id="308" w:name="_Toc459329967"/>
      <w:bookmarkStart w:id="309" w:name="_Toc459330327"/>
      <w:bookmarkStart w:id="310" w:name="_Toc459330687"/>
      <w:bookmarkStart w:id="311" w:name="_Toc459331047"/>
      <w:bookmarkStart w:id="312" w:name="_Toc459331407"/>
      <w:bookmarkStart w:id="313" w:name="_Toc459331767"/>
      <w:bookmarkStart w:id="314" w:name="_Toc459158217"/>
      <w:bookmarkStart w:id="315" w:name="_Toc459158490"/>
      <w:bookmarkStart w:id="316" w:name="_Toc459158764"/>
      <w:bookmarkStart w:id="317" w:name="_Toc459209763"/>
      <w:bookmarkStart w:id="318" w:name="_Toc459328889"/>
      <w:bookmarkStart w:id="319" w:name="_Toc459329248"/>
      <w:bookmarkStart w:id="320" w:name="_Toc459329609"/>
      <w:bookmarkStart w:id="321" w:name="_Toc459329969"/>
      <w:bookmarkStart w:id="322" w:name="_Toc459330329"/>
      <w:bookmarkStart w:id="323" w:name="_Toc459330689"/>
      <w:bookmarkStart w:id="324" w:name="_Toc459331049"/>
      <w:bookmarkStart w:id="325" w:name="_Toc459331409"/>
      <w:bookmarkStart w:id="326" w:name="_Toc459331769"/>
      <w:bookmarkStart w:id="327" w:name="_Toc459158223"/>
      <w:bookmarkStart w:id="328" w:name="_Toc459158496"/>
      <w:bookmarkStart w:id="329" w:name="_Toc459158770"/>
      <w:bookmarkStart w:id="330" w:name="_Toc459209769"/>
      <w:bookmarkStart w:id="331" w:name="_Toc459328895"/>
      <w:bookmarkStart w:id="332" w:name="_Toc459329254"/>
      <w:bookmarkStart w:id="333" w:name="_Toc459329615"/>
      <w:bookmarkStart w:id="334" w:name="_Toc459329975"/>
      <w:bookmarkStart w:id="335" w:name="_Toc459330335"/>
      <w:bookmarkStart w:id="336" w:name="_Toc459330695"/>
      <w:bookmarkStart w:id="337" w:name="_Toc459331055"/>
      <w:bookmarkStart w:id="338" w:name="_Toc459331415"/>
      <w:bookmarkStart w:id="339" w:name="_Toc459331775"/>
      <w:bookmarkStart w:id="340" w:name="_Toc459158224"/>
      <w:bookmarkStart w:id="341" w:name="_Toc459158497"/>
      <w:bookmarkStart w:id="342" w:name="_Toc459158771"/>
      <w:bookmarkStart w:id="343" w:name="_Toc459209770"/>
      <w:bookmarkStart w:id="344" w:name="_Toc459328896"/>
      <w:bookmarkStart w:id="345" w:name="_Toc459329255"/>
      <w:bookmarkStart w:id="346" w:name="_Toc459329616"/>
      <w:bookmarkStart w:id="347" w:name="_Toc459329976"/>
      <w:bookmarkStart w:id="348" w:name="_Toc459330336"/>
      <w:bookmarkStart w:id="349" w:name="_Toc459330696"/>
      <w:bookmarkStart w:id="350" w:name="_Toc459331056"/>
      <w:bookmarkStart w:id="351" w:name="_Toc459331416"/>
      <w:bookmarkStart w:id="352" w:name="_Toc459331776"/>
      <w:bookmarkStart w:id="353" w:name="_Toc459158225"/>
      <w:bookmarkStart w:id="354" w:name="_Toc459158498"/>
      <w:bookmarkStart w:id="355" w:name="_Toc459158772"/>
      <w:bookmarkStart w:id="356" w:name="_Toc459209771"/>
      <w:bookmarkStart w:id="357" w:name="_Toc459328897"/>
      <w:bookmarkStart w:id="358" w:name="_Toc459329256"/>
      <w:bookmarkStart w:id="359" w:name="_Toc459329617"/>
      <w:bookmarkStart w:id="360" w:name="_Toc459329977"/>
      <w:bookmarkStart w:id="361" w:name="_Toc459330337"/>
      <w:bookmarkStart w:id="362" w:name="_Toc459330697"/>
      <w:bookmarkStart w:id="363" w:name="_Toc459331057"/>
      <w:bookmarkStart w:id="364" w:name="_Toc459331417"/>
      <w:bookmarkStart w:id="365" w:name="_Toc459331777"/>
      <w:bookmarkStart w:id="366" w:name="_Toc459158226"/>
      <w:bookmarkStart w:id="367" w:name="_Toc459158499"/>
      <w:bookmarkStart w:id="368" w:name="_Toc459158773"/>
      <w:bookmarkStart w:id="369" w:name="_Toc459209772"/>
      <w:bookmarkStart w:id="370" w:name="_Toc459328898"/>
      <w:bookmarkStart w:id="371" w:name="_Toc459329257"/>
      <w:bookmarkStart w:id="372" w:name="_Toc459329618"/>
      <w:bookmarkStart w:id="373" w:name="_Toc459329978"/>
      <w:bookmarkStart w:id="374" w:name="_Toc459330338"/>
      <w:bookmarkStart w:id="375" w:name="_Toc459330698"/>
      <w:bookmarkStart w:id="376" w:name="_Toc459331058"/>
      <w:bookmarkStart w:id="377" w:name="_Toc459331418"/>
      <w:bookmarkStart w:id="378" w:name="_Toc459331778"/>
      <w:bookmarkStart w:id="379" w:name="_Toc459158227"/>
      <w:bookmarkStart w:id="380" w:name="_Toc459158500"/>
      <w:bookmarkStart w:id="381" w:name="_Toc459158774"/>
      <w:bookmarkStart w:id="382" w:name="_Toc459209773"/>
      <w:bookmarkStart w:id="383" w:name="_Toc459328899"/>
      <w:bookmarkStart w:id="384" w:name="_Toc459329258"/>
      <w:bookmarkStart w:id="385" w:name="_Toc459329619"/>
      <w:bookmarkStart w:id="386" w:name="_Toc459329979"/>
      <w:bookmarkStart w:id="387" w:name="_Toc459330339"/>
      <w:bookmarkStart w:id="388" w:name="_Toc459330699"/>
      <w:bookmarkStart w:id="389" w:name="_Toc459331059"/>
      <w:bookmarkStart w:id="390" w:name="_Toc459331419"/>
      <w:bookmarkStart w:id="391" w:name="_Toc459331779"/>
      <w:bookmarkStart w:id="392" w:name="_Toc459158228"/>
      <w:bookmarkStart w:id="393" w:name="_Toc459158501"/>
      <w:bookmarkStart w:id="394" w:name="_Toc459158775"/>
      <w:bookmarkStart w:id="395" w:name="_Toc459209774"/>
      <w:bookmarkStart w:id="396" w:name="_Toc459328900"/>
      <w:bookmarkStart w:id="397" w:name="_Toc459329259"/>
      <w:bookmarkStart w:id="398" w:name="_Toc459329620"/>
      <w:bookmarkStart w:id="399" w:name="_Toc459329980"/>
      <w:bookmarkStart w:id="400" w:name="_Toc459330340"/>
      <w:bookmarkStart w:id="401" w:name="_Toc459330700"/>
      <w:bookmarkStart w:id="402" w:name="_Toc459331060"/>
      <w:bookmarkStart w:id="403" w:name="_Toc459331420"/>
      <w:bookmarkStart w:id="404" w:name="_Toc459331780"/>
      <w:bookmarkStart w:id="405" w:name="_Toc459158229"/>
      <w:bookmarkStart w:id="406" w:name="_Toc459158502"/>
      <w:bookmarkStart w:id="407" w:name="_Toc459158776"/>
      <w:bookmarkStart w:id="408" w:name="_Toc459209775"/>
      <w:bookmarkStart w:id="409" w:name="_Toc459328901"/>
      <w:bookmarkStart w:id="410" w:name="_Toc459329260"/>
      <w:bookmarkStart w:id="411" w:name="_Toc459329621"/>
      <w:bookmarkStart w:id="412" w:name="_Toc459329981"/>
      <w:bookmarkStart w:id="413" w:name="_Toc459330341"/>
      <w:bookmarkStart w:id="414" w:name="_Toc459330701"/>
      <w:bookmarkStart w:id="415" w:name="_Toc459331061"/>
      <w:bookmarkStart w:id="416" w:name="_Toc459331421"/>
      <w:bookmarkStart w:id="417" w:name="_Toc459331781"/>
      <w:bookmarkStart w:id="418" w:name="_Toc459158230"/>
      <w:bookmarkStart w:id="419" w:name="_Toc459158503"/>
      <w:bookmarkStart w:id="420" w:name="_Toc459158777"/>
      <w:bookmarkStart w:id="421" w:name="_Toc459209776"/>
      <w:bookmarkStart w:id="422" w:name="_Toc459328902"/>
      <w:bookmarkStart w:id="423" w:name="_Toc459329261"/>
      <w:bookmarkStart w:id="424" w:name="_Toc459329622"/>
      <w:bookmarkStart w:id="425" w:name="_Toc459329982"/>
      <w:bookmarkStart w:id="426" w:name="_Toc459330342"/>
      <w:bookmarkStart w:id="427" w:name="_Toc459330702"/>
      <w:bookmarkStart w:id="428" w:name="_Toc459331062"/>
      <w:bookmarkStart w:id="429" w:name="_Toc459331422"/>
      <w:bookmarkStart w:id="430" w:name="_Toc459331782"/>
      <w:bookmarkStart w:id="431" w:name="_Toc459158231"/>
      <w:bookmarkStart w:id="432" w:name="_Toc459158504"/>
      <w:bookmarkStart w:id="433" w:name="_Toc459158778"/>
      <w:bookmarkStart w:id="434" w:name="_Toc459209777"/>
      <w:bookmarkStart w:id="435" w:name="_Toc459328903"/>
      <w:bookmarkStart w:id="436" w:name="_Toc459329262"/>
      <w:bookmarkStart w:id="437" w:name="_Toc459329623"/>
      <w:bookmarkStart w:id="438" w:name="_Toc459329983"/>
      <w:bookmarkStart w:id="439" w:name="_Toc459330343"/>
      <w:bookmarkStart w:id="440" w:name="_Toc459330703"/>
      <w:bookmarkStart w:id="441" w:name="_Toc459331063"/>
      <w:bookmarkStart w:id="442" w:name="_Toc459331423"/>
      <w:bookmarkStart w:id="443" w:name="_Toc459331783"/>
      <w:bookmarkStart w:id="444" w:name="_Toc459158232"/>
      <w:bookmarkStart w:id="445" w:name="_Toc459158505"/>
      <w:bookmarkStart w:id="446" w:name="_Toc459158779"/>
      <w:bookmarkStart w:id="447" w:name="_Toc459209778"/>
      <w:bookmarkStart w:id="448" w:name="_Toc459328904"/>
      <w:bookmarkStart w:id="449" w:name="_Toc459329263"/>
      <w:bookmarkStart w:id="450" w:name="_Toc459329624"/>
      <w:bookmarkStart w:id="451" w:name="_Toc459329984"/>
      <w:bookmarkStart w:id="452" w:name="_Toc459330344"/>
      <w:bookmarkStart w:id="453" w:name="_Toc459330704"/>
      <w:bookmarkStart w:id="454" w:name="_Toc459331064"/>
      <w:bookmarkStart w:id="455" w:name="_Toc459331424"/>
      <w:bookmarkStart w:id="456" w:name="_Toc459331784"/>
      <w:bookmarkStart w:id="457" w:name="_Toc459158233"/>
      <w:bookmarkStart w:id="458" w:name="_Toc459158506"/>
      <w:bookmarkStart w:id="459" w:name="_Toc459158780"/>
      <w:bookmarkStart w:id="460" w:name="_Toc459209779"/>
      <w:bookmarkStart w:id="461" w:name="_Toc459328905"/>
      <w:bookmarkStart w:id="462" w:name="_Toc459329264"/>
      <w:bookmarkStart w:id="463" w:name="_Toc459329625"/>
      <w:bookmarkStart w:id="464" w:name="_Toc459329985"/>
      <w:bookmarkStart w:id="465" w:name="_Toc459330345"/>
      <w:bookmarkStart w:id="466" w:name="_Toc459330705"/>
      <w:bookmarkStart w:id="467" w:name="_Toc459331065"/>
      <w:bookmarkStart w:id="468" w:name="_Toc459331425"/>
      <w:bookmarkStart w:id="469" w:name="_Toc459331785"/>
      <w:bookmarkStart w:id="470" w:name="_Toc462307432"/>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r w:rsidRPr="00C73829">
        <w:t xml:space="preserve">Water </w:t>
      </w:r>
      <w:r w:rsidR="004D2A67">
        <w:t>q</w:t>
      </w:r>
      <w:r w:rsidR="004D2A67" w:rsidRPr="00C73829">
        <w:t xml:space="preserve">uality </w:t>
      </w:r>
      <w:r w:rsidRPr="00C73829">
        <w:t>s</w:t>
      </w:r>
      <w:r w:rsidR="00FA45B8" w:rsidRPr="00C73829">
        <w:t xml:space="preserve">ampling </w:t>
      </w:r>
      <w:r w:rsidR="006418B2" w:rsidRPr="00C73829">
        <w:t>methods</w:t>
      </w:r>
      <w:bookmarkEnd w:id="470"/>
    </w:p>
    <w:p w14:paraId="5F22ED38" w14:textId="022686BA" w:rsidR="00F351A1" w:rsidRDefault="00CD00BE" w:rsidP="00F351A1">
      <w:pPr>
        <w:rPr>
          <w:lang w:val="en-AU"/>
        </w:rPr>
      </w:pPr>
      <w:r>
        <w:rPr>
          <w:lang w:val="en-AU"/>
        </w:rPr>
        <w:t>A d</w:t>
      </w:r>
      <w:r w:rsidRPr="007E7774">
        <w:rPr>
          <w:lang w:val="en-AU"/>
        </w:rPr>
        <w:t xml:space="preserve">etailed description of methodologies </w:t>
      </w:r>
      <w:r>
        <w:rPr>
          <w:lang w:val="en-AU"/>
        </w:rPr>
        <w:t>is provided in</w:t>
      </w:r>
      <w:r w:rsidRPr="007E7774">
        <w:rPr>
          <w:lang w:val="en-AU"/>
        </w:rPr>
        <w:t xml:space="preserve"> Appendix 1.</w:t>
      </w:r>
      <w:r w:rsidR="004A03AA" w:rsidRPr="004A03AA">
        <w:rPr>
          <w:rFonts w:eastAsia="MS Mincho"/>
          <w:lang w:val="en-AU"/>
        </w:rPr>
        <w:t xml:space="preserve"> </w:t>
      </w:r>
      <w:r w:rsidR="00F351A1" w:rsidRPr="009D33A3">
        <w:rPr>
          <w:rFonts w:eastAsia="MS Mincho"/>
          <w:lang w:val="en-AU"/>
        </w:rPr>
        <w:t xml:space="preserve">At each of the sampling locations </w:t>
      </w:r>
      <w:r w:rsidR="00F351A1" w:rsidRPr="009D33A3">
        <w:rPr>
          <w:lang w:val="en-AU"/>
        </w:rPr>
        <w:t>(see</w:t>
      </w:r>
      <w:r w:rsidR="009C0725">
        <w:rPr>
          <w:lang w:val="en-AU"/>
        </w:rPr>
        <w:t xml:space="preserve"> </w:t>
      </w:r>
      <w:r w:rsidR="009C0725">
        <w:rPr>
          <w:lang w:val="en-AU"/>
        </w:rPr>
        <w:fldChar w:fldCharType="begin"/>
      </w:r>
      <w:r w:rsidR="009C0725">
        <w:rPr>
          <w:lang w:val="en-AU"/>
        </w:rPr>
        <w:instrText xml:space="preserve"> REF _Ref459146094 \h </w:instrText>
      </w:r>
      <w:r w:rsidR="009C0725">
        <w:rPr>
          <w:lang w:val="en-AU"/>
        </w:rPr>
      </w:r>
      <w:r w:rsidR="009C0725">
        <w:rPr>
          <w:lang w:val="en-AU"/>
        </w:rPr>
        <w:fldChar w:fldCharType="separate"/>
      </w:r>
      <w:r w:rsidR="007F5336" w:rsidRPr="00EC46B4">
        <w:t xml:space="preserve">Table </w:t>
      </w:r>
      <w:r w:rsidR="007F5336">
        <w:rPr>
          <w:noProof/>
        </w:rPr>
        <w:t>4</w:t>
      </w:r>
      <w:r w:rsidR="007F5336">
        <w:noBreakHyphen/>
      </w:r>
      <w:r w:rsidR="007F5336">
        <w:rPr>
          <w:noProof/>
        </w:rPr>
        <w:t>1</w:t>
      </w:r>
      <w:r w:rsidR="009C0725">
        <w:rPr>
          <w:lang w:val="en-AU"/>
        </w:rPr>
        <w:fldChar w:fldCharType="end"/>
      </w:r>
      <w:r w:rsidR="00F351A1" w:rsidRPr="009D33A3">
        <w:rPr>
          <w:lang w:val="en-AU"/>
        </w:rPr>
        <w:t>)</w:t>
      </w:r>
      <w:r w:rsidR="00F351A1" w:rsidRPr="009D33A3">
        <w:rPr>
          <w:rFonts w:eastAsia="MS Mincho"/>
          <w:lang w:val="en-AU"/>
        </w:rPr>
        <w:t xml:space="preserve">, vertical profiles of water temperature, salinity, chlorophyll, and turbidity were measured with a Conductivity Temperature Depth profiler (CTD). The CTD casts are used to characterise the water column and </w:t>
      </w:r>
      <w:r>
        <w:rPr>
          <w:rFonts w:eastAsia="MS Mincho"/>
          <w:lang w:val="en-AU"/>
        </w:rPr>
        <w:t>for example,</w:t>
      </w:r>
      <w:r w:rsidR="00F351A1" w:rsidRPr="009D33A3">
        <w:rPr>
          <w:rFonts w:eastAsia="MS Mincho"/>
          <w:lang w:val="en-AU"/>
        </w:rPr>
        <w:t xml:space="preserve"> identify how well mixed the water </w:t>
      </w:r>
      <w:r w:rsidR="00F351A1" w:rsidRPr="006418B2">
        <w:rPr>
          <w:rFonts w:eastAsia="MS Mincho"/>
          <w:lang w:val="en-AU"/>
        </w:rPr>
        <w:t>column</w:t>
      </w:r>
      <w:r w:rsidR="00F351A1" w:rsidRPr="009D33A3">
        <w:rPr>
          <w:rFonts w:eastAsia="MS Mincho"/>
          <w:lang w:val="en-AU"/>
        </w:rPr>
        <w:t xml:space="preserve"> is and record any stratification. Immediately following the CTD cast, d</w:t>
      </w:r>
      <w:r w:rsidR="00F351A1" w:rsidRPr="009D33A3">
        <w:rPr>
          <w:lang w:val="en-AU"/>
        </w:rPr>
        <w:t xml:space="preserve">iscrete water samples </w:t>
      </w:r>
      <w:r w:rsidR="00F351A1" w:rsidRPr="009D33A3">
        <w:rPr>
          <w:rFonts w:cs="Plantin"/>
          <w:lang w:val="en-AU"/>
        </w:rPr>
        <w:t>were</w:t>
      </w:r>
      <w:r w:rsidR="00F351A1" w:rsidRPr="009D33A3">
        <w:rPr>
          <w:lang w:val="en-AU"/>
        </w:rPr>
        <w:t xml:space="preserve"> collected with Niskin bottles. Samples collected by AIMS were collected from the surface, 1m from the seabed, while </w:t>
      </w:r>
      <w:r w:rsidR="00F351A1">
        <w:rPr>
          <w:lang w:val="en-AU"/>
        </w:rPr>
        <w:t xml:space="preserve">at </w:t>
      </w:r>
      <w:r w:rsidR="00F351A1" w:rsidRPr="009D33A3">
        <w:rPr>
          <w:lang w:val="en-AU"/>
        </w:rPr>
        <w:t xml:space="preserve">some of the stations </w:t>
      </w:r>
      <w:r w:rsidR="00F351A1">
        <w:rPr>
          <w:lang w:val="en-AU"/>
        </w:rPr>
        <w:t>sampled</w:t>
      </w:r>
      <w:r w:rsidR="00F351A1" w:rsidRPr="009D33A3">
        <w:rPr>
          <w:lang w:val="en-AU"/>
        </w:rPr>
        <w:t xml:space="preserve"> by JCU during the wet season only surface water </w:t>
      </w:r>
      <w:r w:rsidR="00F351A1">
        <w:rPr>
          <w:lang w:val="en-AU"/>
        </w:rPr>
        <w:t>was</w:t>
      </w:r>
      <w:r w:rsidR="00F351A1" w:rsidRPr="009D33A3">
        <w:rPr>
          <w:lang w:val="en-AU"/>
        </w:rPr>
        <w:t xml:space="preserve"> collected. </w:t>
      </w:r>
      <w:r w:rsidR="00F351A1" w:rsidRPr="00F273F8">
        <w:rPr>
          <w:lang w:val="en-AU"/>
        </w:rPr>
        <w:t xml:space="preserve">Sub-samples taken from the Niskin bottles </w:t>
      </w:r>
      <w:r w:rsidR="00F351A1" w:rsidRPr="00F273F8">
        <w:rPr>
          <w:rFonts w:cs="Plantin"/>
          <w:lang w:val="en-AU"/>
        </w:rPr>
        <w:t>were</w:t>
      </w:r>
      <w:r w:rsidR="00F351A1" w:rsidRPr="00F273F8">
        <w:rPr>
          <w:lang w:val="en-AU"/>
        </w:rPr>
        <w:t xml:space="preserve"> analysed for </w:t>
      </w:r>
      <w:r w:rsidR="00F351A1">
        <w:rPr>
          <w:lang w:val="en-AU"/>
        </w:rPr>
        <w:t>a broad suite of water quality parameters</w:t>
      </w:r>
      <w:r w:rsidR="00F351A1" w:rsidRPr="00F273F8">
        <w:rPr>
          <w:lang w:val="en-AU"/>
        </w:rPr>
        <w:t xml:space="preserve"> (</w:t>
      </w:r>
      <w:r w:rsidR="009C0725">
        <w:rPr>
          <w:lang w:val="en-AU"/>
        </w:rPr>
        <w:fldChar w:fldCharType="begin"/>
      </w:r>
      <w:r w:rsidR="009C0725">
        <w:rPr>
          <w:lang w:val="en-AU"/>
        </w:rPr>
        <w:instrText xml:space="preserve"> REF _Ref459146103 \h </w:instrText>
      </w:r>
      <w:r w:rsidR="009C0725">
        <w:rPr>
          <w:lang w:val="en-AU"/>
        </w:rPr>
      </w:r>
      <w:r w:rsidR="009C0725">
        <w:rPr>
          <w:lang w:val="en-AU"/>
        </w:rPr>
        <w:fldChar w:fldCharType="separate"/>
      </w:r>
      <w:r w:rsidR="007F5336" w:rsidRPr="00D25F94">
        <w:t xml:space="preserve">Table </w:t>
      </w:r>
      <w:r w:rsidR="007F5336">
        <w:rPr>
          <w:noProof/>
        </w:rPr>
        <w:t>4</w:t>
      </w:r>
      <w:r w:rsidR="007F5336">
        <w:noBreakHyphen/>
      </w:r>
      <w:r w:rsidR="007F5336">
        <w:rPr>
          <w:noProof/>
        </w:rPr>
        <w:t>2</w:t>
      </w:r>
      <w:r w:rsidR="009C0725">
        <w:rPr>
          <w:lang w:val="en-AU"/>
        </w:rPr>
        <w:fldChar w:fldCharType="end"/>
      </w:r>
      <w:r w:rsidR="00F351A1" w:rsidRPr="00F273F8">
        <w:rPr>
          <w:lang w:val="en-AU"/>
        </w:rPr>
        <w:t>)</w:t>
      </w:r>
      <w:r w:rsidR="00F351A1">
        <w:rPr>
          <w:lang w:val="en-AU"/>
        </w:rPr>
        <w:t>.</w:t>
      </w:r>
    </w:p>
    <w:p w14:paraId="5F22ED39" w14:textId="2BF1E815" w:rsidR="00F351A1" w:rsidRDefault="00F351A1" w:rsidP="00F351A1">
      <w:pPr>
        <w:rPr>
          <w:rFonts w:cs="Plantin"/>
          <w:lang w:val="en-AU"/>
        </w:rPr>
      </w:pPr>
      <w:r w:rsidRPr="00921AA1">
        <w:rPr>
          <w:rFonts w:cs="Plantin"/>
          <w:lang w:val="en-AU"/>
        </w:rPr>
        <w:t xml:space="preserve">In addition to the </w:t>
      </w:r>
      <w:r w:rsidR="00CD00BE">
        <w:rPr>
          <w:rFonts w:cs="Plantin"/>
          <w:lang w:val="en-AU"/>
        </w:rPr>
        <w:t>vessel</w:t>
      </w:r>
      <w:r w:rsidRPr="00921AA1">
        <w:rPr>
          <w:rFonts w:cs="Plantin"/>
          <w:lang w:val="en-AU"/>
        </w:rPr>
        <w:t xml:space="preserve">-based sampling, water samples for </w:t>
      </w:r>
      <w:r>
        <w:rPr>
          <w:rFonts w:cs="Plantin"/>
          <w:lang w:val="en-AU"/>
        </w:rPr>
        <w:t xml:space="preserve">analyses of </w:t>
      </w:r>
      <w:r w:rsidRPr="00921AA1">
        <w:rPr>
          <w:rFonts w:cs="Plantin"/>
          <w:lang w:val="en-AU"/>
        </w:rPr>
        <w:t xml:space="preserve">chlorophyll </w:t>
      </w:r>
      <w:r w:rsidR="0070210F">
        <w:rPr>
          <w:rFonts w:cs="Plantin"/>
          <w:lang w:val="en-AU"/>
        </w:rPr>
        <w:t xml:space="preserve">a </w:t>
      </w:r>
      <w:r w:rsidRPr="00921AA1">
        <w:rPr>
          <w:rFonts w:cs="Plantin"/>
          <w:lang w:val="en-AU"/>
        </w:rPr>
        <w:t xml:space="preserve">and </w:t>
      </w:r>
      <w:r w:rsidRPr="00921AA1">
        <w:rPr>
          <w:lang w:val="en-AU"/>
        </w:rPr>
        <w:t xml:space="preserve">total suspended solids </w:t>
      </w:r>
      <w:r w:rsidRPr="00921AA1">
        <w:rPr>
          <w:rFonts w:cs="Plantin"/>
          <w:lang w:val="en-AU"/>
        </w:rPr>
        <w:t>were also</w:t>
      </w:r>
      <w:r w:rsidRPr="00921AA1">
        <w:rPr>
          <w:lang w:val="en-AU"/>
        </w:rPr>
        <w:t xml:space="preserve"> </w:t>
      </w:r>
      <w:r w:rsidRPr="00921AA1">
        <w:rPr>
          <w:rFonts w:cs="Plantin"/>
          <w:lang w:val="en-AU"/>
        </w:rPr>
        <w:t xml:space="preserve">collected </w:t>
      </w:r>
      <w:r>
        <w:rPr>
          <w:rFonts w:cs="Plantin"/>
          <w:lang w:val="en-AU"/>
        </w:rPr>
        <w:t xml:space="preserve">three times a year </w:t>
      </w:r>
      <w:r w:rsidRPr="00921AA1">
        <w:rPr>
          <w:rFonts w:cs="Plantin"/>
          <w:lang w:val="en-AU"/>
        </w:rPr>
        <w:t>by diver-operated Niskin bottle sampling close to the autonomous water quality instruments (see below)</w:t>
      </w:r>
      <w:r>
        <w:rPr>
          <w:rFonts w:cs="Plantin"/>
          <w:lang w:val="en-AU"/>
        </w:rPr>
        <w:t>, for validation purposes</w:t>
      </w:r>
      <w:r w:rsidRPr="00921AA1">
        <w:rPr>
          <w:rFonts w:cs="Plantin"/>
          <w:lang w:val="en-AU"/>
        </w:rPr>
        <w:t>.</w:t>
      </w:r>
    </w:p>
    <w:p w14:paraId="5F22ED3A" w14:textId="1323EFD6" w:rsidR="00F351A1" w:rsidRPr="00ED6CDE" w:rsidRDefault="00F351A1" w:rsidP="00ED6CDE">
      <w:pPr>
        <w:spacing w:before="0" w:after="0"/>
        <w:jc w:val="left"/>
        <w:rPr>
          <w:rFonts w:eastAsia="SimSun"/>
          <w:b/>
          <w:sz w:val="16"/>
          <w:szCs w:val="24"/>
          <w:lang w:val="en-AU"/>
        </w:rPr>
      </w:pPr>
      <w:r>
        <w:rPr>
          <w:rFonts w:cs="Plantin"/>
          <w:lang w:val="en-AU"/>
        </w:rPr>
        <w:t>During the wet season the u</w:t>
      </w:r>
      <w:r w:rsidRPr="009D33A3">
        <w:rPr>
          <w:lang w:val="en-AU"/>
        </w:rPr>
        <w:t>nderwater light extinction coefficient (Kd, m</w:t>
      </w:r>
      <w:r w:rsidRPr="009D33A3">
        <w:rPr>
          <w:vertAlign w:val="superscript"/>
          <w:lang w:val="en-AU"/>
        </w:rPr>
        <w:t>-1</w:t>
      </w:r>
      <w:r w:rsidRPr="009D33A3">
        <w:rPr>
          <w:lang w:val="en-AU"/>
        </w:rPr>
        <w:t>) was</w:t>
      </w:r>
      <w:r>
        <w:rPr>
          <w:lang w:val="en-AU"/>
        </w:rPr>
        <w:t xml:space="preserve"> also</w:t>
      </w:r>
      <w:r w:rsidRPr="009D33A3">
        <w:rPr>
          <w:lang w:val="en-AU"/>
        </w:rPr>
        <w:t xml:space="preserve"> calculated using the Lambert-Beer equation on the CTD light profile with a summary of the parameters collected in the program provided in</w:t>
      </w:r>
      <w:r w:rsidR="00AB2398">
        <w:rPr>
          <w:lang w:val="en-AU"/>
        </w:rPr>
        <w:t xml:space="preserve"> </w:t>
      </w:r>
      <w:r w:rsidR="00AB2398">
        <w:rPr>
          <w:lang w:val="en-AU"/>
        </w:rPr>
        <w:fldChar w:fldCharType="begin"/>
      </w:r>
      <w:r w:rsidR="00AB2398">
        <w:rPr>
          <w:lang w:val="en-AU"/>
        </w:rPr>
        <w:instrText xml:space="preserve"> REF _Ref459146103 \h </w:instrText>
      </w:r>
      <w:r w:rsidR="00AB2398">
        <w:rPr>
          <w:lang w:val="en-AU"/>
        </w:rPr>
      </w:r>
      <w:r w:rsidR="00AB2398">
        <w:rPr>
          <w:lang w:val="en-AU"/>
        </w:rPr>
        <w:fldChar w:fldCharType="separate"/>
      </w:r>
      <w:r w:rsidR="007F5336" w:rsidRPr="00D25F94">
        <w:t xml:space="preserve">Table </w:t>
      </w:r>
      <w:r w:rsidR="007F5336">
        <w:rPr>
          <w:noProof/>
        </w:rPr>
        <w:t>4</w:t>
      </w:r>
      <w:r w:rsidR="007F5336">
        <w:noBreakHyphen/>
      </w:r>
      <w:r w:rsidR="007F5336">
        <w:rPr>
          <w:noProof/>
        </w:rPr>
        <w:t>2</w:t>
      </w:r>
      <w:r w:rsidR="00AB2398">
        <w:rPr>
          <w:lang w:val="en-AU"/>
        </w:rPr>
        <w:fldChar w:fldCharType="end"/>
      </w:r>
      <w:r>
        <w:rPr>
          <w:lang w:val="en-AU"/>
        </w:rPr>
        <w:t xml:space="preserve">. </w:t>
      </w:r>
    </w:p>
    <w:p w14:paraId="5F22ED3B" w14:textId="23D02236" w:rsidR="00F351A1" w:rsidRDefault="00F351A1" w:rsidP="00F351A1">
      <w:pPr>
        <w:rPr>
          <w:rFonts w:eastAsia="Calibri"/>
          <w:lang w:val="en-AU"/>
        </w:rPr>
      </w:pPr>
      <w:r w:rsidRPr="009D33A3">
        <w:rPr>
          <w:rFonts w:eastAsia="Calibri"/>
          <w:lang w:val="en-AU"/>
        </w:rPr>
        <w:t xml:space="preserve">The three main facets of the </w:t>
      </w:r>
      <w:r>
        <w:rPr>
          <w:rFonts w:eastAsia="Calibri"/>
          <w:lang w:val="en-AU"/>
        </w:rPr>
        <w:t xml:space="preserve">focused </w:t>
      </w:r>
      <w:r w:rsidRPr="009D33A3">
        <w:rPr>
          <w:rFonts w:eastAsia="Calibri"/>
          <w:lang w:val="en-AU"/>
        </w:rPr>
        <w:t>wet season monitoring are</w:t>
      </w:r>
      <w:r w:rsidR="00292A32">
        <w:rPr>
          <w:rFonts w:eastAsia="Calibri"/>
          <w:lang w:val="en-AU"/>
        </w:rPr>
        <w:t xml:space="preserve"> the collection of </w:t>
      </w:r>
      <w:r w:rsidRPr="009D33A3">
        <w:rPr>
          <w:rFonts w:eastAsia="Calibri"/>
          <w:i/>
          <w:lang w:val="en-AU"/>
        </w:rPr>
        <w:t>in-situ</w:t>
      </w:r>
      <w:r w:rsidRPr="009D33A3">
        <w:rPr>
          <w:rFonts w:eastAsia="Calibri"/>
          <w:lang w:val="en-AU"/>
        </w:rPr>
        <w:t xml:space="preserve"> data </w:t>
      </w:r>
      <w:r w:rsidR="00292A32">
        <w:rPr>
          <w:rFonts w:eastAsia="Calibri"/>
          <w:lang w:val="en-AU"/>
        </w:rPr>
        <w:t>(</w:t>
      </w:r>
      <w:r w:rsidRPr="009D33A3">
        <w:rPr>
          <w:rFonts w:eastAsia="Calibri"/>
          <w:lang w:val="en-AU"/>
        </w:rPr>
        <w:t>Nov</w:t>
      </w:r>
      <w:r w:rsidR="0070210F">
        <w:rPr>
          <w:rFonts w:eastAsia="Calibri"/>
          <w:lang w:val="en-AU"/>
        </w:rPr>
        <w:t>ember</w:t>
      </w:r>
      <w:r w:rsidRPr="009D33A3">
        <w:rPr>
          <w:rFonts w:eastAsia="Calibri"/>
          <w:lang w:val="en-AU"/>
        </w:rPr>
        <w:t xml:space="preserve"> to April), </w:t>
      </w:r>
      <w:r w:rsidR="00CD00BE">
        <w:rPr>
          <w:rFonts w:eastAsia="Calibri"/>
          <w:lang w:val="en-AU"/>
        </w:rPr>
        <w:t xml:space="preserve">extraction and processing of </w:t>
      </w:r>
      <w:r w:rsidRPr="009D33A3">
        <w:rPr>
          <w:rFonts w:eastAsia="Calibri"/>
          <w:lang w:val="en-AU"/>
        </w:rPr>
        <w:t>remotely sensed data</w:t>
      </w:r>
      <w:r w:rsidR="00CD00BE">
        <w:rPr>
          <w:rFonts w:eastAsia="Calibri"/>
          <w:lang w:val="en-AU"/>
        </w:rPr>
        <w:t xml:space="preserve"> for mapping and modelling river plumes</w:t>
      </w:r>
      <w:r w:rsidRPr="009D33A3">
        <w:rPr>
          <w:rFonts w:eastAsia="Calibri"/>
          <w:lang w:val="en-AU"/>
        </w:rPr>
        <w:t xml:space="preserve">, and integration of both </w:t>
      </w:r>
      <w:r w:rsidRPr="009D33A3">
        <w:rPr>
          <w:rFonts w:eastAsia="Calibri"/>
          <w:i/>
          <w:lang w:val="en-AU"/>
        </w:rPr>
        <w:t>in-situ</w:t>
      </w:r>
      <w:r w:rsidRPr="009D33A3">
        <w:rPr>
          <w:rFonts w:eastAsia="Calibri"/>
          <w:lang w:val="en-AU"/>
        </w:rPr>
        <w:t xml:space="preserve"> and remote sensed data</w:t>
      </w:r>
      <w:r w:rsidR="00CD00BE">
        <w:rPr>
          <w:rFonts w:eastAsia="Calibri"/>
          <w:lang w:val="en-AU"/>
        </w:rPr>
        <w:t xml:space="preserve"> reflected in the </w:t>
      </w:r>
      <w:r w:rsidR="007C4E29">
        <w:rPr>
          <w:rFonts w:eastAsia="Calibri"/>
          <w:lang w:val="en-AU"/>
        </w:rPr>
        <w:t xml:space="preserve">surface </w:t>
      </w:r>
      <w:r w:rsidR="00CD00BE">
        <w:rPr>
          <w:rFonts w:eastAsia="Calibri"/>
          <w:lang w:val="en-AU"/>
        </w:rPr>
        <w:t>load</w:t>
      </w:r>
      <w:r w:rsidR="007C4E29">
        <w:rPr>
          <w:rFonts w:eastAsia="Calibri"/>
          <w:lang w:val="en-AU"/>
        </w:rPr>
        <w:t>ing</w:t>
      </w:r>
      <w:r w:rsidR="00CD00BE">
        <w:rPr>
          <w:rFonts w:eastAsia="Calibri"/>
          <w:lang w:val="en-AU"/>
        </w:rPr>
        <w:t xml:space="preserve"> map</w:t>
      </w:r>
      <w:r w:rsidR="007C4E29">
        <w:rPr>
          <w:rFonts w:eastAsia="Calibri"/>
          <w:lang w:val="en-AU"/>
        </w:rPr>
        <w:t>s</w:t>
      </w:r>
      <w:r w:rsidRPr="009D33A3">
        <w:rPr>
          <w:rFonts w:eastAsia="Calibri"/>
          <w:lang w:val="en-AU"/>
        </w:rPr>
        <w:t xml:space="preserve">.  </w:t>
      </w:r>
    </w:p>
    <w:p w14:paraId="5F22ED3C" w14:textId="1D53B5C1" w:rsidR="00F351A1" w:rsidRDefault="007C4E29" w:rsidP="00F351A1">
      <w:pPr>
        <w:rPr>
          <w:rFonts w:eastAsia="Calibri"/>
          <w:lang w:val="en-AU"/>
        </w:rPr>
      </w:pPr>
      <w:r>
        <w:rPr>
          <w:rFonts w:eastAsia="Calibri"/>
          <w:i/>
          <w:lang w:val="en-AU"/>
        </w:rPr>
        <w:t>I</w:t>
      </w:r>
      <w:r w:rsidR="00F351A1" w:rsidRPr="004A5BF7">
        <w:rPr>
          <w:rFonts w:eastAsia="Calibri"/>
          <w:i/>
          <w:lang w:val="en-AU"/>
        </w:rPr>
        <w:t>n situ</w:t>
      </w:r>
      <w:r w:rsidR="00F351A1">
        <w:rPr>
          <w:rFonts w:eastAsia="Calibri"/>
          <w:lang w:val="en-AU"/>
        </w:rPr>
        <w:t xml:space="preserve"> sampling</w:t>
      </w:r>
      <w:r>
        <w:rPr>
          <w:rFonts w:eastAsia="Calibri"/>
          <w:lang w:val="en-AU"/>
        </w:rPr>
        <w:t xml:space="preserve"> data</w:t>
      </w:r>
      <w:r w:rsidR="00F351A1">
        <w:rPr>
          <w:rFonts w:eastAsia="Calibri"/>
          <w:lang w:val="en-AU"/>
        </w:rPr>
        <w:t xml:space="preserve"> is made available for</w:t>
      </w:r>
      <w:r w:rsidR="00F351A1" w:rsidRPr="009D33A3">
        <w:rPr>
          <w:rFonts w:eastAsia="Calibri"/>
          <w:lang w:val="en-AU"/>
        </w:rPr>
        <w:t xml:space="preserve"> the validation of existing models </w:t>
      </w:r>
      <w:r w:rsidR="00F351A1">
        <w:rPr>
          <w:rFonts w:eastAsia="Calibri"/>
          <w:lang w:val="en-AU"/>
        </w:rPr>
        <w:t xml:space="preserve">(e.g. eReefs) </w:t>
      </w:r>
      <w:r w:rsidR="00F351A1" w:rsidRPr="009D33A3">
        <w:rPr>
          <w:rFonts w:eastAsia="Calibri"/>
          <w:lang w:val="en-AU"/>
        </w:rPr>
        <w:t xml:space="preserve">and regionally based remote sensing algorithms </w:t>
      </w:r>
      <w:r w:rsidR="00EB33A6" w:rsidRPr="009D33A3">
        <w:rPr>
          <w:rFonts w:eastAsia="Calibri"/>
          <w:lang w:val="en-AU"/>
        </w:rPr>
        <w:fldChar w:fldCharType="begin">
          <w:fldData xml:space="preserve">PEVuZE5vdGU+PENpdGU+PEF1dGhvcj5CcmFuZG88L0F1dGhvcj48WWVhcj4yMDA4PC9ZZWFyPjxS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</w:fldData>
        </w:fldChar>
      </w:r>
      <w:r w:rsidR="00F351A1" w:rsidRPr="009D33A3">
        <w:rPr>
          <w:rFonts w:eastAsia="Calibri"/>
          <w:lang w:val="en-AU"/>
        </w:rPr>
        <w:instrText xml:space="preserve"> ADDIN EN.CITE </w:instrText>
      </w:r>
      <w:r w:rsidR="00EB33A6" w:rsidRPr="009D33A3">
        <w:rPr>
          <w:rFonts w:eastAsia="Calibri"/>
          <w:lang w:val="en-AU"/>
        </w:rPr>
        <w:fldChar w:fldCharType="begin">
          <w:fldData xml:space="preserve">PEVuZE5vdGU+PENpdGU+PEF1dGhvcj5CcmFuZG88L0F1dGhvcj48WWVhcj4yMDA4PC9ZZWFyPjxS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</w:fldData>
        </w:fldChar>
      </w:r>
      <w:r w:rsidR="00F351A1" w:rsidRPr="009D33A3">
        <w:rPr>
          <w:rFonts w:eastAsia="Calibri"/>
          <w:lang w:val="en-AU"/>
        </w:rPr>
        <w:instrText xml:space="preserve"> ADDIN EN.CITE.DATA </w:instrText>
      </w:r>
      <w:r w:rsidR="00EB33A6" w:rsidRPr="009D33A3">
        <w:rPr>
          <w:rFonts w:eastAsia="Calibri"/>
          <w:lang w:val="en-AU"/>
        </w:rPr>
      </w:r>
      <w:r w:rsidR="00EB33A6" w:rsidRPr="009D33A3">
        <w:rPr>
          <w:rFonts w:eastAsia="Calibri"/>
          <w:lang w:val="en-AU"/>
        </w:rPr>
        <w:fldChar w:fldCharType="end"/>
      </w:r>
      <w:r w:rsidR="00EB33A6" w:rsidRPr="009D33A3">
        <w:rPr>
          <w:rFonts w:eastAsia="Calibri"/>
          <w:lang w:val="en-AU"/>
        </w:rPr>
      </w:r>
      <w:r w:rsidR="00EB33A6" w:rsidRPr="009D33A3">
        <w:rPr>
          <w:rFonts w:eastAsia="Calibri"/>
          <w:lang w:val="en-AU"/>
        </w:rPr>
        <w:fldChar w:fldCharType="separate"/>
      </w:r>
      <w:r w:rsidR="00F351A1" w:rsidRPr="009D33A3">
        <w:rPr>
          <w:rFonts w:eastAsia="Calibri"/>
          <w:lang w:val="en-AU"/>
        </w:rPr>
        <w:t>(</w:t>
      </w:r>
      <w:hyperlink w:anchor="_ENREF_5" w:tooltip="Brando, 2008 #1027" w:history="1">
        <w:r w:rsidR="00F351A1" w:rsidRPr="009D33A3">
          <w:rPr>
            <w:rFonts w:eastAsia="Calibri"/>
            <w:lang w:val="en-AU"/>
          </w:rPr>
          <w:t>Brando et al., 2008</w:t>
        </w:r>
      </w:hyperlink>
      <w:r w:rsidR="009C0725">
        <w:rPr>
          <w:rFonts w:eastAsia="Calibri"/>
          <w:lang w:val="en-AU"/>
        </w:rPr>
        <w:t>;</w:t>
      </w:r>
      <w:r w:rsidRPr="009D33A3">
        <w:rPr>
          <w:rFonts w:eastAsia="Calibri"/>
          <w:lang w:val="en-AU"/>
        </w:rPr>
        <w:t xml:space="preserve"> </w:t>
      </w:r>
      <w:hyperlink w:anchor="_ENREF_7" w:tooltip="Brando, 2010 #1028" w:history="1">
        <w:r w:rsidR="00F351A1" w:rsidRPr="009D33A3">
          <w:rPr>
            <w:rFonts w:eastAsia="Calibri"/>
            <w:lang w:val="en-AU"/>
          </w:rPr>
          <w:t>Brando et al., 2010b</w:t>
        </w:r>
      </w:hyperlink>
      <w:r w:rsidR="009C0725">
        <w:rPr>
          <w:rFonts w:eastAsia="Calibri"/>
          <w:lang w:val="en-AU"/>
        </w:rPr>
        <w:t>;</w:t>
      </w:r>
      <w:r w:rsidRPr="009D33A3">
        <w:rPr>
          <w:rFonts w:eastAsia="Calibri"/>
          <w:lang w:val="en-AU"/>
        </w:rPr>
        <w:t xml:space="preserve"> </w:t>
      </w:r>
      <w:hyperlink w:anchor="_ENREF_8" w:tooltip="Brando, 2009 #1019" w:history="1">
        <w:r w:rsidR="00F351A1" w:rsidRPr="009D33A3">
          <w:rPr>
            <w:rFonts w:eastAsia="Calibri"/>
            <w:lang w:val="en-AU"/>
          </w:rPr>
          <w:t>Brando et al., 2009</w:t>
        </w:r>
      </w:hyperlink>
      <w:r w:rsidR="00F351A1" w:rsidRPr="009D33A3">
        <w:rPr>
          <w:rFonts w:eastAsia="Calibri"/>
          <w:lang w:val="en-AU"/>
        </w:rPr>
        <w:t>)</w:t>
      </w:r>
      <w:r w:rsidR="00EB33A6" w:rsidRPr="009D33A3">
        <w:rPr>
          <w:rFonts w:eastAsia="Calibri"/>
          <w:lang w:val="en-AU"/>
        </w:rPr>
        <w:fldChar w:fldCharType="end"/>
      </w:r>
      <w:r w:rsidR="00F351A1" w:rsidRPr="009D33A3">
        <w:rPr>
          <w:rFonts w:eastAsia="Calibri"/>
          <w:lang w:val="en-AU"/>
        </w:rPr>
        <w:t xml:space="preserve">. </w:t>
      </w:r>
    </w:p>
    <w:p w14:paraId="5F22ED3D" w14:textId="77777777" w:rsidR="00654D50" w:rsidRPr="00C73829" w:rsidRDefault="00654D50" w:rsidP="00654D50">
      <w:pPr>
        <w:pStyle w:val="Heading2"/>
      </w:pPr>
      <w:r w:rsidRPr="00C73829">
        <w:tab/>
      </w:r>
      <w:bookmarkStart w:id="471" w:name="_Toc462307433"/>
      <w:r w:rsidRPr="00C73829">
        <w:t>In-situ loggers</w:t>
      </w:r>
      <w:bookmarkEnd w:id="471"/>
      <w:r w:rsidRPr="00C73829">
        <w:t xml:space="preserve"> </w:t>
      </w:r>
    </w:p>
    <w:p w14:paraId="5F22ED3E" w14:textId="38064012" w:rsidR="00654D50" w:rsidRDefault="00654D50" w:rsidP="00654D50">
      <w:pPr>
        <w:rPr>
          <w:color w:val="FF0000"/>
          <w:lang w:val="en-AU"/>
        </w:rPr>
      </w:pPr>
      <w:bookmarkStart w:id="472" w:name="_Toc459332211"/>
      <w:r w:rsidRPr="00A03137">
        <w:rPr>
          <w:lang w:val="en-AU"/>
        </w:rPr>
        <w:t xml:space="preserve">Continuous </w:t>
      </w:r>
      <w:r w:rsidRPr="00A03137">
        <w:rPr>
          <w:i/>
          <w:lang w:val="en-AU"/>
        </w:rPr>
        <w:t>in situ</w:t>
      </w:r>
      <w:r w:rsidRPr="00A03137">
        <w:rPr>
          <w:lang w:val="en-AU"/>
        </w:rPr>
        <w:t xml:space="preserve"> measurements of chlorophyll fluorescence and turbidity were performed at 15 sites using WET Labs ECO FLNTUSB Combination Fluorometer and Turbidity Sensors; salinity and temperature loggers were deployed at eight locations, with three of these being placed in close proximity to Russe</w:t>
      </w:r>
      <w:r>
        <w:rPr>
          <w:lang w:val="en-AU"/>
        </w:rPr>
        <w:t xml:space="preserve">ll-Mulgrave, Tully </w:t>
      </w:r>
      <w:r w:rsidRPr="00A03137">
        <w:rPr>
          <w:lang w:val="en-AU"/>
        </w:rPr>
        <w:t xml:space="preserve">and </w:t>
      </w:r>
      <w:r>
        <w:rPr>
          <w:lang w:val="en-AU"/>
        </w:rPr>
        <w:t>Burdekin</w:t>
      </w:r>
      <w:r w:rsidRPr="00A03137">
        <w:rPr>
          <w:lang w:val="en-AU"/>
        </w:rPr>
        <w:t xml:space="preserve"> river mouths (Figure 4-1, Table 4-1</w:t>
      </w:r>
      <w:r w:rsidR="00053E65">
        <w:rPr>
          <w:lang w:val="en-AU"/>
        </w:rPr>
        <w:t xml:space="preserve">; </w:t>
      </w:r>
      <w:r w:rsidR="00053E65">
        <w:t xml:space="preserve">Figure A2 </w:t>
      </w:r>
      <w:r w:rsidR="00053E65">
        <w:fldChar w:fldCharType="begin"/>
      </w:r>
      <w:r w:rsidR="00053E65">
        <w:instrText xml:space="preserve"> SEQ Figure_A2 \* ARABIC </w:instrText>
      </w:r>
      <w:r w:rsidR="00053E65">
        <w:fldChar w:fldCharType="separate"/>
      </w:r>
      <w:r w:rsidR="007F5336">
        <w:rPr>
          <w:noProof/>
        </w:rPr>
        <w:t>1</w:t>
      </w:r>
      <w:r w:rsidR="00053E65">
        <w:rPr>
          <w:noProof/>
        </w:rPr>
        <w:fldChar w:fldCharType="end"/>
      </w:r>
      <w:r w:rsidRPr="00A03137">
        <w:rPr>
          <w:lang w:val="en-AU"/>
        </w:rPr>
        <w:t xml:space="preserve">). </w:t>
      </w:r>
      <w:r w:rsidR="007C4E29">
        <w:rPr>
          <w:lang w:val="en-AU"/>
        </w:rPr>
        <w:t>A</w:t>
      </w:r>
      <w:r w:rsidRPr="00A03137">
        <w:rPr>
          <w:lang w:val="en-AU"/>
        </w:rPr>
        <w:t xml:space="preserve">dditional temperature </w:t>
      </w:r>
      <w:r w:rsidRPr="001A79B9">
        <w:rPr>
          <w:lang w:val="en-AU"/>
        </w:rPr>
        <w:t xml:space="preserve">loggers are </w:t>
      </w:r>
      <w:r w:rsidR="007C4E29">
        <w:rPr>
          <w:lang w:val="en-AU"/>
        </w:rPr>
        <w:t xml:space="preserve">also </w:t>
      </w:r>
      <w:r w:rsidRPr="001A79B9">
        <w:rPr>
          <w:lang w:val="en-AU"/>
        </w:rPr>
        <w:t>deployed at all MMP inshore coral reef monitoring sites (reported in Thompson et al.</w:t>
      </w:r>
      <w:r w:rsidR="006C0640">
        <w:rPr>
          <w:lang w:val="en-AU"/>
        </w:rPr>
        <w:t>,</w:t>
      </w:r>
      <w:r w:rsidRPr="001A79B9">
        <w:rPr>
          <w:lang w:val="en-AU"/>
        </w:rPr>
        <w:t xml:space="preserve"> 2015)</w:t>
      </w:r>
      <w:r w:rsidRPr="004A5BF7">
        <w:rPr>
          <w:lang w:val="en-AU"/>
        </w:rPr>
        <w:t>.</w:t>
      </w:r>
      <w:bookmarkEnd w:id="472"/>
      <w:r w:rsidRPr="004A5BF7">
        <w:rPr>
          <w:lang w:val="en-AU"/>
        </w:rPr>
        <w:t xml:space="preserve"> </w:t>
      </w:r>
    </w:p>
    <w:p w14:paraId="7DD18210" w14:textId="48F7B9A3" w:rsidR="00935FB9" w:rsidRPr="004A5BF7" w:rsidRDefault="00935FB9" w:rsidP="00654D50">
      <w:pPr>
        <w:rPr>
          <w:lang w:val="en-AU"/>
        </w:rPr>
      </w:pPr>
      <w:r w:rsidRPr="004A5BF7">
        <w:rPr>
          <w:lang w:val="en-AU"/>
        </w:rPr>
        <w:t xml:space="preserve">The </w:t>
      </w:r>
      <w:r w:rsidR="007B5205">
        <w:rPr>
          <w:lang w:val="en-AU"/>
        </w:rPr>
        <w:t xml:space="preserve">chlorophyll </w:t>
      </w:r>
      <w:r w:rsidR="007C4E29">
        <w:rPr>
          <w:lang w:val="en-AU"/>
        </w:rPr>
        <w:t xml:space="preserve">logger </w:t>
      </w:r>
      <w:r w:rsidRPr="004A5BF7">
        <w:rPr>
          <w:lang w:val="en-AU"/>
        </w:rPr>
        <w:t>data are used for trend analyses</w:t>
      </w:r>
      <w:r w:rsidR="00CD00BE" w:rsidRPr="004A5BF7">
        <w:rPr>
          <w:lang w:val="en-AU"/>
        </w:rPr>
        <w:t xml:space="preserve"> and </w:t>
      </w:r>
      <w:r w:rsidR="007C4E29">
        <w:rPr>
          <w:lang w:val="en-AU"/>
        </w:rPr>
        <w:t xml:space="preserve">for </w:t>
      </w:r>
      <w:r w:rsidR="00CD00BE" w:rsidRPr="004A5BF7">
        <w:rPr>
          <w:lang w:val="en-AU"/>
        </w:rPr>
        <w:t>assessing relationships with coral reef health</w:t>
      </w:r>
      <w:r w:rsidRPr="004A5BF7">
        <w:rPr>
          <w:lang w:val="en-AU"/>
        </w:rPr>
        <w:t xml:space="preserve"> and </w:t>
      </w:r>
      <w:r w:rsidRPr="001A79B9">
        <w:rPr>
          <w:rFonts w:cs="Arial"/>
        </w:rPr>
        <w:t>not for comparison against guidelines because the uncertainty is  higher than for other measures</w:t>
      </w:r>
      <w:r w:rsidRPr="00E17547">
        <w:rPr>
          <w:rFonts w:cs="Arial"/>
        </w:rPr>
        <w:t xml:space="preserve">. </w:t>
      </w:r>
    </w:p>
    <w:p w14:paraId="5F22ED3F" w14:textId="77777777" w:rsidR="00654D50" w:rsidRPr="00C73829" w:rsidRDefault="00654D50" w:rsidP="00654D50">
      <w:pPr>
        <w:pStyle w:val="Heading2"/>
      </w:pPr>
      <w:bookmarkStart w:id="473" w:name="_Toc145126932"/>
      <w:r w:rsidRPr="00C73829">
        <w:tab/>
      </w:r>
      <w:bookmarkStart w:id="474" w:name="_Toc462307434"/>
      <w:r w:rsidRPr="00C73829">
        <w:t>Data analyses – ambient water quality</w:t>
      </w:r>
      <w:bookmarkEnd w:id="474"/>
    </w:p>
    <w:bookmarkEnd w:id="473"/>
    <w:p w14:paraId="5F22ED40" w14:textId="556CA344" w:rsidR="00654D50" w:rsidRPr="00A03137" w:rsidRDefault="007C4E29" w:rsidP="00654D50">
      <w:pPr>
        <w:rPr>
          <w:lang w:val="en-AU"/>
        </w:rPr>
      </w:pPr>
      <w:r w:rsidRPr="00A03137">
        <w:rPr>
          <w:lang w:val="en-AU"/>
        </w:rPr>
        <w:t>Generali</w:t>
      </w:r>
      <w:r>
        <w:rPr>
          <w:lang w:val="en-AU"/>
        </w:rPr>
        <w:t>s</w:t>
      </w:r>
      <w:r w:rsidRPr="00A03137">
        <w:rPr>
          <w:lang w:val="en-AU"/>
        </w:rPr>
        <w:t xml:space="preserve">ed </w:t>
      </w:r>
      <w:r w:rsidR="00654D50" w:rsidRPr="00A03137">
        <w:rPr>
          <w:lang w:val="en-AU"/>
        </w:rPr>
        <w:t xml:space="preserve">additive mixed effects models were fitted to environmental variables for each NRM region, or </w:t>
      </w:r>
      <w:r>
        <w:rPr>
          <w:lang w:val="en-AU"/>
        </w:rPr>
        <w:t>focus area,</w:t>
      </w:r>
      <w:r w:rsidR="00654D50" w:rsidRPr="00A03137">
        <w:rPr>
          <w:lang w:val="en-AU"/>
        </w:rPr>
        <w:t xml:space="preserve"> to identify the presence and consistency of trends. More detailed description</w:t>
      </w:r>
      <w:r>
        <w:rPr>
          <w:lang w:val="en-AU"/>
        </w:rPr>
        <w:t>s</w:t>
      </w:r>
      <w:r w:rsidR="00654D50" w:rsidRPr="00A03137">
        <w:rPr>
          <w:lang w:val="en-AU"/>
        </w:rPr>
        <w:t xml:space="preserve"> of </w:t>
      </w:r>
      <w:r>
        <w:rPr>
          <w:lang w:val="en-AU"/>
        </w:rPr>
        <w:t xml:space="preserve">the </w:t>
      </w:r>
      <w:r w:rsidR="00654D50" w:rsidRPr="00A03137">
        <w:rPr>
          <w:lang w:val="en-AU"/>
        </w:rPr>
        <w:t>statistical methods and data summar</w:t>
      </w:r>
      <w:r w:rsidR="0070210F">
        <w:rPr>
          <w:lang w:val="en-AU"/>
        </w:rPr>
        <w:t xml:space="preserve">ies </w:t>
      </w:r>
      <w:r w:rsidR="000A5885">
        <w:rPr>
          <w:lang w:val="en-AU"/>
        </w:rPr>
        <w:t>are presented</w:t>
      </w:r>
      <w:r w:rsidR="0070210F">
        <w:rPr>
          <w:lang w:val="en-AU"/>
        </w:rPr>
        <w:t xml:space="preserve"> in Appendix 1.5</w:t>
      </w:r>
      <w:r w:rsidR="00654D50" w:rsidRPr="00A03137">
        <w:rPr>
          <w:lang w:val="en-AU"/>
        </w:rPr>
        <w:t>.</w:t>
      </w:r>
    </w:p>
    <w:p w14:paraId="5F22ED41" w14:textId="6F25FB2E" w:rsidR="00654D50" w:rsidRPr="00A03137" w:rsidRDefault="00654D50" w:rsidP="00654D50">
      <w:pPr>
        <w:rPr>
          <w:lang w:val="en-AU"/>
        </w:rPr>
      </w:pPr>
      <w:r w:rsidRPr="00A70A01">
        <w:t xml:space="preserve">Water quality data were summarised as a simple </w:t>
      </w:r>
      <w:r w:rsidR="007C4E29">
        <w:t>w</w:t>
      </w:r>
      <w:r w:rsidR="007C4E29" w:rsidRPr="00A70A01">
        <w:t xml:space="preserve">ater </w:t>
      </w:r>
      <w:r w:rsidRPr="00A70A01">
        <w:t>quality index, which is based on comparisons with existing water quality guidelines (DERM 2009,</w:t>
      </w:r>
      <w:r w:rsidR="000A5885" w:rsidRPr="00A70A01">
        <w:t xml:space="preserve"> </w:t>
      </w:r>
      <w:r w:rsidRPr="00A70A01">
        <w:t xml:space="preserve">GBRMPA 2010), to generate an overall assessment of water quality for the </w:t>
      </w:r>
      <w:r w:rsidR="000A5885" w:rsidRPr="00A70A01">
        <w:t>five sampling areas</w:t>
      </w:r>
      <w:r w:rsidRPr="00A70A01">
        <w:t xml:space="preserve"> (Barron Daintree</w:t>
      </w:r>
      <w:r w:rsidR="000A5885" w:rsidRPr="00A70A01">
        <w:t xml:space="preserve"> – Cairns transect</w:t>
      </w:r>
      <w:r w:rsidRPr="00A70A01">
        <w:t>, Russe</w:t>
      </w:r>
      <w:r w:rsidR="000A5885" w:rsidRPr="00A70A01">
        <w:t>l</w:t>
      </w:r>
      <w:r w:rsidRPr="00A70A01">
        <w:t>l-Mulgrave, Tully, Burdekin and Mackay</w:t>
      </w:r>
      <w:r w:rsidR="007C4E29">
        <w:t xml:space="preserve"> </w:t>
      </w:r>
      <w:r w:rsidRPr="00A70A01">
        <w:t xml:space="preserve">Whitsunday). </w:t>
      </w:r>
      <w:r w:rsidR="00A70A01" w:rsidRPr="00A70A01">
        <w:t xml:space="preserve">Note </w:t>
      </w:r>
      <w:r w:rsidR="000A5885" w:rsidRPr="00A70A01">
        <w:t xml:space="preserve">that intensive flood sampling data has </w:t>
      </w:r>
      <w:r w:rsidR="00A70A01" w:rsidRPr="00A70A01">
        <w:t xml:space="preserve">not </w:t>
      </w:r>
      <w:r w:rsidR="000A5885" w:rsidRPr="00A70A01">
        <w:t>been incorporated to the index</w:t>
      </w:r>
      <w:r w:rsidR="007C4E29">
        <w:t xml:space="preserve"> due to inconsistencies in the frequency of data collection - </w:t>
      </w:r>
      <w:r w:rsidR="00A70A01" w:rsidRPr="00A70A01">
        <w:t>some flood plumes were sampled 10 times</w:t>
      </w:r>
      <w:r w:rsidR="00A70A01">
        <w:t xml:space="preserve"> in some years</w:t>
      </w:r>
      <w:r w:rsidR="00A70A01" w:rsidRPr="00A70A01">
        <w:t xml:space="preserve">, while </w:t>
      </w:r>
      <w:r w:rsidR="00A70A01">
        <w:t>AIMS</w:t>
      </w:r>
      <w:r w:rsidR="00A70A01" w:rsidRPr="00A70A01">
        <w:t xml:space="preserve"> collected samples 3 times a year. </w:t>
      </w:r>
      <w:r w:rsidR="00A70A01">
        <w:t>Therefore,</w:t>
      </w:r>
      <w:r w:rsidR="00A70A01" w:rsidRPr="00A70A01">
        <w:t xml:space="preserve"> including the </w:t>
      </w:r>
      <w:r w:rsidR="00A70A01">
        <w:t xml:space="preserve">historic </w:t>
      </w:r>
      <w:r w:rsidR="00A70A01" w:rsidRPr="00A70A01">
        <w:t xml:space="preserve">JCU data would </w:t>
      </w:r>
      <w:r w:rsidR="00A70A01">
        <w:t>skew</w:t>
      </w:r>
      <w:r w:rsidR="00A70A01" w:rsidRPr="00A70A01">
        <w:t xml:space="preserve"> the whole data set and trends, giving </w:t>
      </w:r>
      <w:r w:rsidR="00A70A01">
        <w:t>a false representation of annual water quality conditions</w:t>
      </w:r>
      <w:r w:rsidR="00A70A01" w:rsidRPr="00A70A01">
        <w:t xml:space="preserve">. </w:t>
      </w:r>
      <w:r w:rsidRPr="00A03137">
        <w:rPr>
          <w:lang w:val="en-AU"/>
        </w:rPr>
        <w:t xml:space="preserve">Detail of the methods used for the calculation of the </w:t>
      </w:r>
      <w:r w:rsidR="007B5205">
        <w:rPr>
          <w:lang w:val="en-AU"/>
        </w:rPr>
        <w:t>site-specific W</w:t>
      </w:r>
      <w:r w:rsidRPr="00A03137">
        <w:rPr>
          <w:lang w:val="en-AU"/>
        </w:rPr>
        <w:t xml:space="preserve">ater </w:t>
      </w:r>
      <w:r w:rsidR="007B5205">
        <w:rPr>
          <w:lang w:val="en-AU"/>
        </w:rPr>
        <w:t>Q</w:t>
      </w:r>
      <w:r w:rsidRPr="00A03137">
        <w:rPr>
          <w:lang w:val="en-AU"/>
        </w:rPr>
        <w:t xml:space="preserve">uality </w:t>
      </w:r>
      <w:r w:rsidR="007B5205">
        <w:rPr>
          <w:lang w:val="en-AU"/>
        </w:rPr>
        <w:t>I</w:t>
      </w:r>
      <w:r w:rsidRPr="00A03137">
        <w:rPr>
          <w:lang w:val="en-AU"/>
        </w:rPr>
        <w:t xml:space="preserve">ndex is presented </w:t>
      </w:r>
      <w:r w:rsidRPr="003704F8">
        <w:rPr>
          <w:lang w:val="en-AU"/>
        </w:rPr>
        <w:t>in Appendix, A1.</w:t>
      </w:r>
      <w:r w:rsidR="00FC079A" w:rsidRPr="003704F8">
        <w:rPr>
          <w:lang w:val="en-AU"/>
        </w:rPr>
        <w:t>6</w:t>
      </w:r>
      <w:r w:rsidRPr="003704F8">
        <w:rPr>
          <w:lang w:val="en-AU"/>
        </w:rPr>
        <w:t>.</w:t>
      </w:r>
    </w:p>
    <w:p w14:paraId="5F22EDAC" w14:textId="77777777" w:rsidR="001254DC" w:rsidRPr="00C73829" w:rsidRDefault="001254DC" w:rsidP="00C73829">
      <w:pPr>
        <w:pStyle w:val="Heading2"/>
      </w:pPr>
      <w:bookmarkStart w:id="475" w:name="_Toc459158237"/>
      <w:bookmarkStart w:id="476" w:name="_Toc459158510"/>
      <w:bookmarkStart w:id="477" w:name="_Toc459158784"/>
      <w:bookmarkStart w:id="478" w:name="_Toc459209783"/>
      <w:bookmarkStart w:id="479" w:name="_Toc459328909"/>
      <w:bookmarkStart w:id="480" w:name="_Toc459329268"/>
      <w:bookmarkStart w:id="481" w:name="_Toc459329629"/>
      <w:bookmarkStart w:id="482" w:name="_Toc459329989"/>
      <w:bookmarkStart w:id="483" w:name="_Toc459330349"/>
      <w:bookmarkStart w:id="484" w:name="_Toc459330709"/>
      <w:bookmarkStart w:id="485" w:name="_Toc459331069"/>
      <w:bookmarkStart w:id="486" w:name="_Toc459331429"/>
      <w:bookmarkStart w:id="487" w:name="_Toc459331789"/>
      <w:bookmarkStart w:id="488" w:name="_Toc428793317"/>
      <w:bookmarkStart w:id="489" w:name="_Toc428851336"/>
      <w:bookmarkStart w:id="490" w:name="_Toc434607108"/>
      <w:bookmarkStart w:id="491" w:name="_Toc462307435"/>
      <w:bookmarkEnd w:id="475"/>
      <w:bookmarkEnd w:id="476"/>
      <w:bookmarkEnd w:id="477"/>
      <w:bookmarkEnd w:id="478"/>
      <w:bookmarkEnd w:id="479"/>
      <w:bookmarkEnd w:id="480"/>
      <w:bookmarkEnd w:id="481"/>
      <w:bookmarkEnd w:id="482"/>
      <w:bookmarkEnd w:id="483"/>
      <w:bookmarkEnd w:id="484"/>
      <w:bookmarkEnd w:id="485"/>
      <w:bookmarkEnd w:id="486"/>
      <w:bookmarkEnd w:id="487"/>
      <w:r w:rsidRPr="00C73829">
        <w:t xml:space="preserve">Data analysis – </w:t>
      </w:r>
      <w:bookmarkEnd w:id="488"/>
      <w:bookmarkEnd w:id="489"/>
      <w:bookmarkEnd w:id="490"/>
      <w:r w:rsidR="00FC082B" w:rsidRPr="00C73829">
        <w:t>wet seaso</w:t>
      </w:r>
      <w:r w:rsidR="00EE5D45" w:rsidRPr="00C73829">
        <w:t>n water quality</w:t>
      </w:r>
      <w:bookmarkEnd w:id="491"/>
    </w:p>
    <w:p w14:paraId="1911AFD1" w14:textId="1A849455" w:rsidR="00A70A01" w:rsidRDefault="00A70A01" w:rsidP="001254DC">
      <w:pPr>
        <w:rPr>
          <w:lang w:val="en-AU"/>
        </w:rPr>
      </w:pPr>
      <w:r>
        <w:rPr>
          <w:lang w:val="en-AU"/>
        </w:rPr>
        <w:t xml:space="preserve">Data sampled in flood plumes are used for several purposes: to characterise river plumes in terms of expected concentrations of the water quality parameters; to investigate the transport and/or transformation of parameters when they are discharged into the GBR lagoon; to identify where measured values were above the water quality guideline values; and to inform the </w:t>
      </w:r>
      <w:r w:rsidR="007C4E29">
        <w:rPr>
          <w:lang w:val="en-AU"/>
        </w:rPr>
        <w:t>assessment</w:t>
      </w:r>
      <w:r>
        <w:rPr>
          <w:lang w:val="en-AU"/>
        </w:rPr>
        <w:t xml:space="preserve"> of potential risk </w:t>
      </w:r>
      <w:r w:rsidR="007C4E29">
        <w:rPr>
          <w:lang w:val="en-AU"/>
        </w:rPr>
        <w:t>of water quality to</w:t>
      </w:r>
      <w:r>
        <w:rPr>
          <w:lang w:val="en-AU"/>
        </w:rPr>
        <w:t xml:space="preserve"> coral reefs and seagrass</w:t>
      </w:r>
      <w:r w:rsidR="007C4E29">
        <w:rPr>
          <w:lang w:val="en-AU"/>
        </w:rPr>
        <w:t xml:space="preserve"> ecosystems</w:t>
      </w:r>
      <w:r>
        <w:rPr>
          <w:lang w:val="en-AU"/>
        </w:rPr>
        <w:t xml:space="preserve">. </w:t>
      </w:r>
    </w:p>
    <w:p w14:paraId="1C47C7CB" w14:textId="5973F74E" w:rsidR="00A70A01" w:rsidRDefault="00A70A01" w:rsidP="001254DC">
      <w:pPr>
        <w:rPr>
          <w:lang w:val="en-AU"/>
        </w:rPr>
      </w:pPr>
      <w:r>
        <w:rPr>
          <w:lang w:val="en-AU"/>
        </w:rPr>
        <w:t xml:space="preserve">For the plume maps, a simple data extraction </w:t>
      </w:r>
      <w:r w:rsidR="007C4E29">
        <w:rPr>
          <w:lang w:val="en-AU"/>
        </w:rPr>
        <w:t>was</w:t>
      </w:r>
      <w:r>
        <w:rPr>
          <w:lang w:val="en-AU"/>
        </w:rPr>
        <w:t xml:space="preserve"> performed (see method </w:t>
      </w:r>
      <w:r w:rsidRPr="007B5205">
        <w:rPr>
          <w:lang w:val="en-AU"/>
        </w:rPr>
        <w:t xml:space="preserve">in </w:t>
      </w:r>
      <w:r w:rsidRPr="004A5BF7">
        <w:rPr>
          <w:lang w:val="en-AU"/>
        </w:rPr>
        <w:t>Appendix A1.10</w:t>
      </w:r>
      <w:r>
        <w:rPr>
          <w:lang w:val="en-AU"/>
        </w:rPr>
        <w:t xml:space="preserve"> – Load Mapping), so that water quality parameters measured in plume waters </w:t>
      </w:r>
      <w:r w:rsidR="007C4E29">
        <w:rPr>
          <w:lang w:val="en-AU"/>
        </w:rPr>
        <w:t>can</w:t>
      </w:r>
      <w:r>
        <w:rPr>
          <w:lang w:val="en-AU"/>
        </w:rPr>
        <w:t xml:space="preserve"> be associated to each plume water type (i.e., to each six colour classes and/or Primary, Secondary or Tertiary water types). </w:t>
      </w:r>
    </w:p>
    <w:p w14:paraId="4EF84F73" w14:textId="3E87AB7B" w:rsidR="00A70A01" w:rsidRDefault="00A70A01" w:rsidP="001254DC">
      <w:pPr>
        <w:rPr>
          <w:szCs w:val="22"/>
          <w:lang w:val="en-AU"/>
        </w:rPr>
      </w:pPr>
      <w:r>
        <w:rPr>
          <w:lang w:val="en-AU"/>
        </w:rPr>
        <w:t xml:space="preserve">The transport and/or transformation of water quality parameters were investigated by using mixing plots. Each water quality parameter, </w:t>
      </w:r>
      <w:r w:rsidRPr="00A13B8E">
        <w:rPr>
          <w:lang w:val="en-AU"/>
        </w:rPr>
        <w:t>grouped by sampling events</w:t>
      </w:r>
      <w:r>
        <w:rPr>
          <w:lang w:val="en-AU"/>
        </w:rPr>
        <w:t xml:space="preserve">, is plotted against salinity, so that conservative or non-conservative behaviour can be identified. </w:t>
      </w:r>
      <w:r w:rsidRPr="00A13B8E">
        <w:rPr>
          <w:lang w:val="en-AU"/>
        </w:rPr>
        <w:t>The concentrations of some water quality parameters in plumes are directly related to the degree of mixing between the fresh and salt water. If the changes in concentration result only from the dilution associated with mixing, the constituents are said to behave conservatively</w:t>
      </w:r>
      <w:r>
        <w:rPr>
          <w:lang w:val="en-AU"/>
        </w:rPr>
        <w:t xml:space="preserve"> </w:t>
      </w:r>
      <w:r w:rsidRPr="00A13B8E">
        <w:rPr>
          <w:lang w:val="en-AU"/>
        </w:rPr>
        <w:t xml:space="preserve">(Devlin et al., 2001). </w:t>
      </w:r>
      <w:r>
        <w:rPr>
          <w:lang w:val="en-AU"/>
        </w:rPr>
        <w:t xml:space="preserve">In order to investigate any potential influence of river discharge and wind on the water quality parameters, </w:t>
      </w:r>
      <w:r w:rsidRPr="00A13B8E">
        <w:rPr>
          <w:szCs w:val="22"/>
          <w:lang w:val="en-AU"/>
        </w:rPr>
        <w:t xml:space="preserve">a correlation table was produced comparing each water quality parameter, grouped by river, against </w:t>
      </w:r>
      <w:r>
        <w:rPr>
          <w:szCs w:val="22"/>
          <w:lang w:val="en-AU"/>
        </w:rPr>
        <w:t xml:space="preserve">river discharge and wind, looking at both longitudinal and latitudinal components. </w:t>
      </w:r>
      <w:r w:rsidR="007B5205">
        <w:rPr>
          <w:szCs w:val="22"/>
          <w:lang w:val="en-AU"/>
        </w:rPr>
        <w:t xml:space="preserve">Chlorophyll </w:t>
      </w:r>
      <w:r w:rsidR="007B5205" w:rsidRPr="004A5BF7">
        <w:rPr>
          <w:i/>
          <w:szCs w:val="22"/>
          <w:lang w:val="en-AU"/>
        </w:rPr>
        <w:t>a</w:t>
      </w:r>
      <w:r w:rsidR="007B5205">
        <w:rPr>
          <w:szCs w:val="22"/>
          <w:lang w:val="en-AU"/>
        </w:rPr>
        <w:t xml:space="preserve"> (</w:t>
      </w:r>
      <w:r>
        <w:rPr>
          <w:szCs w:val="22"/>
          <w:lang w:val="en-AU"/>
        </w:rPr>
        <w:t>Chl-a</w:t>
      </w:r>
      <w:r w:rsidR="007B5205">
        <w:rPr>
          <w:szCs w:val="22"/>
          <w:lang w:val="en-AU"/>
        </w:rPr>
        <w:t>)</w:t>
      </w:r>
      <w:r>
        <w:rPr>
          <w:szCs w:val="22"/>
          <w:lang w:val="en-AU"/>
        </w:rPr>
        <w:t xml:space="preserve"> was also included in this comparison due its importance as a water quality indicator for the GBR</w:t>
      </w:r>
      <w:r w:rsidRPr="00A13B8E">
        <w:rPr>
          <w:szCs w:val="22"/>
          <w:lang w:val="en-AU"/>
        </w:rPr>
        <w:t xml:space="preserve">. </w:t>
      </w:r>
    </w:p>
    <w:p w14:paraId="6E4BA557" w14:textId="7B8DF809" w:rsidR="00A70A01" w:rsidRDefault="00A70A01" w:rsidP="001254DC">
      <w:pPr>
        <w:rPr>
          <w:lang w:val="en-AU"/>
        </w:rPr>
      </w:pPr>
      <w:r w:rsidRPr="00A13B8E">
        <w:rPr>
          <w:szCs w:val="22"/>
          <w:lang w:val="en-AU"/>
        </w:rPr>
        <w:t>Correlations were calculated using the Spearman's rank correlation coefficient because the majority of the variables did not present normal distribution</w:t>
      </w:r>
      <w:r>
        <w:rPr>
          <w:szCs w:val="22"/>
          <w:lang w:val="en-AU"/>
        </w:rPr>
        <w:t>. The number of sampled sites and their location has varied over the sampling years, so the analysis aimed at reducing the data variability by averaging water quality parameters by transect in the analysis. For example, all values for DIN sampled in a particular day at the Tully sites were averaged and compared against the Tully River discharge and both wind components for that day.</w:t>
      </w:r>
    </w:p>
    <w:p w14:paraId="5F22EDAE" w14:textId="160C8555" w:rsidR="001254DC" w:rsidRDefault="005D1C64" w:rsidP="001254DC">
      <w:pPr>
        <w:rPr>
          <w:lang w:val="en-AU"/>
        </w:rPr>
      </w:pPr>
      <w:r>
        <w:rPr>
          <w:lang w:val="en-AU"/>
        </w:rPr>
        <w:t>Further d</w:t>
      </w:r>
      <w:r w:rsidR="00A145B6" w:rsidRPr="00A03137">
        <w:rPr>
          <w:lang w:val="en-AU"/>
        </w:rPr>
        <w:t xml:space="preserve">etail of the methods used for </w:t>
      </w:r>
      <w:r w:rsidR="00A145B6">
        <w:rPr>
          <w:lang w:val="en-AU"/>
        </w:rPr>
        <w:t xml:space="preserve">the wet season water quality analysis </w:t>
      </w:r>
      <w:r w:rsidR="00A145B6" w:rsidRPr="00A03137">
        <w:rPr>
          <w:lang w:val="en-AU"/>
        </w:rPr>
        <w:t xml:space="preserve">is </w:t>
      </w:r>
      <w:r w:rsidR="00A145B6" w:rsidRPr="005A55C3">
        <w:rPr>
          <w:lang w:val="en-AU"/>
        </w:rPr>
        <w:t>presented in Appendix</w:t>
      </w:r>
      <w:r w:rsidR="006C6F99">
        <w:rPr>
          <w:lang w:val="en-AU"/>
        </w:rPr>
        <w:t xml:space="preserve"> </w:t>
      </w:r>
      <w:r w:rsidR="006C6F99">
        <w:rPr>
          <w:lang w:val="en-AU"/>
        </w:rPr>
        <w:fldChar w:fldCharType="begin"/>
      </w:r>
      <w:r w:rsidR="006C6F99">
        <w:rPr>
          <w:lang w:val="en-AU"/>
        </w:rPr>
        <w:instrText xml:space="preserve"> REF _Ref452293679 \r \h </w:instrText>
      </w:r>
      <w:r w:rsidR="006C6F99">
        <w:rPr>
          <w:lang w:val="en-AU"/>
        </w:rPr>
      </w:r>
      <w:r w:rsidR="006C6F99">
        <w:rPr>
          <w:lang w:val="en-AU"/>
        </w:rPr>
        <w:fldChar w:fldCharType="separate"/>
      </w:r>
      <w:r w:rsidR="007F5336">
        <w:rPr>
          <w:lang w:val="en-AU"/>
        </w:rPr>
        <w:t>A1.7</w:t>
      </w:r>
      <w:r w:rsidR="006C6F99">
        <w:rPr>
          <w:lang w:val="en-AU"/>
        </w:rPr>
        <w:fldChar w:fldCharType="end"/>
      </w:r>
      <w:r w:rsidR="00FC079A" w:rsidRPr="005A55C3">
        <w:rPr>
          <w:lang w:val="en-AU"/>
        </w:rPr>
        <w:t>.</w:t>
      </w:r>
    </w:p>
    <w:p w14:paraId="5F22EDAF" w14:textId="05C5DD0C" w:rsidR="00ED6061" w:rsidRPr="00C73829" w:rsidRDefault="00ED6061" w:rsidP="00C73829">
      <w:pPr>
        <w:pStyle w:val="Heading2"/>
      </w:pPr>
      <w:bookmarkStart w:id="492" w:name="_Toc139938361"/>
      <w:bookmarkStart w:id="493" w:name="_Toc145126935"/>
      <w:bookmarkStart w:id="494" w:name="_Toc167192429"/>
      <w:r w:rsidRPr="00C73829">
        <w:tab/>
      </w:r>
      <w:bookmarkStart w:id="495" w:name="_Toc462307436"/>
      <w:r w:rsidR="00ED6CDE" w:rsidRPr="00C73829">
        <w:t>Remote-sensing based p</w:t>
      </w:r>
      <w:r w:rsidR="0038478C" w:rsidRPr="00C73829">
        <w:t>lume modelling</w:t>
      </w:r>
      <w:r w:rsidR="002D4F8D">
        <w:t xml:space="preserve">, </w:t>
      </w:r>
      <w:r w:rsidR="0038478C" w:rsidRPr="00C73829">
        <w:t>water type classification</w:t>
      </w:r>
      <w:r w:rsidR="002D4F8D">
        <w:t xml:space="preserve"> and </w:t>
      </w:r>
      <w:r w:rsidR="00624F84">
        <w:t>spatial plume risk maps</w:t>
      </w:r>
      <w:bookmarkEnd w:id="495"/>
    </w:p>
    <w:p w14:paraId="701E1A5E" w14:textId="2A4EE39B" w:rsidR="005967B9" w:rsidRDefault="001A79B9" w:rsidP="001A79B9">
      <w:pPr>
        <w:rPr>
          <w:rFonts w:eastAsia="Calibri" w:cs="Arial"/>
          <w:color w:val="000000" w:themeColor="text1"/>
          <w:lang w:val="en-AU"/>
        </w:rPr>
      </w:pPr>
      <w:r w:rsidRPr="00EE6F82">
        <w:rPr>
          <w:rFonts w:eastAsia="Calibri" w:cs="Arial"/>
          <w:color w:val="000000" w:themeColor="text1"/>
          <w:lang w:val="en-AU"/>
        </w:rPr>
        <w:t xml:space="preserve">Understanding the exposure of the GBR ecosystems and resulting changes in ecosystem health conditions is important to facilitate management of the GBR to respond to anthropogenic pressures under a changing climate. </w:t>
      </w:r>
      <w:r w:rsidRPr="003C10C4">
        <w:rPr>
          <w:color w:val="000000" w:themeColor="text1"/>
        </w:rPr>
        <w:t xml:space="preserve">The remote sensing component of the </w:t>
      </w:r>
      <w:r>
        <w:rPr>
          <w:color w:val="000000" w:themeColor="text1"/>
        </w:rPr>
        <w:t xml:space="preserve">MMP </w:t>
      </w:r>
      <w:r w:rsidRPr="003C10C4">
        <w:rPr>
          <w:color w:val="000000" w:themeColor="text1"/>
        </w:rPr>
        <w:t>wet season monitoring produce</w:t>
      </w:r>
      <w:r>
        <w:rPr>
          <w:color w:val="000000" w:themeColor="text1"/>
        </w:rPr>
        <w:t>s</w:t>
      </w:r>
      <w:r w:rsidR="00FD456B">
        <w:rPr>
          <w:color w:val="000000" w:themeColor="text1"/>
        </w:rPr>
        <w:t xml:space="preserve"> several products as illustrated in</w:t>
      </w:r>
      <w:r w:rsidR="00AB2398">
        <w:rPr>
          <w:color w:val="000000" w:themeColor="text1"/>
        </w:rPr>
        <w:t xml:space="preserve"> </w:t>
      </w:r>
      <w:r w:rsidR="00AB2398">
        <w:rPr>
          <w:color w:val="000000" w:themeColor="text1"/>
        </w:rPr>
        <w:fldChar w:fldCharType="begin"/>
      </w:r>
      <w:r w:rsidR="00AB2398">
        <w:rPr>
          <w:color w:val="000000" w:themeColor="text1"/>
        </w:rPr>
        <w:instrText xml:space="preserve"> REF _Ref452298934 \h </w:instrText>
      </w:r>
      <w:r w:rsidR="00AB2398">
        <w:rPr>
          <w:color w:val="000000" w:themeColor="text1"/>
        </w:rPr>
      </w:r>
      <w:r w:rsidR="00AB2398">
        <w:rPr>
          <w:color w:val="000000" w:themeColor="text1"/>
        </w:rPr>
        <w:fldChar w:fldCharType="separate"/>
      </w:r>
      <w:r w:rsidR="007F5336" w:rsidRPr="000A11A3">
        <w:t xml:space="preserve">Figure </w:t>
      </w:r>
      <w:r w:rsidR="007F5336">
        <w:rPr>
          <w:noProof/>
        </w:rPr>
        <w:t>4</w:t>
      </w:r>
      <w:r w:rsidR="007F5336">
        <w:noBreakHyphen/>
      </w:r>
      <w:r w:rsidR="007F5336">
        <w:rPr>
          <w:noProof/>
        </w:rPr>
        <w:t>2</w:t>
      </w:r>
      <w:r w:rsidR="00AB2398">
        <w:rPr>
          <w:color w:val="000000" w:themeColor="text1"/>
        </w:rPr>
        <w:fldChar w:fldCharType="end"/>
      </w:r>
      <w:r w:rsidR="00FD456B">
        <w:rPr>
          <w:color w:val="000000" w:themeColor="text1"/>
        </w:rPr>
        <w:t xml:space="preserve">, including </w:t>
      </w:r>
      <w:r w:rsidRPr="003C10C4">
        <w:rPr>
          <w:color w:val="000000" w:themeColor="text1"/>
        </w:rPr>
        <w:t>maps of river plume</w:t>
      </w:r>
      <w:r>
        <w:rPr>
          <w:color w:val="000000" w:themeColor="text1"/>
        </w:rPr>
        <w:t xml:space="preserve"> extent</w:t>
      </w:r>
      <w:r w:rsidR="00FD456B">
        <w:rPr>
          <w:color w:val="000000" w:themeColor="text1"/>
        </w:rPr>
        <w:t>, frequency of occurrence</w:t>
      </w:r>
      <w:r>
        <w:rPr>
          <w:color w:val="000000" w:themeColor="text1"/>
        </w:rPr>
        <w:t xml:space="preserve"> and </w:t>
      </w:r>
      <w:r w:rsidR="00FD456B">
        <w:rPr>
          <w:color w:val="000000" w:themeColor="text1"/>
        </w:rPr>
        <w:t xml:space="preserve">water type </w:t>
      </w:r>
      <w:r>
        <w:rPr>
          <w:color w:val="000000" w:themeColor="text1"/>
        </w:rPr>
        <w:t>classification</w:t>
      </w:r>
      <w:r w:rsidRPr="003C10C4">
        <w:rPr>
          <w:color w:val="000000" w:themeColor="text1"/>
        </w:rPr>
        <w:t xml:space="preserve">, </w:t>
      </w:r>
      <w:r w:rsidR="00FD456B">
        <w:rPr>
          <w:color w:val="000000" w:themeColor="text1"/>
        </w:rPr>
        <w:t xml:space="preserve">and </w:t>
      </w:r>
      <w:r w:rsidRPr="003C10C4">
        <w:rPr>
          <w:color w:val="000000" w:themeColor="text1"/>
        </w:rPr>
        <w:t>models that summari</w:t>
      </w:r>
      <w:r>
        <w:rPr>
          <w:color w:val="000000" w:themeColor="text1"/>
        </w:rPr>
        <w:t>s</w:t>
      </w:r>
      <w:r w:rsidRPr="003C10C4">
        <w:rPr>
          <w:color w:val="000000" w:themeColor="text1"/>
        </w:rPr>
        <w:t xml:space="preserve">e </w:t>
      </w:r>
      <w:r w:rsidR="00E17547" w:rsidRPr="003C10C4">
        <w:rPr>
          <w:color w:val="000000" w:themeColor="text1"/>
        </w:rPr>
        <w:t xml:space="preserve">transport </w:t>
      </w:r>
      <w:r w:rsidR="00E17547">
        <w:rPr>
          <w:color w:val="000000" w:themeColor="text1"/>
        </w:rPr>
        <w:t xml:space="preserve">of </w:t>
      </w:r>
      <w:r w:rsidRPr="003C10C4">
        <w:rPr>
          <w:color w:val="000000" w:themeColor="text1"/>
        </w:rPr>
        <w:t xml:space="preserve">land-sourced contaminants </w:t>
      </w:r>
      <w:r>
        <w:rPr>
          <w:color w:val="000000" w:themeColor="text1"/>
        </w:rPr>
        <w:t xml:space="preserve">and </w:t>
      </w:r>
      <w:r w:rsidRPr="003C10C4">
        <w:rPr>
          <w:color w:val="000000" w:themeColor="text1"/>
        </w:rPr>
        <w:t xml:space="preserve">describe </w:t>
      </w:r>
      <w:r>
        <w:rPr>
          <w:color w:val="000000" w:themeColor="text1"/>
        </w:rPr>
        <w:t>water quality</w:t>
      </w:r>
      <w:r w:rsidRPr="003C10C4">
        <w:rPr>
          <w:color w:val="000000" w:themeColor="text1"/>
        </w:rPr>
        <w:t xml:space="preserve"> concentrations within wet season conditions</w:t>
      </w:r>
      <w:r>
        <w:rPr>
          <w:color w:val="000000" w:themeColor="text1"/>
        </w:rPr>
        <w:t xml:space="preserve">. A product that </w:t>
      </w:r>
      <w:r w:rsidRPr="003C10C4">
        <w:rPr>
          <w:color w:val="000000" w:themeColor="text1"/>
        </w:rPr>
        <w:t>integrate</w:t>
      </w:r>
      <w:r>
        <w:rPr>
          <w:color w:val="000000" w:themeColor="text1"/>
        </w:rPr>
        <w:t>s</w:t>
      </w:r>
      <w:r w:rsidRPr="003C10C4">
        <w:rPr>
          <w:color w:val="000000" w:themeColor="text1"/>
        </w:rPr>
        <w:t xml:space="preserve"> these methods in</w:t>
      </w:r>
      <w:r>
        <w:rPr>
          <w:color w:val="000000" w:themeColor="text1"/>
        </w:rPr>
        <w:t>to a</w:t>
      </w:r>
      <w:r w:rsidRPr="003C10C4">
        <w:rPr>
          <w:color w:val="000000" w:themeColor="text1"/>
        </w:rPr>
        <w:t xml:space="preserve"> single risk assessment framework </w:t>
      </w:r>
      <w:r>
        <w:rPr>
          <w:color w:val="000000" w:themeColor="text1"/>
        </w:rPr>
        <w:t xml:space="preserve">is presented </w:t>
      </w:r>
      <w:r w:rsidR="00624F84">
        <w:rPr>
          <w:color w:val="000000" w:themeColor="text1"/>
        </w:rPr>
        <w:t xml:space="preserve">(and detailed </w:t>
      </w:r>
      <w:r>
        <w:rPr>
          <w:color w:val="000000" w:themeColor="text1"/>
        </w:rPr>
        <w:t>as a case study in</w:t>
      </w:r>
      <w:r w:rsidR="009C0725">
        <w:rPr>
          <w:color w:val="000000" w:themeColor="text1"/>
        </w:rPr>
        <w:t xml:space="preserve"> Section </w:t>
      </w:r>
      <w:r w:rsidR="009C0725">
        <w:rPr>
          <w:color w:val="000000" w:themeColor="text1"/>
        </w:rPr>
        <w:fldChar w:fldCharType="begin"/>
      </w:r>
      <w:r w:rsidR="009C0725">
        <w:rPr>
          <w:color w:val="000000" w:themeColor="text1"/>
        </w:rPr>
        <w:instrText xml:space="preserve"> REF _Ref459146417 \r \h </w:instrText>
      </w:r>
      <w:r w:rsidR="009C0725">
        <w:rPr>
          <w:color w:val="000000" w:themeColor="text1"/>
        </w:rPr>
      </w:r>
      <w:r w:rsidR="009C0725">
        <w:rPr>
          <w:color w:val="000000" w:themeColor="text1"/>
        </w:rPr>
        <w:fldChar w:fldCharType="separate"/>
      </w:r>
      <w:r w:rsidR="007F5336">
        <w:rPr>
          <w:color w:val="000000" w:themeColor="text1"/>
        </w:rPr>
        <w:t>8</w:t>
      </w:r>
      <w:r w:rsidR="009C0725">
        <w:rPr>
          <w:color w:val="000000" w:themeColor="text1"/>
        </w:rPr>
        <w:fldChar w:fldCharType="end"/>
      </w:r>
      <w:r w:rsidR="00624F84">
        <w:rPr>
          <w:color w:val="000000" w:themeColor="text1"/>
        </w:rPr>
        <w:t>)</w:t>
      </w:r>
      <w:r>
        <w:rPr>
          <w:color w:val="000000" w:themeColor="text1"/>
        </w:rPr>
        <w:t xml:space="preserve">, which could be used as a </w:t>
      </w:r>
      <w:r>
        <w:rPr>
          <w:rFonts w:eastAsia="Calibri" w:cs="Arial"/>
          <w:color w:val="000000" w:themeColor="text1"/>
          <w:lang w:val="en-AU"/>
        </w:rPr>
        <w:t>future routine reporting product for the MMP</w:t>
      </w:r>
      <w:r w:rsidRPr="003C10C4">
        <w:rPr>
          <w:color w:val="000000" w:themeColor="text1"/>
        </w:rPr>
        <w:t xml:space="preserve"> to evaluate the susceptibility of GBR key ecosystems to </w:t>
      </w:r>
      <w:r w:rsidR="00F64563" w:rsidRPr="003C10C4">
        <w:rPr>
          <w:color w:val="000000" w:themeColor="text1"/>
        </w:rPr>
        <w:t xml:space="preserve">exposure </w:t>
      </w:r>
      <w:r w:rsidR="00F64563">
        <w:rPr>
          <w:color w:val="000000" w:themeColor="text1"/>
        </w:rPr>
        <w:t xml:space="preserve">to </w:t>
      </w:r>
      <w:r w:rsidRPr="003C10C4">
        <w:rPr>
          <w:color w:val="000000" w:themeColor="text1"/>
        </w:rPr>
        <w:t>river plume</w:t>
      </w:r>
      <w:r w:rsidR="00F64563">
        <w:rPr>
          <w:color w:val="000000" w:themeColor="text1"/>
        </w:rPr>
        <w:t xml:space="preserve">s and </w:t>
      </w:r>
      <w:r w:rsidRPr="003C10C4">
        <w:rPr>
          <w:color w:val="000000" w:themeColor="text1"/>
        </w:rPr>
        <w:t>pollutants</w:t>
      </w:r>
      <w:r w:rsidR="00F64563">
        <w:rPr>
          <w:color w:val="000000" w:themeColor="text1"/>
        </w:rPr>
        <w:t>.</w:t>
      </w:r>
      <w:r w:rsidRPr="003C10C4">
        <w:rPr>
          <w:color w:val="000000" w:themeColor="text1"/>
        </w:rPr>
        <w:t xml:space="preserve"> </w:t>
      </w:r>
      <w:r w:rsidR="00E17547">
        <w:rPr>
          <w:rFonts w:eastAsia="Calibri" w:cs="Arial"/>
          <w:color w:val="000000" w:themeColor="text1"/>
          <w:lang w:val="en-AU"/>
        </w:rPr>
        <w:t xml:space="preserve"> </w:t>
      </w:r>
    </w:p>
    <w:p w14:paraId="117D64ED" w14:textId="1B14D175" w:rsidR="004C7514" w:rsidRDefault="004C7514" w:rsidP="002A7F39">
      <w:r>
        <w:rPr>
          <w:noProof/>
          <w:lang w:val="en-AU" w:eastAsia="en-AU"/>
        </w:rPr>
        <w:drawing>
          <wp:anchor distT="0" distB="0" distL="114300" distR="114300" simplePos="0" relativeHeight="251644416" behindDoc="0" locked="0" layoutInCell="1" allowOverlap="1" wp14:anchorId="534B84BC" wp14:editId="35ECDE01">
            <wp:simplePos x="0" y="0"/>
            <wp:positionH relativeFrom="column">
              <wp:posOffset>99060</wp:posOffset>
            </wp:positionH>
            <wp:positionV relativeFrom="paragraph">
              <wp:posOffset>232410</wp:posOffset>
            </wp:positionV>
            <wp:extent cx="5650230" cy="6497955"/>
            <wp:effectExtent l="0" t="0" r="7620" b="0"/>
            <wp:wrapTopAndBottom/>
            <wp:docPr id="42" name="Picture 42" descr="Graphics showing maps that summarise descriptions of the wet season water quality products derived from remote sensing information in the MMP: river plume frequency maps, plume water type maps, surface load maps, spatial risk maps." title="Figure 4 2: Summary description of the wet season water quality products derived from remote sensing information in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9">
                      <a:extLst>
                        <a:ext uri="{28A0092B-C50C-407E-A947-70E740481C1C}">
                          <a14:useLocalDpi xmlns:a14="http://schemas.microsoft.com/office/drawing/2010/main" val="0"/>
                        </a:ext>
                      </a:extLst>
                    </a:blip>
                    <a:srcRect b="1089"/>
                    <a:stretch/>
                  </pic:blipFill>
                  <pic:spPr bwMode="auto">
                    <a:xfrm>
                      <a:off x="0" y="0"/>
                      <a:ext cx="5650230" cy="64979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91F6574" w14:textId="56198D4D" w:rsidR="004C7514" w:rsidRPr="000A11A3" w:rsidRDefault="004C7514" w:rsidP="00164E5E">
      <w:pPr>
        <w:pStyle w:val="Caption"/>
      </w:pPr>
      <w:bookmarkStart w:id="496" w:name="_Ref452298934"/>
      <w:bookmarkStart w:id="497" w:name="_Toc459332355"/>
      <w:r w:rsidRPr="000A11A3">
        <w:t xml:space="preserve">Figure </w:t>
      </w:r>
      <w:r w:rsidR="00C62884">
        <w:fldChar w:fldCharType="begin"/>
      </w:r>
      <w:r w:rsidR="00C62884">
        <w:instrText xml:space="preserve"> STYLEREF 1 \s </w:instrText>
      </w:r>
      <w:r w:rsidR="00C62884">
        <w:fldChar w:fldCharType="separate"/>
      </w:r>
      <w:r w:rsidR="007F5336">
        <w:rPr>
          <w:noProof/>
        </w:rPr>
        <w:t>4</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2</w:t>
      </w:r>
      <w:r w:rsidR="00C62884">
        <w:fldChar w:fldCharType="end"/>
      </w:r>
      <w:bookmarkEnd w:id="496"/>
      <w:r w:rsidR="009C0725">
        <w:t>:</w:t>
      </w:r>
      <w:r w:rsidRPr="000A11A3">
        <w:t xml:space="preserve"> Summary description of the wet season water quality products derived from remote sensing information in the MMP.</w:t>
      </w:r>
      <w:bookmarkEnd w:id="497"/>
    </w:p>
    <w:p w14:paraId="1F9F66B2" w14:textId="606DE7DF" w:rsidR="005967B9" w:rsidRDefault="005967B9" w:rsidP="000A11A3">
      <w:pPr>
        <w:rPr>
          <w:rFonts w:eastAsia="Calibri"/>
          <w:lang w:val="en-AU"/>
        </w:rPr>
      </w:pPr>
    </w:p>
    <w:p w14:paraId="6865F2E9" w14:textId="77777777" w:rsidR="005967B9" w:rsidRDefault="005967B9" w:rsidP="004A5BF7">
      <w:r>
        <w:rPr>
          <w:noProof/>
          <w:lang w:val="en-AU" w:eastAsia="en-AU"/>
        </w:rPr>
        <w:drawing>
          <wp:anchor distT="0" distB="0" distL="114300" distR="114300" simplePos="0" relativeHeight="251645440" behindDoc="0" locked="0" layoutInCell="1" allowOverlap="1" wp14:anchorId="41B844BB" wp14:editId="00C644D9">
            <wp:simplePos x="0" y="0"/>
            <wp:positionH relativeFrom="column">
              <wp:posOffset>3810</wp:posOffset>
            </wp:positionH>
            <wp:positionV relativeFrom="paragraph">
              <wp:posOffset>0</wp:posOffset>
            </wp:positionV>
            <wp:extent cx="5076825" cy="4163060"/>
            <wp:effectExtent l="0" t="0" r="9525" b="8890"/>
            <wp:wrapTopAndBottom/>
            <wp:docPr id="41" name="Picture 41" descr="conceptual scheme of the risk framework proposed in Petus et al. (201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2.tif"/>
                    <pic:cNvPicPr/>
                  </pic:nvPicPr>
                  <pic:blipFill rotWithShape="1">
                    <a:blip r:embed="rId300" cstate="print">
                      <a:extLst>
                        <a:ext uri="{28A0092B-C50C-407E-A947-70E740481C1C}">
                          <a14:useLocalDpi xmlns:a14="http://schemas.microsoft.com/office/drawing/2010/main" val="0"/>
                        </a:ext>
                      </a:extLst>
                    </a:blip>
                    <a:srcRect t="4774" b="1507"/>
                    <a:stretch/>
                  </pic:blipFill>
                  <pic:spPr bwMode="auto">
                    <a:xfrm>
                      <a:off x="0" y="0"/>
                      <a:ext cx="5076825" cy="41630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A24BC6C" w14:textId="5A049DFE" w:rsidR="005967B9" w:rsidRPr="000A11A3" w:rsidRDefault="005967B9" w:rsidP="00164E5E">
      <w:pPr>
        <w:pStyle w:val="Caption"/>
      </w:pPr>
      <w:bookmarkStart w:id="498" w:name="_Ref452298775"/>
      <w:bookmarkStart w:id="499" w:name="_Ref452298977"/>
      <w:bookmarkStart w:id="500" w:name="_Toc443300202"/>
      <w:bookmarkStart w:id="501" w:name="_Toc459332356"/>
      <w:r w:rsidRPr="000A11A3">
        <w:t xml:space="preserve">Figure </w:t>
      </w:r>
      <w:r w:rsidR="00C62884">
        <w:fldChar w:fldCharType="begin"/>
      </w:r>
      <w:r w:rsidR="00C62884">
        <w:instrText xml:space="preserve"> STYLEREF 1 \s </w:instrText>
      </w:r>
      <w:r w:rsidR="00C62884">
        <w:fldChar w:fldCharType="separate"/>
      </w:r>
      <w:r w:rsidR="007F5336">
        <w:rPr>
          <w:noProof/>
        </w:rPr>
        <w:t>4</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3</w:t>
      </w:r>
      <w:r w:rsidR="00C62884">
        <w:fldChar w:fldCharType="end"/>
      </w:r>
      <w:bookmarkEnd w:id="498"/>
      <w:bookmarkEnd w:id="499"/>
      <w:r w:rsidRPr="000A11A3">
        <w:t>: Conceptual scheme of the risk framework proposed in Petus et al. (2014a) used for developing the spatial risk maps.</w:t>
      </w:r>
      <w:bookmarkEnd w:id="500"/>
      <w:bookmarkEnd w:id="501"/>
    </w:p>
    <w:p w14:paraId="717164DE" w14:textId="13FCFBD8" w:rsidR="004C7514" w:rsidRPr="00933636" w:rsidRDefault="004C7514" w:rsidP="000A11A3">
      <w:r w:rsidRPr="00933636">
        <w:t>In the GBR river plume risk framework, the ‘risk’ corresponds to an exposure to land-sourced pollutants concentrated in river plume waters (</w:t>
      </w:r>
      <w:r>
        <w:fldChar w:fldCharType="begin"/>
      </w:r>
      <w:r>
        <w:instrText xml:space="preserve"> REF _Ref452298977 \h </w:instrText>
      </w:r>
      <w:r>
        <w:fldChar w:fldCharType="separate"/>
      </w:r>
      <w:r w:rsidR="007F5336" w:rsidRPr="000A11A3">
        <w:t xml:space="preserve">Figure </w:t>
      </w:r>
      <w:r w:rsidR="007F5336">
        <w:rPr>
          <w:noProof/>
        </w:rPr>
        <w:t>4</w:t>
      </w:r>
      <w:r w:rsidR="007F5336">
        <w:noBreakHyphen/>
      </w:r>
      <w:r w:rsidR="007F5336">
        <w:rPr>
          <w:noProof/>
        </w:rPr>
        <w:t>3</w:t>
      </w:r>
      <w:r>
        <w:fldChar w:fldCharType="end"/>
      </w:r>
      <w:r w:rsidRPr="00933636">
        <w:t xml:space="preserve">). </w:t>
      </w:r>
      <w:r>
        <w:t>T</w:t>
      </w:r>
      <w:r w:rsidRPr="00933636">
        <w:t>his report focuse</w:t>
      </w:r>
      <w:r>
        <w:t>s</w:t>
      </w:r>
      <w:r w:rsidRPr="00933636">
        <w:t xml:space="preserve"> on the TSS, DIN, </w:t>
      </w:r>
      <w:r w:rsidR="00F64563">
        <w:t>dissolved inorganic phosphorus (DIP)</w:t>
      </w:r>
      <w:r w:rsidRPr="00933636">
        <w:t xml:space="preserve"> and Diuron concentrations, as well as on the light levels (K</w:t>
      </w:r>
      <w:r w:rsidRPr="00933636">
        <w:rPr>
          <w:vertAlign w:val="subscript"/>
        </w:rPr>
        <w:t>d</w:t>
      </w:r>
      <w:r w:rsidRPr="00933636">
        <w:t xml:space="preserve">(PAR)) measured in plume waters. ‘The magnitude of the risk’ correspond to the intensity quantified as concentration, level or load of pollutant discharged through the river plume and mapped through the Primary, Secondary, Tertiary </w:t>
      </w:r>
      <w:r w:rsidR="00F64563">
        <w:t xml:space="preserve">plume </w:t>
      </w:r>
      <w:r w:rsidRPr="00933636">
        <w:t>water types. The ‘likelihood of the risk’ can be estimated by calculating the frequency of occurrence of river plumes or specific plume water type</w:t>
      </w:r>
      <w:r w:rsidRPr="00933636">
        <w:rPr>
          <w:bCs/>
        </w:rPr>
        <w:t>. The potential risk from river plume exposure for GBR ecosystems is finally ranked (I to IV) assuming that ecological consequences will increase linearly with the pollutant concentrations and frequency of river plume exposure</w:t>
      </w:r>
      <w:r w:rsidR="00A70A01">
        <w:rPr>
          <w:bCs/>
        </w:rPr>
        <w:t xml:space="preserve">. </w:t>
      </w:r>
      <w:r w:rsidR="00A70A01">
        <w:rPr>
          <w:bCs/>
          <w:lang w:val="en-AU"/>
        </w:rPr>
        <w:t xml:space="preserve">The potential risk categories are then </w:t>
      </w:r>
      <w:r w:rsidR="00A70A01" w:rsidRPr="001E4D3D">
        <w:rPr>
          <w:bCs/>
          <w:lang w:val="en-AU"/>
        </w:rPr>
        <w:t>a combination of the plume frequency (</w:t>
      </w:r>
      <w:r w:rsidR="00A70A01">
        <w:rPr>
          <w:bCs/>
          <w:lang w:val="en-AU"/>
        </w:rPr>
        <w:t>five</w:t>
      </w:r>
      <w:r w:rsidR="00A70A01" w:rsidRPr="001E4D3D">
        <w:rPr>
          <w:bCs/>
          <w:lang w:val="en-AU"/>
        </w:rPr>
        <w:t xml:space="preserve"> categories: 0-0.2, 0.2-0.4, 0.4-0.6, </w:t>
      </w:r>
      <w:r w:rsidR="00F64563">
        <w:rPr>
          <w:bCs/>
          <w:lang w:val="en-AU"/>
        </w:rPr>
        <w:t>0.6-0.8, 0.8-</w:t>
      </w:r>
      <w:r w:rsidR="00A70A01" w:rsidRPr="001E4D3D">
        <w:rPr>
          <w:bCs/>
          <w:lang w:val="en-AU"/>
        </w:rPr>
        <w:t>1) and plume water type (3 categories: Primary, Secondary and Tertiary)</w:t>
      </w:r>
      <w:r w:rsidR="00A70A01">
        <w:rPr>
          <w:bCs/>
          <w:lang w:val="en-AU"/>
        </w:rPr>
        <w:t xml:space="preserve"> based on the risk matrix modified from Castillo et al. (</w:t>
      </w:r>
      <w:r w:rsidR="00A70A01" w:rsidRPr="001E4D3D">
        <w:rPr>
          <w:bCs/>
          <w:lang w:val="en-AU"/>
        </w:rPr>
        <w:t>2012</w:t>
      </w:r>
      <w:r w:rsidR="00A70A01">
        <w:rPr>
          <w:bCs/>
          <w:lang w:val="en-AU"/>
        </w:rPr>
        <w:t>)</w:t>
      </w:r>
      <w:r w:rsidRPr="00933636">
        <w:rPr>
          <w:bCs/>
        </w:rPr>
        <w:t xml:space="preserve"> (</w:t>
      </w:r>
      <w:r w:rsidR="00AB2398">
        <w:rPr>
          <w:bCs/>
        </w:rPr>
        <w:fldChar w:fldCharType="begin"/>
      </w:r>
      <w:r w:rsidR="00AB2398">
        <w:rPr>
          <w:bCs/>
        </w:rPr>
        <w:instrText xml:space="preserve"> REF _Ref459146548 \h </w:instrText>
      </w:r>
      <w:r w:rsidR="00AB2398">
        <w:rPr>
          <w:bCs/>
        </w:rPr>
      </w:r>
      <w:r w:rsidR="00AB2398">
        <w:rPr>
          <w:bCs/>
        </w:rPr>
        <w:fldChar w:fldCharType="separate"/>
      </w:r>
      <w:r w:rsidR="007F5336" w:rsidRPr="005F45DD">
        <w:t xml:space="preserve">Figure </w:t>
      </w:r>
      <w:r w:rsidR="007F5336">
        <w:rPr>
          <w:noProof/>
        </w:rPr>
        <w:t>4</w:t>
      </w:r>
      <w:r w:rsidR="007F5336">
        <w:noBreakHyphen/>
      </w:r>
      <w:r w:rsidR="007F5336">
        <w:rPr>
          <w:noProof/>
        </w:rPr>
        <w:t>4</w:t>
      </w:r>
      <w:r w:rsidR="00AB2398">
        <w:rPr>
          <w:bCs/>
        </w:rPr>
        <w:fldChar w:fldCharType="end"/>
      </w:r>
      <w:r w:rsidRPr="00933636">
        <w:rPr>
          <w:bCs/>
        </w:rPr>
        <w:t>).</w:t>
      </w:r>
      <w:r w:rsidR="00A70A01">
        <w:rPr>
          <w:bCs/>
        </w:rPr>
        <w:t xml:space="preserve"> </w:t>
      </w:r>
    </w:p>
    <w:p w14:paraId="7E5BE575" w14:textId="0D0B0B13" w:rsidR="009C0725" w:rsidRDefault="00E17547" w:rsidP="000A11A3">
      <w:r>
        <w:rPr>
          <w:rFonts w:eastAsia="Calibri" w:cs="Arial"/>
          <w:color w:val="000000" w:themeColor="text1"/>
          <w:lang w:val="en-AU"/>
        </w:rPr>
        <w:t>The</w:t>
      </w:r>
      <w:r w:rsidR="005967B9">
        <w:rPr>
          <w:rFonts w:eastAsia="Calibri" w:cs="Arial"/>
          <w:color w:val="000000" w:themeColor="text1"/>
          <w:lang w:val="en-AU"/>
        </w:rPr>
        <w:t xml:space="preserve"> methods for these products </w:t>
      </w:r>
      <w:r>
        <w:rPr>
          <w:rFonts w:eastAsia="Calibri" w:cs="Arial"/>
          <w:color w:val="000000" w:themeColor="text1"/>
          <w:lang w:val="en-AU"/>
        </w:rPr>
        <w:t xml:space="preserve">are all described in further detail in Appendix </w:t>
      </w:r>
      <w:r>
        <w:rPr>
          <w:rFonts w:eastAsia="Calibri" w:cs="Arial"/>
          <w:color w:val="000000" w:themeColor="text1"/>
          <w:lang w:val="en-AU"/>
        </w:rPr>
        <w:fldChar w:fldCharType="begin"/>
      </w:r>
      <w:r>
        <w:rPr>
          <w:rFonts w:eastAsia="Calibri" w:cs="Arial"/>
          <w:color w:val="000000" w:themeColor="text1"/>
          <w:lang w:val="en-AU"/>
        </w:rPr>
        <w:instrText xml:space="preserve"> REF _Ref452293679 \r \h </w:instrText>
      </w:r>
      <w:r>
        <w:rPr>
          <w:rFonts w:eastAsia="Calibri" w:cs="Arial"/>
          <w:color w:val="000000" w:themeColor="text1"/>
          <w:lang w:val="en-AU"/>
        </w:rPr>
      </w:r>
      <w:r>
        <w:rPr>
          <w:rFonts w:eastAsia="Calibri" w:cs="Arial"/>
          <w:color w:val="000000" w:themeColor="text1"/>
          <w:lang w:val="en-AU"/>
        </w:rPr>
        <w:fldChar w:fldCharType="separate"/>
      </w:r>
      <w:r w:rsidR="007F5336">
        <w:rPr>
          <w:rFonts w:eastAsia="Calibri" w:cs="Arial"/>
          <w:color w:val="000000" w:themeColor="text1"/>
          <w:lang w:val="en-AU"/>
        </w:rPr>
        <w:t>A1.7</w:t>
      </w:r>
      <w:r>
        <w:rPr>
          <w:rFonts w:eastAsia="Calibri" w:cs="Arial"/>
          <w:color w:val="000000" w:themeColor="text1"/>
          <w:lang w:val="en-AU"/>
        </w:rPr>
        <w:fldChar w:fldCharType="end"/>
      </w:r>
      <w:r>
        <w:rPr>
          <w:rFonts w:eastAsia="Calibri" w:cs="Arial"/>
          <w:color w:val="000000" w:themeColor="text1"/>
          <w:lang w:val="en-AU"/>
        </w:rPr>
        <w:t xml:space="preserve">, </w:t>
      </w:r>
      <w:r>
        <w:rPr>
          <w:rFonts w:eastAsia="Calibri" w:cs="Arial"/>
          <w:color w:val="000000" w:themeColor="text1"/>
          <w:lang w:val="en-AU"/>
        </w:rPr>
        <w:fldChar w:fldCharType="begin"/>
      </w:r>
      <w:r>
        <w:rPr>
          <w:rFonts w:eastAsia="Calibri" w:cs="Arial"/>
          <w:color w:val="000000" w:themeColor="text1"/>
          <w:lang w:val="en-AU"/>
        </w:rPr>
        <w:instrText xml:space="preserve"> REF _Ref452293692 \r \h </w:instrText>
      </w:r>
      <w:r>
        <w:rPr>
          <w:rFonts w:eastAsia="Calibri" w:cs="Arial"/>
          <w:color w:val="000000" w:themeColor="text1"/>
          <w:lang w:val="en-AU"/>
        </w:rPr>
      </w:r>
      <w:r>
        <w:rPr>
          <w:rFonts w:eastAsia="Calibri" w:cs="Arial"/>
          <w:color w:val="000000" w:themeColor="text1"/>
          <w:lang w:val="en-AU"/>
        </w:rPr>
        <w:fldChar w:fldCharType="separate"/>
      </w:r>
      <w:r w:rsidR="007F5336">
        <w:rPr>
          <w:rFonts w:eastAsia="Calibri" w:cs="Arial"/>
          <w:color w:val="000000" w:themeColor="text1"/>
          <w:lang w:val="en-AU"/>
        </w:rPr>
        <w:t>A1.8</w:t>
      </w:r>
      <w:r>
        <w:rPr>
          <w:rFonts w:eastAsia="Calibri" w:cs="Arial"/>
          <w:color w:val="000000" w:themeColor="text1"/>
          <w:lang w:val="en-AU"/>
        </w:rPr>
        <w:fldChar w:fldCharType="end"/>
      </w:r>
      <w:r>
        <w:rPr>
          <w:rFonts w:eastAsia="Calibri" w:cs="Arial"/>
          <w:color w:val="000000" w:themeColor="text1"/>
          <w:lang w:val="en-AU"/>
        </w:rPr>
        <w:t xml:space="preserve">, </w:t>
      </w:r>
      <w:r>
        <w:rPr>
          <w:rFonts w:eastAsia="Calibri" w:cs="Arial"/>
          <w:color w:val="000000" w:themeColor="text1"/>
          <w:lang w:val="en-AU"/>
        </w:rPr>
        <w:fldChar w:fldCharType="begin"/>
      </w:r>
      <w:r>
        <w:rPr>
          <w:rFonts w:eastAsia="Calibri" w:cs="Arial"/>
          <w:color w:val="000000" w:themeColor="text1"/>
          <w:lang w:val="en-AU"/>
        </w:rPr>
        <w:instrText xml:space="preserve"> REF _Ref452293698 \r \h </w:instrText>
      </w:r>
      <w:r>
        <w:rPr>
          <w:rFonts w:eastAsia="Calibri" w:cs="Arial"/>
          <w:color w:val="000000" w:themeColor="text1"/>
          <w:lang w:val="en-AU"/>
        </w:rPr>
      </w:r>
      <w:r>
        <w:rPr>
          <w:rFonts w:eastAsia="Calibri" w:cs="Arial"/>
          <w:color w:val="000000" w:themeColor="text1"/>
          <w:lang w:val="en-AU"/>
        </w:rPr>
        <w:fldChar w:fldCharType="separate"/>
      </w:r>
      <w:r w:rsidR="007F5336">
        <w:rPr>
          <w:rFonts w:eastAsia="Calibri" w:cs="Arial"/>
          <w:color w:val="000000" w:themeColor="text1"/>
          <w:lang w:val="en-AU"/>
        </w:rPr>
        <w:t>A1.9</w:t>
      </w:r>
      <w:r>
        <w:rPr>
          <w:rFonts w:eastAsia="Calibri" w:cs="Arial"/>
          <w:color w:val="000000" w:themeColor="text1"/>
          <w:lang w:val="en-AU"/>
        </w:rPr>
        <w:fldChar w:fldCharType="end"/>
      </w:r>
      <w:r>
        <w:rPr>
          <w:rFonts w:eastAsia="Calibri" w:cs="Arial"/>
          <w:color w:val="000000" w:themeColor="text1"/>
          <w:lang w:val="en-AU"/>
        </w:rPr>
        <w:t xml:space="preserve"> and </w:t>
      </w:r>
      <w:r>
        <w:rPr>
          <w:rFonts w:eastAsia="Calibri" w:cs="Arial"/>
          <w:color w:val="000000" w:themeColor="text1"/>
          <w:lang w:val="en-AU"/>
        </w:rPr>
        <w:fldChar w:fldCharType="begin"/>
      </w:r>
      <w:r>
        <w:rPr>
          <w:rFonts w:eastAsia="Calibri" w:cs="Arial"/>
          <w:color w:val="000000" w:themeColor="text1"/>
          <w:lang w:val="en-AU"/>
        </w:rPr>
        <w:instrText xml:space="preserve"> REF _Ref452293704 \r \h </w:instrText>
      </w:r>
      <w:r>
        <w:rPr>
          <w:rFonts w:eastAsia="Calibri" w:cs="Arial"/>
          <w:color w:val="000000" w:themeColor="text1"/>
          <w:lang w:val="en-AU"/>
        </w:rPr>
      </w:r>
      <w:r>
        <w:rPr>
          <w:rFonts w:eastAsia="Calibri" w:cs="Arial"/>
          <w:color w:val="000000" w:themeColor="text1"/>
          <w:lang w:val="en-AU"/>
        </w:rPr>
        <w:fldChar w:fldCharType="separate"/>
      </w:r>
      <w:r w:rsidR="007F5336">
        <w:rPr>
          <w:rFonts w:eastAsia="Calibri" w:cs="Arial"/>
          <w:color w:val="000000" w:themeColor="text1"/>
          <w:lang w:val="en-AU"/>
        </w:rPr>
        <w:t>A1.11</w:t>
      </w:r>
      <w:r>
        <w:rPr>
          <w:rFonts w:eastAsia="Calibri" w:cs="Arial"/>
          <w:color w:val="000000" w:themeColor="text1"/>
          <w:lang w:val="en-AU"/>
        </w:rPr>
        <w:fldChar w:fldCharType="end"/>
      </w:r>
      <w:r>
        <w:rPr>
          <w:rFonts w:eastAsia="Calibri" w:cs="Arial"/>
          <w:color w:val="000000" w:themeColor="text1"/>
          <w:lang w:val="en-AU"/>
        </w:rPr>
        <w:t>.</w:t>
      </w:r>
    </w:p>
    <w:p w14:paraId="600E2DB3" w14:textId="77777777" w:rsidR="009C0725" w:rsidRDefault="009C0725" w:rsidP="000A11A3"/>
    <w:p w14:paraId="48C1B416" w14:textId="4EF4870C" w:rsidR="009C0725" w:rsidRPr="002615B8" w:rsidRDefault="009C0725" w:rsidP="009C0725">
      <w:pPr>
        <w:rPr>
          <w:sz w:val="16"/>
          <w:szCs w:val="16"/>
          <w:lang w:val="en-US"/>
        </w:rPr>
      </w:pPr>
      <w:r w:rsidRPr="003013E9">
        <w:rPr>
          <w:noProof/>
          <w:lang w:val="en-AU" w:eastAsia="en-AU"/>
        </w:rPr>
        <w:drawing>
          <wp:anchor distT="0" distB="0" distL="114300" distR="114300" simplePos="0" relativeHeight="251671040" behindDoc="0" locked="0" layoutInCell="1" allowOverlap="1" wp14:anchorId="40193F12" wp14:editId="3C0626E0">
            <wp:simplePos x="0" y="0"/>
            <wp:positionH relativeFrom="column">
              <wp:posOffset>1073785</wp:posOffset>
            </wp:positionH>
            <wp:positionV relativeFrom="paragraph">
              <wp:posOffset>213360</wp:posOffset>
            </wp:positionV>
            <wp:extent cx="3048000" cy="2071370"/>
            <wp:effectExtent l="0" t="0" r="0" b="5080"/>
            <wp:wrapTopAndBottom/>
            <wp:docPr id="7219" name="Picture 7219" descr="Risk matrix in function of the magnitude and the likelihood of the river plume risk. Risk categories I, II, III, IV (modified from Petus et al., 2014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1" cstate="print">
                      <a:extLst>
                        <a:ext uri="{28A0092B-C50C-407E-A947-70E740481C1C}">
                          <a14:useLocalDpi xmlns:a14="http://schemas.microsoft.com/office/drawing/2010/main" val="0"/>
                        </a:ext>
                      </a:extLst>
                    </a:blip>
                    <a:srcRect/>
                    <a:stretch>
                      <a:fillRect/>
                    </a:stretch>
                  </pic:blipFill>
                  <pic:spPr bwMode="auto">
                    <a:xfrm>
                      <a:off x="0" y="0"/>
                      <a:ext cx="3048000" cy="2071370"/>
                    </a:xfrm>
                    <a:prstGeom prst="rect">
                      <a:avLst/>
                    </a:prstGeom>
                    <a:noFill/>
                  </pic:spPr>
                </pic:pic>
              </a:graphicData>
            </a:graphic>
            <wp14:sizeRelH relativeFrom="page">
              <wp14:pctWidth>0</wp14:pctWidth>
            </wp14:sizeRelH>
            <wp14:sizeRelV relativeFrom="page">
              <wp14:pctHeight>0</wp14:pctHeight>
            </wp14:sizeRelV>
          </wp:anchor>
        </w:drawing>
      </w:r>
    </w:p>
    <w:p w14:paraId="4A26978B" w14:textId="750278E2" w:rsidR="009C0725" w:rsidRPr="005F45DD" w:rsidRDefault="009C0725" w:rsidP="009C0725">
      <w:pPr>
        <w:pStyle w:val="Caption"/>
        <w:rPr>
          <w:b/>
        </w:rPr>
      </w:pPr>
      <w:bookmarkStart w:id="502" w:name="_Ref459146548"/>
      <w:bookmarkStart w:id="503" w:name="_Toc459332357"/>
      <w:r w:rsidRPr="005F45DD">
        <w:t xml:space="preserve">Figure </w:t>
      </w:r>
      <w:r w:rsidR="00C62884">
        <w:fldChar w:fldCharType="begin"/>
      </w:r>
      <w:r w:rsidR="00C62884">
        <w:instrText xml:space="preserve"> STYLEREF 1 \s </w:instrText>
      </w:r>
      <w:r w:rsidR="00C62884">
        <w:fldChar w:fldCharType="separate"/>
      </w:r>
      <w:r w:rsidR="007F5336">
        <w:rPr>
          <w:noProof/>
        </w:rPr>
        <w:t>4</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4</w:t>
      </w:r>
      <w:r w:rsidR="00C62884">
        <w:fldChar w:fldCharType="end"/>
      </w:r>
      <w:bookmarkEnd w:id="502"/>
      <w:r w:rsidRPr="005F45DD">
        <w:t>:  Risk matrix i</w:t>
      </w:r>
      <w:r w:rsidR="00CB0A16">
        <w:t xml:space="preserve">s a </w:t>
      </w:r>
      <w:r w:rsidRPr="005F45DD">
        <w:t>function of the magnitude and the likelihood of the river plume risk. Risk categories I, II, III, IV (</w:t>
      </w:r>
      <w:r>
        <w:t>reproduced</w:t>
      </w:r>
      <w:r w:rsidRPr="005F45DD">
        <w:t xml:space="preserve"> from Petus et al., 2014</w:t>
      </w:r>
      <w:r>
        <w:t>b</w:t>
      </w:r>
      <w:r w:rsidRPr="005F45DD">
        <w:t>).</w:t>
      </w:r>
      <w:bookmarkEnd w:id="503"/>
    </w:p>
    <w:p w14:paraId="0429BDFE" w14:textId="77777777" w:rsidR="006C0640" w:rsidRPr="00A13B8E" w:rsidRDefault="006C0640" w:rsidP="006C0640">
      <w:pPr>
        <w:pStyle w:val="Heading2"/>
      </w:pPr>
      <w:bookmarkStart w:id="504" w:name="_Toc459158345"/>
      <w:bookmarkStart w:id="505" w:name="_Toc459158618"/>
      <w:bookmarkStart w:id="506" w:name="_Toc459158892"/>
      <w:bookmarkStart w:id="507" w:name="_Toc459209891"/>
      <w:bookmarkStart w:id="508" w:name="_Toc459329017"/>
      <w:bookmarkStart w:id="509" w:name="_Toc459329376"/>
      <w:bookmarkStart w:id="510" w:name="_Toc459329737"/>
      <w:bookmarkStart w:id="511" w:name="_Toc459330097"/>
      <w:bookmarkStart w:id="512" w:name="_Toc459330457"/>
      <w:bookmarkStart w:id="513" w:name="_Toc459330817"/>
      <w:bookmarkStart w:id="514" w:name="_Toc459331177"/>
      <w:bookmarkStart w:id="515" w:name="_Toc459331537"/>
      <w:bookmarkStart w:id="516" w:name="_Toc459331897"/>
      <w:bookmarkStart w:id="517" w:name="_Toc459158347"/>
      <w:bookmarkStart w:id="518" w:name="_Toc459158620"/>
      <w:bookmarkStart w:id="519" w:name="_Toc459158894"/>
      <w:bookmarkStart w:id="520" w:name="_Toc459209893"/>
      <w:bookmarkStart w:id="521" w:name="_Toc459329019"/>
      <w:bookmarkStart w:id="522" w:name="_Toc459329378"/>
      <w:bookmarkStart w:id="523" w:name="_Toc459329739"/>
      <w:bookmarkStart w:id="524" w:name="_Toc459330099"/>
      <w:bookmarkStart w:id="525" w:name="_Toc459330459"/>
      <w:bookmarkStart w:id="526" w:name="_Toc459330819"/>
      <w:bookmarkStart w:id="527" w:name="_Toc459331179"/>
      <w:bookmarkStart w:id="528" w:name="_Toc459331539"/>
      <w:bookmarkStart w:id="529" w:name="_Toc459331899"/>
      <w:bookmarkStart w:id="530" w:name="_Toc459158348"/>
      <w:bookmarkStart w:id="531" w:name="_Toc459158621"/>
      <w:bookmarkStart w:id="532" w:name="_Toc459158895"/>
      <w:bookmarkStart w:id="533" w:name="_Toc459209894"/>
      <w:bookmarkStart w:id="534" w:name="_Toc459329020"/>
      <w:bookmarkStart w:id="535" w:name="_Toc459329379"/>
      <w:bookmarkStart w:id="536" w:name="_Toc459329740"/>
      <w:bookmarkStart w:id="537" w:name="_Toc459330100"/>
      <w:bookmarkStart w:id="538" w:name="_Toc459330460"/>
      <w:bookmarkStart w:id="539" w:name="_Toc459330820"/>
      <w:bookmarkStart w:id="540" w:name="_Toc459331180"/>
      <w:bookmarkStart w:id="541" w:name="_Toc459331540"/>
      <w:bookmarkStart w:id="542" w:name="_Toc459331900"/>
      <w:bookmarkStart w:id="543" w:name="_Toc459158349"/>
      <w:bookmarkStart w:id="544" w:name="_Toc459158622"/>
      <w:bookmarkStart w:id="545" w:name="_Toc459158896"/>
      <w:bookmarkStart w:id="546" w:name="_Toc459209895"/>
      <w:bookmarkStart w:id="547" w:name="_Toc459329021"/>
      <w:bookmarkStart w:id="548" w:name="_Toc459329380"/>
      <w:bookmarkStart w:id="549" w:name="_Toc459329741"/>
      <w:bookmarkStart w:id="550" w:name="_Toc459330101"/>
      <w:bookmarkStart w:id="551" w:name="_Toc459330461"/>
      <w:bookmarkStart w:id="552" w:name="_Toc459330821"/>
      <w:bookmarkStart w:id="553" w:name="_Toc459331181"/>
      <w:bookmarkStart w:id="554" w:name="_Toc459331541"/>
      <w:bookmarkStart w:id="555" w:name="_Toc459331901"/>
      <w:bookmarkStart w:id="556" w:name="_Toc459158351"/>
      <w:bookmarkStart w:id="557" w:name="_Toc459158624"/>
      <w:bookmarkStart w:id="558" w:name="_Toc459158898"/>
      <w:bookmarkStart w:id="559" w:name="_Toc459209897"/>
      <w:bookmarkStart w:id="560" w:name="_Toc459329023"/>
      <w:bookmarkStart w:id="561" w:name="_Toc459329382"/>
      <w:bookmarkStart w:id="562" w:name="_Toc459329743"/>
      <w:bookmarkStart w:id="563" w:name="_Toc459330103"/>
      <w:bookmarkStart w:id="564" w:name="_Toc459330463"/>
      <w:bookmarkStart w:id="565" w:name="_Toc459330823"/>
      <w:bookmarkStart w:id="566" w:name="_Toc459331183"/>
      <w:bookmarkStart w:id="567" w:name="_Toc459331543"/>
      <w:bookmarkStart w:id="568" w:name="_Toc459331903"/>
      <w:bookmarkStart w:id="569" w:name="_Toc459158352"/>
      <w:bookmarkStart w:id="570" w:name="_Toc459158625"/>
      <w:bookmarkStart w:id="571" w:name="_Toc459158899"/>
      <w:bookmarkStart w:id="572" w:name="_Toc459209898"/>
      <w:bookmarkStart w:id="573" w:name="_Toc459329024"/>
      <w:bookmarkStart w:id="574" w:name="_Toc459329383"/>
      <w:bookmarkStart w:id="575" w:name="_Toc459329744"/>
      <w:bookmarkStart w:id="576" w:name="_Toc459330104"/>
      <w:bookmarkStart w:id="577" w:name="_Toc459330464"/>
      <w:bookmarkStart w:id="578" w:name="_Toc459330824"/>
      <w:bookmarkStart w:id="579" w:name="_Toc459331184"/>
      <w:bookmarkStart w:id="580" w:name="_Toc459331544"/>
      <w:bookmarkStart w:id="581" w:name="_Toc459331904"/>
      <w:bookmarkStart w:id="582" w:name="_Toc459158353"/>
      <w:bookmarkStart w:id="583" w:name="_Toc459158626"/>
      <w:bookmarkStart w:id="584" w:name="_Toc459158900"/>
      <w:bookmarkStart w:id="585" w:name="_Toc459209899"/>
      <w:bookmarkStart w:id="586" w:name="_Toc459329025"/>
      <w:bookmarkStart w:id="587" w:name="_Toc459329384"/>
      <w:bookmarkStart w:id="588" w:name="_Toc459329745"/>
      <w:bookmarkStart w:id="589" w:name="_Toc459330105"/>
      <w:bookmarkStart w:id="590" w:name="_Toc459330465"/>
      <w:bookmarkStart w:id="591" w:name="_Toc459330825"/>
      <w:bookmarkStart w:id="592" w:name="_Toc459331185"/>
      <w:bookmarkStart w:id="593" w:name="_Toc459331545"/>
      <w:bookmarkStart w:id="594" w:name="_Toc459331905"/>
      <w:bookmarkStart w:id="595" w:name="_Toc459158356"/>
      <w:bookmarkStart w:id="596" w:name="_Toc459158629"/>
      <w:bookmarkStart w:id="597" w:name="_Toc459158903"/>
      <w:bookmarkStart w:id="598" w:name="_Toc459209902"/>
      <w:bookmarkStart w:id="599" w:name="_Toc459329028"/>
      <w:bookmarkStart w:id="600" w:name="_Toc459329387"/>
      <w:bookmarkStart w:id="601" w:name="_Toc459329748"/>
      <w:bookmarkStart w:id="602" w:name="_Toc459330108"/>
      <w:bookmarkStart w:id="603" w:name="_Toc459330468"/>
      <w:bookmarkStart w:id="604" w:name="_Toc459330828"/>
      <w:bookmarkStart w:id="605" w:name="_Toc459331188"/>
      <w:bookmarkStart w:id="606" w:name="_Toc459331548"/>
      <w:bookmarkStart w:id="607" w:name="_Toc459331908"/>
      <w:bookmarkStart w:id="608" w:name="_Toc453593495"/>
      <w:bookmarkStart w:id="609" w:name="_Toc462307437"/>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r w:rsidRPr="00A13B8E">
        <w:t>Load mapping</w:t>
      </w:r>
      <w:bookmarkEnd w:id="608"/>
      <w:bookmarkEnd w:id="609"/>
    </w:p>
    <w:p w14:paraId="506A7CDC" w14:textId="5A91C050" w:rsidR="006C0640" w:rsidRPr="00883BEF" w:rsidRDefault="006C0640" w:rsidP="006C0640">
      <w:pPr>
        <w:rPr>
          <w:rFonts w:cs="Arial"/>
          <w:szCs w:val="22"/>
          <w:lang w:val="en-AU"/>
        </w:rPr>
      </w:pPr>
      <w:r w:rsidRPr="004E5061">
        <w:rPr>
          <w:rFonts w:cs="Arial"/>
          <w:szCs w:val="22"/>
          <w:lang w:val="en-AU"/>
        </w:rPr>
        <w:t>An ocean colour based model has been under development to estimate the dispersion of DIN (</w:t>
      </w:r>
      <m:oMath>
        <m:r>
          <m:rPr>
            <m:sty m:val="p"/>
          </m:rPr>
          <w:rPr>
            <w:rFonts w:ascii="Cambria Math" w:hAnsi="Cambria Math" w:cs="Arial"/>
            <w:szCs w:val="22"/>
            <w:lang w:val="en-AU"/>
          </w:rPr>
          <m:t>DIN</m:t>
        </m:r>
        <m:r>
          <w:rPr>
            <w:rFonts w:ascii="Cambria Math" w:hAnsi="Cambria Math" w:cs="Arial"/>
            <w:szCs w:val="22"/>
            <w:lang w:val="en-AU"/>
          </w:rPr>
          <m:t>=</m:t>
        </m:r>
        <m:sSubSup>
          <m:sSubSupPr>
            <m:ctrlPr>
              <w:rPr>
                <w:rFonts w:ascii="Cambria Math" w:hAnsi="Cambria Math" w:cs="Arial"/>
                <w:szCs w:val="22"/>
                <w:lang w:val="en-AU"/>
              </w:rPr>
            </m:ctrlPr>
          </m:sSubSupPr>
          <m:e>
            <m:r>
              <m:rPr>
                <m:nor/>
              </m:rPr>
              <w:rPr>
                <w:rFonts w:cs="Arial"/>
                <w:szCs w:val="22"/>
                <w:lang w:val="en-AU"/>
              </w:rPr>
              <m:t>NH</m:t>
            </m:r>
          </m:e>
          <m:sub>
            <m:r>
              <m:rPr>
                <m:nor/>
              </m:rPr>
              <w:rPr>
                <w:rFonts w:cs="Arial"/>
                <w:szCs w:val="22"/>
                <w:lang w:val="en-AU"/>
              </w:rPr>
              <m:t>4</m:t>
            </m:r>
          </m:sub>
          <m:sup>
            <m:r>
              <m:rPr>
                <m:nor/>
              </m:rPr>
              <w:rPr>
                <w:rFonts w:cs="Arial"/>
                <w:szCs w:val="22"/>
                <w:lang w:val="en-AU"/>
              </w:rPr>
              <m:t>+</m:t>
            </m:r>
          </m:sup>
        </m:sSubSup>
        <m:r>
          <m:rPr>
            <m:nor/>
          </m:rPr>
          <w:rPr>
            <w:rFonts w:cs="Arial"/>
            <w:szCs w:val="22"/>
            <w:lang w:val="en-AU"/>
          </w:rPr>
          <m:t>+</m:t>
        </m:r>
        <m:sSubSup>
          <m:sSubSupPr>
            <m:ctrlPr>
              <w:rPr>
                <w:rFonts w:ascii="Cambria Math" w:hAnsi="Cambria Math" w:cs="Arial"/>
                <w:szCs w:val="22"/>
                <w:lang w:val="en-AU"/>
              </w:rPr>
            </m:ctrlPr>
          </m:sSubSupPr>
          <m:e>
            <m:r>
              <m:rPr>
                <m:nor/>
              </m:rPr>
              <w:rPr>
                <w:rFonts w:cs="Arial"/>
                <w:szCs w:val="22"/>
                <w:lang w:val="en-AU"/>
              </w:rPr>
              <m:t>NO</m:t>
            </m:r>
          </m:e>
          <m:sub>
            <m:r>
              <m:rPr>
                <m:nor/>
              </m:rPr>
              <w:rPr>
                <w:rFonts w:cs="Arial"/>
                <w:szCs w:val="22"/>
                <w:lang w:val="en-AU"/>
              </w:rPr>
              <m:t>2</m:t>
            </m:r>
          </m:sub>
          <m:sup>
            <m:r>
              <m:rPr>
                <m:nor/>
              </m:rPr>
              <w:rPr>
                <w:rFonts w:cs="Arial"/>
                <w:szCs w:val="22"/>
                <w:lang w:val="en-AU"/>
              </w:rPr>
              <m:t>-</m:t>
            </m:r>
          </m:sup>
        </m:sSubSup>
        <m:r>
          <m:rPr>
            <m:nor/>
          </m:rPr>
          <w:rPr>
            <w:rFonts w:cs="Arial"/>
            <w:szCs w:val="22"/>
            <w:lang w:val="en-AU"/>
          </w:rPr>
          <m:t>+</m:t>
        </m:r>
        <m:sSubSup>
          <m:sSubSupPr>
            <m:ctrlPr>
              <w:rPr>
                <w:rFonts w:ascii="Cambria Math" w:hAnsi="Cambria Math" w:cs="Arial"/>
                <w:szCs w:val="22"/>
                <w:lang w:val="en-AU"/>
              </w:rPr>
            </m:ctrlPr>
          </m:sSubSupPr>
          <m:e>
            <m:r>
              <m:rPr>
                <m:nor/>
              </m:rPr>
              <w:rPr>
                <w:rFonts w:cs="Arial"/>
                <w:szCs w:val="22"/>
                <w:lang w:val="en-AU"/>
              </w:rPr>
              <m:t>NO</m:t>
            </m:r>
          </m:e>
          <m:sub>
            <m:r>
              <m:rPr>
                <m:nor/>
              </m:rPr>
              <w:rPr>
                <w:rFonts w:cs="Arial"/>
                <w:szCs w:val="22"/>
                <w:lang w:val="en-AU"/>
              </w:rPr>
              <m:t>3</m:t>
            </m:r>
          </m:sub>
          <m:sup>
            <m:r>
              <m:rPr>
                <m:nor/>
              </m:rPr>
              <w:rPr>
                <w:rFonts w:cs="Arial"/>
                <w:szCs w:val="22"/>
                <w:lang w:val="en-AU"/>
              </w:rPr>
              <m:t>-</m:t>
            </m:r>
          </m:sup>
        </m:sSubSup>
      </m:oMath>
      <w:r w:rsidRPr="004E5061">
        <w:rPr>
          <w:rFonts w:cs="Arial"/>
          <w:szCs w:val="22"/>
          <w:lang w:val="en-AU"/>
        </w:rPr>
        <w:t xml:space="preserve">) delivered by river plumes to GBR waters </w:t>
      </w:r>
      <w:r w:rsidRPr="004E5061">
        <w:rPr>
          <w:rFonts w:cs="Arial"/>
          <w:szCs w:val="22"/>
          <w:lang w:val="en-AU"/>
        </w:rPr>
        <w:fldChar w:fldCharType="begin"/>
      </w:r>
      <w:r w:rsidRPr="004E5061">
        <w:rPr>
          <w:rFonts w:cs="Arial"/>
          <w:szCs w:val="22"/>
          <w:lang w:val="en-AU"/>
        </w:rPr>
        <w:instrText xml:space="preserve"> ADDIN ZOTERO_ITEM CSL_CITATION {"citationID":"11ococrpg9","properties":{"formattedCitation":"(da Silva et al., in prep.)","plainCitation":"(da Silva et al., in prep.)"},"citationItems":[{"id":261,"uris":["http://zotero.org/users/2324349/items/9UZKV4N9"],"uri":["http://zotero.org/users/2324349/items/9UZKV4N9"],"itemData":{"id":261,"type":"article-journal","title":"Mapping the Superficial Dispersion of Land-sourced Nitrogen in the Great Barrier Reef Marine Park: an Ocean Color Based Approach.","author":[{"family":"Silva","given":"Eduardo Teixeira","non-dropping-particle":"da"},{"family":"Mark","given":"Baird"},{"family":"Dieter","given":"Tracey"},{"family":"Devlin","given":"Michelle"},{"family":"Wolff","given":"Nicholas"},{"family":"Lewis","given":"Stephen"},{"family":"Petus","given":"Caroline"},{"family":"Brodie","given":"J."}],"issued":{"literal":"in prep."}}}],"schema":"https://github.com/citation-style-language/schema/raw/master/csl-citation.json"} </w:instrText>
      </w:r>
      <w:r w:rsidRPr="004E5061">
        <w:rPr>
          <w:rFonts w:cs="Arial"/>
          <w:szCs w:val="22"/>
          <w:lang w:val="en-AU"/>
        </w:rPr>
        <w:fldChar w:fldCharType="separate"/>
      </w:r>
      <w:r w:rsidRPr="004E5061">
        <w:rPr>
          <w:rFonts w:cs="Arial"/>
          <w:szCs w:val="22"/>
          <w:lang w:val="en-AU"/>
        </w:rPr>
        <w:t>(da Silva et al., in prep.)</w:t>
      </w:r>
      <w:r w:rsidRPr="004E5061">
        <w:rPr>
          <w:rFonts w:cs="Arial"/>
          <w:szCs w:val="22"/>
          <w:lang w:val="en-AU"/>
        </w:rPr>
        <w:fldChar w:fldCharType="end"/>
      </w:r>
      <w:r w:rsidRPr="004E5061">
        <w:rPr>
          <w:rFonts w:cs="Arial"/>
          <w:szCs w:val="22"/>
          <w:lang w:val="en-AU"/>
        </w:rPr>
        <w:t xml:space="preserve">. This model, built on Álvarez-Romero et al. </w:t>
      </w:r>
      <w:r w:rsidRPr="004E5061">
        <w:rPr>
          <w:rFonts w:cs="Arial"/>
          <w:szCs w:val="22"/>
          <w:lang w:val="en-AU"/>
        </w:rPr>
        <w:fldChar w:fldCharType="begin"/>
      </w:r>
      <w:r w:rsidRPr="004E5061">
        <w:rPr>
          <w:rFonts w:cs="Arial"/>
          <w:szCs w:val="22"/>
          <w:lang w:val="en-AU"/>
        </w:rPr>
        <w:instrText xml:space="preserve"> ADDIN ZOTERO_ITEM CSL_CITATION {"citationID":"Jg0INjCJ","properties":{"formattedCitation":"(2013)","plainCitation":"(2013)"},"citationItems":[{"id":1,"uris":["http://zotero.org/users/2324349/items/TQTS3DE2"],"uri":["http://zotero.org/users/2324349/items/TQTS3DE2"],"itemData":{"id":1,"type":"article-journal","title":"A novel approach to model exposure of coastal-marine ecosystems to riverine flood plumes based on remote sensing techniques","container-title":"Journal of Environmental Management","page":"194-207","volume":"119","source":"ScienceDirect","abstract":"Increased loads of land-based pollutants are a major threat to coastal-marine ecosystems. Identifying the affected marine areas and the scale of influence on ecosystems is critical to assess the impacts of degraded water quality and to inform planning for catchment management and marine conservation. Studies using remotely-sensed data have contributed to our understanding of the occurrence and influence of river plumes, and to our ability to assess exposure of marine ecosystems to land-based pollutants. However, refinement of plume modeling techniques is required to improve risk assessments. We developed a novel, complementary, approach to model exposure of coastal-marine ecosystems to land-based pollutants. We used supervised classification of MODIS-Aqua true-color satellite imagery to map the extent of plumes and to qualitatively assess the dispersal of pollutants in plumes. We used the Great Barrier Reef (GBR), the world's largest coral reef system, to test our approach. We combined frequency of plume occurrence with spatially distributed loads (based on a cost-distance function) to create maps of exposure to suspended sediment and dissolved inorganic nitrogen. We then compared annual exposure maps (2007–2011) to assess inter-annual variability in the exposure of coral reefs and seagrass beds to these pollutants. We found this method useful to map plumes and qualitatively assess exposure to land-based pollutants. We observed inter-annual variation in exposure of ecosystems to pollutants in the GBR, stressing the need to incorporate a temporal component into plume exposure/risk models. Our study contributes to our understanding of plume spatial–temporal dynamics of the GBR and offers a method that can also be applied to monitor exposure of coastal-marine ecosystems to plumes and explore their ecological influences.","DOI":"10.1016/j.jenvman.2013.01.036","ISSN":"0301-4797","journalAbbreviation":"Journal of Environmental Management","author":[{"family":"Álvarez-Romero","given":"Jorge G."},{"family":"Devlin","given":"Michelle"},{"family":"Teixeira da Silva","given":"Eduardo"},{"family":"Petus","given":"Caroline"},{"family":"Ban","given":"Natalie C."},{"family":"Pressey","given":"Robert L."},{"family":"Kool","given":"Johnathan"},{"family":"Roberts","given":"Jason J."},{"family":"Cerdeira-Estrada","given":"Sergio"},{"family":"Wenger","given":"Amelia S."},{"family":"Brodie","given":"Jon"}],"issued":{"date-parts":[["2013",4,15]]}},"suppress-author":true}],"schema":"https://github.com/citation-style-language/schema/raw/master/csl-citation.json"} </w:instrText>
      </w:r>
      <w:r w:rsidRPr="004E5061">
        <w:rPr>
          <w:rFonts w:cs="Arial"/>
          <w:szCs w:val="22"/>
          <w:lang w:val="en-AU"/>
        </w:rPr>
        <w:fldChar w:fldCharType="separate"/>
      </w:r>
      <w:r w:rsidRPr="004E5061">
        <w:rPr>
          <w:rFonts w:cs="Arial"/>
          <w:szCs w:val="22"/>
          <w:lang w:val="en-AU"/>
        </w:rPr>
        <w:t>(2013)</w:t>
      </w:r>
      <w:r w:rsidRPr="004E5061">
        <w:rPr>
          <w:rFonts w:cs="Arial"/>
          <w:szCs w:val="22"/>
          <w:lang w:val="en-AU"/>
        </w:rPr>
        <w:fldChar w:fldCharType="end"/>
      </w:r>
      <w:r w:rsidRPr="004E5061">
        <w:rPr>
          <w:rFonts w:cs="Arial"/>
          <w:szCs w:val="22"/>
          <w:lang w:val="en-AU"/>
        </w:rPr>
        <w:t>, combines in-situ data, Moderate Resolution Imaging Spectroradiometer (MODIS satellite) imagery and modelled annual end-of-catchment DIN loads from the GBR catchments. In the model, monitored end-of-catchment DIN loads provide the amount of DIN delivered to</w:t>
      </w:r>
      <w:r w:rsidRPr="00883BEF">
        <w:rPr>
          <w:rFonts w:cs="Arial"/>
          <w:szCs w:val="22"/>
          <w:lang w:val="en-AU"/>
        </w:rPr>
        <w:t xml:space="preserve"> the GBR, in-situ data provides the DIN mass in river plumes, and satellite imagery provides the direction and intensity of DIN mass dispersed over the GBR lagoon. </w:t>
      </w:r>
      <w:r w:rsidR="00F64563">
        <w:rPr>
          <w:rFonts w:cs="Arial"/>
          <w:szCs w:val="22"/>
          <w:lang w:val="en-AU"/>
        </w:rPr>
        <w:t xml:space="preserve">The eReefs hydrodynamic model also provides an estimate of the boundary of plume extent in the wet season. </w:t>
      </w:r>
      <w:r w:rsidRPr="00883BEF">
        <w:rPr>
          <w:rFonts w:cs="Arial"/>
          <w:szCs w:val="22"/>
          <w:lang w:val="en-AU"/>
        </w:rPr>
        <w:t xml:space="preserve">This model produces annual maps of average DIN concentration in the GBR waters. Maps are in a raster format, which is a spatial data model that defines space as an array of equally sized cells arranged in rows and columns </w:t>
      </w:r>
      <w:r w:rsidRPr="00883BEF">
        <w:rPr>
          <w:rFonts w:cs="Arial"/>
          <w:szCs w:val="22"/>
          <w:lang w:val="en-AU"/>
        </w:rPr>
        <w:fldChar w:fldCharType="begin"/>
      </w:r>
      <w:r w:rsidRPr="00883BEF">
        <w:rPr>
          <w:rFonts w:cs="Arial"/>
          <w:szCs w:val="22"/>
          <w:lang w:val="en-AU"/>
        </w:rPr>
        <w:instrText xml:space="preserve"> ADDIN ZOTERO_ITEM CSL_CITATION {"citationID":"5n324pK4","properties":{"formattedCitation":"(ArcMap Spatial Analyst, ESRI, 2010)","plainCitation":"(ArcMap Spatial Analyst, ESRI, 2010)"},"citationItems":[{"id":44,"uris":["http://zotero.org/users/2324349/items/R9RFNZI2"],"uri":["http://zotero.org/users/2324349/items/R9RFNZI2"],"itemData":{"id":44,"type":"book","title":"ArcGIS 10.0. Environmental Systems Research Institute (ESRI)","publisher-place":"Redlands, CA.","event-place":"Redlands, CA.","author":[{"family":"ESRI","given":""}],"issued":{"date-parts":[["2010"]]}},"prefix":"ArcMap Spatial Analyst, "}],"schema":"https://github.com/citation-style-language/schema/raw/master/csl-citation.json"} </w:instrText>
      </w:r>
      <w:r w:rsidRPr="00883BEF">
        <w:rPr>
          <w:rFonts w:cs="Arial"/>
          <w:szCs w:val="22"/>
          <w:lang w:val="en-AU"/>
        </w:rPr>
        <w:fldChar w:fldCharType="separate"/>
      </w:r>
      <w:r w:rsidRPr="00883BEF">
        <w:rPr>
          <w:rFonts w:cs="Arial"/>
          <w:szCs w:val="22"/>
          <w:lang w:val="en-AU"/>
        </w:rPr>
        <w:t>(ESRI, 2010)</w:t>
      </w:r>
      <w:r w:rsidRPr="00883BEF">
        <w:rPr>
          <w:rFonts w:cs="Arial"/>
          <w:szCs w:val="22"/>
          <w:lang w:val="en-AU"/>
        </w:rPr>
        <w:fldChar w:fldCharType="end"/>
      </w:r>
      <w:r w:rsidRPr="00883BEF">
        <w:rPr>
          <w:rFonts w:cs="Arial"/>
          <w:szCs w:val="22"/>
          <w:lang w:val="en-AU"/>
        </w:rPr>
        <w:t>.</w:t>
      </w:r>
    </w:p>
    <w:p w14:paraId="2044D79E" w14:textId="1710DE89" w:rsidR="006C0640" w:rsidRPr="00883BEF" w:rsidRDefault="006C0640" w:rsidP="006C0640">
      <w:pPr>
        <w:rPr>
          <w:rFonts w:cs="Arial"/>
          <w:szCs w:val="22"/>
          <w:lang w:val="en-AU"/>
        </w:rPr>
      </w:pPr>
      <w:r w:rsidRPr="00883BEF">
        <w:rPr>
          <w:rFonts w:cs="Arial"/>
          <w:szCs w:val="22"/>
          <w:lang w:val="en-AU"/>
        </w:rPr>
        <w:t xml:space="preserve">The main modifications applied to the method presented in </w:t>
      </w:r>
      <w:r w:rsidRPr="00883BEF">
        <w:rPr>
          <w:rFonts w:cs="Arial"/>
          <w:szCs w:val="22"/>
          <w:lang w:val="en-AU"/>
        </w:rPr>
        <w:fldChar w:fldCharType="begin"/>
      </w:r>
      <w:r w:rsidRPr="00883BEF">
        <w:rPr>
          <w:rFonts w:cs="Arial"/>
          <w:szCs w:val="22"/>
          <w:lang w:val="en-AU"/>
        </w:rPr>
        <w:instrText xml:space="preserve"> ADDIN EN.CITE &lt;EndNote&gt;&lt;Cite AuthorYear="1"&gt;&lt;Author&gt;Álvarez-Romero&lt;/Author&gt;&lt;Year&gt;2013&lt;/Year&gt;&lt;RecNum&gt;1084&lt;/RecNum&gt;&lt;DisplayText&gt;Álvarez-Romero et al. (2013)&lt;/DisplayText&gt;&lt;record&gt;&lt;rec-number&gt;1084&lt;/rec-number&gt;&lt;foreign-keys&gt;&lt;key app="EN" db-id="tsw9ppz0wtsernexad8pdrfqzrvpraxppard"&gt;1084&lt;/key&gt;&lt;/foreign-keys&gt;&lt;ref-type name="Journal Article"&gt;17&lt;/ref-type&gt;&lt;contributors&gt;&lt;authors&gt;&lt;author&gt;Álvarez-Romero, Jorge G.&lt;/author&gt;&lt;author&gt;Devlin, Michelle&lt;/author&gt;&lt;author&gt;Teixeira da Silva, Eduardo&lt;/author&gt;&lt;author&gt;Petus, Caroline&lt;/author&gt;&lt;author&gt;Ban, Natalie C.&lt;/author&gt;&lt;author&gt;Pressey, Robert L.&lt;/author&gt;&lt;author&gt;Kool, Johnathan&lt;/author&gt;&lt;author&gt;Roberts, Jason J.&lt;/author&gt;&lt;author&gt;Cerdeira-Estrada, Sergio&lt;/author&gt;&lt;author&gt;Wenger, Amelia S.&lt;/author&gt;&lt;author&gt;Brodie, Jon&lt;/author&gt;&lt;/authors&gt;&lt;/contributors&gt;&lt;titles&gt;&lt;title&gt;A novel approach to model exposure of coastal-marine ecosystems to riverine flood plumes based on remote sensing techniques&lt;/title&gt;&lt;secondary-title&gt;Journal of Environmental Management&lt;/secondary-title&gt;&lt;/titles&gt;&lt;periodical&gt;&lt;full-title&gt;Journal of Environmental Management&lt;/full-title&gt;&lt;/periodical&gt;&lt;pages&gt;194-207&lt;/pages&gt;&lt;volume&gt;119&lt;/volume&gt;&lt;number&gt;0&lt;/number&gt;&lt;keywords&gt;&lt;keyword&gt;Marine spatial planning&lt;/keyword&gt;&lt;keyword&gt;River plume&lt;/keyword&gt;&lt;keyword&gt;Flood plume&lt;/keyword&gt;&lt;keyword&gt;Land-based pollution&lt;/keyword&gt;&lt;keyword&gt;Marine water quality&lt;/keyword&gt;&lt;keyword&gt;Marine conservation&lt;/keyword&gt;&lt;/keywords&gt;&lt;dates&gt;&lt;year&gt;2013&lt;/year&gt;&lt;pub-dates&gt;&lt;date&gt;4/15/&lt;/date&gt;&lt;/pub-dates&gt;&lt;/dates&gt;&lt;isbn&gt;0301-4797&lt;/isbn&gt;&lt;urls&gt;&lt;related-urls&gt;&lt;url&gt;http://www.sciencedirect.com/science/article/pii/S0301479713000789&lt;/url&gt;&lt;/related-urls&gt;&lt;/urls&gt;&lt;electronic-resource-num&gt;http://dx.doi.org/10.1016/j.jenvman.2013.01.036&lt;/electronic-resource-num&gt;&lt;/record&gt;&lt;/Cite&gt;&lt;/EndNote&gt;</w:instrText>
      </w:r>
      <w:r w:rsidRPr="00883BEF">
        <w:rPr>
          <w:rFonts w:cs="Arial"/>
          <w:szCs w:val="22"/>
          <w:lang w:val="en-AU"/>
        </w:rPr>
        <w:fldChar w:fldCharType="separate"/>
      </w:r>
      <w:hyperlink w:anchor="_ENREF_1" w:tooltip="Álvarez-Romero, 2013 #1084" w:history="1">
        <w:r w:rsidRPr="00883BEF">
          <w:rPr>
            <w:rFonts w:cs="Arial"/>
            <w:noProof/>
            <w:szCs w:val="22"/>
            <w:lang w:val="en-AU"/>
          </w:rPr>
          <w:t>Álvarez-Romero et al. (2013</w:t>
        </w:r>
      </w:hyperlink>
      <w:r w:rsidRPr="00883BEF">
        <w:rPr>
          <w:rFonts w:cs="Arial"/>
          <w:noProof/>
          <w:szCs w:val="22"/>
          <w:lang w:val="en-AU"/>
        </w:rPr>
        <w:t>)</w:t>
      </w:r>
      <w:r w:rsidRPr="00883BEF">
        <w:rPr>
          <w:rFonts w:cs="Arial"/>
          <w:szCs w:val="22"/>
          <w:lang w:val="en-AU"/>
        </w:rPr>
        <w:fldChar w:fldCharType="end"/>
      </w:r>
      <w:r w:rsidRPr="00883BEF">
        <w:rPr>
          <w:rFonts w:cs="Arial"/>
          <w:szCs w:val="22"/>
          <w:lang w:val="en-AU"/>
        </w:rPr>
        <w:t xml:space="preserve"> are: the qualitative assessment of pollutant dispersion in river plumes is replaced by a relationship between </w:t>
      </w:r>
      <w:r w:rsidRPr="00883BEF">
        <w:rPr>
          <w:rFonts w:cs="Arial"/>
          <w:i/>
          <w:szCs w:val="22"/>
          <w:lang w:val="en-AU"/>
        </w:rPr>
        <w:t>in-situ</w:t>
      </w:r>
      <w:r w:rsidRPr="00883BEF">
        <w:rPr>
          <w:rFonts w:cs="Arial"/>
          <w:szCs w:val="22"/>
          <w:lang w:val="en-AU"/>
        </w:rPr>
        <w:t xml:space="preserve"> DIN mass and the six colour classes in the river plume maps; the cost-distance function used in </w:t>
      </w:r>
      <w:r w:rsidRPr="00883BEF">
        <w:rPr>
          <w:rFonts w:cs="Arial"/>
          <w:szCs w:val="22"/>
          <w:lang w:val="en-AU"/>
        </w:rPr>
        <w:fldChar w:fldCharType="begin"/>
      </w:r>
      <w:r w:rsidRPr="00883BEF">
        <w:rPr>
          <w:rFonts w:cs="Arial"/>
          <w:szCs w:val="22"/>
          <w:lang w:val="en-AU"/>
        </w:rPr>
        <w:instrText xml:space="preserve"> ADDIN EN.CITE &lt;EndNote&gt;&lt;Cite AuthorYear="1"&gt;&lt;Author&gt;Álvarez-Romero&lt;/Author&gt;&lt;Year&gt;2013&lt;/Year&gt;&lt;RecNum&gt;1084&lt;/RecNum&gt;&lt;DisplayText&gt;Álvarez-Romero et al. (2013)&lt;/DisplayText&gt;&lt;record&gt;&lt;rec-number&gt;1084&lt;/rec-number&gt;&lt;foreign-keys&gt;&lt;key app="EN" db-id="tsw9ppz0wtsernexad8pdrfqzrvpraxppard"&gt;1084&lt;/key&gt;&lt;/foreign-keys&gt;&lt;ref-type name="Journal Article"&gt;17&lt;/ref-type&gt;&lt;contributors&gt;&lt;authors&gt;&lt;author&gt;Álvarez-Romero, Jorge G.&lt;/author&gt;&lt;author&gt;Devlin, Michelle&lt;/author&gt;&lt;author&gt;Teixeira da Silva, Eduardo&lt;/author&gt;&lt;author&gt;Petus, Caroline&lt;/author&gt;&lt;author&gt;Ban, Natalie C.&lt;/author&gt;&lt;author&gt;Pressey, Robert L.&lt;/author&gt;&lt;author&gt;Kool, Johnathan&lt;/author&gt;&lt;author&gt;Roberts, Jason J.&lt;/author&gt;&lt;author&gt;Cerdeira-Estrada, Sergio&lt;/author&gt;&lt;author&gt;Wenger, Amelia S.&lt;/author&gt;&lt;author&gt;Brodie, Jon&lt;/author&gt;&lt;/authors&gt;&lt;/contributors&gt;&lt;titles&gt;&lt;title&gt;A novel approach to model exposure of coastal-marine ecosystems to riverine flood plumes based on remote sensing techniques&lt;/title&gt;&lt;secondary-title&gt;Journal of Environmental Management&lt;/secondary-title&gt;&lt;/titles&gt;&lt;periodical&gt;&lt;full-title&gt;Journal of Environmental Management&lt;/full-title&gt;&lt;/periodical&gt;&lt;pages&gt;194-207&lt;/pages&gt;&lt;volume&gt;119&lt;/volume&gt;&lt;number&gt;0&lt;/number&gt;&lt;keywords&gt;&lt;keyword&gt;Marine spatial planning&lt;/keyword&gt;&lt;keyword&gt;River plume&lt;/keyword&gt;&lt;keyword&gt;Flood plume&lt;/keyword&gt;&lt;keyword&gt;Land-based pollution&lt;/keyword&gt;&lt;keyword&gt;Marine water quality&lt;/keyword&gt;&lt;keyword&gt;Marine conservation&lt;/keyword&gt;&lt;/keywords&gt;&lt;dates&gt;&lt;year&gt;2013&lt;/year&gt;&lt;pub-dates&gt;&lt;date&gt;4/15/&lt;/date&gt;&lt;/pub-dates&gt;&lt;/dates&gt;&lt;isbn&gt;0301-4797&lt;/isbn&gt;&lt;urls&gt;&lt;related-urls&gt;&lt;url&gt;http://www.sciencedirect.com/science/article/pii/S0301479713000789&lt;/url&gt;&lt;/related-urls&gt;&lt;/urls&gt;&lt;electronic-resource-num&gt;http://dx.doi.org/10.1016/j.jenvman.2013.01.036&lt;/electronic-resource-num&gt;&lt;/record&gt;&lt;/Cite&gt;&lt;/EndNote&gt;</w:instrText>
      </w:r>
      <w:r w:rsidRPr="00883BEF">
        <w:rPr>
          <w:rFonts w:cs="Arial"/>
          <w:szCs w:val="22"/>
          <w:lang w:val="en-AU"/>
        </w:rPr>
        <w:fldChar w:fldCharType="separate"/>
      </w:r>
      <w:hyperlink w:anchor="_ENREF_1" w:tooltip="Álvarez-Romero, 2013 #1084" w:history="1">
        <w:r w:rsidRPr="00883BEF">
          <w:rPr>
            <w:rFonts w:cs="Arial"/>
            <w:noProof/>
            <w:szCs w:val="22"/>
            <w:lang w:val="en-AU"/>
          </w:rPr>
          <w:t>Álvarez-Romero et al. (2013</w:t>
        </w:r>
      </w:hyperlink>
      <w:r w:rsidRPr="00883BEF">
        <w:rPr>
          <w:rFonts w:cs="Arial"/>
          <w:noProof/>
          <w:szCs w:val="22"/>
          <w:lang w:val="en-AU"/>
        </w:rPr>
        <w:t>)</w:t>
      </w:r>
      <w:r w:rsidRPr="00883BEF">
        <w:rPr>
          <w:rFonts w:cs="Arial"/>
          <w:szCs w:val="22"/>
          <w:lang w:val="en-AU"/>
        </w:rPr>
        <w:fldChar w:fldCharType="end"/>
      </w:r>
      <w:r w:rsidRPr="00883BEF">
        <w:rPr>
          <w:rFonts w:cs="Arial"/>
          <w:szCs w:val="22"/>
          <w:lang w:val="en-AU"/>
        </w:rPr>
        <w:t xml:space="preserve"> to reproduce the shape of each individual river plume is replaced by the path-distance function, which is also available in ArcMap Spatial Analyst </w:t>
      </w:r>
      <w:r w:rsidRPr="00883BEF">
        <w:rPr>
          <w:rFonts w:cs="Arial"/>
          <w:szCs w:val="22"/>
          <w:lang w:val="en-AU"/>
        </w:rPr>
        <w:fldChar w:fldCharType="begin"/>
      </w:r>
      <w:r w:rsidRPr="00883BEF">
        <w:rPr>
          <w:rFonts w:cs="Arial"/>
          <w:szCs w:val="22"/>
          <w:lang w:val="en-AU"/>
        </w:rPr>
        <w:instrText xml:space="preserve"> ADDIN EN.CITE &lt;EndNote&gt;&lt;Cite&gt;&lt;Author&gt;ESRI&lt;/Author&gt;&lt;Year&gt;2010&lt;/Year&gt;&lt;RecNum&gt;1270&lt;/RecNum&gt;&lt;DisplayText&gt;(ESRI 2010)&lt;/DisplayText&gt;&lt;record&gt;&lt;rec-number&gt;1270&lt;/rec-number&gt;&lt;foreign-keys&gt;&lt;key app="EN" db-id="tsw9ppz0wtsernexad8pdrfqzrvpraxppard"&gt;1270&lt;/key&gt;&lt;/foreign-keys&gt;&lt;ref-type name="Computer Program"&gt;9&lt;/ref-type&gt;&lt;contributors&gt;&lt;authors&gt;&lt;author&gt;ESRI&lt;/author&gt;&lt;/authors&gt;&lt;/contributors&gt;&lt;titles&gt;&lt;title&gt;ArcGIS 10.0. Environmental Systems Research Institute (ESRI)&lt;/title&gt;&lt;/titles&gt;&lt;dates&gt;&lt;year&gt;2010&lt;/year&gt;&lt;/dates&gt;&lt;publisher&gt;Redlands, CA.&lt;/publisher&gt;&lt;urls&gt;&lt;/urls&gt;&lt;/record&gt;&lt;/Cite&gt;&lt;/EndNote&gt;</w:instrText>
      </w:r>
      <w:r w:rsidRPr="00883BEF">
        <w:rPr>
          <w:rFonts w:cs="Arial"/>
          <w:szCs w:val="22"/>
          <w:lang w:val="en-AU"/>
        </w:rPr>
        <w:fldChar w:fldCharType="separate"/>
      </w:r>
      <w:r w:rsidRPr="00883BEF">
        <w:rPr>
          <w:rFonts w:cs="Arial"/>
          <w:noProof/>
          <w:szCs w:val="22"/>
          <w:lang w:val="en-AU"/>
        </w:rPr>
        <w:t>(</w:t>
      </w:r>
      <w:hyperlink w:anchor="_ENREF_8" w:tooltip="ESRI, 2010 #1270" w:history="1">
        <w:r w:rsidRPr="00883BEF">
          <w:rPr>
            <w:rFonts w:cs="Arial"/>
            <w:noProof/>
            <w:szCs w:val="22"/>
            <w:lang w:val="en-AU"/>
          </w:rPr>
          <w:t>ESRI 2010</w:t>
        </w:r>
      </w:hyperlink>
      <w:r w:rsidRPr="00883BEF">
        <w:rPr>
          <w:rFonts w:cs="Arial"/>
          <w:noProof/>
          <w:szCs w:val="22"/>
          <w:lang w:val="en-AU"/>
        </w:rPr>
        <w:t>)</w:t>
      </w:r>
      <w:r w:rsidRPr="00883BEF">
        <w:rPr>
          <w:rFonts w:cs="Arial"/>
          <w:szCs w:val="22"/>
          <w:lang w:val="en-AU"/>
        </w:rPr>
        <w:fldChar w:fldCharType="end"/>
      </w:r>
      <w:r w:rsidRPr="00883BEF">
        <w:rPr>
          <w:rFonts w:cs="Arial"/>
          <w:szCs w:val="22"/>
          <w:lang w:val="en-AU"/>
        </w:rPr>
        <w:t>; and a DIN decay function is applied to DIN mass exported from the rivers to account for potential biological uptake.</w:t>
      </w:r>
    </w:p>
    <w:p w14:paraId="0C109E1F" w14:textId="3654C40D" w:rsidR="006C0640" w:rsidRPr="00883BEF" w:rsidRDefault="006C0640" w:rsidP="006C0640">
      <w:pPr>
        <w:rPr>
          <w:rFonts w:cs="Arial"/>
          <w:szCs w:val="22"/>
          <w:lang w:val="en-AU"/>
        </w:rPr>
      </w:pPr>
      <w:r>
        <w:rPr>
          <w:rFonts w:cs="Arial"/>
          <w:szCs w:val="22"/>
          <w:lang w:val="en-AU"/>
        </w:rPr>
        <w:t>The</w:t>
      </w:r>
      <w:r w:rsidRPr="00883BEF">
        <w:rPr>
          <w:rFonts w:cs="Arial"/>
          <w:szCs w:val="22"/>
          <w:lang w:val="en-AU"/>
        </w:rPr>
        <w:t xml:space="preserve"> model has four main components: (a) modelling of individual river plumes; (b) DIN dispersion function; (c) DIN decay function; and (d) mapping of DIN concentration over the GBR lagoon. The conceptual model in </w:t>
      </w:r>
      <w:r>
        <w:rPr>
          <w:rFonts w:cs="Arial"/>
          <w:szCs w:val="22"/>
          <w:lang w:val="en-AU"/>
        </w:rPr>
        <w:fldChar w:fldCharType="begin"/>
      </w:r>
      <w:r>
        <w:rPr>
          <w:rFonts w:cs="Arial"/>
          <w:szCs w:val="22"/>
          <w:lang w:val="en-AU"/>
        </w:rPr>
        <w:instrText xml:space="preserve"> REF _Ref455249450 \h </w:instrText>
      </w:r>
      <w:r>
        <w:rPr>
          <w:rFonts w:cs="Arial"/>
          <w:szCs w:val="22"/>
          <w:lang w:val="en-AU"/>
        </w:rPr>
      </w:r>
      <w:r>
        <w:rPr>
          <w:rFonts w:cs="Arial"/>
          <w:szCs w:val="22"/>
          <w:lang w:val="en-AU"/>
        </w:rPr>
        <w:fldChar w:fldCharType="separate"/>
      </w:r>
      <w:r w:rsidR="007F5336" w:rsidRPr="006C0640">
        <w:t xml:space="preserve">Figure </w:t>
      </w:r>
      <w:r w:rsidR="007F5336">
        <w:rPr>
          <w:noProof/>
        </w:rPr>
        <w:t>4</w:t>
      </w:r>
      <w:r w:rsidR="007F5336">
        <w:noBreakHyphen/>
      </w:r>
      <w:r w:rsidR="007F5336">
        <w:rPr>
          <w:noProof/>
        </w:rPr>
        <w:t>5</w:t>
      </w:r>
      <w:r>
        <w:rPr>
          <w:rFonts w:cs="Arial"/>
          <w:szCs w:val="22"/>
          <w:lang w:val="en-AU"/>
        </w:rPr>
        <w:fldChar w:fldCharType="end"/>
      </w:r>
      <w:r>
        <w:rPr>
          <w:rFonts w:cs="Arial"/>
          <w:szCs w:val="22"/>
          <w:lang w:val="en-AU"/>
        </w:rPr>
        <w:t xml:space="preserve"> </w:t>
      </w:r>
      <w:r w:rsidRPr="00883BEF">
        <w:rPr>
          <w:rFonts w:cs="Arial"/>
          <w:szCs w:val="22"/>
          <w:lang w:val="en-AU"/>
        </w:rPr>
        <w:t xml:space="preserve">shows how each model component is set up and how they are combined to produce the DIN dispersion maps. The basic idea of the DIN dispersion maps is to produce river plume maps, like those produced for the GBR (see Remote Sensing section in this report), for each individual river in the model. </w:t>
      </w:r>
      <w:r>
        <w:rPr>
          <w:rFonts w:cs="Arial"/>
          <w:szCs w:val="22"/>
          <w:lang w:val="en-AU"/>
        </w:rPr>
        <w:t>T</w:t>
      </w:r>
      <w:r w:rsidRPr="00883BEF">
        <w:rPr>
          <w:rFonts w:cs="Arial"/>
          <w:szCs w:val="22"/>
          <w:lang w:val="en-AU"/>
        </w:rPr>
        <w:t xml:space="preserve">he end-of-catchment load of each river can </w:t>
      </w:r>
      <w:r>
        <w:rPr>
          <w:rFonts w:cs="Arial"/>
          <w:szCs w:val="22"/>
          <w:lang w:val="en-AU"/>
        </w:rPr>
        <w:t xml:space="preserve">then </w:t>
      </w:r>
      <w:r w:rsidRPr="00883BEF">
        <w:rPr>
          <w:rFonts w:cs="Arial"/>
          <w:szCs w:val="22"/>
          <w:lang w:val="en-AU"/>
        </w:rPr>
        <w:t>be dispersed over its individual river plume. To control this dispersion</w:t>
      </w:r>
      <w:r>
        <w:rPr>
          <w:rFonts w:cs="Arial"/>
          <w:szCs w:val="22"/>
          <w:lang w:val="en-AU"/>
        </w:rPr>
        <w:t>,</w:t>
      </w:r>
      <w:r w:rsidRPr="00883BEF">
        <w:rPr>
          <w:rFonts w:cs="Arial"/>
          <w:szCs w:val="22"/>
          <w:lang w:val="en-AU"/>
        </w:rPr>
        <w:t xml:space="preserve"> a relationship based on the mass proportion of DIN in each plume colour class determined at </w:t>
      </w:r>
      <w:r>
        <w:rPr>
          <w:rFonts w:cs="Arial"/>
          <w:szCs w:val="22"/>
          <w:lang w:val="en-AU"/>
        </w:rPr>
        <w:t xml:space="preserve">the </w:t>
      </w:r>
      <w:r w:rsidRPr="00883BEF">
        <w:rPr>
          <w:rFonts w:cs="Arial"/>
          <w:szCs w:val="22"/>
          <w:lang w:val="en-AU"/>
        </w:rPr>
        <w:t>GBR scale is used. To account for potential DIN uptake, the ratio between an in-situ DIN x salinity relationship and the theoretical DIN decay due to dilution (i.e., freshwater – marine water mixing) is used. This ratio defines a DIN decay coefficient, which is multiplied by the dispersed DIN load. After the load has been dispersed over each individual river plume, and corrected for DIN uptake, the resultant dispersed DIN from each river is summed together to represent the total annual DIN dispersion over the GBR lagoon discharged by the rivers. In the following these four major steps are presented, starting with the generation of individual river plumes.</w:t>
      </w:r>
    </w:p>
    <w:p w14:paraId="748EB6F1" w14:textId="1812A842" w:rsidR="006C0640" w:rsidRPr="00883BEF" w:rsidRDefault="006C0640" w:rsidP="006C0640">
      <w:pPr>
        <w:rPr>
          <w:rFonts w:cs="Arial"/>
          <w:szCs w:val="22"/>
          <w:lang w:val="en-AU"/>
        </w:rPr>
      </w:pPr>
      <w:r w:rsidRPr="00883BEF">
        <w:rPr>
          <w:rFonts w:cs="Arial"/>
          <w:szCs w:val="22"/>
          <w:lang w:val="en-AU"/>
        </w:rPr>
        <w:t xml:space="preserve">The method developed for the dispersion of land-based </w:t>
      </w:r>
      <w:r>
        <w:rPr>
          <w:rFonts w:cs="Arial"/>
          <w:szCs w:val="22"/>
          <w:lang w:val="en-AU"/>
        </w:rPr>
        <w:t>DIN</w:t>
      </w:r>
      <w:r w:rsidRPr="00883BEF">
        <w:rPr>
          <w:rFonts w:cs="Arial"/>
          <w:szCs w:val="22"/>
          <w:lang w:val="en-AU"/>
        </w:rPr>
        <w:t xml:space="preserve"> was also applied for </w:t>
      </w:r>
      <w:r w:rsidR="00F64563">
        <w:rPr>
          <w:rFonts w:cs="Arial"/>
          <w:szCs w:val="22"/>
          <w:lang w:val="en-AU"/>
        </w:rPr>
        <w:t>particulate nitrogen (PN)</w:t>
      </w:r>
      <w:r w:rsidRPr="00883BEF">
        <w:rPr>
          <w:rFonts w:cs="Arial"/>
          <w:szCs w:val="22"/>
          <w:lang w:val="en-AU"/>
        </w:rPr>
        <w:t xml:space="preserve"> and </w:t>
      </w:r>
      <w:r>
        <w:rPr>
          <w:rFonts w:cs="Arial"/>
          <w:szCs w:val="22"/>
          <w:lang w:val="en-AU"/>
        </w:rPr>
        <w:t>TSS. De</w:t>
      </w:r>
      <w:r w:rsidRPr="00883BEF">
        <w:rPr>
          <w:rFonts w:cs="Arial"/>
          <w:szCs w:val="22"/>
          <w:lang w:val="en-AU"/>
        </w:rPr>
        <w:t xml:space="preserve">tails </w:t>
      </w:r>
      <w:r w:rsidRPr="00A13B8E">
        <w:rPr>
          <w:lang w:val="en-AU"/>
        </w:rPr>
        <w:t xml:space="preserve">of the methods used for this study are presented in Appendix </w:t>
      </w:r>
      <w:r w:rsidRPr="001E4D3D">
        <w:rPr>
          <w:lang w:val="en-AU"/>
        </w:rPr>
        <w:fldChar w:fldCharType="begin"/>
      </w:r>
      <w:r w:rsidRPr="00A13B8E">
        <w:rPr>
          <w:lang w:val="en-AU"/>
        </w:rPr>
        <w:instrText xml:space="preserve"> REF _Ref452293704 \r \h </w:instrText>
      </w:r>
      <w:r w:rsidRPr="001E4D3D">
        <w:rPr>
          <w:lang w:val="en-AU"/>
        </w:rPr>
      </w:r>
      <w:r w:rsidRPr="001E4D3D">
        <w:rPr>
          <w:lang w:val="en-AU"/>
        </w:rPr>
        <w:fldChar w:fldCharType="separate"/>
      </w:r>
      <w:r w:rsidR="007F5336">
        <w:rPr>
          <w:lang w:val="en-AU"/>
        </w:rPr>
        <w:t>A1.11</w:t>
      </w:r>
      <w:r w:rsidRPr="001E4D3D">
        <w:rPr>
          <w:lang w:val="en-AU"/>
        </w:rPr>
        <w:fldChar w:fldCharType="end"/>
      </w:r>
      <w:r w:rsidRPr="00A13B8E">
        <w:rPr>
          <w:lang w:val="en-AU"/>
        </w:rPr>
        <w:t>.</w:t>
      </w:r>
    </w:p>
    <w:p w14:paraId="220D37C9" w14:textId="77777777" w:rsidR="006C0640" w:rsidRPr="00883BEF" w:rsidRDefault="006C0640" w:rsidP="006C0640">
      <w:pPr>
        <w:jc w:val="center"/>
        <w:rPr>
          <w:rFonts w:cs="Arial"/>
          <w:szCs w:val="22"/>
          <w:lang w:val="en-AU"/>
        </w:rPr>
      </w:pPr>
      <w:r w:rsidRPr="00B05E41">
        <w:rPr>
          <w:rFonts w:cs="Arial"/>
          <w:noProof/>
          <w:szCs w:val="22"/>
          <w:lang w:val="en-AU" w:eastAsia="en-AU"/>
        </w:rPr>
        <w:drawing>
          <wp:inline distT="0" distB="0" distL="0" distR="0" wp14:anchorId="5CC6C7F2" wp14:editId="12EBA759">
            <wp:extent cx="5760000" cy="4623310"/>
            <wp:effectExtent l="0" t="0" r="0" b="6350"/>
            <wp:docPr id="62" name="Picture 62" descr="Conceptual model for DIN concentration load mapping. Note: 6cc = 6 colour class classification. " title="Figure 4 5:  Conceptual model for DIN concentration load mapping. Note: 6cc = 6 colour class classification. See text for expla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2" cstate="screen">
                      <a:extLst>
                        <a:ext uri="{28A0092B-C50C-407E-A947-70E740481C1C}">
                          <a14:useLocalDpi xmlns:a14="http://schemas.microsoft.com/office/drawing/2010/main"/>
                        </a:ext>
                      </a:extLst>
                    </a:blip>
                    <a:srcRect/>
                    <a:stretch>
                      <a:fillRect/>
                    </a:stretch>
                  </pic:blipFill>
                  <pic:spPr bwMode="auto">
                    <a:xfrm>
                      <a:off x="0" y="0"/>
                      <a:ext cx="5760000" cy="4623310"/>
                    </a:xfrm>
                    <a:prstGeom prst="rect">
                      <a:avLst/>
                    </a:prstGeom>
                    <a:noFill/>
                  </pic:spPr>
                </pic:pic>
              </a:graphicData>
            </a:graphic>
          </wp:inline>
        </w:drawing>
      </w:r>
    </w:p>
    <w:p w14:paraId="7021D3C9" w14:textId="6D793D2D" w:rsidR="006C0640" w:rsidRPr="004A5BF7" w:rsidRDefault="006C0640" w:rsidP="004A5BF7">
      <w:pPr>
        <w:pStyle w:val="Caption"/>
      </w:pPr>
      <w:bookmarkStart w:id="610" w:name="_Ref455249450"/>
      <w:bookmarkStart w:id="611" w:name="_Ref449099550"/>
      <w:bookmarkStart w:id="612" w:name="_Toc452586412"/>
      <w:bookmarkStart w:id="613" w:name="_Toc459332358"/>
      <w:r w:rsidRPr="006C0640">
        <w:t xml:space="preserve">Figure </w:t>
      </w:r>
      <w:r w:rsidR="00C62884">
        <w:fldChar w:fldCharType="begin"/>
      </w:r>
      <w:r w:rsidR="00C62884">
        <w:instrText xml:space="preserve"> STYLEREF 1 \s </w:instrText>
      </w:r>
      <w:r w:rsidR="00C62884">
        <w:fldChar w:fldCharType="separate"/>
      </w:r>
      <w:r w:rsidR="007F5336">
        <w:rPr>
          <w:noProof/>
        </w:rPr>
        <w:t>4</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5</w:t>
      </w:r>
      <w:r w:rsidR="00C62884">
        <w:fldChar w:fldCharType="end"/>
      </w:r>
      <w:bookmarkEnd w:id="610"/>
      <w:r w:rsidRPr="006C0640">
        <w:t xml:space="preserve">:  </w:t>
      </w:r>
      <w:bookmarkEnd w:id="611"/>
      <w:r w:rsidRPr="004A5BF7">
        <w:rPr>
          <w:rFonts w:ascii="Arial Narrow" w:hAnsi="Arial Narrow"/>
          <w:szCs w:val="20"/>
          <w:lang w:val="en-GB"/>
        </w:rPr>
        <w:t xml:space="preserve">Conceptual model for DIN concentration load mapping. </w:t>
      </w:r>
      <w:r>
        <w:t>Note: 6cc = 6 colour class classification</w:t>
      </w:r>
      <w:r w:rsidRPr="007B5205">
        <w:t xml:space="preserve">. </w:t>
      </w:r>
      <w:r w:rsidRPr="004A5BF7">
        <w:t>See text for explanation.</w:t>
      </w:r>
      <w:bookmarkEnd w:id="612"/>
      <w:bookmarkEnd w:id="613"/>
    </w:p>
    <w:p w14:paraId="5F22EDB1" w14:textId="7F3EED77" w:rsidR="00885FD9" w:rsidRPr="00C73829" w:rsidRDefault="00624F84" w:rsidP="00C73829">
      <w:pPr>
        <w:pStyle w:val="Heading2"/>
      </w:pPr>
      <w:bookmarkStart w:id="614" w:name="_Toc459158358"/>
      <w:bookmarkStart w:id="615" w:name="_Toc459158631"/>
      <w:bookmarkStart w:id="616" w:name="_Toc459158905"/>
      <w:bookmarkStart w:id="617" w:name="_Toc459209904"/>
      <w:bookmarkStart w:id="618" w:name="_Toc459329030"/>
      <w:bookmarkStart w:id="619" w:name="_Toc459329389"/>
      <w:bookmarkStart w:id="620" w:name="_Toc459329750"/>
      <w:bookmarkStart w:id="621" w:name="_Toc459330110"/>
      <w:bookmarkStart w:id="622" w:name="_Toc459330470"/>
      <w:bookmarkStart w:id="623" w:name="_Toc459330830"/>
      <w:bookmarkStart w:id="624" w:name="_Toc459331190"/>
      <w:bookmarkStart w:id="625" w:name="_Toc459331550"/>
      <w:bookmarkStart w:id="626" w:name="_Toc459331910"/>
      <w:bookmarkStart w:id="627" w:name="_Toc459158359"/>
      <w:bookmarkStart w:id="628" w:name="_Toc459158632"/>
      <w:bookmarkStart w:id="629" w:name="_Toc459158906"/>
      <w:bookmarkStart w:id="630" w:name="_Toc459209905"/>
      <w:bookmarkStart w:id="631" w:name="_Toc459329031"/>
      <w:bookmarkStart w:id="632" w:name="_Toc459329390"/>
      <w:bookmarkStart w:id="633" w:name="_Toc459329751"/>
      <w:bookmarkStart w:id="634" w:name="_Toc459330111"/>
      <w:bookmarkStart w:id="635" w:name="_Toc459330471"/>
      <w:bookmarkStart w:id="636" w:name="_Toc459330831"/>
      <w:bookmarkStart w:id="637" w:name="_Toc459331191"/>
      <w:bookmarkStart w:id="638" w:name="_Toc459331551"/>
      <w:bookmarkStart w:id="639" w:name="_Toc459331911"/>
      <w:bookmarkStart w:id="640" w:name="_Toc462307438"/>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r>
        <w:t>‘</w:t>
      </w:r>
      <w:r w:rsidR="002D4F8D">
        <w:t>Zones of influence’ for river plumes</w:t>
      </w:r>
      <w:bookmarkEnd w:id="640"/>
    </w:p>
    <w:p w14:paraId="12FEFAE6" w14:textId="690C6421" w:rsidR="00C45AA5" w:rsidRDefault="00885FD9" w:rsidP="00885FD9">
      <w:pPr>
        <w:rPr>
          <w:lang w:val="en-AU"/>
        </w:rPr>
      </w:pPr>
      <w:r w:rsidRPr="008467AA">
        <w:rPr>
          <w:bCs/>
          <w:lang w:val="en-AU"/>
        </w:rPr>
        <w:t xml:space="preserve">Hydrodynamic models provide a valuable tool for identifying, quantifying and communicating the spatial impact of discharges from various rivers into the GBR lagoon. </w:t>
      </w:r>
      <w:r w:rsidR="00881B7D">
        <w:rPr>
          <w:bCs/>
          <w:lang w:val="en-AU"/>
        </w:rPr>
        <w:t>For the MMP</w:t>
      </w:r>
      <w:r w:rsidR="00881B7D" w:rsidRPr="008467AA">
        <w:rPr>
          <w:bCs/>
          <w:lang w:val="en-AU"/>
        </w:rPr>
        <w:t xml:space="preserve">, hindcast simulations were performed for the </w:t>
      </w:r>
      <w:r w:rsidR="002D4F8D">
        <w:rPr>
          <w:bCs/>
          <w:lang w:val="en-AU"/>
        </w:rPr>
        <w:t xml:space="preserve">2014-15 </w:t>
      </w:r>
      <w:r w:rsidR="00881B7D" w:rsidRPr="008467AA">
        <w:rPr>
          <w:bCs/>
          <w:lang w:val="en-AU"/>
        </w:rPr>
        <w:t xml:space="preserve">wet season, </w:t>
      </w:r>
      <w:r w:rsidR="00F64563">
        <w:rPr>
          <w:bCs/>
          <w:lang w:val="en-AU"/>
        </w:rPr>
        <w:t>defined as</w:t>
      </w:r>
      <w:r w:rsidR="00881B7D" w:rsidRPr="008467AA">
        <w:rPr>
          <w:bCs/>
          <w:lang w:val="en-AU"/>
        </w:rPr>
        <w:t xml:space="preserve"> 01 November 2014 until 31 March 2015. River-tagged </w:t>
      </w:r>
      <w:r w:rsidR="00881B7D" w:rsidRPr="00881B7D">
        <w:rPr>
          <w:bCs/>
          <w:lang w:val="en-AU"/>
        </w:rPr>
        <w:t xml:space="preserve">passive tracers were released from each of the major gauged rivers discharging in to the GBR. For this </w:t>
      </w:r>
      <w:r w:rsidR="00EA14F0">
        <w:rPr>
          <w:bCs/>
          <w:lang w:val="en-AU"/>
        </w:rPr>
        <w:t xml:space="preserve">report </w:t>
      </w:r>
      <w:r w:rsidR="00881B7D" w:rsidRPr="00881B7D">
        <w:rPr>
          <w:bCs/>
          <w:lang w:val="en-AU"/>
        </w:rPr>
        <w:t xml:space="preserve">the </w:t>
      </w:r>
      <w:r w:rsidR="002D4F8D">
        <w:rPr>
          <w:bCs/>
          <w:lang w:val="en-AU"/>
        </w:rPr>
        <w:t xml:space="preserve">extent of </w:t>
      </w:r>
      <w:r w:rsidR="00881B7D" w:rsidRPr="00881B7D">
        <w:rPr>
          <w:bCs/>
          <w:lang w:val="en-AU"/>
        </w:rPr>
        <w:t>influence of the Bar</w:t>
      </w:r>
      <w:r w:rsidR="00C45AA5">
        <w:rPr>
          <w:bCs/>
          <w:lang w:val="en-AU"/>
        </w:rPr>
        <w:t>r</w:t>
      </w:r>
      <w:r w:rsidR="00881B7D" w:rsidRPr="00881B7D">
        <w:rPr>
          <w:bCs/>
          <w:lang w:val="en-AU"/>
        </w:rPr>
        <w:t>on, Russell-Mulgrave, Tully, Burdekin</w:t>
      </w:r>
      <w:r w:rsidR="00881B7D">
        <w:rPr>
          <w:bCs/>
          <w:lang w:val="en-AU"/>
        </w:rPr>
        <w:t xml:space="preserve"> and</w:t>
      </w:r>
      <w:r w:rsidR="00881B7D" w:rsidRPr="00881B7D">
        <w:rPr>
          <w:bCs/>
          <w:lang w:val="en-AU"/>
        </w:rPr>
        <w:t xml:space="preserve"> </w:t>
      </w:r>
      <w:r w:rsidR="00881B7D" w:rsidRPr="00E50FD9">
        <w:rPr>
          <w:bCs/>
          <w:lang w:val="en-AU"/>
        </w:rPr>
        <w:t>O’Connell</w:t>
      </w:r>
      <w:r w:rsidR="00881B7D" w:rsidRPr="00881B7D">
        <w:rPr>
          <w:bCs/>
          <w:lang w:val="en-AU"/>
        </w:rPr>
        <w:t xml:space="preserve"> Rivers</w:t>
      </w:r>
      <w:r w:rsidR="00C45AA5">
        <w:rPr>
          <w:bCs/>
          <w:lang w:val="en-AU"/>
        </w:rPr>
        <w:t xml:space="preserve"> was examined</w:t>
      </w:r>
      <w:r w:rsidR="00881B7D" w:rsidRPr="00881B7D">
        <w:rPr>
          <w:bCs/>
          <w:lang w:val="en-AU"/>
        </w:rPr>
        <w:t>. The discharge concentration of each river’s unique tracer was set at 1.0 at the river mouth, while the starting tracer concentration in the GBR Lagoon (time = 0 for each wet season) was set to 0.0.</w:t>
      </w:r>
      <w:r w:rsidR="00881B7D">
        <w:rPr>
          <w:lang w:val="en-AU"/>
        </w:rPr>
        <w:t xml:space="preserve"> </w:t>
      </w:r>
    </w:p>
    <w:p w14:paraId="5F22EDB2" w14:textId="540B988D" w:rsidR="00F351A1" w:rsidRDefault="00F351A1" w:rsidP="00885FD9">
      <w:pPr>
        <w:rPr>
          <w:lang w:val="en-AU"/>
        </w:rPr>
      </w:pPr>
      <w:r w:rsidRPr="00A03137">
        <w:rPr>
          <w:lang w:val="en-AU"/>
        </w:rPr>
        <w:t>Detail</w:t>
      </w:r>
      <w:r w:rsidR="00881B7D">
        <w:rPr>
          <w:lang w:val="en-AU"/>
        </w:rPr>
        <w:t>s</w:t>
      </w:r>
      <w:r w:rsidRPr="00A03137">
        <w:rPr>
          <w:lang w:val="en-AU"/>
        </w:rPr>
        <w:t xml:space="preserve"> of the methods used for the </w:t>
      </w:r>
      <w:r w:rsidR="00881B7D">
        <w:rPr>
          <w:lang w:val="en-AU"/>
        </w:rPr>
        <w:t xml:space="preserve">eReef tracer study </w:t>
      </w:r>
      <w:r w:rsidR="002D4F8D">
        <w:rPr>
          <w:lang w:val="en-AU"/>
        </w:rPr>
        <w:t xml:space="preserve">are </w:t>
      </w:r>
      <w:r w:rsidRPr="00A03137">
        <w:rPr>
          <w:lang w:val="en-AU"/>
        </w:rPr>
        <w:t xml:space="preserve">presented </w:t>
      </w:r>
      <w:r w:rsidRPr="00881B7D">
        <w:rPr>
          <w:lang w:val="en-AU"/>
        </w:rPr>
        <w:t xml:space="preserve">in </w:t>
      </w:r>
      <w:r w:rsidRPr="007B5205">
        <w:rPr>
          <w:lang w:val="en-AU"/>
        </w:rPr>
        <w:t>Appendix</w:t>
      </w:r>
      <w:r w:rsidR="00847AE9" w:rsidRPr="007B5205">
        <w:rPr>
          <w:lang w:val="en-AU"/>
        </w:rPr>
        <w:t xml:space="preserve"> </w:t>
      </w:r>
      <w:r w:rsidR="00847AE9" w:rsidRPr="007B5205">
        <w:rPr>
          <w:lang w:val="en-AU"/>
        </w:rPr>
        <w:fldChar w:fldCharType="begin"/>
      </w:r>
      <w:r w:rsidR="00847AE9" w:rsidRPr="007B5205">
        <w:rPr>
          <w:lang w:val="en-AU"/>
        </w:rPr>
        <w:instrText xml:space="preserve"> REF _Ref452293704 \r \h </w:instrText>
      </w:r>
      <w:r w:rsidR="006C0640" w:rsidRPr="004A5BF7">
        <w:rPr>
          <w:lang w:val="en-AU"/>
        </w:rPr>
        <w:instrText xml:space="preserve"> \* MERGEFORMAT </w:instrText>
      </w:r>
      <w:r w:rsidR="00847AE9" w:rsidRPr="007B5205">
        <w:rPr>
          <w:lang w:val="en-AU"/>
        </w:rPr>
      </w:r>
      <w:r w:rsidR="00847AE9" w:rsidRPr="007B5205">
        <w:rPr>
          <w:lang w:val="en-AU"/>
        </w:rPr>
        <w:fldChar w:fldCharType="separate"/>
      </w:r>
      <w:r w:rsidR="007F5336">
        <w:rPr>
          <w:lang w:val="en-AU"/>
        </w:rPr>
        <w:t>A1.11</w:t>
      </w:r>
      <w:r w:rsidR="00847AE9" w:rsidRPr="007B5205">
        <w:rPr>
          <w:lang w:val="en-AU"/>
        </w:rPr>
        <w:fldChar w:fldCharType="end"/>
      </w:r>
      <w:r w:rsidRPr="007B5205">
        <w:rPr>
          <w:lang w:val="en-AU"/>
        </w:rPr>
        <w:t>.</w:t>
      </w:r>
      <w:r>
        <w:rPr>
          <w:lang w:val="en-AU"/>
        </w:rPr>
        <w:t xml:space="preserve"> </w:t>
      </w:r>
    </w:p>
    <w:p w14:paraId="5F22EDB3" w14:textId="77777777" w:rsidR="0075225D" w:rsidRPr="008467AA" w:rsidRDefault="0075225D" w:rsidP="00C27BEB">
      <w:pPr>
        <w:pStyle w:val="Heading1"/>
      </w:pPr>
      <w:bookmarkStart w:id="641" w:name="_Toc459158361"/>
      <w:bookmarkStart w:id="642" w:name="_Toc459158634"/>
      <w:bookmarkStart w:id="643" w:name="_Toc459158908"/>
      <w:bookmarkStart w:id="644" w:name="_Toc459209907"/>
      <w:bookmarkStart w:id="645" w:name="_Toc459329033"/>
      <w:bookmarkStart w:id="646" w:name="_Toc459329392"/>
      <w:bookmarkStart w:id="647" w:name="_Toc459329753"/>
      <w:bookmarkStart w:id="648" w:name="_Toc459330113"/>
      <w:bookmarkStart w:id="649" w:name="_Toc459330473"/>
      <w:bookmarkStart w:id="650" w:name="_Toc459330833"/>
      <w:bookmarkStart w:id="651" w:name="_Toc459331193"/>
      <w:bookmarkStart w:id="652" w:name="_Toc459331553"/>
      <w:bookmarkStart w:id="653" w:name="_Toc459331913"/>
      <w:bookmarkStart w:id="654" w:name="_Toc459158363"/>
      <w:bookmarkStart w:id="655" w:name="_Toc459158636"/>
      <w:bookmarkStart w:id="656" w:name="_Toc459158910"/>
      <w:bookmarkStart w:id="657" w:name="_Toc459209909"/>
      <w:bookmarkStart w:id="658" w:name="_Toc459329035"/>
      <w:bookmarkStart w:id="659" w:name="_Toc459329394"/>
      <w:bookmarkStart w:id="660" w:name="_Toc459329755"/>
      <w:bookmarkStart w:id="661" w:name="_Toc459330115"/>
      <w:bookmarkStart w:id="662" w:name="_Toc459330475"/>
      <w:bookmarkStart w:id="663" w:name="_Toc459330835"/>
      <w:bookmarkStart w:id="664" w:name="_Toc459331195"/>
      <w:bookmarkStart w:id="665" w:name="_Toc459331555"/>
      <w:bookmarkStart w:id="666" w:name="_Toc459331915"/>
      <w:bookmarkStart w:id="667" w:name="_Toc459158364"/>
      <w:bookmarkStart w:id="668" w:name="_Toc459158637"/>
      <w:bookmarkStart w:id="669" w:name="_Toc459158911"/>
      <w:bookmarkStart w:id="670" w:name="_Toc459209910"/>
      <w:bookmarkStart w:id="671" w:name="_Toc459329036"/>
      <w:bookmarkStart w:id="672" w:name="_Toc459329395"/>
      <w:bookmarkStart w:id="673" w:name="_Toc459329756"/>
      <w:bookmarkStart w:id="674" w:name="_Toc459330116"/>
      <w:bookmarkStart w:id="675" w:name="_Toc459330476"/>
      <w:bookmarkStart w:id="676" w:name="_Toc459330836"/>
      <w:bookmarkStart w:id="677" w:name="_Toc459331196"/>
      <w:bookmarkStart w:id="678" w:name="_Toc459331556"/>
      <w:bookmarkStart w:id="679" w:name="_Toc459331916"/>
      <w:bookmarkStart w:id="680" w:name="_Toc436082063"/>
      <w:bookmarkStart w:id="681" w:name="_Toc436913469"/>
      <w:bookmarkStart w:id="682" w:name="_Toc462307439"/>
      <w:bookmarkEnd w:id="492"/>
      <w:bookmarkEnd w:id="493"/>
      <w:bookmarkEnd w:id="494"/>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r w:rsidRPr="008467AA">
        <w:t>Results and</w:t>
      </w:r>
      <w:r w:rsidR="007D0559">
        <w:t xml:space="preserve"> discussion</w:t>
      </w:r>
      <w:bookmarkEnd w:id="680"/>
      <w:bookmarkEnd w:id="681"/>
      <w:bookmarkEnd w:id="682"/>
    </w:p>
    <w:p w14:paraId="5F22EDB4" w14:textId="77777777" w:rsidR="00ED6CDE" w:rsidRPr="00C73829" w:rsidRDefault="00ED6CDE" w:rsidP="00C73829">
      <w:pPr>
        <w:pStyle w:val="Heading2"/>
      </w:pPr>
      <w:bookmarkStart w:id="683" w:name="_Toc462307440"/>
      <w:r w:rsidRPr="00C73829">
        <w:t>Overview</w:t>
      </w:r>
      <w:bookmarkEnd w:id="683"/>
    </w:p>
    <w:p w14:paraId="5F22EDB7" w14:textId="712AFF7D" w:rsidR="000A0E9A" w:rsidRDefault="00251DF7" w:rsidP="004A5BF7">
      <w:pPr>
        <w:rPr>
          <w:lang w:val="en-AU"/>
        </w:rPr>
      </w:pPr>
      <w:r>
        <w:rPr>
          <w:lang w:val="en-AU"/>
        </w:rPr>
        <w:t xml:space="preserve">The design of the MMP and the structure of the reporting follows a Driver-Pressure-State-Impact-Response </w:t>
      </w:r>
      <w:r w:rsidR="00ED6CDE">
        <w:rPr>
          <w:lang w:val="en-AU"/>
        </w:rPr>
        <w:t>framework</w:t>
      </w:r>
      <w:r>
        <w:rPr>
          <w:lang w:val="en-AU"/>
        </w:rPr>
        <w:t xml:space="preserve"> (</w:t>
      </w:r>
      <w:r w:rsidR="00FA3CF6">
        <w:rPr>
          <w:lang w:val="en-AU"/>
        </w:rPr>
        <w:fldChar w:fldCharType="begin"/>
      </w:r>
      <w:r w:rsidR="00FA3CF6">
        <w:rPr>
          <w:lang w:val="en-AU"/>
        </w:rPr>
        <w:instrText xml:space="preserve"> REF _Ref459146656 \h </w:instrText>
      </w:r>
      <w:r w:rsidR="00FA3CF6">
        <w:rPr>
          <w:lang w:val="en-AU"/>
        </w:rPr>
      </w:r>
      <w:r w:rsidR="00FA3CF6">
        <w:rPr>
          <w:lang w:val="en-AU"/>
        </w:rPr>
        <w:fldChar w:fldCharType="separate"/>
      </w:r>
      <w:r w:rsidR="007F5336" w:rsidRPr="00C73829">
        <w:t xml:space="preserve">Figure </w:t>
      </w:r>
      <w:r w:rsidR="007F5336">
        <w:rPr>
          <w:noProof/>
        </w:rPr>
        <w:t>5</w:t>
      </w:r>
      <w:r w:rsidR="007F5336">
        <w:noBreakHyphen/>
      </w:r>
      <w:r w:rsidR="007F5336">
        <w:rPr>
          <w:noProof/>
        </w:rPr>
        <w:t>1</w:t>
      </w:r>
      <w:r w:rsidR="00FA3CF6">
        <w:rPr>
          <w:lang w:val="en-AU"/>
        </w:rPr>
        <w:fldChar w:fldCharType="end"/>
      </w:r>
      <w:r w:rsidR="00C45AA5">
        <w:rPr>
          <w:lang w:val="en-AU"/>
        </w:rPr>
        <w:t xml:space="preserve">) derived from GBR Outlook reporting. </w:t>
      </w:r>
      <w:r>
        <w:rPr>
          <w:lang w:val="en-AU"/>
        </w:rPr>
        <w:t xml:space="preserve">Each </w:t>
      </w:r>
      <w:r w:rsidR="00C964D9">
        <w:rPr>
          <w:lang w:val="en-AU"/>
        </w:rPr>
        <w:t xml:space="preserve">of the three </w:t>
      </w:r>
      <w:r>
        <w:rPr>
          <w:lang w:val="en-AU"/>
        </w:rPr>
        <w:t>section</w:t>
      </w:r>
      <w:r w:rsidR="00C964D9">
        <w:rPr>
          <w:lang w:val="en-AU"/>
        </w:rPr>
        <w:t>s</w:t>
      </w:r>
      <w:r>
        <w:rPr>
          <w:lang w:val="en-AU"/>
        </w:rPr>
        <w:t xml:space="preserve"> in this chapter</w:t>
      </w:r>
      <w:r w:rsidR="00C964D9">
        <w:rPr>
          <w:lang w:val="en-AU"/>
        </w:rPr>
        <w:t xml:space="preserve"> -</w:t>
      </w:r>
      <w:r w:rsidR="00C964D9" w:rsidRPr="00C964D9">
        <w:rPr>
          <w:i/>
          <w:lang w:val="en-AU"/>
        </w:rPr>
        <w:t>drivers, pressures, state</w:t>
      </w:r>
      <w:r w:rsidR="00C964D9">
        <w:rPr>
          <w:lang w:val="en-AU"/>
        </w:rPr>
        <w:t>-</w:t>
      </w:r>
      <w:r>
        <w:rPr>
          <w:lang w:val="en-AU"/>
        </w:rPr>
        <w:t xml:space="preserve"> present the </w:t>
      </w:r>
      <w:r w:rsidR="00C964D9">
        <w:rPr>
          <w:lang w:val="en-AU"/>
        </w:rPr>
        <w:t xml:space="preserve">monitoring data </w:t>
      </w:r>
      <w:r>
        <w:rPr>
          <w:lang w:val="en-AU"/>
        </w:rPr>
        <w:t xml:space="preserve">in </w:t>
      </w:r>
      <w:r w:rsidR="00C964D9">
        <w:rPr>
          <w:lang w:val="en-AU"/>
        </w:rPr>
        <w:t>summarised, mostly graphical form that we considered as being most informative for a general audience. M</w:t>
      </w:r>
      <w:r>
        <w:rPr>
          <w:lang w:val="en-AU"/>
        </w:rPr>
        <w:t xml:space="preserve">ore detailed data </w:t>
      </w:r>
      <w:r w:rsidR="00D80AB2">
        <w:rPr>
          <w:lang w:val="en-AU"/>
        </w:rPr>
        <w:t xml:space="preserve">are </w:t>
      </w:r>
      <w:r w:rsidR="00C964D9">
        <w:rPr>
          <w:lang w:val="en-AU"/>
        </w:rPr>
        <w:t>included</w:t>
      </w:r>
      <w:r>
        <w:rPr>
          <w:lang w:val="en-AU"/>
        </w:rPr>
        <w:t xml:space="preserve"> in Appendix 2.</w:t>
      </w:r>
    </w:p>
    <w:p w14:paraId="6E202E15" w14:textId="27500A32" w:rsidR="00E0414B" w:rsidRDefault="00E0414B" w:rsidP="00FA3CF6">
      <w:bookmarkStart w:id="684" w:name="_Ref437544292"/>
      <w:r>
        <w:rPr>
          <w:noProof/>
          <w:lang w:val="en-AU" w:eastAsia="en-AU"/>
        </w:rPr>
        <mc:AlternateContent>
          <mc:Choice Requires="wps">
            <w:drawing>
              <wp:anchor distT="0" distB="0" distL="114300" distR="114300" simplePos="0" relativeHeight="251666944" behindDoc="0" locked="0" layoutInCell="1" allowOverlap="1" wp14:anchorId="6394D6A9" wp14:editId="0E9030EC">
                <wp:simplePos x="0" y="0"/>
                <wp:positionH relativeFrom="column">
                  <wp:posOffset>4239895</wp:posOffset>
                </wp:positionH>
                <wp:positionV relativeFrom="paragraph">
                  <wp:posOffset>922655</wp:posOffset>
                </wp:positionV>
                <wp:extent cx="629285" cy="34480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285" cy="344805"/>
                        </a:xfrm>
                        <a:prstGeom prst="rect">
                          <a:avLst/>
                        </a:prstGeom>
                        <a:solidFill>
                          <a:srgbClr val="FFFFFF"/>
                        </a:solidFill>
                        <a:ln w="9525">
                          <a:noFill/>
                          <a:miter lim="800000"/>
                          <a:headEnd/>
                          <a:tailEnd/>
                        </a:ln>
                      </wps:spPr>
                      <wps:txbx>
                        <w:txbxContent>
                          <w:p w14:paraId="5A606689" w14:textId="77777777" w:rsidR="009F7BB3" w:rsidRPr="004A5BF7" w:rsidRDefault="009F7BB3" w:rsidP="00E0414B">
                            <w:pPr>
                              <w:rPr>
                                <w:color w:val="1F497D" w:themeColor="text2"/>
                                <w:sz w:val="20"/>
                              </w:rPr>
                            </w:pPr>
                            <w:r w:rsidRPr="004A5BF7">
                              <w:rPr>
                                <w:color w:val="1F497D" w:themeColor="text2"/>
                                <w:sz w:val="20"/>
                              </w:rPr>
                              <w:t>Cause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333.85pt;margin-top:72.65pt;width:49.55pt;height:27.1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" stroked="f">
                <v:textbox>
                  <w:txbxContent>
                    <w:p w14:paraId="5A606689" w14:textId="77777777" w:rsidR="009F7BB3" w:rsidRPr="004A5BF7" w:rsidRDefault="009F7BB3" w:rsidP="00E0414B">
                      <w:pPr>
                        <w:rPr>
                          <w:color w:val="1F497D" w:themeColor="text2"/>
                          <w:sz w:val="20"/>
                        </w:rPr>
                      </w:pPr>
                      <w:r w:rsidRPr="004A5BF7">
                        <w:rPr>
                          <w:color w:val="1F497D" w:themeColor="text2"/>
                          <w:sz w:val="20"/>
                        </w:rPr>
                        <w:t>Cause</w:t>
                      </w:r>
                    </w:p>
                  </w:txbxContent>
                </v:textbox>
              </v:shape>
            </w:pict>
          </mc:Fallback>
        </mc:AlternateContent>
      </w:r>
      <w:r>
        <w:rPr>
          <w:noProof/>
          <w:lang w:val="en-AU" w:eastAsia="en-AU"/>
        </w:rPr>
        <mc:AlternateContent>
          <mc:Choice Requires="wps">
            <w:drawing>
              <wp:anchor distT="0" distB="0" distL="114300" distR="114300" simplePos="0" relativeHeight="251667968" behindDoc="0" locked="0" layoutInCell="1" allowOverlap="1" wp14:anchorId="6BAD0E89" wp14:editId="44A3EC71">
                <wp:simplePos x="0" y="0"/>
                <wp:positionH relativeFrom="column">
                  <wp:posOffset>4688205</wp:posOffset>
                </wp:positionH>
                <wp:positionV relativeFrom="paragraph">
                  <wp:posOffset>2932430</wp:posOffset>
                </wp:positionV>
                <wp:extent cx="629285" cy="353060"/>
                <wp:effectExtent l="0" t="0" r="0" b="8890"/>
                <wp:wrapNone/>
                <wp:docPr id="7217" name="Text Box 7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285" cy="353060"/>
                        </a:xfrm>
                        <a:prstGeom prst="rect">
                          <a:avLst/>
                        </a:prstGeom>
                        <a:solidFill>
                          <a:srgbClr val="FFFFFF"/>
                        </a:solidFill>
                        <a:ln w="9525">
                          <a:noFill/>
                          <a:miter lim="800000"/>
                          <a:headEnd/>
                          <a:tailEnd/>
                        </a:ln>
                      </wps:spPr>
                      <wps:txbx>
                        <w:txbxContent>
                          <w:p w14:paraId="2826A8A3" w14:textId="77777777" w:rsidR="009F7BB3" w:rsidRPr="004A5BF7" w:rsidRDefault="009F7BB3" w:rsidP="00E0414B">
                            <w:pPr>
                              <w:rPr>
                                <w:color w:val="1F497D" w:themeColor="text2"/>
                                <w:sz w:val="20"/>
                              </w:rPr>
                            </w:pPr>
                            <w:r w:rsidRPr="004A5BF7">
                              <w:rPr>
                                <w:color w:val="1F497D" w:themeColor="text2"/>
                                <w:sz w:val="20"/>
                              </w:rPr>
                              <w:t>Affect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7217" o:spid="_x0000_s1030" type="#_x0000_t202" style="position:absolute;left:0;text-align:left;margin-left:369.15pt;margin-top:230.9pt;width:49.55pt;height:27.8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" stroked="f">
                <v:textbox>
                  <w:txbxContent>
                    <w:p w14:paraId="2826A8A3" w14:textId="77777777" w:rsidR="009F7BB3" w:rsidRPr="004A5BF7" w:rsidRDefault="009F7BB3" w:rsidP="00E0414B">
                      <w:pPr>
                        <w:rPr>
                          <w:color w:val="1F497D" w:themeColor="text2"/>
                          <w:sz w:val="20"/>
                        </w:rPr>
                      </w:pPr>
                      <w:r w:rsidRPr="004A5BF7">
                        <w:rPr>
                          <w:color w:val="1F497D" w:themeColor="text2"/>
                          <w:sz w:val="20"/>
                        </w:rPr>
                        <w:t>Affect</w:t>
                      </w:r>
                    </w:p>
                  </w:txbxContent>
                </v:textbox>
              </v:shape>
            </w:pict>
          </mc:Fallback>
        </mc:AlternateContent>
      </w:r>
      <w:r>
        <w:rPr>
          <w:noProof/>
          <w:lang w:val="en-AU" w:eastAsia="en-AU"/>
        </w:rPr>
        <mc:AlternateContent>
          <mc:Choice Requires="wps">
            <w:drawing>
              <wp:anchor distT="0" distB="0" distL="114300" distR="114300" simplePos="0" relativeHeight="251668992" behindDoc="0" locked="0" layoutInCell="1" allowOverlap="1" wp14:anchorId="5FF79D65" wp14:editId="62A7F896">
                <wp:simplePos x="0" y="0"/>
                <wp:positionH relativeFrom="column">
                  <wp:posOffset>1423035</wp:posOffset>
                </wp:positionH>
                <wp:positionV relativeFrom="paragraph">
                  <wp:posOffset>4284122</wp:posOffset>
                </wp:positionV>
                <wp:extent cx="748030" cy="356235"/>
                <wp:effectExtent l="0" t="0" r="0" b="5715"/>
                <wp:wrapNone/>
                <wp:docPr id="7213" name="Text Box 72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8030" cy="356235"/>
                        </a:xfrm>
                        <a:prstGeom prst="rect">
                          <a:avLst/>
                        </a:prstGeom>
                        <a:solidFill>
                          <a:srgbClr val="FFFFFF"/>
                        </a:solidFill>
                        <a:ln w="9525">
                          <a:noFill/>
                          <a:miter lim="800000"/>
                          <a:headEnd/>
                          <a:tailEnd/>
                        </a:ln>
                      </wps:spPr>
                      <wps:txbx>
                        <w:txbxContent>
                          <w:p w14:paraId="3F4A803E" w14:textId="77777777" w:rsidR="009F7BB3" w:rsidRPr="004A5BF7" w:rsidRDefault="009F7BB3" w:rsidP="00E0414B">
                            <w:pPr>
                              <w:rPr>
                                <w:color w:val="1F497D" w:themeColor="text2"/>
                                <w:sz w:val="20"/>
                              </w:rPr>
                            </w:pPr>
                            <w:r w:rsidRPr="004A5BF7">
                              <w:rPr>
                                <w:color w:val="1F497D" w:themeColor="text2"/>
                                <w:sz w:val="20"/>
                              </w:rPr>
                              <w:t>Provides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7213" o:spid="_x0000_s1031" type="#_x0000_t202" style="position:absolute;left:0;text-align:left;margin-left:112.05pt;margin-top:337.35pt;width:58.9pt;height:28.0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" stroked="f">
                <v:textbox>
                  <w:txbxContent>
                    <w:p w14:paraId="3F4A803E" w14:textId="77777777" w:rsidR="009F7BB3" w:rsidRPr="004A5BF7" w:rsidRDefault="009F7BB3" w:rsidP="00E0414B">
                      <w:pPr>
                        <w:rPr>
                          <w:color w:val="1F497D" w:themeColor="text2"/>
                          <w:sz w:val="20"/>
                        </w:rPr>
                      </w:pPr>
                      <w:r w:rsidRPr="004A5BF7">
                        <w:rPr>
                          <w:color w:val="1F497D" w:themeColor="text2"/>
                          <w:sz w:val="20"/>
                        </w:rPr>
                        <w:t>Provides</w:t>
                      </w:r>
                    </w:p>
                  </w:txbxContent>
                </v:textbox>
              </v:shape>
            </w:pict>
          </mc:Fallback>
        </mc:AlternateContent>
      </w:r>
      <w:r>
        <w:rPr>
          <w:noProof/>
          <w:lang w:val="en-AU" w:eastAsia="en-AU"/>
        </w:rPr>
        <w:drawing>
          <wp:inline distT="0" distB="0" distL="0" distR="0" wp14:anchorId="2DD74B47" wp14:editId="2BDEF2FF">
            <wp:extent cx="5605153" cy="4512623"/>
            <wp:effectExtent l="0" t="0" r="14605" b="0"/>
            <wp:docPr id="7218" name="Diagram 7218" descr="Conceptual diagram representing DPSIR framework used to guide the structure of the MMP, derived from the Great Barrier Reef Strategic Assessment, 2015. Shows drivers, impacts/pressures, condition, community benefits and management responses in a cycle." title="Figure 5 1: DPSIR framework used to guide the structure of the MMP, derived from the Great Barrier Reef Strategic Assessment, 2015. The aspects highlighted in yellow are included in this report."/>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3" r:lo="rId304" r:qs="rId305" r:cs="rId306"/>
              </a:graphicData>
            </a:graphic>
          </wp:inline>
        </w:drawing>
      </w:r>
    </w:p>
    <w:p w14:paraId="38723CA6" w14:textId="77777777" w:rsidR="00E0414B" w:rsidRDefault="00E0414B" w:rsidP="00124249"/>
    <w:p w14:paraId="5F22EDBB" w14:textId="2D9D87D2" w:rsidR="00ED6CDE" w:rsidRDefault="00251DF7" w:rsidP="004A5BF7">
      <w:pPr>
        <w:pStyle w:val="Caption"/>
        <w:rPr>
          <w:lang w:val="en-AU"/>
        </w:rPr>
      </w:pPr>
      <w:bookmarkStart w:id="685" w:name="_Ref459146656"/>
      <w:bookmarkStart w:id="686" w:name="_Toc459332359"/>
      <w:r w:rsidRPr="00C73829">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1</w:t>
      </w:r>
      <w:r w:rsidR="00C62884">
        <w:fldChar w:fldCharType="end"/>
      </w:r>
      <w:bookmarkEnd w:id="684"/>
      <w:bookmarkEnd w:id="685"/>
      <w:r w:rsidRPr="00C73829">
        <w:t xml:space="preserve">: </w:t>
      </w:r>
      <w:r>
        <w:t>DPSIR framework</w:t>
      </w:r>
      <w:r w:rsidR="007A3201">
        <w:t xml:space="preserve"> used to guide the</w:t>
      </w:r>
      <w:r>
        <w:t xml:space="preserve"> structure of the MMP</w:t>
      </w:r>
      <w:r w:rsidR="002B4C00">
        <w:t>, derived from the Great Barrier Reef Strategic Assessment, 2015. The aspects highlighted in yellow are included in this report</w:t>
      </w:r>
      <w:r>
        <w:t>.</w:t>
      </w:r>
      <w:bookmarkEnd w:id="686"/>
    </w:p>
    <w:p w14:paraId="5F22EDBC" w14:textId="77F00C3F" w:rsidR="00A473C8" w:rsidRPr="00C73829" w:rsidRDefault="0090524F" w:rsidP="00C73829">
      <w:pPr>
        <w:pStyle w:val="Heading2"/>
      </w:pPr>
      <w:bookmarkStart w:id="687" w:name="_Toc462307441"/>
      <w:r w:rsidRPr="00C45AA5">
        <w:t>Drivers</w:t>
      </w:r>
      <w:r w:rsidR="00631E0F" w:rsidRPr="00C45AA5">
        <w:t>, activities</w:t>
      </w:r>
      <w:r w:rsidR="00631E0F">
        <w:t>, impacts</w:t>
      </w:r>
      <w:r w:rsidRPr="00C73829">
        <w:t xml:space="preserve"> </w:t>
      </w:r>
      <w:r w:rsidR="00EE0294">
        <w:t xml:space="preserve">and pressures </w:t>
      </w:r>
      <w:r w:rsidR="00B13A3C" w:rsidRPr="00C73829">
        <w:t>2014-15</w:t>
      </w:r>
      <w:bookmarkEnd w:id="687"/>
    </w:p>
    <w:p w14:paraId="3820B46A" w14:textId="0D0C6D4A" w:rsidR="00EE0294" w:rsidRDefault="00016741" w:rsidP="004A5BF7">
      <w:pPr>
        <w:pStyle w:val="Heading30"/>
        <w:numPr>
          <w:ilvl w:val="2"/>
          <w:numId w:val="42"/>
        </w:numPr>
      </w:pPr>
      <w:bookmarkStart w:id="688" w:name="_Toc462307442"/>
      <w:r>
        <w:t>Cyclone activity</w:t>
      </w:r>
      <w:bookmarkEnd w:id="688"/>
    </w:p>
    <w:p w14:paraId="4C17B1DB" w14:textId="77777777" w:rsidR="007F5336" w:rsidRDefault="001254DC" w:rsidP="00023707">
      <w:r w:rsidRPr="008467AA">
        <w:rPr>
          <w:lang w:val="en-AU"/>
        </w:rPr>
        <w:t xml:space="preserve">The </w:t>
      </w:r>
      <w:r w:rsidR="00C45AA5">
        <w:rPr>
          <w:lang w:val="en-AU"/>
        </w:rPr>
        <w:t>2014-</w:t>
      </w:r>
      <w:r w:rsidR="00C45AA5" w:rsidRPr="008467AA">
        <w:rPr>
          <w:lang w:val="en-AU"/>
        </w:rPr>
        <w:t xml:space="preserve">15 </w:t>
      </w:r>
      <w:r w:rsidRPr="008467AA">
        <w:rPr>
          <w:lang w:val="en-AU"/>
        </w:rPr>
        <w:t>wet season was characterised by neither El Niño nor La Niña climatic conditions</w:t>
      </w:r>
      <w:r w:rsidR="00EE0294">
        <w:rPr>
          <w:lang w:val="en-AU"/>
        </w:rPr>
        <w:t>,</w:t>
      </w:r>
      <w:r w:rsidRPr="008467AA">
        <w:rPr>
          <w:lang w:val="en-AU"/>
        </w:rPr>
        <w:t xml:space="preserve"> and </w:t>
      </w:r>
      <w:r w:rsidR="00C45AA5" w:rsidRPr="008467AA">
        <w:rPr>
          <w:lang w:val="en-AU"/>
        </w:rPr>
        <w:t xml:space="preserve">Queensland </w:t>
      </w:r>
      <w:r w:rsidRPr="008467AA">
        <w:rPr>
          <w:lang w:val="en-AU"/>
        </w:rPr>
        <w:t>tropical cyclone activity was near</w:t>
      </w:r>
      <w:r w:rsidR="00C45AA5">
        <w:rPr>
          <w:lang w:val="en-AU"/>
        </w:rPr>
        <w:t xml:space="preserve"> long term</w:t>
      </w:r>
      <w:r w:rsidRPr="008467AA">
        <w:rPr>
          <w:lang w:val="en-AU"/>
        </w:rPr>
        <w:t xml:space="preserve"> average </w:t>
      </w:r>
      <w:r w:rsidR="00C45AA5">
        <w:rPr>
          <w:lang w:val="en-AU"/>
        </w:rPr>
        <w:t>conditions</w:t>
      </w:r>
      <w:r w:rsidRPr="008467AA">
        <w:rPr>
          <w:lang w:val="en-AU"/>
        </w:rPr>
        <w:t xml:space="preserve">. After a late start to the wet season, </w:t>
      </w:r>
      <w:r w:rsidR="00C45AA5" w:rsidRPr="00A13B8E">
        <w:rPr>
          <w:lang w:val="en-AU"/>
        </w:rPr>
        <w:t>flood</w:t>
      </w:r>
      <w:r w:rsidR="00C45AA5">
        <w:rPr>
          <w:lang w:val="en-AU"/>
        </w:rPr>
        <w:t xml:space="preserve"> events</w:t>
      </w:r>
      <w:r w:rsidR="00C45AA5" w:rsidRPr="00A13B8E">
        <w:rPr>
          <w:lang w:val="en-AU"/>
        </w:rPr>
        <w:t xml:space="preserve"> occurred </w:t>
      </w:r>
      <w:r w:rsidR="00C45AA5">
        <w:rPr>
          <w:lang w:val="en-AU"/>
        </w:rPr>
        <w:t xml:space="preserve">in the </w:t>
      </w:r>
      <w:r w:rsidR="007A3201" w:rsidRPr="00A13B8E">
        <w:rPr>
          <w:lang w:val="en-AU"/>
        </w:rPr>
        <w:t xml:space="preserve">Wet Tropics in mid-February and mid-March 2015, in the Burdekin in mid-December 2014 and end of January 2015, and </w:t>
      </w:r>
      <w:r w:rsidR="00C45AA5">
        <w:rPr>
          <w:lang w:val="en-AU"/>
        </w:rPr>
        <w:t xml:space="preserve">in </w:t>
      </w:r>
      <w:r w:rsidR="007A3201" w:rsidRPr="00A13B8E">
        <w:rPr>
          <w:lang w:val="en-AU"/>
        </w:rPr>
        <w:t>the Mackay</w:t>
      </w:r>
      <w:r w:rsidR="00C45AA5">
        <w:rPr>
          <w:lang w:val="en-AU"/>
        </w:rPr>
        <w:t xml:space="preserve"> </w:t>
      </w:r>
      <w:r w:rsidR="007A3201" w:rsidRPr="00A13B8E">
        <w:rPr>
          <w:lang w:val="en-AU"/>
        </w:rPr>
        <w:t>Whitsunday region in mid-January 2015</w:t>
      </w:r>
      <w:r w:rsidRPr="008467AA">
        <w:rPr>
          <w:lang w:val="en-AU"/>
        </w:rPr>
        <w:t>. Over this period two major cyclones developed in North Queensland, bringing intense rainfall</w:t>
      </w:r>
      <w:r w:rsidR="00C45AA5">
        <w:rPr>
          <w:lang w:val="en-AU"/>
        </w:rPr>
        <w:t>;</w:t>
      </w:r>
      <w:r w:rsidR="00016741">
        <w:rPr>
          <w:lang w:val="en-AU"/>
        </w:rPr>
        <w:t xml:space="preserve"> </w:t>
      </w:r>
      <w:r w:rsidRPr="008467AA">
        <w:rPr>
          <w:lang w:val="en-AU"/>
        </w:rPr>
        <w:t xml:space="preserve">Tropical Cyclone Marcia reached </w:t>
      </w:r>
      <w:r w:rsidR="00C45AA5">
        <w:rPr>
          <w:lang w:val="en-AU"/>
        </w:rPr>
        <w:t xml:space="preserve">a </w:t>
      </w:r>
      <w:r w:rsidRPr="008467AA">
        <w:rPr>
          <w:lang w:val="en-AU"/>
        </w:rPr>
        <w:t>Category</w:t>
      </w:r>
      <w:r w:rsidR="00016741">
        <w:rPr>
          <w:lang w:val="en-AU"/>
        </w:rPr>
        <w:t xml:space="preserve"> </w:t>
      </w:r>
      <w:r w:rsidRPr="008467AA">
        <w:rPr>
          <w:lang w:val="en-AU"/>
        </w:rPr>
        <w:t xml:space="preserve">5 </w:t>
      </w:r>
      <w:r w:rsidR="00C45AA5">
        <w:rPr>
          <w:lang w:val="en-AU"/>
        </w:rPr>
        <w:t>S</w:t>
      </w:r>
      <w:r w:rsidRPr="008467AA">
        <w:rPr>
          <w:lang w:val="en-AU"/>
        </w:rPr>
        <w:t xml:space="preserve">evere </w:t>
      </w:r>
      <w:r w:rsidR="00C45AA5">
        <w:rPr>
          <w:lang w:val="en-AU"/>
        </w:rPr>
        <w:t>T</w:t>
      </w:r>
      <w:r w:rsidRPr="008467AA">
        <w:rPr>
          <w:lang w:val="en-AU"/>
        </w:rPr>
        <w:t xml:space="preserve">ropical </w:t>
      </w:r>
      <w:r w:rsidR="00C45AA5">
        <w:rPr>
          <w:lang w:val="en-AU"/>
        </w:rPr>
        <w:t>C</w:t>
      </w:r>
      <w:r w:rsidRPr="008467AA">
        <w:rPr>
          <w:lang w:val="en-AU"/>
        </w:rPr>
        <w:t xml:space="preserve">yclone on 20 February 2015 before making </w:t>
      </w:r>
      <w:hyperlink r:id="rId308" w:tooltip="Landfall (meteorology)" w:history="1">
        <w:r w:rsidRPr="008467AA">
          <w:rPr>
            <w:lang w:val="en-AU"/>
          </w:rPr>
          <w:t>landfall</w:t>
        </w:r>
      </w:hyperlink>
      <w:r w:rsidRPr="008467AA">
        <w:rPr>
          <w:lang w:val="en-AU"/>
        </w:rPr>
        <w:t xml:space="preserve"> </w:t>
      </w:r>
      <w:r w:rsidR="00510541">
        <w:rPr>
          <w:lang w:val="en-AU"/>
        </w:rPr>
        <w:t>at Shoalwater Bay (north of Yeppoon, Fitzroy region</w:t>
      </w:r>
      <w:r w:rsidRPr="008467AA">
        <w:rPr>
          <w:lang w:val="en-AU"/>
        </w:rPr>
        <w:t>)</w:t>
      </w:r>
      <w:r w:rsidR="00C45AA5">
        <w:rPr>
          <w:lang w:val="en-AU"/>
        </w:rPr>
        <w:t>,</w:t>
      </w:r>
      <w:r w:rsidR="00016741">
        <w:rPr>
          <w:lang w:val="en-AU"/>
        </w:rPr>
        <w:t xml:space="preserve"> and </w:t>
      </w:r>
      <w:r w:rsidRPr="008467AA">
        <w:rPr>
          <w:lang w:val="en-AU"/>
        </w:rPr>
        <w:t xml:space="preserve">Tropical Cyclone Nathan made </w:t>
      </w:r>
      <w:hyperlink r:id="rId309" w:tooltip="Landfall (meteorology)" w:history="1">
        <w:r w:rsidRPr="008467AA">
          <w:rPr>
            <w:lang w:val="en-AU"/>
          </w:rPr>
          <w:t>landfall</w:t>
        </w:r>
      </w:hyperlink>
      <w:r w:rsidRPr="008467AA">
        <w:rPr>
          <w:lang w:val="en-AU"/>
        </w:rPr>
        <w:t xml:space="preserve"> as</w:t>
      </w:r>
      <w:r w:rsidR="00510541">
        <w:rPr>
          <w:lang w:val="en-AU"/>
        </w:rPr>
        <w:t xml:space="preserve"> a</w:t>
      </w:r>
      <w:r w:rsidRPr="008467AA">
        <w:rPr>
          <w:lang w:val="en-AU"/>
        </w:rPr>
        <w:t xml:space="preserve"> Category</w:t>
      </w:r>
      <w:r w:rsidR="00016741">
        <w:rPr>
          <w:lang w:val="en-AU"/>
        </w:rPr>
        <w:t xml:space="preserve"> </w:t>
      </w:r>
      <w:r w:rsidRPr="008467AA">
        <w:rPr>
          <w:lang w:val="en-AU"/>
        </w:rPr>
        <w:t xml:space="preserve">3 </w:t>
      </w:r>
      <w:r w:rsidR="00C45AA5">
        <w:rPr>
          <w:lang w:val="en-AU"/>
        </w:rPr>
        <w:t>c</w:t>
      </w:r>
      <w:r w:rsidR="00510541">
        <w:rPr>
          <w:lang w:val="en-AU"/>
        </w:rPr>
        <w:t xml:space="preserve">yclone </w:t>
      </w:r>
      <w:r w:rsidRPr="008467AA">
        <w:rPr>
          <w:lang w:val="en-AU"/>
        </w:rPr>
        <w:t>on 20</w:t>
      </w:r>
      <w:r w:rsidR="00016741">
        <w:rPr>
          <w:lang w:val="en-AU"/>
        </w:rPr>
        <w:t xml:space="preserve"> </w:t>
      </w:r>
      <w:r w:rsidRPr="008467AA">
        <w:rPr>
          <w:lang w:val="en-AU"/>
        </w:rPr>
        <w:t xml:space="preserve">March 2015 </w:t>
      </w:r>
      <w:r w:rsidR="00510541">
        <w:rPr>
          <w:lang w:val="en-AU"/>
        </w:rPr>
        <w:t xml:space="preserve">near Cape Flattery </w:t>
      </w:r>
      <w:r w:rsidRPr="008467AA">
        <w:rPr>
          <w:lang w:val="en-AU"/>
        </w:rPr>
        <w:t>at Yarranden, north of Cooktown (Cape York</w:t>
      </w:r>
      <w:r w:rsidR="00510541">
        <w:rPr>
          <w:lang w:val="en-AU"/>
        </w:rPr>
        <w:t xml:space="preserve"> region</w:t>
      </w:r>
      <w:r w:rsidRPr="008467AA">
        <w:rPr>
          <w:lang w:val="en-AU"/>
        </w:rPr>
        <w:t>)</w:t>
      </w:r>
      <w:r w:rsidR="00016741" w:rsidRPr="00016741">
        <w:rPr>
          <w:lang w:val="en-AU"/>
        </w:rPr>
        <w:t xml:space="preserve"> </w:t>
      </w:r>
      <w:r w:rsidR="00016741" w:rsidRPr="008467AA">
        <w:rPr>
          <w:lang w:val="en-AU"/>
        </w:rPr>
        <w:t>(</w:t>
      </w:r>
      <w:r w:rsidR="00AB2398">
        <w:rPr>
          <w:lang w:val="en-AU"/>
        </w:rPr>
        <w:fldChar w:fldCharType="begin"/>
      </w:r>
      <w:r w:rsidR="00AB2398">
        <w:rPr>
          <w:lang w:val="en-AU"/>
        </w:rPr>
        <w:instrText xml:space="preserve"> REF _Ref459146697 \h </w:instrText>
      </w:r>
      <w:r w:rsidR="00AB2398">
        <w:rPr>
          <w:lang w:val="en-AU"/>
        </w:rPr>
      </w:r>
      <w:r w:rsidR="00AB2398">
        <w:rPr>
          <w:lang w:val="en-AU"/>
        </w:rPr>
        <w:fldChar w:fldCharType="separate"/>
      </w:r>
      <w:r w:rsidR="007F5336" w:rsidRPr="00C73829">
        <w:t xml:space="preserve">Figure </w:t>
      </w:r>
      <w:r w:rsidR="007F5336">
        <w:rPr>
          <w:noProof/>
        </w:rPr>
        <w:t>5</w:t>
      </w:r>
      <w:r w:rsidR="007F5336">
        <w:noBreakHyphen/>
      </w:r>
      <w:r w:rsidR="007F5336">
        <w:rPr>
          <w:noProof/>
        </w:rPr>
        <w:t>2</w:t>
      </w:r>
      <w:r w:rsidR="00AB2398">
        <w:rPr>
          <w:lang w:val="en-AU"/>
        </w:rPr>
        <w:fldChar w:fldCharType="end"/>
      </w:r>
      <w:r w:rsidR="00016741" w:rsidRPr="008467AA">
        <w:rPr>
          <w:lang w:val="en-AU"/>
        </w:rPr>
        <w:t>)</w:t>
      </w:r>
      <w:r w:rsidRPr="008467AA">
        <w:rPr>
          <w:lang w:val="en-AU"/>
        </w:rPr>
        <w:t>.</w:t>
      </w:r>
      <w:r w:rsidR="0090524F">
        <w:rPr>
          <w:lang w:val="en-AU"/>
        </w:rPr>
        <w:t xml:space="preserve"> </w:t>
      </w:r>
      <w:r w:rsidR="00016741" w:rsidRPr="008467AA">
        <w:rPr>
          <w:lang w:val="en-AU"/>
        </w:rPr>
        <w:t>The passage of Ex-Tropical Cyclone Marcia brought heavy rains in the South Queensland and Ex-Tropical Cyclone Nathan affected more the area of the Gulf of Carpentaria.</w:t>
      </w:r>
      <w:r w:rsidR="00016741">
        <w:rPr>
          <w:lang w:val="en-AU"/>
        </w:rPr>
        <w:t xml:space="preserve"> </w:t>
      </w:r>
      <w:r w:rsidR="0090524F">
        <w:rPr>
          <w:lang w:val="en-AU"/>
        </w:rPr>
        <w:t xml:space="preserve">As they were far away from the </w:t>
      </w:r>
      <w:r w:rsidR="00F47AB8">
        <w:rPr>
          <w:lang w:val="en-AU"/>
        </w:rPr>
        <w:t xml:space="preserve">focus </w:t>
      </w:r>
      <w:r w:rsidR="00C45AA5">
        <w:rPr>
          <w:lang w:val="en-AU"/>
        </w:rPr>
        <w:t xml:space="preserve">areas </w:t>
      </w:r>
      <w:r w:rsidR="00F47AB8">
        <w:rPr>
          <w:lang w:val="en-AU"/>
        </w:rPr>
        <w:t>monitored in the MMP</w:t>
      </w:r>
      <w:r w:rsidR="0090524F">
        <w:rPr>
          <w:lang w:val="en-AU"/>
        </w:rPr>
        <w:t>, these</w:t>
      </w:r>
      <w:r w:rsidRPr="008467AA">
        <w:rPr>
          <w:lang w:val="en-AU"/>
        </w:rPr>
        <w:t xml:space="preserve"> storms did not </w:t>
      </w:r>
      <w:r w:rsidR="0090524F">
        <w:rPr>
          <w:lang w:val="en-AU"/>
        </w:rPr>
        <w:t>result in a</w:t>
      </w:r>
      <w:r w:rsidR="00456967">
        <w:rPr>
          <w:lang w:val="en-AU"/>
        </w:rPr>
        <w:t>n</w:t>
      </w:r>
      <w:r w:rsidR="0090524F" w:rsidRPr="008467AA">
        <w:rPr>
          <w:lang w:val="en-AU"/>
        </w:rPr>
        <w:t xml:space="preserve"> </w:t>
      </w:r>
      <w:r w:rsidR="0077687D">
        <w:rPr>
          <w:lang w:val="en-AU"/>
        </w:rPr>
        <w:t xml:space="preserve">above median </w:t>
      </w:r>
      <w:r w:rsidRPr="008467AA">
        <w:rPr>
          <w:lang w:val="en-AU"/>
        </w:rPr>
        <w:t xml:space="preserve">flood signal </w:t>
      </w:r>
      <w:r w:rsidR="00C45AA5">
        <w:rPr>
          <w:lang w:val="en-AU"/>
        </w:rPr>
        <w:t xml:space="preserve">in </w:t>
      </w:r>
      <w:r w:rsidR="00C45AA5" w:rsidRPr="008467AA">
        <w:rPr>
          <w:lang w:val="en-AU"/>
        </w:rPr>
        <w:t xml:space="preserve">the </w:t>
      </w:r>
      <w:r w:rsidRPr="008467AA">
        <w:rPr>
          <w:lang w:val="en-AU"/>
        </w:rPr>
        <w:t xml:space="preserve">monitored </w:t>
      </w:r>
      <w:r w:rsidR="00C45AA5">
        <w:rPr>
          <w:lang w:val="en-AU"/>
        </w:rPr>
        <w:t>areas</w:t>
      </w:r>
      <w:r w:rsidR="00C45AA5" w:rsidRPr="008467AA">
        <w:rPr>
          <w:lang w:val="en-AU"/>
        </w:rPr>
        <w:t xml:space="preserve"> </w:t>
      </w:r>
      <w:r w:rsidRPr="008467AA">
        <w:rPr>
          <w:lang w:val="en-AU"/>
        </w:rPr>
        <w:t xml:space="preserve">this wet season </w:t>
      </w:r>
      <w:r w:rsidR="005B1D9A">
        <w:rPr>
          <w:lang w:val="en-AU"/>
        </w:rPr>
        <w:t>(see Freshwater Discharge below)</w:t>
      </w:r>
      <w:r w:rsidR="0090524F">
        <w:rPr>
          <w:lang w:val="en-AU"/>
        </w:rPr>
        <w:t xml:space="preserve">. </w:t>
      </w:r>
      <w:r w:rsidR="00734F92">
        <w:fldChar w:fldCharType="begin"/>
      </w:r>
      <w:r w:rsidR="00734F92">
        <w:instrText xml:space="preserve"> REF _Ref452319148 \h </w:instrText>
      </w:r>
      <w:r w:rsidR="00734F92">
        <w:fldChar w:fldCharType="separate"/>
      </w:r>
    </w:p>
    <w:p w14:paraId="6CAFB3C4" w14:textId="0123E035" w:rsidR="00016741" w:rsidRPr="00D33068" w:rsidRDefault="007F5336" w:rsidP="004A5BF7">
      <w:pPr>
        <w:rPr>
          <w:lang w:val="en-AU"/>
        </w:rPr>
      </w:pPr>
      <w:r w:rsidRPr="00C73829">
        <w:t xml:space="preserve">Figure </w:t>
      </w:r>
      <w:r>
        <w:rPr>
          <w:noProof/>
        </w:rPr>
        <w:t>5</w:t>
      </w:r>
      <w:r>
        <w:noBreakHyphen/>
      </w:r>
      <w:r>
        <w:rPr>
          <w:noProof/>
        </w:rPr>
        <w:t>2</w:t>
      </w:r>
      <w:r w:rsidR="00734F92">
        <w:fldChar w:fldCharType="end"/>
      </w:r>
      <w:r w:rsidR="00734F92">
        <w:t xml:space="preserve"> shows the cyclones that have crossed the GBR coast in the </w:t>
      </w:r>
      <w:r w:rsidR="00734F92" w:rsidRPr="003B5424">
        <w:t>ten year</w:t>
      </w:r>
      <w:r w:rsidR="00734F92">
        <w:t>s</w:t>
      </w:r>
      <w:r w:rsidR="00734F92" w:rsidRPr="003B5424">
        <w:t xml:space="preserve"> since the </w:t>
      </w:r>
      <w:r w:rsidR="00734F92">
        <w:t>MMP</w:t>
      </w:r>
      <w:r w:rsidR="00734F92" w:rsidRPr="003B5424">
        <w:t xml:space="preserve"> began in 2005</w:t>
      </w:r>
      <w:r w:rsidR="00734F92">
        <w:t xml:space="preserve">. Nine of these cyclones have been </w:t>
      </w:r>
      <w:r w:rsidR="00C45AA5">
        <w:t>C</w:t>
      </w:r>
      <w:r w:rsidR="00734F92" w:rsidRPr="003B5424">
        <w:t>ategory 3 or ab</w:t>
      </w:r>
      <w:r w:rsidR="00734F92">
        <w:t xml:space="preserve">ove, and </w:t>
      </w:r>
      <w:r w:rsidR="00734F92" w:rsidRPr="003B5424">
        <w:t>have affected the</w:t>
      </w:r>
      <w:r w:rsidR="00734F92">
        <w:t xml:space="preserve"> health of the GBR</w:t>
      </w:r>
      <w:r w:rsidR="00734F92" w:rsidRPr="003B5424">
        <w:t xml:space="preserve">. All of the </w:t>
      </w:r>
      <w:r w:rsidR="00C45AA5">
        <w:t>C</w:t>
      </w:r>
      <w:r w:rsidR="00734F92" w:rsidRPr="003B5424">
        <w:t xml:space="preserve">ategory 5 cyclones </w:t>
      </w:r>
      <w:r w:rsidR="00734F92">
        <w:t>that affected the</w:t>
      </w:r>
      <w:r w:rsidR="00734F92" w:rsidRPr="003B5424">
        <w:t xml:space="preserve"> </w:t>
      </w:r>
      <w:r w:rsidR="00C45AA5">
        <w:t>GBR</w:t>
      </w:r>
      <w:r w:rsidR="00734F92" w:rsidRPr="003B5424">
        <w:t xml:space="preserve"> since 1970 have occurred in the last decade </w:t>
      </w:r>
      <w:r w:rsidR="00734F92" w:rsidRPr="00FE2084">
        <w:rPr>
          <w:rFonts w:eastAsia="Calibri" w:cs="Calibri"/>
        </w:rPr>
        <w:t xml:space="preserve">(including </w:t>
      </w:r>
      <w:r w:rsidR="00C45AA5">
        <w:rPr>
          <w:rFonts w:eastAsia="Calibri" w:cs="Calibri"/>
        </w:rPr>
        <w:t>T</w:t>
      </w:r>
      <w:r w:rsidR="00734F92" w:rsidRPr="00FE2084">
        <w:rPr>
          <w:rFonts w:eastAsia="Calibri" w:cs="Calibri"/>
        </w:rPr>
        <w:t xml:space="preserve">ropical </w:t>
      </w:r>
      <w:r w:rsidR="00C45AA5">
        <w:rPr>
          <w:rFonts w:eastAsia="Calibri" w:cs="Calibri"/>
        </w:rPr>
        <w:t>C</w:t>
      </w:r>
      <w:r w:rsidR="00734F92" w:rsidRPr="00FE2084">
        <w:rPr>
          <w:rFonts w:eastAsia="Calibri" w:cs="Calibri"/>
        </w:rPr>
        <w:t xml:space="preserve">yclones </w:t>
      </w:r>
      <w:r w:rsidR="00734F92" w:rsidRPr="004A5BF7">
        <w:rPr>
          <w:rFonts w:eastAsia="Calibri" w:cs="Calibri"/>
        </w:rPr>
        <w:t>Larry</w:t>
      </w:r>
      <w:r w:rsidR="00734F92" w:rsidRPr="00C45AA5">
        <w:rPr>
          <w:rFonts w:eastAsia="Calibri" w:cs="Calibri"/>
        </w:rPr>
        <w:t xml:space="preserve">, </w:t>
      </w:r>
      <w:r w:rsidR="00734F92" w:rsidRPr="004A5BF7">
        <w:rPr>
          <w:rFonts w:eastAsia="Calibri" w:cs="Calibri"/>
        </w:rPr>
        <w:t>Hamish</w:t>
      </w:r>
      <w:r w:rsidR="00734F92" w:rsidRPr="00C45AA5">
        <w:rPr>
          <w:rFonts w:eastAsia="Calibri" w:cs="Calibri"/>
        </w:rPr>
        <w:t xml:space="preserve">, </w:t>
      </w:r>
      <w:r w:rsidR="00734F92" w:rsidRPr="004A5BF7">
        <w:rPr>
          <w:rFonts w:eastAsia="Calibri" w:cs="Calibri"/>
        </w:rPr>
        <w:t>Yasi</w:t>
      </w:r>
      <w:r w:rsidR="00734F92" w:rsidRPr="00C45AA5">
        <w:rPr>
          <w:rFonts w:eastAsia="Calibri" w:cs="Calibri"/>
        </w:rPr>
        <w:t xml:space="preserve">, </w:t>
      </w:r>
      <w:r w:rsidR="00734F92" w:rsidRPr="004A5BF7">
        <w:rPr>
          <w:rFonts w:eastAsia="Calibri" w:cs="Calibri"/>
        </w:rPr>
        <w:t>Ita</w:t>
      </w:r>
      <w:r w:rsidR="00734F92" w:rsidRPr="00C45AA5">
        <w:rPr>
          <w:rFonts w:eastAsia="Calibri" w:cs="Calibri"/>
        </w:rPr>
        <w:t xml:space="preserve"> and </w:t>
      </w:r>
      <w:r w:rsidR="00734F92" w:rsidRPr="004A5BF7">
        <w:rPr>
          <w:rFonts w:eastAsia="Calibri" w:cs="Calibri"/>
        </w:rPr>
        <w:t>Marcia</w:t>
      </w:r>
      <w:r w:rsidR="00734F92" w:rsidRPr="00FE2084">
        <w:rPr>
          <w:rFonts w:eastAsia="Calibri" w:cs="Calibri"/>
        </w:rPr>
        <w:t>)</w:t>
      </w:r>
      <w:r w:rsidR="00734F92" w:rsidRPr="003B5424">
        <w:t>.</w:t>
      </w:r>
      <w:r w:rsidR="00734F92">
        <w:t xml:space="preserve"> </w:t>
      </w:r>
      <w:r w:rsidR="005E196D">
        <w:rPr>
          <w:rFonts w:eastAsia="Calibri" w:cs="Calibri"/>
        </w:rPr>
        <w:t>Many of these cyclones have caused widespread flooding from intensive rainfall events in many parts of the GBR catchment.</w:t>
      </w:r>
    </w:p>
    <w:p w14:paraId="62141C8E" w14:textId="6C0BE611" w:rsidR="007A3201" w:rsidRDefault="007A3201" w:rsidP="00023707">
      <w:bookmarkStart w:id="689" w:name="_Ref452319148"/>
      <w:r>
        <w:rPr>
          <w:noProof/>
          <w:lang w:val="en-AU" w:eastAsia="en-AU"/>
        </w:rPr>
        <w:drawing>
          <wp:anchor distT="0" distB="0" distL="114300" distR="114300" simplePos="0" relativeHeight="251647488" behindDoc="0" locked="0" layoutInCell="1" allowOverlap="1" wp14:anchorId="493AD740" wp14:editId="6A2FA4DD">
            <wp:simplePos x="0" y="0"/>
            <wp:positionH relativeFrom="column">
              <wp:posOffset>-4445</wp:posOffset>
            </wp:positionH>
            <wp:positionV relativeFrom="paragraph">
              <wp:posOffset>0</wp:posOffset>
            </wp:positionV>
            <wp:extent cx="6120765" cy="3615690"/>
            <wp:effectExtent l="0" t="0" r="0" b="3810"/>
            <wp:wrapTopAndBottom/>
            <wp:docPr id="7182" name="Picture 7182" descr="Panel of maps showing trajectories of Tropical Cyclones affecting the Great Barrier Reef in 2014-15 and in previous years (2006 to 2014). " title="Figure 5 2: Trajectories of Tropical Cyclones affecting the Great Barrier Reef in 2014-15 and in previous years (2006 to 2014).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clones_06-15_v2_300ppi.jpg"/>
                    <pic:cNvPicPr/>
                  </pic:nvPicPr>
                  <pic:blipFill>
                    <a:blip r:embed="rId310">
                      <a:extLst>
                        <a:ext uri="{28A0092B-C50C-407E-A947-70E740481C1C}">
                          <a14:useLocalDpi xmlns:a14="http://schemas.microsoft.com/office/drawing/2010/main" val="0"/>
                        </a:ext>
                      </a:extLst>
                    </a:blip>
                    <a:stretch>
                      <a:fillRect/>
                    </a:stretch>
                  </pic:blipFill>
                  <pic:spPr>
                    <a:xfrm>
                      <a:off x="0" y="0"/>
                      <a:ext cx="6120765" cy="3615690"/>
                    </a:xfrm>
                    <a:prstGeom prst="rect">
                      <a:avLst/>
                    </a:prstGeom>
                  </pic:spPr>
                </pic:pic>
              </a:graphicData>
            </a:graphic>
            <wp14:sizeRelH relativeFrom="page">
              <wp14:pctWidth>0</wp14:pctWidth>
            </wp14:sizeRelH>
            <wp14:sizeRelV relativeFrom="page">
              <wp14:pctHeight>0</wp14:pctHeight>
            </wp14:sizeRelV>
          </wp:anchor>
        </w:drawing>
      </w:r>
    </w:p>
    <w:p w14:paraId="4F4E8546" w14:textId="77777777" w:rsidR="001C252C" w:rsidRDefault="00016741" w:rsidP="001C252C">
      <w:pPr>
        <w:pStyle w:val="Caption"/>
      </w:pPr>
      <w:bookmarkStart w:id="690" w:name="_Ref459146697"/>
      <w:bookmarkStart w:id="691" w:name="_Toc459332360"/>
      <w:r w:rsidRPr="00C73829">
        <w:t xml:space="preserve">Figure </w:t>
      </w:r>
      <w:r w:rsidR="007B2696">
        <w:fldChar w:fldCharType="begin"/>
      </w:r>
      <w:r w:rsidR="007B2696">
        <w:instrText xml:space="preserve"> STYLEREF 1 \s </w:instrText>
      </w:r>
      <w:r w:rsidR="007B2696">
        <w:fldChar w:fldCharType="separate"/>
      </w:r>
      <w:r w:rsidR="007F5336">
        <w:rPr>
          <w:noProof/>
        </w:rPr>
        <w:t>5</w:t>
      </w:r>
      <w:r w:rsidR="007B2696">
        <w:rPr>
          <w:noProof/>
        </w:rPr>
        <w:fldChar w:fldCharType="end"/>
      </w:r>
      <w:r w:rsidR="00C62884">
        <w:noBreakHyphen/>
      </w:r>
      <w:r w:rsidR="007B2696">
        <w:fldChar w:fldCharType="begin"/>
      </w:r>
      <w:r w:rsidR="007B2696">
        <w:instrText xml:space="preserve"> SEQ Figure \* ARABIC \s 1 </w:instrText>
      </w:r>
      <w:r w:rsidR="007B2696">
        <w:fldChar w:fldCharType="separate"/>
      </w:r>
      <w:r w:rsidR="007F5336">
        <w:rPr>
          <w:noProof/>
        </w:rPr>
        <w:t>2</w:t>
      </w:r>
      <w:r w:rsidR="007B2696">
        <w:rPr>
          <w:noProof/>
        </w:rPr>
        <w:fldChar w:fldCharType="end"/>
      </w:r>
      <w:bookmarkEnd w:id="689"/>
      <w:bookmarkEnd w:id="690"/>
      <w:r w:rsidRPr="00C73829">
        <w:t xml:space="preserve">: Trajectories of </w:t>
      </w:r>
      <w:r w:rsidR="00C45AA5">
        <w:t>T</w:t>
      </w:r>
      <w:r w:rsidRPr="00C73829">
        <w:t xml:space="preserve">ropical </w:t>
      </w:r>
      <w:r w:rsidR="00C45AA5">
        <w:t>C</w:t>
      </w:r>
      <w:r w:rsidRPr="00C73829">
        <w:t>yclone</w:t>
      </w:r>
      <w:r w:rsidR="00C45AA5">
        <w:t>s</w:t>
      </w:r>
      <w:r w:rsidRPr="00C73829">
        <w:t xml:space="preserve"> affecting the Great Barrier Reef in 20</w:t>
      </w:r>
      <w:r w:rsidR="00734F92">
        <w:t>1</w:t>
      </w:r>
      <w:r w:rsidRPr="00C73829">
        <w:t>4</w:t>
      </w:r>
      <w:r w:rsidR="00734F92">
        <w:t>-</w:t>
      </w:r>
      <w:r w:rsidRPr="00C73829">
        <w:t xml:space="preserve">15 and in previous years (2006 </w:t>
      </w:r>
      <w:r w:rsidR="00C45AA5">
        <w:t xml:space="preserve">to </w:t>
      </w:r>
      <w:r w:rsidRPr="00C73829">
        <w:t xml:space="preserve">2014). </w:t>
      </w:r>
    </w:p>
    <w:p w14:paraId="46FC13D9" w14:textId="77777777" w:rsidR="00023707" w:rsidRPr="00023707" w:rsidRDefault="00023707" w:rsidP="00023707">
      <w:pPr>
        <w:rPr>
          <w:lang w:val="en-US"/>
        </w:rPr>
      </w:pPr>
    </w:p>
    <w:p w14:paraId="5F22EDC1" w14:textId="4EC4C9EB" w:rsidR="00D33068" w:rsidRDefault="00016741" w:rsidP="00102FA2">
      <w:pPr>
        <w:pStyle w:val="Heading30"/>
        <w:numPr>
          <w:ilvl w:val="2"/>
          <w:numId w:val="42"/>
        </w:numPr>
      </w:pPr>
      <w:bookmarkStart w:id="692" w:name="_Toc462307443"/>
      <w:r>
        <w:t>Rainfall</w:t>
      </w:r>
      <w:bookmarkEnd w:id="691"/>
      <w:bookmarkEnd w:id="692"/>
    </w:p>
    <w:p w14:paraId="450DD68D" w14:textId="224E9B4C" w:rsidR="00B53B90" w:rsidRDefault="00B53B90" w:rsidP="00B53B90">
      <w:pPr>
        <w:spacing w:before="0" w:after="0"/>
        <w:jc w:val="left"/>
        <w:rPr>
          <w:lang w:val="en-AU"/>
        </w:rPr>
      </w:pPr>
      <w:r>
        <w:t>Annual rainfall across the central and northern</w:t>
      </w:r>
      <w:r w:rsidR="00EC46B4">
        <w:t xml:space="preserve"> </w:t>
      </w:r>
      <w:r>
        <w:rPr>
          <w:lang w:val="en-AU"/>
        </w:rPr>
        <w:t>GBR catchments was</w:t>
      </w:r>
      <w:r w:rsidRPr="008C612F">
        <w:rPr>
          <w:lang w:val="en-AU"/>
        </w:rPr>
        <w:t xml:space="preserve"> below average</w:t>
      </w:r>
      <w:r w:rsidR="00EC46B4">
        <w:rPr>
          <w:lang w:val="en-AU"/>
        </w:rPr>
        <w:t xml:space="preserve"> in 2014-15</w:t>
      </w:r>
      <w:r w:rsidRPr="008C612F">
        <w:rPr>
          <w:lang w:val="en-AU"/>
        </w:rPr>
        <w:t xml:space="preserve"> </w:t>
      </w:r>
      <w:r>
        <w:rPr>
          <w:lang w:val="en-AU"/>
        </w:rPr>
        <w:t xml:space="preserve">with the greatest differences in the Wet Tropics catchments </w:t>
      </w:r>
      <w:r w:rsidRPr="008C612F">
        <w:rPr>
          <w:lang w:val="en-AU"/>
        </w:rPr>
        <w:t>(</w:t>
      </w:r>
      <w:r w:rsidR="00AB2398">
        <w:rPr>
          <w:lang w:val="en-AU"/>
        </w:rPr>
        <w:fldChar w:fldCharType="begin"/>
      </w:r>
      <w:r w:rsidR="00AB2398">
        <w:rPr>
          <w:lang w:val="en-AU"/>
        </w:rPr>
        <w:instrText xml:space="preserve"> REF _Ref459146761 \h </w:instrText>
      </w:r>
      <w:r w:rsidR="00AB2398">
        <w:rPr>
          <w:lang w:val="en-AU"/>
        </w:rPr>
      </w:r>
      <w:r w:rsidR="00AB2398">
        <w:rPr>
          <w:lang w:val="en-AU"/>
        </w:rPr>
        <w:fldChar w:fldCharType="separate"/>
      </w:r>
      <w:r w:rsidR="007F5336" w:rsidRPr="0087770E">
        <w:t xml:space="preserve">Figure </w:t>
      </w:r>
      <w:r w:rsidR="007F5336">
        <w:rPr>
          <w:noProof/>
        </w:rPr>
        <w:t>5</w:t>
      </w:r>
      <w:r w:rsidR="007F5336">
        <w:noBreakHyphen/>
      </w:r>
      <w:r w:rsidR="007F5336">
        <w:rPr>
          <w:noProof/>
        </w:rPr>
        <w:t>3</w:t>
      </w:r>
      <w:r w:rsidR="00AB2398">
        <w:rPr>
          <w:lang w:val="en-AU"/>
        </w:rPr>
        <w:fldChar w:fldCharType="end"/>
      </w:r>
      <w:r w:rsidR="00AB2398">
        <w:rPr>
          <w:lang w:val="en-AU"/>
        </w:rPr>
        <w:t xml:space="preserve"> </w:t>
      </w:r>
      <w:r w:rsidR="00EC46B4">
        <w:rPr>
          <w:lang w:val="en-AU"/>
        </w:rPr>
        <w:t>and</w:t>
      </w:r>
      <w:r w:rsidR="00AB2398">
        <w:rPr>
          <w:lang w:val="en-AU"/>
        </w:rPr>
        <w:t xml:space="preserve"> </w:t>
      </w:r>
      <w:r w:rsidR="00AB2398">
        <w:rPr>
          <w:lang w:val="en-AU"/>
        </w:rPr>
        <w:fldChar w:fldCharType="begin"/>
      </w:r>
      <w:r w:rsidR="00AB2398">
        <w:rPr>
          <w:lang w:val="en-AU"/>
        </w:rPr>
        <w:instrText xml:space="preserve"> REF _Ref459146770 \h </w:instrText>
      </w:r>
      <w:r w:rsidR="00AB2398">
        <w:rPr>
          <w:lang w:val="en-AU"/>
        </w:rPr>
      </w:r>
      <w:r w:rsidR="00AB2398">
        <w:rPr>
          <w:lang w:val="en-AU"/>
        </w:rPr>
        <w:fldChar w:fldCharType="separate"/>
      </w:r>
      <w:r w:rsidR="007F5336" w:rsidRPr="0087770E">
        <w:t xml:space="preserve">Figure </w:t>
      </w:r>
      <w:r w:rsidR="007F5336">
        <w:rPr>
          <w:noProof/>
        </w:rPr>
        <w:t>5</w:t>
      </w:r>
      <w:r w:rsidR="007F5336">
        <w:noBreakHyphen/>
      </w:r>
      <w:r w:rsidR="007F5336">
        <w:rPr>
          <w:noProof/>
        </w:rPr>
        <w:t>4</w:t>
      </w:r>
      <w:r w:rsidR="00AB2398">
        <w:rPr>
          <w:lang w:val="en-AU"/>
        </w:rPr>
        <w:fldChar w:fldCharType="end"/>
      </w:r>
      <w:r>
        <w:rPr>
          <w:lang w:val="en-AU"/>
        </w:rPr>
        <w:t>, Table A2-1)</w:t>
      </w:r>
      <w:r w:rsidRPr="008C612F">
        <w:rPr>
          <w:lang w:val="en-AU"/>
        </w:rPr>
        <w:t xml:space="preserve">. </w:t>
      </w:r>
      <w:r>
        <w:rPr>
          <w:lang w:val="en-AU"/>
        </w:rPr>
        <w:t xml:space="preserve">The southern catchments typically had above average daily rainfall, most likely associated with Tropical Cyclone Marcia. </w:t>
      </w:r>
    </w:p>
    <w:p w14:paraId="110D7970" w14:textId="4CF8895D" w:rsidR="00B53B90" w:rsidRPr="00B53B90" w:rsidRDefault="00B53B90" w:rsidP="00B53B90"/>
    <w:p w14:paraId="74C21B6F" w14:textId="77777777" w:rsidR="00B53B90" w:rsidRPr="00D33068" w:rsidRDefault="00B53B90" w:rsidP="00B53B90">
      <w:pPr>
        <w:spacing w:before="0" w:after="0"/>
        <w:jc w:val="left"/>
        <w:rPr>
          <w:lang w:val="en-AU"/>
        </w:rPr>
      </w:pPr>
      <w:r w:rsidRPr="0026385A">
        <w:rPr>
          <w:noProof/>
          <w:lang w:val="en-AU" w:eastAsia="en-AU"/>
        </w:rPr>
        <w:drawing>
          <wp:inline distT="0" distB="0" distL="0" distR="0" wp14:anchorId="6D043D24" wp14:editId="25C588AC">
            <wp:extent cx="5129567" cy="4197927"/>
            <wp:effectExtent l="0" t="0" r="0" b="0"/>
            <wp:docPr id="38" name="Picture 38" descr="Panel of 3 maps showing average daily rainfall (mm/day) in the GBR catchment. a) long-term annual average (1961 – 1990), b) 2014-15, c)  the difference between the long term and annual rainfall patterns. " title="Figure 5 3: Average daily rainfall (mm/day) in the GBR catchment. a) long-term annual average (1961 – 1990), b) 2014-15, c)  the difference between the long term and annual rainfall pattern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1">
                      <a:extLst>
                        <a:ext uri="{28A0092B-C50C-407E-A947-70E740481C1C}">
                          <a14:useLocalDpi xmlns:a14="http://schemas.microsoft.com/office/drawing/2010/main" val="0"/>
                        </a:ext>
                      </a:extLst>
                    </a:blip>
                    <a:srcRect/>
                    <a:stretch>
                      <a:fillRect/>
                    </a:stretch>
                  </pic:blipFill>
                  <pic:spPr bwMode="auto">
                    <a:xfrm>
                      <a:off x="0" y="0"/>
                      <a:ext cx="5134107" cy="4201642"/>
                    </a:xfrm>
                    <a:prstGeom prst="rect">
                      <a:avLst/>
                    </a:prstGeom>
                    <a:noFill/>
                  </pic:spPr>
                </pic:pic>
              </a:graphicData>
            </a:graphic>
          </wp:inline>
        </w:drawing>
      </w:r>
    </w:p>
    <w:p w14:paraId="7AE532C0" w14:textId="07F62616" w:rsidR="00B53B90" w:rsidRDefault="00B53B90" w:rsidP="00164E5E">
      <w:pPr>
        <w:pStyle w:val="Caption"/>
      </w:pPr>
      <w:bookmarkStart w:id="693" w:name="_Ref459146761"/>
      <w:bookmarkStart w:id="694" w:name="_Toc459332361"/>
      <w:r w:rsidRPr="0087770E">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3</w:t>
      </w:r>
      <w:r w:rsidR="00C62884">
        <w:fldChar w:fldCharType="end"/>
      </w:r>
      <w:bookmarkEnd w:id="693"/>
      <w:r w:rsidRPr="0087770E">
        <w:t>: Average daily rainfall (mm/day) in the GBR catchment.</w:t>
      </w:r>
      <w:r>
        <w:t xml:space="preserve"> </w:t>
      </w:r>
      <w:r w:rsidRPr="0087770E">
        <w:rPr>
          <w:rStyle w:val="IntenseReference"/>
        </w:rPr>
        <w:t>a) long-term annual average (1961 – 1990), b) 2014</w:t>
      </w:r>
      <w:r w:rsidR="008A2DCB">
        <w:rPr>
          <w:rStyle w:val="IntenseReference"/>
        </w:rPr>
        <w:t>-</w:t>
      </w:r>
      <w:r w:rsidRPr="0087770E">
        <w:rPr>
          <w:rStyle w:val="IntenseReference"/>
        </w:rPr>
        <w:t>15, c)  the difference between the long term and annual rainfall patterns.</w:t>
      </w:r>
      <w:bookmarkEnd w:id="694"/>
      <w:r w:rsidRPr="00D33068">
        <w:t xml:space="preserve"> </w:t>
      </w:r>
    </w:p>
    <w:p w14:paraId="58469AB1" w14:textId="640F1027" w:rsidR="009964FE" w:rsidRPr="004A5BF7" w:rsidRDefault="009964FE" w:rsidP="00124249">
      <w:pPr>
        <w:rPr>
          <w:lang w:val="en-US"/>
        </w:rPr>
      </w:pPr>
      <w:r w:rsidRPr="0026385A">
        <w:rPr>
          <w:noProof/>
          <w:lang w:val="en-AU" w:eastAsia="en-AU"/>
        </w:rPr>
        <w:drawing>
          <wp:anchor distT="0" distB="0" distL="114300" distR="114300" simplePos="0" relativeHeight="251672064" behindDoc="0" locked="0" layoutInCell="1" allowOverlap="1" wp14:anchorId="4434ED1C" wp14:editId="2020B7E8">
            <wp:simplePos x="0" y="0"/>
            <wp:positionH relativeFrom="column">
              <wp:posOffset>-4098</wp:posOffset>
            </wp:positionH>
            <wp:positionV relativeFrom="paragraph">
              <wp:posOffset>235405</wp:posOffset>
            </wp:positionV>
            <wp:extent cx="5175850" cy="2958861"/>
            <wp:effectExtent l="0" t="0" r="0" b="0"/>
            <wp:wrapTopAndBottom/>
            <wp:docPr id="39" name="Picture 39" descr="Graph showing annual average wet season rainfall (December 2014 - April 2015), as compared to the long-term wet season rainfall average (1961 – 1990). Red bars denote catchments with rainfall below the long-term average, blue above the long-term average." title="Figure 5 4: Annual average wet season rainfall (December 2014 - April 2015), as compared to the long-term wet season rainfall average (1961 – 19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12">
                      <a:extLst>
                        <a:ext uri="{28A0092B-C50C-407E-A947-70E740481C1C}">
                          <a14:useLocalDpi xmlns:a14="http://schemas.microsoft.com/office/drawing/2010/main" val="0"/>
                        </a:ext>
                      </a:extLst>
                    </a:blip>
                    <a:srcRect/>
                    <a:stretch>
                      <a:fillRect/>
                    </a:stretch>
                  </pic:blipFill>
                  <pic:spPr bwMode="auto">
                    <a:xfrm>
                      <a:off x="0" y="0"/>
                      <a:ext cx="5175850" cy="2958861"/>
                    </a:xfrm>
                    <a:prstGeom prst="rect">
                      <a:avLst/>
                    </a:prstGeom>
                    <a:noFill/>
                  </pic:spPr>
                </pic:pic>
              </a:graphicData>
            </a:graphic>
            <wp14:sizeRelH relativeFrom="page">
              <wp14:pctWidth>0</wp14:pctWidth>
            </wp14:sizeRelH>
            <wp14:sizeRelV relativeFrom="page">
              <wp14:pctHeight>0</wp14:pctHeight>
            </wp14:sizeRelV>
          </wp:anchor>
        </w:drawing>
      </w:r>
    </w:p>
    <w:p w14:paraId="00EF8E1F" w14:textId="17A37396" w:rsidR="009964FE" w:rsidRDefault="00B53B90" w:rsidP="00164E5E">
      <w:pPr>
        <w:pStyle w:val="Caption"/>
        <w:rPr>
          <w:rStyle w:val="IntenseReference"/>
        </w:rPr>
      </w:pPr>
      <w:bookmarkStart w:id="695" w:name="_Ref459146770"/>
      <w:bookmarkStart w:id="696" w:name="_Toc459332362"/>
      <w:r w:rsidRPr="0087770E">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4</w:t>
      </w:r>
      <w:r w:rsidR="00C62884">
        <w:fldChar w:fldCharType="end"/>
      </w:r>
      <w:bookmarkEnd w:id="695"/>
      <w:r w:rsidRPr="0087770E">
        <w:t>: Annual average wet season rainfall (December 2014 - April 2015), as compared to the long-term wet season rainfall average (1961 – 1990).</w:t>
      </w:r>
      <w:r w:rsidRPr="00D33068">
        <w:t xml:space="preserve"> </w:t>
      </w:r>
      <w:r w:rsidRPr="0087770E">
        <w:rPr>
          <w:rStyle w:val="IntenseReference"/>
        </w:rPr>
        <w:t xml:space="preserve">Red bars </w:t>
      </w:r>
      <w:r>
        <w:rPr>
          <w:rStyle w:val="IntenseReference"/>
        </w:rPr>
        <w:t>denote</w:t>
      </w:r>
      <w:r w:rsidRPr="0087770E">
        <w:rPr>
          <w:rStyle w:val="IntenseReference"/>
        </w:rPr>
        <w:t xml:space="preserve"> catchments with rainfall below the long-term average, blue above the long-term average.</w:t>
      </w:r>
      <w:bookmarkEnd w:id="696"/>
    </w:p>
    <w:p w14:paraId="1594155D" w14:textId="012BD976" w:rsidR="00B53B90" w:rsidRDefault="00B53B90" w:rsidP="00164E5E">
      <w:pPr>
        <w:pStyle w:val="Caption"/>
      </w:pPr>
      <w:r>
        <w:br w:type="page"/>
      </w:r>
    </w:p>
    <w:p w14:paraId="2145999B" w14:textId="4940F372" w:rsidR="00016741" w:rsidRPr="008467AA" w:rsidRDefault="00B53B90" w:rsidP="004A5BF7">
      <w:pPr>
        <w:pStyle w:val="Heading30"/>
        <w:numPr>
          <w:ilvl w:val="2"/>
          <w:numId w:val="42"/>
        </w:numPr>
      </w:pPr>
      <w:bookmarkStart w:id="697" w:name="_Toc462307444"/>
      <w:r>
        <w:t>Freshwater</w:t>
      </w:r>
      <w:r w:rsidR="00016741">
        <w:t xml:space="preserve"> discharge</w:t>
      </w:r>
      <w:bookmarkEnd w:id="697"/>
    </w:p>
    <w:p w14:paraId="5F22EDC2" w14:textId="20487F03" w:rsidR="00351E57" w:rsidRDefault="008E034A" w:rsidP="004A5BF7">
      <w:pPr>
        <w:rPr>
          <w:lang w:val="en-AU"/>
        </w:rPr>
      </w:pPr>
      <w:r>
        <w:rPr>
          <w:rStyle w:val="Heading6Char"/>
          <w:rFonts w:cs="Arial"/>
          <w:b w:val="0"/>
          <w:sz w:val="22"/>
          <w:szCs w:val="22"/>
        </w:rPr>
        <w:t>Wet season and a</w:t>
      </w:r>
      <w:r w:rsidRPr="0090524F">
        <w:rPr>
          <w:rStyle w:val="Heading6Char"/>
          <w:rFonts w:cs="Arial"/>
          <w:b w:val="0"/>
          <w:sz w:val="22"/>
          <w:szCs w:val="22"/>
        </w:rPr>
        <w:t xml:space="preserve">nnual </w:t>
      </w:r>
      <w:r>
        <w:rPr>
          <w:rStyle w:val="Heading6Char"/>
          <w:rFonts w:cs="Arial"/>
          <w:b w:val="0"/>
          <w:sz w:val="22"/>
          <w:szCs w:val="22"/>
        </w:rPr>
        <w:t xml:space="preserve">(based on hydrological year) </w:t>
      </w:r>
      <w:r w:rsidRPr="0090524F">
        <w:rPr>
          <w:rStyle w:val="Heading6Char"/>
          <w:rFonts w:cs="Arial"/>
          <w:b w:val="0"/>
          <w:sz w:val="22"/>
          <w:szCs w:val="22"/>
        </w:rPr>
        <w:t xml:space="preserve">freshwater discharge for the major GBR </w:t>
      </w:r>
      <w:r>
        <w:rPr>
          <w:rStyle w:val="Heading6Char"/>
          <w:rFonts w:cs="Arial"/>
          <w:b w:val="0"/>
          <w:sz w:val="22"/>
          <w:szCs w:val="22"/>
        </w:rPr>
        <w:t>c</w:t>
      </w:r>
      <w:r w:rsidRPr="0090524F">
        <w:rPr>
          <w:rStyle w:val="Heading6Char"/>
          <w:rFonts w:cs="Arial"/>
          <w:b w:val="0"/>
          <w:sz w:val="22"/>
          <w:szCs w:val="22"/>
        </w:rPr>
        <w:t>atchments</w:t>
      </w:r>
      <w:r>
        <w:rPr>
          <w:rStyle w:val="Heading6Char"/>
          <w:rFonts w:cs="Arial"/>
          <w:b w:val="0"/>
          <w:sz w:val="22"/>
          <w:szCs w:val="22"/>
        </w:rPr>
        <w:t>,</w:t>
      </w:r>
      <w:r w:rsidRPr="0090524F">
        <w:t xml:space="preserve"> relative to long term medians</w:t>
      </w:r>
      <w:r>
        <w:t xml:space="preserve">, are presented </w:t>
      </w:r>
      <w:r w:rsidRPr="009964FE">
        <w:t>in</w:t>
      </w:r>
      <w:r w:rsidR="009964FE">
        <w:t xml:space="preserve"> </w:t>
      </w:r>
      <w:r w:rsidR="009964FE">
        <w:fldChar w:fldCharType="begin"/>
      </w:r>
      <w:r w:rsidR="009964FE">
        <w:instrText xml:space="preserve"> REF _Ref459146854 \h </w:instrText>
      </w:r>
      <w:r w:rsidR="009964FE">
        <w:fldChar w:fldCharType="separate"/>
      </w:r>
      <w:r w:rsidR="007F5336" w:rsidRPr="00B46260">
        <w:t xml:space="preserve">Figure </w:t>
      </w:r>
      <w:r w:rsidR="007F5336">
        <w:rPr>
          <w:noProof/>
        </w:rPr>
        <w:t>5</w:t>
      </w:r>
      <w:r w:rsidR="007F5336">
        <w:noBreakHyphen/>
      </w:r>
      <w:r w:rsidR="007F5336">
        <w:rPr>
          <w:noProof/>
        </w:rPr>
        <w:t>5</w:t>
      </w:r>
      <w:r w:rsidR="009964FE">
        <w:fldChar w:fldCharType="end"/>
      </w:r>
      <w:r w:rsidRPr="009964FE">
        <w:t xml:space="preserve">, </w:t>
      </w:r>
      <w:r w:rsidR="009964FE">
        <w:fldChar w:fldCharType="begin"/>
      </w:r>
      <w:r w:rsidR="009964FE">
        <w:instrText xml:space="preserve"> REF _Ref459146964 \h </w:instrText>
      </w:r>
      <w:r w:rsidR="009964FE">
        <w:fldChar w:fldCharType="separate"/>
      </w:r>
      <w:r w:rsidR="007F5336">
        <w:t xml:space="preserve">Table </w:t>
      </w:r>
      <w:r w:rsidR="007F5336">
        <w:rPr>
          <w:noProof/>
        </w:rPr>
        <w:t>5</w:t>
      </w:r>
      <w:r w:rsidR="007F5336">
        <w:noBreakHyphen/>
      </w:r>
      <w:r w:rsidR="007F5336">
        <w:rPr>
          <w:noProof/>
        </w:rPr>
        <w:t>1</w:t>
      </w:r>
      <w:r w:rsidR="009964FE">
        <w:fldChar w:fldCharType="end"/>
      </w:r>
      <w:r w:rsidR="008A2DCB">
        <w:t xml:space="preserve"> </w:t>
      </w:r>
      <w:r w:rsidRPr="009964FE">
        <w:t xml:space="preserve">and in Appendix 2 (Table A2 3), and in Appendix 2 (Table A2-1). Wet season discharge for the main sampled catchments are </w:t>
      </w:r>
      <w:r w:rsidR="009964FE">
        <w:t xml:space="preserve">included </w:t>
      </w:r>
      <w:r w:rsidRPr="009964FE">
        <w:t>in Appendix 2 (Figures A2-1 to A2-3).</w:t>
      </w:r>
      <w:r w:rsidR="009964FE">
        <w:t xml:space="preserve"> </w:t>
      </w:r>
      <w:r w:rsidR="001254DC" w:rsidRPr="009964FE">
        <w:rPr>
          <w:lang w:val="en-AU"/>
        </w:rPr>
        <w:t>Overall</w:t>
      </w:r>
      <w:r w:rsidR="001254DC" w:rsidRPr="008C612F">
        <w:rPr>
          <w:lang w:val="en-AU"/>
        </w:rPr>
        <w:t xml:space="preserve">, </w:t>
      </w:r>
      <w:r w:rsidR="009964FE">
        <w:rPr>
          <w:lang w:val="en-AU"/>
        </w:rPr>
        <w:t>the 2014-15</w:t>
      </w:r>
      <w:r w:rsidR="009964FE" w:rsidRPr="008C612F">
        <w:rPr>
          <w:lang w:val="en-AU"/>
        </w:rPr>
        <w:t xml:space="preserve"> </w:t>
      </w:r>
      <w:r w:rsidR="001254DC" w:rsidRPr="008C612F">
        <w:rPr>
          <w:lang w:val="en-AU"/>
        </w:rPr>
        <w:t>sampling period was characterised by a late wet season start (mid-January) and few moderate episodic flows</w:t>
      </w:r>
      <w:r w:rsidR="0090524F">
        <w:rPr>
          <w:lang w:val="en-AU"/>
        </w:rPr>
        <w:t xml:space="preserve">, </w:t>
      </w:r>
      <w:r w:rsidR="001254DC" w:rsidRPr="008C612F">
        <w:rPr>
          <w:lang w:val="en-AU"/>
        </w:rPr>
        <w:t xml:space="preserve">placing </w:t>
      </w:r>
      <w:r w:rsidR="001254DC" w:rsidRPr="005C54B4">
        <w:rPr>
          <w:lang w:val="en-AU"/>
        </w:rPr>
        <w:t>the 2014-15 wet</w:t>
      </w:r>
      <w:r w:rsidR="001254DC" w:rsidRPr="008C612F">
        <w:rPr>
          <w:lang w:val="en-AU"/>
        </w:rPr>
        <w:t xml:space="preserve"> season below the long-term median and </w:t>
      </w:r>
      <w:r w:rsidR="00B53B90">
        <w:rPr>
          <w:lang w:val="en-AU"/>
        </w:rPr>
        <w:t>ranked as the</w:t>
      </w:r>
      <w:r w:rsidR="001254DC" w:rsidRPr="008C612F">
        <w:rPr>
          <w:lang w:val="en-AU"/>
        </w:rPr>
        <w:t xml:space="preserve"> </w:t>
      </w:r>
      <w:r w:rsidR="009964FE">
        <w:rPr>
          <w:lang w:val="en-AU"/>
        </w:rPr>
        <w:t>fourth</w:t>
      </w:r>
      <w:r w:rsidR="007A3201" w:rsidRPr="008C612F">
        <w:rPr>
          <w:lang w:val="en-AU"/>
        </w:rPr>
        <w:t xml:space="preserve"> </w:t>
      </w:r>
      <w:r w:rsidR="001254DC" w:rsidRPr="008C612F">
        <w:rPr>
          <w:lang w:val="en-AU"/>
        </w:rPr>
        <w:t>smallest discharge (approximately 14×10</w:t>
      </w:r>
      <w:r w:rsidR="001254DC" w:rsidRPr="008C612F">
        <w:rPr>
          <w:vertAlign w:val="superscript"/>
          <w:lang w:val="en-AU"/>
        </w:rPr>
        <w:t>6</w:t>
      </w:r>
      <w:r w:rsidR="001254DC" w:rsidRPr="008C612F">
        <w:rPr>
          <w:lang w:val="en-AU"/>
        </w:rPr>
        <w:t xml:space="preserve"> ML) over the last 15 years. The total wet season flow</w:t>
      </w:r>
      <w:r w:rsidR="00B53B90">
        <w:rPr>
          <w:lang w:val="en-AU"/>
        </w:rPr>
        <w:t xml:space="preserve"> from the GBR catchments</w:t>
      </w:r>
      <w:r w:rsidR="001254DC" w:rsidRPr="008C612F">
        <w:rPr>
          <w:lang w:val="en-AU"/>
        </w:rPr>
        <w:t xml:space="preserve"> (from </w:t>
      </w:r>
      <w:r w:rsidR="008C612F">
        <w:rPr>
          <w:lang w:val="en-AU"/>
        </w:rPr>
        <w:t>approx.</w:t>
      </w:r>
      <w:r w:rsidR="00456967">
        <w:rPr>
          <w:lang w:val="en-AU"/>
        </w:rPr>
        <w:t xml:space="preserve"> </w:t>
      </w:r>
      <w:r w:rsidR="00B53B90">
        <w:rPr>
          <w:lang w:val="en-AU"/>
        </w:rPr>
        <w:t xml:space="preserve">1 </w:t>
      </w:r>
      <w:r w:rsidR="001254DC" w:rsidRPr="008C612F">
        <w:rPr>
          <w:lang w:val="en-AU"/>
        </w:rPr>
        <w:t>Nov</w:t>
      </w:r>
      <w:r w:rsidR="0070210F">
        <w:rPr>
          <w:lang w:val="en-AU"/>
        </w:rPr>
        <w:t>ember</w:t>
      </w:r>
      <w:r w:rsidR="001254DC" w:rsidRPr="008C612F">
        <w:rPr>
          <w:lang w:val="en-AU"/>
        </w:rPr>
        <w:t xml:space="preserve"> </w:t>
      </w:r>
      <w:r w:rsidR="00B53B90">
        <w:rPr>
          <w:lang w:val="en-AU"/>
        </w:rPr>
        <w:t>2014</w:t>
      </w:r>
      <w:r w:rsidR="00B53B90" w:rsidRPr="008C612F">
        <w:rPr>
          <w:lang w:val="en-AU"/>
        </w:rPr>
        <w:t xml:space="preserve"> </w:t>
      </w:r>
      <w:r w:rsidR="001254DC" w:rsidRPr="008C612F">
        <w:rPr>
          <w:lang w:val="en-AU"/>
        </w:rPr>
        <w:t xml:space="preserve">to </w:t>
      </w:r>
      <w:r w:rsidR="00B53B90">
        <w:rPr>
          <w:lang w:val="en-AU"/>
        </w:rPr>
        <w:t xml:space="preserve">30 </w:t>
      </w:r>
      <w:r w:rsidR="001254DC" w:rsidRPr="008C612F">
        <w:rPr>
          <w:lang w:val="en-AU"/>
        </w:rPr>
        <w:t>Apr</w:t>
      </w:r>
      <w:r w:rsidR="0070210F">
        <w:rPr>
          <w:lang w:val="en-AU"/>
        </w:rPr>
        <w:t>il</w:t>
      </w:r>
      <w:r w:rsidR="001254DC" w:rsidRPr="008C612F">
        <w:rPr>
          <w:lang w:val="en-AU"/>
        </w:rPr>
        <w:t xml:space="preserve"> </w:t>
      </w:r>
      <w:r w:rsidR="00B53B90">
        <w:rPr>
          <w:lang w:val="en-AU"/>
        </w:rPr>
        <w:t>2015</w:t>
      </w:r>
      <w:r w:rsidR="001254DC" w:rsidRPr="008C612F">
        <w:rPr>
          <w:lang w:val="en-AU"/>
        </w:rPr>
        <w:t xml:space="preserve">) </w:t>
      </w:r>
      <w:r w:rsidR="00B53B90">
        <w:rPr>
          <w:lang w:val="en-AU"/>
        </w:rPr>
        <w:t>was similar</w:t>
      </w:r>
      <w:r w:rsidR="001254DC" w:rsidRPr="008C612F">
        <w:rPr>
          <w:lang w:val="en-AU"/>
        </w:rPr>
        <w:t xml:space="preserve"> to the levels in the period between 2000 and 2007 (</w:t>
      </w:r>
      <w:r w:rsidR="00EB33A6">
        <w:rPr>
          <w:lang w:val="en-AU"/>
        </w:rPr>
        <w:fldChar w:fldCharType="begin"/>
      </w:r>
      <w:r w:rsidR="00EF6E37">
        <w:rPr>
          <w:lang w:val="en-AU"/>
        </w:rPr>
        <w:instrText xml:space="preserve"> REF _Ref436903124 \h </w:instrText>
      </w:r>
      <w:r>
        <w:rPr>
          <w:lang w:val="en-AU"/>
        </w:rPr>
        <w:instrText xml:space="preserve"> \* MERGEFORMAT </w:instrText>
      </w:r>
      <w:r w:rsidR="00EB33A6">
        <w:rPr>
          <w:lang w:val="en-AU"/>
        </w:rPr>
      </w:r>
      <w:r w:rsidR="00EB33A6">
        <w:rPr>
          <w:lang w:val="en-AU"/>
        </w:rPr>
        <w:fldChar w:fldCharType="separate"/>
      </w:r>
      <w:r w:rsidR="007F5336" w:rsidRPr="00B46260">
        <w:t xml:space="preserve">Figure </w:t>
      </w:r>
      <w:r w:rsidR="007F5336">
        <w:rPr>
          <w:noProof/>
        </w:rPr>
        <w:t>5</w:t>
      </w:r>
      <w:r w:rsidR="007F5336">
        <w:rPr>
          <w:noProof/>
        </w:rPr>
        <w:noBreakHyphen/>
        <w:t>5</w:t>
      </w:r>
      <w:r w:rsidR="00EB33A6">
        <w:rPr>
          <w:lang w:val="en-AU"/>
        </w:rPr>
        <w:fldChar w:fldCharType="end"/>
      </w:r>
      <w:r w:rsidR="001254DC" w:rsidRPr="008C612F">
        <w:rPr>
          <w:lang w:val="en-AU"/>
        </w:rPr>
        <w:t>).</w:t>
      </w:r>
      <w:r w:rsidR="00A06273" w:rsidRPr="008C612F">
        <w:rPr>
          <w:lang w:val="en-AU"/>
        </w:rPr>
        <w:t xml:space="preserve"> </w:t>
      </w:r>
    </w:p>
    <w:p w14:paraId="005A23B2" w14:textId="4C0DA65F" w:rsidR="00C737DE" w:rsidRDefault="00F47AB8" w:rsidP="00351E57">
      <w:pPr>
        <w:rPr>
          <w:rFonts w:cs="Arial"/>
          <w:color w:val="000000" w:themeColor="text1"/>
          <w:szCs w:val="22"/>
        </w:rPr>
      </w:pPr>
      <w:r>
        <w:rPr>
          <w:lang w:val="en-AU"/>
        </w:rPr>
        <w:t>However, r</w:t>
      </w:r>
      <w:r w:rsidR="00351E57" w:rsidRPr="008C612F">
        <w:rPr>
          <w:lang w:val="en-AU"/>
        </w:rPr>
        <w:t xml:space="preserve">iver discharges </w:t>
      </w:r>
      <w:r w:rsidR="00351E57">
        <w:rPr>
          <w:lang w:val="en-AU"/>
        </w:rPr>
        <w:t>above</w:t>
      </w:r>
      <w:r w:rsidR="00351E57" w:rsidRPr="008C612F">
        <w:rPr>
          <w:lang w:val="en-AU"/>
        </w:rPr>
        <w:t xml:space="preserve"> the long-term median occurred in the southern GBR, with the Burnett River recording a total wet season discharge of 723,081 ML</w:t>
      </w:r>
      <w:r w:rsidR="00152E71">
        <w:rPr>
          <w:lang w:val="en-AU"/>
        </w:rPr>
        <w:t>, more than</w:t>
      </w:r>
      <w:r w:rsidR="00351E57" w:rsidRPr="008C612F">
        <w:rPr>
          <w:lang w:val="en-AU"/>
        </w:rPr>
        <w:t xml:space="preserve">  3 times its </w:t>
      </w:r>
      <w:r w:rsidR="00152E71">
        <w:rPr>
          <w:lang w:val="en-AU"/>
        </w:rPr>
        <w:t>long term</w:t>
      </w:r>
      <w:r w:rsidR="00152E71" w:rsidRPr="008C612F">
        <w:rPr>
          <w:lang w:val="en-AU"/>
        </w:rPr>
        <w:t xml:space="preserve"> </w:t>
      </w:r>
      <w:r w:rsidR="00351E57" w:rsidRPr="008C612F">
        <w:rPr>
          <w:lang w:val="en-AU"/>
        </w:rPr>
        <w:t>median</w:t>
      </w:r>
      <w:r w:rsidR="008E034A">
        <w:rPr>
          <w:lang w:val="en-AU"/>
        </w:rPr>
        <w:t>,</w:t>
      </w:r>
      <w:r w:rsidR="00351E57" w:rsidRPr="008C612F">
        <w:rPr>
          <w:lang w:val="en-AU"/>
        </w:rPr>
        <w:t xml:space="preserve"> and the Mary River</w:t>
      </w:r>
      <w:r w:rsidR="008E034A">
        <w:rPr>
          <w:lang w:val="en-AU"/>
        </w:rPr>
        <w:t xml:space="preserve"> had</w:t>
      </w:r>
      <w:r w:rsidR="00351E57" w:rsidRPr="008C612F">
        <w:rPr>
          <w:lang w:val="en-AU"/>
        </w:rPr>
        <w:t xml:space="preserve"> a total wet season discharge of 899,142 ML</w:t>
      </w:r>
      <w:r w:rsidR="008E034A">
        <w:rPr>
          <w:lang w:val="en-AU"/>
        </w:rPr>
        <w:t xml:space="preserve">, </w:t>
      </w:r>
      <w:r w:rsidR="00351E57" w:rsidRPr="008C612F">
        <w:rPr>
          <w:lang w:val="en-AU"/>
        </w:rPr>
        <w:t xml:space="preserve">between 1.5 and 2 times its </w:t>
      </w:r>
      <w:r w:rsidR="008E034A">
        <w:rPr>
          <w:lang w:val="en-AU"/>
        </w:rPr>
        <w:t>long term</w:t>
      </w:r>
      <w:r w:rsidR="008E034A" w:rsidRPr="008C612F">
        <w:rPr>
          <w:lang w:val="en-AU"/>
        </w:rPr>
        <w:t xml:space="preserve"> </w:t>
      </w:r>
      <w:r w:rsidR="00351E57" w:rsidRPr="008C612F">
        <w:rPr>
          <w:lang w:val="en-AU"/>
        </w:rPr>
        <w:t xml:space="preserve">median. </w:t>
      </w:r>
      <w:r w:rsidR="00351E57" w:rsidRPr="009964FE">
        <w:rPr>
          <w:lang w:val="en-AU"/>
        </w:rPr>
        <w:t xml:space="preserve">All </w:t>
      </w:r>
      <w:r w:rsidR="008E034A" w:rsidRPr="009964FE">
        <w:rPr>
          <w:lang w:val="en-AU"/>
        </w:rPr>
        <w:t xml:space="preserve">of </w:t>
      </w:r>
      <w:r w:rsidR="00351E57" w:rsidRPr="009964FE">
        <w:rPr>
          <w:lang w:val="en-AU"/>
        </w:rPr>
        <w:t>the other major river</w:t>
      </w:r>
      <w:r w:rsidR="008E034A" w:rsidRPr="009964FE">
        <w:rPr>
          <w:lang w:val="en-AU"/>
        </w:rPr>
        <w:t>s</w:t>
      </w:r>
      <w:r w:rsidR="00351E57" w:rsidRPr="009964FE">
        <w:rPr>
          <w:lang w:val="en-AU"/>
        </w:rPr>
        <w:t xml:space="preserve"> </w:t>
      </w:r>
      <w:r w:rsidR="008E034A" w:rsidRPr="009964FE">
        <w:rPr>
          <w:lang w:val="en-AU"/>
        </w:rPr>
        <w:t>had</w:t>
      </w:r>
      <w:r w:rsidR="00351E57" w:rsidRPr="009964FE">
        <w:rPr>
          <w:lang w:val="en-AU"/>
        </w:rPr>
        <w:t xml:space="preserve"> a total wet season discharge </w:t>
      </w:r>
      <w:r w:rsidR="008E034A" w:rsidRPr="009964FE">
        <w:rPr>
          <w:lang w:val="en-AU"/>
        </w:rPr>
        <w:t xml:space="preserve">less than </w:t>
      </w:r>
      <w:r w:rsidR="00351E57" w:rsidRPr="009964FE">
        <w:rPr>
          <w:lang w:val="en-AU"/>
        </w:rPr>
        <w:t>1.5</w:t>
      </w:r>
      <w:r w:rsidR="008E034A" w:rsidRPr="009964FE">
        <w:rPr>
          <w:lang w:val="en-AU"/>
        </w:rPr>
        <w:t xml:space="preserve"> times</w:t>
      </w:r>
      <w:r w:rsidR="00351E57" w:rsidRPr="009964FE">
        <w:rPr>
          <w:lang w:val="en-AU"/>
        </w:rPr>
        <w:t xml:space="preserve"> their </w:t>
      </w:r>
      <w:r w:rsidR="008E034A" w:rsidRPr="009964FE">
        <w:rPr>
          <w:lang w:val="en-AU"/>
        </w:rPr>
        <w:t xml:space="preserve">long term </w:t>
      </w:r>
      <w:r w:rsidR="00351E57" w:rsidRPr="009964FE">
        <w:rPr>
          <w:lang w:val="en-AU"/>
        </w:rPr>
        <w:t>median</w:t>
      </w:r>
      <w:r w:rsidR="007A3201" w:rsidRPr="009964FE">
        <w:rPr>
          <w:lang w:val="en-AU"/>
        </w:rPr>
        <w:t xml:space="preserve"> (</w:t>
      </w:r>
      <w:r w:rsidR="009964FE" w:rsidRPr="004A5BF7">
        <w:rPr>
          <w:lang w:val="en-AU"/>
        </w:rPr>
        <w:fldChar w:fldCharType="begin"/>
      </w:r>
      <w:r w:rsidR="009964FE" w:rsidRPr="004A5BF7">
        <w:rPr>
          <w:lang w:val="en-AU"/>
        </w:rPr>
        <w:instrText xml:space="preserve"> REF _Ref459146964 \h </w:instrText>
      </w:r>
      <w:r w:rsidR="009964FE">
        <w:rPr>
          <w:lang w:val="en-AU"/>
        </w:rPr>
        <w:instrText xml:space="preserve"> \* MERGEFORMAT </w:instrText>
      </w:r>
      <w:r w:rsidR="009964FE" w:rsidRPr="004A5BF7">
        <w:rPr>
          <w:lang w:val="en-AU"/>
        </w:rPr>
      </w:r>
      <w:r w:rsidR="009964FE" w:rsidRPr="004A5BF7">
        <w:rPr>
          <w:lang w:val="en-AU"/>
        </w:rPr>
        <w:fldChar w:fldCharType="separate"/>
      </w:r>
      <w:r w:rsidR="007F5336">
        <w:t xml:space="preserve">Table </w:t>
      </w:r>
      <w:r w:rsidR="007F5336">
        <w:rPr>
          <w:noProof/>
        </w:rPr>
        <w:t>5</w:t>
      </w:r>
      <w:r w:rsidR="007F5336">
        <w:rPr>
          <w:noProof/>
        </w:rPr>
        <w:noBreakHyphen/>
        <w:t>1</w:t>
      </w:r>
      <w:r w:rsidR="009964FE" w:rsidRPr="004A5BF7">
        <w:rPr>
          <w:lang w:val="en-AU"/>
        </w:rPr>
        <w:fldChar w:fldCharType="end"/>
      </w:r>
      <w:r w:rsidR="007A3201" w:rsidRPr="009964FE">
        <w:rPr>
          <w:lang w:val="en-AU"/>
        </w:rPr>
        <w:t>)</w:t>
      </w:r>
      <w:r w:rsidR="00351E57" w:rsidRPr="009964FE">
        <w:rPr>
          <w:lang w:val="en-AU"/>
        </w:rPr>
        <w:t>.</w:t>
      </w:r>
      <w:r w:rsidR="00351E57" w:rsidRPr="0090524F">
        <w:rPr>
          <w:rFonts w:cs="Arial"/>
          <w:color w:val="000000" w:themeColor="text1"/>
          <w:szCs w:val="22"/>
        </w:rPr>
        <w:t xml:space="preserve"> </w:t>
      </w:r>
    </w:p>
    <w:p w14:paraId="5F22EDC5" w14:textId="0D35C619" w:rsidR="00EF6E37" w:rsidRDefault="00C737DE" w:rsidP="008C612F">
      <w:pPr>
        <w:rPr>
          <w:lang w:val="en-AU"/>
        </w:rPr>
      </w:pPr>
      <w:r>
        <w:rPr>
          <w:lang w:val="en-AU"/>
        </w:rPr>
        <w:t>The peak flows in t</w:t>
      </w:r>
      <w:r w:rsidRPr="008467AA">
        <w:rPr>
          <w:lang w:val="en-AU"/>
        </w:rPr>
        <w:t xml:space="preserve">he Russell-Mulgrave </w:t>
      </w:r>
      <w:r>
        <w:rPr>
          <w:lang w:val="en-AU"/>
        </w:rPr>
        <w:t>River were</w:t>
      </w:r>
      <w:r w:rsidRPr="008467AA">
        <w:rPr>
          <w:lang w:val="en-AU"/>
        </w:rPr>
        <w:t xml:space="preserve"> on 8 February 2015 (68,261 ML) and 12 March 2015 (49,647 ML). The Tully River </w:t>
      </w:r>
      <w:r>
        <w:rPr>
          <w:lang w:val="en-AU"/>
        </w:rPr>
        <w:t>had</w:t>
      </w:r>
      <w:r w:rsidRPr="008467AA">
        <w:rPr>
          <w:lang w:val="en-AU"/>
        </w:rPr>
        <w:t xml:space="preserve"> two major peak flows</w:t>
      </w:r>
      <w:r>
        <w:rPr>
          <w:lang w:val="en-AU"/>
        </w:rPr>
        <w:t xml:space="preserve"> - </w:t>
      </w:r>
      <w:r w:rsidRPr="008467AA">
        <w:rPr>
          <w:lang w:val="en-AU"/>
        </w:rPr>
        <w:t>15 February 2015 (46,579 ML) and 11</w:t>
      </w:r>
      <w:r>
        <w:rPr>
          <w:lang w:val="en-AU"/>
        </w:rPr>
        <w:t xml:space="preserve"> </w:t>
      </w:r>
      <w:r w:rsidRPr="008467AA">
        <w:rPr>
          <w:lang w:val="en-AU"/>
        </w:rPr>
        <w:t xml:space="preserve">March 2015 (66,291 ML). The Burdekin River had two peak flows </w:t>
      </w:r>
      <w:r>
        <w:rPr>
          <w:lang w:val="en-AU"/>
        </w:rPr>
        <w:t xml:space="preserve">on </w:t>
      </w:r>
      <w:r w:rsidRPr="008467AA">
        <w:rPr>
          <w:lang w:val="en-AU"/>
        </w:rPr>
        <w:t>14 December 2014 (19,559 ML) and 24 March 2015 (68,815 ML).</w:t>
      </w:r>
    </w:p>
    <w:p w14:paraId="5F22EDC6" w14:textId="77777777" w:rsidR="00EF6E37" w:rsidRPr="007B644C" w:rsidRDefault="00EF6E37" w:rsidP="00EF6E37">
      <w:pPr>
        <w:spacing w:before="0" w:after="0"/>
        <w:jc w:val="left"/>
        <w:rPr>
          <w:rFonts w:cs="Arial"/>
          <w:lang w:val="en-AU"/>
        </w:rPr>
      </w:pPr>
      <w:r w:rsidRPr="007B644C">
        <w:rPr>
          <w:rFonts w:cs="Arial"/>
          <w:noProof/>
          <w:lang w:val="en-AU" w:eastAsia="en-AU"/>
        </w:rPr>
        <w:drawing>
          <wp:inline distT="0" distB="0" distL="0" distR="0" wp14:anchorId="5F2323B5" wp14:editId="365E0CC8">
            <wp:extent cx="5732145" cy="2990574"/>
            <wp:effectExtent l="0" t="0" r="1905" b="635"/>
            <wp:docPr id="7168" name="Picture 7168" descr="Graph showing long-term total discharge in million litres (ML) (hydrological year: 1 October to 30 September) for the 35 main GBR Rivers. Source: DNRM, http://watermonitoring.dnrm.qld.gov.au/host.htm" title="Figure 5 5: Long-term total discharge in million litres (ML) (hydrological year: 1 October to 30 September) for the 35 main GBR Riv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3">
                      <a:extLst>
                        <a:ext uri="{28A0092B-C50C-407E-A947-70E740481C1C}">
                          <a14:useLocalDpi xmlns:a14="http://schemas.microsoft.com/office/drawing/2010/main" val="0"/>
                        </a:ext>
                      </a:extLst>
                    </a:blip>
                    <a:srcRect/>
                    <a:stretch>
                      <a:fillRect/>
                    </a:stretch>
                  </pic:blipFill>
                  <pic:spPr bwMode="auto">
                    <a:xfrm>
                      <a:off x="0" y="0"/>
                      <a:ext cx="5732145" cy="2990574"/>
                    </a:xfrm>
                    <a:prstGeom prst="rect">
                      <a:avLst/>
                    </a:prstGeom>
                    <a:noFill/>
                  </pic:spPr>
                </pic:pic>
              </a:graphicData>
            </a:graphic>
          </wp:inline>
        </w:drawing>
      </w:r>
    </w:p>
    <w:p w14:paraId="5F22EDC8" w14:textId="0E8F06A4" w:rsidR="00EF6E37" w:rsidRPr="00837114" w:rsidRDefault="00EF6E37" w:rsidP="00164E5E">
      <w:pPr>
        <w:pStyle w:val="Caption"/>
        <w:rPr>
          <w:rStyle w:val="IntenseReference"/>
          <w:b/>
          <w:bCs w:val="0"/>
          <w:color w:val="auto"/>
          <w:lang w:val="fr-FR"/>
        </w:rPr>
      </w:pPr>
      <w:bookmarkStart w:id="698" w:name="_Ref459146854"/>
      <w:bookmarkStart w:id="699" w:name="_Ref436903124"/>
      <w:bookmarkStart w:id="700" w:name="_Toc436913471"/>
      <w:bookmarkStart w:id="701" w:name="_Toc459332363"/>
      <w:r w:rsidRPr="00B46260">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5</w:t>
      </w:r>
      <w:r w:rsidR="00C62884">
        <w:fldChar w:fldCharType="end"/>
      </w:r>
      <w:bookmarkEnd w:id="698"/>
      <w:bookmarkEnd w:id="699"/>
      <w:r w:rsidRPr="00B46260">
        <w:t xml:space="preserve">: Long-term total discharge </w:t>
      </w:r>
      <w:r w:rsidR="00F95745" w:rsidRPr="00B46260">
        <w:t xml:space="preserve">in million litres </w:t>
      </w:r>
      <w:r w:rsidR="009964FE">
        <w:t xml:space="preserve">(ML) </w:t>
      </w:r>
      <w:r w:rsidRPr="00B46260">
        <w:t xml:space="preserve">(hydrological year: </w:t>
      </w:r>
      <w:r w:rsidR="009964FE">
        <w:t>1 October</w:t>
      </w:r>
      <w:r w:rsidRPr="00B46260">
        <w:t xml:space="preserve"> to </w:t>
      </w:r>
      <w:r w:rsidR="009964FE">
        <w:t xml:space="preserve">30 </w:t>
      </w:r>
      <w:r w:rsidRPr="00B46260">
        <w:t>Sep</w:t>
      </w:r>
      <w:r w:rsidR="009964FE">
        <w:t>tember</w:t>
      </w:r>
      <w:r w:rsidRPr="00B46260">
        <w:t xml:space="preserve">) for </w:t>
      </w:r>
      <w:r w:rsidR="009964FE">
        <w:t xml:space="preserve">the </w:t>
      </w:r>
      <w:r w:rsidRPr="00B46260">
        <w:t>35 main GBR Rivers</w:t>
      </w:r>
      <w:r w:rsidR="009964FE">
        <w:t xml:space="preserve">. </w:t>
      </w:r>
      <w:r w:rsidRPr="00837114">
        <w:rPr>
          <w:rStyle w:val="IntenseReference"/>
          <w:lang w:val="fr-FR"/>
        </w:rPr>
        <w:t xml:space="preserve">Source: DNRM, </w:t>
      </w:r>
      <w:hyperlink r:id="rId314" w:history="1">
        <w:r w:rsidRPr="00837114">
          <w:rPr>
            <w:rStyle w:val="IntenseReference"/>
            <w:lang w:val="fr-FR"/>
          </w:rPr>
          <w:t>http://watermonitoring.dnrm.qld.gov.au/host.htm</w:t>
        </w:r>
      </w:hyperlink>
      <w:r w:rsidRPr="00837114">
        <w:rPr>
          <w:rStyle w:val="IntenseReference"/>
          <w:lang w:val="fr-FR"/>
        </w:rPr>
        <w:t>.</w:t>
      </w:r>
      <w:bookmarkEnd w:id="700"/>
      <w:bookmarkEnd w:id="701"/>
    </w:p>
    <w:p w14:paraId="5F22EDC9" w14:textId="77777777" w:rsidR="00BA6B9B" w:rsidRPr="00837114" w:rsidRDefault="00BA6B9B">
      <w:pPr>
        <w:spacing w:before="0" w:after="0"/>
        <w:jc w:val="left"/>
        <w:rPr>
          <w:lang w:val="fr-FR"/>
        </w:rPr>
      </w:pPr>
    </w:p>
    <w:p w14:paraId="5F22EDCA" w14:textId="77777777" w:rsidR="00BA6B9B" w:rsidRPr="00837114" w:rsidRDefault="00BA6B9B" w:rsidP="008C612F">
      <w:pPr>
        <w:rPr>
          <w:lang w:val="fr-FR"/>
        </w:rPr>
        <w:sectPr w:rsidR="00BA6B9B" w:rsidRPr="00837114" w:rsidSect="00563FDC">
          <w:footerReference w:type="default" r:id="rId315"/>
          <w:pgSz w:w="11907" w:h="16840" w:code="9"/>
          <w:pgMar w:top="1440" w:right="1134" w:bottom="1440" w:left="1134" w:header="709" w:footer="624" w:gutter="0"/>
          <w:pgNumType w:start="1"/>
          <w:cols w:space="708"/>
          <w:docGrid w:linePitch="360"/>
        </w:sectPr>
      </w:pPr>
    </w:p>
    <w:p w14:paraId="5F22EDCC" w14:textId="60FF57F8" w:rsidR="00BA6B9B" w:rsidRPr="0087770E" w:rsidRDefault="0087770E" w:rsidP="00164E5E">
      <w:pPr>
        <w:pStyle w:val="Caption"/>
        <w:rPr>
          <w:rStyle w:val="IntenseReference"/>
        </w:rPr>
      </w:pPr>
      <w:bookmarkStart w:id="702" w:name="_Ref459146964"/>
      <w:bookmarkStart w:id="703" w:name="_Toc459332155"/>
      <w:r>
        <w:t xml:space="preserve">Table </w:t>
      </w:r>
      <w:r w:rsidR="00124249">
        <w:fldChar w:fldCharType="begin"/>
      </w:r>
      <w:r w:rsidR="00124249">
        <w:instrText xml:space="preserve"> STYLEREF 1 \s </w:instrText>
      </w:r>
      <w:r w:rsidR="00124249">
        <w:fldChar w:fldCharType="separate"/>
      </w:r>
      <w:r w:rsidR="007F5336">
        <w:rPr>
          <w:noProof/>
        </w:rPr>
        <w:t>5</w:t>
      </w:r>
      <w:r w:rsidR="00124249">
        <w:fldChar w:fldCharType="end"/>
      </w:r>
      <w:r w:rsidR="00124249">
        <w:noBreakHyphen/>
      </w:r>
      <w:r w:rsidR="00124249">
        <w:fldChar w:fldCharType="begin"/>
      </w:r>
      <w:r w:rsidR="00124249">
        <w:instrText xml:space="preserve"> SEQ Table \* ARABIC \s 1 </w:instrText>
      </w:r>
      <w:r w:rsidR="00124249">
        <w:fldChar w:fldCharType="separate"/>
      </w:r>
      <w:r w:rsidR="007F5336">
        <w:rPr>
          <w:noProof/>
        </w:rPr>
        <w:t>1</w:t>
      </w:r>
      <w:r w:rsidR="00124249">
        <w:fldChar w:fldCharType="end"/>
      </w:r>
      <w:bookmarkStart w:id="704" w:name="_Toc434607185"/>
      <w:bookmarkEnd w:id="702"/>
      <w:r>
        <w:t xml:space="preserve">: </w:t>
      </w:r>
      <w:r w:rsidR="00BA6B9B" w:rsidRPr="00B46260">
        <w:t>Wet season discharge (</w:t>
      </w:r>
      <w:r w:rsidR="009964FE">
        <w:t>ML; m</w:t>
      </w:r>
      <w:r w:rsidR="009964FE" w:rsidRPr="00B46260">
        <w:t xml:space="preserve">illion </w:t>
      </w:r>
      <w:r w:rsidR="00F95745" w:rsidRPr="00B46260">
        <w:t>litre</w:t>
      </w:r>
      <w:r w:rsidR="009964FE">
        <w:t>s</w:t>
      </w:r>
      <w:r w:rsidR="00BA6B9B" w:rsidRPr="00B46260">
        <w:t>) of the main GBR rivers (c.a., November 2014 to April 2015, inclusive), compared against the previous four wet seasons and long-term (LT) median discharge (1970-2000)</w:t>
      </w:r>
      <w:r w:rsidR="009964FE">
        <w:t>.</w:t>
      </w:r>
      <w:bookmarkEnd w:id="703"/>
      <w:r w:rsidR="009964FE">
        <w:t xml:space="preserve"> </w:t>
      </w:r>
      <w:r w:rsidR="00BA6B9B" w:rsidRPr="0087770E">
        <w:rPr>
          <w:rStyle w:val="IntenseReference"/>
        </w:rPr>
        <w:t xml:space="preserve">Colours indicate levels above the long-term median: yellow for 1.5 to 2 times; orange for 2 to 3 times, and red for greater than 3 times. Data source: DNRM. </w:t>
      </w:r>
      <w:bookmarkEnd w:id="704"/>
      <w:r w:rsidR="00BA6B9B" w:rsidRPr="0087770E">
        <w:rPr>
          <w:rStyle w:val="IntenseReference"/>
        </w:rPr>
        <w:t>–, data not available.</w:t>
      </w:r>
    </w:p>
    <w:tbl>
      <w:tblPr>
        <w:tblW w:w="499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5 1: Wet season discharge (ML; million litres) of the main GBR rivers (c.a., November 2014 to April 2015, inclusive), compared against the previous four wet seasons and long-term (LT) median discharge (1970-2000)."/>
        <w:tblDescription w:val="Table of wet season discharge (ML; million litres) of the main GBR rivers (c.a., November 2014 to April 2015, inclusive), compared against the previous four wet seasons and long-term (LT) median discharge (1970-2000). Colours indicate levels above the long-term median: yellow for 1.5 to 2 times; orange for 2 to 3 times, and red for greater than 3 times. Data source: DNRM. –, data not available."/>
      </w:tblPr>
      <w:tblGrid>
        <w:gridCol w:w="1459"/>
        <w:gridCol w:w="1718"/>
        <w:gridCol w:w="1783"/>
        <w:gridCol w:w="1773"/>
        <w:gridCol w:w="1773"/>
        <w:gridCol w:w="1773"/>
        <w:gridCol w:w="1831"/>
        <w:gridCol w:w="2040"/>
      </w:tblGrid>
      <w:tr w:rsidR="00BA6B9B" w:rsidRPr="003A77F5" w14:paraId="5F22EDD5" w14:textId="77777777" w:rsidTr="00B34CE1">
        <w:trPr>
          <w:trHeight w:val="20"/>
          <w:tblHeader/>
          <w:jc w:val="center"/>
        </w:trPr>
        <w:tc>
          <w:tcPr>
            <w:tcW w:w="516" w:type="pct"/>
            <w:shd w:val="clear" w:color="auto" w:fill="auto"/>
            <w:noWrap/>
            <w:vAlign w:val="center"/>
            <w:hideMark/>
          </w:tcPr>
          <w:p w14:paraId="5F22EDCD" w14:textId="77777777" w:rsidR="00BA6B9B" w:rsidRPr="007B644C" w:rsidRDefault="00BA6B9B" w:rsidP="00F541AA">
            <w:pPr>
              <w:spacing w:before="0" w:after="0"/>
              <w:rPr>
                <w:b/>
                <w:bCs/>
                <w:color w:val="000000"/>
                <w:sz w:val="20"/>
                <w:lang w:val="en-AU"/>
              </w:rPr>
            </w:pPr>
            <w:r>
              <w:rPr>
                <w:lang w:val="en-AU"/>
              </w:rPr>
              <w:br w:type="page"/>
            </w:r>
            <w:r w:rsidRPr="007B644C">
              <w:rPr>
                <w:b/>
                <w:bCs/>
                <w:color w:val="000000"/>
                <w:sz w:val="20"/>
                <w:lang w:val="en-AU"/>
              </w:rPr>
              <w:t>NRM region</w:t>
            </w:r>
          </w:p>
        </w:tc>
        <w:tc>
          <w:tcPr>
            <w:tcW w:w="607" w:type="pct"/>
            <w:shd w:val="clear" w:color="auto" w:fill="auto"/>
            <w:noWrap/>
            <w:vAlign w:val="center"/>
            <w:hideMark/>
          </w:tcPr>
          <w:p w14:paraId="5F22EDCE" w14:textId="77777777" w:rsidR="00BA6B9B" w:rsidRPr="007B644C" w:rsidRDefault="00BA6B9B" w:rsidP="00F541AA">
            <w:pPr>
              <w:spacing w:before="0" w:after="0"/>
              <w:rPr>
                <w:b/>
                <w:bCs/>
                <w:color w:val="000000"/>
                <w:sz w:val="20"/>
                <w:lang w:val="en-AU"/>
              </w:rPr>
            </w:pPr>
            <w:r w:rsidRPr="007B644C">
              <w:rPr>
                <w:b/>
                <w:bCs/>
                <w:color w:val="000000"/>
                <w:sz w:val="20"/>
                <w:lang w:val="en-AU"/>
              </w:rPr>
              <w:t>River</w:t>
            </w:r>
          </w:p>
        </w:tc>
        <w:tc>
          <w:tcPr>
            <w:tcW w:w="630" w:type="pct"/>
            <w:shd w:val="clear" w:color="auto" w:fill="auto"/>
            <w:noWrap/>
            <w:vAlign w:val="bottom"/>
            <w:hideMark/>
          </w:tcPr>
          <w:p w14:paraId="5F22EDCF" w14:textId="77777777" w:rsidR="00BA6B9B" w:rsidRPr="007B644C" w:rsidRDefault="00BA6B9B" w:rsidP="00BA6B9B">
            <w:pPr>
              <w:spacing w:before="0" w:after="0"/>
              <w:jc w:val="center"/>
              <w:rPr>
                <w:b/>
                <w:bCs/>
                <w:color w:val="000000"/>
                <w:sz w:val="20"/>
                <w:lang w:val="en-AU"/>
              </w:rPr>
            </w:pPr>
            <w:r w:rsidRPr="007B644C">
              <w:rPr>
                <w:b/>
                <w:bCs/>
                <w:color w:val="000000"/>
                <w:sz w:val="20"/>
                <w:lang w:val="en-AU"/>
              </w:rPr>
              <w:t>LT median</w:t>
            </w:r>
          </w:p>
        </w:tc>
        <w:tc>
          <w:tcPr>
            <w:tcW w:w="626" w:type="pct"/>
            <w:shd w:val="clear" w:color="auto" w:fill="auto"/>
            <w:noWrap/>
            <w:vAlign w:val="bottom"/>
            <w:hideMark/>
          </w:tcPr>
          <w:p w14:paraId="5F22EDD0" w14:textId="77777777" w:rsidR="00BA6B9B" w:rsidRPr="007B644C" w:rsidRDefault="00BA6B9B" w:rsidP="00F541AA">
            <w:pPr>
              <w:spacing w:before="0" w:after="0"/>
              <w:jc w:val="center"/>
              <w:rPr>
                <w:b/>
                <w:bCs/>
                <w:color w:val="000000"/>
                <w:sz w:val="20"/>
                <w:lang w:val="en-AU"/>
              </w:rPr>
            </w:pPr>
            <w:r w:rsidRPr="007B644C">
              <w:rPr>
                <w:b/>
                <w:bCs/>
                <w:color w:val="000000"/>
                <w:sz w:val="20"/>
                <w:lang w:val="en-AU"/>
              </w:rPr>
              <w:t>2010 - 2011</w:t>
            </w:r>
          </w:p>
        </w:tc>
        <w:tc>
          <w:tcPr>
            <w:tcW w:w="626" w:type="pct"/>
            <w:shd w:val="clear" w:color="auto" w:fill="auto"/>
            <w:noWrap/>
            <w:vAlign w:val="bottom"/>
            <w:hideMark/>
          </w:tcPr>
          <w:p w14:paraId="5F22EDD1" w14:textId="77777777" w:rsidR="00BA6B9B" w:rsidRPr="007B644C" w:rsidRDefault="00BA6B9B" w:rsidP="00F541AA">
            <w:pPr>
              <w:spacing w:before="0" w:after="0"/>
              <w:jc w:val="center"/>
              <w:rPr>
                <w:b/>
                <w:bCs/>
                <w:color w:val="000000"/>
                <w:sz w:val="20"/>
                <w:lang w:val="en-AU"/>
              </w:rPr>
            </w:pPr>
            <w:r w:rsidRPr="007B644C">
              <w:rPr>
                <w:b/>
                <w:bCs/>
                <w:color w:val="000000"/>
                <w:sz w:val="20"/>
                <w:lang w:val="en-AU"/>
              </w:rPr>
              <w:t>2011 - 2012</w:t>
            </w:r>
          </w:p>
        </w:tc>
        <w:tc>
          <w:tcPr>
            <w:tcW w:w="626" w:type="pct"/>
            <w:shd w:val="clear" w:color="auto" w:fill="auto"/>
            <w:noWrap/>
            <w:vAlign w:val="bottom"/>
            <w:hideMark/>
          </w:tcPr>
          <w:p w14:paraId="5F22EDD2" w14:textId="77777777" w:rsidR="00BA6B9B" w:rsidRPr="007B644C" w:rsidRDefault="00BA6B9B" w:rsidP="00F541AA">
            <w:pPr>
              <w:spacing w:before="0" w:after="0"/>
              <w:jc w:val="center"/>
              <w:rPr>
                <w:b/>
                <w:bCs/>
                <w:color w:val="000000"/>
                <w:sz w:val="20"/>
                <w:lang w:val="en-AU"/>
              </w:rPr>
            </w:pPr>
            <w:r w:rsidRPr="007B644C">
              <w:rPr>
                <w:b/>
                <w:bCs/>
                <w:color w:val="000000"/>
                <w:sz w:val="20"/>
                <w:lang w:val="en-AU"/>
              </w:rPr>
              <w:t>2012 - 2013</w:t>
            </w:r>
          </w:p>
        </w:tc>
        <w:tc>
          <w:tcPr>
            <w:tcW w:w="647" w:type="pct"/>
            <w:shd w:val="clear" w:color="auto" w:fill="auto"/>
            <w:noWrap/>
            <w:vAlign w:val="bottom"/>
            <w:hideMark/>
          </w:tcPr>
          <w:p w14:paraId="5F22EDD3" w14:textId="77777777" w:rsidR="00BA6B9B" w:rsidRPr="007B644C" w:rsidRDefault="00BA6B9B" w:rsidP="00F541AA">
            <w:pPr>
              <w:spacing w:before="0" w:after="0"/>
              <w:jc w:val="center"/>
              <w:rPr>
                <w:b/>
                <w:bCs/>
                <w:color w:val="000000"/>
                <w:sz w:val="20"/>
                <w:lang w:val="en-AU"/>
              </w:rPr>
            </w:pPr>
            <w:r w:rsidRPr="007B644C">
              <w:rPr>
                <w:b/>
                <w:bCs/>
                <w:color w:val="000000"/>
                <w:sz w:val="20"/>
                <w:lang w:val="en-AU"/>
              </w:rPr>
              <w:t>2013 - 2014</w:t>
            </w:r>
          </w:p>
        </w:tc>
        <w:tc>
          <w:tcPr>
            <w:tcW w:w="721" w:type="pct"/>
            <w:shd w:val="clear" w:color="auto" w:fill="auto"/>
            <w:noWrap/>
            <w:vAlign w:val="bottom"/>
            <w:hideMark/>
          </w:tcPr>
          <w:p w14:paraId="5F22EDD4" w14:textId="77777777" w:rsidR="00BA6B9B" w:rsidRPr="007B644C" w:rsidRDefault="00BA6B9B" w:rsidP="00F541AA">
            <w:pPr>
              <w:spacing w:before="0" w:after="0"/>
              <w:jc w:val="center"/>
              <w:rPr>
                <w:b/>
                <w:bCs/>
                <w:color w:val="000000"/>
                <w:sz w:val="20"/>
                <w:lang w:val="en-AU"/>
              </w:rPr>
            </w:pPr>
            <w:r w:rsidRPr="007B644C">
              <w:rPr>
                <w:b/>
                <w:bCs/>
                <w:color w:val="000000"/>
                <w:sz w:val="20"/>
                <w:lang w:val="en-AU"/>
              </w:rPr>
              <w:t>2014 - 2015</w:t>
            </w:r>
          </w:p>
        </w:tc>
      </w:tr>
      <w:tr w:rsidR="00BA6B9B" w:rsidRPr="003A77F5" w14:paraId="5F22EDDE" w14:textId="77777777" w:rsidTr="005A7F56">
        <w:trPr>
          <w:trHeight w:val="20"/>
          <w:jc w:val="center"/>
        </w:trPr>
        <w:tc>
          <w:tcPr>
            <w:tcW w:w="516" w:type="pct"/>
            <w:vMerge w:val="restart"/>
            <w:shd w:val="clear" w:color="auto" w:fill="auto"/>
            <w:vAlign w:val="center"/>
            <w:hideMark/>
          </w:tcPr>
          <w:p w14:paraId="5F22EDD6" w14:textId="77777777" w:rsidR="00BA6B9B" w:rsidRPr="007B644C" w:rsidRDefault="00BA6B9B" w:rsidP="00F541AA">
            <w:pPr>
              <w:spacing w:before="0" w:after="0"/>
              <w:rPr>
                <w:rFonts w:cs="Arial"/>
                <w:b/>
                <w:bCs/>
                <w:color w:val="000000"/>
                <w:sz w:val="20"/>
                <w:lang w:val="en-AU"/>
              </w:rPr>
            </w:pPr>
            <w:r w:rsidRPr="007B644C">
              <w:rPr>
                <w:rFonts w:cs="Arial"/>
                <w:b/>
                <w:bCs/>
                <w:color w:val="000000"/>
                <w:sz w:val="20"/>
                <w:lang w:val="en-AU"/>
              </w:rPr>
              <w:t>Cape York</w:t>
            </w:r>
          </w:p>
        </w:tc>
        <w:tc>
          <w:tcPr>
            <w:tcW w:w="607" w:type="pct"/>
            <w:shd w:val="clear" w:color="auto" w:fill="auto"/>
            <w:noWrap/>
            <w:vAlign w:val="center"/>
            <w:hideMark/>
          </w:tcPr>
          <w:p w14:paraId="5F22EDD7" w14:textId="77777777" w:rsidR="00BA6B9B" w:rsidRPr="007B644C" w:rsidRDefault="00BA6B9B" w:rsidP="00F541AA">
            <w:pPr>
              <w:spacing w:before="0" w:after="0"/>
              <w:rPr>
                <w:color w:val="000000"/>
                <w:sz w:val="20"/>
                <w:lang w:val="en-AU"/>
              </w:rPr>
            </w:pPr>
            <w:r w:rsidRPr="007B644C">
              <w:rPr>
                <w:color w:val="000000"/>
                <w:sz w:val="20"/>
                <w:lang w:val="en-AU"/>
              </w:rPr>
              <w:t>Pascoe</w:t>
            </w:r>
          </w:p>
        </w:tc>
        <w:tc>
          <w:tcPr>
            <w:tcW w:w="630" w:type="pct"/>
            <w:shd w:val="clear" w:color="auto" w:fill="auto"/>
            <w:noWrap/>
            <w:vAlign w:val="bottom"/>
            <w:hideMark/>
          </w:tcPr>
          <w:p w14:paraId="5F22EDD8" w14:textId="77777777" w:rsidR="00BA6B9B" w:rsidRPr="007B644C" w:rsidRDefault="00BA6B9B" w:rsidP="00F541AA">
            <w:pPr>
              <w:spacing w:before="0" w:after="0"/>
              <w:rPr>
                <w:color w:val="000000"/>
                <w:sz w:val="20"/>
                <w:lang w:val="en-AU"/>
              </w:rPr>
            </w:pPr>
            <w:r w:rsidRPr="007B644C">
              <w:rPr>
                <w:color w:val="000000"/>
                <w:sz w:val="20"/>
                <w:lang w:val="en-AU"/>
              </w:rPr>
              <w:t xml:space="preserve">           1,142,458 </w:t>
            </w:r>
          </w:p>
        </w:tc>
        <w:tc>
          <w:tcPr>
            <w:tcW w:w="626" w:type="pct"/>
            <w:shd w:val="clear" w:color="000000" w:fill="FFFF00"/>
            <w:noWrap/>
            <w:vAlign w:val="bottom"/>
            <w:hideMark/>
          </w:tcPr>
          <w:p w14:paraId="5F22EDD9" w14:textId="77777777" w:rsidR="00BA6B9B" w:rsidRPr="007B644C" w:rsidRDefault="00BA6B9B" w:rsidP="00F541AA">
            <w:pPr>
              <w:spacing w:before="0" w:after="0"/>
              <w:rPr>
                <w:color w:val="000000"/>
                <w:sz w:val="20"/>
                <w:lang w:val="en-AU"/>
              </w:rPr>
            </w:pPr>
            <w:r w:rsidRPr="007B644C">
              <w:rPr>
                <w:color w:val="000000"/>
                <w:sz w:val="20"/>
                <w:lang w:val="en-AU"/>
              </w:rPr>
              <w:t xml:space="preserve">           1,877,760 </w:t>
            </w:r>
          </w:p>
        </w:tc>
        <w:tc>
          <w:tcPr>
            <w:tcW w:w="626" w:type="pct"/>
            <w:shd w:val="clear" w:color="auto" w:fill="auto"/>
            <w:noWrap/>
            <w:vAlign w:val="bottom"/>
            <w:hideMark/>
          </w:tcPr>
          <w:p w14:paraId="5F22EDDA" w14:textId="77777777" w:rsidR="00BA6B9B" w:rsidRPr="007B644C" w:rsidRDefault="00BA6B9B" w:rsidP="00F541AA">
            <w:pPr>
              <w:spacing w:before="0" w:after="0"/>
              <w:rPr>
                <w:color w:val="000000"/>
                <w:sz w:val="20"/>
                <w:lang w:val="en-AU"/>
              </w:rPr>
            </w:pPr>
            <w:r w:rsidRPr="007B644C">
              <w:rPr>
                <w:color w:val="000000"/>
                <w:sz w:val="20"/>
                <w:lang w:val="en-AU"/>
              </w:rPr>
              <w:t xml:space="preserve">               691,628 </w:t>
            </w:r>
          </w:p>
        </w:tc>
        <w:tc>
          <w:tcPr>
            <w:tcW w:w="626" w:type="pct"/>
            <w:shd w:val="clear" w:color="auto" w:fill="auto"/>
            <w:noWrap/>
            <w:vAlign w:val="bottom"/>
            <w:hideMark/>
          </w:tcPr>
          <w:p w14:paraId="5F22EDDB" w14:textId="77777777" w:rsidR="00BA6B9B" w:rsidRPr="007B644C" w:rsidRDefault="00BA6B9B" w:rsidP="00F541AA">
            <w:pPr>
              <w:spacing w:before="0" w:after="0"/>
              <w:rPr>
                <w:color w:val="000000"/>
                <w:sz w:val="20"/>
                <w:lang w:val="en-AU"/>
              </w:rPr>
            </w:pPr>
            <w:r w:rsidRPr="007B644C">
              <w:rPr>
                <w:color w:val="000000"/>
                <w:sz w:val="20"/>
                <w:lang w:val="en-AU"/>
              </w:rPr>
              <w:t xml:space="preserve">               770,637 </w:t>
            </w:r>
          </w:p>
        </w:tc>
        <w:tc>
          <w:tcPr>
            <w:tcW w:w="647" w:type="pct"/>
            <w:shd w:val="clear" w:color="auto" w:fill="auto"/>
            <w:noWrap/>
            <w:vAlign w:val="bottom"/>
            <w:hideMark/>
          </w:tcPr>
          <w:p w14:paraId="5F22EDDC" w14:textId="77777777" w:rsidR="00BA6B9B" w:rsidRPr="007B644C" w:rsidRDefault="00BA6B9B" w:rsidP="00F541AA">
            <w:pPr>
              <w:spacing w:before="0" w:after="0"/>
              <w:rPr>
                <w:color w:val="000000"/>
                <w:sz w:val="20"/>
                <w:lang w:val="en-AU"/>
              </w:rPr>
            </w:pPr>
            <w:r w:rsidRPr="007B644C">
              <w:rPr>
                <w:color w:val="000000"/>
                <w:sz w:val="20"/>
                <w:lang w:val="en-AU"/>
              </w:rPr>
              <w:t xml:space="preserve">           1,484,349 </w:t>
            </w:r>
          </w:p>
        </w:tc>
        <w:tc>
          <w:tcPr>
            <w:tcW w:w="721" w:type="pct"/>
            <w:shd w:val="clear" w:color="auto" w:fill="auto"/>
            <w:noWrap/>
            <w:vAlign w:val="bottom"/>
            <w:hideMark/>
          </w:tcPr>
          <w:p w14:paraId="5F22EDDD" w14:textId="77777777" w:rsidR="00BA6B9B" w:rsidRPr="007B644C" w:rsidRDefault="00BA6B9B" w:rsidP="00F541AA">
            <w:pPr>
              <w:spacing w:before="0" w:after="0"/>
              <w:rPr>
                <w:color w:val="000000"/>
                <w:sz w:val="20"/>
                <w:lang w:val="en-AU"/>
              </w:rPr>
            </w:pPr>
            <w:r w:rsidRPr="007B644C">
              <w:rPr>
                <w:color w:val="000000"/>
                <w:sz w:val="20"/>
                <w:lang w:val="en-AU"/>
              </w:rPr>
              <w:t xml:space="preserve">               563,039 </w:t>
            </w:r>
          </w:p>
        </w:tc>
      </w:tr>
      <w:tr w:rsidR="00BA6B9B" w:rsidRPr="003A77F5" w14:paraId="5F22EDE7" w14:textId="77777777" w:rsidTr="005A7F56">
        <w:trPr>
          <w:trHeight w:val="20"/>
          <w:jc w:val="center"/>
        </w:trPr>
        <w:tc>
          <w:tcPr>
            <w:tcW w:w="516" w:type="pct"/>
            <w:vMerge/>
            <w:vAlign w:val="center"/>
            <w:hideMark/>
          </w:tcPr>
          <w:p w14:paraId="5F22EDDF" w14:textId="77777777" w:rsidR="00BA6B9B" w:rsidRPr="007B644C" w:rsidRDefault="00BA6B9B" w:rsidP="00F541AA">
            <w:pPr>
              <w:spacing w:before="0" w:after="0"/>
              <w:rPr>
                <w:rFonts w:cs="Arial"/>
                <w:b/>
                <w:bCs/>
                <w:color w:val="000000"/>
                <w:sz w:val="20"/>
                <w:lang w:val="en-AU"/>
              </w:rPr>
            </w:pPr>
          </w:p>
        </w:tc>
        <w:tc>
          <w:tcPr>
            <w:tcW w:w="607" w:type="pct"/>
            <w:shd w:val="clear" w:color="auto" w:fill="auto"/>
            <w:noWrap/>
            <w:vAlign w:val="center"/>
            <w:hideMark/>
          </w:tcPr>
          <w:p w14:paraId="5F22EDE0" w14:textId="77777777" w:rsidR="00BA6B9B" w:rsidRPr="007B644C" w:rsidRDefault="00BA6B9B" w:rsidP="00F541AA">
            <w:pPr>
              <w:spacing w:before="0" w:after="0"/>
              <w:rPr>
                <w:color w:val="000000"/>
                <w:sz w:val="20"/>
                <w:lang w:val="en-AU"/>
              </w:rPr>
            </w:pPr>
            <w:r w:rsidRPr="007B644C">
              <w:rPr>
                <w:color w:val="000000"/>
                <w:sz w:val="20"/>
                <w:lang w:val="en-AU"/>
              </w:rPr>
              <w:t>Stewart</w:t>
            </w:r>
          </w:p>
        </w:tc>
        <w:tc>
          <w:tcPr>
            <w:tcW w:w="630" w:type="pct"/>
            <w:shd w:val="clear" w:color="auto" w:fill="auto"/>
            <w:noWrap/>
            <w:vAlign w:val="bottom"/>
            <w:hideMark/>
          </w:tcPr>
          <w:p w14:paraId="5F22EDE1" w14:textId="77777777" w:rsidR="00BA6B9B" w:rsidRPr="007B644C" w:rsidRDefault="00BA6B9B" w:rsidP="00F541AA">
            <w:pPr>
              <w:spacing w:before="0" w:after="0"/>
              <w:rPr>
                <w:color w:val="000000"/>
                <w:sz w:val="20"/>
                <w:lang w:val="en-AU"/>
              </w:rPr>
            </w:pPr>
            <w:r w:rsidRPr="007B644C">
              <w:rPr>
                <w:color w:val="000000"/>
                <w:sz w:val="20"/>
                <w:lang w:val="en-AU"/>
              </w:rPr>
              <w:t xml:space="preserve">               220,612 </w:t>
            </w:r>
          </w:p>
        </w:tc>
        <w:tc>
          <w:tcPr>
            <w:tcW w:w="626" w:type="pct"/>
            <w:shd w:val="clear" w:color="000000" w:fill="FFFF00"/>
            <w:noWrap/>
            <w:vAlign w:val="bottom"/>
            <w:hideMark/>
          </w:tcPr>
          <w:p w14:paraId="5F22EDE2" w14:textId="77777777" w:rsidR="00BA6B9B" w:rsidRPr="007B644C" w:rsidRDefault="00BA6B9B" w:rsidP="00F541AA">
            <w:pPr>
              <w:spacing w:before="0" w:after="0"/>
              <w:rPr>
                <w:color w:val="000000"/>
                <w:sz w:val="20"/>
                <w:lang w:val="en-AU"/>
              </w:rPr>
            </w:pPr>
            <w:r w:rsidRPr="007B644C">
              <w:rPr>
                <w:color w:val="000000"/>
                <w:sz w:val="20"/>
                <w:lang w:val="en-AU"/>
              </w:rPr>
              <w:t xml:space="preserve">               368,703 </w:t>
            </w:r>
          </w:p>
        </w:tc>
        <w:tc>
          <w:tcPr>
            <w:tcW w:w="626" w:type="pct"/>
            <w:shd w:val="clear" w:color="auto" w:fill="auto"/>
            <w:noWrap/>
            <w:vAlign w:val="bottom"/>
            <w:hideMark/>
          </w:tcPr>
          <w:p w14:paraId="5F22EDE3" w14:textId="77777777" w:rsidR="00BA6B9B" w:rsidRPr="007B644C" w:rsidRDefault="00BA6B9B" w:rsidP="00F541AA">
            <w:pPr>
              <w:spacing w:before="0" w:after="0"/>
              <w:rPr>
                <w:color w:val="000000"/>
                <w:sz w:val="20"/>
                <w:lang w:val="en-AU"/>
              </w:rPr>
            </w:pPr>
            <w:r w:rsidRPr="007B644C">
              <w:rPr>
                <w:color w:val="000000"/>
                <w:sz w:val="20"/>
                <w:lang w:val="en-AU"/>
              </w:rPr>
              <w:t xml:space="preserve">               101,761 </w:t>
            </w:r>
          </w:p>
        </w:tc>
        <w:tc>
          <w:tcPr>
            <w:tcW w:w="626" w:type="pct"/>
            <w:shd w:val="clear" w:color="auto" w:fill="auto"/>
            <w:noWrap/>
            <w:vAlign w:val="bottom"/>
            <w:hideMark/>
          </w:tcPr>
          <w:p w14:paraId="5F22EDE4" w14:textId="77777777" w:rsidR="00BA6B9B" w:rsidRPr="007B644C" w:rsidRDefault="00BA6B9B" w:rsidP="00F541AA">
            <w:pPr>
              <w:spacing w:before="0" w:after="0"/>
              <w:rPr>
                <w:color w:val="000000"/>
                <w:sz w:val="20"/>
                <w:lang w:val="en-AU"/>
              </w:rPr>
            </w:pPr>
            <w:r w:rsidRPr="007B644C">
              <w:rPr>
                <w:color w:val="000000"/>
                <w:sz w:val="20"/>
                <w:lang w:val="en-AU"/>
              </w:rPr>
              <w:t xml:space="preserve">                 87,708 </w:t>
            </w:r>
          </w:p>
        </w:tc>
        <w:tc>
          <w:tcPr>
            <w:tcW w:w="647" w:type="pct"/>
            <w:shd w:val="clear" w:color="auto" w:fill="auto"/>
            <w:noWrap/>
            <w:vAlign w:val="bottom"/>
            <w:hideMark/>
          </w:tcPr>
          <w:p w14:paraId="5F22EDE5" w14:textId="77777777" w:rsidR="00BA6B9B" w:rsidRPr="007B644C" w:rsidRDefault="00BA6B9B" w:rsidP="00F541AA">
            <w:pPr>
              <w:spacing w:before="0" w:after="0"/>
              <w:rPr>
                <w:color w:val="000000"/>
                <w:sz w:val="20"/>
                <w:lang w:val="en-AU"/>
              </w:rPr>
            </w:pPr>
            <w:r w:rsidRPr="007B644C">
              <w:rPr>
                <w:color w:val="000000"/>
                <w:sz w:val="20"/>
                <w:lang w:val="en-AU"/>
              </w:rPr>
              <w:t xml:space="preserve">               220,909 </w:t>
            </w:r>
          </w:p>
        </w:tc>
        <w:tc>
          <w:tcPr>
            <w:tcW w:w="721" w:type="pct"/>
            <w:shd w:val="clear" w:color="auto" w:fill="auto"/>
            <w:noWrap/>
            <w:vAlign w:val="bottom"/>
            <w:hideMark/>
          </w:tcPr>
          <w:p w14:paraId="5F22EDE6" w14:textId="77777777" w:rsidR="00BA6B9B" w:rsidRPr="007B644C" w:rsidRDefault="00BA6B9B" w:rsidP="00F541AA">
            <w:pPr>
              <w:spacing w:before="0" w:after="0"/>
              <w:rPr>
                <w:color w:val="000000"/>
                <w:sz w:val="20"/>
                <w:lang w:val="en-AU"/>
              </w:rPr>
            </w:pPr>
            <w:r w:rsidRPr="007B644C">
              <w:rPr>
                <w:color w:val="000000"/>
                <w:sz w:val="20"/>
                <w:lang w:val="en-AU"/>
              </w:rPr>
              <w:t xml:space="preserve">                 50,288 </w:t>
            </w:r>
          </w:p>
        </w:tc>
      </w:tr>
      <w:tr w:rsidR="00BA6B9B" w:rsidRPr="003A77F5" w14:paraId="5F22EDF0" w14:textId="77777777" w:rsidTr="005A7F56">
        <w:trPr>
          <w:trHeight w:val="20"/>
          <w:jc w:val="center"/>
        </w:trPr>
        <w:tc>
          <w:tcPr>
            <w:tcW w:w="516" w:type="pct"/>
            <w:vMerge/>
            <w:vAlign w:val="center"/>
            <w:hideMark/>
          </w:tcPr>
          <w:p w14:paraId="5F22EDE8" w14:textId="77777777" w:rsidR="00BA6B9B" w:rsidRPr="007B644C" w:rsidRDefault="00BA6B9B" w:rsidP="00F541AA">
            <w:pPr>
              <w:spacing w:before="0" w:after="0"/>
              <w:rPr>
                <w:rFonts w:cs="Arial"/>
                <w:b/>
                <w:bCs/>
                <w:color w:val="000000"/>
                <w:sz w:val="20"/>
                <w:lang w:val="en-AU"/>
              </w:rPr>
            </w:pPr>
          </w:p>
        </w:tc>
        <w:tc>
          <w:tcPr>
            <w:tcW w:w="607" w:type="pct"/>
            <w:shd w:val="clear" w:color="auto" w:fill="auto"/>
            <w:noWrap/>
            <w:vAlign w:val="center"/>
            <w:hideMark/>
          </w:tcPr>
          <w:p w14:paraId="5F22EDE9" w14:textId="77777777" w:rsidR="00BA6B9B" w:rsidRPr="007B644C" w:rsidRDefault="00BA6B9B" w:rsidP="00F541AA">
            <w:pPr>
              <w:spacing w:before="0" w:after="0"/>
              <w:rPr>
                <w:color w:val="000000"/>
                <w:sz w:val="20"/>
                <w:lang w:val="en-AU"/>
              </w:rPr>
            </w:pPr>
            <w:r w:rsidRPr="007B644C">
              <w:rPr>
                <w:color w:val="000000"/>
                <w:sz w:val="20"/>
                <w:lang w:val="en-AU"/>
              </w:rPr>
              <w:t>Normanby</w:t>
            </w:r>
          </w:p>
        </w:tc>
        <w:tc>
          <w:tcPr>
            <w:tcW w:w="630" w:type="pct"/>
            <w:shd w:val="clear" w:color="auto" w:fill="auto"/>
            <w:noWrap/>
            <w:vAlign w:val="bottom"/>
            <w:hideMark/>
          </w:tcPr>
          <w:p w14:paraId="5F22EDEA" w14:textId="77777777" w:rsidR="00BA6B9B" w:rsidRPr="007B644C" w:rsidRDefault="00BA6B9B" w:rsidP="00F541AA">
            <w:pPr>
              <w:spacing w:before="0" w:after="0"/>
              <w:jc w:val="center"/>
              <w:rPr>
                <w:color w:val="000000"/>
                <w:sz w:val="20"/>
                <w:lang w:val="en-AU"/>
              </w:rPr>
            </w:pPr>
            <w:r w:rsidRPr="007B644C">
              <w:rPr>
                <w:color w:val="000000"/>
                <w:sz w:val="20"/>
                <w:lang w:val="en-AU"/>
              </w:rPr>
              <w:t xml:space="preserve">                           -   </w:t>
            </w:r>
          </w:p>
        </w:tc>
        <w:tc>
          <w:tcPr>
            <w:tcW w:w="626" w:type="pct"/>
            <w:shd w:val="clear" w:color="auto" w:fill="auto"/>
            <w:noWrap/>
            <w:vAlign w:val="bottom"/>
            <w:hideMark/>
          </w:tcPr>
          <w:p w14:paraId="5F22EDEB" w14:textId="77777777" w:rsidR="00BA6B9B" w:rsidRPr="007B644C" w:rsidRDefault="00BA6B9B" w:rsidP="00F541AA">
            <w:pPr>
              <w:spacing w:before="0" w:after="0"/>
              <w:rPr>
                <w:color w:val="000000"/>
                <w:sz w:val="20"/>
                <w:lang w:val="en-AU"/>
              </w:rPr>
            </w:pPr>
            <w:r w:rsidRPr="007B644C">
              <w:rPr>
                <w:color w:val="000000"/>
                <w:sz w:val="20"/>
                <w:lang w:val="en-AU"/>
              </w:rPr>
              <w:t xml:space="preserve">           5,862,830 </w:t>
            </w:r>
          </w:p>
        </w:tc>
        <w:tc>
          <w:tcPr>
            <w:tcW w:w="626" w:type="pct"/>
            <w:shd w:val="clear" w:color="auto" w:fill="auto"/>
            <w:noWrap/>
            <w:vAlign w:val="bottom"/>
            <w:hideMark/>
          </w:tcPr>
          <w:p w14:paraId="5F22EDEC" w14:textId="77777777" w:rsidR="00BA6B9B" w:rsidRPr="007B644C" w:rsidRDefault="00BA6B9B" w:rsidP="00F541AA">
            <w:pPr>
              <w:spacing w:before="0" w:after="0"/>
              <w:rPr>
                <w:color w:val="000000"/>
                <w:sz w:val="20"/>
                <w:lang w:val="en-AU"/>
              </w:rPr>
            </w:pPr>
            <w:r w:rsidRPr="007B644C">
              <w:rPr>
                <w:color w:val="000000"/>
                <w:sz w:val="20"/>
                <w:lang w:val="en-AU"/>
              </w:rPr>
              <w:t xml:space="preserve">           1,090,140 </w:t>
            </w:r>
          </w:p>
        </w:tc>
        <w:tc>
          <w:tcPr>
            <w:tcW w:w="626" w:type="pct"/>
            <w:shd w:val="clear" w:color="auto" w:fill="auto"/>
            <w:noWrap/>
            <w:vAlign w:val="bottom"/>
            <w:hideMark/>
          </w:tcPr>
          <w:p w14:paraId="5F22EDED" w14:textId="77777777" w:rsidR="00BA6B9B" w:rsidRPr="007B644C" w:rsidRDefault="00BA6B9B" w:rsidP="00F541AA">
            <w:pPr>
              <w:spacing w:before="0" w:after="0"/>
              <w:rPr>
                <w:color w:val="000000"/>
                <w:sz w:val="20"/>
                <w:lang w:val="en-AU"/>
              </w:rPr>
            </w:pPr>
            <w:r w:rsidRPr="007B644C">
              <w:rPr>
                <w:color w:val="000000"/>
                <w:sz w:val="20"/>
                <w:lang w:val="en-AU"/>
              </w:rPr>
              <w:t xml:space="preserve">           1,776,332 </w:t>
            </w:r>
          </w:p>
        </w:tc>
        <w:tc>
          <w:tcPr>
            <w:tcW w:w="647" w:type="pct"/>
            <w:shd w:val="clear" w:color="auto" w:fill="auto"/>
            <w:noWrap/>
            <w:vAlign w:val="bottom"/>
            <w:hideMark/>
          </w:tcPr>
          <w:p w14:paraId="5F22EDEE" w14:textId="77777777" w:rsidR="00BA6B9B" w:rsidRPr="007B644C" w:rsidRDefault="00BA6B9B" w:rsidP="00F541AA">
            <w:pPr>
              <w:spacing w:before="0" w:after="0"/>
              <w:rPr>
                <w:color w:val="000000"/>
                <w:sz w:val="20"/>
                <w:lang w:val="en-AU"/>
              </w:rPr>
            </w:pPr>
            <w:r w:rsidRPr="007B644C">
              <w:rPr>
                <w:color w:val="000000"/>
                <w:sz w:val="20"/>
                <w:lang w:val="en-AU"/>
              </w:rPr>
              <w:t xml:space="preserve">           2,484,483 </w:t>
            </w:r>
          </w:p>
        </w:tc>
        <w:tc>
          <w:tcPr>
            <w:tcW w:w="721" w:type="pct"/>
            <w:shd w:val="clear" w:color="auto" w:fill="auto"/>
            <w:noWrap/>
            <w:vAlign w:val="bottom"/>
            <w:hideMark/>
          </w:tcPr>
          <w:p w14:paraId="5F22EDEF" w14:textId="77777777" w:rsidR="00BA6B9B" w:rsidRPr="007B644C" w:rsidRDefault="00BA6B9B" w:rsidP="00F541AA">
            <w:pPr>
              <w:spacing w:before="0" w:after="0"/>
              <w:rPr>
                <w:color w:val="000000"/>
                <w:sz w:val="20"/>
                <w:lang w:val="en-AU"/>
              </w:rPr>
            </w:pPr>
            <w:r w:rsidRPr="007B644C">
              <w:rPr>
                <w:color w:val="000000"/>
                <w:sz w:val="20"/>
                <w:lang w:val="en-AU"/>
              </w:rPr>
              <w:t xml:space="preserve">           1,489,203 </w:t>
            </w:r>
          </w:p>
        </w:tc>
      </w:tr>
      <w:tr w:rsidR="00BA6B9B" w:rsidRPr="003A77F5" w14:paraId="5F22EDF9" w14:textId="77777777" w:rsidTr="005A7F56">
        <w:trPr>
          <w:trHeight w:val="20"/>
          <w:jc w:val="center"/>
        </w:trPr>
        <w:tc>
          <w:tcPr>
            <w:tcW w:w="516" w:type="pct"/>
            <w:vMerge/>
            <w:vAlign w:val="center"/>
            <w:hideMark/>
          </w:tcPr>
          <w:p w14:paraId="5F22EDF1" w14:textId="77777777" w:rsidR="00BA6B9B" w:rsidRPr="007B644C" w:rsidRDefault="00BA6B9B" w:rsidP="00F541AA">
            <w:pPr>
              <w:spacing w:before="0" w:after="0"/>
              <w:rPr>
                <w:rFonts w:cs="Arial"/>
                <w:b/>
                <w:bCs/>
                <w:color w:val="000000"/>
                <w:sz w:val="20"/>
                <w:lang w:val="en-AU"/>
              </w:rPr>
            </w:pPr>
          </w:p>
        </w:tc>
        <w:tc>
          <w:tcPr>
            <w:tcW w:w="607" w:type="pct"/>
            <w:shd w:val="clear" w:color="auto" w:fill="auto"/>
            <w:noWrap/>
            <w:vAlign w:val="center"/>
            <w:hideMark/>
          </w:tcPr>
          <w:p w14:paraId="5F22EDF2" w14:textId="77777777" w:rsidR="00BA6B9B" w:rsidRPr="007B644C" w:rsidRDefault="00BA6B9B" w:rsidP="00F541AA">
            <w:pPr>
              <w:spacing w:before="0" w:after="0"/>
              <w:rPr>
                <w:color w:val="000000"/>
                <w:sz w:val="20"/>
                <w:lang w:val="en-AU"/>
              </w:rPr>
            </w:pPr>
            <w:r w:rsidRPr="007B644C">
              <w:rPr>
                <w:color w:val="000000"/>
                <w:sz w:val="20"/>
                <w:lang w:val="en-AU"/>
              </w:rPr>
              <w:t>Annan</w:t>
            </w:r>
          </w:p>
        </w:tc>
        <w:tc>
          <w:tcPr>
            <w:tcW w:w="630" w:type="pct"/>
            <w:shd w:val="clear" w:color="auto" w:fill="auto"/>
            <w:noWrap/>
            <w:vAlign w:val="bottom"/>
            <w:hideMark/>
          </w:tcPr>
          <w:p w14:paraId="5F22EDF3" w14:textId="77777777" w:rsidR="00BA6B9B" w:rsidRPr="007B644C" w:rsidRDefault="00BA6B9B" w:rsidP="00F541AA">
            <w:pPr>
              <w:spacing w:before="0" w:after="0"/>
              <w:rPr>
                <w:color w:val="000000"/>
                <w:sz w:val="20"/>
                <w:lang w:val="en-AU"/>
              </w:rPr>
            </w:pPr>
            <w:r w:rsidRPr="007B644C">
              <w:rPr>
                <w:color w:val="000000"/>
                <w:sz w:val="20"/>
                <w:lang w:val="en-AU"/>
              </w:rPr>
              <w:t xml:space="preserve">               219,963 </w:t>
            </w:r>
          </w:p>
        </w:tc>
        <w:tc>
          <w:tcPr>
            <w:tcW w:w="626" w:type="pct"/>
            <w:shd w:val="clear" w:color="000000" w:fill="FFC000"/>
            <w:noWrap/>
            <w:vAlign w:val="bottom"/>
            <w:hideMark/>
          </w:tcPr>
          <w:p w14:paraId="5F22EDF4" w14:textId="77777777" w:rsidR="00BA6B9B" w:rsidRPr="007B644C" w:rsidRDefault="00BA6B9B" w:rsidP="00F541AA">
            <w:pPr>
              <w:spacing w:before="0" w:after="0"/>
              <w:rPr>
                <w:color w:val="000000"/>
                <w:sz w:val="20"/>
                <w:lang w:val="en-AU"/>
              </w:rPr>
            </w:pPr>
            <w:r w:rsidRPr="007B644C">
              <w:rPr>
                <w:color w:val="000000"/>
                <w:sz w:val="20"/>
                <w:lang w:val="en-AU"/>
              </w:rPr>
              <w:t xml:space="preserve">               485,961 </w:t>
            </w:r>
          </w:p>
        </w:tc>
        <w:tc>
          <w:tcPr>
            <w:tcW w:w="626" w:type="pct"/>
            <w:shd w:val="clear" w:color="auto" w:fill="auto"/>
            <w:noWrap/>
            <w:vAlign w:val="bottom"/>
            <w:hideMark/>
          </w:tcPr>
          <w:p w14:paraId="5F22EDF5" w14:textId="77777777" w:rsidR="00BA6B9B" w:rsidRPr="007B644C" w:rsidRDefault="00BA6B9B" w:rsidP="00F541AA">
            <w:pPr>
              <w:spacing w:before="0" w:after="0"/>
              <w:rPr>
                <w:color w:val="000000"/>
                <w:sz w:val="20"/>
                <w:lang w:val="en-AU"/>
              </w:rPr>
            </w:pPr>
            <w:r w:rsidRPr="007B644C">
              <w:rPr>
                <w:color w:val="000000"/>
                <w:sz w:val="20"/>
                <w:lang w:val="en-AU"/>
              </w:rPr>
              <w:t xml:space="preserve">               266,446 </w:t>
            </w:r>
          </w:p>
        </w:tc>
        <w:tc>
          <w:tcPr>
            <w:tcW w:w="626" w:type="pct"/>
            <w:shd w:val="clear" w:color="auto" w:fill="auto"/>
            <w:noWrap/>
            <w:vAlign w:val="bottom"/>
            <w:hideMark/>
          </w:tcPr>
          <w:p w14:paraId="5F22EDF6" w14:textId="77777777" w:rsidR="00BA6B9B" w:rsidRPr="007B644C" w:rsidRDefault="00BA6B9B" w:rsidP="00F541AA">
            <w:pPr>
              <w:spacing w:before="0" w:after="0"/>
              <w:rPr>
                <w:color w:val="000000"/>
                <w:sz w:val="20"/>
                <w:lang w:val="en-AU"/>
              </w:rPr>
            </w:pPr>
            <w:r w:rsidRPr="007B644C">
              <w:rPr>
                <w:color w:val="000000"/>
                <w:sz w:val="20"/>
                <w:lang w:val="en-AU"/>
              </w:rPr>
              <w:t xml:space="preserve">               129,570 </w:t>
            </w:r>
          </w:p>
        </w:tc>
        <w:tc>
          <w:tcPr>
            <w:tcW w:w="647" w:type="pct"/>
            <w:shd w:val="clear" w:color="auto" w:fill="auto"/>
            <w:noWrap/>
            <w:vAlign w:val="bottom"/>
            <w:hideMark/>
          </w:tcPr>
          <w:p w14:paraId="5F22EDF7" w14:textId="77777777" w:rsidR="00BA6B9B" w:rsidRPr="007B644C" w:rsidRDefault="00BA6B9B" w:rsidP="00F541AA">
            <w:pPr>
              <w:spacing w:before="0" w:after="0"/>
              <w:rPr>
                <w:color w:val="000000"/>
                <w:sz w:val="20"/>
                <w:lang w:val="en-AU"/>
              </w:rPr>
            </w:pPr>
            <w:r w:rsidRPr="007B644C">
              <w:rPr>
                <w:color w:val="000000"/>
                <w:sz w:val="20"/>
                <w:lang w:val="en-AU"/>
              </w:rPr>
              <w:t xml:space="preserve">               194,612 </w:t>
            </w:r>
          </w:p>
        </w:tc>
        <w:tc>
          <w:tcPr>
            <w:tcW w:w="721" w:type="pct"/>
            <w:shd w:val="clear" w:color="auto" w:fill="auto"/>
            <w:noWrap/>
            <w:vAlign w:val="bottom"/>
            <w:hideMark/>
          </w:tcPr>
          <w:p w14:paraId="5F22EDF8" w14:textId="77777777" w:rsidR="00BA6B9B" w:rsidRPr="007B644C" w:rsidRDefault="00BA6B9B" w:rsidP="00F541AA">
            <w:pPr>
              <w:spacing w:before="0" w:after="0"/>
              <w:rPr>
                <w:color w:val="000000"/>
                <w:sz w:val="20"/>
                <w:lang w:val="en-AU"/>
              </w:rPr>
            </w:pPr>
            <w:r w:rsidRPr="007B644C">
              <w:rPr>
                <w:color w:val="000000"/>
                <w:sz w:val="20"/>
                <w:lang w:val="en-AU"/>
              </w:rPr>
              <w:t xml:space="preserve">               246,939 </w:t>
            </w:r>
          </w:p>
        </w:tc>
      </w:tr>
      <w:tr w:rsidR="00BA6B9B" w:rsidRPr="003A77F5" w14:paraId="5F22EE02" w14:textId="77777777" w:rsidTr="005A7F56">
        <w:trPr>
          <w:trHeight w:val="20"/>
          <w:jc w:val="center"/>
        </w:trPr>
        <w:tc>
          <w:tcPr>
            <w:tcW w:w="516" w:type="pct"/>
            <w:vMerge w:val="restart"/>
            <w:shd w:val="clear" w:color="auto" w:fill="auto"/>
            <w:vAlign w:val="center"/>
            <w:hideMark/>
          </w:tcPr>
          <w:p w14:paraId="5F22EDFA" w14:textId="77777777" w:rsidR="00BA6B9B" w:rsidRPr="007B644C" w:rsidRDefault="00BA6B9B" w:rsidP="00F541AA">
            <w:pPr>
              <w:spacing w:before="0" w:after="0"/>
              <w:rPr>
                <w:rFonts w:cs="Arial"/>
                <w:b/>
                <w:bCs/>
                <w:color w:val="000000"/>
                <w:sz w:val="20"/>
                <w:lang w:val="en-AU"/>
              </w:rPr>
            </w:pPr>
            <w:r w:rsidRPr="007B644C">
              <w:rPr>
                <w:rFonts w:cs="Arial"/>
                <w:b/>
                <w:bCs/>
                <w:color w:val="000000"/>
                <w:sz w:val="20"/>
                <w:lang w:val="en-AU"/>
              </w:rPr>
              <w:t>Wet Tropics</w:t>
            </w:r>
          </w:p>
        </w:tc>
        <w:tc>
          <w:tcPr>
            <w:tcW w:w="607" w:type="pct"/>
            <w:shd w:val="clear" w:color="auto" w:fill="auto"/>
            <w:noWrap/>
            <w:vAlign w:val="center"/>
            <w:hideMark/>
          </w:tcPr>
          <w:p w14:paraId="5F22EDFB" w14:textId="77777777" w:rsidR="00BA6B9B" w:rsidRPr="007B644C" w:rsidRDefault="00BA6B9B" w:rsidP="00F541AA">
            <w:pPr>
              <w:spacing w:before="0" w:after="0"/>
              <w:rPr>
                <w:color w:val="000000"/>
                <w:sz w:val="20"/>
                <w:lang w:val="en-AU"/>
              </w:rPr>
            </w:pPr>
            <w:r w:rsidRPr="007B644C">
              <w:rPr>
                <w:color w:val="000000"/>
                <w:sz w:val="20"/>
                <w:lang w:val="en-AU"/>
              </w:rPr>
              <w:t>Daintree</w:t>
            </w:r>
          </w:p>
        </w:tc>
        <w:tc>
          <w:tcPr>
            <w:tcW w:w="630" w:type="pct"/>
            <w:shd w:val="clear" w:color="auto" w:fill="auto"/>
            <w:noWrap/>
            <w:vAlign w:val="bottom"/>
            <w:hideMark/>
          </w:tcPr>
          <w:p w14:paraId="5F22EDFC" w14:textId="77777777" w:rsidR="00BA6B9B" w:rsidRPr="007B644C" w:rsidRDefault="00BA6B9B" w:rsidP="00F541AA">
            <w:pPr>
              <w:spacing w:before="0" w:after="0"/>
              <w:rPr>
                <w:color w:val="000000"/>
                <w:sz w:val="20"/>
                <w:lang w:val="en-AU"/>
              </w:rPr>
            </w:pPr>
            <w:r w:rsidRPr="007B644C">
              <w:rPr>
                <w:color w:val="000000"/>
                <w:sz w:val="20"/>
                <w:lang w:val="en-AU"/>
              </w:rPr>
              <w:t xml:space="preserve">               556,590 </w:t>
            </w:r>
          </w:p>
        </w:tc>
        <w:tc>
          <w:tcPr>
            <w:tcW w:w="626" w:type="pct"/>
            <w:shd w:val="clear" w:color="000000" w:fill="FFC000"/>
            <w:noWrap/>
            <w:vAlign w:val="bottom"/>
            <w:hideMark/>
          </w:tcPr>
          <w:p w14:paraId="5F22EDFD" w14:textId="77777777" w:rsidR="00BA6B9B" w:rsidRPr="007B644C" w:rsidRDefault="00BA6B9B" w:rsidP="00F541AA">
            <w:pPr>
              <w:spacing w:before="0" w:after="0"/>
              <w:rPr>
                <w:color w:val="000000"/>
                <w:sz w:val="20"/>
                <w:lang w:val="en-AU"/>
              </w:rPr>
            </w:pPr>
            <w:r w:rsidRPr="007B644C">
              <w:rPr>
                <w:color w:val="000000"/>
                <w:sz w:val="20"/>
                <w:lang w:val="en-AU"/>
              </w:rPr>
              <w:t xml:space="preserve">           1,429,899 </w:t>
            </w:r>
          </w:p>
        </w:tc>
        <w:tc>
          <w:tcPr>
            <w:tcW w:w="626" w:type="pct"/>
            <w:shd w:val="clear" w:color="auto" w:fill="auto"/>
            <w:noWrap/>
            <w:vAlign w:val="bottom"/>
            <w:hideMark/>
          </w:tcPr>
          <w:p w14:paraId="5F22EDFE" w14:textId="77777777" w:rsidR="00BA6B9B" w:rsidRPr="007B644C" w:rsidRDefault="00BA6B9B" w:rsidP="00F541AA">
            <w:pPr>
              <w:spacing w:before="0" w:after="0"/>
              <w:rPr>
                <w:color w:val="000000"/>
                <w:sz w:val="20"/>
                <w:lang w:val="en-AU"/>
              </w:rPr>
            </w:pPr>
            <w:r w:rsidRPr="007B644C">
              <w:rPr>
                <w:color w:val="000000"/>
                <w:sz w:val="20"/>
                <w:lang w:val="en-AU"/>
              </w:rPr>
              <w:t xml:space="preserve">               744,055 </w:t>
            </w:r>
          </w:p>
        </w:tc>
        <w:tc>
          <w:tcPr>
            <w:tcW w:w="626" w:type="pct"/>
            <w:shd w:val="clear" w:color="auto" w:fill="auto"/>
            <w:noWrap/>
            <w:vAlign w:val="bottom"/>
            <w:hideMark/>
          </w:tcPr>
          <w:p w14:paraId="5F22EDFF" w14:textId="77777777" w:rsidR="00BA6B9B" w:rsidRPr="007B644C" w:rsidRDefault="00BA6B9B" w:rsidP="00F541AA">
            <w:pPr>
              <w:spacing w:before="0" w:after="0"/>
              <w:rPr>
                <w:color w:val="000000"/>
                <w:sz w:val="20"/>
                <w:lang w:val="en-AU"/>
              </w:rPr>
            </w:pPr>
            <w:r w:rsidRPr="007B644C">
              <w:rPr>
                <w:color w:val="000000"/>
                <w:sz w:val="20"/>
                <w:lang w:val="en-AU"/>
              </w:rPr>
              <w:t xml:space="preserve">               501,552 </w:t>
            </w:r>
          </w:p>
        </w:tc>
        <w:tc>
          <w:tcPr>
            <w:tcW w:w="647" w:type="pct"/>
            <w:shd w:val="clear" w:color="000000" w:fill="FFC000"/>
            <w:noWrap/>
            <w:vAlign w:val="bottom"/>
            <w:hideMark/>
          </w:tcPr>
          <w:p w14:paraId="5F22EE00" w14:textId="77777777" w:rsidR="00BA6B9B" w:rsidRPr="007B644C" w:rsidRDefault="00BA6B9B" w:rsidP="00F541AA">
            <w:pPr>
              <w:spacing w:before="0" w:after="0"/>
              <w:rPr>
                <w:color w:val="000000"/>
                <w:sz w:val="20"/>
                <w:lang w:val="en-AU"/>
              </w:rPr>
            </w:pPr>
            <w:r w:rsidRPr="007B644C">
              <w:rPr>
                <w:color w:val="000000"/>
                <w:sz w:val="20"/>
                <w:lang w:val="en-AU"/>
              </w:rPr>
              <w:t xml:space="preserve">           1,457,002 </w:t>
            </w:r>
          </w:p>
        </w:tc>
        <w:tc>
          <w:tcPr>
            <w:tcW w:w="721" w:type="pct"/>
            <w:shd w:val="clear" w:color="auto" w:fill="auto"/>
            <w:noWrap/>
            <w:vAlign w:val="bottom"/>
            <w:hideMark/>
          </w:tcPr>
          <w:p w14:paraId="5F22EE01" w14:textId="77777777" w:rsidR="00BA6B9B" w:rsidRPr="007B644C" w:rsidRDefault="00BA6B9B" w:rsidP="00F541AA">
            <w:pPr>
              <w:spacing w:before="0" w:after="0"/>
              <w:rPr>
                <w:color w:val="000000"/>
                <w:sz w:val="20"/>
                <w:lang w:val="en-AU"/>
              </w:rPr>
            </w:pPr>
            <w:r w:rsidRPr="007B644C">
              <w:rPr>
                <w:color w:val="000000"/>
                <w:sz w:val="20"/>
                <w:lang w:val="en-AU"/>
              </w:rPr>
              <w:t xml:space="preserve">               584,369 </w:t>
            </w:r>
          </w:p>
        </w:tc>
      </w:tr>
      <w:tr w:rsidR="00BA6B9B" w:rsidRPr="003A77F5" w14:paraId="5F22EE0B" w14:textId="77777777" w:rsidTr="005A7F56">
        <w:trPr>
          <w:trHeight w:val="20"/>
          <w:jc w:val="center"/>
        </w:trPr>
        <w:tc>
          <w:tcPr>
            <w:tcW w:w="516" w:type="pct"/>
            <w:vMerge/>
            <w:vAlign w:val="center"/>
            <w:hideMark/>
          </w:tcPr>
          <w:p w14:paraId="5F22EE03" w14:textId="77777777" w:rsidR="00BA6B9B" w:rsidRPr="007B644C" w:rsidRDefault="00BA6B9B" w:rsidP="00F541AA">
            <w:pPr>
              <w:spacing w:before="0" w:after="0"/>
              <w:rPr>
                <w:rFonts w:cs="Arial"/>
                <w:b/>
                <w:bCs/>
                <w:color w:val="000000"/>
                <w:sz w:val="20"/>
                <w:lang w:val="en-AU"/>
              </w:rPr>
            </w:pPr>
          </w:p>
        </w:tc>
        <w:tc>
          <w:tcPr>
            <w:tcW w:w="607" w:type="pct"/>
            <w:shd w:val="clear" w:color="auto" w:fill="auto"/>
            <w:noWrap/>
            <w:vAlign w:val="center"/>
            <w:hideMark/>
          </w:tcPr>
          <w:p w14:paraId="5F22EE04" w14:textId="77777777" w:rsidR="00BA6B9B" w:rsidRPr="007B644C" w:rsidRDefault="00BA6B9B" w:rsidP="00F541AA">
            <w:pPr>
              <w:spacing w:before="0" w:after="0"/>
              <w:rPr>
                <w:color w:val="000000"/>
                <w:sz w:val="20"/>
                <w:lang w:val="en-AU"/>
              </w:rPr>
            </w:pPr>
            <w:r w:rsidRPr="007B644C">
              <w:rPr>
                <w:color w:val="000000"/>
                <w:sz w:val="20"/>
                <w:lang w:val="en-AU"/>
              </w:rPr>
              <w:t>Barron</w:t>
            </w:r>
          </w:p>
        </w:tc>
        <w:tc>
          <w:tcPr>
            <w:tcW w:w="630" w:type="pct"/>
            <w:shd w:val="clear" w:color="auto" w:fill="auto"/>
            <w:noWrap/>
            <w:vAlign w:val="bottom"/>
            <w:hideMark/>
          </w:tcPr>
          <w:p w14:paraId="5F22EE05" w14:textId="77777777" w:rsidR="00BA6B9B" w:rsidRPr="007B644C" w:rsidRDefault="00BA6B9B" w:rsidP="00F541AA">
            <w:pPr>
              <w:spacing w:before="0" w:after="0"/>
              <w:rPr>
                <w:color w:val="000000"/>
                <w:sz w:val="20"/>
                <w:lang w:val="en-AU"/>
              </w:rPr>
            </w:pPr>
            <w:r w:rsidRPr="007B644C">
              <w:rPr>
                <w:color w:val="000000"/>
                <w:sz w:val="20"/>
                <w:lang w:val="en-AU"/>
              </w:rPr>
              <w:t xml:space="preserve">               411,935 </w:t>
            </w:r>
          </w:p>
        </w:tc>
        <w:tc>
          <w:tcPr>
            <w:tcW w:w="626" w:type="pct"/>
            <w:shd w:val="clear" w:color="000000" w:fill="FF0000"/>
            <w:noWrap/>
            <w:vAlign w:val="bottom"/>
            <w:hideMark/>
          </w:tcPr>
          <w:p w14:paraId="5F22EE06" w14:textId="77777777" w:rsidR="00BA6B9B" w:rsidRPr="007B644C" w:rsidRDefault="00BA6B9B" w:rsidP="00F541AA">
            <w:pPr>
              <w:spacing w:before="0" w:after="0"/>
              <w:rPr>
                <w:color w:val="000000"/>
                <w:sz w:val="20"/>
                <w:lang w:val="en-AU"/>
              </w:rPr>
            </w:pPr>
            <w:r w:rsidRPr="007B644C">
              <w:rPr>
                <w:color w:val="000000"/>
                <w:sz w:val="20"/>
                <w:lang w:val="en-AU"/>
              </w:rPr>
              <w:t xml:space="preserve">           1,753,305 </w:t>
            </w:r>
          </w:p>
        </w:tc>
        <w:tc>
          <w:tcPr>
            <w:tcW w:w="626" w:type="pct"/>
            <w:shd w:val="clear" w:color="auto" w:fill="auto"/>
            <w:noWrap/>
            <w:vAlign w:val="bottom"/>
            <w:hideMark/>
          </w:tcPr>
          <w:p w14:paraId="5F22EE07" w14:textId="77777777" w:rsidR="00BA6B9B" w:rsidRPr="007B644C" w:rsidRDefault="00BA6B9B" w:rsidP="00F541AA">
            <w:pPr>
              <w:spacing w:before="0" w:after="0"/>
              <w:rPr>
                <w:color w:val="000000"/>
                <w:sz w:val="20"/>
                <w:lang w:val="en-AU"/>
              </w:rPr>
            </w:pPr>
            <w:r w:rsidRPr="007B644C">
              <w:rPr>
                <w:color w:val="000000"/>
                <w:sz w:val="20"/>
                <w:lang w:val="en-AU"/>
              </w:rPr>
              <w:t xml:space="preserve">               551,025 </w:t>
            </w:r>
          </w:p>
        </w:tc>
        <w:tc>
          <w:tcPr>
            <w:tcW w:w="626" w:type="pct"/>
            <w:shd w:val="clear" w:color="auto" w:fill="auto"/>
            <w:noWrap/>
            <w:vAlign w:val="bottom"/>
            <w:hideMark/>
          </w:tcPr>
          <w:p w14:paraId="5F22EE08" w14:textId="77777777" w:rsidR="00BA6B9B" w:rsidRPr="007B644C" w:rsidRDefault="00BA6B9B" w:rsidP="00F541AA">
            <w:pPr>
              <w:spacing w:before="0" w:after="0"/>
              <w:rPr>
                <w:color w:val="000000"/>
                <w:sz w:val="20"/>
                <w:lang w:val="en-AU"/>
              </w:rPr>
            </w:pPr>
            <w:r w:rsidRPr="007B644C">
              <w:rPr>
                <w:color w:val="000000"/>
                <w:sz w:val="20"/>
                <w:lang w:val="en-AU"/>
              </w:rPr>
              <w:t xml:space="preserve">               226,406 </w:t>
            </w:r>
          </w:p>
        </w:tc>
        <w:tc>
          <w:tcPr>
            <w:tcW w:w="647" w:type="pct"/>
            <w:shd w:val="clear" w:color="auto" w:fill="auto"/>
            <w:noWrap/>
            <w:vAlign w:val="bottom"/>
            <w:hideMark/>
          </w:tcPr>
          <w:p w14:paraId="5F22EE09" w14:textId="77777777" w:rsidR="00BA6B9B" w:rsidRPr="007B644C" w:rsidRDefault="00BA6B9B" w:rsidP="00F541AA">
            <w:pPr>
              <w:spacing w:before="0" w:after="0"/>
              <w:rPr>
                <w:color w:val="000000"/>
                <w:sz w:val="20"/>
                <w:lang w:val="en-AU"/>
              </w:rPr>
            </w:pPr>
            <w:r w:rsidRPr="007B644C">
              <w:rPr>
                <w:color w:val="000000"/>
                <w:sz w:val="20"/>
                <w:lang w:val="en-AU"/>
              </w:rPr>
              <w:t xml:space="preserve">               435,098 </w:t>
            </w:r>
          </w:p>
        </w:tc>
        <w:tc>
          <w:tcPr>
            <w:tcW w:w="721" w:type="pct"/>
            <w:shd w:val="clear" w:color="auto" w:fill="auto"/>
            <w:noWrap/>
            <w:vAlign w:val="bottom"/>
            <w:hideMark/>
          </w:tcPr>
          <w:p w14:paraId="5F22EE0A" w14:textId="77777777" w:rsidR="00BA6B9B" w:rsidRPr="007B644C" w:rsidRDefault="00BA6B9B" w:rsidP="00F541AA">
            <w:pPr>
              <w:spacing w:before="0" w:after="0"/>
              <w:rPr>
                <w:color w:val="000000"/>
                <w:sz w:val="20"/>
                <w:lang w:val="en-AU"/>
              </w:rPr>
            </w:pPr>
            <w:r w:rsidRPr="007B644C">
              <w:rPr>
                <w:color w:val="000000"/>
                <w:sz w:val="20"/>
                <w:lang w:val="en-AU"/>
              </w:rPr>
              <w:t xml:space="preserve">               269,818 </w:t>
            </w:r>
          </w:p>
        </w:tc>
      </w:tr>
      <w:tr w:rsidR="00BA6B9B" w:rsidRPr="003A77F5" w14:paraId="5F22EE14" w14:textId="77777777" w:rsidTr="005A7F56">
        <w:trPr>
          <w:trHeight w:val="20"/>
          <w:jc w:val="center"/>
        </w:trPr>
        <w:tc>
          <w:tcPr>
            <w:tcW w:w="516" w:type="pct"/>
            <w:vMerge/>
            <w:vAlign w:val="center"/>
            <w:hideMark/>
          </w:tcPr>
          <w:p w14:paraId="5F22EE0C" w14:textId="77777777" w:rsidR="00BA6B9B" w:rsidRPr="007B644C" w:rsidRDefault="00BA6B9B" w:rsidP="00F541AA">
            <w:pPr>
              <w:spacing w:before="0" w:after="0"/>
              <w:rPr>
                <w:rFonts w:cs="Arial"/>
                <w:b/>
                <w:bCs/>
                <w:color w:val="000000"/>
                <w:sz w:val="20"/>
                <w:lang w:val="en-AU"/>
              </w:rPr>
            </w:pPr>
          </w:p>
        </w:tc>
        <w:tc>
          <w:tcPr>
            <w:tcW w:w="607" w:type="pct"/>
            <w:shd w:val="clear" w:color="auto" w:fill="auto"/>
            <w:noWrap/>
            <w:vAlign w:val="center"/>
            <w:hideMark/>
          </w:tcPr>
          <w:p w14:paraId="5F22EE0D" w14:textId="77777777" w:rsidR="00BA6B9B" w:rsidRPr="007B644C" w:rsidRDefault="00BA6B9B" w:rsidP="00F541AA">
            <w:pPr>
              <w:spacing w:before="0" w:after="0"/>
              <w:rPr>
                <w:color w:val="000000"/>
                <w:sz w:val="20"/>
                <w:lang w:val="en-AU"/>
              </w:rPr>
            </w:pPr>
            <w:r w:rsidRPr="007B644C">
              <w:rPr>
                <w:color w:val="000000"/>
                <w:sz w:val="20"/>
                <w:lang w:val="en-AU"/>
              </w:rPr>
              <w:t>Mulgrave</w:t>
            </w:r>
          </w:p>
        </w:tc>
        <w:tc>
          <w:tcPr>
            <w:tcW w:w="630" w:type="pct"/>
            <w:shd w:val="clear" w:color="auto" w:fill="auto"/>
            <w:noWrap/>
            <w:vAlign w:val="bottom"/>
            <w:hideMark/>
          </w:tcPr>
          <w:p w14:paraId="5F22EE0E" w14:textId="77777777" w:rsidR="00BA6B9B" w:rsidRPr="007B644C" w:rsidRDefault="00BA6B9B" w:rsidP="00F541AA">
            <w:pPr>
              <w:spacing w:before="0" w:after="0"/>
              <w:rPr>
                <w:color w:val="000000"/>
                <w:sz w:val="20"/>
                <w:lang w:val="en-AU"/>
              </w:rPr>
            </w:pPr>
            <w:r w:rsidRPr="007B644C">
              <w:rPr>
                <w:color w:val="000000"/>
                <w:sz w:val="20"/>
                <w:lang w:val="en-AU"/>
              </w:rPr>
              <w:t xml:space="preserve">               440,347 </w:t>
            </w:r>
          </w:p>
        </w:tc>
        <w:tc>
          <w:tcPr>
            <w:tcW w:w="626" w:type="pct"/>
            <w:shd w:val="clear" w:color="000000" w:fill="FFC000"/>
            <w:noWrap/>
            <w:vAlign w:val="bottom"/>
            <w:hideMark/>
          </w:tcPr>
          <w:p w14:paraId="5F22EE0F" w14:textId="77777777" w:rsidR="00BA6B9B" w:rsidRPr="007B644C" w:rsidRDefault="00BA6B9B" w:rsidP="00F541AA">
            <w:pPr>
              <w:spacing w:before="0" w:after="0"/>
              <w:rPr>
                <w:color w:val="000000"/>
                <w:sz w:val="20"/>
                <w:lang w:val="en-AU"/>
              </w:rPr>
            </w:pPr>
            <w:r w:rsidRPr="007B644C">
              <w:rPr>
                <w:color w:val="000000"/>
                <w:sz w:val="20"/>
                <w:lang w:val="en-AU"/>
              </w:rPr>
              <w:t xml:space="preserve">           1,315,073 </w:t>
            </w:r>
          </w:p>
        </w:tc>
        <w:tc>
          <w:tcPr>
            <w:tcW w:w="626" w:type="pct"/>
            <w:shd w:val="clear" w:color="000000" w:fill="FFFF00"/>
            <w:noWrap/>
            <w:vAlign w:val="bottom"/>
            <w:hideMark/>
          </w:tcPr>
          <w:p w14:paraId="5F22EE10" w14:textId="77777777" w:rsidR="00BA6B9B" w:rsidRPr="007B644C" w:rsidRDefault="00BA6B9B" w:rsidP="00F541AA">
            <w:pPr>
              <w:spacing w:before="0" w:after="0"/>
              <w:rPr>
                <w:color w:val="000000"/>
                <w:sz w:val="20"/>
                <w:lang w:val="en-AU"/>
              </w:rPr>
            </w:pPr>
            <w:r w:rsidRPr="007B644C">
              <w:rPr>
                <w:color w:val="000000"/>
                <w:sz w:val="20"/>
                <w:lang w:val="en-AU"/>
              </w:rPr>
              <w:t xml:space="preserve">               751,882 </w:t>
            </w:r>
          </w:p>
        </w:tc>
        <w:tc>
          <w:tcPr>
            <w:tcW w:w="626" w:type="pct"/>
            <w:shd w:val="clear" w:color="auto" w:fill="auto"/>
            <w:noWrap/>
            <w:vAlign w:val="bottom"/>
            <w:hideMark/>
          </w:tcPr>
          <w:p w14:paraId="5F22EE11" w14:textId="77777777" w:rsidR="00BA6B9B" w:rsidRPr="007B644C" w:rsidRDefault="00BA6B9B" w:rsidP="00F541AA">
            <w:pPr>
              <w:spacing w:before="0" w:after="0"/>
              <w:rPr>
                <w:color w:val="000000"/>
                <w:sz w:val="20"/>
                <w:lang w:val="en-AU"/>
              </w:rPr>
            </w:pPr>
            <w:r w:rsidRPr="007B644C">
              <w:rPr>
                <w:color w:val="000000"/>
                <w:sz w:val="20"/>
                <w:lang w:val="en-AU"/>
              </w:rPr>
              <w:t xml:space="preserve">               277,064 </w:t>
            </w:r>
          </w:p>
        </w:tc>
        <w:tc>
          <w:tcPr>
            <w:tcW w:w="647" w:type="pct"/>
            <w:shd w:val="clear" w:color="auto" w:fill="auto"/>
            <w:noWrap/>
            <w:vAlign w:val="bottom"/>
            <w:hideMark/>
          </w:tcPr>
          <w:p w14:paraId="5F22EE12" w14:textId="77777777" w:rsidR="00BA6B9B" w:rsidRPr="007B644C" w:rsidRDefault="00BA6B9B" w:rsidP="00F541AA">
            <w:pPr>
              <w:spacing w:before="0" w:after="0"/>
              <w:rPr>
                <w:color w:val="000000"/>
                <w:sz w:val="20"/>
                <w:lang w:val="en-AU"/>
              </w:rPr>
            </w:pPr>
            <w:r w:rsidRPr="007B644C">
              <w:rPr>
                <w:color w:val="000000"/>
                <w:sz w:val="20"/>
                <w:lang w:val="en-AU"/>
              </w:rPr>
              <w:t xml:space="preserve">               638,290 </w:t>
            </w:r>
          </w:p>
        </w:tc>
        <w:tc>
          <w:tcPr>
            <w:tcW w:w="721" w:type="pct"/>
            <w:shd w:val="clear" w:color="auto" w:fill="auto"/>
            <w:noWrap/>
            <w:vAlign w:val="bottom"/>
            <w:hideMark/>
          </w:tcPr>
          <w:p w14:paraId="5F22EE13" w14:textId="77777777" w:rsidR="00BA6B9B" w:rsidRPr="007B644C" w:rsidRDefault="00BA6B9B" w:rsidP="00F541AA">
            <w:pPr>
              <w:spacing w:before="0" w:after="0"/>
              <w:rPr>
                <w:color w:val="000000"/>
                <w:sz w:val="20"/>
                <w:lang w:val="en-AU"/>
              </w:rPr>
            </w:pPr>
            <w:r w:rsidRPr="007B644C">
              <w:rPr>
                <w:color w:val="000000"/>
                <w:sz w:val="20"/>
                <w:lang w:val="en-AU"/>
              </w:rPr>
              <w:t xml:space="preserve">               391,564 </w:t>
            </w:r>
          </w:p>
        </w:tc>
      </w:tr>
      <w:tr w:rsidR="00BA6B9B" w:rsidRPr="003A77F5" w14:paraId="5F22EE1D" w14:textId="77777777" w:rsidTr="005A7F56">
        <w:trPr>
          <w:trHeight w:val="20"/>
          <w:jc w:val="center"/>
        </w:trPr>
        <w:tc>
          <w:tcPr>
            <w:tcW w:w="516" w:type="pct"/>
            <w:vMerge/>
            <w:vAlign w:val="center"/>
            <w:hideMark/>
          </w:tcPr>
          <w:p w14:paraId="5F22EE15" w14:textId="77777777" w:rsidR="00BA6B9B" w:rsidRPr="007B644C" w:rsidRDefault="00BA6B9B" w:rsidP="00F541AA">
            <w:pPr>
              <w:spacing w:before="0" w:after="0"/>
              <w:rPr>
                <w:rFonts w:cs="Arial"/>
                <w:b/>
                <w:bCs/>
                <w:color w:val="000000"/>
                <w:sz w:val="20"/>
                <w:lang w:val="en-AU"/>
              </w:rPr>
            </w:pPr>
          </w:p>
        </w:tc>
        <w:tc>
          <w:tcPr>
            <w:tcW w:w="607" w:type="pct"/>
            <w:shd w:val="clear" w:color="auto" w:fill="auto"/>
            <w:noWrap/>
            <w:vAlign w:val="center"/>
            <w:hideMark/>
          </w:tcPr>
          <w:p w14:paraId="5F22EE16" w14:textId="77777777" w:rsidR="00BA6B9B" w:rsidRPr="007B644C" w:rsidRDefault="00BA6B9B" w:rsidP="00F541AA">
            <w:pPr>
              <w:spacing w:before="0" w:after="0"/>
              <w:rPr>
                <w:color w:val="000000"/>
                <w:sz w:val="20"/>
                <w:lang w:val="en-AU"/>
              </w:rPr>
            </w:pPr>
            <w:r w:rsidRPr="007B644C">
              <w:rPr>
                <w:color w:val="000000"/>
                <w:sz w:val="20"/>
                <w:lang w:val="en-AU"/>
              </w:rPr>
              <w:t>Russell</w:t>
            </w:r>
          </w:p>
        </w:tc>
        <w:tc>
          <w:tcPr>
            <w:tcW w:w="630" w:type="pct"/>
            <w:shd w:val="clear" w:color="auto" w:fill="auto"/>
            <w:noWrap/>
            <w:vAlign w:val="bottom"/>
            <w:hideMark/>
          </w:tcPr>
          <w:p w14:paraId="5F22EE17" w14:textId="77777777" w:rsidR="00BA6B9B" w:rsidRPr="007B644C" w:rsidRDefault="00BA6B9B" w:rsidP="00F541AA">
            <w:pPr>
              <w:spacing w:before="0" w:after="0"/>
              <w:rPr>
                <w:color w:val="000000"/>
                <w:sz w:val="20"/>
                <w:lang w:val="en-AU"/>
              </w:rPr>
            </w:pPr>
            <w:r w:rsidRPr="007B644C">
              <w:rPr>
                <w:color w:val="000000"/>
                <w:sz w:val="20"/>
                <w:lang w:val="en-AU"/>
              </w:rPr>
              <w:t xml:space="preserve">               632,309 </w:t>
            </w:r>
          </w:p>
        </w:tc>
        <w:tc>
          <w:tcPr>
            <w:tcW w:w="626" w:type="pct"/>
            <w:shd w:val="clear" w:color="000000" w:fill="FFC000"/>
            <w:noWrap/>
            <w:vAlign w:val="bottom"/>
            <w:hideMark/>
          </w:tcPr>
          <w:p w14:paraId="5F22EE18" w14:textId="77777777" w:rsidR="00BA6B9B" w:rsidRPr="007B644C" w:rsidRDefault="00BA6B9B" w:rsidP="00F541AA">
            <w:pPr>
              <w:spacing w:before="0" w:after="0"/>
              <w:rPr>
                <w:color w:val="000000"/>
                <w:sz w:val="20"/>
                <w:lang w:val="en-AU"/>
              </w:rPr>
            </w:pPr>
            <w:r w:rsidRPr="007B644C">
              <w:rPr>
                <w:color w:val="000000"/>
                <w:sz w:val="20"/>
                <w:lang w:val="en-AU"/>
              </w:rPr>
              <w:t xml:space="preserve">           1,293,058 </w:t>
            </w:r>
          </w:p>
        </w:tc>
        <w:tc>
          <w:tcPr>
            <w:tcW w:w="626" w:type="pct"/>
            <w:shd w:val="clear" w:color="auto" w:fill="auto"/>
            <w:noWrap/>
            <w:vAlign w:val="bottom"/>
            <w:hideMark/>
          </w:tcPr>
          <w:p w14:paraId="5F22EE19" w14:textId="77777777" w:rsidR="00BA6B9B" w:rsidRPr="007B644C" w:rsidRDefault="00BA6B9B" w:rsidP="00F541AA">
            <w:pPr>
              <w:spacing w:before="0" w:after="0"/>
              <w:rPr>
                <w:color w:val="000000"/>
                <w:sz w:val="20"/>
                <w:lang w:val="en-AU"/>
              </w:rPr>
            </w:pPr>
            <w:r w:rsidRPr="007B644C">
              <w:rPr>
                <w:color w:val="000000"/>
                <w:sz w:val="20"/>
                <w:lang w:val="en-AU"/>
              </w:rPr>
              <w:t xml:space="preserve">               815,652 </w:t>
            </w:r>
          </w:p>
        </w:tc>
        <w:tc>
          <w:tcPr>
            <w:tcW w:w="626" w:type="pct"/>
            <w:shd w:val="clear" w:color="auto" w:fill="auto"/>
            <w:noWrap/>
            <w:vAlign w:val="bottom"/>
            <w:hideMark/>
          </w:tcPr>
          <w:p w14:paraId="5F22EE1A" w14:textId="77777777" w:rsidR="00BA6B9B" w:rsidRPr="007B644C" w:rsidRDefault="00BA6B9B" w:rsidP="00F541AA">
            <w:pPr>
              <w:spacing w:before="0" w:after="0"/>
              <w:rPr>
                <w:color w:val="000000"/>
                <w:sz w:val="20"/>
                <w:lang w:val="en-AU"/>
              </w:rPr>
            </w:pPr>
            <w:r w:rsidRPr="007B644C">
              <w:rPr>
                <w:color w:val="000000"/>
                <w:sz w:val="20"/>
                <w:lang w:val="en-AU"/>
              </w:rPr>
              <w:t xml:space="preserve">               413,715 </w:t>
            </w:r>
          </w:p>
        </w:tc>
        <w:tc>
          <w:tcPr>
            <w:tcW w:w="647" w:type="pct"/>
            <w:shd w:val="clear" w:color="auto" w:fill="auto"/>
            <w:noWrap/>
            <w:vAlign w:val="bottom"/>
            <w:hideMark/>
          </w:tcPr>
          <w:p w14:paraId="5F22EE1B" w14:textId="77777777" w:rsidR="00BA6B9B" w:rsidRPr="007B644C" w:rsidRDefault="00BA6B9B" w:rsidP="00F541AA">
            <w:pPr>
              <w:spacing w:before="0" w:after="0"/>
              <w:rPr>
                <w:color w:val="000000"/>
                <w:sz w:val="20"/>
                <w:lang w:val="en-AU"/>
              </w:rPr>
            </w:pPr>
            <w:r w:rsidRPr="007B644C">
              <w:rPr>
                <w:color w:val="000000"/>
                <w:sz w:val="20"/>
                <w:lang w:val="en-AU"/>
              </w:rPr>
              <w:t xml:space="preserve">               876,330 </w:t>
            </w:r>
          </w:p>
        </w:tc>
        <w:tc>
          <w:tcPr>
            <w:tcW w:w="721" w:type="pct"/>
            <w:shd w:val="clear" w:color="auto" w:fill="auto"/>
            <w:noWrap/>
            <w:vAlign w:val="bottom"/>
            <w:hideMark/>
          </w:tcPr>
          <w:p w14:paraId="5F22EE1C" w14:textId="77777777" w:rsidR="00BA6B9B" w:rsidRPr="007B644C" w:rsidRDefault="00BA6B9B" w:rsidP="00F541AA">
            <w:pPr>
              <w:spacing w:before="0" w:after="0"/>
              <w:rPr>
                <w:color w:val="000000"/>
                <w:sz w:val="20"/>
                <w:lang w:val="en-AU"/>
              </w:rPr>
            </w:pPr>
            <w:r w:rsidRPr="007B644C">
              <w:rPr>
                <w:color w:val="000000"/>
                <w:sz w:val="20"/>
                <w:lang w:val="en-AU"/>
              </w:rPr>
              <w:t xml:space="preserve">               381,250 </w:t>
            </w:r>
          </w:p>
        </w:tc>
      </w:tr>
      <w:tr w:rsidR="00BA6B9B" w:rsidRPr="003A77F5" w14:paraId="5F22EE26" w14:textId="77777777" w:rsidTr="005A7F56">
        <w:trPr>
          <w:trHeight w:val="20"/>
          <w:jc w:val="center"/>
        </w:trPr>
        <w:tc>
          <w:tcPr>
            <w:tcW w:w="516" w:type="pct"/>
            <w:vMerge/>
            <w:vAlign w:val="center"/>
            <w:hideMark/>
          </w:tcPr>
          <w:p w14:paraId="5F22EE1E" w14:textId="77777777" w:rsidR="00BA6B9B" w:rsidRPr="007B644C" w:rsidRDefault="00BA6B9B" w:rsidP="00F541AA">
            <w:pPr>
              <w:spacing w:before="0" w:after="0"/>
              <w:rPr>
                <w:rFonts w:cs="Arial"/>
                <w:b/>
                <w:bCs/>
                <w:color w:val="000000"/>
                <w:sz w:val="20"/>
                <w:lang w:val="en-AU"/>
              </w:rPr>
            </w:pPr>
          </w:p>
        </w:tc>
        <w:tc>
          <w:tcPr>
            <w:tcW w:w="607" w:type="pct"/>
            <w:shd w:val="clear" w:color="auto" w:fill="auto"/>
            <w:noWrap/>
            <w:vAlign w:val="center"/>
            <w:hideMark/>
          </w:tcPr>
          <w:p w14:paraId="5F22EE1F" w14:textId="77777777" w:rsidR="00BA6B9B" w:rsidRPr="007B644C" w:rsidRDefault="00BA6B9B" w:rsidP="00F541AA">
            <w:pPr>
              <w:spacing w:before="0" w:after="0"/>
              <w:rPr>
                <w:color w:val="000000"/>
                <w:sz w:val="20"/>
                <w:lang w:val="en-AU"/>
              </w:rPr>
            </w:pPr>
            <w:r w:rsidRPr="007B644C">
              <w:rPr>
                <w:color w:val="000000"/>
                <w:sz w:val="20"/>
                <w:lang w:val="en-AU"/>
              </w:rPr>
              <w:t>North Johnstone</w:t>
            </w:r>
          </w:p>
        </w:tc>
        <w:tc>
          <w:tcPr>
            <w:tcW w:w="630" w:type="pct"/>
            <w:shd w:val="clear" w:color="auto" w:fill="auto"/>
            <w:noWrap/>
            <w:vAlign w:val="bottom"/>
            <w:hideMark/>
          </w:tcPr>
          <w:p w14:paraId="5F22EE20" w14:textId="77777777" w:rsidR="00BA6B9B" w:rsidRPr="007B644C" w:rsidRDefault="00BA6B9B" w:rsidP="00F541AA">
            <w:pPr>
              <w:spacing w:before="0" w:after="0"/>
              <w:jc w:val="right"/>
              <w:rPr>
                <w:color w:val="000000"/>
                <w:sz w:val="20"/>
                <w:lang w:val="en-AU"/>
              </w:rPr>
            </w:pPr>
            <w:r w:rsidRPr="007B644C">
              <w:rPr>
                <w:color w:val="000000"/>
                <w:sz w:val="20"/>
                <w:lang w:val="en-AU"/>
              </w:rPr>
              <w:t>1151907.908</w:t>
            </w:r>
          </w:p>
        </w:tc>
        <w:tc>
          <w:tcPr>
            <w:tcW w:w="626" w:type="pct"/>
            <w:shd w:val="clear" w:color="000000" w:fill="FFC000"/>
            <w:noWrap/>
            <w:vAlign w:val="bottom"/>
            <w:hideMark/>
          </w:tcPr>
          <w:p w14:paraId="5F22EE21" w14:textId="77777777" w:rsidR="00BA6B9B" w:rsidRPr="007B644C" w:rsidRDefault="00BA6B9B" w:rsidP="00F541AA">
            <w:pPr>
              <w:spacing w:before="0" w:after="0"/>
              <w:rPr>
                <w:color w:val="000000"/>
                <w:sz w:val="20"/>
                <w:lang w:val="en-AU"/>
              </w:rPr>
            </w:pPr>
            <w:r w:rsidRPr="007B644C">
              <w:rPr>
                <w:color w:val="000000"/>
                <w:sz w:val="20"/>
                <w:lang w:val="en-AU"/>
              </w:rPr>
              <w:t xml:space="preserve">           2,881,043 </w:t>
            </w:r>
          </w:p>
        </w:tc>
        <w:tc>
          <w:tcPr>
            <w:tcW w:w="626" w:type="pct"/>
            <w:shd w:val="clear" w:color="auto" w:fill="auto"/>
            <w:noWrap/>
            <w:vAlign w:val="bottom"/>
            <w:hideMark/>
          </w:tcPr>
          <w:p w14:paraId="5F22EE22" w14:textId="77777777" w:rsidR="00BA6B9B" w:rsidRPr="007B644C" w:rsidRDefault="00BA6B9B" w:rsidP="00F541AA">
            <w:pPr>
              <w:spacing w:before="0" w:after="0"/>
              <w:rPr>
                <w:color w:val="000000"/>
                <w:sz w:val="20"/>
                <w:lang w:val="en-AU"/>
              </w:rPr>
            </w:pPr>
            <w:r w:rsidRPr="007B644C">
              <w:rPr>
                <w:color w:val="000000"/>
                <w:sz w:val="20"/>
                <w:lang w:val="en-AU"/>
              </w:rPr>
              <w:t xml:space="preserve">           1,327,523 </w:t>
            </w:r>
          </w:p>
        </w:tc>
        <w:tc>
          <w:tcPr>
            <w:tcW w:w="626" w:type="pct"/>
            <w:shd w:val="clear" w:color="auto" w:fill="auto"/>
            <w:noWrap/>
            <w:vAlign w:val="bottom"/>
            <w:hideMark/>
          </w:tcPr>
          <w:p w14:paraId="5F22EE23" w14:textId="77777777" w:rsidR="00BA6B9B" w:rsidRPr="007B644C" w:rsidRDefault="00BA6B9B" w:rsidP="00F541AA">
            <w:pPr>
              <w:spacing w:before="0" w:after="0"/>
              <w:rPr>
                <w:color w:val="000000"/>
                <w:sz w:val="20"/>
                <w:lang w:val="en-AU"/>
              </w:rPr>
            </w:pPr>
            <w:r w:rsidRPr="007B644C">
              <w:rPr>
                <w:color w:val="000000"/>
                <w:sz w:val="20"/>
                <w:lang w:val="en-AU"/>
              </w:rPr>
              <w:t xml:space="preserve">               697,401 </w:t>
            </w:r>
          </w:p>
        </w:tc>
        <w:tc>
          <w:tcPr>
            <w:tcW w:w="647" w:type="pct"/>
            <w:shd w:val="clear" w:color="auto" w:fill="auto"/>
            <w:noWrap/>
            <w:vAlign w:val="bottom"/>
            <w:hideMark/>
          </w:tcPr>
          <w:p w14:paraId="5F22EE24" w14:textId="77777777" w:rsidR="00BA6B9B" w:rsidRPr="007B644C" w:rsidRDefault="00BA6B9B" w:rsidP="00F541AA">
            <w:pPr>
              <w:spacing w:before="0" w:after="0"/>
              <w:rPr>
                <w:color w:val="000000"/>
                <w:sz w:val="20"/>
                <w:lang w:val="en-AU"/>
              </w:rPr>
            </w:pPr>
            <w:r w:rsidRPr="007B644C">
              <w:rPr>
                <w:color w:val="000000"/>
                <w:sz w:val="20"/>
                <w:lang w:val="en-AU"/>
              </w:rPr>
              <w:t xml:space="preserve">           1,415,172 </w:t>
            </w:r>
          </w:p>
        </w:tc>
        <w:tc>
          <w:tcPr>
            <w:tcW w:w="721" w:type="pct"/>
            <w:shd w:val="clear" w:color="auto" w:fill="auto"/>
            <w:noWrap/>
            <w:vAlign w:val="bottom"/>
            <w:hideMark/>
          </w:tcPr>
          <w:p w14:paraId="5F22EE25" w14:textId="77777777" w:rsidR="00BA6B9B" w:rsidRPr="007B644C" w:rsidRDefault="00BA6B9B" w:rsidP="00F541AA">
            <w:pPr>
              <w:spacing w:before="0" w:after="0"/>
              <w:rPr>
                <w:color w:val="000000"/>
                <w:sz w:val="20"/>
                <w:lang w:val="en-AU"/>
              </w:rPr>
            </w:pPr>
            <w:r w:rsidRPr="007B644C">
              <w:rPr>
                <w:color w:val="000000"/>
                <w:sz w:val="20"/>
                <w:lang w:val="en-AU"/>
              </w:rPr>
              <w:t xml:space="preserve">               718,749 </w:t>
            </w:r>
          </w:p>
        </w:tc>
      </w:tr>
      <w:tr w:rsidR="00BA6B9B" w:rsidRPr="003A77F5" w14:paraId="5F22EE2F" w14:textId="77777777" w:rsidTr="005A7F56">
        <w:trPr>
          <w:trHeight w:val="20"/>
          <w:jc w:val="center"/>
        </w:trPr>
        <w:tc>
          <w:tcPr>
            <w:tcW w:w="516" w:type="pct"/>
            <w:vMerge/>
            <w:vAlign w:val="center"/>
            <w:hideMark/>
          </w:tcPr>
          <w:p w14:paraId="5F22EE27" w14:textId="77777777" w:rsidR="00BA6B9B" w:rsidRPr="007B644C" w:rsidRDefault="00BA6B9B" w:rsidP="00F541AA">
            <w:pPr>
              <w:spacing w:before="0" w:after="0"/>
              <w:rPr>
                <w:rFonts w:cs="Arial"/>
                <w:b/>
                <w:bCs/>
                <w:color w:val="000000"/>
                <w:sz w:val="20"/>
                <w:lang w:val="en-AU"/>
              </w:rPr>
            </w:pPr>
          </w:p>
        </w:tc>
        <w:tc>
          <w:tcPr>
            <w:tcW w:w="607" w:type="pct"/>
            <w:shd w:val="clear" w:color="auto" w:fill="auto"/>
            <w:noWrap/>
            <w:vAlign w:val="center"/>
            <w:hideMark/>
          </w:tcPr>
          <w:p w14:paraId="5F22EE28" w14:textId="77777777" w:rsidR="00BA6B9B" w:rsidRPr="007B644C" w:rsidRDefault="00BA6B9B" w:rsidP="00F541AA">
            <w:pPr>
              <w:spacing w:before="0" w:after="0"/>
              <w:rPr>
                <w:color w:val="000000"/>
                <w:sz w:val="20"/>
                <w:lang w:val="en-AU"/>
              </w:rPr>
            </w:pPr>
            <w:r w:rsidRPr="007B644C">
              <w:rPr>
                <w:color w:val="000000"/>
                <w:sz w:val="20"/>
                <w:lang w:val="en-AU"/>
              </w:rPr>
              <w:t>South Johnstone</w:t>
            </w:r>
          </w:p>
        </w:tc>
        <w:tc>
          <w:tcPr>
            <w:tcW w:w="630" w:type="pct"/>
            <w:shd w:val="clear" w:color="auto" w:fill="auto"/>
            <w:noWrap/>
            <w:vAlign w:val="bottom"/>
            <w:hideMark/>
          </w:tcPr>
          <w:p w14:paraId="5F22EE29" w14:textId="77777777" w:rsidR="00BA6B9B" w:rsidRPr="007B644C" w:rsidRDefault="00BA6B9B" w:rsidP="00F541AA">
            <w:pPr>
              <w:spacing w:before="0" w:after="0"/>
              <w:rPr>
                <w:color w:val="000000"/>
                <w:sz w:val="20"/>
                <w:lang w:val="en-AU"/>
              </w:rPr>
            </w:pPr>
            <w:r w:rsidRPr="007B644C">
              <w:rPr>
                <w:color w:val="000000"/>
                <w:sz w:val="20"/>
                <w:lang w:val="en-AU"/>
              </w:rPr>
              <w:t xml:space="preserve">               558,969 </w:t>
            </w:r>
          </w:p>
        </w:tc>
        <w:tc>
          <w:tcPr>
            <w:tcW w:w="626" w:type="pct"/>
            <w:shd w:val="clear" w:color="000000" w:fill="FFC000"/>
            <w:noWrap/>
            <w:vAlign w:val="bottom"/>
            <w:hideMark/>
          </w:tcPr>
          <w:p w14:paraId="5F22EE2A" w14:textId="77777777" w:rsidR="00BA6B9B" w:rsidRPr="007B644C" w:rsidRDefault="00BA6B9B" w:rsidP="00F541AA">
            <w:pPr>
              <w:spacing w:before="0" w:after="0"/>
              <w:rPr>
                <w:color w:val="000000"/>
                <w:sz w:val="20"/>
                <w:lang w:val="en-AU"/>
              </w:rPr>
            </w:pPr>
            <w:r w:rsidRPr="007B644C">
              <w:rPr>
                <w:color w:val="000000"/>
                <w:sz w:val="20"/>
                <w:lang w:val="en-AU"/>
              </w:rPr>
              <w:t xml:space="preserve">           1,305,473 </w:t>
            </w:r>
          </w:p>
        </w:tc>
        <w:tc>
          <w:tcPr>
            <w:tcW w:w="626" w:type="pct"/>
            <w:shd w:val="clear" w:color="auto" w:fill="auto"/>
            <w:noWrap/>
            <w:vAlign w:val="bottom"/>
            <w:hideMark/>
          </w:tcPr>
          <w:p w14:paraId="5F22EE2B" w14:textId="77777777" w:rsidR="00BA6B9B" w:rsidRPr="007B644C" w:rsidRDefault="00BA6B9B" w:rsidP="00F541AA">
            <w:pPr>
              <w:spacing w:before="0" w:after="0"/>
              <w:rPr>
                <w:color w:val="000000"/>
                <w:sz w:val="20"/>
                <w:lang w:val="en-AU"/>
              </w:rPr>
            </w:pPr>
            <w:r w:rsidRPr="007B644C">
              <w:rPr>
                <w:color w:val="000000"/>
                <w:sz w:val="20"/>
                <w:lang w:val="en-AU"/>
              </w:rPr>
              <w:t xml:space="preserve">               627,572 </w:t>
            </w:r>
          </w:p>
        </w:tc>
        <w:tc>
          <w:tcPr>
            <w:tcW w:w="626" w:type="pct"/>
            <w:shd w:val="clear" w:color="auto" w:fill="auto"/>
            <w:noWrap/>
            <w:vAlign w:val="bottom"/>
            <w:hideMark/>
          </w:tcPr>
          <w:p w14:paraId="5F22EE2C" w14:textId="77777777" w:rsidR="00BA6B9B" w:rsidRPr="007B644C" w:rsidRDefault="00BA6B9B" w:rsidP="00F541AA">
            <w:pPr>
              <w:spacing w:before="0" w:after="0"/>
              <w:rPr>
                <w:color w:val="000000"/>
                <w:sz w:val="20"/>
                <w:lang w:val="en-AU"/>
              </w:rPr>
            </w:pPr>
            <w:r w:rsidRPr="007B644C">
              <w:rPr>
                <w:color w:val="000000"/>
                <w:sz w:val="20"/>
                <w:lang w:val="en-AU"/>
              </w:rPr>
              <w:t xml:space="preserve">               321,335 </w:t>
            </w:r>
          </w:p>
        </w:tc>
        <w:tc>
          <w:tcPr>
            <w:tcW w:w="647" w:type="pct"/>
            <w:shd w:val="clear" w:color="auto" w:fill="auto"/>
            <w:noWrap/>
            <w:vAlign w:val="bottom"/>
            <w:hideMark/>
          </w:tcPr>
          <w:p w14:paraId="5F22EE2D" w14:textId="77777777" w:rsidR="00BA6B9B" w:rsidRPr="007B644C" w:rsidRDefault="00BA6B9B" w:rsidP="00F541AA">
            <w:pPr>
              <w:spacing w:before="0" w:after="0"/>
              <w:rPr>
                <w:color w:val="000000"/>
                <w:sz w:val="20"/>
                <w:lang w:val="en-AU"/>
              </w:rPr>
            </w:pPr>
            <w:r w:rsidRPr="007B644C">
              <w:rPr>
                <w:color w:val="000000"/>
                <w:sz w:val="20"/>
                <w:lang w:val="en-AU"/>
              </w:rPr>
              <w:t xml:space="preserve">               530,425 </w:t>
            </w:r>
          </w:p>
        </w:tc>
        <w:tc>
          <w:tcPr>
            <w:tcW w:w="721" w:type="pct"/>
            <w:shd w:val="clear" w:color="auto" w:fill="auto"/>
            <w:noWrap/>
            <w:vAlign w:val="bottom"/>
            <w:hideMark/>
          </w:tcPr>
          <w:p w14:paraId="5F22EE2E" w14:textId="77777777" w:rsidR="00BA6B9B" w:rsidRPr="007B644C" w:rsidRDefault="00BA6B9B" w:rsidP="00F541AA">
            <w:pPr>
              <w:spacing w:before="0" w:after="0"/>
              <w:rPr>
                <w:color w:val="000000"/>
                <w:sz w:val="20"/>
                <w:lang w:val="en-AU"/>
              </w:rPr>
            </w:pPr>
            <w:r w:rsidRPr="007B644C">
              <w:rPr>
                <w:color w:val="000000"/>
                <w:sz w:val="20"/>
                <w:lang w:val="en-AU"/>
              </w:rPr>
              <w:t xml:space="preserve">               224,138 </w:t>
            </w:r>
          </w:p>
        </w:tc>
      </w:tr>
      <w:tr w:rsidR="00BA6B9B" w:rsidRPr="003A77F5" w14:paraId="5F22EE38" w14:textId="77777777" w:rsidTr="005A7F56">
        <w:trPr>
          <w:trHeight w:val="20"/>
          <w:jc w:val="center"/>
        </w:trPr>
        <w:tc>
          <w:tcPr>
            <w:tcW w:w="516" w:type="pct"/>
            <w:vMerge/>
            <w:vAlign w:val="center"/>
            <w:hideMark/>
          </w:tcPr>
          <w:p w14:paraId="5F22EE30" w14:textId="77777777" w:rsidR="00BA6B9B" w:rsidRPr="007B644C" w:rsidRDefault="00BA6B9B" w:rsidP="00F541AA">
            <w:pPr>
              <w:spacing w:before="0" w:after="0"/>
              <w:rPr>
                <w:rFonts w:cs="Arial"/>
                <w:b/>
                <w:bCs/>
                <w:color w:val="000000"/>
                <w:sz w:val="20"/>
                <w:lang w:val="en-AU"/>
              </w:rPr>
            </w:pPr>
          </w:p>
        </w:tc>
        <w:tc>
          <w:tcPr>
            <w:tcW w:w="607" w:type="pct"/>
            <w:shd w:val="clear" w:color="auto" w:fill="auto"/>
            <w:noWrap/>
            <w:vAlign w:val="center"/>
            <w:hideMark/>
          </w:tcPr>
          <w:p w14:paraId="5F22EE31" w14:textId="77777777" w:rsidR="00BA6B9B" w:rsidRPr="007B644C" w:rsidRDefault="00BA6B9B" w:rsidP="00F541AA">
            <w:pPr>
              <w:spacing w:before="0" w:after="0"/>
              <w:rPr>
                <w:color w:val="000000"/>
                <w:sz w:val="20"/>
                <w:lang w:val="en-AU"/>
              </w:rPr>
            </w:pPr>
            <w:r w:rsidRPr="007B644C">
              <w:rPr>
                <w:color w:val="000000"/>
                <w:sz w:val="20"/>
                <w:lang w:val="en-AU"/>
              </w:rPr>
              <w:t>Tully</w:t>
            </w:r>
          </w:p>
        </w:tc>
        <w:tc>
          <w:tcPr>
            <w:tcW w:w="630" w:type="pct"/>
            <w:shd w:val="clear" w:color="auto" w:fill="auto"/>
            <w:noWrap/>
            <w:vAlign w:val="bottom"/>
            <w:hideMark/>
          </w:tcPr>
          <w:p w14:paraId="5F22EE32" w14:textId="77777777" w:rsidR="00BA6B9B" w:rsidRPr="007B644C" w:rsidRDefault="00BA6B9B" w:rsidP="00F541AA">
            <w:pPr>
              <w:spacing w:before="0" w:after="0"/>
              <w:rPr>
                <w:color w:val="000000"/>
                <w:sz w:val="20"/>
                <w:lang w:val="en-AU"/>
              </w:rPr>
            </w:pPr>
            <w:r w:rsidRPr="007B644C">
              <w:rPr>
                <w:color w:val="000000"/>
                <w:sz w:val="20"/>
                <w:lang w:val="en-AU"/>
              </w:rPr>
              <w:t xml:space="preserve">           1,894,102 </w:t>
            </w:r>
          </w:p>
        </w:tc>
        <w:tc>
          <w:tcPr>
            <w:tcW w:w="626" w:type="pct"/>
            <w:shd w:val="clear" w:color="000000" w:fill="FFC000"/>
            <w:noWrap/>
            <w:vAlign w:val="bottom"/>
            <w:hideMark/>
          </w:tcPr>
          <w:p w14:paraId="5F22EE33" w14:textId="77777777" w:rsidR="00BA6B9B" w:rsidRPr="007B644C" w:rsidRDefault="00BA6B9B" w:rsidP="00F541AA">
            <w:pPr>
              <w:spacing w:before="0" w:after="0"/>
              <w:rPr>
                <w:color w:val="000000"/>
                <w:sz w:val="20"/>
                <w:lang w:val="en-AU"/>
              </w:rPr>
            </w:pPr>
            <w:r w:rsidRPr="007B644C">
              <w:rPr>
                <w:color w:val="000000"/>
                <w:sz w:val="20"/>
                <w:lang w:val="en-AU"/>
              </w:rPr>
              <w:t xml:space="preserve">           4,642,874 </w:t>
            </w:r>
          </w:p>
        </w:tc>
        <w:tc>
          <w:tcPr>
            <w:tcW w:w="626" w:type="pct"/>
            <w:shd w:val="clear" w:color="auto" w:fill="auto"/>
            <w:noWrap/>
            <w:vAlign w:val="bottom"/>
            <w:hideMark/>
          </w:tcPr>
          <w:p w14:paraId="5F22EE34" w14:textId="77777777" w:rsidR="00BA6B9B" w:rsidRPr="007B644C" w:rsidRDefault="00BA6B9B" w:rsidP="00F541AA">
            <w:pPr>
              <w:spacing w:before="0" w:after="0"/>
              <w:rPr>
                <w:color w:val="000000"/>
                <w:sz w:val="20"/>
                <w:lang w:val="en-AU"/>
              </w:rPr>
            </w:pPr>
            <w:r w:rsidRPr="007B644C">
              <w:rPr>
                <w:color w:val="000000"/>
                <w:sz w:val="20"/>
                <w:lang w:val="en-AU"/>
              </w:rPr>
              <w:t xml:space="preserve">           1,445,101 </w:t>
            </w:r>
          </w:p>
        </w:tc>
        <w:tc>
          <w:tcPr>
            <w:tcW w:w="626" w:type="pct"/>
            <w:shd w:val="clear" w:color="auto" w:fill="auto"/>
            <w:noWrap/>
            <w:vAlign w:val="bottom"/>
            <w:hideMark/>
          </w:tcPr>
          <w:p w14:paraId="5F22EE35" w14:textId="77777777" w:rsidR="00BA6B9B" w:rsidRPr="007B644C" w:rsidRDefault="00BA6B9B" w:rsidP="00F541AA">
            <w:pPr>
              <w:spacing w:before="0" w:after="0"/>
              <w:rPr>
                <w:color w:val="000000"/>
                <w:sz w:val="20"/>
                <w:lang w:val="en-AU"/>
              </w:rPr>
            </w:pPr>
            <w:r w:rsidRPr="007B644C">
              <w:rPr>
                <w:color w:val="000000"/>
                <w:sz w:val="20"/>
                <w:lang w:val="en-AU"/>
              </w:rPr>
              <w:t xml:space="preserve">           1,576,555 </w:t>
            </w:r>
          </w:p>
        </w:tc>
        <w:tc>
          <w:tcPr>
            <w:tcW w:w="647" w:type="pct"/>
            <w:shd w:val="clear" w:color="auto" w:fill="auto"/>
            <w:noWrap/>
            <w:vAlign w:val="bottom"/>
            <w:hideMark/>
          </w:tcPr>
          <w:p w14:paraId="5F22EE36" w14:textId="77777777" w:rsidR="00BA6B9B" w:rsidRPr="007B644C" w:rsidRDefault="00BA6B9B" w:rsidP="00F541AA">
            <w:pPr>
              <w:spacing w:before="0" w:after="0"/>
              <w:rPr>
                <w:color w:val="000000"/>
                <w:sz w:val="20"/>
                <w:lang w:val="en-AU"/>
              </w:rPr>
            </w:pPr>
            <w:r w:rsidRPr="007B644C">
              <w:rPr>
                <w:color w:val="000000"/>
                <w:sz w:val="20"/>
                <w:lang w:val="en-AU"/>
              </w:rPr>
              <w:t xml:space="preserve">           2,378,541 </w:t>
            </w:r>
          </w:p>
        </w:tc>
        <w:tc>
          <w:tcPr>
            <w:tcW w:w="721" w:type="pct"/>
            <w:shd w:val="clear" w:color="auto" w:fill="auto"/>
            <w:noWrap/>
            <w:vAlign w:val="bottom"/>
            <w:hideMark/>
          </w:tcPr>
          <w:p w14:paraId="5F22EE37" w14:textId="77777777" w:rsidR="00BA6B9B" w:rsidRPr="007B644C" w:rsidRDefault="00BA6B9B" w:rsidP="00F541AA">
            <w:pPr>
              <w:spacing w:before="0" w:after="0"/>
              <w:rPr>
                <w:color w:val="000000"/>
                <w:sz w:val="20"/>
                <w:lang w:val="en-AU"/>
              </w:rPr>
            </w:pPr>
            <w:r w:rsidRPr="007B644C">
              <w:rPr>
                <w:color w:val="000000"/>
                <w:sz w:val="20"/>
                <w:lang w:val="en-AU"/>
              </w:rPr>
              <w:t xml:space="preserve">           1,127,201 </w:t>
            </w:r>
          </w:p>
        </w:tc>
      </w:tr>
      <w:tr w:rsidR="00BA6B9B" w:rsidRPr="003A77F5" w14:paraId="5F22EE41" w14:textId="77777777" w:rsidTr="005A7F56">
        <w:trPr>
          <w:trHeight w:val="20"/>
          <w:jc w:val="center"/>
        </w:trPr>
        <w:tc>
          <w:tcPr>
            <w:tcW w:w="516" w:type="pct"/>
            <w:vMerge/>
            <w:vAlign w:val="center"/>
            <w:hideMark/>
          </w:tcPr>
          <w:p w14:paraId="5F22EE39" w14:textId="77777777" w:rsidR="00BA6B9B" w:rsidRPr="007B644C" w:rsidRDefault="00BA6B9B" w:rsidP="00F541AA">
            <w:pPr>
              <w:spacing w:before="0" w:after="0"/>
              <w:rPr>
                <w:rFonts w:cs="Arial"/>
                <w:b/>
                <w:bCs/>
                <w:color w:val="000000"/>
                <w:sz w:val="20"/>
                <w:lang w:val="en-AU"/>
              </w:rPr>
            </w:pPr>
          </w:p>
        </w:tc>
        <w:tc>
          <w:tcPr>
            <w:tcW w:w="607" w:type="pct"/>
            <w:shd w:val="clear" w:color="auto" w:fill="auto"/>
            <w:noWrap/>
            <w:vAlign w:val="center"/>
            <w:hideMark/>
          </w:tcPr>
          <w:p w14:paraId="5F22EE3A" w14:textId="77777777" w:rsidR="00BA6B9B" w:rsidRPr="007B644C" w:rsidRDefault="00BA6B9B" w:rsidP="00F541AA">
            <w:pPr>
              <w:spacing w:before="0" w:after="0"/>
              <w:rPr>
                <w:color w:val="000000"/>
                <w:sz w:val="20"/>
                <w:lang w:val="en-AU"/>
              </w:rPr>
            </w:pPr>
            <w:r w:rsidRPr="007B644C">
              <w:rPr>
                <w:color w:val="000000"/>
                <w:sz w:val="20"/>
                <w:lang w:val="en-AU"/>
              </w:rPr>
              <w:t>Herbert</w:t>
            </w:r>
          </w:p>
        </w:tc>
        <w:tc>
          <w:tcPr>
            <w:tcW w:w="630" w:type="pct"/>
            <w:shd w:val="clear" w:color="auto" w:fill="auto"/>
            <w:noWrap/>
            <w:vAlign w:val="bottom"/>
            <w:hideMark/>
          </w:tcPr>
          <w:p w14:paraId="5F22EE3B" w14:textId="77777777" w:rsidR="00BA6B9B" w:rsidRPr="007B644C" w:rsidRDefault="00BA6B9B" w:rsidP="00F541AA">
            <w:pPr>
              <w:spacing w:before="0" w:after="0"/>
              <w:rPr>
                <w:color w:val="000000"/>
                <w:sz w:val="20"/>
                <w:lang w:val="en-AU"/>
              </w:rPr>
            </w:pPr>
            <w:r w:rsidRPr="007B644C">
              <w:rPr>
                <w:color w:val="000000"/>
                <w:sz w:val="20"/>
                <w:lang w:val="en-AU"/>
              </w:rPr>
              <w:t xml:space="preserve">           2,610,493 </w:t>
            </w:r>
          </w:p>
        </w:tc>
        <w:tc>
          <w:tcPr>
            <w:tcW w:w="626" w:type="pct"/>
            <w:shd w:val="clear" w:color="000000" w:fill="FF0000"/>
            <w:noWrap/>
            <w:vAlign w:val="bottom"/>
            <w:hideMark/>
          </w:tcPr>
          <w:p w14:paraId="5F22EE3C" w14:textId="77777777" w:rsidR="00BA6B9B" w:rsidRPr="007B644C" w:rsidRDefault="00BA6B9B" w:rsidP="00F541AA">
            <w:pPr>
              <w:spacing w:before="0" w:after="0"/>
              <w:rPr>
                <w:color w:val="000000"/>
                <w:sz w:val="20"/>
                <w:lang w:val="en-AU"/>
              </w:rPr>
            </w:pPr>
            <w:r w:rsidRPr="007B644C">
              <w:rPr>
                <w:color w:val="000000"/>
                <w:sz w:val="20"/>
                <w:lang w:val="en-AU"/>
              </w:rPr>
              <w:t xml:space="preserve">         10,563,954 </w:t>
            </w:r>
          </w:p>
        </w:tc>
        <w:tc>
          <w:tcPr>
            <w:tcW w:w="626" w:type="pct"/>
            <w:shd w:val="clear" w:color="auto" w:fill="auto"/>
            <w:noWrap/>
            <w:vAlign w:val="bottom"/>
            <w:hideMark/>
          </w:tcPr>
          <w:p w14:paraId="5F22EE3D" w14:textId="77777777" w:rsidR="00BA6B9B" w:rsidRPr="007B644C" w:rsidRDefault="00BA6B9B" w:rsidP="00F541AA">
            <w:pPr>
              <w:spacing w:before="0" w:after="0"/>
              <w:rPr>
                <w:color w:val="000000"/>
                <w:sz w:val="20"/>
                <w:lang w:val="en-AU"/>
              </w:rPr>
            </w:pPr>
            <w:r w:rsidRPr="007B644C">
              <w:rPr>
                <w:color w:val="000000"/>
                <w:sz w:val="20"/>
                <w:lang w:val="en-AU"/>
              </w:rPr>
              <w:t xml:space="preserve">           3,331,307 </w:t>
            </w:r>
          </w:p>
        </w:tc>
        <w:tc>
          <w:tcPr>
            <w:tcW w:w="626" w:type="pct"/>
            <w:shd w:val="clear" w:color="auto" w:fill="auto"/>
            <w:noWrap/>
            <w:vAlign w:val="bottom"/>
            <w:hideMark/>
          </w:tcPr>
          <w:p w14:paraId="5F22EE3E" w14:textId="77777777" w:rsidR="00BA6B9B" w:rsidRPr="007B644C" w:rsidRDefault="00BA6B9B" w:rsidP="00F541AA">
            <w:pPr>
              <w:spacing w:before="0" w:after="0"/>
              <w:rPr>
                <w:color w:val="000000"/>
                <w:sz w:val="20"/>
                <w:lang w:val="en-AU"/>
              </w:rPr>
            </w:pPr>
            <w:r w:rsidRPr="007B644C">
              <w:rPr>
                <w:color w:val="000000"/>
                <w:sz w:val="20"/>
                <w:lang w:val="en-AU"/>
              </w:rPr>
              <w:t xml:space="preserve">           2,255,089 </w:t>
            </w:r>
          </w:p>
        </w:tc>
        <w:tc>
          <w:tcPr>
            <w:tcW w:w="647" w:type="pct"/>
            <w:shd w:val="clear" w:color="auto" w:fill="auto"/>
            <w:noWrap/>
            <w:vAlign w:val="bottom"/>
            <w:hideMark/>
          </w:tcPr>
          <w:p w14:paraId="5F22EE3F" w14:textId="77777777" w:rsidR="00BA6B9B" w:rsidRPr="007B644C" w:rsidRDefault="00BA6B9B" w:rsidP="00F541AA">
            <w:pPr>
              <w:spacing w:before="0" w:after="0"/>
              <w:rPr>
                <w:color w:val="000000"/>
                <w:sz w:val="20"/>
                <w:lang w:val="en-AU"/>
              </w:rPr>
            </w:pPr>
            <w:r w:rsidRPr="007B644C">
              <w:rPr>
                <w:color w:val="000000"/>
                <w:sz w:val="20"/>
                <w:lang w:val="en-AU"/>
              </w:rPr>
              <w:t xml:space="preserve">           3,212,676 </w:t>
            </w:r>
          </w:p>
        </w:tc>
        <w:tc>
          <w:tcPr>
            <w:tcW w:w="721" w:type="pct"/>
            <w:shd w:val="clear" w:color="auto" w:fill="auto"/>
            <w:noWrap/>
            <w:vAlign w:val="bottom"/>
            <w:hideMark/>
          </w:tcPr>
          <w:p w14:paraId="5F22EE40" w14:textId="77777777" w:rsidR="00BA6B9B" w:rsidRPr="007B644C" w:rsidRDefault="00BA6B9B" w:rsidP="00F541AA">
            <w:pPr>
              <w:spacing w:before="0" w:after="0"/>
              <w:rPr>
                <w:color w:val="000000"/>
                <w:sz w:val="20"/>
                <w:lang w:val="en-AU"/>
              </w:rPr>
            </w:pPr>
            <w:r w:rsidRPr="007B644C">
              <w:rPr>
                <w:color w:val="000000"/>
                <w:sz w:val="20"/>
                <w:lang w:val="en-AU"/>
              </w:rPr>
              <w:t xml:space="preserve">               671,729 </w:t>
            </w:r>
          </w:p>
        </w:tc>
      </w:tr>
      <w:tr w:rsidR="00BA6B9B" w:rsidRPr="003A77F5" w14:paraId="5F22EE4A" w14:textId="77777777" w:rsidTr="005A7F56">
        <w:trPr>
          <w:trHeight w:val="20"/>
          <w:jc w:val="center"/>
        </w:trPr>
        <w:tc>
          <w:tcPr>
            <w:tcW w:w="516" w:type="pct"/>
            <w:vMerge w:val="restart"/>
            <w:shd w:val="clear" w:color="auto" w:fill="auto"/>
            <w:vAlign w:val="center"/>
            <w:hideMark/>
          </w:tcPr>
          <w:p w14:paraId="5F22EE42" w14:textId="77777777" w:rsidR="00BA6B9B" w:rsidRPr="007B644C" w:rsidRDefault="00BA6B9B" w:rsidP="00F541AA">
            <w:pPr>
              <w:spacing w:before="0" w:after="0"/>
              <w:rPr>
                <w:rFonts w:cs="Arial"/>
                <w:b/>
                <w:bCs/>
                <w:color w:val="000000"/>
                <w:sz w:val="20"/>
                <w:lang w:val="en-AU"/>
              </w:rPr>
            </w:pPr>
            <w:r w:rsidRPr="007B644C">
              <w:rPr>
                <w:rFonts w:cs="Arial"/>
                <w:b/>
                <w:bCs/>
                <w:color w:val="000000"/>
                <w:sz w:val="20"/>
                <w:lang w:val="en-AU"/>
              </w:rPr>
              <w:t>Burdekin</w:t>
            </w:r>
          </w:p>
        </w:tc>
        <w:tc>
          <w:tcPr>
            <w:tcW w:w="607" w:type="pct"/>
            <w:shd w:val="clear" w:color="auto" w:fill="auto"/>
            <w:noWrap/>
            <w:vAlign w:val="center"/>
            <w:hideMark/>
          </w:tcPr>
          <w:p w14:paraId="5F22EE43" w14:textId="77777777" w:rsidR="00BA6B9B" w:rsidRPr="007B644C" w:rsidRDefault="00BA6B9B" w:rsidP="00F541AA">
            <w:pPr>
              <w:spacing w:before="0" w:after="0"/>
              <w:rPr>
                <w:color w:val="000000"/>
                <w:sz w:val="20"/>
                <w:lang w:val="en-AU"/>
              </w:rPr>
            </w:pPr>
            <w:r w:rsidRPr="007B644C">
              <w:rPr>
                <w:color w:val="000000"/>
                <w:sz w:val="20"/>
                <w:lang w:val="en-AU"/>
              </w:rPr>
              <w:t>Burdekin</w:t>
            </w:r>
          </w:p>
        </w:tc>
        <w:tc>
          <w:tcPr>
            <w:tcW w:w="630" w:type="pct"/>
            <w:shd w:val="clear" w:color="auto" w:fill="auto"/>
            <w:noWrap/>
            <w:vAlign w:val="bottom"/>
            <w:hideMark/>
          </w:tcPr>
          <w:p w14:paraId="5F22EE44" w14:textId="77777777" w:rsidR="00BA6B9B" w:rsidRPr="007B644C" w:rsidRDefault="00BA6B9B" w:rsidP="00F541AA">
            <w:pPr>
              <w:spacing w:before="0" w:after="0"/>
              <w:rPr>
                <w:color w:val="000000"/>
                <w:sz w:val="20"/>
                <w:lang w:val="en-AU"/>
              </w:rPr>
            </w:pPr>
            <w:r w:rsidRPr="007B644C">
              <w:rPr>
                <w:color w:val="000000"/>
                <w:sz w:val="20"/>
                <w:lang w:val="en-AU"/>
              </w:rPr>
              <w:t xml:space="preserve">           4,669,849 </w:t>
            </w:r>
          </w:p>
        </w:tc>
        <w:tc>
          <w:tcPr>
            <w:tcW w:w="626" w:type="pct"/>
            <w:shd w:val="clear" w:color="000000" w:fill="FF0000"/>
            <w:noWrap/>
            <w:vAlign w:val="bottom"/>
            <w:hideMark/>
          </w:tcPr>
          <w:p w14:paraId="5F22EE45" w14:textId="77777777" w:rsidR="00BA6B9B" w:rsidRPr="007B644C" w:rsidRDefault="00BA6B9B" w:rsidP="00F541AA">
            <w:pPr>
              <w:spacing w:before="0" w:after="0"/>
              <w:rPr>
                <w:color w:val="000000"/>
                <w:sz w:val="20"/>
                <w:lang w:val="en-AU"/>
              </w:rPr>
            </w:pPr>
            <w:r w:rsidRPr="007B644C">
              <w:rPr>
                <w:color w:val="000000"/>
                <w:sz w:val="20"/>
                <w:lang w:val="en-AU"/>
              </w:rPr>
              <w:t xml:space="preserve">         33,885,815 </w:t>
            </w:r>
          </w:p>
        </w:tc>
        <w:tc>
          <w:tcPr>
            <w:tcW w:w="626" w:type="pct"/>
            <w:shd w:val="clear" w:color="000000" w:fill="FF0000"/>
            <w:noWrap/>
            <w:vAlign w:val="bottom"/>
            <w:hideMark/>
          </w:tcPr>
          <w:p w14:paraId="5F22EE46" w14:textId="77777777" w:rsidR="00BA6B9B" w:rsidRPr="007B644C" w:rsidRDefault="00BA6B9B" w:rsidP="00F541AA">
            <w:pPr>
              <w:spacing w:before="0" w:after="0"/>
              <w:rPr>
                <w:color w:val="000000"/>
                <w:sz w:val="20"/>
                <w:lang w:val="en-AU"/>
              </w:rPr>
            </w:pPr>
            <w:r w:rsidRPr="007B644C">
              <w:rPr>
                <w:color w:val="000000"/>
                <w:sz w:val="20"/>
                <w:lang w:val="en-AU"/>
              </w:rPr>
              <w:t xml:space="preserve">         14,333,639 </w:t>
            </w:r>
          </w:p>
        </w:tc>
        <w:tc>
          <w:tcPr>
            <w:tcW w:w="626" w:type="pct"/>
            <w:shd w:val="clear" w:color="auto" w:fill="auto"/>
            <w:noWrap/>
            <w:vAlign w:val="bottom"/>
            <w:hideMark/>
          </w:tcPr>
          <w:p w14:paraId="5F22EE47" w14:textId="77777777" w:rsidR="00BA6B9B" w:rsidRPr="007B644C" w:rsidRDefault="00BA6B9B" w:rsidP="00F541AA">
            <w:pPr>
              <w:spacing w:before="0" w:after="0"/>
              <w:rPr>
                <w:color w:val="000000"/>
                <w:sz w:val="20"/>
                <w:lang w:val="en-AU"/>
              </w:rPr>
            </w:pPr>
            <w:r w:rsidRPr="007B644C">
              <w:rPr>
                <w:color w:val="000000"/>
                <w:sz w:val="20"/>
                <w:lang w:val="en-AU"/>
              </w:rPr>
              <w:t xml:space="preserve">           3,110,624 </w:t>
            </w:r>
          </w:p>
        </w:tc>
        <w:tc>
          <w:tcPr>
            <w:tcW w:w="647" w:type="pct"/>
            <w:shd w:val="clear" w:color="auto" w:fill="auto"/>
            <w:noWrap/>
            <w:vAlign w:val="bottom"/>
            <w:hideMark/>
          </w:tcPr>
          <w:p w14:paraId="5F22EE48" w14:textId="77777777" w:rsidR="00BA6B9B" w:rsidRPr="007B644C" w:rsidRDefault="00BA6B9B" w:rsidP="00F541AA">
            <w:pPr>
              <w:spacing w:before="0" w:after="0"/>
              <w:rPr>
                <w:color w:val="000000"/>
                <w:sz w:val="20"/>
                <w:lang w:val="en-AU"/>
              </w:rPr>
            </w:pPr>
            <w:r w:rsidRPr="007B644C">
              <w:rPr>
                <w:color w:val="000000"/>
                <w:sz w:val="20"/>
                <w:lang w:val="en-AU"/>
              </w:rPr>
              <w:t xml:space="preserve">           1,162,570 </w:t>
            </w:r>
          </w:p>
        </w:tc>
        <w:tc>
          <w:tcPr>
            <w:tcW w:w="721" w:type="pct"/>
            <w:shd w:val="clear" w:color="auto" w:fill="auto"/>
            <w:noWrap/>
            <w:vAlign w:val="bottom"/>
            <w:hideMark/>
          </w:tcPr>
          <w:p w14:paraId="5F22EE49" w14:textId="77777777" w:rsidR="00BA6B9B" w:rsidRPr="007B644C" w:rsidRDefault="00BA6B9B" w:rsidP="00F541AA">
            <w:pPr>
              <w:spacing w:before="0" w:after="0"/>
              <w:rPr>
                <w:color w:val="000000"/>
                <w:sz w:val="20"/>
                <w:lang w:val="en-AU"/>
              </w:rPr>
            </w:pPr>
            <w:r w:rsidRPr="007B644C">
              <w:rPr>
                <w:color w:val="000000"/>
                <w:sz w:val="20"/>
                <w:lang w:val="en-AU"/>
              </w:rPr>
              <w:t xml:space="preserve">               619,369 </w:t>
            </w:r>
          </w:p>
        </w:tc>
      </w:tr>
      <w:tr w:rsidR="00BA6B9B" w:rsidRPr="003A77F5" w14:paraId="5F22EE53" w14:textId="77777777" w:rsidTr="005A7F56">
        <w:trPr>
          <w:trHeight w:val="20"/>
          <w:jc w:val="center"/>
        </w:trPr>
        <w:tc>
          <w:tcPr>
            <w:tcW w:w="516" w:type="pct"/>
            <w:vMerge/>
            <w:vAlign w:val="center"/>
            <w:hideMark/>
          </w:tcPr>
          <w:p w14:paraId="5F22EE4B" w14:textId="77777777" w:rsidR="00BA6B9B" w:rsidRPr="007B644C" w:rsidRDefault="00BA6B9B" w:rsidP="00F541AA">
            <w:pPr>
              <w:spacing w:before="0" w:after="0"/>
              <w:rPr>
                <w:rFonts w:cs="Arial"/>
                <w:b/>
                <w:bCs/>
                <w:color w:val="000000"/>
                <w:sz w:val="20"/>
                <w:lang w:val="en-AU"/>
              </w:rPr>
            </w:pPr>
          </w:p>
        </w:tc>
        <w:tc>
          <w:tcPr>
            <w:tcW w:w="607" w:type="pct"/>
            <w:shd w:val="clear" w:color="auto" w:fill="auto"/>
            <w:noWrap/>
            <w:vAlign w:val="center"/>
            <w:hideMark/>
          </w:tcPr>
          <w:p w14:paraId="5F22EE4C" w14:textId="77777777" w:rsidR="00BA6B9B" w:rsidRPr="007B644C" w:rsidRDefault="00BA6B9B" w:rsidP="00F541AA">
            <w:pPr>
              <w:spacing w:before="0" w:after="0"/>
              <w:rPr>
                <w:color w:val="000000"/>
                <w:sz w:val="20"/>
                <w:lang w:val="en-AU"/>
              </w:rPr>
            </w:pPr>
            <w:r w:rsidRPr="007B644C">
              <w:rPr>
                <w:color w:val="000000"/>
                <w:sz w:val="20"/>
                <w:lang w:val="en-AU"/>
              </w:rPr>
              <w:t>Don</w:t>
            </w:r>
          </w:p>
        </w:tc>
        <w:tc>
          <w:tcPr>
            <w:tcW w:w="630" w:type="pct"/>
            <w:shd w:val="clear" w:color="auto" w:fill="auto"/>
            <w:noWrap/>
            <w:vAlign w:val="bottom"/>
            <w:hideMark/>
          </w:tcPr>
          <w:p w14:paraId="5F22EE4D" w14:textId="77777777" w:rsidR="00BA6B9B" w:rsidRPr="007B644C" w:rsidRDefault="00BA6B9B" w:rsidP="00F541AA">
            <w:pPr>
              <w:spacing w:before="0" w:after="0"/>
              <w:rPr>
                <w:color w:val="000000"/>
                <w:sz w:val="20"/>
                <w:lang w:val="en-AU"/>
              </w:rPr>
            </w:pPr>
            <w:r w:rsidRPr="007B644C">
              <w:rPr>
                <w:color w:val="000000"/>
                <w:sz w:val="20"/>
                <w:lang w:val="en-AU"/>
              </w:rPr>
              <w:t xml:space="preserve">                 51,062 </w:t>
            </w:r>
          </w:p>
        </w:tc>
        <w:tc>
          <w:tcPr>
            <w:tcW w:w="626" w:type="pct"/>
            <w:shd w:val="clear" w:color="000000" w:fill="FF0000"/>
            <w:noWrap/>
            <w:vAlign w:val="bottom"/>
            <w:hideMark/>
          </w:tcPr>
          <w:p w14:paraId="5F22EE4E" w14:textId="77777777" w:rsidR="00BA6B9B" w:rsidRPr="007B644C" w:rsidRDefault="00BA6B9B" w:rsidP="00F541AA">
            <w:pPr>
              <w:spacing w:before="0" w:after="0"/>
              <w:rPr>
                <w:color w:val="000000"/>
                <w:sz w:val="20"/>
                <w:lang w:val="en-AU"/>
              </w:rPr>
            </w:pPr>
            <w:r w:rsidRPr="007B644C">
              <w:rPr>
                <w:color w:val="000000"/>
                <w:sz w:val="20"/>
                <w:lang w:val="en-AU"/>
              </w:rPr>
              <w:t xml:space="preserve">               785,986 </w:t>
            </w:r>
          </w:p>
        </w:tc>
        <w:tc>
          <w:tcPr>
            <w:tcW w:w="626" w:type="pct"/>
            <w:shd w:val="clear" w:color="000000" w:fill="FF0000"/>
            <w:noWrap/>
            <w:vAlign w:val="bottom"/>
            <w:hideMark/>
          </w:tcPr>
          <w:p w14:paraId="5F22EE4F" w14:textId="77777777" w:rsidR="00BA6B9B" w:rsidRPr="007B644C" w:rsidRDefault="00BA6B9B" w:rsidP="00F541AA">
            <w:pPr>
              <w:spacing w:before="0" w:after="0"/>
              <w:rPr>
                <w:color w:val="000000"/>
                <w:sz w:val="20"/>
                <w:lang w:val="en-AU"/>
              </w:rPr>
            </w:pPr>
            <w:r w:rsidRPr="007B644C">
              <w:rPr>
                <w:color w:val="000000"/>
                <w:sz w:val="20"/>
                <w:lang w:val="en-AU"/>
              </w:rPr>
              <w:t xml:space="preserve">               197,426 </w:t>
            </w:r>
          </w:p>
        </w:tc>
        <w:tc>
          <w:tcPr>
            <w:tcW w:w="626" w:type="pct"/>
            <w:shd w:val="clear" w:color="000000" w:fill="FFC000"/>
            <w:noWrap/>
            <w:vAlign w:val="bottom"/>
            <w:hideMark/>
          </w:tcPr>
          <w:p w14:paraId="5F22EE50" w14:textId="77777777" w:rsidR="00BA6B9B" w:rsidRPr="007B644C" w:rsidRDefault="00BA6B9B" w:rsidP="00F541AA">
            <w:pPr>
              <w:spacing w:before="0" w:after="0"/>
              <w:rPr>
                <w:color w:val="000000"/>
                <w:sz w:val="20"/>
                <w:lang w:val="en-AU"/>
              </w:rPr>
            </w:pPr>
            <w:r w:rsidRPr="007B644C">
              <w:rPr>
                <w:color w:val="000000"/>
                <w:sz w:val="20"/>
                <w:lang w:val="en-AU"/>
              </w:rPr>
              <w:t xml:space="preserve">               151,384 </w:t>
            </w:r>
          </w:p>
        </w:tc>
        <w:tc>
          <w:tcPr>
            <w:tcW w:w="647" w:type="pct"/>
            <w:shd w:val="clear" w:color="000000" w:fill="FFFF00"/>
            <w:noWrap/>
            <w:vAlign w:val="bottom"/>
            <w:hideMark/>
          </w:tcPr>
          <w:p w14:paraId="5F22EE51" w14:textId="77777777" w:rsidR="00BA6B9B" w:rsidRPr="007B644C" w:rsidRDefault="00BA6B9B" w:rsidP="00F541AA">
            <w:pPr>
              <w:spacing w:before="0" w:after="0"/>
              <w:rPr>
                <w:color w:val="000000"/>
                <w:sz w:val="20"/>
                <w:lang w:val="en-AU"/>
              </w:rPr>
            </w:pPr>
            <w:r w:rsidRPr="007B644C">
              <w:rPr>
                <w:color w:val="000000"/>
                <w:sz w:val="20"/>
                <w:lang w:val="en-AU"/>
              </w:rPr>
              <w:t xml:space="preserve">                 85,851 </w:t>
            </w:r>
          </w:p>
        </w:tc>
        <w:tc>
          <w:tcPr>
            <w:tcW w:w="721" w:type="pct"/>
            <w:shd w:val="clear" w:color="auto" w:fill="auto"/>
            <w:noWrap/>
            <w:vAlign w:val="bottom"/>
            <w:hideMark/>
          </w:tcPr>
          <w:p w14:paraId="5F22EE52" w14:textId="77777777" w:rsidR="00BA6B9B" w:rsidRPr="007B644C" w:rsidRDefault="00BA6B9B" w:rsidP="00F541AA">
            <w:pPr>
              <w:spacing w:before="0" w:after="0"/>
              <w:rPr>
                <w:color w:val="000000"/>
                <w:sz w:val="20"/>
                <w:lang w:val="en-AU"/>
              </w:rPr>
            </w:pPr>
            <w:r w:rsidRPr="007B644C">
              <w:rPr>
                <w:color w:val="000000"/>
                <w:sz w:val="20"/>
                <w:lang w:val="en-AU"/>
              </w:rPr>
              <w:t xml:space="preserve">                 46,247 </w:t>
            </w:r>
          </w:p>
        </w:tc>
      </w:tr>
      <w:tr w:rsidR="00BA6B9B" w:rsidRPr="003A77F5" w14:paraId="5F22EE5C" w14:textId="77777777" w:rsidTr="005A7F56">
        <w:trPr>
          <w:trHeight w:val="20"/>
          <w:jc w:val="center"/>
        </w:trPr>
        <w:tc>
          <w:tcPr>
            <w:tcW w:w="516" w:type="pct"/>
            <w:vMerge w:val="restart"/>
            <w:shd w:val="clear" w:color="auto" w:fill="auto"/>
            <w:vAlign w:val="center"/>
            <w:hideMark/>
          </w:tcPr>
          <w:p w14:paraId="5F22EE54" w14:textId="77777777" w:rsidR="00BA6B9B" w:rsidRPr="007B644C" w:rsidRDefault="00BA6B9B" w:rsidP="00F541AA">
            <w:pPr>
              <w:spacing w:before="0" w:after="0"/>
              <w:rPr>
                <w:rFonts w:cs="Arial"/>
                <w:b/>
                <w:bCs/>
                <w:color w:val="000000"/>
                <w:sz w:val="20"/>
                <w:lang w:val="en-AU"/>
              </w:rPr>
            </w:pPr>
            <w:r w:rsidRPr="007B644C">
              <w:rPr>
                <w:rFonts w:cs="Arial"/>
                <w:b/>
                <w:bCs/>
                <w:color w:val="000000"/>
                <w:sz w:val="20"/>
                <w:lang w:val="en-AU"/>
              </w:rPr>
              <w:t>Mackay Whitsunday</w:t>
            </w:r>
          </w:p>
        </w:tc>
        <w:tc>
          <w:tcPr>
            <w:tcW w:w="607" w:type="pct"/>
            <w:shd w:val="clear" w:color="auto" w:fill="auto"/>
            <w:noWrap/>
            <w:vAlign w:val="center"/>
            <w:hideMark/>
          </w:tcPr>
          <w:p w14:paraId="5F22EE55" w14:textId="77777777" w:rsidR="00BA6B9B" w:rsidRPr="007B644C" w:rsidRDefault="00BA6B9B" w:rsidP="00F541AA">
            <w:pPr>
              <w:spacing w:before="0" w:after="0"/>
              <w:rPr>
                <w:color w:val="000000"/>
                <w:sz w:val="20"/>
                <w:lang w:val="en-AU"/>
              </w:rPr>
            </w:pPr>
            <w:r w:rsidRPr="007B644C">
              <w:rPr>
                <w:color w:val="000000"/>
                <w:sz w:val="20"/>
                <w:lang w:val="en-AU"/>
              </w:rPr>
              <w:t>Proserpine</w:t>
            </w:r>
          </w:p>
        </w:tc>
        <w:tc>
          <w:tcPr>
            <w:tcW w:w="630" w:type="pct"/>
            <w:shd w:val="clear" w:color="auto" w:fill="auto"/>
            <w:noWrap/>
            <w:vAlign w:val="bottom"/>
            <w:hideMark/>
          </w:tcPr>
          <w:p w14:paraId="5F22EE56" w14:textId="77777777" w:rsidR="00BA6B9B" w:rsidRPr="007B644C" w:rsidRDefault="00BA6B9B" w:rsidP="00F541AA">
            <w:pPr>
              <w:spacing w:before="0" w:after="0"/>
              <w:rPr>
                <w:color w:val="000000"/>
                <w:sz w:val="20"/>
                <w:lang w:val="en-AU"/>
              </w:rPr>
            </w:pPr>
            <w:r w:rsidRPr="007B644C">
              <w:rPr>
                <w:color w:val="000000"/>
                <w:sz w:val="20"/>
                <w:lang w:val="en-AU"/>
              </w:rPr>
              <w:t xml:space="preserve">                 14,770 </w:t>
            </w:r>
          </w:p>
        </w:tc>
        <w:tc>
          <w:tcPr>
            <w:tcW w:w="626" w:type="pct"/>
            <w:shd w:val="clear" w:color="000000" w:fill="FF0000"/>
            <w:noWrap/>
            <w:vAlign w:val="bottom"/>
            <w:hideMark/>
          </w:tcPr>
          <w:p w14:paraId="5F22EE57" w14:textId="77777777" w:rsidR="00BA6B9B" w:rsidRPr="007B644C" w:rsidRDefault="00BA6B9B" w:rsidP="00F541AA">
            <w:pPr>
              <w:spacing w:before="0" w:after="0"/>
              <w:rPr>
                <w:color w:val="000000"/>
                <w:sz w:val="20"/>
                <w:lang w:val="en-AU"/>
              </w:rPr>
            </w:pPr>
            <w:r w:rsidRPr="007B644C">
              <w:rPr>
                <w:color w:val="000000"/>
                <w:sz w:val="20"/>
                <w:lang w:val="en-AU"/>
              </w:rPr>
              <w:t xml:space="preserve">               336,045 </w:t>
            </w:r>
          </w:p>
        </w:tc>
        <w:tc>
          <w:tcPr>
            <w:tcW w:w="626" w:type="pct"/>
            <w:shd w:val="clear" w:color="000000" w:fill="FF0000"/>
            <w:noWrap/>
            <w:vAlign w:val="bottom"/>
            <w:hideMark/>
          </w:tcPr>
          <w:p w14:paraId="5F22EE58" w14:textId="77777777" w:rsidR="00BA6B9B" w:rsidRPr="007B644C" w:rsidRDefault="00BA6B9B" w:rsidP="00F541AA">
            <w:pPr>
              <w:spacing w:before="0" w:after="0"/>
              <w:rPr>
                <w:color w:val="000000"/>
                <w:sz w:val="20"/>
                <w:lang w:val="en-AU"/>
              </w:rPr>
            </w:pPr>
            <w:r w:rsidRPr="007B644C">
              <w:rPr>
                <w:color w:val="000000"/>
                <w:sz w:val="20"/>
                <w:lang w:val="en-AU"/>
              </w:rPr>
              <w:t xml:space="preserve">                 47,309 </w:t>
            </w:r>
          </w:p>
        </w:tc>
        <w:tc>
          <w:tcPr>
            <w:tcW w:w="626" w:type="pct"/>
            <w:shd w:val="clear" w:color="000000" w:fill="FFC000"/>
            <w:noWrap/>
            <w:vAlign w:val="bottom"/>
            <w:hideMark/>
          </w:tcPr>
          <w:p w14:paraId="5F22EE59" w14:textId="77777777" w:rsidR="00BA6B9B" w:rsidRPr="007B644C" w:rsidRDefault="00BA6B9B" w:rsidP="00F541AA">
            <w:pPr>
              <w:spacing w:before="0" w:after="0"/>
              <w:rPr>
                <w:color w:val="000000"/>
                <w:sz w:val="20"/>
                <w:lang w:val="en-AU"/>
              </w:rPr>
            </w:pPr>
            <w:r w:rsidRPr="007B644C">
              <w:rPr>
                <w:color w:val="000000"/>
                <w:sz w:val="20"/>
                <w:lang w:val="en-AU"/>
              </w:rPr>
              <w:t xml:space="preserve">                 31,284 </w:t>
            </w:r>
          </w:p>
        </w:tc>
        <w:tc>
          <w:tcPr>
            <w:tcW w:w="647" w:type="pct"/>
            <w:shd w:val="clear" w:color="auto" w:fill="auto"/>
            <w:noWrap/>
            <w:vAlign w:val="bottom"/>
            <w:hideMark/>
          </w:tcPr>
          <w:p w14:paraId="5F22EE5A" w14:textId="77777777" w:rsidR="00BA6B9B" w:rsidRPr="007B644C" w:rsidRDefault="00BA6B9B" w:rsidP="00F541AA">
            <w:pPr>
              <w:spacing w:before="0" w:after="0"/>
              <w:rPr>
                <w:color w:val="000000"/>
                <w:sz w:val="20"/>
                <w:lang w:val="en-AU"/>
              </w:rPr>
            </w:pPr>
            <w:r w:rsidRPr="007B644C">
              <w:rPr>
                <w:color w:val="000000"/>
                <w:sz w:val="20"/>
                <w:lang w:val="en-AU"/>
              </w:rPr>
              <w:t xml:space="preserve">                    2,481 </w:t>
            </w:r>
          </w:p>
        </w:tc>
        <w:tc>
          <w:tcPr>
            <w:tcW w:w="721" w:type="pct"/>
            <w:shd w:val="clear" w:color="auto" w:fill="auto"/>
            <w:noWrap/>
            <w:vAlign w:val="bottom"/>
            <w:hideMark/>
          </w:tcPr>
          <w:p w14:paraId="5F22EE5B" w14:textId="77777777" w:rsidR="00BA6B9B" w:rsidRPr="007B644C" w:rsidRDefault="00BA6B9B" w:rsidP="00F541AA">
            <w:pPr>
              <w:spacing w:before="0" w:after="0"/>
              <w:rPr>
                <w:color w:val="000000"/>
                <w:sz w:val="20"/>
                <w:lang w:val="en-AU"/>
              </w:rPr>
            </w:pPr>
            <w:r w:rsidRPr="007B644C">
              <w:rPr>
                <w:color w:val="000000"/>
                <w:sz w:val="20"/>
                <w:lang w:val="en-AU"/>
              </w:rPr>
              <w:t xml:space="preserve">                           -   </w:t>
            </w:r>
          </w:p>
        </w:tc>
      </w:tr>
      <w:tr w:rsidR="00BA6B9B" w:rsidRPr="003A77F5" w14:paraId="5F22EE65" w14:textId="77777777" w:rsidTr="005A7F56">
        <w:trPr>
          <w:trHeight w:val="20"/>
          <w:jc w:val="center"/>
        </w:trPr>
        <w:tc>
          <w:tcPr>
            <w:tcW w:w="516" w:type="pct"/>
            <w:vMerge/>
            <w:vAlign w:val="center"/>
            <w:hideMark/>
          </w:tcPr>
          <w:p w14:paraId="5F22EE5D" w14:textId="77777777" w:rsidR="00BA6B9B" w:rsidRPr="007B644C" w:rsidRDefault="00BA6B9B" w:rsidP="00F541AA">
            <w:pPr>
              <w:spacing w:before="0" w:after="0"/>
              <w:rPr>
                <w:rFonts w:cs="Arial"/>
                <w:b/>
                <w:bCs/>
                <w:color w:val="000000"/>
                <w:sz w:val="20"/>
                <w:lang w:val="en-AU"/>
              </w:rPr>
            </w:pPr>
          </w:p>
        </w:tc>
        <w:tc>
          <w:tcPr>
            <w:tcW w:w="607" w:type="pct"/>
            <w:shd w:val="clear" w:color="auto" w:fill="auto"/>
            <w:noWrap/>
            <w:vAlign w:val="center"/>
            <w:hideMark/>
          </w:tcPr>
          <w:p w14:paraId="5F22EE5E" w14:textId="77777777" w:rsidR="00BA6B9B" w:rsidRPr="007B644C" w:rsidRDefault="00BA6B9B" w:rsidP="00F541AA">
            <w:pPr>
              <w:spacing w:before="0" w:after="0"/>
              <w:rPr>
                <w:color w:val="000000"/>
                <w:sz w:val="20"/>
                <w:lang w:val="en-AU"/>
              </w:rPr>
            </w:pPr>
            <w:r w:rsidRPr="007B644C">
              <w:rPr>
                <w:color w:val="000000"/>
                <w:sz w:val="20"/>
                <w:lang w:val="en-AU"/>
              </w:rPr>
              <w:t>O'Connell</w:t>
            </w:r>
          </w:p>
        </w:tc>
        <w:tc>
          <w:tcPr>
            <w:tcW w:w="630" w:type="pct"/>
            <w:shd w:val="clear" w:color="auto" w:fill="auto"/>
            <w:noWrap/>
            <w:vAlign w:val="bottom"/>
            <w:hideMark/>
          </w:tcPr>
          <w:p w14:paraId="5F22EE5F" w14:textId="77777777" w:rsidR="00BA6B9B" w:rsidRPr="007B644C" w:rsidRDefault="00BA6B9B" w:rsidP="00F541AA">
            <w:pPr>
              <w:spacing w:before="0" w:after="0"/>
              <w:rPr>
                <w:color w:val="000000"/>
                <w:sz w:val="20"/>
                <w:lang w:val="en-AU"/>
              </w:rPr>
            </w:pPr>
            <w:r w:rsidRPr="007B644C">
              <w:rPr>
                <w:color w:val="000000"/>
                <w:sz w:val="20"/>
                <w:lang w:val="en-AU"/>
              </w:rPr>
              <w:t xml:space="preserve">               137,245 </w:t>
            </w:r>
          </w:p>
        </w:tc>
        <w:tc>
          <w:tcPr>
            <w:tcW w:w="626" w:type="pct"/>
            <w:shd w:val="clear" w:color="000000" w:fill="FF0000"/>
            <w:noWrap/>
            <w:vAlign w:val="bottom"/>
            <w:hideMark/>
          </w:tcPr>
          <w:p w14:paraId="5F22EE60" w14:textId="77777777" w:rsidR="00BA6B9B" w:rsidRPr="007B644C" w:rsidRDefault="00BA6B9B" w:rsidP="00F541AA">
            <w:pPr>
              <w:spacing w:before="0" w:after="0"/>
              <w:rPr>
                <w:color w:val="000000"/>
                <w:sz w:val="20"/>
                <w:lang w:val="en-AU"/>
              </w:rPr>
            </w:pPr>
            <w:r w:rsidRPr="007B644C">
              <w:rPr>
                <w:color w:val="000000"/>
                <w:sz w:val="20"/>
                <w:lang w:val="en-AU"/>
              </w:rPr>
              <w:t xml:space="preserve">               568,859 </w:t>
            </w:r>
          </w:p>
        </w:tc>
        <w:tc>
          <w:tcPr>
            <w:tcW w:w="626" w:type="pct"/>
            <w:shd w:val="clear" w:color="000000" w:fill="FFFF00"/>
            <w:noWrap/>
            <w:vAlign w:val="bottom"/>
            <w:hideMark/>
          </w:tcPr>
          <w:p w14:paraId="5F22EE61" w14:textId="77777777" w:rsidR="00BA6B9B" w:rsidRPr="007B644C" w:rsidRDefault="00BA6B9B" w:rsidP="00F541AA">
            <w:pPr>
              <w:spacing w:before="0" w:after="0"/>
              <w:rPr>
                <w:color w:val="000000"/>
                <w:sz w:val="20"/>
                <w:lang w:val="en-AU"/>
              </w:rPr>
            </w:pPr>
            <w:r w:rsidRPr="007B644C">
              <w:rPr>
                <w:color w:val="000000"/>
                <w:sz w:val="20"/>
                <w:lang w:val="en-AU"/>
              </w:rPr>
              <w:t xml:space="preserve">               261,755 </w:t>
            </w:r>
          </w:p>
        </w:tc>
        <w:tc>
          <w:tcPr>
            <w:tcW w:w="626" w:type="pct"/>
            <w:shd w:val="clear" w:color="auto" w:fill="auto"/>
            <w:noWrap/>
            <w:vAlign w:val="bottom"/>
            <w:hideMark/>
          </w:tcPr>
          <w:p w14:paraId="5F22EE62" w14:textId="77777777" w:rsidR="00BA6B9B" w:rsidRPr="007B644C" w:rsidRDefault="00BA6B9B" w:rsidP="00F541AA">
            <w:pPr>
              <w:spacing w:before="0" w:after="0"/>
              <w:rPr>
                <w:color w:val="000000"/>
                <w:sz w:val="20"/>
                <w:lang w:val="en-AU"/>
              </w:rPr>
            </w:pPr>
            <w:r w:rsidRPr="007B644C">
              <w:rPr>
                <w:color w:val="000000"/>
                <w:sz w:val="20"/>
                <w:lang w:val="en-AU"/>
              </w:rPr>
              <w:t xml:space="preserve">               102,193 </w:t>
            </w:r>
          </w:p>
        </w:tc>
        <w:tc>
          <w:tcPr>
            <w:tcW w:w="647" w:type="pct"/>
            <w:shd w:val="clear" w:color="auto" w:fill="auto"/>
            <w:noWrap/>
            <w:vAlign w:val="bottom"/>
            <w:hideMark/>
          </w:tcPr>
          <w:p w14:paraId="5F22EE63" w14:textId="77777777" w:rsidR="00BA6B9B" w:rsidRPr="007B644C" w:rsidRDefault="00BA6B9B" w:rsidP="00F541AA">
            <w:pPr>
              <w:spacing w:before="0" w:after="0"/>
              <w:rPr>
                <w:color w:val="000000"/>
                <w:sz w:val="20"/>
                <w:lang w:val="en-AU"/>
              </w:rPr>
            </w:pPr>
            <w:r w:rsidRPr="007B644C">
              <w:rPr>
                <w:color w:val="000000"/>
                <w:sz w:val="20"/>
                <w:lang w:val="en-AU"/>
              </w:rPr>
              <w:t xml:space="preserve">                 86,110 </w:t>
            </w:r>
          </w:p>
        </w:tc>
        <w:tc>
          <w:tcPr>
            <w:tcW w:w="721" w:type="pct"/>
            <w:shd w:val="clear" w:color="auto" w:fill="auto"/>
            <w:noWrap/>
            <w:vAlign w:val="bottom"/>
            <w:hideMark/>
          </w:tcPr>
          <w:p w14:paraId="5F22EE64" w14:textId="77777777" w:rsidR="00BA6B9B" w:rsidRPr="007B644C" w:rsidRDefault="00BA6B9B" w:rsidP="00F541AA">
            <w:pPr>
              <w:spacing w:before="0" w:after="0"/>
              <w:rPr>
                <w:color w:val="000000"/>
                <w:sz w:val="20"/>
                <w:lang w:val="en-AU"/>
              </w:rPr>
            </w:pPr>
            <w:r w:rsidRPr="007B644C">
              <w:rPr>
                <w:color w:val="000000"/>
                <w:sz w:val="20"/>
                <w:lang w:val="en-AU"/>
              </w:rPr>
              <w:t xml:space="preserve">                 19,451 </w:t>
            </w:r>
          </w:p>
        </w:tc>
      </w:tr>
      <w:tr w:rsidR="00BA6B9B" w:rsidRPr="003A77F5" w14:paraId="5F22EE6E" w14:textId="77777777" w:rsidTr="005A7F56">
        <w:trPr>
          <w:trHeight w:val="20"/>
          <w:jc w:val="center"/>
        </w:trPr>
        <w:tc>
          <w:tcPr>
            <w:tcW w:w="516" w:type="pct"/>
            <w:vMerge/>
            <w:vAlign w:val="center"/>
            <w:hideMark/>
          </w:tcPr>
          <w:p w14:paraId="5F22EE66" w14:textId="77777777" w:rsidR="00BA6B9B" w:rsidRPr="007B644C" w:rsidRDefault="00BA6B9B" w:rsidP="00F541AA">
            <w:pPr>
              <w:spacing w:before="0" w:after="0"/>
              <w:rPr>
                <w:rFonts w:cs="Arial"/>
                <w:b/>
                <w:bCs/>
                <w:color w:val="000000"/>
                <w:sz w:val="20"/>
                <w:lang w:val="en-AU"/>
              </w:rPr>
            </w:pPr>
          </w:p>
        </w:tc>
        <w:tc>
          <w:tcPr>
            <w:tcW w:w="607" w:type="pct"/>
            <w:shd w:val="clear" w:color="auto" w:fill="auto"/>
            <w:noWrap/>
            <w:vAlign w:val="center"/>
            <w:hideMark/>
          </w:tcPr>
          <w:p w14:paraId="5F22EE67" w14:textId="77777777" w:rsidR="00BA6B9B" w:rsidRPr="007B644C" w:rsidRDefault="00BA6B9B" w:rsidP="00F541AA">
            <w:pPr>
              <w:spacing w:before="0" w:after="0"/>
              <w:rPr>
                <w:color w:val="000000"/>
                <w:sz w:val="20"/>
                <w:lang w:val="en-AU"/>
              </w:rPr>
            </w:pPr>
            <w:r w:rsidRPr="007B644C">
              <w:rPr>
                <w:color w:val="000000"/>
                <w:sz w:val="20"/>
                <w:lang w:val="en-AU"/>
              </w:rPr>
              <w:t>Pioneer</w:t>
            </w:r>
          </w:p>
        </w:tc>
        <w:tc>
          <w:tcPr>
            <w:tcW w:w="630" w:type="pct"/>
            <w:shd w:val="clear" w:color="auto" w:fill="auto"/>
            <w:noWrap/>
            <w:vAlign w:val="bottom"/>
            <w:hideMark/>
          </w:tcPr>
          <w:p w14:paraId="5F22EE68" w14:textId="77777777" w:rsidR="00BA6B9B" w:rsidRPr="007B644C" w:rsidRDefault="00BA6B9B" w:rsidP="00F541AA">
            <w:pPr>
              <w:spacing w:before="0" w:after="0"/>
              <w:rPr>
                <w:color w:val="000000"/>
                <w:sz w:val="20"/>
                <w:lang w:val="en-AU"/>
              </w:rPr>
            </w:pPr>
            <w:r w:rsidRPr="007B644C">
              <w:rPr>
                <w:color w:val="000000"/>
                <w:sz w:val="20"/>
                <w:lang w:val="en-AU"/>
              </w:rPr>
              <w:t xml:space="preserve">               214,496 </w:t>
            </w:r>
          </w:p>
        </w:tc>
        <w:tc>
          <w:tcPr>
            <w:tcW w:w="626" w:type="pct"/>
            <w:shd w:val="clear" w:color="000000" w:fill="FF0000"/>
            <w:noWrap/>
            <w:vAlign w:val="bottom"/>
            <w:hideMark/>
          </w:tcPr>
          <w:p w14:paraId="5F22EE69" w14:textId="77777777" w:rsidR="00BA6B9B" w:rsidRPr="007B644C" w:rsidRDefault="00BA6B9B" w:rsidP="00F541AA">
            <w:pPr>
              <w:spacing w:before="0" w:after="0"/>
              <w:rPr>
                <w:color w:val="000000"/>
                <w:sz w:val="20"/>
                <w:lang w:val="en-AU"/>
              </w:rPr>
            </w:pPr>
            <w:r w:rsidRPr="007B644C">
              <w:rPr>
                <w:color w:val="000000"/>
                <w:sz w:val="20"/>
                <w:lang w:val="en-AU"/>
              </w:rPr>
              <w:t xml:space="preserve">           3,110,184 </w:t>
            </w:r>
          </w:p>
        </w:tc>
        <w:tc>
          <w:tcPr>
            <w:tcW w:w="626" w:type="pct"/>
            <w:shd w:val="clear" w:color="000000" w:fill="FF0000"/>
            <w:noWrap/>
            <w:vAlign w:val="bottom"/>
            <w:hideMark/>
          </w:tcPr>
          <w:p w14:paraId="5F22EE6A" w14:textId="77777777" w:rsidR="00BA6B9B" w:rsidRPr="007B644C" w:rsidRDefault="00BA6B9B" w:rsidP="00F541AA">
            <w:pPr>
              <w:spacing w:before="0" w:after="0"/>
              <w:rPr>
                <w:color w:val="000000"/>
                <w:sz w:val="20"/>
                <w:lang w:val="en-AU"/>
              </w:rPr>
            </w:pPr>
            <w:r w:rsidRPr="007B644C">
              <w:rPr>
                <w:color w:val="000000"/>
                <w:sz w:val="20"/>
                <w:lang w:val="en-AU"/>
              </w:rPr>
              <w:t xml:space="preserve">           1,109,102 </w:t>
            </w:r>
          </w:p>
        </w:tc>
        <w:tc>
          <w:tcPr>
            <w:tcW w:w="626" w:type="pct"/>
            <w:shd w:val="clear" w:color="000000" w:fill="FF0000"/>
            <w:noWrap/>
            <w:vAlign w:val="bottom"/>
            <w:hideMark/>
          </w:tcPr>
          <w:p w14:paraId="5F22EE6B" w14:textId="77777777" w:rsidR="00BA6B9B" w:rsidRPr="007B644C" w:rsidRDefault="00BA6B9B" w:rsidP="00F541AA">
            <w:pPr>
              <w:spacing w:before="0" w:after="0"/>
              <w:rPr>
                <w:color w:val="000000"/>
                <w:sz w:val="20"/>
                <w:lang w:val="en-AU"/>
              </w:rPr>
            </w:pPr>
            <w:r w:rsidRPr="007B644C">
              <w:rPr>
                <w:color w:val="000000"/>
                <w:sz w:val="20"/>
                <w:lang w:val="en-AU"/>
              </w:rPr>
              <w:t xml:space="preserve">               933,400 </w:t>
            </w:r>
          </w:p>
        </w:tc>
        <w:tc>
          <w:tcPr>
            <w:tcW w:w="647" w:type="pct"/>
            <w:shd w:val="clear" w:color="000000" w:fill="FFC000"/>
            <w:noWrap/>
            <w:vAlign w:val="bottom"/>
            <w:hideMark/>
          </w:tcPr>
          <w:p w14:paraId="5F22EE6C" w14:textId="77777777" w:rsidR="00BA6B9B" w:rsidRPr="007B644C" w:rsidRDefault="00BA6B9B" w:rsidP="00F541AA">
            <w:pPr>
              <w:spacing w:before="0" w:after="0"/>
              <w:rPr>
                <w:color w:val="000000"/>
                <w:sz w:val="20"/>
                <w:lang w:val="en-AU"/>
              </w:rPr>
            </w:pPr>
            <w:r w:rsidRPr="007B644C">
              <w:rPr>
                <w:color w:val="000000"/>
                <w:sz w:val="20"/>
                <w:lang w:val="en-AU"/>
              </w:rPr>
              <w:t xml:space="preserve">               503,558 </w:t>
            </w:r>
          </w:p>
        </w:tc>
        <w:tc>
          <w:tcPr>
            <w:tcW w:w="721" w:type="pct"/>
            <w:shd w:val="clear" w:color="auto" w:fill="auto"/>
            <w:noWrap/>
            <w:vAlign w:val="bottom"/>
            <w:hideMark/>
          </w:tcPr>
          <w:p w14:paraId="5F22EE6D" w14:textId="77777777" w:rsidR="00BA6B9B" w:rsidRPr="007B644C" w:rsidRDefault="00BA6B9B" w:rsidP="00F541AA">
            <w:pPr>
              <w:spacing w:before="0" w:after="0"/>
              <w:rPr>
                <w:color w:val="000000"/>
                <w:sz w:val="20"/>
                <w:lang w:val="en-AU"/>
              </w:rPr>
            </w:pPr>
            <w:r w:rsidRPr="007B644C">
              <w:rPr>
                <w:color w:val="000000"/>
                <w:sz w:val="20"/>
                <w:lang w:val="en-AU"/>
              </w:rPr>
              <w:t xml:space="preserve">                 91,079 </w:t>
            </w:r>
          </w:p>
        </w:tc>
      </w:tr>
      <w:tr w:rsidR="00BA6B9B" w:rsidRPr="003A77F5" w14:paraId="5F22EE77" w14:textId="77777777" w:rsidTr="005A7F56">
        <w:trPr>
          <w:trHeight w:val="20"/>
          <w:jc w:val="center"/>
        </w:trPr>
        <w:tc>
          <w:tcPr>
            <w:tcW w:w="516" w:type="pct"/>
            <w:vMerge/>
            <w:vAlign w:val="center"/>
            <w:hideMark/>
          </w:tcPr>
          <w:p w14:paraId="5F22EE6F" w14:textId="77777777" w:rsidR="00BA6B9B" w:rsidRPr="007B644C" w:rsidRDefault="00BA6B9B" w:rsidP="00F541AA">
            <w:pPr>
              <w:spacing w:before="0" w:after="0"/>
              <w:rPr>
                <w:rFonts w:cs="Arial"/>
                <w:b/>
                <w:bCs/>
                <w:color w:val="000000"/>
                <w:sz w:val="20"/>
                <w:lang w:val="en-AU"/>
              </w:rPr>
            </w:pPr>
          </w:p>
        </w:tc>
        <w:tc>
          <w:tcPr>
            <w:tcW w:w="607" w:type="pct"/>
            <w:shd w:val="clear" w:color="auto" w:fill="auto"/>
            <w:noWrap/>
            <w:vAlign w:val="center"/>
            <w:hideMark/>
          </w:tcPr>
          <w:p w14:paraId="5F22EE70" w14:textId="77777777" w:rsidR="00BA6B9B" w:rsidRPr="007B644C" w:rsidRDefault="00BA6B9B" w:rsidP="00F541AA">
            <w:pPr>
              <w:spacing w:before="0" w:after="0"/>
              <w:rPr>
                <w:color w:val="000000"/>
                <w:sz w:val="20"/>
                <w:lang w:val="en-AU"/>
              </w:rPr>
            </w:pPr>
            <w:r w:rsidRPr="007B644C">
              <w:rPr>
                <w:color w:val="000000"/>
                <w:sz w:val="20"/>
                <w:lang w:val="en-AU"/>
              </w:rPr>
              <w:t>Sandy</w:t>
            </w:r>
          </w:p>
        </w:tc>
        <w:tc>
          <w:tcPr>
            <w:tcW w:w="630" w:type="pct"/>
            <w:shd w:val="clear" w:color="auto" w:fill="auto"/>
            <w:noWrap/>
            <w:vAlign w:val="bottom"/>
            <w:hideMark/>
          </w:tcPr>
          <w:p w14:paraId="5F22EE71" w14:textId="77777777" w:rsidR="00BA6B9B" w:rsidRPr="007B644C" w:rsidRDefault="00BA6B9B" w:rsidP="00F541AA">
            <w:pPr>
              <w:spacing w:before="0" w:after="0"/>
              <w:rPr>
                <w:color w:val="000000"/>
                <w:sz w:val="20"/>
                <w:lang w:val="en-AU"/>
              </w:rPr>
            </w:pPr>
            <w:r w:rsidRPr="007B644C">
              <w:rPr>
                <w:color w:val="000000"/>
                <w:sz w:val="20"/>
                <w:lang w:val="en-AU"/>
              </w:rPr>
              <w:t xml:space="preserve">               111,143 </w:t>
            </w:r>
          </w:p>
        </w:tc>
        <w:tc>
          <w:tcPr>
            <w:tcW w:w="626" w:type="pct"/>
            <w:shd w:val="clear" w:color="000000" w:fill="FF0000"/>
            <w:noWrap/>
            <w:vAlign w:val="bottom"/>
            <w:hideMark/>
          </w:tcPr>
          <w:p w14:paraId="5F22EE72" w14:textId="77777777" w:rsidR="00BA6B9B" w:rsidRPr="007B644C" w:rsidRDefault="00BA6B9B" w:rsidP="00F541AA">
            <w:pPr>
              <w:spacing w:before="0" w:after="0"/>
              <w:rPr>
                <w:color w:val="000000"/>
                <w:sz w:val="20"/>
                <w:lang w:val="en-AU"/>
              </w:rPr>
            </w:pPr>
            <w:r w:rsidRPr="007B644C">
              <w:rPr>
                <w:color w:val="000000"/>
                <w:sz w:val="20"/>
                <w:lang w:val="en-AU"/>
              </w:rPr>
              <w:t xml:space="preserve">               608,377 </w:t>
            </w:r>
          </w:p>
        </w:tc>
        <w:tc>
          <w:tcPr>
            <w:tcW w:w="626" w:type="pct"/>
            <w:shd w:val="clear" w:color="000000" w:fill="FF0000"/>
            <w:noWrap/>
            <w:vAlign w:val="bottom"/>
            <w:hideMark/>
          </w:tcPr>
          <w:p w14:paraId="5F22EE73" w14:textId="77777777" w:rsidR="00BA6B9B" w:rsidRPr="007B644C" w:rsidRDefault="00BA6B9B" w:rsidP="00F541AA">
            <w:pPr>
              <w:spacing w:before="0" w:after="0"/>
              <w:rPr>
                <w:color w:val="000000"/>
                <w:sz w:val="20"/>
                <w:lang w:val="en-AU"/>
              </w:rPr>
            </w:pPr>
            <w:r w:rsidRPr="007B644C">
              <w:rPr>
                <w:color w:val="000000"/>
                <w:sz w:val="20"/>
                <w:lang w:val="en-AU"/>
              </w:rPr>
              <w:t xml:space="preserve">               342,215 </w:t>
            </w:r>
          </w:p>
        </w:tc>
        <w:tc>
          <w:tcPr>
            <w:tcW w:w="626" w:type="pct"/>
            <w:shd w:val="clear" w:color="000000" w:fill="FFC000"/>
            <w:noWrap/>
            <w:vAlign w:val="bottom"/>
            <w:hideMark/>
          </w:tcPr>
          <w:p w14:paraId="5F22EE74" w14:textId="77777777" w:rsidR="00BA6B9B" w:rsidRPr="007B644C" w:rsidRDefault="00BA6B9B" w:rsidP="00F541AA">
            <w:pPr>
              <w:spacing w:before="0" w:after="0"/>
              <w:rPr>
                <w:color w:val="000000"/>
                <w:sz w:val="20"/>
                <w:lang w:val="en-AU"/>
              </w:rPr>
            </w:pPr>
            <w:r w:rsidRPr="007B644C">
              <w:rPr>
                <w:color w:val="000000"/>
                <w:sz w:val="20"/>
                <w:lang w:val="en-AU"/>
              </w:rPr>
              <w:t xml:space="preserve">               244,717 </w:t>
            </w:r>
          </w:p>
        </w:tc>
        <w:tc>
          <w:tcPr>
            <w:tcW w:w="647" w:type="pct"/>
            <w:shd w:val="clear" w:color="auto" w:fill="auto"/>
            <w:noWrap/>
            <w:vAlign w:val="bottom"/>
            <w:hideMark/>
          </w:tcPr>
          <w:p w14:paraId="5F22EE75" w14:textId="77777777" w:rsidR="00BA6B9B" w:rsidRPr="007B644C" w:rsidRDefault="00BA6B9B" w:rsidP="00F541AA">
            <w:pPr>
              <w:spacing w:before="0" w:after="0"/>
              <w:rPr>
                <w:color w:val="000000"/>
                <w:sz w:val="20"/>
                <w:lang w:val="en-AU"/>
              </w:rPr>
            </w:pPr>
            <w:r w:rsidRPr="007B644C">
              <w:rPr>
                <w:color w:val="000000"/>
                <w:sz w:val="20"/>
                <w:lang w:val="en-AU"/>
              </w:rPr>
              <w:t xml:space="preserve">                 88,778 </w:t>
            </w:r>
          </w:p>
        </w:tc>
        <w:tc>
          <w:tcPr>
            <w:tcW w:w="721" w:type="pct"/>
            <w:shd w:val="clear" w:color="auto" w:fill="auto"/>
            <w:noWrap/>
            <w:vAlign w:val="bottom"/>
            <w:hideMark/>
          </w:tcPr>
          <w:p w14:paraId="5F22EE76" w14:textId="77777777" w:rsidR="00BA6B9B" w:rsidRPr="007B644C" w:rsidRDefault="00BA6B9B" w:rsidP="00F541AA">
            <w:pPr>
              <w:spacing w:before="0" w:after="0"/>
              <w:rPr>
                <w:color w:val="000000"/>
                <w:sz w:val="20"/>
                <w:lang w:val="en-AU"/>
              </w:rPr>
            </w:pPr>
            <w:r w:rsidRPr="007B644C">
              <w:rPr>
                <w:color w:val="000000"/>
                <w:sz w:val="20"/>
                <w:lang w:val="en-AU"/>
              </w:rPr>
              <w:t xml:space="preserve">                 29,229 </w:t>
            </w:r>
          </w:p>
        </w:tc>
      </w:tr>
      <w:tr w:rsidR="00BA6B9B" w:rsidRPr="003A77F5" w14:paraId="5F22EE80" w14:textId="77777777" w:rsidTr="005A7F56">
        <w:trPr>
          <w:trHeight w:val="20"/>
          <w:jc w:val="center"/>
        </w:trPr>
        <w:tc>
          <w:tcPr>
            <w:tcW w:w="516" w:type="pct"/>
            <w:vMerge/>
            <w:vAlign w:val="center"/>
            <w:hideMark/>
          </w:tcPr>
          <w:p w14:paraId="5F22EE78" w14:textId="77777777" w:rsidR="00BA6B9B" w:rsidRPr="007B644C" w:rsidRDefault="00BA6B9B" w:rsidP="00F541AA">
            <w:pPr>
              <w:spacing w:before="0" w:after="0"/>
              <w:rPr>
                <w:rFonts w:cs="Arial"/>
                <w:b/>
                <w:bCs/>
                <w:color w:val="000000"/>
                <w:sz w:val="20"/>
                <w:lang w:val="en-AU"/>
              </w:rPr>
            </w:pPr>
          </w:p>
        </w:tc>
        <w:tc>
          <w:tcPr>
            <w:tcW w:w="607" w:type="pct"/>
            <w:shd w:val="clear" w:color="auto" w:fill="auto"/>
            <w:noWrap/>
            <w:vAlign w:val="center"/>
            <w:hideMark/>
          </w:tcPr>
          <w:p w14:paraId="5F22EE79" w14:textId="77777777" w:rsidR="00BA6B9B" w:rsidRPr="007B644C" w:rsidRDefault="00BA6B9B" w:rsidP="00F541AA">
            <w:pPr>
              <w:spacing w:before="0" w:after="0"/>
              <w:rPr>
                <w:color w:val="000000"/>
                <w:sz w:val="20"/>
                <w:lang w:val="en-AU"/>
              </w:rPr>
            </w:pPr>
            <w:r w:rsidRPr="007B644C">
              <w:rPr>
                <w:color w:val="000000"/>
                <w:sz w:val="20"/>
                <w:lang w:val="en-AU"/>
              </w:rPr>
              <w:t>Carmila</w:t>
            </w:r>
          </w:p>
        </w:tc>
        <w:tc>
          <w:tcPr>
            <w:tcW w:w="630" w:type="pct"/>
            <w:shd w:val="clear" w:color="auto" w:fill="auto"/>
            <w:noWrap/>
            <w:vAlign w:val="bottom"/>
            <w:hideMark/>
          </w:tcPr>
          <w:p w14:paraId="5F22EE7A" w14:textId="77777777" w:rsidR="00BA6B9B" w:rsidRPr="007B644C" w:rsidRDefault="00BA6B9B" w:rsidP="00F541AA">
            <w:pPr>
              <w:spacing w:before="0" w:after="0"/>
              <w:rPr>
                <w:color w:val="000000"/>
                <w:sz w:val="20"/>
                <w:lang w:val="en-AU"/>
              </w:rPr>
            </w:pPr>
            <w:r w:rsidRPr="007B644C">
              <w:rPr>
                <w:color w:val="000000"/>
                <w:sz w:val="20"/>
                <w:lang w:val="en-AU"/>
              </w:rPr>
              <w:t xml:space="preserve">                 29,863 </w:t>
            </w:r>
          </w:p>
        </w:tc>
        <w:tc>
          <w:tcPr>
            <w:tcW w:w="626" w:type="pct"/>
            <w:shd w:val="clear" w:color="000000" w:fill="FFC000"/>
            <w:noWrap/>
            <w:vAlign w:val="bottom"/>
            <w:hideMark/>
          </w:tcPr>
          <w:p w14:paraId="5F22EE7B" w14:textId="77777777" w:rsidR="00BA6B9B" w:rsidRPr="007B644C" w:rsidRDefault="00BA6B9B" w:rsidP="00F541AA">
            <w:pPr>
              <w:spacing w:before="0" w:after="0"/>
              <w:rPr>
                <w:color w:val="000000"/>
                <w:sz w:val="20"/>
                <w:lang w:val="en-AU"/>
              </w:rPr>
            </w:pPr>
            <w:r w:rsidRPr="007B644C">
              <w:rPr>
                <w:color w:val="000000"/>
                <w:sz w:val="20"/>
                <w:lang w:val="en-AU"/>
              </w:rPr>
              <w:t xml:space="preserve">                 84,405 </w:t>
            </w:r>
          </w:p>
        </w:tc>
        <w:tc>
          <w:tcPr>
            <w:tcW w:w="626" w:type="pct"/>
            <w:shd w:val="clear" w:color="000000" w:fill="FFFF00"/>
            <w:noWrap/>
            <w:vAlign w:val="bottom"/>
            <w:hideMark/>
          </w:tcPr>
          <w:p w14:paraId="5F22EE7C" w14:textId="77777777" w:rsidR="00BA6B9B" w:rsidRPr="007B644C" w:rsidRDefault="00BA6B9B" w:rsidP="00F541AA">
            <w:pPr>
              <w:spacing w:before="0" w:after="0"/>
              <w:rPr>
                <w:color w:val="000000"/>
                <w:sz w:val="20"/>
                <w:lang w:val="en-AU"/>
              </w:rPr>
            </w:pPr>
            <w:r w:rsidRPr="007B644C">
              <w:rPr>
                <w:color w:val="000000"/>
                <w:sz w:val="20"/>
                <w:lang w:val="en-AU"/>
              </w:rPr>
              <w:t xml:space="preserve">                 53,424 </w:t>
            </w:r>
          </w:p>
        </w:tc>
        <w:tc>
          <w:tcPr>
            <w:tcW w:w="626" w:type="pct"/>
            <w:shd w:val="clear" w:color="auto" w:fill="auto"/>
            <w:noWrap/>
            <w:vAlign w:val="bottom"/>
            <w:hideMark/>
          </w:tcPr>
          <w:p w14:paraId="5F22EE7D" w14:textId="77777777" w:rsidR="00BA6B9B" w:rsidRPr="007B644C" w:rsidRDefault="00BA6B9B" w:rsidP="00F541AA">
            <w:pPr>
              <w:spacing w:before="0" w:after="0"/>
              <w:rPr>
                <w:color w:val="000000"/>
                <w:sz w:val="20"/>
                <w:lang w:val="en-AU"/>
              </w:rPr>
            </w:pPr>
            <w:r w:rsidRPr="007B644C">
              <w:rPr>
                <w:color w:val="000000"/>
                <w:sz w:val="20"/>
                <w:lang w:val="en-AU"/>
              </w:rPr>
              <w:t xml:space="preserve">                 42,330 </w:t>
            </w:r>
          </w:p>
        </w:tc>
        <w:tc>
          <w:tcPr>
            <w:tcW w:w="647" w:type="pct"/>
            <w:shd w:val="clear" w:color="auto" w:fill="auto"/>
            <w:noWrap/>
            <w:vAlign w:val="bottom"/>
            <w:hideMark/>
          </w:tcPr>
          <w:p w14:paraId="5F22EE7E" w14:textId="77777777" w:rsidR="00BA6B9B" w:rsidRPr="007B644C" w:rsidRDefault="00BA6B9B" w:rsidP="00F541AA">
            <w:pPr>
              <w:spacing w:before="0" w:after="0"/>
              <w:rPr>
                <w:color w:val="000000"/>
                <w:sz w:val="20"/>
                <w:lang w:val="en-AU"/>
              </w:rPr>
            </w:pPr>
            <w:r w:rsidRPr="007B644C">
              <w:rPr>
                <w:color w:val="000000"/>
                <w:sz w:val="20"/>
                <w:lang w:val="en-AU"/>
              </w:rPr>
              <w:t xml:space="preserve">                 24,824 </w:t>
            </w:r>
          </w:p>
        </w:tc>
        <w:tc>
          <w:tcPr>
            <w:tcW w:w="721" w:type="pct"/>
            <w:shd w:val="clear" w:color="auto" w:fill="auto"/>
            <w:noWrap/>
            <w:vAlign w:val="bottom"/>
            <w:hideMark/>
          </w:tcPr>
          <w:p w14:paraId="5F22EE7F" w14:textId="77777777" w:rsidR="00BA6B9B" w:rsidRPr="007B644C" w:rsidRDefault="00BA6B9B" w:rsidP="00F541AA">
            <w:pPr>
              <w:spacing w:before="0" w:after="0"/>
              <w:rPr>
                <w:color w:val="000000"/>
                <w:sz w:val="20"/>
                <w:lang w:val="en-AU"/>
              </w:rPr>
            </w:pPr>
            <w:r w:rsidRPr="007B644C">
              <w:rPr>
                <w:color w:val="000000"/>
                <w:sz w:val="20"/>
                <w:lang w:val="en-AU"/>
              </w:rPr>
              <w:t xml:space="preserve">                    3,252 </w:t>
            </w:r>
          </w:p>
        </w:tc>
      </w:tr>
      <w:tr w:rsidR="00BA6B9B" w:rsidRPr="003A77F5" w14:paraId="5F22EE89" w14:textId="77777777" w:rsidTr="005A7F56">
        <w:trPr>
          <w:trHeight w:val="20"/>
          <w:jc w:val="center"/>
        </w:trPr>
        <w:tc>
          <w:tcPr>
            <w:tcW w:w="516" w:type="pct"/>
            <w:shd w:val="clear" w:color="auto" w:fill="auto"/>
            <w:vAlign w:val="center"/>
            <w:hideMark/>
          </w:tcPr>
          <w:p w14:paraId="5F22EE81" w14:textId="77777777" w:rsidR="00BA6B9B" w:rsidRPr="007B644C" w:rsidRDefault="00BA6B9B" w:rsidP="00F541AA">
            <w:pPr>
              <w:spacing w:before="0" w:after="0"/>
              <w:rPr>
                <w:rFonts w:cs="Arial"/>
                <w:b/>
                <w:bCs/>
                <w:color w:val="000000"/>
                <w:sz w:val="20"/>
                <w:lang w:val="en-AU"/>
              </w:rPr>
            </w:pPr>
            <w:r w:rsidRPr="007B644C">
              <w:rPr>
                <w:rFonts w:cs="Arial"/>
                <w:b/>
                <w:bCs/>
                <w:color w:val="000000"/>
                <w:sz w:val="20"/>
                <w:lang w:val="en-AU"/>
              </w:rPr>
              <w:t>Fitzroy</w:t>
            </w:r>
          </w:p>
        </w:tc>
        <w:tc>
          <w:tcPr>
            <w:tcW w:w="607" w:type="pct"/>
            <w:shd w:val="clear" w:color="auto" w:fill="auto"/>
            <w:noWrap/>
            <w:vAlign w:val="center"/>
            <w:hideMark/>
          </w:tcPr>
          <w:p w14:paraId="5F22EE82" w14:textId="77777777" w:rsidR="00BA6B9B" w:rsidRPr="007B644C" w:rsidRDefault="00BA6B9B" w:rsidP="00F541AA">
            <w:pPr>
              <w:spacing w:before="0" w:after="0"/>
              <w:rPr>
                <w:color w:val="000000"/>
                <w:sz w:val="20"/>
                <w:lang w:val="en-AU"/>
              </w:rPr>
            </w:pPr>
            <w:r w:rsidRPr="007B644C">
              <w:rPr>
                <w:color w:val="000000"/>
                <w:sz w:val="20"/>
                <w:lang w:val="en-AU"/>
              </w:rPr>
              <w:t>Fitzroy</w:t>
            </w:r>
          </w:p>
        </w:tc>
        <w:tc>
          <w:tcPr>
            <w:tcW w:w="630" w:type="pct"/>
            <w:shd w:val="clear" w:color="auto" w:fill="auto"/>
            <w:noWrap/>
            <w:vAlign w:val="bottom"/>
            <w:hideMark/>
          </w:tcPr>
          <w:p w14:paraId="5F22EE83" w14:textId="77777777" w:rsidR="00BA6B9B" w:rsidRPr="007B644C" w:rsidRDefault="00BA6B9B" w:rsidP="00F541AA">
            <w:pPr>
              <w:spacing w:before="0" w:after="0"/>
              <w:rPr>
                <w:color w:val="000000"/>
                <w:sz w:val="20"/>
                <w:lang w:val="en-AU"/>
              </w:rPr>
            </w:pPr>
            <w:r w:rsidRPr="007B644C">
              <w:rPr>
                <w:color w:val="000000"/>
                <w:sz w:val="20"/>
                <w:lang w:val="en-AU"/>
              </w:rPr>
              <w:t xml:space="preserve">           2,691,509 </w:t>
            </w:r>
          </w:p>
        </w:tc>
        <w:tc>
          <w:tcPr>
            <w:tcW w:w="626" w:type="pct"/>
            <w:shd w:val="clear" w:color="000000" w:fill="FF0000"/>
            <w:noWrap/>
            <w:vAlign w:val="bottom"/>
            <w:hideMark/>
          </w:tcPr>
          <w:p w14:paraId="5F22EE84" w14:textId="77777777" w:rsidR="00BA6B9B" w:rsidRPr="007B644C" w:rsidRDefault="00BA6B9B" w:rsidP="00F541AA">
            <w:pPr>
              <w:spacing w:before="0" w:after="0"/>
              <w:rPr>
                <w:color w:val="000000"/>
                <w:sz w:val="20"/>
                <w:lang w:val="en-AU"/>
              </w:rPr>
            </w:pPr>
            <w:r w:rsidRPr="007B644C">
              <w:rPr>
                <w:color w:val="000000"/>
                <w:sz w:val="20"/>
                <w:lang w:val="en-AU"/>
              </w:rPr>
              <w:t xml:space="preserve">         35,886,042 </w:t>
            </w:r>
          </w:p>
        </w:tc>
        <w:tc>
          <w:tcPr>
            <w:tcW w:w="626" w:type="pct"/>
            <w:shd w:val="clear" w:color="000000" w:fill="FFC000"/>
            <w:noWrap/>
            <w:vAlign w:val="bottom"/>
            <w:hideMark/>
          </w:tcPr>
          <w:p w14:paraId="5F22EE85" w14:textId="77777777" w:rsidR="00BA6B9B" w:rsidRPr="007B644C" w:rsidRDefault="00BA6B9B" w:rsidP="00F541AA">
            <w:pPr>
              <w:spacing w:before="0" w:after="0"/>
              <w:rPr>
                <w:color w:val="000000"/>
                <w:sz w:val="20"/>
                <w:lang w:val="en-AU"/>
              </w:rPr>
            </w:pPr>
            <w:r w:rsidRPr="007B644C">
              <w:rPr>
                <w:color w:val="000000"/>
                <w:sz w:val="20"/>
                <w:lang w:val="en-AU"/>
              </w:rPr>
              <w:t xml:space="preserve">           6,479,801 </w:t>
            </w:r>
          </w:p>
        </w:tc>
        <w:tc>
          <w:tcPr>
            <w:tcW w:w="626" w:type="pct"/>
            <w:shd w:val="clear" w:color="000000" w:fill="FF0000"/>
            <w:noWrap/>
            <w:vAlign w:val="bottom"/>
            <w:hideMark/>
          </w:tcPr>
          <w:p w14:paraId="5F22EE86" w14:textId="77777777" w:rsidR="00BA6B9B" w:rsidRPr="007B644C" w:rsidRDefault="00BA6B9B" w:rsidP="00F541AA">
            <w:pPr>
              <w:spacing w:before="0" w:after="0"/>
              <w:rPr>
                <w:color w:val="000000"/>
                <w:sz w:val="20"/>
                <w:lang w:val="en-AU"/>
              </w:rPr>
            </w:pPr>
            <w:r w:rsidRPr="007B644C">
              <w:rPr>
                <w:color w:val="000000"/>
                <w:sz w:val="20"/>
                <w:lang w:val="en-AU"/>
              </w:rPr>
              <w:t xml:space="preserve">           8,307,530 </w:t>
            </w:r>
          </w:p>
        </w:tc>
        <w:tc>
          <w:tcPr>
            <w:tcW w:w="647" w:type="pct"/>
            <w:shd w:val="clear" w:color="auto" w:fill="auto"/>
            <w:noWrap/>
            <w:vAlign w:val="bottom"/>
            <w:hideMark/>
          </w:tcPr>
          <w:p w14:paraId="5F22EE87" w14:textId="77777777" w:rsidR="00BA6B9B" w:rsidRPr="007B644C" w:rsidRDefault="00BA6B9B" w:rsidP="00F541AA">
            <w:pPr>
              <w:spacing w:before="0" w:after="0"/>
              <w:rPr>
                <w:color w:val="000000"/>
                <w:sz w:val="20"/>
                <w:lang w:val="en-AU"/>
              </w:rPr>
            </w:pPr>
            <w:r w:rsidRPr="007B644C">
              <w:rPr>
                <w:color w:val="000000"/>
                <w:sz w:val="20"/>
                <w:lang w:val="en-AU"/>
              </w:rPr>
              <w:t xml:space="preserve">           1,501,365 </w:t>
            </w:r>
          </w:p>
        </w:tc>
        <w:tc>
          <w:tcPr>
            <w:tcW w:w="721" w:type="pct"/>
            <w:shd w:val="clear" w:color="auto" w:fill="auto"/>
            <w:noWrap/>
            <w:vAlign w:val="bottom"/>
            <w:hideMark/>
          </w:tcPr>
          <w:p w14:paraId="5F22EE88" w14:textId="77777777" w:rsidR="00BA6B9B" w:rsidRPr="007B644C" w:rsidRDefault="00BA6B9B" w:rsidP="00F541AA">
            <w:pPr>
              <w:spacing w:before="0" w:after="0"/>
              <w:rPr>
                <w:color w:val="000000"/>
                <w:sz w:val="20"/>
                <w:lang w:val="en-AU"/>
              </w:rPr>
            </w:pPr>
            <w:r w:rsidRPr="007B644C">
              <w:rPr>
                <w:color w:val="000000"/>
                <w:sz w:val="20"/>
                <w:lang w:val="en-AU"/>
              </w:rPr>
              <w:t xml:space="preserve">           2,667,055 </w:t>
            </w:r>
          </w:p>
        </w:tc>
      </w:tr>
      <w:tr w:rsidR="00BA6B9B" w:rsidRPr="003A77F5" w14:paraId="5F22EE92" w14:textId="77777777" w:rsidTr="005A7F56">
        <w:trPr>
          <w:trHeight w:val="20"/>
          <w:jc w:val="center"/>
        </w:trPr>
        <w:tc>
          <w:tcPr>
            <w:tcW w:w="516" w:type="pct"/>
            <w:vMerge w:val="restart"/>
            <w:shd w:val="clear" w:color="auto" w:fill="auto"/>
            <w:vAlign w:val="center"/>
            <w:hideMark/>
          </w:tcPr>
          <w:p w14:paraId="5F22EE8A" w14:textId="77777777" w:rsidR="00BA6B9B" w:rsidRPr="007B644C" w:rsidRDefault="00BA6B9B" w:rsidP="00F541AA">
            <w:pPr>
              <w:spacing w:before="0" w:after="0"/>
              <w:rPr>
                <w:rFonts w:cs="Arial"/>
                <w:b/>
                <w:bCs/>
                <w:color w:val="000000"/>
                <w:sz w:val="20"/>
                <w:lang w:val="en-AU"/>
              </w:rPr>
            </w:pPr>
            <w:r w:rsidRPr="007B644C">
              <w:rPr>
                <w:rFonts w:cs="Arial"/>
                <w:b/>
                <w:bCs/>
                <w:color w:val="000000"/>
                <w:sz w:val="20"/>
                <w:lang w:val="en-AU"/>
              </w:rPr>
              <w:t>Burnett-Mary</w:t>
            </w:r>
          </w:p>
        </w:tc>
        <w:tc>
          <w:tcPr>
            <w:tcW w:w="607" w:type="pct"/>
            <w:shd w:val="clear" w:color="auto" w:fill="auto"/>
            <w:noWrap/>
            <w:vAlign w:val="center"/>
            <w:hideMark/>
          </w:tcPr>
          <w:p w14:paraId="5F22EE8B" w14:textId="77777777" w:rsidR="00BA6B9B" w:rsidRPr="007B644C" w:rsidRDefault="00BA6B9B" w:rsidP="00F541AA">
            <w:pPr>
              <w:spacing w:before="0" w:after="0"/>
              <w:rPr>
                <w:color w:val="000000"/>
                <w:sz w:val="20"/>
                <w:lang w:val="en-AU"/>
              </w:rPr>
            </w:pPr>
            <w:r w:rsidRPr="007B644C">
              <w:rPr>
                <w:color w:val="000000"/>
                <w:sz w:val="20"/>
                <w:lang w:val="en-AU"/>
              </w:rPr>
              <w:t>Burnett</w:t>
            </w:r>
          </w:p>
        </w:tc>
        <w:tc>
          <w:tcPr>
            <w:tcW w:w="630" w:type="pct"/>
            <w:shd w:val="clear" w:color="auto" w:fill="auto"/>
            <w:noWrap/>
            <w:vAlign w:val="bottom"/>
            <w:hideMark/>
          </w:tcPr>
          <w:p w14:paraId="5F22EE8C" w14:textId="77777777" w:rsidR="00BA6B9B" w:rsidRPr="007B644C" w:rsidRDefault="00BA6B9B" w:rsidP="00F541AA">
            <w:pPr>
              <w:spacing w:before="0" w:after="0"/>
              <w:rPr>
                <w:color w:val="000000"/>
                <w:sz w:val="20"/>
                <w:lang w:val="en-AU"/>
              </w:rPr>
            </w:pPr>
            <w:r w:rsidRPr="007B644C">
              <w:rPr>
                <w:color w:val="000000"/>
                <w:sz w:val="20"/>
                <w:lang w:val="en-AU"/>
              </w:rPr>
              <w:t xml:space="preserve">               171,904 </w:t>
            </w:r>
          </w:p>
        </w:tc>
        <w:tc>
          <w:tcPr>
            <w:tcW w:w="626" w:type="pct"/>
            <w:shd w:val="clear" w:color="000000" w:fill="FF0000"/>
            <w:noWrap/>
            <w:vAlign w:val="bottom"/>
            <w:hideMark/>
          </w:tcPr>
          <w:p w14:paraId="5F22EE8D" w14:textId="77777777" w:rsidR="00BA6B9B" w:rsidRPr="007B644C" w:rsidRDefault="00BA6B9B" w:rsidP="00F541AA">
            <w:pPr>
              <w:spacing w:before="0" w:after="0"/>
              <w:rPr>
                <w:color w:val="000000"/>
                <w:sz w:val="20"/>
                <w:lang w:val="en-AU"/>
              </w:rPr>
            </w:pPr>
            <w:r w:rsidRPr="007B644C">
              <w:rPr>
                <w:color w:val="000000"/>
                <w:sz w:val="20"/>
                <w:lang w:val="en-AU"/>
              </w:rPr>
              <w:t xml:space="preserve">           8,175,217 </w:t>
            </w:r>
          </w:p>
        </w:tc>
        <w:tc>
          <w:tcPr>
            <w:tcW w:w="626" w:type="pct"/>
            <w:shd w:val="clear" w:color="000000" w:fill="FFC000"/>
            <w:noWrap/>
            <w:vAlign w:val="bottom"/>
            <w:hideMark/>
          </w:tcPr>
          <w:p w14:paraId="5F22EE8E" w14:textId="77777777" w:rsidR="00BA6B9B" w:rsidRPr="007B644C" w:rsidRDefault="00BA6B9B" w:rsidP="00F541AA">
            <w:pPr>
              <w:spacing w:before="0" w:after="0"/>
              <w:rPr>
                <w:color w:val="000000"/>
                <w:sz w:val="20"/>
                <w:lang w:val="en-AU"/>
              </w:rPr>
            </w:pPr>
            <w:r w:rsidRPr="007B644C">
              <w:rPr>
                <w:color w:val="000000"/>
                <w:sz w:val="20"/>
                <w:lang w:val="en-AU"/>
              </w:rPr>
              <w:t xml:space="preserve">               468,541 </w:t>
            </w:r>
          </w:p>
        </w:tc>
        <w:tc>
          <w:tcPr>
            <w:tcW w:w="626" w:type="pct"/>
            <w:shd w:val="clear" w:color="000000" w:fill="FF0000"/>
            <w:noWrap/>
            <w:vAlign w:val="bottom"/>
            <w:hideMark/>
          </w:tcPr>
          <w:p w14:paraId="5F22EE8F" w14:textId="77777777" w:rsidR="00BA6B9B" w:rsidRPr="007B644C" w:rsidRDefault="00BA6B9B" w:rsidP="00F541AA">
            <w:pPr>
              <w:spacing w:before="0" w:after="0"/>
              <w:rPr>
                <w:color w:val="000000"/>
                <w:sz w:val="20"/>
                <w:lang w:val="en-AU"/>
              </w:rPr>
            </w:pPr>
            <w:r w:rsidRPr="007B644C">
              <w:rPr>
                <w:color w:val="000000"/>
                <w:sz w:val="20"/>
                <w:lang w:val="en-AU"/>
              </w:rPr>
              <w:t xml:space="preserve">           6,750,996 </w:t>
            </w:r>
          </w:p>
        </w:tc>
        <w:tc>
          <w:tcPr>
            <w:tcW w:w="647" w:type="pct"/>
            <w:shd w:val="clear" w:color="auto" w:fill="auto"/>
            <w:noWrap/>
            <w:vAlign w:val="bottom"/>
            <w:hideMark/>
          </w:tcPr>
          <w:p w14:paraId="5F22EE90" w14:textId="77777777" w:rsidR="00BA6B9B" w:rsidRPr="007B644C" w:rsidRDefault="00BA6B9B" w:rsidP="00F541AA">
            <w:pPr>
              <w:spacing w:before="0" w:after="0"/>
              <w:rPr>
                <w:color w:val="000000"/>
                <w:sz w:val="20"/>
                <w:lang w:val="en-AU"/>
              </w:rPr>
            </w:pPr>
            <w:r w:rsidRPr="007B644C">
              <w:rPr>
                <w:color w:val="000000"/>
                <w:sz w:val="20"/>
                <w:lang w:val="en-AU"/>
              </w:rPr>
              <w:t xml:space="preserve">               171,113 </w:t>
            </w:r>
          </w:p>
        </w:tc>
        <w:tc>
          <w:tcPr>
            <w:tcW w:w="721" w:type="pct"/>
            <w:shd w:val="clear" w:color="000000" w:fill="FF0000"/>
            <w:noWrap/>
            <w:vAlign w:val="bottom"/>
            <w:hideMark/>
          </w:tcPr>
          <w:p w14:paraId="5F22EE91" w14:textId="77777777" w:rsidR="00BA6B9B" w:rsidRPr="007B644C" w:rsidRDefault="00BA6B9B" w:rsidP="00F541AA">
            <w:pPr>
              <w:spacing w:before="0" w:after="0"/>
              <w:rPr>
                <w:color w:val="000000"/>
                <w:sz w:val="20"/>
                <w:lang w:val="en-AU"/>
              </w:rPr>
            </w:pPr>
            <w:r w:rsidRPr="007B644C">
              <w:rPr>
                <w:color w:val="000000"/>
                <w:sz w:val="20"/>
                <w:lang w:val="en-AU"/>
              </w:rPr>
              <w:t xml:space="preserve">               723,081 </w:t>
            </w:r>
          </w:p>
        </w:tc>
      </w:tr>
      <w:tr w:rsidR="00BA6B9B" w:rsidRPr="003A77F5" w14:paraId="5F22EE9B" w14:textId="77777777" w:rsidTr="005A7F56">
        <w:trPr>
          <w:trHeight w:val="20"/>
          <w:jc w:val="center"/>
        </w:trPr>
        <w:tc>
          <w:tcPr>
            <w:tcW w:w="516" w:type="pct"/>
            <w:vMerge/>
            <w:vAlign w:val="center"/>
            <w:hideMark/>
          </w:tcPr>
          <w:p w14:paraId="5F22EE93" w14:textId="77777777" w:rsidR="00BA6B9B" w:rsidRPr="007B644C" w:rsidRDefault="00BA6B9B" w:rsidP="00F541AA">
            <w:pPr>
              <w:spacing w:before="0" w:after="0"/>
              <w:rPr>
                <w:rFonts w:cs="Arial"/>
                <w:b/>
                <w:bCs/>
                <w:color w:val="000000"/>
                <w:sz w:val="20"/>
                <w:lang w:val="en-AU"/>
              </w:rPr>
            </w:pPr>
          </w:p>
        </w:tc>
        <w:tc>
          <w:tcPr>
            <w:tcW w:w="607" w:type="pct"/>
            <w:shd w:val="clear" w:color="auto" w:fill="auto"/>
            <w:noWrap/>
            <w:vAlign w:val="center"/>
            <w:hideMark/>
          </w:tcPr>
          <w:p w14:paraId="5F22EE94" w14:textId="77777777" w:rsidR="00BA6B9B" w:rsidRPr="007B644C" w:rsidRDefault="00BA6B9B" w:rsidP="00F541AA">
            <w:pPr>
              <w:spacing w:before="0" w:after="0"/>
              <w:rPr>
                <w:color w:val="000000"/>
                <w:sz w:val="20"/>
                <w:lang w:val="en-AU"/>
              </w:rPr>
            </w:pPr>
            <w:r w:rsidRPr="007B644C">
              <w:rPr>
                <w:color w:val="000000"/>
                <w:sz w:val="20"/>
                <w:lang w:val="en-AU"/>
              </w:rPr>
              <w:t>Mary</w:t>
            </w:r>
          </w:p>
        </w:tc>
        <w:tc>
          <w:tcPr>
            <w:tcW w:w="630" w:type="pct"/>
            <w:shd w:val="clear" w:color="auto" w:fill="auto"/>
            <w:noWrap/>
            <w:vAlign w:val="bottom"/>
            <w:hideMark/>
          </w:tcPr>
          <w:p w14:paraId="5F22EE95" w14:textId="77777777" w:rsidR="00BA6B9B" w:rsidRPr="007B644C" w:rsidRDefault="00BA6B9B" w:rsidP="00F541AA">
            <w:pPr>
              <w:spacing w:before="0" w:after="0"/>
              <w:rPr>
                <w:color w:val="000000"/>
                <w:sz w:val="20"/>
                <w:lang w:val="en-AU"/>
              </w:rPr>
            </w:pPr>
            <w:r w:rsidRPr="007B644C">
              <w:rPr>
                <w:color w:val="000000"/>
                <w:sz w:val="20"/>
                <w:lang w:val="en-AU"/>
              </w:rPr>
              <w:t xml:space="preserve">               496,172 </w:t>
            </w:r>
          </w:p>
        </w:tc>
        <w:tc>
          <w:tcPr>
            <w:tcW w:w="626" w:type="pct"/>
            <w:shd w:val="clear" w:color="000000" w:fill="FF0000"/>
            <w:noWrap/>
            <w:vAlign w:val="bottom"/>
            <w:hideMark/>
          </w:tcPr>
          <w:p w14:paraId="5F22EE96" w14:textId="77777777" w:rsidR="00BA6B9B" w:rsidRPr="007B644C" w:rsidRDefault="00BA6B9B" w:rsidP="00F541AA">
            <w:pPr>
              <w:spacing w:before="0" w:after="0"/>
              <w:rPr>
                <w:color w:val="000000"/>
                <w:sz w:val="20"/>
                <w:lang w:val="en-AU"/>
              </w:rPr>
            </w:pPr>
            <w:r w:rsidRPr="007B644C">
              <w:rPr>
                <w:color w:val="000000"/>
                <w:sz w:val="20"/>
                <w:lang w:val="en-AU"/>
              </w:rPr>
              <w:t xml:space="preserve">           5,671,760 </w:t>
            </w:r>
          </w:p>
        </w:tc>
        <w:tc>
          <w:tcPr>
            <w:tcW w:w="626" w:type="pct"/>
            <w:shd w:val="clear" w:color="000000" w:fill="FF0000"/>
            <w:noWrap/>
            <w:vAlign w:val="bottom"/>
            <w:hideMark/>
          </w:tcPr>
          <w:p w14:paraId="5F22EE97" w14:textId="77777777" w:rsidR="00BA6B9B" w:rsidRPr="007B644C" w:rsidRDefault="00BA6B9B" w:rsidP="00F541AA">
            <w:pPr>
              <w:spacing w:before="0" w:after="0"/>
              <w:rPr>
                <w:color w:val="000000"/>
                <w:sz w:val="20"/>
                <w:lang w:val="en-AU"/>
              </w:rPr>
            </w:pPr>
            <w:r w:rsidRPr="007B644C">
              <w:rPr>
                <w:color w:val="000000"/>
                <w:sz w:val="20"/>
                <w:lang w:val="en-AU"/>
              </w:rPr>
              <w:t xml:space="preserve">           2,627,321 </w:t>
            </w:r>
          </w:p>
        </w:tc>
        <w:tc>
          <w:tcPr>
            <w:tcW w:w="626" w:type="pct"/>
            <w:shd w:val="clear" w:color="000000" w:fill="FF0000"/>
            <w:noWrap/>
            <w:vAlign w:val="bottom"/>
            <w:hideMark/>
          </w:tcPr>
          <w:p w14:paraId="5F22EE98" w14:textId="77777777" w:rsidR="00BA6B9B" w:rsidRPr="007B644C" w:rsidRDefault="00BA6B9B" w:rsidP="00F541AA">
            <w:pPr>
              <w:spacing w:before="0" w:after="0"/>
              <w:rPr>
                <w:color w:val="000000"/>
                <w:sz w:val="20"/>
                <w:lang w:val="en-AU"/>
              </w:rPr>
            </w:pPr>
            <w:r w:rsidRPr="007B644C">
              <w:rPr>
                <w:color w:val="000000"/>
                <w:sz w:val="20"/>
                <w:lang w:val="en-AU"/>
              </w:rPr>
              <w:t xml:space="preserve">           5,243,992 </w:t>
            </w:r>
          </w:p>
        </w:tc>
        <w:tc>
          <w:tcPr>
            <w:tcW w:w="647" w:type="pct"/>
            <w:shd w:val="clear" w:color="auto" w:fill="auto"/>
            <w:noWrap/>
            <w:vAlign w:val="bottom"/>
            <w:hideMark/>
          </w:tcPr>
          <w:p w14:paraId="5F22EE99" w14:textId="77777777" w:rsidR="00BA6B9B" w:rsidRPr="007B644C" w:rsidRDefault="00BA6B9B" w:rsidP="00F541AA">
            <w:pPr>
              <w:spacing w:before="0" w:after="0"/>
              <w:rPr>
                <w:color w:val="000000"/>
                <w:sz w:val="20"/>
                <w:lang w:val="en-AU"/>
              </w:rPr>
            </w:pPr>
            <w:r w:rsidRPr="007B644C">
              <w:rPr>
                <w:color w:val="000000"/>
                <w:sz w:val="20"/>
                <w:lang w:val="en-AU"/>
              </w:rPr>
              <w:t xml:space="preserve">               361,989 </w:t>
            </w:r>
          </w:p>
        </w:tc>
        <w:tc>
          <w:tcPr>
            <w:tcW w:w="721" w:type="pct"/>
            <w:shd w:val="clear" w:color="000000" w:fill="FFFF00"/>
            <w:noWrap/>
            <w:vAlign w:val="bottom"/>
            <w:hideMark/>
          </w:tcPr>
          <w:p w14:paraId="5F22EE9A" w14:textId="77777777" w:rsidR="00BA6B9B" w:rsidRPr="007B644C" w:rsidRDefault="00BA6B9B" w:rsidP="00F541AA">
            <w:pPr>
              <w:spacing w:before="0" w:after="0"/>
              <w:rPr>
                <w:color w:val="000000"/>
                <w:sz w:val="20"/>
                <w:lang w:val="en-AU"/>
              </w:rPr>
            </w:pPr>
            <w:r w:rsidRPr="007B644C">
              <w:rPr>
                <w:color w:val="000000"/>
                <w:sz w:val="20"/>
                <w:lang w:val="en-AU"/>
              </w:rPr>
              <w:t xml:space="preserve">               899,142 </w:t>
            </w:r>
          </w:p>
        </w:tc>
      </w:tr>
    </w:tbl>
    <w:p w14:paraId="5F22EE9C" w14:textId="314D6BC4" w:rsidR="0099448B" w:rsidRPr="008467AA" w:rsidRDefault="0099448B" w:rsidP="005A7F56">
      <w:pPr>
        <w:spacing w:before="0" w:after="0"/>
        <w:rPr>
          <w:b/>
          <w:sz w:val="16"/>
          <w:lang w:val="en-AU"/>
        </w:rPr>
      </w:pPr>
      <w:r w:rsidRPr="008467AA">
        <w:rPr>
          <w:b/>
          <w:sz w:val="16"/>
          <w:lang w:val="en-AU"/>
        </w:rPr>
        <w:t xml:space="preserve">Notes </w:t>
      </w:r>
      <w:r w:rsidR="005A7F56">
        <w:rPr>
          <w:b/>
          <w:sz w:val="16"/>
          <w:lang w:val="en-AU"/>
        </w:rPr>
        <w:t>for</w:t>
      </w:r>
      <w:r w:rsidRPr="008467AA">
        <w:rPr>
          <w:b/>
          <w:sz w:val="16"/>
          <w:lang w:val="en-AU"/>
        </w:rPr>
        <w:t xml:space="preserve"> the river discharge data presented in </w:t>
      </w:r>
      <w:r>
        <w:rPr>
          <w:b/>
          <w:sz w:val="16"/>
          <w:lang w:val="en-AU"/>
        </w:rPr>
        <w:t>Table 5-1</w:t>
      </w:r>
      <w:r w:rsidR="009964FE">
        <w:rPr>
          <w:b/>
          <w:sz w:val="16"/>
          <w:lang w:val="en-AU"/>
        </w:rPr>
        <w:t>:</w:t>
      </w:r>
    </w:p>
    <w:p w14:paraId="5F22EE9D" w14:textId="656837B5" w:rsidR="0099448B" w:rsidRPr="008467AA" w:rsidRDefault="0099448B" w:rsidP="005A7F56">
      <w:pPr>
        <w:spacing w:before="0" w:after="0"/>
        <w:rPr>
          <w:sz w:val="16"/>
          <w:lang w:val="en-AU"/>
        </w:rPr>
      </w:pPr>
      <w:r w:rsidRPr="008467AA">
        <w:rPr>
          <w:sz w:val="16"/>
          <w:lang w:val="en-AU"/>
        </w:rPr>
        <w:t>Values were obtained from DNRM (</w:t>
      </w:r>
      <w:hyperlink r:id="rId316" w:history="1">
        <w:r w:rsidRPr="00CD6AAC">
          <w:rPr>
            <w:rStyle w:val="Hyperlink"/>
            <w:sz w:val="16"/>
            <w:lang w:val="en-AU"/>
          </w:rPr>
          <w:t>http://watermonitoring.dnrm.qld.gov.au/host.htm</w:t>
        </w:r>
      </w:hyperlink>
      <w:r w:rsidRPr="008467AA">
        <w:rPr>
          <w:sz w:val="16"/>
          <w:lang w:val="en-AU"/>
        </w:rPr>
        <w:t>)</w:t>
      </w:r>
      <w:r>
        <w:rPr>
          <w:sz w:val="16"/>
          <w:lang w:val="en-AU"/>
        </w:rPr>
        <w:t xml:space="preserve">; </w:t>
      </w:r>
      <w:r w:rsidR="005A7F56">
        <w:rPr>
          <w:sz w:val="16"/>
          <w:lang w:val="en-AU"/>
        </w:rPr>
        <w:t>Values are in Megalitre</w:t>
      </w:r>
      <w:r w:rsidRPr="008467AA">
        <w:rPr>
          <w:sz w:val="16"/>
          <w:lang w:val="en-AU"/>
        </w:rPr>
        <w:t>s per wet season (i.e., 1-Nov to 30-Apr) for each river gauge station.</w:t>
      </w:r>
    </w:p>
    <w:p w14:paraId="5F22EE9E" w14:textId="77777777" w:rsidR="0099448B" w:rsidRPr="008467AA" w:rsidRDefault="0099448B" w:rsidP="005A7F56">
      <w:pPr>
        <w:spacing w:before="0" w:after="0"/>
        <w:rPr>
          <w:sz w:val="16"/>
          <w:lang w:val="en-AU"/>
        </w:rPr>
      </w:pPr>
      <w:r w:rsidRPr="008467AA">
        <w:rPr>
          <w:sz w:val="16"/>
          <w:lang w:val="en-AU"/>
        </w:rPr>
        <w:t>Kalpower Crossing station (Normanby River) starts on the 9</w:t>
      </w:r>
      <w:r w:rsidRPr="008467AA">
        <w:rPr>
          <w:sz w:val="16"/>
          <w:vertAlign w:val="superscript"/>
          <w:lang w:val="en-AU"/>
        </w:rPr>
        <w:t>th</w:t>
      </w:r>
      <w:r w:rsidRPr="008467AA">
        <w:rPr>
          <w:sz w:val="16"/>
          <w:lang w:val="en-AU"/>
        </w:rPr>
        <w:t xml:space="preserve"> of December, 2005, so no LT median is presented for this river.</w:t>
      </w:r>
      <w:r>
        <w:rPr>
          <w:sz w:val="16"/>
          <w:lang w:val="en-AU"/>
        </w:rPr>
        <w:t xml:space="preserve"> </w:t>
      </w:r>
    </w:p>
    <w:p w14:paraId="5F22EE9F" w14:textId="77777777" w:rsidR="0099448B" w:rsidRDefault="0099448B" w:rsidP="005A7F56">
      <w:pPr>
        <w:spacing w:before="0" w:after="0"/>
        <w:rPr>
          <w:sz w:val="16"/>
          <w:lang w:val="en-AU"/>
        </w:rPr>
      </w:pPr>
      <w:r w:rsidRPr="008467AA">
        <w:rPr>
          <w:sz w:val="16"/>
          <w:lang w:val="en-AU"/>
        </w:rPr>
        <w:t xml:space="preserve">Daily discharge for Euramo site (Tully River) from July, 2011 to November, 2012 and from October, 2014 to August, 2015 were estimated from Gorge station (Tully River) using: </w:t>
      </w:r>
      <w:r w:rsidR="005A7F56">
        <w:rPr>
          <w:sz w:val="16"/>
          <w:lang w:val="en-AU"/>
        </w:rPr>
        <w:br/>
      </w:r>
      <w:r w:rsidRPr="008467AA">
        <w:rPr>
          <w:sz w:val="16"/>
          <w:lang w:val="en-AU"/>
        </w:rPr>
        <w:t xml:space="preserve">Euramo </w:t>
      </w:r>
      <w:r w:rsidR="005A7F56">
        <w:rPr>
          <w:sz w:val="16"/>
          <w:lang w:val="en-AU"/>
        </w:rPr>
        <w:t>d</w:t>
      </w:r>
      <w:r w:rsidR="005A7F56" w:rsidRPr="008467AA">
        <w:rPr>
          <w:sz w:val="16"/>
          <w:lang w:val="en-AU"/>
        </w:rPr>
        <w:t>isch</w:t>
      </w:r>
      <w:r w:rsidR="005A7F56">
        <w:rPr>
          <w:sz w:val="16"/>
          <w:lang w:val="en-AU"/>
        </w:rPr>
        <w:t>arge</w:t>
      </w:r>
      <w:r w:rsidR="005A7F56" w:rsidRPr="008467AA">
        <w:rPr>
          <w:sz w:val="16"/>
          <w:lang w:val="en-AU"/>
        </w:rPr>
        <w:t xml:space="preserve"> </w:t>
      </w:r>
      <w:r w:rsidRPr="008467AA">
        <w:rPr>
          <w:sz w:val="16"/>
          <w:lang w:val="en-AU"/>
        </w:rPr>
        <w:t xml:space="preserve">= Gorge </w:t>
      </w:r>
      <w:r w:rsidR="005A7F56">
        <w:rPr>
          <w:sz w:val="16"/>
          <w:lang w:val="en-AU"/>
        </w:rPr>
        <w:t>d</w:t>
      </w:r>
      <w:r w:rsidR="005A7F56" w:rsidRPr="008467AA">
        <w:rPr>
          <w:sz w:val="16"/>
          <w:lang w:val="en-AU"/>
        </w:rPr>
        <w:t>isch</w:t>
      </w:r>
      <w:r w:rsidR="005A7F56">
        <w:rPr>
          <w:sz w:val="16"/>
          <w:lang w:val="en-AU"/>
        </w:rPr>
        <w:t>arge</w:t>
      </w:r>
      <w:r w:rsidR="005A7F56" w:rsidRPr="008467AA">
        <w:rPr>
          <w:sz w:val="16"/>
          <w:lang w:val="en-AU"/>
        </w:rPr>
        <w:t xml:space="preserve"> </w:t>
      </w:r>
      <w:r w:rsidRPr="008467AA">
        <w:rPr>
          <w:sz w:val="16"/>
          <w:lang w:val="en-AU"/>
        </w:rPr>
        <w:t>* 3.5941</w:t>
      </w:r>
      <w:r>
        <w:rPr>
          <w:sz w:val="16"/>
          <w:lang w:val="en-AU"/>
        </w:rPr>
        <w:t xml:space="preserve">. </w:t>
      </w:r>
    </w:p>
    <w:p w14:paraId="5F22EEA0" w14:textId="77777777" w:rsidR="0099448B" w:rsidRDefault="0099448B" w:rsidP="005A7F56">
      <w:pPr>
        <w:spacing w:before="0" w:after="0"/>
        <w:rPr>
          <w:sz w:val="16"/>
          <w:lang w:val="en-AU"/>
        </w:rPr>
      </w:pPr>
      <w:r w:rsidRPr="008467AA">
        <w:rPr>
          <w:sz w:val="16"/>
          <w:lang w:val="en-AU"/>
        </w:rPr>
        <w:t xml:space="preserve">Daily discharge for Pioneer river now includes Miriani station, allowing flow record since 1977-11-09. Dumbleton and Miriani stations are correlated by the following equation: </w:t>
      </w:r>
      <w:r w:rsidR="005A7F56">
        <w:rPr>
          <w:sz w:val="16"/>
          <w:lang w:val="en-AU"/>
        </w:rPr>
        <w:br/>
      </w:r>
      <w:r w:rsidRPr="008467AA">
        <w:rPr>
          <w:sz w:val="16"/>
          <w:lang w:val="en-AU"/>
        </w:rPr>
        <w:t xml:space="preserve">Dumbleton </w:t>
      </w:r>
      <w:r w:rsidR="005A7F56">
        <w:rPr>
          <w:sz w:val="16"/>
          <w:lang w:val="en-AU"/>
        </w:rPr>
        <w:t>d</w:t>
      </w:r>
      <w:r w:rsidRPr="008467AA">
        <w:rPr>
          <w:sz w:val="16"/>
          <w:lang w:val="en-AU"/>
        </w:rPr>
        <w:t>isch</w:t>
      </w:r>
      <w:r w:rsidR="005A7F56">
        <w:rPr>
          <w:sz w:val="16"/>
          <w:lang w:val="en-AU"/>
        </w:rPr>
        <w:t>arge</w:t>
      </w:r>
      <w:r w:rsidRPr="008467AA">
        <w:rPr>
          <w:sz w:val="16"/>
          <w:lang w:val="en-AU"/>
        </w:rPr>
        <w:t xml:space="preserve"> = Miriani </w:t>
      </w:r>
      <w:r w:rsidR="005A7F56">
        <w:rPr>
          <w:sz w:val="16"/>
          <w:lang w:val="en-AU"/>
        </w:rPr>
        <w:t>d</w:t>
      </w:r>
      <w:r w:rsidRPr="008467AA">
        <w:rPr>
          <w:sz w:val="16"/>
          <w:lang w:val="en-AU"/>
        </w:rPr>
        <w:t>isch</w:t>
      </w:r>
      <w:r w:rsidR="005A7F56">
        <w:rPr>
          <w:sz w:val="16"/>
          <w:lang w:val="en-AU"/>
        </w:rPr>
        <w:t>arge</w:t>
      </w:r>
      <w:r w:rsidRPr="008467AA">
        <w:rPr>
          <w:sz w:val="16"/>
          <w:lang w:val="en-AU"/>
        </w:rPr>
        <w:t xml:space="preserve"> * 1.4276</w:t>
      </w:r>
      <w:r>
        <w:rPr>
          <w:sz w:val="16"/>
          <w:lang w:val="en-AU"/>
        </w:rPr>
        <w:t xml:space="preserve">. </w:t>
      </w:r>
    </w:p>
    <w:p w14:paraId="5F22EEA1" w14:textId="77777777" w:rsidR="0099448B" w:rsidRDefault="0099448B" w:rsidP="005A7F56">
      <w:pPr>
        <w:spacing w:before="0" w:after="0"/>
        <w:rPr>
          <w:sz w:val="16"/>
          <w:lang w:val="en-AU"/>
        </w:rPr>
      </w:pPr>
      <w:r w:rsidRPr="008467AA">
        <w:rPr>
          <w:sz w:val="16"/>
          <w:lang w:val="en-AU"/>
        </w:rPr>
        <w:t>All data from the Ross gauge station, which ceased in 2007-08-01 with no substitute in the same river, was replaced by Bohle gauge station.</w:t>
      </w:r>
    </w:p>
    <w:p w14:paraId="5F22EEA2" w14:textId="77777777" w:rsidR="0099448B" w:rsidRDefault="0099448B" w:rsidP="005A7F56">
      <w:pPr>
        <w:spacing w:before="0" w:after="0"/>
        <w:rPr>
          <w:sz w:val="16"/>
          <w:lang w:val="en-AU"/>
        </w:rPr>
      </w:pPr>
      <w:r w:rsidRPr="008467AA">
        <w:rPr>
          <w:sz w:val="16"/>
          <w:lang w:val="en-AU"/>
        </w:rPr>
        <w:t>Boyne gauge station was ceased in 2012-06-30 with no substitute in the vicinities of the closed station.</w:t>
      </w:r>
      <w:r>
        <w:rPr>
          <w:sz w:val="16"/>
          <w:lang w:val="en-AU"/>
        </w:rPr>
        <w:t xml:space="preserve"> </w:t>
      </w:r>
    </w:p>
    <w:p w14:paraId="5F22EEA3" w14:textId="77777777" w:rsidR="0099448B" w:rsidRPr="008467AA" w:rsidRDefault="0099448B" w:rsidP="005A7F56">
      <w:pPr>
        <w:spacing w:before="0" w:after="0"/>
        <w:rPr>
          <w:sz w:val="16"/>
          <w:lang w:val="en-AU"/>
        </w:rPr>
      </w:pPr>
      <w:r w:rsidRPr="008467AA">
        <w:rPr>
          <w:sz w:val="16"/>
          <w:lang w:val="en-AU"/>
        </w:rPr>
        <w:t>Prose</w:t>
      </w:r>
      <w:r w:rsidR="005A7F56">
        <w:rPr>
          <w:sz w:val="16"/>
          <w:lang w:val="en-AU"/>
        </w:rPr>
        <w:t>r</w:t>
      </w:r>
      <w:r w:rsidRPr="008467AA">
        <w:rPr>
          <w:sz w:val="16"/>
          <w:lang w:val="en-AU"/>
        </w:rPr>
        <w:t>pine gauge station was ceased in 2014-06-03  with no substitute in the vicinities of the closed station.</w:t>
      </w:r>
    </w:p>
    <w:p w14:paraId="5F22EEA4" w14:textId="77777777" w:rsidR="0099448B" w:rsidRDefault="0099448B" w:rsidP="005A7F56">
      <w:pPr>
        <w:tabs>
          <w:tab w:val="left" w:pos="8192"/>
        </w:tabs>
        <w:spacing w:before="0" w:after="0"/>
        <w:rPr>
          <w:sz w:val="16"/>
          <w:lang w:val="en-AU"/>
        </w:rPr>
      </w:pPr>
      <w:r w:rsidRPr="008467AA">
        <w:rPr>
          <w:sz w:val="16"/>
          <w:lang w:val="en-AU"/>
        </w:rPr>
        <w:t>Rocky Cr gauge station was ceased in 2014-11-19  with no substitute in the vicinities of the closed station.</w:t>
      </w:r>
      <w:r>
        <w:rPr>
          <w:sz w:val="16"/>
          <w:lang w:val="en-AU"/>
        </w:rPr>
        <w:t xml:space="preserve"> </w:t>
      </w:r>
      <w:r w:rsidR="005A7F56">
        <w:rPr>
          <w:sz w:val="16"/>
          <w:lang w:val="en-AU"/>
        </w:rPr>
        <w:tab/>
      </w:r>
    </w:p>
    <w:p w14:paraId="5F22EEA5" w14:textId="77777777" w:rsidR="0099448B" w:rsidRPr="008467AA" w:rsidRDefault="005A7F56" w:rsidP="005A7F56">
      <w:pPr>
        <w:spacing w:before="0" w:after="0"/>
        <w:rPr>
          <w:lang w:val="en-AU"/>
        </w:rPr>
      </w:pPr>
      <w:r w:rsidRPr="008467AA">
        <w:rPr>
          <w:sz w:val="16"/>
          <w:lang w:val="en-AU"/>
        </w:rPr>
        <w:t>Endeavour</w:t>
      </w:r>
      <w:r w:rsidR="0099448B" w:rsidRPr="008467AA">
        <w:rPr>
          <w:sz w:val="16"/>
          <w:lang w:val="en-AU"/>
        </w:rPr>
        <w:t xml:space="preserve"> gauge station was ceased in </w:t>
      </w:r>
      <w:r w:rsidR="0099448B">
        <w:rPr>
          <w:sz w:val="16"/>
          <w:lang w:val="en-AU"/>
        </w:rPr>
        <w:t xml:space="preserve">2015-05-10 </w:t>
      </w:r>
      <w:r w:rsidR="0099448B" w:rsidRPr="008467AA">
        <w:rPr>
          <w:sz w:val="16"/>
          <w:lang w:val="en-AU"/>
        </w:rPr>
        <w:t>with no substitute in the vicinities of the closed station.</w:t>
      </w:r>
    </w:p>
    <w:p w14:paraId="5F22EEA6" w14:textId="77777777" w:rsidR="00BA6B9B" w:rsidRDefault="00BA6B9B" w:rsidP="00BA6B9B">
      <w:pPr>
        <w:spacing w:before="0" w:after="0"/>
        <w:jc w:val="left"/>
        <w:rPr>
          <w:rFonts w:eastAsia="SimSun"/>
          <w:b/>
          <w:sz w:val="16"/>
          <w:szCs w:val="24"/>
          <w:lang w:val="en-AU"/>
        </w:rPr>
        <w:sectPr w:rsidR="00BA6B9B" w:rsidSect="007B644C">
          <w:pgSz w:w="16840" w:h="11907" w:orient="landscape" w:code="9"/>
          <w:pgMar w:top="1134" w:right="1440" w:bottom="1134" w:left="1440" w:header="709" w:footer="709" w:gutter="0"/>
          <w:cols w:space="708"/>
          <w:docGrid w:linePitch="360"/>
        </w:sectPr>
      </w:pPr>
    </w:p>
    <w:p w14:paraId="5F22EEAE" w14:textId="77777777" w:rsidR="00D361EB" w:rsidRDefault="00D361EB" w:rsidP="00CD2D89">
      <w:pPr>
        <w:pStyle w:val="Heading2"/>
      </w:pPr>
      <w:bookmarkStart w:id="705" w:name="_Toc462307445"/>
      <w:r>
        <w:t>Exposure of the GBR lagoon to river water</w:t>
      </w:r>
      <w:bookmarkEnd w:id="705"/>
    </w:p>
    <w:p w14:paraId="659CB6D0" w14:textId="77777777" w:rsidR="005B1D9A" w:rsidRPr="0079306A" w:rsidRDefault="005B1D9A" w:rsidP="005B1D9A">
      <w:pPr>
        <w:pStyle w:val="Heading30"/>
        <w:numPr>
          <w:ilvl w:val="2"/>
          <w:numId w:val="42"/>
        </w:numPr>
      </w:pPr>
      <w:bookmarkStart w:id="706" w:name="_Toc459158373"/>
      <w:bookmarkStart w:id="707" w:name="_Toc459158646"/>
      <w:bookmarkStart w:id="708" w:name="_Toc459158927"/>
      <w:bookmarkStart w:id="709" w:name="_Toc459209926"/>
      <w:bookmarkStart w:id="710" w:name="_Toc459329052"/>
      <w:bookmarkStart w:id="711" w:name="_Toc459329411"/>
      <w:bookmarkStart w:id="712" w:name="_Toc459329772"/>
      <w:bookmarkStart w:id="713" w:name="_Toc459330132"/>
      <w:bookmarkStart w:id="714" w:name="_Toc459330492"/>
      <w:bookmarkStart w:id="715" w:name="_Toc459330852"/>
      <w:bookmarkStart w:id="716" w:name="_Toc459331212"/>
      <w:bookmarkStart w:id="717" w:name="_Toc459331572"/>
      <w:bookmarkStart w:id="718" w:name="_Toc459331932"/>
      <w:bookmarkStart w:id="719" w:name="_Toc462307446"/>
      <w:bookmarkEnd w:id="706"/>
      <w:bookmarkEnd w:id="707"/>
      <w:bookmarkEnd w:id="708"/>
      <w:bookmarkEnd w:id="709"/>
      <w:bookmarkEnd w:id="710"/>
      <w:bookmarkEnd w:id="711"/>
      <w:bookmarkEnd w:id="712"/>
      <w:bookmarkEnd w:id="713"/>
      <w:bookmarkEnd w:id="714"/>
      <w:bookmarkEnd w:id="715"/>
      <w:bookmarkEnd w:id="716"/>
      <w:bookmarkEnd w:id="717"/>
      <w:bookmarkEnd w:id="718"/>
      <w:r>
        <w:t>Z</w:t>
      </w:r>
      <w:r w:rsidRPr="0079306A">
        <w:t>ones of influence of individual rivers</w:t>
      </w:r>
      <w:bookmarkEnd w:id="719"/>
      <w:r w:rsidRPr="0079306A">
        <w:t xml:space="preserve"> </w:t>
      </w:r>
    </w:p>
    <w:p w14:paraId="0BD1D02E" w14:textId="77777777" w:rsidR="00D14567" w:rsidRDefault="005B1D9A" w:rsidP="005B1D9A">
      <w:r w:rsidRPr="007A1A6E">
        <w:rPr>
          <w:szCs w:val="22"/>
          <w:lang w:val="en-AU"/>
        </w:rPr>
        <w:t>Total cumulative exposure of shelf waters in the MMP focus regions during the 2014-2015 wet season were calculated using numerical tracer experiments with</w:t>
      </w:r>
      <w:r>
        <w:rPr>
          <w:szCs w:val="22"/>
          <w:lang w:val="en-AU"/>
        </w:rPr>
        <w:t>in</w:t>
      </w:r>
      <w:r w:rsidRPr="007A1A6E">
        <w:rPr>
          <w:szCs w:val="22"/>
          <w:lang w:val="en-AU"/>
        </w:rPr>
        <w:t xml:space="preserve"> the </w:t>
      </w:r>
      <w:r>
        <w:rPr>
          <w:szCs w:val="22"/>
          <w:lang w:val="en-AU"/>
        </w:rPr>
        <w:t xml:space="preserve">eReefs </w:t>
      </w:r>
      <w:r w:rsidRPr="007A1A6E">
        <w:rPr>
          <w:szCs w:val="22"/>
          <w:lang w:val="en-AU"/>
        </w:rPr>
        <w:t xml:space="preserve">hydrodynamic model, and are presented </w:t>
      </w:r>
      <w:r>
        <w:rPr>
          <w:szCs w:val="22"/>
          <w:lang w:val="en-AU"/>
        </w:rPr>
        <w:t xml:space="preserve">in the Regional Results for each of the MMP water quality focus </w:t>
      </w:r>
      <w:r w:rsidRPr="00790FF6">
        <w:t>regions. These tracer maps indicate the spatial extent of infl</w:t>
      </w:r>
      <w:r>
        <w:t xml:space="preserve">uence of individual rivers and </w:t>
      </w:r>
      <w:r w:rsidRPr="00790FF6">
        <w:t xml:space="preserve">confirm the patterns seen in the plume exposure maps derived from remote sensing imagery. The 2014-15 wet season was generally much drier and the river flow in most regions was close to or below the long-term median (see above, Section 5.2). </w:t>
      </w:r>
    </w:p>
    <w:p w14:paraId="039EFD64" w14:textId="2D999B86" w:rsidR="005B1D9A" w:rsidRDefault="005B1D9A" w:rsidP="004A5BF7">
      <w:pPr>
        <w:spacing w:before="0" w:after="0"/>
        <w:jc w:val="left"/>
        <w:rPr>
          <w:rFonts w:eastAsia="SimSun" w:cs="Arial"/>
          <w:lang w:val="en-AU"/>
        </w:rPr>
      </w:pPr>
      <w:r w:rsidRPr="00790FF6">
        <w:t xml:space="preserve">The results of the tracer </w:t>
      </w:r>
      <w:r>
        <w:t xml:space="preserve">simulations </w:t>
      </w:r>
      <w:r w:rsidRPr="00790FF6">
        <w:t xml:space="preserve">confirmed that the areas exposed to the water from individual rivers in 2014-15 were much smaller for all focus regions than during the extreme wet season of 2010-11. The tracer maps are useful in complementing the overall plume exposure maps as they allow quantification of the footprint of individual rivers, and the level of exposure to river water within this footprint. This information can be used to provide context for any changes in the local inshore water quality in the light of changes in the delivery of runoff from certain catchments. However, only the eReefs model will, in the future, allow for the full consideration of the loads of nutrients and suspended sediments from individual rivers in the interpretation of changes in inshore water quality. </w:t>
      </w:r>
    </w:p>
    <w:p w14:paraId="5F22EEB5" w14:textId="21A38E78" w:rsidR="00D361EB" w:rsidRPr="00202A68" w:rsidRDefault="00D361EB" w:rsidP="004A5BF7">
      <w:pPr>
        <w:pStyle w:val="Heading30"/>
        <w:numPr>
          <w:ilvl w:val="2"/>
          <w:numId w:val="42"/>
        </w:numPr>
      </w:pPr>
      <w:bookmarkStart w:id="720" w:name="_Toc459158376"/>
      <w:bookmarkStart w:id="721" w:name="_Toc459158649"/>
      <w:bookmarkStart w:id="722" w:name="_Toc459158930"/>
      <w:bookmarkStart w:id="723" w:name="_Toc459209929"/>
      <w:bookmarkStart w:id="724" w:name="_Toc459329055"/>
      <w:bookmarkStart w:id="725" w:name="_Toc459329414"/>
      <w:bookmarkStart w:id="726" w:name="_Toc459329775"/>
      <w:bookmarkStart w:id="727" w:name="_Toc459330135"/>
      <w:bookmarkStart w:id="728" w:name="_Toc459330495"/>
      <w:bookmarkStart w:id="729" w:name="_Toc459330855"/>
      <w:bookmarkStart w:id="730" w:name="_Toc459331215"/>
      <w:bookmarkStart w:id="731" w:name="_Toc459331575"/>
      <w:bookmarkStart w:id="732" w:name="_Toc459331935"/>
      <w:bookmarkStart w:id="733" w:name="_Toc459158377"/>
      <w:bookmarkStart w:id="734" w:name="_Toc459158650"/>
      <w:bookmarkStart w:id="735" w:name="_Toc459158931"/>
      <w:bookmarkStart w:id="736" w:name="_Toc459209930"/>
      <w:bookmarkStart w:id="737" w:name="_Toc459329056"/>
      <w:bookmarkStart w:id="738" w:name="_Toc459329415"/>
      <w:bookmarkStart w:id="739" w:name="_Toc459329776"/>
      <w:bookmarkStart w:id="740" w:name="_Toc459330136"/>
      <w:bookmarkStart w:id="741" w:name="_Toc459330496"/>
      <w:bookmarkStart w:id="742" w:name="_Toc459330856"/>
      <w:bookmarkStart w:id="743" w:name="_Toc459331216"/>
      <w:bookmarkStart w:id="744" w:name="_Toc459331576"/>
      <w:bookmarkStart w:id="745" w:name="_Toc459331936"/>
      <w:bookmarkStart w:id="746" w:name="_Toc459158378"/>
      <w:bookmarkStart w:id="747" w:name="_Toc459158651"/>
      <w:bookmarkStart w:id="748" w:name="_Toc459158932"/>
      <w:bookmarkStart w:id="749" w:name="_Toc459209931"/>
      <w:bookmarkStart w:id="750" w:name="_Toc459329057"/>
      <w:bookmarkStart w:id="751" w:name="_Toc459329416"/>
      <w:bookmarkStart w:id="752" w:name="_Toc459329777"/>
      <w:bookmarkStart w:id="753" w:name="_Toc459330137"/>
      <w:bookmarkStart w:id="754" w:name="_Toc459330497"/>
      <w:bookmarkStart w:id="755" w:name="_Toc459330857"/>
      <w:bookmarkStart w:id="756" w:name="_Toc459331217"/>
      <w:bookmarkStart w:id="757" w:name="_Toc459331577"/>
      <w:bookmarkStart w:id="758" w:name="_Toc459331937"/>
      <w:bookmarkStart w:id="759" w:name="_Toc459158379"/>
      <w:bookmarkStart w:id="760" w:name="_Toc459158652"/>
      <w:bookmarkStart w:id="761" w:name="_Toc459158933"/>
      <w:bookmarkStart w:id="762" w:name="_Toc459209932"/>
      <w:bookmarkStart w:id="763" w:name="_Toc459329058"/>
      <w:bookmarkStart w:id="764" w:name="_Toc459329417"/>
      <w:bookmarkStart w:id="765" w:name="_Toc459329778"/>
      <w:bookmarkStart w:id="766" w:name="_Toc459330138"/>
      <w:bookmarkStart w:id="767" w:name="_Toc459330498"/>
      <w:bookmarkStart w:id="768" w:name="_Toc459330858"/>
      <w:bookmarkStart w:id="769" w:name="_Toc459331218"/>
      <w:bookmarkStart w:id="770" w:name="_Toc459331578"/>
      <w:bookmarkStart w:id="771" w:name="_Toc459331938"/>
      <w:bookmarkStart w:id="772" w:name="_Toc462307447"/>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r w:rsidRPr="00202A68">
        <w:t>River plume exposure and plume water type maps</w:t>
      </w:r>
      <w:bookmarkEnd w:id="772"/>
    </w:p>
    <w:p w14:paraId="5F22EEB6" w14:textId="205DDD49" w:rsidR="00D361EB" w:rsidRPr="008467AA" w:rsidRDefault="00D361EB" w:rsidP="004A5BF7">
      <w:pPr>
        <w:rPr>
          <w:lang w:val="en-AU"/>
        </w:rPr>
      </w:pPr>
      <w:r w:rsidRPr="008467AA">
        <w:rPr>
          <w:lang w:val="en-AU"/>
        </w:rPr>
        <w:t xml:space="preserve">The annual frequency maps </w:t>
      </w:r>
      <w:r w:rsidR="001927A7">
        <w:rPr>
          <w:lang w:val="en-AU"/>
        </w:rPr>
        <w:t>predict the</w:t>
      </w:r>
      <w:r w:rsidR="001927A7" w:rsidRPr="008467AA">
        <w:rPr>
          <w:lang w:val="en-AU"/>
        </w:rPr>
        <w:t xml:space="preserve"> </w:t>
      </w:r>
      <w:r w:rsidRPr="008467AA">
        <w:rPr>
          <w:lang w:val="en-AU"/>
        </w:rPr>
        <w:t>GBR marine areas affected by river plume waters as well as the spatial distribution and frequencies of occurrence of the three GBR plume water types (Primary, Secondary, and Tertiary) during the wet season 2014-15 (</w:t>
      </w:r>
      <w:r w:rsidR="00EB33A6">
        <w:rPr>
          <w:lang w:val="en-AU"/>
        </w:rPr>
        <w:fldChar w:fldCharType="begin"/>
      </w:r>
      <w:r w:rsidR="00781EF6">
        <w:rPr>
          <w:lang w:val="en-AU"/>
        </w:rPr>
        <w:instrText xml:space="preserve"> REF _Ref437545440 \h </w:instrText>
      </w:r>
      <w:r w:rsidR="00EB33A6">
        <w:rPr>
          <w:lang w:val="en-AU"/>
        </w:rPr>
      </w:r>
      <w:r w:rsidR="00EB33A6">
        <w:rPr>
          <w:lang w:val="en-AU"/>
        </w:rPr>
        <w:fldChar w:fldCharType="separate"/>
      </w:r>
      <w:r w:rsidR="007F5336" w:rsidRPr="0087770E">
        <w:t xml:space="preserve">Figure </w:t>
      </w:r>
      <w:r w:rsidR="007F5336">
        <w:rPr>
          <w:noProof/>
        </w:rPr>
        <w:t>5</w:t>
      </w:r>
      <w:r w:rsidR="007F5336">
        <w:noBreakHyphen/>
      </w:r>
      <w:r w:rsidR="007F5336">
        <w:rPr>
          <w:noProof/>
        </w:rPr>
        <w:t>6</w:t>
      </w:r>
      <w:r w:rsidR="00EB33A6">
        <w:rPr>
          <w:lang w:val="en-AU"/>
        </w:rPr>
        <w:fldChar w:fldCharType="end"/>
      </w:r>
      <w:r w:rsidR="00781EF6">
        <w:rPr>
          <w:lang w:val="en-AU"/>
        </w:rPr>
        <w:t>,</w:t>
      </w:r>
      <w:r w:rsidR="00D14567">
        <w:rPr>
          <w:lang w:val="en-AU"/>
        </w:rPr>
        <w:t xml:space="preserve"> </w:t>
      </w:r>
      <w:r w:rsidR="00D14567">
        <w:rPr>
          <w:lang w:val="en-AU"/>
        </w:rPr>
        <w:fldChar w:fldCharType="begin"/>
      </w:r>
      <w:r w:rsidR="00D14567">
        <w:rPr>
          <w:lang w:val="en-AU"/>
        </w:rPr>
        <w:instrText xml:space="preserve"> REF _Ref459147445 \h </w:instrText>
      </w:r>
      <w:r w:rsidR="00D14567">
        <w:rPr>
          <w:lang w:val="en-AU"/>
        </w:rPr>
      </w:r>
      <w:r w:rsidR="00D14567">
        <w:rPr>
          <w:lang w:val="en-AU"/>
        </w:rPr>
        <w:fldChar w:fldCharType="separate"/>
      </w:r>
      <w:r w:rsidR="007F5336" w:rsidRPr="002F6FB4">
        <w:t xml:space="preserve">Figure </w:t>
      </w:r>
      <w:r w:rsidR="007F5336">
        <w:rPr>
          <w:noProof/>
        </w:rPr>
        <w:t>5</w:t>
      </w:r>
      <w:r w:rsidR="007F5336">
        <w:noBreakHyphen/>
      </w:r>
      <w:r w:rsidR="007F5336">
        <w:rPr>
          <w:noProof/>
        </w:rPr>
        <w:t>7</w:t>
      </w:r>
      <w:r w:rsidR="00D14567">
        <w:rPr>
          <w:lang w:val="en-AU"/>
        </w:rPr>
        <w:fldChar w:fldCharType="end"/>
      </w:r>
      <w:r>
        <w:rPr>
          <w:lang w:val="en-AU"/>
        </w:rPr>
        <w:t xml:space="preserve">). </w:t>
      </w:r>
      <w:r w:rsidRPr="008467AA">
        <w:rPr>
          <w:lang w:val="en-AU"/>
        </w:rPr>
        <w:t xml:space="preserve">Note that this mapping exercise only identifies the surface river plume waters, plume water types, and is not identifying scale or extent of </w:t>
      </w:r>
      <w:r>
        <w:rPr>
          <w:lang w:val="en-AU"/>
        </w:rPr>
        <w:t xml:space="preserve">the </w:t>
      </w:r>
      <w:r w:rsidRPr="008467AA">
        <w:rPr>
          <w:lang w:val="en-AU"/>
        </w:rPr>
        <w:t xml:space="preserve">impact </w:t>
      </w:r>
      <w:r>
        <w:rPr>
          <w:lang w:val="en-AU"/>
        </w:rPr>
        <w:t>across all</w:t>
      </w:r>
      <w:r w:rsidRPr="008467AA">
        <w:rPr>
          <w:lang w:val="en-AU"/>
        </w:rPr>
        <w:t xml:space="preserve"> GBR ecosystems. </w:t>
      </w:r>
    </w:p>
    <w:p w14:paraId="5F22EEB7" w14:textId="36BC4A63" w:rsidR="00D361EB" w:rsidRPr="008467AA" w:rsidRDefault="00D361EB" w:rsidP="00D361EB">
      <w:pPr>
        <w:rPr>
          <w:lang w:val="en-AU"/>
        </w:rPr>
      </w:pPr>
      <w:r w:rsidRPr="008467AA">
        <w:rPr>
          <w:lang w:val="en-AU"/>
        </w:rPr>
        <w:t xml:space="preserve">The plume water type maps provide information on the type/composition of river plume (through the Primary, Secondary, and Tertiary water type classification) and on the frequency of occurrence (or likelihood) of these plume water types. </w:t>
      </w:r>
      <w:r w:rsidR="00F1689A" w:rsidRPr="00A13B8E">
        <w:rPr>
          <w:lang w:val="en-AU"/>
        </w:rPr>
        <w:t xml:space="preserve">The plume water types have further been classified into </w:t>
      </w:r>
      <w:r w:rsidR="00F1689A">
        <w:rPr>
          <w:lang w:val="en-AU"/>
        </w:rPr>
        <w:t>six</w:t>
      </w:r>
      <w:r w:rsidR="00F1689A" w:rsidRPr="00A13B8E">
        <w:rPr>
          <w:lang w:val="en-AU"/>
        </w:rPr>
        <w:t xml:space="preserve"> </w:t>
      </w:r>
      <w:r w:rsidR="00F1689A">
        <w:rPr>
          <w:lang w:val="en-AU"/>
        </w:rPr>
        <w:t xml:space="preserve">categories (or colour classes) with </w:t>
      </w:r>
      <w:r w:rsidR="00F1689A" w:rsidRPr="00A13B8E">
        <w:rPr>
          <w:lang w:val="en-AU"/>
        </w:rPr>
        <w:t>classes 1</w:t>
      </w:r>
      <w:r w:rsidR="00D14567">
        <w:rPr>
          <w:lang w:val="en-AU"/>
        </w:rPr>
        <w:t xml:space="preserve"> to </w:t>
      </w:r>
      <w:r w:rsidR="00F1689A" w:rsidRPr="00A13B8E">
        <w:rPr>
          <w:lang w:val="en-AU"/>
        </w:rPr>
        <w:t>4 corresponding to Primary</w:t>
      </w:r>
      <w:r w:rsidR="00F1689A">
        <w:rPr>
          <w:lang w:val="en-AU"/>
        </w:rPr>
        <w:t xml:space="preserve"> waters</w:t>
      </w:r>
      <w:r w:rsidR="00F1689A" w:rsidRPr="00A13B8E">
        <w:rPr>
          <w:lang w:val="en-AU"/>
        </w:rPr>
        <w:t>, class 5 to Secondary</w:t>
      </w:r>
      <w:r w:rsidR="00F1689A">
        <w:rPr>
          <w:lang w:val="en-AU"/>
        </w:rPr>
        <w:t xml:space="preserve"> waters</w:t>
      </w:r>
      <w:r w:rsidR="00F1689A" w:rsidRPr="00A13B8E">
        <w:rPr>
          <w:lang w:val="en-AU"/>
        </w:rPr>
        <w:t xml:space="preserve"> and class 6 to Tertiary waters. Th</w:t>
      </w:r>
      <w:r w:rsidR="00F1689A">
        <w:rPr>
          <w:lang w:val="en-AU"/>
        </w:rPr>
        <w:t>is</w:t>
      </w:r>
      <w:r w:rsidR="00F1689A" w:rsidRPr="00A13B8E">
        <w:rPr>
          <w:lang w:val="en-AU"/>
        </w:rPr>
        <w:t xml:space="preserve"> classification allows</w:t>
      </w:r>
      <w:r w:rsidR="00F1689A">
        <w:rPr>
          <w:lang w:val="en-AU"/>
        </w:rPr>
        <w:t xml:space="preserve"> a fine special scale </w:t>
      </w:r>
      <w:r w:rsidR="00DA2DAF">
        <w:rPr>
          <w:lang w:val="en-AU"/>
        </w:rPr>
        <w:t>characteri</w:t>
      </w:r>
      <w:r w:rsidR="00DA2DAF" w:rsidRPr="00A13B8E">
        <w:rPr>
          <w:lang w:val="en-AU"/>
        </w:rPr>
        <w:t>sation</w:t>
      </w:r>
      <w:r w:rsidR="00F1689A" w:rsidRPr="00A13B8E">
        <w:rPr>
          <w:lang w:val="en-AU"/>
        </w:rPr>
        <w:t xml:space="preserve"> of the plume water constituents. </w:t>
      </w:r>
      <w:r w:rsidRPr="008467AA">
        <w:rPr>
          <w:lang w:val="en-AU"/>
        </w:rPr>
        <w:t xml:space="preserve">Thee maps illustrate a well-documented inshore to offshore spatial pattern (e.g., Devlin et al., 2015), with coastal areas experiencing the highest frequency of occurrence of Primary plume waters and offshore areas less frequently exposed to plume and, when exposed, more frequently reached by the </w:t>
      </w:r>
      <w:r w:rsidR="001927A7">
        <w:rPr>
          <w:lang w:val="en-AU"/>
        </w:rPr>
        <w:t>T</w:t>
      </w:r>
      <w:r w:rsidRPr="008467AA">
        <w:rPr>
          <w:lang w:val="en-AU"/>
        </w:rPr>
        <w:t>ertiary water type of river plumes.</w:t>
      </w:r>
    </w:p>
    <w:p w14:paraId="5F22EEB9" w14:textId="409936A4" w:rsidR="00D361EB" w:rsidDel="00C36719" w:rsidRDefault="001927A7" w:rsidP="00D25616">
      <w:pPr>
        <w:spacing w:before="240"/>
        <w:rPr>
          <w:lang w:val="en-AU"/>
        </w:rPr>
      </w:pPr>
      <w:r>
        <w:rPr>
          <w:lang w:val="en-AU"/>
        </w:rPr>
        <w:t xml:space="preserve">A summary of water quality parameters in the </w:t>
      </w:r>
      <w:r w:rsidR="00F1689A">
        <w:rPr>
          <w:lang w:val="en-AU"/>
        </w:rPr>
        <w:t>six colour classes</w:t>
      </w:r>
      <w:r>
        <w:rPr>
          <w:lang w:val="en-AU"/>
        </w:rPr>
        <w:t xml:space="preserve"> in 2014-15 is shown in </w:t>
      </w:r>
      <w:r w:rsidR="00EB33A6">
        <w:rPr>
          <w:lang w:val="en-AU"/>
        </w:rPr>
        <w:fldChar w:fldCharType="begin"/>
      </w:r>
      <w:r w:rsidR="0065371E">
        <w:rPr>
          <w:lang w:val="en-AU"/>
        </w:rPr>
        <w:instrText xml:space="preserve"> REF _Ref437545506 \h </w:instrText>
      </w:r>
      <w:r w:rsidR="00C36719">
        <w:rPr>
          <w:lang w:val="en-AU"/>
        </w:rPr>
        <w:instrText xml:space="preserve"> \* MERGEFORMAT </w:instrText>
      </w:r>
      <w:r w:rsidR="00EB33A6">
        <w:rPr>
          <w:lang w:val="en-AU"/>
        </w:rPr>
      </w:r>
      <w:r w:rsidR="00EB33A6">
        <w:rPr>
          <w:lang w:val="en-AU"/>
        </w:rPr>
        <w:fldChar w:fldCharType="separate"/>
      </w:r>
      <w:r w:rsidR="007F5336" w:rsidRPr="0079306A">
        <w:t xml:space="preserve">Figure </w:t>
      </w:r>
      <w:r w:rsidR="007F5336">
        <w:rPr>
          <w:noProof/>
        </w:rPr>
        <w:t>5</w:t>
      </w:r>
      <w:r w:rsidR="007F5336">
        <w:rPr>
          <w:noProof/>
        </w:rPr>
        <w:noBreakHyphen/>
        <w:t>8</w:t>
      </w:r>
      <w:r w:rsidR="00EB33A6">
        <w:rPr>
          <w:lang w:val="en-AU"/>
        </w:rPr>
        <w:fldChar w:fldCharType="end"/>
      </w:r>
      <w:r w:rsidR="0065371E">
        <w:rPr>
          <w:lang w:val="en-AU"/>
        </w:rPr>
        <w:t xml:space="preserve"> and</w:t>
      </w:r>
      <w:r w:rsidR="00D361EB">
        <w:rPr>
          <w:lang w:val="en-AU"/>
        </w:rPr>
        <w:t xml:space="preserve"> </w:t>
      </w:r>
      <w:r>
        <w:rPr>
          <w:lang w:val="en-AU"/>
        </w:rPr>
        <w:t>detailed characteristics are provide</w:t>
      </w:r>
      <w:r w:rsidR="00D25616">
        <w:rPr>
          <w:lang w:val="en-AU"/>
        </w:rPr>
        <w:t>d</w:t>
      </w:r>
      <w:r>
        <w:rPr>
          <w:lang w:val="en-AU"/>
        </w:rPr>
        <w:t xml:space="preserve"> in </w:t>
      </w:r>
      <w:r w:rsidR="0070210F">
        <w:rPr>
          <w:lang w:val="en-AU"/>
        </w:rPr>
        <w:t>Table A2-3</w:t>
      </w:r>
      <w:r>
        <w:rPr>
          <w:lang w:val="en-AU"/>
        </w:rPr>
        <w:t>.</w:t>
      </w:r>
      <w:r w:rsidR="00D361EB" w:rsidRPr="00914B3A">
        <w:rPr>
          <w:lang w:val="en-AU"/>
        </w:rPr>
        <w:t xml:space="preserve"> Most of key </w:t>
      </w:r>
      <w:r>
        <w:rPr>
          <w:lang w:val="en-AU"/>
        </w:rPr>
        <w:t>water quality</w:t>
      </w:r>
      <w:r w:rsidRPr="00914B3A">
        <w:rPr>
          <w:lang w:val="en-AU"/>
        </w:rPr>
        <w:t xml:space="preserve"> </w:t>
      </w:r>
      <w:r w:rsidR="00D361EB" w:rsidRPr="00914B3A">
        <w:rPr>
          <w:lang w:val="en-AU"/>
        </w:rPr>
        <w:t xml:space="preserve">parameters </w:t>
      </w:r>
      <w:r w:rsidR="00D361EB">
        <w:rPr>
          <w:lang w:val="en-AU"/>
        </w:rPr>
        <w:t>in both the long-term dataset (2003</w:t>
      </w:r>
      <w:r>
        <w:rPr>
          <w:lang w:val="en-AU"/>
        </w:rPr>
        <w:t xml:space="preserve"> to </w:t>
      </w:r>
      <w:r w:rsidR="00C36719">
        <w:rPr>
          <w:lang w:val="en-AU"/>
        </w:rPr>
        <w:t>2015</w:t>
      </w:r>
      <w:r w:rsidR="00D361EB">
        <w:rPr>
          <w:lang w:val="en-AU"/>
        </w:rPr>
        <w:t xml:space="preserve">) and in the reporting year 2014-15, </w:t>
      </w:r>
      <w:r w:rsidR="00D361EB" w:rsidRPr="00914B3A">
        <w:rPr>
          <w:lang w:val="en-AU"/>
        </w:rPr>
        <w:t>including K</w:t>
      </w:r>
      <w:r w:rsidR="00D361EB" w:rsidRPr="00D14567">
        <w:rPr>
          <w:lang w:val="en-AU"/>
        </w:rPr>
        <w:t>d</w:t>
      </w:r>
      <w:r w:rsidR="00D361EB" w:rsidRPr="00914B3A">
        <w:rPr>
          <w:lang w:val="en-AU"/>
        </w:rPr>
        <w:t>(PAR</w:t>
      </w:r>
      <w:r w:rsidR="00F1689A" w:rsidRPr="00A13B8E">
        <w:rPr>
          <w:lang w:val="en-AU"/>
        </w:rPr>
        <w:t>, photosynthetic active radiation</w:t>
      </w:r>
      <w:r w:rsidR="00D361EB" w:rsidRPr="00914B3A">
        <w:rPr>
          <w:lang w:val="en-AU"/>
        </w:rPr>
        <w:t>), TSS and DIN</w:t>
      </w:r>
      <w:r w:rsidR="00D361EB">
        <w:rPr>
          <w:lang w:val="en-AU"/>
        </w:rPr>
        <w:t>,</w:t>
      </w:r>
      <w:r w:rsidR="00D361EB" w:rsidRPr="00914B3A">
        <w:rPr>
          <w:lang w:val="en-AU"/>
        </w:rPr>
        <w:t xml:space="preserve"> followed published trends i.e., decreasing values from the Primary to the Tertiary plume water type. </w:t>
      </w:r>
    </w:p>
    <w:p w14:paraId="5F22EEBA" w14:textId="13757BEA" w:rsidR="00D361EB" w:rsidRPr="008467AA" w:rsidRDefault="00D361EB" w:rsidP="00C36719">
      <w:pPr>
        <w:rPr>
          <w:lang w:val="en-AU"/>
        </w:rPr>
      </w:pPr>
      <w:r w:rsidRPr="008467AA">
        <w:rPr>
          <w:lang w:val="en-AU"/>
        </w:rPr>
        <w:t xml:space="preserve">While Devlin et al. (2012a) reported higher </w:t>
      </w:r>
      <w:r w:rsidR="00D14567">
        <w:rPr>
          <w:lang w:val="en-AU"/>
        </w:rPr>
        <w:t>Chl</w:t>
      </w:r>
      <w:r w:rsidRPr="008467AA">
        <w:rPr>
          <w:lang w:val="en-AU"/>
        </w:rPr>
        <w:t xml:space="preserve">-a concentration in the </w:t>
      </w:r>
      <w:r w:rsidR="00C36719">
        <w:rPr>
          <w:lang w:val="en-AU"/>
        </w:rPr>
        <w:t>S</w:t>
      </w:r>
      <w:r w:rsidR="00C36719" w:rsidRPr="008467AA">
        <w:rPr>
          <w:lang w:val="en-AU"/>
        </w:rPr>
        <w:t xml:space="preserve">econdary </w:t>
      </w:r>
      <w:r w:rsidRPr="008467AA">
        <w:rPr>
          <w:lang w:val="en-AU"/>
        </w:rPr>
        <w:t xml:space="preserve">water type in comparison to the Primary water type, </w:t>
      </w:r>
      <w:r w:rsidR="00F1689A">
        <w:rPr>
          <w:lang w:val="en-AU"/>
        </w:rPr>
        <w:t>this wet season</w:t>
      </w:r>
      <w:r w:rsidR="00F1689A" w:rsidRPr="008467AA">
        <w:rPr>
          <w:lang w:val="en-AU"/>
        </w:rPr>
        <w:t xml:space="preserve"> </w:t>
      </w:r>
      <w:r w:rsidRPr="008467AA">
        <w:rPr>
          <w:lang w:val="en-AU"/>
        </w:rPr>
        <w:t xml:space="preserve">showed higher mean </w:t>
      </w:r>
      <w:r w:rsidR="00D14567">
        <w:rPr>
          <w:lang w:val="en-AU"/>
        </w:rPr>
        <w:t>Chl</w:t>
      </w:r>
      <w:r w:rsidR="00C36719" w:rsidRPr="008467AA">
        <w:rPr>
          <w:lang w:val="en-AU"/>
        </w:rPr>
        <w:t>-a</w:t>
      </w:r>
      <w:r w:rsidR="00C36719" w:rsidRPr="008467AA" w:rsidDel="00C36719">
        <w:rPr>
          <w:lang w:val="en-AU"/>
        </w:rPr>
        <w:t xml:space="preserve"> </w:t>
      </w:r>
      <w:r w:rsidRPr="008467AA">
        <w:rPr>
          <w:lang w:val="en-AU"/>
        </w:rPr>
        <w:t xml:space="preserve"> concentrations in the Primary</w:t>
      </w:r>
      <w:r w:rsidR="00D14567">
        <w:rPr>
          <w:lang w:val="en-AU"/>
        </w:rPr>
        <w:t xml:space="preserve"> water type</w:t>
      </w:r>
      <w:r w:rsidRPr="008467AA">
        <w:rPr>
          <w:lang w:val="en-AU"/>
        </w:rPr>
        <w:t xml:space="preserve"> </w:t>
      </w:r>
      <w:r w:rsidRPr="00914B3A">
        <w:rPr>
          <w:lang w:val="en-AU"/>
        </w:rPr>
        <w:t>than</w:t>
      </w:r>
      <w:r w:rsidR="00F1689A">
        <w:rPr>
          <w:lang w:val="en-AU"/>
        </w:rPr>
        <w:t xml:space="preserve"> in</w:t>
      </w:r>
      <w:r w:rsidRPr="00914B3A">
        <w:rPr>
          <w:lang w:val="en-AU"/>
        </w:rPr>
        <w:t xml:space="preserve"> the </w:t>
      </w:r>
      <w:r w:rsidR="00C36719">
        <w:rPr>
          <w:lang w:val="en-AU"/>
        </w:rPr>
        <w:t>S</w:t>
      </w:r>
      <w:r w:rsidR="00C36719" w:rsidRPr="00914B3A">
        <w:rPr>
          <w:lang w:val="en-AU"/>
        </w:rPr>
        <w:t xml:space="preserve">econdary </w:t>
      </w:r>
      <w:r w:rsidRPr="008467AA">
        <w:rPr>
          <w:lang w:val="en-AU"/>
        </w:rPr>
        <w:t>water type</w:t>
      </w:r>
      <w:r w:rsidRPr="00914B3A">
        <w:rPr>
          <w:lang w:val="en-AU"/>
        </w:rPr>
        <w:t xml:space="preserve">, with mean </w:t>
      </w:r>
      <w:r w:rsidRPr="008467AA">
        <w:rPr>
          <w:lang w:val="en-AU"/>
        </w:rPr>
        <w:t>values of about 2 μg L</w:t>
      </w:r>
      <w:r w:rsidRPr="008514CA">
        <w:rPr>
          <w:vertAlign w:val="superscript"/>
          <w:lang w:val="en-AU"/>
        </w:rPr>
        <w:t>-1</w:t>
      </w:r>
      <w:r w:rsidRPr="008467AA">
        <w:rPr>
          <w:lang w:val="en-AU"/>
        </w:rPr>
        <w:t xml:space="preserve"> in the Primary water type</w:t>
      </w:r>
      <w:r w:rsidR="00D14567">
        <w:rPr>
          <w:lang w:val="en-AU"/>
        </w:rPr>
        <w:t xml:space="preserve"> </w:t>
      </w:r>
      <w:r w:rsidR="00D14567" w:rsidRPr="00A13B8E">
        <w:rPr>
          <w:lang w:val="en-AU"/>
        </w:rPr>
        <w:t>(</w:t>
      </w:r>
      <w:r w:rsidR="00D14567">
        <w:rPr>
          <w:lang w:val="en-AU"/>
        </w:rPr>
        <w:t xml:space="preserve">1.05 </w:t>
      </w:r>
      <w:r w:rsidR="00D14567">
        <w:rPr>
          <w:rFonts w:cs="Arial"/>
          <w:lang w:val="en-AU"/>
        </w:rPr>
        <w:t>±</w:t>
      </w:r>
      <w:r w:rsidR="00D14567">
        <w:rPr>
          <w:lang w:val="en-AU"/>
        </w:rPr>
        <w:t xml:space="preserve"> 0.54</w:t>
      </w:r>
      <w:r w:rsidR="00D14567" w:rsidRPr="00A13B8E">
        <w:rPr>
          <w:lang w:val="en-AU"/>
        </w:rPr>
        <w:t xml:space="preserve"> μg L</w:t>
      </w:r>
      <w:r w:rsidR="00D14567" w:rsidRPr="00A13B8E">
        <w:rPr>
          <w:vertAlign w:val="superscript"/>
          <w:lang w:val="en-AU"/>
        </w:rPr>
        <w:t>-1</w:t>
      </w:r>
      <w:r w:rsidR="00D14567" w:rsidRPr="00A13B8E">
        <w:rPr>
          <w:lang w:val="en-AU"/>
        </w:rPr>
        <w:t>)</w:t>
      </w:r>
      <w:r w:rsidRPr="008467AA">
        <w:rPr>
          <w:lang w:val="en-AU"/>
        </w:rPr>
        <w:t xml:space="preserve"> and 1 μg L</w:t>
      </w:r>
      <w:r w:rsidRPr="008514CA">
        <w:rPr>
          <w:vertAlign w:val="superscript"/>
          <w:lang w:val="en-AU"/>
        </w:rPr>
        <w:t>-1</w:t>
      </w:r>
      <w:r w:rsidRPr="008467AA">
        <w:rPr>
          <w:lang w:val="en-AU"/>
        </w:rPr>
        <w:t xml:space="preserve"> in the </w:t>
      </w:r>
      <w:r w:rsidR="00C36719">
        <w:rPr>
          <w:lang w:val="en-AU"/>
        </w:rPr>
        <w:t>S</w:t>
      </w:r>
      <w:r w:rsidR="00C36719" w:rsidRPr="008467AA">
        <w:rPr>
          <w:lang w:val="en-AU"/>
        </w:rPr>
        <w:t xml:space="preserve">econdary </w:t>
      </w:r>
      <w:r w:rsidR="00F1689A" w:rsidRPr="00A13B8E">
        <w:rPr>
          <w:lang w:val="en-AU"/>
        </w:rPr>
        <w:t>(</w:t>
      </w:r>
      <w:r w:rsidR="00F1689A">
        <w:rPr>
          <w:lang w:val="en-AU"/>
        </w:rPr>
        <w:t xml:space="preserve">0.73 </w:t>
      </w:r>
      <w:r w:rsidR="00F1689A">
        <w:rPr>
          <w:rFonts w:cs="Arial"/>
          <w:lang w:val="en-AU"/>
        </w:rPr>
        <w:t>±</w:t>
      </w:r>
      <w:r w:rsidR="00F1689A">
        <w:rPr>
          <w:lang w:val="en-AU"/>
        </w:rPr>
        <w:t xml:space="preserve"> 0.54</w:t>
      </w:r>
      <w:r w:rsidR="00F1689A" w:rsidRPr="00A13B8E">
        <w:rPr>
          <w:lang w:val="en-AU"/>
        </w:rPr>
        <w:t xml:space="preserve"> μg L</w:t>
      </w:r>
      <w:r w:rsidR="00F1689A" w:rsidRPr="00A13B8E">
        <w:rPr>
          <w:vertAlign w:val="superscript"/>
          <w:lang w:val="en-AU"/>
        </w:rPr>
        <w:t>-1</w:t>
      </w:r>
      <w:r w:rsidR="00F1689A" w:rsidRPr="00A13B8E">
        <w:rPr>
          <w:lang w:val="en-AU"/>
        </w:rPr>
        <w:t>)</w:t>
      </w:r>
      <w:r w:rsidR="00F1689A">
        <w:rPr>
          <w:lang w:val="en-AU"/>
        </w:rPr>
        <w:t>. This wet season was characterised by low rainfall and consequent river discharge, resulting in river plumes that were not well developed, and therefore the sampling sites did not receive high riverine influence (colour class 1, near the river mouth) and also had low representation in colour classes 2 and 3</w:t>
      </w:r>
      <w:r w:rsidR="00F1689A" w:rsidRPr="008467AA">
        <w:rPr>
          <w:lang w:val="en-AU"/>
        </w:rPr>
        <w:t xml:space="preserve"> </w:t>
      </w:r>
      <w:r w:rsidRPr="008467AA">
        <w:rPr>
          <w:lang w:val="en-AU"/>
        </w:rPr>
        <w:t>(</w:t>
      </w:r>
      <w:r w:rsidRPr="005A55C3">
        <w:rPr>
          <w:lang w:val="en-AU"/>
        </w:rPr>
        <w:t>Table A2-</w:t>
      </w:r>
      <w:r w:rsidR="00FC079A">
        <w:rPr>
          <w:lang w:val="en-AU"/>
        </w:rPr>
        <w:t>3</w:t>
      </w:r>
      <w:r w:rsidRPr="008467AA">
        <w:rPr>
          <w:lang w:val="en-AU"/>
        </w:rPr>
        <w:t xml:space="preserve">). </w:t>
      </w:r>
      <w:r w:rsidR="00A74A33">
        <w:rPr>
          <w:lang w:val="en-AU"/>
        </w:rPr>
        <w:t>The standard deviations are high on these concentrations</w:t>
      </w:r>
      <w:r w:rsidR="00D25616">
        <w:rPr>
          <w:lang w:val="en-AU"/>
        </w:rPr>
        <w:t>, particularly for the nutrient</w:t>
      </w:r>
      <w:r w:rsidR="00F1689A">
        <w:rPr>
          <w:lang w:val="en-AU"/>
        </w:rPr>
        <w:t>s</w:t>
      </w:r>
      <w:r w:rsidR="00D25616">
        <w:rPr>
          <w:lang w:val="en-AU"/>
        </w:rPr>
        <w:t>.</w:t>
      </w:r>
      <w:r w:rsidR="00A74A33">
        <w:rPr>
          <w:lang w:val="en-AU"/>
        </w:rPr>
        <w:t xml:space="preserve"> </w:t>
      </w:r>
      <w:r w:rsidR="00C36719">
        <w:rPr>
          <w:lang w:val="en-AU"/>
        </w:rPr>
        <w:t>T</w:t>
      </w:r>
      <w:r w:rsidR="00C36719" w:rsidRPr="008467AA">
        <w:rPr>
          <w:lang w:val="en-AU"/>
        </w:rPr>
        <w:t xml:space="preserve">he </w:t>
      </w:r>
      <w:r w:rsidR="00F1689A">
        <w:rPr>
          <w:lang w:val="en-AU"/>
        </w:rPr>
        <w:t>elevated</w:t>
      </w:r>
      <w:r w:rsidR="00C36719" w:rsidRPr="008467AA">
        <w:rPr>
          <w:lang w:val="en-AU"/>
        </w:rPr>
        <w:t xml:space="preserve"> chlorophyll-a</w:t>
      </w:r>
      <w:r w:rsidR="00C36719" w:rsidRPr="008467AA" w:rsidDel="00C36719">
        <w:rPr>
          <w:lang w:val="en-AU"/>
        </w:rPr>
        <w:t xml:space="preserve"> </w:t>
      </w:r>
      <w:r w:rsidR="00C36719" w:rsidRPr="008467AA">
        <w:rPr>
          <w:lang w:val="en-AU"/>
        </w:rPr>
        <w:t xml:space="preserve">concentrations measured in the </w:t>
      </w:r>
      <w:r w:rsidR="00C36719">
        <w:rPr>
          <w:lang w:val="en-AU"/>
        </w:rPr>
        <w:t>Primary waters could be explained by t</w:t>
      </w:r>
      <w:r w:rsidRPr="008467AA">
        <w:rPr>
          <w:lang w:val="en-AU"/>
        </w:rPr>
        <w:t xml:space="preserve">he presence of freshwater phytoplankton or other vegetation detritus transported offshore by GBR </w:t>
      </w:r>
      <w:r w:rsidR="00C36719">
        <w:rPr>
          <w:lang w:val="en-AU"/>
        </w:rPr>
        <w:t>r</w:t>
      </w:r>
      <w:r w:rsidR="00C36719" w:rsidRPr="008467AA">
        <w:rPr>
          <w:lang w:val="en-AU"/>
        </w:rPr>
        <w:t>ivers</w:t>
      </w:r>
      <w:r w:rsidR="00C36719">
        <w:rPr>
          <w:lang w:val="en-AU"/>
        </w:rPr>
        <w:t>,</w:t>
      </w:r>
      <w:r w:rsidR="00C36719" w:rsidRPr="008467AA">
        <w:rPr>
          <w:lang w:val="en-AU"/>
        </w:rPr>
        <w:t xml:space="preserve"> </w:t>
      </w:r>
      <w:r w:rsidRPr="008467AA">
        <w:rPr>
          <w:lang w:val="en-AU"/>
        </w:rPr>
        <w:t xml:space="preserve">or the time-lag between the in-situ </w:t>
      </w:r>
      <w:r w:rsidR="00C36719" w:rsidRPr="008467AA">
        <w:rPr>
          <w:lang w:val="en-AU"/>
        </w:rPr>
        <w:t>chlorophyll-a</w:t>
      </w:r>
      <w:r w:rsidR="00C36719" w:rsidRPr="008467AA" w:rsidDel="00C36719">
        <w:rPr>
          <w:lang w:val="en-AU"/>
        </w:rPr>
        <w:t xml:space="preserve"> </w:t>
      </w:r>
      <w:r w:rsidRPr="008467AA">
        <w:rPr>
          <w:lang w:val="en-AU"/>
        </w:rPr>
        <w:t>measurements and satellite measurement (weekly composites)</w:t>
      </w:r>
      <w:r w:rsidR="00C36719">
        <w:rPr>
          <w:lang w:val="en-AU"/>
        </w:rPr>
        <w:t>,</w:t>
      </w:r>
      <w:r w:rsidRPr="008467AA">
        <w:rPr>
          <w:lang w:val="en-AU"/>
        </w:rPr>
        <w:t xml:space="preserve"> allowing settlement of the heaviest sediments (Bainbridge et al., 2012) and thus more light for productivity. Devlin et al. (2013) reported a peak of </w:t>
      </w:r>
      <w:r w:rsidR="00C36719" w:rsidRPr="008467AA">
        <w:rPr>
          <w:lang w:val="en-AU"/>
        </w:rPr>
        <w:t>chlorophyll-a</w:t>
      </w:r>
      <w:r w:rsidR="00C36719" w:rsidRPr="008467AA" w:rsidDel="00C36719">
        <w:rPr>
          <w:lang w:val="en-AU"/>
        </w:rPr>
        <w:t xml:space="preserve"> </w:t>
      </w:r>
      <w:r w:rsidRPr="008467AA">
        <w:rPr>
          <w:lang w:val="en-AU"/>
        </w:rPr>
        <w:t xml:space="preserve">concentration in samples located in transition zones between the Primary and Secondary water types </w:t>
      </w:r>
      <w:r w:rsidR="00F1689A">
        <w:rPr>
          <w:lang w:val="en-AU"/>
        </w:rPr>
        <w:t>which would be</w:t>
      </w:r>
      <w:r w:rsidRPr="008467AA">
        <w:rPr>
          <w:lang w:val="en-AU"/>
        </w:rPr>
        <w:t xml:space="preserve"> driven by a reduction in both TSS and Kd</w:t>
      </w:r>
      <w:r w:rsidR="00C36719">
        <w:rPr>
          <w:lang w:val="en-AU"/>
        </w:rPr>
        <w:t>(</w:t>
      </w:r>
      <w:r w:rsidRPr="008467AA">
        <w:rPr>
          <w:lang w:val="en-AU"/>
        </w:rPr>
        <w:t>PAR</w:t>
      </w:r>
      <w:r w:rsidR="00C36719">
        <w:rPr>
          <w:lang w:val="en-AU"/>
        </w:rPr>
        <w:t>)</w:t>
      </w:r>
      <w:r w:rsidRPr="008467AA">
        <w:rPr>
          <w:lang w:val="en-AU"/>
        </w:rPr>
        <w:t xml:space="preserve"> values as well as regular nutrients inputs. </w:t>
      </w:r>
      <w:r w:rsidR="00F1689A">
        <w:rPr>
          <w:lang w:val="en-AU"/>
        </w:rPr>
        <w:t xml:space="preserve">Regardless the few data sampled for chlorophyll-a this wet season, higher values were observed in colour class 3. </w:t>
      </w:r>
      <w:r w:rsidRPr="008467AA">
        <w:rPr>
          <w:lang w:val="en-AU"/>
        </w:rPr>
        <w:t>Further analyses are requ</w:t>
      </w:r>
      <w:r>
        <w:rPr>
          <w:lang w:val="en-AU"/>
        </w:rPr>
        <w:t>ired</w:t>
      </w:r>
      <w:r w:rsidRPr="008467AA">
        <w:rPr>
          <w:lang w:val="en-AU"/>
        </w:rPr>
        <w:t xml:space="preserve"> to validate this </w:t>
      </w:r>
      <w:r>
        <w:rPr>
          <w:lang w:val="en-AU"/>
        </w:rPr>
        <w:t>assumption</w:t>
      </w:r>
      <w:r w:rsidRPr="008467AA">
        <w:rPr>
          <w:lang w:val="en-AU"/>
        </w:rPr>
        <w:t xml:space="preserve">. </w:t>
      </w:r>
    </w:p>
    <w:p w14:paraId="119F650E" w14:textId="12F59A10" w:rsidR="00D25616" w:rsidDel="00C36719" w:rsidRDefault="00D25616" w:rsidP="00D25616">
      <w:pPr>
        <w:spacing w:before="240"/>
        <w:rPr>
          <w:lang w:val="en-AU"/>
        </w:rPr>
      </w:pPr>
      <w:r>
        <w:rPr>
          <w:lang w:val="en-AU"/>
        </w:rPr>
        <w:t xml:space="preserve">The results for PSII herbicides were relatively low in 2014-15 and are shown </w:t>
      </w:r>
      <w:r w:rsidR="002553D7">
        <w:rPr>
          <w:lang w:val="en-AU"/>
        </w:rPr>
        <w:t xml:space="preserve">for context </w:t>
      </w:r>
      <w:r>
        <w:rPr>
          <w:lang w:val="en-AU"/>
        </w:rPr>
        <w:t xml:space="preserve">for the Wet Tropics region only in </w:t>
      </w:r>
      <w:r>
        <w:rPr>
          <w:lang w:val="en-AU"/>
        </w:rPr>
        <w:fldChar w:fldCharType="begin"/>
      </w:r>
      <w:r>
        <w:rPr>
          <w:lang w:val="en-AU"/>
        </w:rPr>
        <w:instrText xml:space="preserve"> REF _Ref452296968 \h </w:instrText>
      </w:r>
      <w:r>
        <w:rPr>
          <w:lang w:val="en-AU"/>
        </w:rPr>
      </w:r>
      <w:r>
        <w:rPr>
          <w:lang w:val="en-AU"/>
        </w:rPr>
        <w:fldChar w:fldCharType="separate"/>
      </w:r>
      <w:r w:rsidR="007F5336" w:rsidRPr="0079306A">
        <w:t xml:space="preserve">Figure </w:t>
      </w:r>
      <w:r w:rsidR="007F5336">
        <w:rPr>
          <w:noProof/>
        </w:rPr>
        <w:t>5</w:t>
      </w:r>
      <w:r w:rsidR="007F5336">
        <w:noBreakHyphen/>
      </w:r>
      <w:r w:rsidR="007F5336">
        <w:rPr>
          <w:noProof/>
        </w:rPr>
        <w:t>8</w:t>
      </w:r>
      <w:r>
        <w:rPr>
          <w:lang w:val="en-AU"/>
        </w:rPr>
        <w:fldChar w:fldCharType="end"/>
      </w:r>
      <w:r>
        <w:rPr>
          <w:lang w:val="en-AU"/>
        </w:rPr>
        <w:t xml:space="preserve">; only a small number of samples were available for the Burdekin region. </w:t>
      </w:r>
      <w:r w:rsidRPr="00914B3A">
        <w:rPr>
          <w:lang w:val="en-AU"/>
        </w:rPr>
        <w:t>Lewis et al. (2009) reported that the concentrations of PSII herbicides on the GBR typically exhibit a linear decline across the salinity gradient (i.e., from Primary to Tertiary water types</w:t>
      </w:r>
      <w:r w:rsidR="00F1689A">
        <w:rPr>
          <w:lang w:val="en-AU"/>
        </w:rPr>
        <w:t>, or from colour class 1 to 6</w:t>
      </w:r>
      <w:r w:rsidRPr="00914B3A">
        <w:rPr>
          <w:lang w:val="en-AU"/>
        </w:rPr>
        <w:t xml:space="preserve">). </w:t>
      </w:r>
      <w:r>
        <w:rPr>
          <w:lang w:val="en-AU"/>
        </w:rPr>
        <w:t xml:space="preserve">While </w:t>
      </w:r>
      <w:r w:rsidR="00F1689A">
        <w:rPr>
          <w:lang w:val="en-AU"/>
        </w:rPr>
        <w:t>D</w:t>
      </w:r>
      <w:r w:rsidRPr="00914B3A">
        <w:rPr>
          <w:lang w:val="en-AU"/>
        </w:rPr>
        <w:t xml:space="preserve">iuron values </w:t>
      </w:r>
      <w:r>
        <w:rPr>
          <w:lang w:val="en-AU"/>
        </w:rPr>
        <w:t xml:space="preserve">generally </w:t>
      </w:r>
      <w:r w:rsidRPr="00914B3A">
        <w:rPr>
          <w:lang w:val="en-AU"/>
        </w:rPr>
        <w:t xml:space="preserve">followed expected trends with mean </w:t>
      </w:r>
      <w:r w:rsidR="00F1689A">
        <w:rPr>
          <w:lang w:val="en-AU"/>
        </w:rPr>
        <w:t>D</w:t>
      </w:r>
      <w:r w:rsidRPr="00914B3A">
        <w:rPr>
          <w:lang w:val="en-AU"/>
        </w:rPr>
        <w:t xml:space="preserve">iuron concentrations in Primary and Secondary respectively of about 20 </w:t>
      </w:r>
      <w:r w:rsidRPr="008467AA">
        <w:rPr>
          <w:lang w:val="en-AU"/>
        </w:rPr>
        <w:t>ng L</w:t>
      </w:r>
      <w:r w:rsidRPr="00A26D02">
        <w:rPr>
          <w:vertAlign w:val="superscript"/>
          <w:lang w:val="en-AU"/>
        </w:rPr>
        <w:t>-1</w:t>
      </w:r>
      <w:r w:rsidRPr="00914B3A">
        <w:rPr>
          <w:lang w:val="en-AU"/>
        </w:rPr>
        <w:t xml:space="preserve"> and concentrations measured in tertiary plume waters of about 6 </w:t>
      </w:r>
      <w:r w:rsidRPr="008467AA">
        <w:rPr>
          <w:lang w:val="en-AU"/>
        </w:rPr>
        <w:t>ng L</w:t>
      </w:r>
      <w:r w:rsidRPr="00A26D02">
        <w:rPr>
          <w:vertAlign w:val="superscript"/>
          <w:lang w:val="en-AU"/>
        </w:rPr>
        <w:t>-1</w:t>
      </w:r>
      <w:r>
        <w:rPr>
          <w:lang w:val="en-AU"/>
        </w:rPr>
        <w:t xml:space="preserve">, there is </w:t>
      </w:r>
      <w:r w:rsidRPr="00914B3A">
        <w:rPr>
          <w:lang w:val="en-AU"/>
        </w:rPr>
        <w:t xml:space="preserve">high variability around the mean </w:t>
      </w:r>
      <w:r>
        <w:rPr>
          <w:lang w:val="en-AU"/>
        </w:rPr>
        <w:t>d</w:t>
      </w:r>
      <w:r w:rsidRPr="00914B3A">
        <w:rPr>
          <w:lang w:val="en-AU"/>
        </w:rPr>
        <w:t>iuron concentration across the Primary water type (</w:t>
      </w:r>
      <w:r w:rsidR="00B239E5">
        <w:rPr>
          <w:lang w:val="en-AU"/>
        </w:rPr>
        <w:t xml:space="preserve">colour class 1 to </w:t>
      </w:r>
      <w:r w:rsidRPr="00914B3A">
        <w:rPr>
          <w:lang w:val="en-AU"/>
        </w:rPr>
        <w:t>4</w:t>
      </w:r>
      <w:r>
        <w:rPr>
          <w:lang w:val="en-AU"/>
        </w:rPr>
        <w:t xml:space="preserve">, see </w:t>
      </w:r>
      <w:r w:rsidRPr="005A55C3">
        <w:rPr>
          <w:lang w:val="en-AU"/>
        </w:rPr>
        <w:t>Table A2-</w:t>
      </w:r>
      <w:r w:rsidRPr="00AE0746">
        <w:rPr>
          <w:lang w:val="en-AU"/>
        </w:rPr>
        <w:t>3</w:t>
      </w:r>
      <w:r w:rsidRPr="00914B3A">
        <w:rPr>
          <w:lang w:val="en-AU"/>
        </w:rPr>
        <w:t>)</w:t>
      </w:r>
      <w:r>
        <w:rPr>
          <w:lang w:val="en-AU"/>
        </w:rPr>
        <w:t>.</w:t>
      </w:r>
      <w:r w:rsidRPr="00914B3A">
        <w:rPr>
          <w:lang w:val="en-AU"/>
        </w:rPr>
        <w:t xml:space="preserve"> </w:t>
      </w:r>
      <w:r w:rsidR="002553D7">
        <w:rPr>
          <w:lang w:val="en-AU"/>
        </w:rPr>
        <w:t>Full results of the pesticide sampling are presented in Gallen et al. (2016).</w:t>
      </w:r>
    </w:p>
    <w:p w14:paraId="1A483653" w14:textId="77777777" w:rsidR="00D14567" w:rsidRDefault="00D14567" w:rsidP="00DA2DAF">
      <w:pPr>
        <w:pStyle w:val="Caption"/>
      </w:pPr>
    </w:p>
    <w:p w14:paraId="74B0CB14" w14:textId="11FF4B13" w:rsidR="00D14567" w:rsidRDefault="00D14567" w:rsidP="00DA2DAF">
      <w:pPr>
        <w:pStyle w:val="Caption"/>
      </w:pPr>
      <w:r>
        <w:br w:type="page"/>
      </w:r>
    </w:p>
    <w:p w14:paraId="68D8FCC2" w14:textId="2A0A6AA2" w:rsidR="00D14567" w:rsidRDefault="00D14567" w:rsidP="00124249">
      <w:r w:rsidRPr="00E0414B">
        <w:rPr>
          <w:noProof/>
          <w:lang w:val="en-AU" w:eastAsia="en-AU"/>
        </w:rPr>
        <w:drawing>
          <wp:anchor distT="0" distB="0" distL="114300" distR="114300" simplePos="0" relativeHeight="251648512" behindDoc="0" locked="0" layoutInCell="1" allowOverlap="1" wp14:anchorId="6026E4F5" wp14:editId="68A06487">
            <wp:simplePos x="0" y="0"/>
            <wp:positionH relativeFrom="column">
              <wp:posOffset>0</wp:posOffset>
            </wp:positionH>
            <wp:positionV relativeFrom="paragraph">
              <wp:posOffset>12065</wp:posOffset>
            </wp:positionV>
            <wp:extent cx="4343400" cy="8160385"/>
            <wp:effectExtent l="0" t="0" r="0" b="0"/>
            <wp:wrapTopAndBottom/>
            <wp:docPr id="7187" name="Picture 7187" descr="Map showing the frequency of river plumes in the 2014-15 wet season (22 weeks) of all colour classes (1 to 6), where the highest frequency is shown in orange, and the lowest frequency is shown in blue. " title="Figure 5 6: Map showing the frequency of river plumes in the 2014-15 wet season (22 weeks) of all colour classes (1 to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equency_map_full_v2-01.jpg"/>
                    <pic:cNvPicPr/>
                  </pic:nvPicPr>
                  <pic:blipFill>
                    <a:blip r:embed="rId317">
                      <a:extLst>
                        <a:ext uri="{28A0092B-C50C-407E-A947-70E740481C1C}">
                          <a14:useLocalDpi xmlns:a14="http://schemas.microsoft.com/office/drawing/2010/main" val="0"/>
                        </a:ext>
                      </a:extLst>
                    </a:blip>
                    <a:stretch>
                      <a:fillRect/>
                    </a:stretch>
                  </pic:blipFill>
                  <pic:spPr>
                    <a:xfrm>
                      <a:off x="0" y="0"/>
                      <a:ext cx="4343400" cy="8160385"/>
                    </a:xfrm>
                    <a:prstGeom prst="rect">
                      <a:avLst/>
                    </a:prstGeom>
                  </pic:spPr>
                </pic:pic>
              </a:graphicData>
            </a:graphic>
            <wp14:sizeRelH relativeFrom="page">
              <wp14:pctWidth>0</wp14:pctWidth>
            </wp14:sizeRelH>
            <wp14:sizeRelV relativeFrom="page">
              <wp14:pctHeight>0</wp14:pctHeight>
            </wp14:sizeRelV>
          </wp:anchor>
        </w:drawing>
      </w:r>
    </w:p>
    <w:p w14:paraId="5F22EEBD" w14:textId="3E23E651" w:rsidR="00D361EB" w:rsidRPr="0087770E" w:rsidRDefault="0087770E" w:rsidP="00DA2DAF">
      <w:pPr>
        <w:pStyle w:val="Caption"/>
      </w:pPr>
      <w:bookmarkStart w:id="773" w:name="_Ref437545440"/>
      <w:bookmarkStart w:id="774" w:name="_Toc459332364"/>
      <w:r w:rsidRPr="0087770E">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6</w:t>
      </w:r>
      <w:r w:rsidR="00C62884">
        <w:fldChar w:fldCharType="end"/>
      </w:r>
      <w:bookmarkEnd w:id="773"/>
      <w:r w:rsidRPr="0087770E">
        <w:t xml:space="preserve">: </w:t>
      </w:r>
      <w:r w:rsidR="000414E3">
        <w:t xml:space="preserve">Map showing the frequency of river plumes in the </w:t>
      </w:r>
      <w:r w:rsidRPr="0087770E">
        <w:t xml:space="preserve">2014-15 </w:t>
      </w:r>
      <w:r w:rsidR="000414E3">
        <w:t>wet season</w:t>
      </w:r>
      <w:r w:rsidR="001763F9">
        <w:t xml:space="preserve"> (22 weeks) of all colour classes (1 to 6)</w:t>
      </w:r>
      <w:r w:rsidR="00135EBF">
        <w:t>, where the highest frequency is shown in orange, and the lowest frequency is shown in blue</w:t>
      </w:r>
      <w:r w:rsidR="001763F9">
        <w:t>.</w:t>
      </w:r>
      <w:bookmarkEnd w:id="774"/>
      <w:r w:rsidR="001763F9">
        <w:t xml:space="preserve"> </w:t>
      </w:r>
    </w:p>
    <w:p w14:paraId="40420105" w14:textId="70D83EF2" w:rsidR="00135EBF" w:rsidRDefault="00135EBF" w:rsidP="00124249">
      <w:bookmarkStart w:id="775" w:name="_Ref437545446"/>
      <w:r>
        <w:rPr>
          <w:noProof/>
          <w:lang w:val="en-AU" w:eastAsia="en-AU"/>
        </w:rPr>
        <w:drawing>
          <wp:anchor distT="0" distB="0" distL="114300" distR="114300" simplePos="0" relativeHeight="251649536" behindDoc="0" locked="0" layoutInCell="1" allowOverlap="1" wp14:anchorId="6CF5279E" wp14:editId="460AC9D5">
            <wp:simplePos x="0" y="0"/>
            <wp:positionH relativeFrom="column">
              <wp:posOffset>0</wp:posOffset>
            </wp:positionH>
            <wp:positionV relativeFrom="paragraph">
              <wp:posOffset>0</wp:posOffset>
            </wp:positionV>
            <wp:extent cx="5573395" cy="5731510"/>
            <wp:effectExtent l="0" t="0" r="8255" b="2540"/>
            <wp:wrapTopAndBottom/>
            <wp:docPr id="7192" name="Picture 7192" descr="Map showing the frequency of Primary, Secondary and Tertiary plume water types in the 2014-15 wet season (22 weeks), where the highest frequency is shown in orange, and the lowest frequency is shown in blue." title="Figure 5 7: Map showing the frequency of Primary, Secondary and Tertiary plume water types in the 2014-15 wet season (22 wee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equency_maps_PST_v2-01.jpg"/>
                    <pic:cNvPicPr/>
                  </pic:nvPicPr>
                  <pic:blipFill>
                    <a:blip r:embed="rId318">
                      <a:extLst>
                        <a:ext uri="{28A0092B-C50C-407E-A947-70E740481C1C}">
                          <a14:useLocalDpi xmlns:a14="http://schemas.microsoft.com/office/drawing/2010/main" val="0"/>
                        </a:ext>
                      </a:extLst>
                    </a:blip>
                    <a:stretch>
                      <a:fillRect/>
                    </a:stretch>
                  </pic:blipFill>
                  <pic:spPr>
                    <a:xfrm>
                      <a:off x="0" y="0"/>
                      <a:ext cx="5573395" cy="5731510"/>
                    </a:xfrm>
                    <a:prstGeom prst="rect">
                      <a:avLst/>
                    </a:prstGeom>
                  </pic:spPr>
                </pic:pic>
              </a:graphicData>
            </a:graphic>
            <wp14:sizeRelH relativeFrom="page">
              <wp14:pctWidth>0</wp14:pctWidth>
            </wp14:sizeRelH>
            <wp14:sizeRelV relativeFrom="page">
              <wp14:pctHeight>0</wp14:pctHeight>
            </wp14:sizeRelV>
          </wp:anchor>
        </w:drawing>
      </w:r>
    </w:p>
    <w:p w14:paraId="66648601" w14:textId="57A76FE4" w:rsidR="00DA2DAF" w:rsidRDefault="002F6FB4" w:rsidP="004A5BF7">
      <w:pPr>
        <w:pStyle w:val="Caption"/>
      </w:pPr>
      <w:bookmarkStart w:id="776" w:name="_Ref459147445"/>
      <w:bookmarkStart w:id="777" w:name="_Toc459332365"/>
      <w:r w:rsidRPr="002F6FB4">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7</w:t>
      </w:r>
      <w:r w:rsidR="00C62884">
        <w:fldChar w:fldCharType="end"/>
      </w:r>
      <w:bookmarkEnd w:id="775"/>
      <w:bookmarkEnd w:id="776"/>
      <w:r w:rsidR="00D361EB" w:rsidRPr="002F6FB4">
        <w:t xml:space="preserve">: </w:t>
      </w:r>
      <w:r w:rsidR="000414E3">
        <w:t xml:space="preserve">Map showing the frequency of Primary, Secondary and Tertiary plume water types in the </w:t>
      </w:r>
      <w:r w:rsidR="00D361EB" w:rsidRPr="002F6FB4">
        <w:t xml:space="preserve">2014-15 </w:t>
      </w:r>
      <w:r w:rsidR="000414E3">
        <w:t>wet season</w:t>
      </w:r>
      <w:r w:rsidR="00135EBF">
        <w:t xml:space="preserve"> (22 weeks), where the highest frequency is shown in orange, and the lowest frequency is shown in blue.</w:t>
      </w:r>
      <w:bookmarkEnd w:id="777"/>
    </w:p>
    <w:p w14:paraId="7ECCC758" w14:textId="77777777" w:rsidR="00DA2DAF" w:rsidRDefault="00DA2DAF" w:rsidP="00D361EB">
      <w:pPr>
        <w:spacing w:before="240"/>
      </w:pPr>
      <w:r>
        <w:br w:type="page"/>
      </w:r>
    </w:p>
    <w:p w14:paraId="2385108D" w14:textId="76F4ECC4" w:rsidR="00DA2DAF" w:rsidRDefault="00DA2DAF" w:rsidP="004A5BF7">
      <w:r w:rsidRPr="00B239E5">
        <w:rPr>
          <w:noProof/>
          <w:lang w:val="en-AU" w:eastAsia="en-AU"/>
        </w:rPr>
        <w:drawing>
          <wp:anchor distT="0" distB="0" distL="114300" distR="114300" simplePos="0" relativeHeight="251659776" behindDoc="0" locked="0" layoutInCell="1" allowOverlap="1" wp14:anchorId="41230F78" wp14:editId="472DCF79">
            <wp:simplePos x="0" y="0"/>
            <wp:positionH relativeFrom="column">
              <wp:posOffset>27940</wp:posOffset>
            </wp:positionH>
            <wp:positionV relativeFrom="paragraph">
              <wp:posOffset>98425</wp:posOffset>
            </wp:positionV>
            <wp:extent cx="5731510" cy="3637280"/>
            <wp:effectExtent l="0" t="0" r="2540" b="1270"/>
            <wp:wrapTopAndBottom/>
            <wp:docPr id="7229" name="Picture 7229" descr="Panel of graphs showing mean water quality concentrations and standard deviation across the six colour classes and the corresponding water types (P: Primary; S: Secondary; T: Tertiary): comparison between the mean multi-annual values (2002-03 to 2014-15; circles with error bars) and the 2014-15 values (blue rectangles). Only data collected in the Wet Tropics is used in the Diuron plot due to the reduced number of PSII herbicide samples available for the Dry Tropics.  " title="Figure 5 8: Mean water quality concentrations and standard deviation across the six colour classes and the corresponding water types (P: Primary; S: Secondary; T: Terti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9">
                      <a:extLst>
                        <a:ext uri="{28A0092B-C50C-407E-A947-70E740481C1C}">
                          <a14:useLocalDpi xmlns:a14="http://schemas.microsoft.com/office/drawing/2010/main" val="0"/>
                        </a:ext>
                      </a:extLst>
                    </a:blip>
                    <a:srcRect/>
                    <a:stretch>
                      <a:fillRect/>
                    </a:stretch>
                  </pic:blipFill>
                  <pic:spPr bwMode="auto">
                    <a:xfrm>
                      <a:off x="0" y="0"/>
                      <a:ext cx="5731510" cy="3637280"/>
                    </a:xfrm>
                    <a:prstGeom prst="rect">
                      <a:avLst/>
                    </a:prstGeom>
                    <a:noFill/>
                  </pic:spPr>
                </pic:pic>
              </a:graphicData>
            </a:graphic>
            <wp14:sizeRelH relativeFrom="page">
              <wp14:pctWidth>0</wp14:pctWidth>
            </wp14:sizeRelH>
            <wp14:sizeRelV relativeFrom="page">
              <wp14:pctHeight>0</wp14:pctHeight>
            </wp14:sizeRelV>
          </wp:anchor>
        </w:drawing>
      </w:r>
    </w:p>
    <w:p w14:paraId="5F22EEC4" w14:textId="682B7792" w:rsidR="0079306A" w:rsidRDefault="0079306A" w:rsidP="00164E5E">
      <w:pPr>
        <w:pStyle w:val="Caption"/>
      </w:pPr>
      <w:bookmarkStart w:id="778" w:name="_Ref452296968"/>
      <w:bookmarkStart w:id="779" w:name="_Ref437545506"/>
      <w:bookmarkStart w:id="780" w:name="_Toc459332366"/>
      <w:r w:rsidRPr="0079306A">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8</w:t>
      </w:r>
      <w:r w:rsidR="00C62884">
        <w:fldChar w:fldCharType="end"/>
      </w:r>
      <w:bookmarkEnd w:id="778"/>
      <w:bookmarkEnd w:id="779"/>
      <w:r w:rsidR="00D361EB" w:rsidRPr="0079306A">
        <w:t xml:space="preserve">: </w:t>
      </w:r>
      <w:r w:rsidR="00781EF6">
        <w:t>M</w:t>
      </w:r>
      <w:r w:rsidR="00D361EB" w:rsidRPr="0079306A">
        <w:t>ean water quality concentrations and standard deviation</w:t>
      </w:r>
      <w:r w:rsidR="00135EBF">
        <w:t xml:space="preserve"> across the six col</w:t>
      </w:r>
      <w:r w:rsidR="00DA2DAF">
        <w:t>o</w:t>
      </w:r>
      <w:r w:rsidR="00135EBF">
        <w:t>ur classes and the corresponding water types (P: Primary; S: Secondary; T: Tertiary)</w:t>
      </w:r>
      <w:r w:rsidR="00D361EB" w:rsidRPr="0079306A">
        <w:t>: comparison between the mean multi-annual values (2002-03 to 2014-15</w:t>
      </w:r>
      <w:r w:rsidR="00135EBF">
        <w:t>; circles with error bars</w:t>
      </w:r>
      <w:r w:rsidR="00D361EB" w:rsidRPr="0079306A">
        <w:t>) and the 2014-15 values</w:t>
      </w:r>
      <w:r w:rsidR="00135EBF">
        <w:t xml:space="preserve"> (blue rectangles)</w:t>
      </w:r>
      <w:r>
        <w:t xml:space="preserve">. </w:t>
      </w:r>
      <w:r w:rsidR="00B10E2E">
        <w:t>Only da</w:t>
      </w:r>
      <w:r w:rsidR="0065371E">
        <w:t>ta collected in the Wet Tropics</w:t>
      </w:r>
      <w:r w:rsidR="00B10E2E">
        <w:t xml:space="preserve"> is used in the </w:t>
      </w:r>
      <w:r w:rsidR="00135EBF">
        <w:t>D</w:t>
      </w:r>
      <w:r w:rsidR="00B10E2E">
        <w:t>iuron plot due to</w:t>
      </w:r>
      <w:r w:rsidR="0065371E">
        <w:t xml:space="preserve"> the</w:t>
      </w:r>
      <w:r w:rsidR="00B10E2E">
        <w:t xml:space="preserve"> reduced</w:t>
      </w:r>
      <w:r w:rsidR="0065371E">
        <w:t xml:space="preserve"> number of</w:t>
      </w:r>
      <w:r w:rsidR="00B10E2E">
        <w:t xml:space="preserve"> PSII </w:t>
      </w:r>
      <w:r w:rsidR="00B239E5">
        <w:t xml:space="preserve">herbicide </w:t>
      </w:r>
      <w:r w:rsidR="00B10E2E">
        <w:t>samples available for the Dry Tropics.</w:t>
      </w:r>
      <w:bookmarkEnd w:id="780"/>
      <w:r w:rsidR="00B10E2E">
        <w:t xml:space="preserve">  </w:t>
      </w:r>
    </w:p>
    <w:p w14:paraId="5A714856" w14:textId="77777777" w:rsidR="008A2DCB" w:rsidRPr="004A5BF7" w:rsidRDefault="008A2DCB" w:rsidP="004A5BF7">
      <w:pPr>
        <w:rPr>
          <w:lang w:val="en-US"/>
        </w:rPr>
      </w:pPr>
    </w:p>
    <w:p w14:paraId="5F22EEE3" w14:textId="5E85E858" w:rsidR="00D361EB" w:rsidRPr="004A5BF7" w:rsidRDefault="008D05EA" w:rsidP="004A5BF7">
      <w:pPr>
        <w:pStyle w:val="Heading30"/>
        <w:numPr>
          <w:ilvl w:val="2"/>
          <w:numId w:val="42"/>
        </w:numPr>
      </w:pPr>
      <w:bookmarkStart w:id="781" w:name="_Toc459158381"/>
      <w:bookmarkStart w:id="782" w:name="_Toc459158654"/>
      <w:bookmarkStart w:id="783" w:name="_Toc459158935"/>
      <w:bookmarkStart w:id="784" w:name="_Toc459209934"/>
      <w:bookmarkStart w:id="785" w:name="_Toc459329060"/>
      <w:bookmarkStart w:id="786" w:name="_Toc459329419"/>
      <w:bookmarkStart w:id="787" w:name="_Toc459329780"/>
      <w:bookmarkStart w:id="788" w:name="_Toc459330140"/>
      <w:bookmarkStart w:id="789" w:name="_Toc459330500"/>
      <w:bookmarkStart w:id="790" w:name="_Toc459330860"/>
      <w:bookmarkStart w:id="791" w:name="_Toc459331220"/>
      <w:bookmarkStart w:id="792" w:name="_Toc459331580"/>
      <w:bookmarkStart w:id="793" w:name="_Toc459331940"/>
      <w:bookmarkStart w:id="794" w:name="_Toc459158382"/>
      <w:bookmarkStart w:id="795" w:name="_Toc459158655"/>
      <w:bookmarkStart w:id="796" w:name="_Toc459158936"/>
      <w:bookmarkStart w:id="797" w:name="_Toc459209935"/>
      <w:bookmarkStart w:id="798" w:name="_Toc459329061"/>
      <w:bookmarkStart w:id="799" w:name="_Toc459329420"/>
      <w:bookmarkStart w:id="800" w:name="_Toc459329781"/>
      <w:bookmarkStart w:id="801" w:name="_Toc459330141"/>
      <w:bookmarkStart w:id="802" w:name="_Toc459330501"/>
      <w:bookmarkStart w:id="803" w:name="_Toc459330861"/>
      <w:bookmarkStart w:id="804" w:name="_Toc459331221"/>
      <w:bookmarkStart w:id="805" w:name="_Toc459331581"/>
      <w:bookmarkStart w:id="806" w:name="_Toc459331941"/>
      <w:bookmarkStart w:id="807" w:name="_Toc459158383"/>
      <w:bookmarkStart w:id="808" w:name="_Toc459158656"/>
      <w:bookmarkStart w:id="809" w:name="_Toc459158937"/>
      <w:bookmarkStart w:id="810" w:name="_Toc459209936"/>
      <w:bookmarkStart w:id="811" w:name="_Toc459329062"/>
      <w:bookmarkStart w:id="812" w:name="_Toc459329421"/>
      <w:bookmarkStart w:id="813" w:name="_Toc459329782"/>
      <w:bookmarkStart w:id="814" w:name="_Toc459330142"/>
      <w:bookmarkStart w:id="815" w:name="_Toc459330502"/>
      <w:bookmarkStart w:id="816" w:name="_Toc459330862"/>
      <w:bookmarkStart w:id="817" w:name="_Toc459331222"/>
      <w:bookmarkStart w:id="818" w:name="_Toc459331582"/>
      <w:bookmarkStart w:id="819" w:name="_Toc459331942"/>
      <w:bookmarkStart w:id="820" w:name="_Toc459158384"/>
      <w:bookmarkStart w:id="821" w:name="_Toc459158657"/>
      <w:bookmarkStart w:id="822" w:name="_Toc459158938"/>
      <w:bookmarkStart w:id="823" w:name="_Toc459209937"/>
      <w:bookmarkStart w:id="824" w:name="_Toc459329063"/>
      <w:bookmarkStart w:id="825" w:name="_Toc459329422"/>
      <w:bookmarkStart w:id="826" w:name="_Toc459329783"/>
      <w:bookmarkStart w:id="827" w:name="_Toc459330143"/>
      <w:bookmarkStart w:id="828" w:name="_Toc459330503"/>
      <w:bookmarkStart w:id="829" w:name="_Toc459330863"/>
      <w:bookmarkStart w:id="830" w:name="_Toc459331223"/>
      <w:bookmarkStart w:id="831" w:name="_Toc459331583"/>
      <w:bookmarkStart w:id="832" w:name="_Toc459331943"/>
      <w:bookmarkStart w:id="833" w:name="_Toc459158385"/>
      <w:bookmarkStart w:id="834" w:name="_Toc459158658"/>
      <w:bookmarkStart w:id="835" w:name="_Toc459158939"/>
      <w:bookmarkStart w:id="836" w:name="_Toc459209938"/>
      <w:bookmarkStart w:id="837" w:name="_Toc459329064"/>
      <w:bookmarkStart w:id="838" w:name="_Toc459329423"/>
      <w:bookmarkStart w:id="839" w:name="_Toc459329784"/>
      <w:bookmarkStart w:id="840" w:name="_Toc459330144"/>
      <w:bookmarkStart w:id="841" w:name="_Toc459330504"/>
      <w:bookmarkStart w:id="842" w:name="_Toc459330864"/>
      <w:bookmarkStart w:id="843" w:name="_Toc459331224"/>
      <w:bookmarkStart w:id="844" w:name="_Toc459331584"/>
      <w:bookmarkStart w:id="845" w:name="_Toc459331944"/>
      <w:bookmarkStart w:id="846" w:name="_Toc459158386"/>
      <w:bookmarkStart w:id="847" w:name="_Toc459158659"/>
      <w:bookmarkStart w:id="848" w:name="_Toc459158940"/>
      <w:bookmarkStart w:id="849" w:name="_Toc459209939"/>
      <w:bookmarkStart w:id="850" w:name="_Toc459329065"/>
      <w:bookmarkStart w:id="851" w:name="_Toc459329424"/>
      <w:bookmarkStart w:id="852" w:name="_Toc459329785"/>
      <w:bookmarkStart w:id="853" w:name="_Toc459330145"/>
      <w:bookmarkStart w:id="854" w:name="_Toc459330505"/>
      <w:bookmarkStart w:id="855" w:name="_Toc459330865"/>
      <w:bookmarkStart w:id="856" w:name="_Toc459331225"/>
      <w:bookmarkStart w:id="857" w:name="_Toc459331585"/>
      <w:bookmarkStart w:id="858" w:name="_Toc459331945"/>
      <w:bookmarkStart w:id="859" w:name="_Toc459158387"/>
      <w:bookmarkStart w:id="860" w:name="_Toc459158660"/>
      <w:bookmarkStart w:id="861" w:name="_Toc459158941"/>
      <w:bookmarkStart w:id="862" w:name="_Toc459209940"/>
      <w:bookmarkStart w:id="863" w:name="_Toc459329066"/>
      <w:bookmarkStart w:id="864" w:name="_Toc459329425"/>
      <w:bookmarkStart w:id="865" w:name="_Toc459329786"/>
      <w:bookmarkStart w:id="866" w:name="_Toc459330146"/>
      <w:bookmarkStart w:id="867" w:name="_Toc459330506"/>
      <w:bookmarkStart w:id="868" w:name="_Toc459330866"/>
      <w:bookmarkStart w:id="869" w:name="_Toc459331226"/>
      <w:bookmarkStart w:id="870" w:name="_Toc459331586"/>
      <w:bookmarkStart w:id="871" w:name="_Toc459331946"/>
      <w:bookmarkStart w:id="872" w:name="_Toc459158388"/>
      <w:bookmarkStart w:id="873" w:name="_Toc459158661"/>
      <w:bookmarkStart w:id="874" w:name="_Toc459158942"/>
      <w:bookmarkStart w:id="875" w:name="_Toc459209941"/>
      <w:bookmarkStart w:id="876" w:name="_Toc459329067"/>
      <w:bookmarkStart w:id="877" w:name="_Toc459329426"/>
      <w:bookmarkStart w:id="878" w:name="_Toc459329787"/>
      <w:bookmarkStart w:id="879" w:name="_Toc459330147"/>
      <w:bookmarkStart w:id="880" w:name="_Toc459330507"/>
      <w:bookmarkStart w:id="881" w:name="_Toc459330867"/>
      <w:bookmarkStart w:id="882" w:name="_Toc459331227"/>
      <w:bookmarkStart w:id="883" w:name="_Toc459331587"/>
      <w:bookmarkStart w:id="884" w:name="_Toc459331947"/>
      <w:bookmarkStart w:id="885" w:name="_Toc459158389"/>
      <w:bookmarkStart w:id="886" w:name="_Toc459158662"/>
      <w:bookmarkStart w:id="887" w:name="_Toc459158943"/>
      <w:bookmarkStart w:id="888" w:name="_Toc459209942"/>
      <w:bookmarkStart w:id="889" w:name="_Toc459329068"/>
      <w:bookmarkStart w:id="890" w:name="_Toc459329427"/>
      <w:bookmarkStart w:id="891" w:name="_Toc459329788"/>
      <w:bookmarkStart w:id="892" w:name="_Toc459330148"/>
      <w:bookmarkStart w:id="893" w:name="_Toc459330508"/>
      <w:bookmarkStart w:id="894" w:name="_Toc459330868"/>
      <w:bookmarkStart w:id="895" w:name="_Toc459331228"/>
      <w:bookmarkStart w:id="896" w:name="_Toc459331588"/>
      <w:bookmarkStart w:id="897" w:name="_Toc459331948"/>
      <w:bookmarkStart w:id="898" w:name="_Toc459158391"/>
      <w:bookmarkStart w:id="899" w:name="_Toc459158664"/>
      <w:bookmarkStart w:id="900" w:name="_Toc459158945"/>
      <w:bookmarkStart w:id="901" w:name="_Toc459209944"/>
      <w:bookmarkStart w:id="902" w:name="_Toc459329070"/>
      <w:bookmarkStart w:id="903" w:name="_Toc459329429"/>
      <w:bookmarkStart w:id="904" w:name="_Toc459329790"/>
      <w:bookmarkStart w:id="905" w:name="_Toc459330150"/>
      <w:bookmarkStart w:id="906" w:name="_Toc459330510"/>
      <w:bookmarkStart w:id="907" w:name="_Toc459330870"/>
      <w:bookmarkStart w:id="908" w:name="_Toc459331230"/>
      <w:bookmarkStart w:id="909" w:name="_Toc459331590"/>
      <w:bookmarkStart w:id="910" w:name="_Toc459331950"/>
      <w:bookmarkStart w:id="911" w:name="_Toc459158392"/>
      <w:bookmarkStart w:id="912" w:name="_Toc459158665"/>
      <w:bookmarkStart w:id="913" w:name="_Toc459158946"/>
      <w:bookmarkStart w:id="914" w:name="_Toc459209945"/>
      <w:bookmarkStart w:id="915" w:name="_Toc459329071"/>
      <w:bookmarkStart w:id="916" w:name="_Toc459329430"/>
      <w:bookmarkStart w:id="917" w:name="_Toc459329791"/>
      <w:bookmarkStart w:id="918" w:name="_Toc459330151"/>
      <w:bookmarkStart w:id="919" w:name="_Toc459330511"/>
      <w:bookmarkStart w:id="920" w:name="_Toc459330871"/>
      <w:bookmarkStart w:id="921" w:name="_Toc459331231"/>
      <w:bookmarkStart w:id="922" w:name="_Toc459331591"/>
      <w:bookmarkStart w:id="923" w:name="_Toc459331951"/>
      <w:bookmarkStart w:id="924" w:name="_Toc459158393"/>
      <w:bookmarkStart w:id="925" w:name="_Toc459158666"/>
      <w:bookmarkStart w:id="926" w:name="_Toc459158947"/>
      <w:bookmarkStart w:id="927" w:name="_Toc459209946"/>
      <w:bookmarkStart w:id="928" w:name="_Toc459329072"/>
      <w:bookmarkStart w:id="929" w:name="_Toc459329431"/>
      <w:bookmarkStart w:id="930" w:name="_Toc459329792"/>
      <w:bookmarkStart w:id="931" w:name="_Toc459330152"/>
      <w:bookmarkStart w:id="932" w:name="_Toc459330512"/>
      <w:bookmarkStart w:id="933" w:name="_Toc459330872"/>
      <w:bookmarkStart w:id="934" w:name="_Toc459331232"/>
      <w:bookmarkStart w:id="935" w:name="_Toc459331592"/>
      <w:bookmarkStart w:id="936" w:name="_Toc459331952"/>
      <w:bookmarkStart w:id="937" w:name="_Toc459158394"/>
      <w:bookmarkStart w:id="938" w:name="_Toc459158667"/>
      <w:bookmarkStart w:id="939" w:name="_Toc459158948"/>
      <w:bookmarkStart w:id="940" w:name="_Toc459209947"/>
      <w:bookmarkStart w:id="941" w:name="_Toc459329073"/>
      <w:bookmarkStart w:id="942" w:name="_Toc459329432"/>
      <w:bookmarkStart w:id="943" w:name="_Toc459329793"/>
      <w:bookmarkStart w:id="944" w:name="_Toc459330153"/>
      <w:bookmarkStart w:id="945" w:name="_Toc459330513"/>
      <w:bookmarkStart w:id="946" w:name="_Toc459330873"/>
      <w:bookmarkStart w:id="947" w:name="_Toc459331233"/>
      <w:bookmarkStart w:id="948" w:name="_Toc459331593"/>
      <w:bookmarkStart w:id="949" w:name="_Toc459331953"/>
      <w:bookmarkStart w:id="950" w:name="_Toc459158396"/>
      <w:bookmarkStart w:id="951" w:name="_Toc459158669"/>
      <w:bookmarkStart w:id="952" w:name="_Toc459158950"/>
      <w:bookmarkStart w:id="953" w:name="_Toc459209949"/>
      <w:bookmarkStart w:id="954" w:name="_Toc459329075"/>
      <w:bookmarkStart w:id="955" w:name="_Toc459329434"/>
      <w:bookmarkStart w:id="956" w:name="_Toc459329795"/>
      <w:bookmarkStart w:id="957" w:name="_Toc459330155"/>
      <w:bookmarkStart w:id="958" w:name="_Toc459330515"/>
      <w:bookmarkStart w:id="959" w:name="_Toc459330875"/>
      <w:bookmarkStart w:id="960" w:name="_Toc459331235"/>
      <w:bookmarkStart w:id="961" w:name="_Toc459331595"/>
      <w:bookmarkStart w:id="962" w:name="_Toc459331955"/>
      <w:bookmarkStart w:id="963" w:name="_Toc459158397"/>
      <w:bookmarkStart w:id="964" w:name="_Toc459158670"/>
      <w:bookmarkStart w:id="965" w:name="_Toc459158951"/>
      <w:bookmarkStart w:id="966" w:name="_Toc459209950"/>
      <w:bookmarkStart w:id="967" w:name="_Toc459329076"/>
      <w:bookmarkStart w:id="968" w:name="_Toc459329435"/>
      <w:bookmarkStart w:id="969" w:name="_Toc459329796"/>
      <w:bookmarkStart w:id="970" w:name="_Toc459330156"/>
      <w:bookmarkStart w:id="971" w:name="_Toc459330516"/>
      <w:bookmarkStart w:id="972" w:name="_Toc459330876"/>
      <w:bookmarkStart w:id="973" w:name="_Toc459331236"/>
      <w:bookmarkStart w:id="974" w:name="_Toc459331596"/>
      <w:bookmarkStart w:id="975" w:name="_Toc459331956"/>
      <w:bookmarkStart w:id="976" w:name="_Toc459158398"/>
      <w:bookmarkStart w:id="977" w:name="_Toc459158671"/>
      <w:bookmarkStart w:id="978" w:name="_Toc459158952"/>
      <w:bookmarkStart w:id="979" w:name="_Toc459209951"/>
      <w:bookmarkStart w:id="980" w:name="_Toc459329077"/>
      <w:bookmarkStart w:id="981" w:name="_Toc459329436"/>
      <w:bookmarkStart w:id="982" w:name="_Toc459329797"/>
      <w:bookmarkStart w:id="983" w:name="_Toc459330157"/>
      <w:bookmarkStart w:id="984" w:name="_Toc459330517"/>
      <w:bookmarkStart w:id="985" w:name="_Toc459330877"/>
      <w:bookmarkStart w:id="986" w:name="_Toc459331237"/>
      <w:bookmarkStart w:id="987" w:name="_Toc459331597"/>
      <w:bookmarkStart w:id="988" w:name="_Toc459331957"/>
      <w:bookmarkStart w:id="989" w:name="_Toc459158399"/>
      <w:bookmarkStart w:id="990" w:name="_Toc459158672"/>
      <w:bookmarkStart w:id="991" w:name="_Toc459158953"/>
      <w:bookmarkStart w:id="992" w:name="_Toc459209952"/>
      <w:bookmarkStart w:id="993" w:name="_Toc459329078"/>
      <w:bookmarkStart w:id="994" w:name="_Toc459329437"/>
      <w:bookmarkStart w:id="995" w:name="_Toc459329798"/>
      <w:bookmarkStart w:id="996" w:name="_Toc459330158"/>
      <w:bookmarkStart w:id="997" w:name="_Toc459330518"/>
      <w:bookmarkStart w:id="998" w:name="_Toc459330878"/>
      <w:bookmarkStart w:id="999" w:name="_Toc459331238"/>
      <w:bookmarkStart w:id="1000" w:name="_Toc459331598"/>
      <w:bookmarkStart w:id="1001" w:name="_Toc459331958"/>
      <w:bookmarkStart w:id="1002" w:name="_Toc459158401"/>
      <w:bookmarkStart w:id="1003" w:name="_Toc459158674"/>
      <w:bookmarkStart w:id="1004" w:name="_Toc459158955"/>
      <w:bookmarkStart w:id="1005" w:name="_Toc459209954"/>
      <w:bookmarkStart w:id="1006" w:name="_Toc459329080"/>
      <w:bookmarkStart w:id="1007" w:name="_Toc459329439"/>
      <w:bookmarkStart w:id="1008" w:name="_Toc459329800"/>
      <w:bookmarkStart w:id="1009" w:name="_Toc459330160"/>
      <w:bookmarkStart w:id="1010" w:name="_Toc459330520"/>
      <w:bookmarkStart w:id="1011" w:name="_Toc459330880"/>
      <w:bookmarkStart w:id="1012" w:name="_Toc459331240"/>
      <w:bookmarkStart w:id="1013" w:name="_Toc459331600"/>
      <w:bookmarkStart w:id="1014" w:name="_Toc459331960"/>
      <w:bookmarkStart w:id="1015" w:name="_Toc459158402"/>
      <w:bookmarkStart w:id="1016" w:name="_Toc459158675"/>
      <w:bookmarkStart w:id="1017" w:name="_Toc459158956"/>
      <w:bookmarkStart w:id="1018" w:name="_Toc459209955"/>
      <w:bookmarkStart w:id="1019" w:name="_Toc459329081"/>
      <w:bookmarkStart w:id="1020" w:name="_Toc459329440"/>
      <w:bookmarkStart w:id="1021" w:name="_Toc459329801"/>
      <w:bookmarkStart w:id="1022" w:name="_Toc459330161"/>
      <w:bookmarkStart w:id="1023" w:name="_Toc459330521"/>
      <w:bookmarkStart w:id="1024" w:name="_Toc459330881"/>
      <w:bookmarkStart w:id="1025" w:name="_Toc459331241"/>
      <w:bookmarkStart w:id="1026" w:name="_Toc459331601"/>
      <w:bookmarkStart w:id="1027" w:name="_Toc459331961"/>
      <w:bookmarkStart w:id="1028" w:name="_Toc459158403"/>
      <w:bookmarkStart w:id="1029" w:name="_Toc459158676"/>
      <w:bookmarkStart w:id="1030" w:name="_Toc459158957"/>
      <w:bookmarkStart w:id="1031" w:name="_Toc459209956"/>
      <w:bookmarkStart w:id="1032" w:name="_Toc459329082"/>
      <w:bookmarkStart w:id="1033" w:name="_Toc459329441"/>
      <w:bookmarkStart w:id="1034" w:name="_Toc459329802"/>
      <w:bookmarkStart w:id="1035" w:name="_Toc459330162"/>
      <w:bookmarkStart w:id="1036" w:name="_Toc459330522"/>
      <w:bookmarkStart w:id="1037" w:name="_Toc459330882"/>
      <w:bookmarkStart w:id="1038" w:name="_Toc459331242"/>
      <w:bookmarkStart w:id="1039" w:name="_Toc459331602"/>
      <w:bookmarkStart w:id="1040" w:name="_Toc459331962"/>
      <w:bookmarkStart w:id="1041" w:name="_Toc459158405"/>
      <w:bookmarkStart w:id="1042" w:name="_Toc459158678"/>
      <w:bookmarkStart w:id="1043" w:name="_Toc459158959"/>
      <w:bookmarkStart w:id="1044" w:name="_Toc459209958"/>
      <w:bookmarkStart w:id="1045" w:name="_Toc459329084"/>
      <w:bookmarkStart w:id="1046" w:name="_Toc459329443"/>
      <w:bookmarkStart w:id="1047" w:name="_Toc459329804"/>
      <w:bookmarkStart w:id="1048" w:name="_Toc459330164"/>
      <w:bookmarkStart w:id="1049" w:name="_Toc459330524"/>
      <w:bookmarkStart w:id="1050" w:name="_Toc459330884"/>
      <w:bookmarkStart w:id="1051" w:name="_Toc459331244"/>
      <w:bookmarkStart w:id="1052" w:name="_Toc459331604"/>
      <w:bookmarkStart w:id="1053" w:name="_Toc459331964"/>
      <w:bookmarkStart w:id="1054" w:name="_Toc459158406"/>
      <w:bookmarkStart w:id="1055" w:name="_Toc459158679"/>
      <w:bookmarkStart w:id="1056" w:name="_Toc459158960"/>
      <w:bookmarkStart w:id="1057" w:name="_Toc459209959"/>
      <w:bookmarkStart w:id="1058" w:name="_Toc459329085"/>
      <w:bookmarkStart w:id="1059" w:name="_Toc459329444"/>
      <w:bookmarkStart w:id="1060" w:name="_Toc459329805"/>
      <w:bookmarkStart w:id="1061" w:name="_Toc459330165"/>
      <w:bookmarkStart w:id="1062" w:name="_Toc459330525"/>
      <w:bookmarkStart w:id="1063" w:name="_Toc459330885"/>
      <w:bookmarkStart w:id="1064" w:name="_Toc459331245"/>
      <w:bookmarkStart w:id="1065" w:name="_Toc459331605"/>
      <w:bookmarkStart w:id="1066" w:name="_Toc459331965"/>
      <w:bookmarkStart w:id="1067" w:name="_Toc459158407"/>
      <w:bookmarkStart w:id="1068" w:name="_Toc459158680"/>
      <w:bookmarkStart w:id="1069" w:name="_Toc459158961"/>
      <w:bookmarkStart w:id="1070" w:name="_Toc459209960"/>
      <w:bookmarkStart w:id="1071" w:name="_Toc459329086"/>
      <w:bookmarkStart w:id="1072" w:name="_Toc459329445"/>
      <w:bookmarkStart w:id="1073" w:name="_Toc459329806"/>
      <w:bookmarkStart w:id="1074" w:name="_Toc459330166"/>
      <w:bookmarkStart w:id="1075" w:name="_Toc459330526"/>
      <w:bookmarkStart w:id="1076" w:name="_Toc459330886"/>
      <w:bookmarkStart w:id="1077" w:name="_Toc459331246"/>
      <w:bookmarkStart w:id="1078" w:name="_Toc459331606"/>
      <w:bookmarkStart w:id="1079" w:name="_Toc459331966"/>
      <w:bookmarkStart w:id="1080" w:name="_Toc459158409"/>
      <w:bookmarkStart w:id="1081" w:name="_Toc459158682"/>
      <w:bookmarkStart w:id="1082" w:name="_Toc459158963"/>
      <w:bookmarkStart w:id="1083" w:name="_Toc459209962"/>
      <w:bookmarkStart w:id="1084" w:name="_Toc459329088"/>
      <w:bookmarkStart w:id="1085" w:name="_Toc459329447"/>
      <w:bookmarkStart w:id="1086" w:name="_Toc459329808"/>
      <w:bookmarkStart w:id="1087" w:name="_Toc459330168"/>
      <w:bookmarkStart w:id="1088" w:name="_Toc459330528"/>
      <w:bookmarkStart w:id="1089" w:name="_Toc459330888"/>
      <w:bookmarkStart w:id="1090" w:name="_Toc459331248"/>
      <w:bookmarkStart w:id="1091" w:name="_Toc459331608"/>
      <w:bookmarkStart w:id="1092" w:name="_Toc459331968"/>
      <w:bookmarkStart w:id="1093" w:name="_Toc459158410"/>
      <w:bookmarkStart w:id="1094" w:name="_Toc459158683"/>
      <w:bookmarkStart w:id="1095" w:name="_Toc459158964"/>
      <w:bookmarkStart w:id="1096" w:name="_Toc459209963"/>
      <w:bookmarkStart w:id="1097" w:name="_Toc459329089"/>
      <w:bookmarkStart w:id="1098" w:name="_Toc459329448"/>
      <w:bookmarkStart w:id="1099" w:name="_Toc459329809"/>
      <w:bookmarkStart w:id="1100" w:name="_Toc459330169"/>
      <w:bookmarkStart w:id="1101" w:name="_Toc459330529"/>
      <w:bookmarkStart w:id="1102" w:name="_Toc459330889"/>
      <w:bookmarkStart w:id="1103" w:name="_Toc459331249"/>
      <w:bookmarkStart w:id="1104" w:name="_Toc459331609"/>
      <w:bookmarkStart w:id="1105" w:name="_Toc459331969"/>
      <w:bookmarkStart w:id="1106" w:name="_Toc459158411"/>
      <w:bookmarkStart w:id="1107" w:name="_Toc459158684"/>
      <w:bookmarkStart w:id="1108" w:name="_Toc459158965"/>
      <w:bookmarkStart w:id="1109" w:name="_Toc459209964"/>
      <w:bookmarkStart w:id="1110" w:name="_Toc459329090"/>
      <w:bookmarkStart w:id="1111" w:name="_Toc459329449"/>
      <w:bookmarkStart w:id="1112" w:name="_Toc459329810"/>
      <w:bookmarkStart w:id="1113" w:name="_Toc459330170"/>
      <w:bookmarkStart w:id="1114" w:name="_Toc459330530"/>
      <w:bookmarkStart w:id="1115" w:name="_Toc459330890"/>
      <w:bookmarkStart w:id="1116" w:name="_Toc459331250"/>
      <w:bookmarkStart w:id="1117" w:name="_Toc459331610"/>
      <w:bookmarkStart w:id="1118" w:name="_Toc459331970"/>
      <w:bookmarkStart w:id="1119" w:name="_Toc462307448"/>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r w:rsidRPr="00EE6F82">
        <w:t xml:space="preserve">Level of </w:t>
      </w:r>
      <w:r w:rsidR="00E46BD6">
        <w:t>potential risk to</w:t>
      </w:r>
      <w:r w:rsidR="003F199B">
        <w:t xml:space="preserve"> </w:t>
      </w:r>
      <w:r w:rsidR="004D2A67">
        <w:t>Great Barrier Reef</w:t>
      </w:r>
      <w:r w:rsidR="004D2A67" w:rsidRPr="00EE6F82">
        <w:t xml:space="preserve"> </w:t>
      </w:r>
      <w:r w:rsidRPr="00EE6F82">
        <w:t>ecosystems</w:t>
      </w:r>
      <w:r>
        <w:t xml:space="preserve"> </w:t>
      </w:r>
      <w:r w:rsidR="00D361EB" w:rsidRPr="008D05EA">
        <w:t>2014-15</w:t>
      </w:r>
      <w:bookmarkEnd w:id="1119"/>
    </w:p>
    <w:p w14:paraId="1A035165" w14:textId="78A3A9CA" w:rsidR="005967B9" w:rsidRDefault="00FA6577" w:rsidP="000A11A3">
      <w:pPr>
        <w:rPr>
          <w:rFonts w:eastAsia="Calibri" w:cs="Arial"/>
          <w:lang w:val="en-AU"/>
        </w:rPr>
      </w:pPr>
      <w:r>
        <w:t>As described in Section 4.7, t</w:t>
      </w:r>
      <w:r w:rsidR="005967B9" w:rsidRPr="00177565">
        <w:t xml:space="preserve">he river plume maps and </w:t>
      </w:r>
      <w:r w:rsidR="005967B9">
        <w:t>plume water type maps</w:t>
      </w:r>
      <w:r w:rsidR="005967B9" w:rsidRPr="00177565">
        <w:t xml:space="preserve"> can be overlaid with information on t</w:t>
      </w:r>
      <w:r w:rsidR="005967B9">
        <w:t xml:space="preserve">he presence or distribution of </w:t>
      </w:r>
      <w:r w:rsidR="005967B9" w:rsidRPr="00177565">
        <w:t>GBR ecosystems. This method can help identify ecosystems which may experience acute or chronic high exposure to contaminants in river plumes (exposure ass</w:t>
      </w:r>
      <w:r w:rsidR="005967B9">
        <w:t xml:space="preserve">essment) and thus, help to evaluate </w:t>
      </w:r>
      <w:r w:rsidR="005967B9" w:rsidRPr="00177565">
        <w:t>the susceptibility of GBR ecosystems to land-sourced contaminants.</w:t>
      </w:r>
      <w:r w:rsidR="005967B9" w:rsidRPr="005967B9">
        <w:rPr>
          <w:b/>
        </w:rPr>
        <w:t xml:space="preserve"> </w:t>
      </w:r>
      <w:r w:rsidR="005967B9" w:rsidRPr="004A5BF7">
        <w:t>The framework to produce river plume risk maps for seagrass and coral ecosystems is based on a simplified risk matrix assuming that ecological responses will increase linearly with the pollutant concentrations and frequency of river plume exposure</w:t>
      </w:r>
      <w:r>
        <w:t xml:space="preserve"> and was shown in </w:t>
      </w:r>
      <w:r>
        <w:fldChar w:fldCharType="begin"/>
      </w:r>
      <w:r>
        <w:instrText xml:space="preserve"> REF _Ref452298775 \h </w:instrText>
      </w:r>
      <w:r>
        <w:fldChar w:fldCharType="separate"/>
      </w:r>
      <w:r w:rsidR="007F5336" w:rsidRPr="000A11A3">
        <w:t xml:space="preserve">Figure </w:t>
      </w:r>
      <w:r w:rsidR="007F5336">
        <w:rPr>
          <w:noProof/>
        </w:rPr>
        <w:t>4</w:t>
      </w:r>
      <w:r w:rsidR="007F5336">
        <w:noBreakHyphen/>
      </w:r>
      <w:r w:rsidR="007F5336">
        <w:rPr>
          <w:noProof/>
        </w:rPr>
        <w:t>3</w:t>
      </w:r>
      <w:r>
        <w:fldChar w:fldCharType="end"/>
      </w:r>
      <w:r>
        <w:t xml:space="preserve"> and</w:t>
      </w:r>
      <w:r w:rsidR="00AB2398">
        <w:t xml:space="preserve"> </w:t>
      </w:r>
      <w:r w:rsidR="00AB2398">
        <w:fldChar w:fldCharType="begin"/>
      </w:r>
      <w:r w:rsidR="00AB2398">
        <w:instrText xml:space="preserve"> REF _Ref459146548 \h </w:instrText>
      </w:r>
      <w:r w:rsidR="00AB2398">
        <w:fldChar w:fldCharType="separate"/>
      </w:r>
      <w:r w:rsidR="007F5336" w:rsidRPr="005F45DD">
        <w:t xml:space="preserve">Figure </w:t>
      </w:r>
      <w:r w:rsidR="007F5336">
        <w:rPr>
          <w:noProof/>
        </w:rPr>
        <w:t>4</w:t>
      </w:r>
      <w:r w:rsidR="007F5336">
        <w:noBreakHyphen/>
      </w:r>
      <w:r w:rsidR="007F5336">
        <w:rPr>
          <w:noProof/>
        </w:rPr>
        <w:t>4</w:t>
      </w:r>
      <w:r w:rsidR="00AB2398">
        <w:fldChar w:fldCharType="end"/>
      </w:r>
      <w:r w:rsidR="005967B9">
        <w:t>.</w:t>
      </w:r>
    </w:p>
    <w:p w14:paraId="6F8A60A1" w14:textId="059839B2" w:rsidR="00E46BD6" w:rsidRDefault="00D361EB" w:rsidP="00D361EB">
      <w:pPr>
        <w:rPr>
          <w:rFonts w:eastAsia="Calibri" w:cs="Arial"/>
          <w:lang w:val="en-AU"/>
        </w:rPr>
      </w:pPr>
      <w:r w:rsidRPr="008467AA">
        <w:rPr>
          <w:rFonts w:eastAsia="Calibri" w:cs="Arial"/>
          <w:lang w:val="en-AU"/>
        </w:rPr>
        <w:t>Measuring the magnitude of the river plume risk to coral reefs and seagrass beds can be challenging because of the combination of different stressors in river plume waters</w:t>
      </w:r>
      <w:r w:rsidR="00C572BE">
        <w:rPr>
          <w:rFonts w:eastAsia="Calibri" w:cs="Arial"/>
          <w:lang w:val="en-AU"/>
        </w:rPr>
        <w:t>, the difficulty in sampling a plume sufficiently to characterise it fully</w:t>
      </w:r>
      <w:r w:rsidR="00C572BE" w:rsidRPr="00C572BE">
        <w:rPr>
          <w:rFonts w:eastAsia="Calibri" w:cs="Arial"/>
          <w:lang w:val="en-AU"/>
        </w:rPr>
        <w:t xml:space="preserve"> </w:t>
      </w:r>
      <w:r w:rsidR="00C572BE">
        <w:rPr>
          <w:rFonts w:eastAsia="Calibri" w:cs="Arial"/>
          <w:lang w:val="en-AU"/>
        </w:rPr>
        <w:t>to assess its effects, and the inherent complexity of hydrodynamics in the region</w:t>
      </w:r>
      <w:r w:rsidRPr="008467AA">
        <w:rPr>
          <w:rFonts w:eastAsia="Calibri" w:cs="Arial"/>
          <w:lang w:val="en-AU"/>
        </w:rPr>
        <w:t xml:space="preserve">. Devlin et al. (2012b) underscored the need to develop risk models that incorporate the cumulative effects of pollutants. </w:t>
      </w:r>
      <w:r w:rsidR="00E46BD6">
        <w:rPr>
          <w:rFonts w:eastAsia="Calibri" w:cs="Arial"/>
          <w:lang w:val="en-AU"/>
        </w:rPr>
        <w:t xml:space="preserve">Detailed methods of how these figures are derived are </w:t>
      </w:r>
      <w:r w:rsidR="00FA6577">
        <w:rPr>
          <w:rFonts w:eastAsia="Calibri" w:cs="Arial"/>
          <w:lang w:val="en-AU"/>
        </w:rPr>
        <w:t>included in</w:t>
      </w:r>
      <w:r w:rsidR="005967B9">
        <w:rPr>
          <w:rFonts w:eastAsia="Calibri" w:cs="Arial"/>
          <w:lang w:val="en-AU"/>
        </w:rPr>
        <w:t xml:space="preserve"> Appendix </w:t>
      </w:r>
      <w:r w:rsidR="005967B9">
        <w:rPr>
          <w:rFonts w:eastAsia="Calibri" w:cs="Arial"/>
          <w:lang w:val="en-AU"/>
        </w:rPr>
        <w:fldChar w:fldCharType="begin"/>
      </w:r>
      <w:r w:rsidR="005967B9">
        <w:rPr>
          <w:rFonts w:eastAsia="Calibri" w:cs="Arial"/>
          <w:lang w:val="en-AU"/>
        </w:rPr>
        <w:instrText xml:space="preserve"> REF _Ref452293698 \r \h </w:instrText>
      </w:r>
      <w:r w:rsidR="005967B9">
        <w:rPr>
          <w:rFonts w:eastAsia="Calibri" w:cs="Arial"/>
          <w:lang w:val="en-AU"/>
        </w:rPr>
      </w:r>
      <w:r w:rsidR="005967B9">
        <w:rPr>
          <w:rFonts w:eastAsia="Calibri" w:cs="Arial"/>
          <w:lang w:val="en-AU"/>
        </w:rPr>
        <w:fldChar w:fldCharType="separate"/>
      </w:r>
      <w:r w:rsidR="007F5336">
        <w:rPr>
          <w:rFonts w:eastAsia="Calibri" w:cs="Arial"/>
          <w:lang w:val="en-AU"/>
        </w:rPr>
        <w:t>A1.9</w:t>
      </w:r>
      <w:r w:rsidR="005967B9">
        <w:rPr>
          <w:rFonts w:eastAsia="Calibri" w:cs="Arial"/>
          <w:lang w:val="en-AU"/>
        </w:rPr>
        <w:fldChar w:fldCharType="end"/>
      </w:r>
      <w:r w:rsidR="00E46BD6">
        <w:rPr>
          <w:rFonts w:eastAsia="Calibri" w:cs="Arial"/>
          <w:lang w:val="en-AU"/>
        </w:rPr>
        <w:t xml:space="preserve">. The actual risk is </w:t>
      </w:r>
      <w:r w:rsidR="00E46BD6" w:rsidRPr="00E46BD6">
        <w:rPr>
          <w:rFonts w:cs="Arial"/>
        </w:rPr>
        <w:t>not validated against ecological health data and is at this stage theoretical.</w:t>
      </w:r>
      <w:r w:rsidR="00E46BD6">
        <w:rPr>
          <w:rFonts w:cs="Arial"/>
        </w:rPr>
        <w:t xml:space="preserve"> </w:t>
      </w:r>
      <w:r w:rsidR="003F0F01">
        <w:rPr>
          <w:rFonts w:cs="Arial"/>
        </w:rPr>
        <w:t>The lowest risk categories (I and II) are characterised by low frequency of the Primary and Secondary plume types, and the highest risk categories (III and IV) are characterised by high frequency of Primary and Secondary plume types.</w:t>
      </w:r>
    </w:p>
    <w:p w14:paraId="5F22EEE5" w14:textId="4A5D05C8" w:rsidR="00D361EB" w:rsidRPr="008467AA" w:rsidRDefault="00FA6577" w:rsidP="009F168E">
      <w:pPr>
        <w:rPr>
          <w:lang w:val="en-AU"/>
        </w:rPr>
      </w:pPr>
      <w:r>
        <w:rPr>
          <w:lang w:val="en-AU"/>
        </w:rPr>
        <w:t>It is important to n</w:t>
      </w:r>
      <w:r w:rsidR="00D361EB" w:rsidRPr="008467AA">
        <w:rPr>
          <w:lang w:val="en-AU"/>
        </w:rPr>
        <w:t xml:space="preserve">ote </w:t>
      </w:r>
      <w:r w:rsidR="00D361EB" w:rsidRPr="00174FBE">
        <w:t>that:</w:t>
      </w:r>
      <w:r w:rsidR="009F168E" w:rsidRPr="00174FBE">
        <w:t xml:space="preserve"> (i) </w:t>
      </w:r>
      <w:r w:rsidR="00D361EB" w:rsidRPr="00174FBE">
        <w:t xml:space="preserve">Any results obtained in the Cape York NRM should be considered with care. Cape York is a shallow and optically complex environment where the </w:t>
      </w:r>
      <w:r>
        <w:t>true colour</w:t>
      </w:r>
      <w:r w:rsidRPr="00174FBE">
        <w:t xml:space="preserve"> </w:t>
      </w:r>
      <w:r w:rsidR="00D361EB" w:rsidRPr="00174FBE">
        <w:t>method hasn’t been fully validated</w:t>
      </w:r>
      <w:r>
        <w:t>; and</w:t>
      </w:r>
      <w:r w:rsidR="00D361EB" w:rsidRPr="00174FBE">
        <w:t xml:space="preserve"> </w:t>
      </w:r>
      <w:r w:rsidR="009F168E" w:rsidRPr="00174FBE">
        <w:t>(ii)</w:t>
      </w:r>
      <w:r w:rsidR="00174FBE" w:rsidRPr="00174FBE">
        <w:t xml:space="preserve"> </w:t>
      </w:r>
      <w:r w:rsidR="00D361EB" w:rsidRPr="00174FBE">
        <w:t>Only surface areas inside the GBR marine boundaries are reported.</w:t>
      </w:r>
      <w:r w:rsidR="00D361EB" w:rsidRPr="008467AA">
        <w:rPr>
          <w:lang w:val="en-AU"/>
        </w:rPr>
        <w:t xml:space="preserve"> </w:t>
      </w:r>
      <w:r>
        <w:rPr>
          <w:lang w:val="en-AU"/>
        </w:rPr>
        <w:t>It is also acknowledged that this assessment does not take into account current condition of GBR ecosystems, and long term impacts on these communities. For example, it is recognised that inshore communities may be adapted to plume type and exposure history, so the highest risk of an ecological response could be during large events when Primary/Secondary waters extend into otherwise low risk (Tertiary) areas. In the future, these maps could be presented in the context of a longer term mean or median result, and present the current year in context of likely impacts, i.e., the predicted impacts are proportional to the deviation from the mean when past some biological threshold</w:t>
      </w:r>
      <w:r w:rsidR="003F0F01">
        <w:rPr>
          <w:lang w:val="en-AU"/>
        </w:rPr>
        <w:t>.</w:t>
      </w:r>
    </w:p>
    <w:p w14:paraId="179C0DE7" w14:textId="2176FB16" w:rsidR="003F0F01" w:rsidRDefault="003F0F01" w:rsidP="003F0F01">
      <w:pPr>
        <w:rPr>
          <w:lang w:val="en-AU"/>
        </w:rPr>
      </w:pPr>
      <w:r w:rsidRPr="008467AA">
        <w:rPr>
          <w:lang w:val="en-AU"/>
        </w:rPr>
        <w:t xml:space="preserve">Coastal areas </w:t>
      </w:r>
      <w:r w:rsidR="00F30C0F">
        <w:rPr>
          <w:lang w:val="en-AU"/>
        </w:rPr>
        <w:t>have</w:t>
      </w:r>
      <w:r w:rsidRPr="008467AA">
        <w:rPr>
          <w:lang w:val="en-AU"/>
        </w:rPr>
        <w:t xml:space="preserve"> the highest frequency of occurrence of Primary plume waters (</w:t>
      </w:r>
      <w:r>
        <w:rPr>
          <w:lang w:val="en-AU"/>
        </w:rPr>
        <w:t>see section 5.3.1</w:t>
      </w:r>
      <w:r w:rsidRPr="008467AA">
        <w:rPr>
          <w:lang w:val="en-AU"/>
        </w:rPr>
        <w:t xml:space="preserve">) and thus coastal ecosystems are most potentially exposed to the highest </w:t>
      </w:r>
      <w:r w:rsidR="00F30C0F" w:rsidRPr="008467AA">
        <w:rPr>
          <w:lang w:val="en-AU"/>
        </w:rPr>
        <w:t xml:space="preserve">risk </w:t>
      </w:r>
      <w:r w:rsidRPr="008467AA">
        <w:rPr>
          <w:lang w:val="en-AU"/>
        </w:rPr>
        <w:t>categories</w:t>
      </w:r>
      <w:r w:rsidR="00F30C0F">
        <w:rPr>
          <w:lang w:val="en-AU"/>
        </w:rPr>
        <w:t xml:space="preserve"> </w:t>
      </w:r>
      <w:r w:rsidRPr="008467AA">
        <w:rPr>
          <w:lang w:val="en-AU"/>
        </w:rPr>
        <w:t>(</w:t>
      </w:r>
      <w:r w:rsidR="00B43959">
        <w:rPr>
          <w:lang w:val="en-AU"/>
        </w:rPr>
        <w:t>category</w:t>
      </w:r>
      <w:r>
        <w:rPr>
          <w:lang w:val="en-AU"/>
        </w:rPr>
        <w:t xml:space="preserve"> </w:t>
      </w:r>
      <w:r w:rsidRPr="008467AA">
        <w:rPr>
          <w:lang w:val="en-AU"/>
        </w:rPr>
        <w:t>III and IV). Inversely, offshore areas are less frequently exposed to plume</w:t>
      </w:r>
      <w:r>
        <w:rPr>
          <w:lang w:val="en-AU"/>
        </w:rPr>
        <w:t xml:space="preserve"> waters</w:t>
      </w:r>
      <w:r w:rsidRPr="008467AA">
        <w:rPr>
          <w:lang w:val="en-AU"/>
        </w:rPr>
        <w:t xml:space="preserve"> and, when exposed, </w:t>
      </w:r>
      <w:r>
        <w:rPr>
          <w:lang w:val="en-AU"/>
        </w:rPr>
        <w:t>are</w:t>
      </w:r>
      <w:r w:rsidRPr="008467AA">
        <w:rPr>
          <w:lang w:val="en-AU"/>
        </w:rPr>
        <w:t xml:space="preserve"> more likely reached by the </w:t>
      </w:r>
      <w:r>
        <w:rPr>
          <w:lang w:val="en-AU"/>
        </w:rPr>
        <w:t>T</w:t>
      </w:r>
      <w:r w:rsidRPr="008467AA">
        <w:rPr>
          <w:lang w:val="en-AU"/>
        </w:rPr>
        <w:t xml:space="preserve">ertiary </w:t>
      </w:r>
      <w:r>
        <w:rPr>
          <w:lang w:val="en-AU"/>
        </w:rPr>
        <w:t xml:space="preserve">plume </w:t>
      </w:r>
      <w:r w:rsidRPr="008467AA">
        <w:rPr>
          <w:lang w:val="en-AU"/>
        </w:rPr>
        <w:t xml:space="preserve">water type. Thus, offshore ecosystems are most potentially exposed to lower river plume risk categories. </w:t>
      </w:r>
      <w:r>
        <w:rPr>
          <w:lang w:val="en-AU"/>
        </w:rPr>
        <w:t>Inshore</w:t>
      </w:r>
      <w:r w:rsidRPr="008467AA">
        <w:rPr>
          <w:lang w:val="en-AU"/>
        </w:rPr>
        <w:t xml:space="preserve"> ecosystems are located in transitional zones seeing an alternation of plume water types and frequencies</w:t>
      </w:r>
      <w:r>
        <w:rPr>
          <w:lang w:val="en-AU"/>
        </w:rPr>
        <w:t xml:space="preserve"> depending on the wet season characteristics. </w:t>
      </w:r>
    </w:p>
    <w:p w14:paraId="5F22EEEA" w14:textId="41FE08CB" w:rsidR="00846F31" w:rsidRPr="008467AA" w:rsidRDefault="00FA6577" w:rsidP="00B239E5">
      <w:pPr>
        <w:rPr>
          <w:lang w:val="en-AU"/>
        </w:rPr>
      </w:pPr>
      <w:r>
        <w:rPr>
          <w:lang w:val="en-AU"/>
        </w:rPr>
        <w:fldChar w:fldCharType="begin"/>
      </w:r>
      <w:r>
        <w:rPr>
          <w:lang w:val="en-AU"/>
        </w:rPr>
        <w:instrText xml:space="preserve"> REF _Ref437545889 \h </w:instrText>
      </w:r>
      <w:r>
        <w:rPr>
          <w:lang w:val="en-AU"/>
        </w:rPr>
      </w:r>
      <w:r>
        <w:rPr>
          <w:lang w:val="en-AU"/>
        </w:rPr>
        <w:fldChar w:fldCharType="separate"/>
      </w:r>
      <w:r w:rsidR="007F5336" w:rsidRPr="00202A68">
        <w:t xml:space="preserve">Figure </w:t>
      </w:r>
      <w:r w:rsidR="007F5336">
        <w:rPr>
          <w:noProof/>
        </w:rPr>
        <w:t>5</w:t>
      </w:r>
      <w:r w:rsidR="007F5336">
        <w:noBreakHyphen/>
      </w:r>
      <w:r w:rsidR="007F5336">
        <w:rPr>
          <w:noProof/>
        </w:rPr>
        <w:t>9</w:t>
      </w:r>
      <w:r>
        <w:rPr>
          <w:lang w:val="en-AU"/>
        </w:rPr>
        <w:fldChar w:fldCharType="end"/>
      </w:r>
      <w:r w:rsidRPr="008467AA">
        <w:rPr>
          <w:lang w:val="en-AU"/>
        </w:rPr>
        <w:t xml:space="preserve"> present</w:t>
      </w:r>
      <w:r>
        <w:rPr>
          <w:lang w:val="en-AU"/>
        </w:rPr>
        <w:t>s the</w:t>
      </w:r>
      <w:r w:rsidRPr="008467AA">
        <w:rPr>
          <w:lang w:val="en-AU"/>
        </w:rPr>
        <w:t xml:space="preserve"> potential river plume risk map of the 2014-15</w:t>
      </w:r>
      <w:r>
        <w:rPr>
          <w:lang w:val="en-AU"/>
        </w:rPr>
        <w:t xml:space="preserve"> </w:t>
      </w:r>
      <w:r w:rsidRPr="008467AA">
        <w:rPr>
          <w:lang w:val="en-AU"/>
        </w:rPr>
        <w:t>wet season</w:t>
      </w:r>
      <w:r>
        <w:rPr>
          <w:lang w:val="en-AU"/>
        </w:rPr>
        <w:t>, showing that</w:t>
      </w:r>
      <w:r w:rsidRPr="008467AA">
        <w:rPr>
          <w:lang w:val="en-AU"/>
        </w:rPr>
        <w:t xml:space="preserve"> the GBR lagoon was most exposed to the lowest categories of potential river plume risk (</w:t>
      </w:r>
      <w:r w:rsidR="00B43959">
        <w:rPr>
          <w:lang w:val="en-AU"/>
        </w:rPr>
        <w:t>category</w:t>
      </w:r>
      <w:r>
        <w:rPr>
          <w:lang w:val="en-AU"/>
        </w:rPr>
        <w:t xml:space="preserve"> </w:t>
      </w:r>
      <w:r w:rsidRPr="008467AA">
        <w:rPr>
          <w:lang w:val="en-AU"/>
        </w:rPr>
        <w:t>I and II).</w:t>
      </w:r>
      <w:r w:rsidR="003F0F01">
        <w:rPr>
          <w:rFonts w:cs="Arial"/>
          <w:lang w:val="en-AU"/>
        </w:rPr>
        <w:t xml:space="preserve"> Approximately 53% of the</w:t>
      </w:r>
      <w:r w:rsidRPr="00914B3A">
        <w:rPr>
          <w:rFonts w:cs="Arial"/>
          <w:lang w:val="en-AU"/>
        </w:rPr>
        <w:t xml:space="preserve"> </w:t>
      </w:r>
      <w:r w:rsidR="003F0F01">
        <w:rPr>
          <w:rFonts w:cs="Arial"/>
          <w:lang w:val="en-AU"/>
        </w:rPr>
        <w:t xml:space="preserve">total area of the </w:t>
      </w:r>
      <w:r w:rsidRPr="00914B3A">
        <w:rPr>
          <w:rFonts w:cs="Arial"/>
          <w:lang w:val="en-AU"/>
        </w:rPr>
        <w:t xml:space="preserve">GBR </w:t>
      </w:r>
      <w:r w:rsidR="003F0F01">
        <w:rPr>
          <w:rFonts w:cs="Arial"/>
          <w:lang w:val="en-AU"/>
        </w:rPr>
        <w:t xml:space="preserve">was </w:t>
      </w:r>
      <w:r w:rsidRPr="00914B3A">
        <w:rPr>
          <w:rFonts w:cs="Arial"/>
          <w:lang w:val="en-AU"/>
        </w:rPr>
        <w:t xml:space="preserve">exposed to </w:t>
      </w:r>
      <w:r>
        <w:rPr>
          <w:rFonts w:cs="Arial"/>
          <w:lang w:val="en-AU"/>
        </w:rPr>
        <w:t xml:space="preserve">surface </w:t>
      </w:r>
      <w:r w:rsidRPr="00914B3A">
        <w:rPr>
          <w:rFonts w:cs="Arial"/>
          <w:lang w:val="en-AU"/>
        </w:rPr>
        <w:t>river plume waters</w:t>
      </w:r>
      <w:r w:rsidR="003F0F01">
        <w:rPr>
          <w:rFonts w:cs="Arial"/>
          <w:lang w:val="en-AU"/>
        </w:rPr>
        <w:t>,</w:t>
      </w:r>
      <w:r w:rsidRPr="00914B3A">
        <w:rPr>
          <w:rFonts w:cs="Arial"/>
          <w:lang w:val="en-AU"/>
        </w:rPr>
        <w:t xml:space="preserve"> </w:t>
      </w:r>
      <w:r>
        <w:rPr>
          <w:rFonts w:cs="Arial"/>
          <w:lang w:val="en-AU"/>
        </w:rPr>
        <w:t>with only 7</w:t>
      </w:r>
      <w:r w:rsidRPr="00B10E2E">
        <w:rPr>
          <w:rFonts w:cs="Arial"/>
          <w:lang w:val="en-AU"/>
        </w:rPr>
        <w:t xml:space="preserve">% </w:t>
      </w:r>
      <w:r>
        <w:rPr>
          <w:rFonts w:cs="Arial"/>
          <w:lang w:val="en-AU"/>
        </w:rPr>
        <w:t>exposed to the higher risk categories</w:t>
      </w:r>
      <w:r w:rsidR="003F0F01">
        <w:rPr>
          <w:rFonts w:cs="Arial"/>
          <w:lang w:val="en-AU"/>
        </w:rPr>
        <w:t xml:space="preserve"> (</w:t>
      </w:r>
      <w:r w:rsidR="00B43959">
        <w:rPr>
          <w:rFonts w:cs="Arial"/>
          <w:lang w:val="en-AU"/>
        </w:rPr>
        <w:t>category</w:t>
      </w:r>
      <w:r w:rsidR="003F0F01">
        <w:rPr>
          <w:rFonts w:cs="Arial"/>
          <w:lang w:val="en-AU"/>
        </w:rPr>
        <w:t xml:space="preserve"> III and IV) (</w:t>
      </w:r>
      <w:r w:rsidR="00B239E5">
        <w:rPr>
          <w:rFonts w:cs="Arial"/>
          <w:lang w:val="en-AU"/>
        </w:rPr>
        <w:fldChar w:fldCharType="begin"/>
      </w:r>
      <w:r w:rsidR="00B239E5">
        <w:rPr>
          <w:rFonts w:cs="Arial"/>
          <w:lang w:val="en-AU"/>
        </w:rPr>
        <w:instrText xml:space="preserve"> REF _Ref459147864 \h </w:instrText>
      </w:r>
      <w:r w:rsidR="00B239E5">
        <w:rPr>
          <w:rFonts w:cs="Arial"/>
          <w:lang w:val="en-AU"/>
        </w:rPr>
      </w:r>
      <w:r w:rsidR="00B239E5">
        <w:rPr>
          <w:rFonts w:cs="Arial"/>
          <w:lang w:val="en-AU"/>
        </w:rPr>
        <w:fldChar w:fldCharType="separate"/>
      </w:r>
      <w:r w:rsidR="007F5336" w:rsidRPr="00B239E5">
        <w:t xml:space="preserve">Table </w:t>
      </w:r>
      <w:r w:rsidR="007F5336">
        <w:rPr>
          <w:noProof/>
        </w:rPr>
        <w:t>5</w:t>
      </w:r>
      <w:r w:rsidR="007F5336">
        <w:noBreakHyphen/>
      </w:r>
      <w:r w:rsidR="007F5336">
        <w:rPr>
          <w:noProof/>
        </w:rPr>
        <w:t>2</w:t>
      </w:r>
      <w:r w:rsidR="00B239E5">
        <w:rPr>
          <w:rFonts w:cs="Arial"/>
          <w:lang w:val="en-AU"/>
        </w:rPr>
        <w:fldChar w:fldCharType="end"/>
      </w:r>
      <w:r w:rsidR="003F0F01">
        <w:rPr>
          <w:rFonts w:cs="Arial"/>
          <w:lang w:val="en-AU"/>
        </w:rPr>
        <w:t>)</w:t>
      </w:r>
      <w:r>
        <w:rPr>
          <w:rFonts w:cs="Arial"/>
          <w:lang w:val="en-AU"/>
        </w:rPr>
        <w:t xml:space="preserve">. </w:t>
      </w:r>
      <w:r w:rsidR="003F0F01" w:rsidRPr="003F0F01">
        <w:rPr>
          <w:rFonts w:eastAsia="Calibri" w:cs="Arial"/>
          <w:lang w:val="en-AU"/>
        </w:rPr>
        <w:t xml:space="preserve"> </w:t>
      </w:r>
      <w:r w:rsidR="003F0F01">
        <w:rPr>
          <w:rFonts w:eastAsia="Calibri" w:cs="Arial"/>
          <w:lang w:val="en-AU"/>
        </w:rPr>
        <w:t xml:space="preserve">The proportion of each NRM region </w:t>
      </w:r>
      <w:r w:rsidR="003F0F01" w:rsidRPr="00B10E2E">
        <w:rPr>
          <w:rFonts w:eastAsia="Calibri" w:cs="Arial"/>
          <w:lang w:val="en-AU"/>
        </w:rPr>
        <w:t>exposed to river plume</w:t>
      </w:r>
      <w:r w:rsidR="003F0F01">
        <w:rPr>
          <w:rFonts w:eastAsia="Calibri" w:cs="Arial"/>
          <w:lang w:val="en-AU"/>
        </w:rPr>
        <w:t>s</w:t>
      </w:r>
      <w:r w:rsidR="003F0F01" w:rsidRPr="00B10E2E">
        <w:rPr>
          <w:rFonts w:eastAsia="Calibri" w:cs="Arial"/>
          <w:lang w:val="en-AU"/>
        </w:rPr>
        <w:t xml:space="preserve"> ranged</w:t>
      </w:r>
      <w:r w:rsidR="003F0F01" w:rsidRPr="00B10E2E">
        <w:rPr>
          <w:rFonts w:cs="Arial"/>
          <w:lang w:val="en-AU"/>
        </w:rPr>
        <w:t xml:space="preserve"> from 37% in the Burnett</w:t>
      </w:r>
      <w:r w:rsidR="00B239E5">
        <w:rPr>
          <w:rFonts w:cs="Arial"/>
          <w:lang w:val="en-AU"/>
        </w:rPr>
        <w:t xml:space="preserve"> </w:t>
      </w:r>
      <w:r w:rsidR="003F0F01" w:rsidRPr="00B10E2E">
        <w:rPr>
          <w:rFonts w:cs="Arial"/>
          <w:lang w:val="en-AU"/>
        </w:rPr>
        <w:t xml:space="preserve">Mary </w:t>
      </w:r>
      <w:r w:rsidR="003F0F01">
        <w:rPr>
          <w:rFonts w:cs="Arial"/>
          <w:lang w:val="en-AU"/>
        </w:rPr>
        <w:t>region</w:t>
      </w:r>
      <w:r w:rsidR="003F0F01" w:rsidRPr="00B10E2E">
        <w:rPr>
          <w:rFonts w:cs="Arial"/>
          <w:lang w:val="en-AU"/>
        </w:rPr>
        <w:t xml:space="preserve"> to </w:t>
      </w:r>
      <w:r w:rsidR="003F0F01">
        <w:rPr>
          <w:rFonts w:cs="Arial"/>
          <w:bCs/>
          <w:iCs/>
          <w:lang w:val="en-AU"/>
        </w:rPr>
        <w:t>58</w:t>
      </w:r>
      <w:r w:rsidR="003F0F01" w:rsidRPr="00B10E2E">
        <w:rPr>
          <w:rFonts w:cs="Arial"/>
          <w:bCs/>
          <w:iCs/>
          <w:lang w:val="en-AU"/>
        </w:rPr>
        <w:t>%</w:t>
      </w:r>
      <w:r w:rsidR="003F0F01" w:rsidRPr="00B10E2E">
        <w:rPr>
          <w:rFonts w:cs="Arial"/>
          <w:lang w:val="en-AU"/>
        </w:rPr>
        <w:t xml:space="preserve"> in Cape York </w:t>
      </w:r>
      <w:r w:rsidR="003F0F01">
        <w:rPr>
          <w:rFonts w:cs="Arial"/>
          <w:lang w:val="en-AU"/>
        </w:rPr>
        <w:t xml:space="preserve">(note low confidence) </w:t>
      </w:r>
      <w:r w:rsidR="003F0F01" w:rsidRPr="00B10E2E">
        <w:rPr>
          <w:rFonts w:cs="Arial"/>
          <w:lang w:val="en-AU"/>
        </w:rPr>
        <w:t xml:space="preserve">and </w:t>
      </w:r>
      <w:r w:rsidR="003F0F01" w:rsidRPr="00B10E2E">
        <w:rPr>
          <w:rFonts w:cs="Arial"/>
          <w:bCs/>
          <w:iCs/>
          <w:lang w:val="en-AU"/>
        </w:rPr>
        <w:t>50%</w:t>
      </w:r>
      <w:r w:rsidR="003F0F01" w:rsidRPr="00B10E2E">
        <w:rPr>
          <w:rFonts w:cs="Arial"/>
          <w:lang w:val="en-AU"/>
        </w:rPr>
        <w:t xml:space="preserve"> in the Fitzroy </w:t>
      </w:r>
      <w:r w:rsidR="003F0F01">
        <w:rPr>
          <w:rFonts w:cs="Arial"/>
          <w:lang w:val="en-AU"/>
        </w:rPr>
        <w:t>region</w:t>
      </w:r>
      <w:r w:rsidR="003F0F01" w:rsidRPr="00B10E2E">
        <w:rPr>
          <w:rFonts w:cs="Arial"/>
          <w:lang w:val="en-AU"/>
        </w:rPr>
        <w:t xml:space="preserve">. </w:t>
      </w:r>
      <w:r w:rsidR="003F0F01">
        <w:rPr>
          <w:rFonts w:cs="Arial"/>
          <w:lang w:val="en-AU"/>
        </w:rPr>
        <w:t>However, the proportion of the regions in</w:t>
      </w:r>
      <w:r w:rsidR="003F0F01" w:rsidRPr="00B10E2E">
        <w:rPr>
          <w:rFonts w:cs="Arial"/>
          <w:lang w:val="en-AU"/>
        </w:rPr>
        <w:t xml:space="preserve"> the highest potential risk categories (III and IV) were much lower with 2% of the Burnett</w:t>
      </w:r>
      <w:r w:rsidR="00B239E5">
        <w:rPr>
          <w:rFonts w:cs="Arial"/>
          <w:lang w:val="en-AU"/>
        </w:rPr>
        <w:t xml:space="preserve"> </w:t>
      </w:r>
      <w:r w:rsidR="003F0F01" w:rsidRPr="00B10E2E">
        <w:rPr>
          <w:rFonts w:cs="Arial"/>
          <w:lang w:val="en-AU"/>
        </w:rPr>
        <w:t xml:space="preserve">Mary </w:t>
      </w:r>
      <w:r w:rsidR="003F0F01">
        <w:rPr>
          <w:rFonts w:cs="Arial"/>
          <w:lang w:val="en-AU"/>
        </w:rPr>
        <w:t xml:space="preserve">region, </w:t>
      </w:r>
      <w:r w:rsidR="003F0F01">
        <w:rPr>
          <w:rFonts w:cs="Arial"/>
          <w:bCs/>
          <w:iCs/>
          <w:lang w:val="en-AU"/>
        </w:rPr>
        <w:t>5</w:t>
      </w:r>
      <w:r w:rsidR="003F0F01" w:rsidRPr="00B10E2E">
        <w:rPr>
          <w:rFonts w:cs="Arial"/>
          <w:bCs/>
          <w:iCs/>
          <w:lang w:val="en-AU"/>
        </w:rPr>
        <w:t>%</w:t>
      </w:r>
      <w:r w:rsidR="003F0F01">
        <w:rPr>
          <w:rFonts w:cs="Arial"/>
          <w:lang w:val="en-AU"/>
        </w:rPr>
        <w:t xml:space="preserve"> of Cape York and</w:t>
      </w:r>
      <w:r w:rsidR="003F0F01" w:rsidRPr="00B10E2E">
        <w:rPr>
          <w:rFonts w:cs="Arial"/>
          <w:lang w:val="en-AU"/>
        </w:rPr>
        <w:t xml:space="preserve"> </w:t>
      </w:r>
      <w:r w:rsidR="003F0F01" w:rsidRPr="00B10E2E">
        <w:rPr>
          <w:rFonts w:cs="Arial"/>
          <w:bCs/>
          <w:iCs/>
          <w:lang w:val="en-AU"/>
        </w:rPr>
        <w:t>8%</w:t>
      </w:r>
      <w:r w:rsidR="003F0F01" w:rsidRPr="00B10E2E">
        <w:rPr>
          <w:rFonts w:cs="Arial"/>
          <w:lang w:val="en-AU"/>
        </w:rPr>
        <w:t xml:space="preserve"> </w:t>
      </w:r>
      <w:r w:rsidR="003F0F01">
        <w:rPr>
          <w:rFonts w:cs="Arial"/>
          <w:lang w:val="en-AU"/>
        </w:rPr>
        <w:t>of</w:t>
      </w:r>
      <w:r w:rsidR="003F0F01" w:rsidRPr="00B10E2E">
        <w:rPr>
          <w:rFonts w:cs="Arial"/>
          <w:lang w:val="en-AU"/>
        </w:rPr>
        <w:t xml:space="preserve"> the Cape York </w:t>
      </w:r>
      <w:r w:rsidR="003F0F01">
        <w:rPr>
          <w:rFonts w:cs="Arial"/>
          <w:lang w:val="en-AU"/>
        </w:rPr>
        <w:t>region</w:t>
      </w:r>
      <w:r w:rsidR="003F0F01" w:rsidRPr="00B10E2E">
        <w:rPr>
          <w:lang w:val="en-AU"/>
        </w:rPr>
        <w:t xml:space="preserve">. </w:t>
      </w:r>
    </w:p>
    <w:p w14:paraId="198FD8F9" w14:textId="49A420FF" w:rsidR="005C7ADF" w:rsidRDefault="00B34CE1" w:rsidP="00164E5E">
      <w:pPr>
        <w:pStyle w:val="Caption"/>
      </w:pPr>
      <w:bookmarkStart w:id="1120" w:name="_Ref437545889"/>
      <w:bookmarkStart w:id="1121" w:name="_Toc459332367"/>
      <w:r w:rsidRPr="0026385A">
        <w:rPr>
          <w:noProof/>
          <w:lang w:val="en-AU" w:eastAsia="en-AU"/>
        </w:rPr>
        <w:drawing>
          <wp:anchor distT="0" distB="0" distL="114300" distR="114300" simplePos="0" relativeHeight="251673088" behindDoc="0" locked="0" layoutInCell="1" allowOverlap="1" wp14:anchorId="6C9DA68E" wp14:editId="108087EE">
            <wp:simplePos x="0" y="0"/>
            <wp:positionH relativeFrom="column">
              <wp:posOffset>0</wp:posOffset>
            </wp:positionH>
            <wp:positionV relativeFrom="paragraph">
              <wp:posOffset>104775</wp:posOffset>
            </wp:positionV>
            <wp:extent cx="5327650" cy="7537450"/>
            <wp:effectExtent l="0" t="0" r="6350" b="6350"/>
            <wp:wrapTopAndBottom/>
            <wp:docPr id="7184" name="Picture 7184" descr="Map of potential risk from GBR river plumes in 2014-15, where class I is the lowest potential risk (blue) and class IV is the highest potential risk (dark red). Risk categories are defined as a combination of the plume frequency (5 categories: 0-0.2, 0.2-0.4, 0.4-0.6, 0.6-0.8, 0.8-1.0) and plume water type (3 categories: Primary, Secondary and Tertiary) as presented in Figure 5-7 and Figure 5 8." title="Figure 5 9: Map of potential risk from GBR river plumes in 20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_FullExtent.tif"/>
                    <pic:cNvPicPr/>
                  </pic:nvPicPr>
                  <pic:blipFill>
                    <a:blip r:embed="rId320" cstate="print">
                      <a:extLst>
                        <a:ext uri="{28A0092B-C50C-407E-A947-70E740481C1C}">
                          <a14:useLocalDpi xmlns:a14="http://schemas.microsoft.com/office/drawing/2010/main" val="0"/>
                        </a:ext>
                      </a:extLst>
                    </a:blip>
                    <a:stretch>
                      <a:fillRect/>
                    </a:stretch>
                  </pic:blipFill>
                  <pic:spPr bwMode="auto">
                    <a:xfrm>
                      <a:off x="0" y="0"/>
                      <a:ext cx="5327650" cy="75374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46F31" w:rsidRPr="00202A68">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9</w:t>
      </w:r>
      <w:r w:rsidR="00C62884">
        <w:fldChar w:fldCharType="end"/>
      </w:r>
      <w:bookmarkEnd w:id="1120"/>
      <w:r w:rsidR="00846F31" w:rsidRPr="00202A68">
        <w:t xml:space="preserve">: </w:t>
      </w:r>
      <w:r w:rsidR="00F30C0F">
        <w:t xml:space="preserve">Map of potential risk from GBR river plumes in </w:t>
      </w:r>
      <w:r w:rsidR="00846F31" w:rsidRPr="00202A68">
        <w:t>2014-15</w:t>
      </w:r>
      <w:r w:rsidR="00F30C0F">
        <w:t xml:space="preserve">, where </w:t>
      </w:r>
      <w:bookmarkStart w:id="1122" w:name="_Ref437955486"/>
      <w:r w:rsidR="00F30C0F">
        <w:t xml:space="preserve">class I is the lowest potential risk (blue) and class IV is the highest potential risk (dark red). </w:t>
      </w:r>
      <w:r w:rsidR="00F30C0F">
        <w:rPr>
          <w:lang w:val="en-AU"/>
        </w:rPr>
        <w:t xml:space="preserve">Risk categories are defined as a combination of the plume frequency (5 categories: 0-0.2, 0.2-0.4, 0.4-0.6, 0.6-0.8, 0.8-1.0) and plume water type (3 categories: Primary, Secondary and Tertiary) as presented in </w:t>
      </w:r>
      <w:r w:rsidR="00B239E5">
        <w:rPr>
          <w:lang w:val="en-AU"/>
        </w:rPr>
        <w:t>Figure 5-7 and</w:t>
      </w:r>
      <w:r w:rsidR="00AB2398">
        <w:rPr>
          <w:lang w:val="en-AU"/>
        </w:rPr>
        <w:t xml:space="preserve"> </w:t>
      </w:r>
      <w:r w:rsidR="00AB2398">
        <w:rPr>
          <w:lang w:val="en-AU"/>
        </w:rPr>
        <w:fldChar w:fldCharType="begin"/>
      </w:r>
      <w:r w:rsidR="00AB2398">
        <w:rPr>
          <w:lang w:val="en-AU"/>
        </w:rPr>
        <w:instrText xml:space="preserve"> REF _Ref452296968 \h </w:instrText>
      </w:r>
      <w:r w:rsidR="00AB2398">
        <w:rPr>
          <w:lang w:val="en-AU"/>
        </w:rPr>
      </w:r>
      <w:r w:rsidR="00AB2398">
        <w:rPr>
          <w:lang w:val="en-AU"/>
        </w:rPr>
        <w:fldChar w:fldCharType="separate"/>
      </w:r>
      <w:r w:rsidR="007F5336" w:rsidRPr="0079306A">
        <w:t xml:space="preserve">Figure </w:t>
      </w:r>
      <w:r w:rsidR="007F5336">
        <w:rPr>
          <w:noProof/>
        </w:rPr>
        <w:t>5</w:t>
      </w:r>
      <w:r w:rsidR="007F5336">
        <w:noBreakHyphen/>
      </w:r>
      <w:r w:rsidR="007F5336">
        <w:rPr>
          <w:noProof/>
        </w:rPr>
        <w:t>8</w:t>
      </w:r>
      <w:r w:rsidR="00AB2398">
        <w:rPr>
          <w:lang w:val="en-AU"/>
        </w:rPr>
        <w:fldChar w:fldCharType="end"/>
      </w:r>
      <w:r w:rsidR="00F30C0F">
        <w:rPr>
          <w:lang w:val="en-AU"/>
        </w:rPr>
        <w:t>.</w:t>
      </w:r>
      <w:bookmarkEnd w:id="1121"/>
    </w:p>
    <w:p w14:paraId="5F22EEEB" w14:textId="3E838320" w:rsidR="009F168E" w:rsidRDefault="009F168E" w:rsidP="00124249">
      <w:r>
        <w:br w:type="page"/>
      </w:r>
    </w:p>
    <w:p w14:paraId="73528E52" w14:textId="25C0E476" w:rsidR="007A4BC2" w:rsidRPr="00B239E5" w:rsidRDefault="007A4BC2" w:rsidP="00B239E5">
      <w:pPr>
        <w:pStyle w:val="Caption"/>
        <w:rPr>
          <w:rStyle w:val="IntenseReference"/>
          <w:bCs w:val="0"/>
          <w:color w:val="auto"/>
          <w:lang w:val="en-US"/>
        </w:rPr>
      </w:pPr>
      <w:bookmarkStart w:id="1123" w:name="_Ref459147864"/>
      <w:bookmarkStart w:id="1124" w:name="_Toc459332156"/>
      <w:bookmarkStart w:id="1125" w:name="_Ref452300490"/>
      <w:r w:rsidRPr="00B239E5">
        <w:t xml:space="preserve">Table </w:t>
      </w:r>
      <w:r w:rsidR="00124249">
        <w:fldChar w:fldCharType="begin"/>
      </w:r>
      <w:r w:rsidR="00124249">
        <w:instrText xml:space="preserve"> STYLEREF 1 \s </w:instrText>
      </w:r>
      <w:r w:rsidR="00124249">
        <w:fldChar w:fldCharType="separate"/>
      </w:r>
      <w:r w:rsidR="007F5336">
        <w:rPr>
          <w:noProof/>
        </w:rPr>
        <w:t>5</w:t>
      </w:r>
      <w:r w:rsidR="00124249">
        <w:fldChar w:fldCharType="end"/>
      </w:r>
      <w:r w:rsidR="00124249">
        <w:noBreakHyphen/>
      </w:r>
      <w:r w:rsidR="00124249">
        <w:fldChar w:fldCharType="begin"/>
      </w:r>
      <w:r w:rsidR="00124249">
        <w:instrText xml:space="preserve"> SEQ Table \* ARABIC \s 1 </w:instrText>
      </w:r>
      <w:r w:rsidR="00124249">
        <w:fldChar w:fldCharType="separate"/>
      </w:r>
      <w:r w:rsidR="007F5336">
        <w:rPr>
          <w:noProof/>
        </w:rPr>
        <w:t>2</w:t>
      </w:r>
      <w:r w:rsidR="00124249">
        <w:fldChar w:fldCharType="end"/>
      </w:r>
      <w:bookmarkEnd w:id="1123"/>
      <w:r w:rsidRPr="00B239E5">
        <w:t>: Areas (km</w:t>
      </w:r>
      <w:r w:rsidRPr="00B239E5">
        <w:rPr>
          <w:vertAlign w:val="superscript"/>
        </w:rPr>
        <w:t>2</w:t>
      </w:r>
      <w:r w:rsidRPr="00B239E5">
        <w:t>) and percentage (%) of the GBR lagoon exposed to different categories of surface river plume frequency and river plume-related risk within the GBR and each NRM.</w:t>
      </w:r>
      <w:bookmarkEnd w:id="1124"/>
      <w:r w:rsidRPr="00B239E5">
        <w:t xml:space="preserve"> </w:t>
      </w:r>
      <w:r w:rsidRPr="00B239E5">
        <w:rPr>
          <w:rStyle w:val="IntenseReference"/>
          <w:bCs w:val="0"/>
          <w:color w:val="auto"/>
          <w:lang w:val="en-US"/>
        </w:rPr>
        <w:t xml:space="preserve">Surface areas south of the GBR </w:t>
      </w:r>
      <w:r w:rsidR="00B239E5">
        <w:rPr>
          <w:rStyle w:val="IntenseReference"/>
          <w:bCs w:val="0"/>
          <w:color w:val="auto"/>
          <w:lang w:val="en-US"/>
        </w:rPr>
        <w:t>M</w:t>
      </w:r>
      <w:r w:rsidRPr="00B239E5">
        <w:rPr>
          <w:rStyle w:val="IntenseReference"/>
          <w:bCs w:val="0"/>
          <w:color w:val="auto"/>
          <w:lang w:val="en-US"/>
        </w:rPr>
        <w:t xml:space="preserve">arine </w:t>
      </w:r>
      <w:r w:rsidR="00B239E5">
        <w:rPr>
          <w:rStyle w:val="IntenseReference"/>
          <w:bCs w:val="0"/>
          <w:color w:val="auto"/>
          <w:lang w:val="en-US"/>
        </w:rPr>
        <w:t>Pa</w:t>
      </w:r>
      <w:r w:rsidRPr="00B239E5">
        <w:rPr>
          <w:rStyle w:val="IntenseReference"/>
          <w:bCs w:val="0"/>
          <w:color w:val="auto"/>
          <w:lang w:val="en-US"/>
        </w:rPr>
        <w:t>rk boundary (Hervey Bay) are not included.</w:t>
      </w:r>
    </w:p>
    <w:tbl>
      <w:tblPr>
        <w:tblStyle w:val="TableGrid1"/>
        <w:tblW w:w="8787" w:type="dxa"/>
        <w:tblLook w:val="04A0" w:firstRow="1" w:lastRow="0" w:firstColumn="1" w:lastColumn="0" w:noHBand="0" w:noVBand="1"/>
        <w:tblCaption w:val="Table 5 2: Areas (km2) and percentage (%) of the GBR lagoon exposed to different categories of surface river plume frequency and river plume-related risk within the GBR and each NRM. "/>
        <w:tblDescription w:val="Table showing areas (km2) and percentage (%) of the GBR lagoon exposed to different categories of surface river plume frequency and river plume-related risk within the GBR and each NRM. Surface areas south of the GBR Marine Park boundary (Hervey Bay) are not included."/>
      </w:tblPr>
      <w:tblGrid>
        <w:gridCol w:w="1461"/>
        <w:gridCol w:w="628"/>
        <w:gridCol w:w="939"/>
        <w:gridCol w:w="828"/>
        <w:gridCol w:w="828"/>
        <w:gridCol w:w="828"/>
        <w:gridCol w:w="717"/>
        <w:gridCol w:w="1279"/>
        <w:gridCol w:w="1279"/>
      </w:tblGrid>
      <w:tr w:rsidR="007A4BC2" w:rsidRPr="00B239E5" w14:paraId="750DDF48" w14:textId="77777777" w:rsidTr="006E77C1">
        <w:trPr>
          <w:trHeight w:val="300"/>
          <w:tblHeader/>
        </w:trPr>
        <w:tc>
          <w:tcPr>
            <w:tcW w:w="2089" w:type="dxa"/>
            <w:gridSpan w:val="2"/>
            <w:vMerge w:val="restart"/>
            <w:noWrap/>
            <w:hideMark/>
          </w:tcPr>
          <w:p w14:paraId="412AC2D8" w14:textId="17BB2DA0" w:rsidR="007A4BC2" w:rsidRPr="004A5BF7" w:rsidRDefault="007A4BC2" w:rsidP="009D4D30">
            <w:pPr>
              <w:tabs>
                <w:tab w:val="right" w:pos="1873"/>
              </w:tabs>
              <w:spacing w:before="0" w:afterLines="40" w:after="96" w:line="200" w:lineRule="exact"/>
              <w:jc w:val="left"/>
              <w:rPr>
                <w:rFonts w:cs="Arial"/>
                <w:b/>
                <w:bCs/>
                <w:color w:val="000000"/>
                <w:sz w:val="18"/>
                <w:szCs w:val="18"/>
                <w:lang w:val="en-AU"/>
              </w:rPr>
            </w:pPr>
            <w:r w:rsidRPr="004A5BF7">
              <w:rPr>
                <w:rFonts w:cs="Arial"/>
                <w:b/>
                <w:bCs/>
                <w:color w:val="000000"/>
                <w:sz w:val="18"/>
                <w:szCs w:val="18"/>
                <w:lang w:val="en-AU"/>
              </w:rPr>
              <w:t>NRM</w:t>
            </w:r>
            <w:r w:rsidR="009D4D30">
              <w:rPr>
                <w:rFonts w:cs="Arial"/>
                <w:b/>
                <w:bCs/>
                <w:color w:val="000000"/>
                <w:sz w:val="18"/>
                <w:szCs w:val="18"/>
                <w:lang w:val="en-AU"/>
              </w:rPr>
              <w:tab/>
            </w:r>
          </w:p>
        </w:tc>
        <w:tc>
          <w:tcPr>
            <w:tcW w:w="939" w:type="dxa"/>
            <w:vMerge w:val="restart"/>
            <w:noWrap/>
            <w:hideMark/>
          </w:tcPr>
          <w:p w14:paraId="2081B768" w14:textId="30C2F8D4" w:rsidR="007A4BC2" w:rsidRPr="004A5BF7" w:rsidRDefault="007A4BC2" w:rsidP="004A5BF7">
            <w:pPr>
              <w:spacing w:before="0" w:afterLines="40" w:after="96" w:line="200" w:lineRule="exact"/>
              <w:jc w:val="center"/>
              <w:rPr>
                <w:rFonts w:cs="Arial"/>
                <w:b/>
                <w:bCs/>
                <w:color w:val="000000"/>
                <w:sz w:val="18"/>
                <w:szCs w:val="18"/>
                <w:lang w:val="en-AU"/>
              </w:rPr>
            </w:pPr>
            <w:r w:rsidRPr="004A5BF7">
              <w:rPr>
                <w:rFonts w:cs="Arial"/>
                <w:b/>
                <w:bCs/>
                <w:color w:val="000000"/>
                <w:sz w:val="18"/>
                <w:szCs w:val="18"/>
                <w:lang w:val="en-AU"/>
              </w:rPr>
              <w:t>Tot</w:t>
            </w:r>
            <w:r w:rsidR="00B239E5" w:rsidRPr="00B239E5">
              <w:rPr>
                <w:rFonts w:cs="Arial"/>
                <w:b/>
                <w:bCs/>
                <w:color w:val="000000"/>
                <w:sz w:val="18"/>
                <w:szCs w:val="18"/>
                <w:lang w:val="en-AU"/>
              </w:rPr>
              <w:t>al</w:t>
            </w:r>
          </w:p>
        </w:tc>
        <w:tc>
          <w:tcPr>
            <w:tcW w:w="3201" w:type="dxa"/>
            <w:gridSpan w:val="4"/>
            <w:noWrap/>
            <w:hideMark/>
          </w:tcPr>
          <w:p w14:paraId="2B65C994" w14:textId="77777777" w:rsidR="007A4BC2" w:rsidRPr="004A5BF7" w:rsidRDefault="007A4BC2" w:rsidP="004A5BF7">
            <w:pPr>
              <w:spacing w:before="0" w:afterLines="40" w:after="96" w:line="200" w:lineRule="exact"/>
              <w:jc w:val="center"/>
              <w:rPr>
                <w:rFonts w:cs="Arial"/>
                <w:b/>
                <w:bCs/>
                <w:color w:val="000000"/>
                <w:sz w:val="18"/>
                <w:szCs w:val="18"/>
                <w:lang w:val="en-AU"/>
              </w:rPr>
            </w:pPr>
            <w:r w:rsidRPr="004A5BF7">
              <w:rPr>
                <w:rFonts w:cs="Arial"/>
                <w:b/>
                <w:bCs/>
                <w:color w:val="000000"/>
                <w:sz w:val="18"/>
                <w:szCs w:val="18"/>
                <w:lang w:val="en-AU"/>
              </w:rPr>
              <w:t>Risk category</w:t>
            </w:r>
          </w:p>
        </w:tc>
        <w:tc>
          <w:tcPr>
            <w:tcW w:w="1279" w:type="dxa"/>
            <w:vMerge w:val="restart"/>
            <w:hideMark/>
          </w:tcPr>
          <w:p w14:paraId="7AF30077" w14:textId="20FBF6A8" w:rsidR="007A4BC2" w:rsidRPr="004A5BF7" w:rsidRDefault="00B239E5" w:rsidP="004A5BF7">
            <w:pPr>
              <w:spacing w:before="0" w:afterLines="40" w:after="96" w:line="200" w:lineRule="exact"/>
              <w:jc w:val="center"/>
              <w:rPr>
                <w:rFonts w:cs="Arial"/>
                <w:b/>
                <w:bCs/>
                <w:color w:val="000000"/>
                <w:sz w:val="18"/>
                <w:szCs w:val="18"/>
                <w:lang w:val="en-AU"/>
              </w:rPr>
            </w:pPr>
            <w:r w:rsidRPr="00B239E5">
              <w:rPr>
                <w:rFonts w:cs="Arial"/>
                <w:b/>
                <w:bCs/>
                <w:color w:val="000000"/>
                <w:sz w:val="18"/>
                <w:szCs w:val="18"/>
                <w:lang w:val="en-AU"/>
              </w:rPr>
              <w:t>Total</w:t>
            </w:r>
            <w:r w:rsidR="007A4BC2" w:rsidRPr="004A5BF7">
              <w:rPr>
                <w:rFonts w:cs="Arial"/>
                <w:b/>
                <w:bCs/>
                <w:color w:val="000000"/>
                <w:sz w:val="18"/>
                <w:szCs w:val="18"/>
                <w:lang w:val="en-AU"/>
              </w:rPr>
              <w:t xml:space="preserve"> exposed</w:t>
            </w:r>
          </w:p>
        </w:tc>
        <w:tc>
          <w:tcPr>
            <w:tcW w:w="1279" w:type="dxa"/>
            <w:vMerge w:val="restart"/>
            <w:hideMark/>
          </w:tcPr>
          <w:p w14:paraId="5765BCEE" w14:textId="7D325056" w:rsidR="007A4BC2" w:rsidRPr="004A5BF7" w:rsidRDefault="00B239E5" w:rsidP="004A5BF7">
            <w:pPr>
              <w:spacing w:before="0" w:afterLines="40" w:after="96" w:line="200" w:lineRule="exact"/>
              <w:jc w:val="center"/>
              <w:rPr>
                <w:rFonts w:cs="Arial"/>
                <w:b/>
                <w:bCs/>
                <w:color w:val="000000"/>
                <w:sz w:val="18"/>
                <w:szCs w:val="18"/>
                <w:lang w:val="en-AU"/>
              </w:rPr>
            </w:pPr>
            <w:r w:rsidRPr="00B239E5">
              <w:rPr>
                <w:rFonts w:cs="Arial"/>
                <w:b/>
                <w:bCs/>
                <w:color w:val="000000"/>
                <w:sz w:val="18"/>
                <w:szCs w:val="18"/>
                <w:lang w:val="en-AU"/>
              </w:rPr>
              <w:t>Total</w:t>
            </w:r>
            <w:r w:rsidR="007A4BC2" w:rsidRPr="004A5BF7">
              <w:rPr>
                <w:rFonts w:cs="Arial"/>
                <w:b/>
                <w:bCs/>
                <w:color w:val="000000"/>
                <w:sz w:val="18"/>
                <w:szCs w:val="18"/>
                <w:lang w:val="en-AU"/>
              </w:rPr>
              <w:t xml:space="preserve"> non exposed</w:t>
            </w:r>
          </w:p>
        </w:tc>
      </w:tr>
      <w:tr w:rsidR="007A4BC2" w:rsidRPr="00B239E5" w14:paraId="6853217B" w14:textId="77777777" w:rsidTr="006E77C1">
        <w:trPr>
          <w:trHeight w:val="77"/>
          <w:tblHeader/>
        </w:trPr>
        <w:tc>
          <w:tcPr>
            <w:tcW w:w="2089" w:type="dxa"/>
            <w:gridSpan w:val="2"/>
            <w:vMerge/>
            <w:hideMark/>
          </w:tcPr>
          <w:p w14:paraId="303BD1C8" w14:textId="77777777" w:rsidR="007A4BC2" w:rsidRPr="004A5BF7" w:rsidRDefault="007A4BC2" w:rsidP="004A5BF7">
            <w:pPr>
              <w:spacing w:before="0" w:afterLines="40" w:after="96" w:line="200" w:lineRule="exact"/>
              <w:jc w:val="left"/>
              <w:rPr>
                <w:rFonts w:cs="Arial"/>
                <w:b/>
                <w:bCs/>
                <w:color w:val="000000"/>
                <w:sz w:val="18"/>
                <w:szCs w:val="18"/>
                <w:lang w:val="en-AU"/>
              </w:rPr>
            </w:pPr>
          </w:p>
        </w:tc>
        <w:tc>
          <w:tcPr>
            <w:tcW w:w="939" w:type="dxa"/>
            <w:vMerge/>
            <w:hideMark/>
          </w:tcPr>
          <w:p w14:paraId="01EBAC9E" w14:textId="77777777" w:rsidR="007A4BC2" w:rsidRPr="004A5BF7" w:rsidRDefault="007A4BC2" w:rsidP="004A5BF7">
            <w:pPr>
              <w:spacing w:before="0" w:afterLines="40" w:after="96" w:line="200" w:lineRule="exact"/>
              <w:rPr>
                <w:rFonts w:cs="Arial"/>
                <w:b/>
                <w:bCs/>
                <w:color w:val="000000"/>
                <w:sz w:val="18"/>
                <w:szCs w:val="18"/>
                <w:lang w:val="en-AU"/>
              </w:rPr>
            </w:pPr>
          </w:p>
        </w:tc>
        <w:tc>
          <w:tcPr>
            <w:tcW w:w="828" w:type="dxa"/>
            <w:shd w:val="clear" w:color="auto" w:fill="0070C0"/>
            <w:noWrap/>
            <w:hideMark/>
          </w:tcPr>
          <w:p w14:paraId="4949DD66" w14:textId="77777777" w:rsidR="007A4BC2" w:rsidRPr="004A5BF7" w:rsidRDefault="007A4BC2" w:rsidP="004A5BF7">
            <w:pPr>
              <w:spacing w:before="0" w:afterLines="40" w:after="96" w:line="200" w:lineRule="exact"/>
              <w:jc w:val="center"/>
              <w:rPr>
                <w:rFonts w:cs="Arial"/>
                <w:b/>
                <w:bCs/>
                <w:color w:val="FFFFFF"/>
                <w:sz w:val="18"/>
                <w:szCs w:val="18"/>
                <w:lang w:val="en-AU"/>
              </w:rPr>
            </w:pPr>
            <w:r w:rsidRPr="004A5BF7">
              <w:rPr>
                <w:rFonts w:cs="Arial"/>
                <w:b/>
                <w:bCs/>
                <w:color w:val="FFFFFF"/>
                <w:sz w:val="18"/>
                <w:szCs w:val="18"/>
                <w:lang w:val="en-AU"/>
              </w:rPr>
              <w:t>I</w:t>
            </w:r>
          </w:p>
        </w:tc>
        <w:tc>
          <w:tcPr>
            <w:tcW w:w="828" w:type="dxa"/>
            <w:shd w:val="clear" w:color="auto" w:fill="00B050"/>
            <w:noWrap/>
            <w:hideMark/>
          </w:tcPr>
          <w:p w14:paraId="31BF6E25" w14:textId="77777777" w:rsidR="007A4BC2" w:rsidRPr="004A5BF7" w:rsidRDefault="007A4BC2" w:rsidP="004A5BF7">
            <w:pPr>
              <w:spacing w:before="0" w:afterLines="40" w:after="96" w:line="200" w:lineRule="exact"/>
              <w:jc w:val="center"/>
              <w:rPr>
                <w:rFonts w:cs="Arial"/>
                <w:b/>
                <w:bCs/>
                <w:color w:val="FFFFFF"/>
                <w:sz w:val="18"/>
                <w:szCs w:val="18"/>
                <w:lang w:val="en-AU"/>
              </w:rPr>
            </w:pPr>
            <w:r w:rsidRPr="004A5BF7">
              <w:rPr>
                <w:rFonts w:cs="Arial"/>
                <w:b/>
                <w:bCs/>
                <w:color w:val="FFFFFF"/>
                <w:sz w:val="18"/>
                <w:szCs w:val="18"/>
                <w:lang w:val="en-AU"/>
              </w:rPr>
              <w:t>II</w:t>
            </w:r>
          </w:p>
        </w:tc>
        <w:tc>
          <w:tcPr>
            <w:tcW w:w="828" w:type="dxa"/>
            <w:shd w:val="clear" w:color="auto" w:fill="FF0000"/>
            <w:noWrap/>
            <w:hideMark/>
          </w:tcPr>
          <w:p w14:paraId="17F154FD" w14:textId="77777777" w:rsidR="007A4BC2" w:rsidRPr="004A5BF7" w:rsidRDefault="007A4BC2" w:rsidP="004A5BF7">
            <w:pPr>
              <w:spacing w:before="0" w:afterLines="40" w:after="96" w:line="200" w:lineRule="exact"/>
              <w:jc w:val="center"/>
              <w:rPr>
                <w:rFonts w:cs="Arial"/>
                <w:b/>
                <w:bCs/>
                <w:color w:val="FFFFFF"/>
                <w:sz w:val="18"/>
                <w:szCs w:val="18"/>
                <w:lang w:val="en-AU"/>
              </w:rPr>
            </w:pPr>
            <w:r w:rsidRPr="004A5BF7">
              <w:rPr>
                <w:rFonts w:cs="Arial"/>
                <w:b/>
                <w:bCs/>
                <w:color w:val="FFFFFF"/>
                <w:sz w:val="18"/>
                <w:szCs w:val="18"/>
                <w:lang w:val="en-AU"/>
              </w:rPr>
              <w:t>III</w:t>
            </w:r>
          </w:p>
        </w:tc>
        <w:tc>
          <w:tcPr>
            <w:tcW w:w="717" w:type="dxa"/>
            <w:shd w:val="clear" w:color="auto" w:fill="C00000"/>
            <w:noWrap/>
            <w:hideMark/>
          </w:tcPr>
          <w:p w14:paraId="205635B2" w14:textId="77777777" w:rsidR="007A4BC2" w:rsidRPr="004A5BF7" w:rsidRDefault="007A4BC2" w:rsidP="004A5BF7">
            <w:pPr>
              <w:spacing w:before="0" w:afterLines="40" w:after="96" w:line="200" w:lineRule="exact"/>
              <w:jc w:val="center"/>
              <w:rPr>
                <w:rFonts w:cs="Arial"/>
                <w:b/>
                <w:bCs/>
                <w:color w:val="FFFFFF"/>
                <w:sz w:val="18"/>
                <w:szCs w:val="18"/>
                <w:lang w:val="en-AU"/>
              </w:rPr>
            </w:pPr>
            <w:r w:rsidRPr="004A5BF7">
              <w:rPr>
                <w:rFonts w:cs="Arial"/>
                <w:b/>
                <w:bCs/>
                <w:color w:val="FFFFFF"/>
                <w:sz w:val="18"/>
                <w:szCs w:val="18"/>
                <w:lang w:val="en-AU"/>
              </w:rPr>
              <w:t>IV</w:t>
            </w:r>
          </w:p>
        </w:tc>
        <w:tc>
          <w:tcPr>
            <w:tcW w:w="1279" w:type="dxa"/>
            <w:vMerge/>
            <w:hideMark/>
          </w:tcPr>
          <w:p w14:paraId="2656A197" w14:textId="77777777" w:rsidR="007A4BC2" w:rsidRPr="004A5BF7" w:rsidRDefault="007A4BC2" w:rsidP="004A5BF7">
            <w:pPr>
              <w:spacing w:before="0" w:afterLines="40" w:after="96" w:line="200" w:lineRule="exact"/>
              <w:rPr>
                <w:rFonts w:cs="Arial"/>
                <w:b/>
                <w:bCs/>
                <w:color w:val="000000"/>
                <w:sz w:val="18"/>
                <w:szCs w:val="18"/>
                <w:lang w:val="en-AU"/>
              </w:rPr>
            </w:pPr>
          </w:p>
        </w:tc>
        <w:tc>
          <w:tcPr>
            <w:tcW w:w="1279" w:type="dxa"/>
            <w:vMerge/>
            <w:hideMark/>
          </w:tcPr>
          <w:p w14:paraId="6481F2F9" w14:textId="77777777" w:rsidR="007A4BC2" w:rsidRPr="004A5BF7" w:rsidRDefault="007A4BC2" w:rsidP="004A5BF7">
            <w:pPr>
              <w:spacing w:before="0" w:afterLines="40" w:after="96" w:line="200" w:lineRule="exact"/>
              <w:rPr>
                <w:rFonts w:cs="Arial"/>
                <w:b/>
                <w:bCs/>
                <w:color w:val="000000"/>
                <w:sz w:val="18"/>
                <w:szCs w:val="18"/>
                <w:lang w:val="en-AU"/>
              </w:rPr>
            </w:pPr>
          </w:p>
        </w:tc>
      </w:tr>
      <w:tr w:rsidR="007A4BC2" w:rsidRPr="00B239E5" w14:paraId="576AD2F5" w14:textId="77777777" w:rsidTr="004A5BF7">
        <w:trPr>
          <w:trHeight w:val="64"/>
        </w:trPr>
        <w:tc>
          <w:tcPr>
            <w:tcW w:w="1461" w:type="dxa"/>
            <w:vMerge w:val="restart"/>
            <w:noWrap/>
            <w:vAlign w:val="center"/>
            <w:hideMark/>
          </w:tcPr>
          <w:p w14:paraId="58386285" w14:textId="77777777" w:rsidR="007A4BC2" w:rsidRPr="004A5BF7" w:rsidRDefault="007A4BC2" w:rsidP="004A5BF7">
            <w:pPr>
              <w:spacing w:before="0" w:afterLines="40" w:after="96" w:line="200" w:lineRule="exact"/>
              <w:jc w:val="left"/>
              <w:rPr>
                <w:rFonts w:cs="Arial"/>
                <w:b/>
                <w:bCs/>
                <w:color w:val="000000"/>
                <w:sz w:val="18"/>
                <w:szCs w:val="18"/>
                <w:lang w:val="en-AU"/>
              </w:rPr>
            </w:pPr>
            <w:r w:rsidRPr="004A5BF7">
              <w:rPr>
                <w:rFonts w:cs="Arial"/>
                <w:b/>
                <w:bCs/>
                <w:color w:val="000000"/>
                <w:sz w:val="18"/>
                <w:szCs w:val="18"/>
                <w:lang w:val="en-AU"/>
              </w:rPr>
              <w:t>GBR</w:t>
            </w:r>
          </w:p>
        </w:tc>
        <w:tc>
          <w:tcPr>
            <w:tcW w:w="628" w:type="dxa"/>
            <w:noWrap/>
            <w:vAlign w:val="center"/>
            <w:hideMark/>
          </w:tcPr>
          <w:p w14:paraId="0628654E" w14:textId="77777777" w:rsidR="007A4BC2" w:rsidRPr="004A5BF7" w:rsidRDefault="007A4BC2" w:rsidP="004A5BF7">
            <w:pPr>
              <w:spacing w:before="0" w:afterLines="40" w:after="96" w:line="200" w:lineRule="exact"/>
              <w:jc w:val="left"/>
              <w:rPr>
                <w:rFonts w:cs="Arial"/>
                <w:bCs/>
                <w:color w:val="000000"/>
                <w:sz w:val="18"/>
                <w:szCs w:val="18"/>
                <w:lang w:val="en-AU"/>
              </w:rPr>
            </w:pPr>
            <w:r w:rsidRPr="004A5BF7">
              <w:rPr>
                <w:rFonts w:cs="Arial"/>
                <w:bCs/>
                <w:color w:val="000000"/>
                <w:sz w:val="18"/>
                <w:szCs w:val="18"/>
                <w:lang w:val="en-AU"/>
              </w:rPr>
              <w:t>area</w:t>
            </w:r>
          </w:p>
        </w:tc>
        <w:tc>
          <w:tcPr>
            <w:tcW w:w="939" w:type="dxa"/>
            <w:noWrap/>
            <w:vAlign w:val="center"/>
            <w:hideMark/>
          </w:tcPr>
          <w:p w14:paraId="56C324C5" w14:textId="77777777" w:rsidR="007A4BC2" w:rsidRPr="004A5BF7" w:rsidRDefault="007A4BC2" w:rsidP="004A5BF7">
            <w:pPr>
              <w:spacing w:before="0" w:afterLines="40" w:after="96" w:line="200" w:lineRule="exact"/>
              <w:jc w:val="center"/>
              <w:rPr>
                <w:rFonts w:cs="Arial"/>
                <w:bCs/>
                <w:color w:val="000000"/>
                <w:sz w:val="18"/>
                <w:szCs w:val="18"/>
                <w:lang w:val="en-AU"/>
              </w:rPr>
            </w:pPr>
            <w:r w:rsidRPr="004A5BF7">
              <w:rPr>
                <w:rFonts w:cs="Arial"/>
                <w:bCs/>
                <w:color w:val="000000"/>
                <w:sz w:val="18"/>
                <w:szCs w:val="18"/>
                <w:lang w:val="en-AU"/>
              </w:rPr>
              <w:t>348,753</w:t>
            </w:r>
          </w:p>
        </w:tc>
        <w:tc>
          <w:tcPr>
            <w:tcW w:w="828" w:type="dxa"/>
            <w:noWrap/>
            <w:vAlign w:val="center"/>
            <w:hideMark/>
          </w:tcPr>
          <w:p w14:paraId="176685B1" w14:textId="77777777" w:rsidR="007A4BC2" w:rsidRPr="004A5BF7" w:rsidRDefault="007A4BC2" w:rsidP="004A5BF7">
            <w:pPr>
              <w:spacing w:before="0" w:afterLines="40" w:after="96" w:line="200" w:lineRule="exact"/>
              <w:jc w:val="center"/>
              <w:rPr>
                <w:rFonts w:cs="Arial"/>
                <w:bCs/>
                <w:color w:val="000000"/>
                <w:sz w:val="18"/>
                <w:szCs w:val="18"/>
                <w:lang w:val="en-AU"/>
              </w:rPr>
            </w:pPr>
            <w:r w:rsidRPr="004A5BF7">
              <w:rPr>
                <w:rFonts w:cs="Arial"/>
                <w:bCs/>
                <w:color w:val="000000"/>
                <w:sz w:val="18"/>
                <w:szCs w:val="18"/>
                <w:lang w:val="en-AU"/>
              </w:rPr>
              <w:t>69,788</w:t>
            </w:r>
          </w:p>
        </w:tc>
        <w:tc>
          <w:tcPr>
            <w:tcW w:w="828" w:type="dxa"/>
            <w:noWrap/>
            <w:vAlign w:val="center"/>
            <w:hideMark/>
          </w:tcPr>
          <w:p w14:paraId="53238EE6" w14:textId="77777777" w:rsidR="007A4BC2" w:rsidRPr="004A5BF7" w:rsidRDefault="007A4BC2" w:rsidP="004A5BF7">
            <w:pPr>
              <w:spacing w:before="0" w:afterLines="40" w:after="96" w:line="200" w:lineRule="exact"/>
              <w:jc w:val="center"/>
              <w:rPr>
                <w:rFonts w:cs="Arial"/>
                <w:bCs/>
                <w:color w:val="000000"/>
                <w:sz w:val="18"/>
                <w:szCs w:val="18"/>
                <w:lang w:val="en-AU"/>
              </w:rPr>
            </w:pPr>
            <w:r w:rsidRPr="004A5BF7">
              <w:rPr>
                <w:rFonts w:cs="Arial"/>
                <w:bCs/>
                <w:color w:val="000000"/>
                <w:sz w:val="18"/>
                <w:szCs w:val="18"/>
                <w:lang w:val="en-AU"/>
              </w:rPr>
              <w:t>90,232</w:t>
            </w:r>
          </w:p>
        </w:tc>
        <w:tc>
          <w:tcPr>
            <w:tcW w:w="828" w:type="dxa"/>
            <w:noWrap/>
            <w:vAlign w:val="center"/>
            <w:hideMark/>
          </w:tcPr>
          <w:p w14:paraId="162DDEDB" w14:textId="77777777" w:rsidR="007A4BC2" w:rsidRPr="004A5BF7" w:rsidRDefault="007A4BC2" w:rsidP="004A5BF7">
            <w:pPr>
              <w:spacing w:before="0" w:afterLines="40" w:after="96" w:line="200" w:lineRule="exact"/>
              <w:jc w:val="center"/>
              <w:rPr>
                <w:rFonts w:cs="Arial"/>
                <w:bCs/>
                <w:color w:val="000000"/>
                <w:sz w:val="18"/>
                <w:szCs w:val="18"/>
                <w:lang w:val="en-AU"/>
              </w:rPr>
            </w:pPr>
            <w:r w:rsidRPr="004A5BF7">
              <w:rPr>
                <w:rFonts w:cs="Arial"/>
                <w:bCs/>
                <w:color w:val="000000"/>
                <w:sz w:val="18"/>
                <w:szCs w:val="18"/>
                <w:lang w:val="en-AU"/>
              </w:rPr>
              <w:t>21,352</w:t>
            </w:r>
          </w:p>
        </w:tc>
        <w:tc>
          <w:tcPr>
            <w:tcW w:w="717" w:type="dxa"/>
            <w:noWrap/>
            <w:vAlign w:val="center"/>
            <w:hideMark/>
          </w:tcPr>
          <w:p w14:paraId="78CB2E1A" w14:textId="77777777" w:rsidR="007A4BC2" w:rsidRPr="004A5BF7" w:rsidRDefault="007A4BC2" w:rsidP="004A5BF7">
            <w:pPr>
              <w:spacing w:before="0" w:afterLines="40" w:after="96" w:line="200" w:lineRule="exact"/>
              <w:jc w:val="center"/>
              <w:rPr>
                <w:rFonts w:cs="Arial"/>
                <w:bCs/>
                <w:color w:val="000000"/>
                <w:sz w:val="18"/>
                <w:szCs w:val="18"/>
                <w:lang w:val="en-AU"/>
              </w:rPr>
            </w:pPr>
            <w:r w:rsidRPr="004A5BF7">
              <w:rPr>
                <w:rFonts w:cs="Arial"/>
                <w:bCs/>
                <w:color w:val="000000"/>
                <w:sz w:val="18"/>
                <w:szCs w:val="18"/>
                <w:lang w:val="en-AU"/>
              </w:rPr>
              <w:t>2,296</w:t>
            </w:r>
          </w:p>
        </w:tc>
        <w:tc>
          <w:tcPr>
            <w:tcW w:w="1279" w:type="dxa"/>
            <w:noWrap/>
            <w:vAlign w:val="center"/>
            <w:hideMark/>
          </w:tcPr>
          <w:p w14:paraId="25B4A4A4" w14:textId="77777777" w:rsidR="007A4BC2" w:rsidRPr="004A5BF7" w:rsidRDefault="007A4BC2" w:rsidP="004A5BF7">
            <w:pPr>
              <w:spacing w:before="0" w:afterLines="40" w:after="96" w:line="200" w:lineRule="exact"/>
              <w:jc w:val="center"/>
              <w:rPr>
                <w:rFonts w:cs="Arial"/>
                <w:b/>
                <w:bCs/>
                <w:color w:val="000000"/>
                <w:sz w:val="18"/>
                <w:szCs w:val="18"/>
                <w:lang w:val="en-AU"/>
              </w:rPr>
            </w:pPr>
            <w:r w:rsidRPr="004A5BF7">
              <w:rPr>
                <w:rFonts w:cs="Arial"/>
                <w:b/>
                <w:bCs/>
                <w:color w:val="000000"/>
                <w:sz w:val="18"/>
                <w:szCs w:val="18"/>
                <w:lang w:val="en-AU"/>
              </w:rPr>
              <w:t>183,669</w:t>
            </w:r>
          </w:p>
        </w:tc>
        <w:tc>
          <w:tcPr>
            <w:tcW w:w="1279" w:type="dxa"/>
            <w:noWrap/>
            <w:vAlign w:val="center"/>
            <w:hideMark/>
          </w:tcPr>
          <w:p w14:paraId="1E1CF189" w14:textId="77777777" w:rsidR="007A4BC2" w:rsidRPr="004A5BF7" w:rsidRDefault="007A4BC2" w:rsidP="004A5BF7">
            <w:pPr>
              <w:spacing w:before="0" w:afterLines="40" w:after="96" w:line="200" w:lineRule="exact"/>
              <w:jc w:val="center"/>
              <w:rPr>
                <w:rFonts w:cs="Arial"/>
                <w:b/>
                <w:bCs/>
                <w:color w:val="000000"/>
                <w:sz w:val="18"/>
                <w:szCs w:val="18"/>
                <w:lang w:val="en-AU"/>
              </w:rPr>
            </w:pPr>
            <w:r w:rsidRPr="004A5BF7">
              <w:rPr>
                <w:rFonts w:cs="Arial"/>
                <w:b/>
                <w:bCs/>
                <w:color w:val="000000"/>
                <w:sz w:val="18"/>
                <w:szCs w:val="18"/>
                <w:lang w:val="en-AU"/>
              </w:rPr>
              <w:t>165,084</w:t>
            </w:r>
          </w:p>
        </w:tc>
      </w:tr>
      <w:tr w:rsidR="007A4BC2" w:rsidRPr="00B239E5" w14:paraId="55E05B72" w14:textId="77777777" w:rsidTr="004A5BF7">
        <w:trPr>
          <w:trHeight w:val="141"/>
        </w:trPr>
        <w:tc>
          <w:tcPr>
            <w:tcW w:w="1461" w:type="dxa"/>
            <w:vMerge/>
            <w:vAlign w:val="center"/>
            <w:hideMark/>
          </w:tcPr>
          <w:p w14:paraId="382BF811" w14:textId="77777777" w:rsidR="007A4BC2" w:rsidRPr="004A5BF7" w:rsidRDefault="007A4BC2" w:rsidP="004A5BF7">
            <w:pPr>
              <w:spacing w:before="0" w:afterLines="40" w:after="96" w:line="200" w:lineRule="exact"/>
              <w:jc w:val="left"/>
              <w:rPr>
                <w:rFonts w:cs="Arial"/>
                <w:b/>
                <w:bCs/>
                <w:color w:val="000000"/>
                <w:sz w:val="18"/>
                <w:szCs w:val="18"/>
                <w:lang w:val="en-AU"/>
              </w:rPr>
            </w:pPr>
          </w:p>
        </w:tc>
        <w:tc>
          <w:tcPr>
            <w:tcW w:w="628" w:type="dxa"/>
            <w:noWrap/>
            <w:vAlign w:val="center"/>
            <w:hideMark/>
          </w:tcPr>
          <w:p w14:paraId="09D86FB5" w14:textId="77777777" w:rsidR="007A4BC2" w:rsidRPr="004A5BF7" w:rsidRDefault="007A4BC2" w:rsidP="004A5BF7">
            <w:pPr>
              <w:spacing w:before="0" w:afterLines="40" w:after="96" w:line="200" w:lineRule="exact"/>
              <w:jc w:val="left"/>
              <w:rPr>
                <w:rFonts w:cs="Arial"/>
                <w:bCs/>
                <w:i/>
                <w:iCs/>
                <w:color w:val="000000"/>
                <w:sz w:val="18"/>
                <w:szCs w:val="18"/>
                <w:lang w:val="en-AU"/>
              </w:rPr>
            </w:pPr>
            <w:r w:rsidRPr="004A5BF7">
              <w:rPr>
                <w:rFonts w:cs="Arial"/>
                <w:bCs/>
                <w:i/>
                <w:iCs/>
                <w:color w:val="000000"/>
                <w:sz w:val="18"/>
                <w:szCs w:val="18"/>
                <w:lang w:val="en-AU"/>
              </w:rPr>
              <w:t>%</w:t>
            </w:r>
          </w:p>
        </w:tc>
        <w:tc>
          <w:tcPr>
            <w:tcW w:w="939" w:type="dxa"/>
            <w:noWrap/>
            <w:vAlign w:val="center"/>
            <w:hideMark/>
          </w:tcPr>
          <w:p w14:paraId="4F4229D3" w14:textId="77777777" w:rsidR="007A4BC2" w:rsidRPr="004A5BF7" w:rsidRDefault="007A4BC2" w:rsidP="004A5BF7">
            <w:pPr>
              <w:spacing w:before="0" w:afterLines="40" w:after="96" w:line="200" w:lineRule="exact"/>
              <w:jc w:val="center"/>
              <w:rPr>
                <w:rFonts w:cs="Arial"/>
                <w:bCs/>
                <w:i/>
                <w:iCs/>
                <w:color w:val="000000"/>
                <w:sz w:val="18"/>
                <w:szCs w:val="18"/>
                <w:lang w:val="en-AU"/>
              </w:rPr>
            </w:pPr>
            <w:r w:rsidRPr="004A5BF7">
              <w:rPr>
                <w:rFonts w:cs="Arial"/>
                <w:bCs/>
                <w:i/>
                <w:iCs/>
                <w:color w:val="000000"/>
                <w:sz w:val="18"/>
                <w:szCs w:val="18"/>
                <w:lang w:val="en-AU"/>
              </w:rPr>
              <w:t>100%</w:t>
            </w:r>
          </w:p>
        </w:tc>
        <w:tc>
          <w:tcPr>
            <w:tcW w:w="828" w:type="dxa"/>
            <w:noWrap/>
            <w:vAlign w:val="center"/>
            <w:hideMark/>
          </w:tcPr>
          <w:p w14:paraId="384B70E6"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20%</w:t>
            </w:r>
          </w:p>
        </w:tc>
        <w:tc>
          <w:tcPr>
            <w:tcW w:w="828" w:type="dxa"/>
            <w:noWrap/>
            <w:vAlign w:val="center"/>
            <w:hideMark/>
          </w:tcPr>
          <w:p w14:paraId="4136FAF3"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26%</w:t>
            </w:r>
          </w:p>
        </w:tc>
        <w:tc>
          <w:tcPr>
            <w:tcW w:w="828" w:type="dxa"/>
            <w:noWrap/>
            <w:vAlign w:val="center"/>
            <w:hideMark/>
          </w:tcPr>
          <w:p w14:paraId="75461C7B"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6%</w:t>
            </w:r>
          </w:p>
        </w:tc>
        <w:tc>
          <w:tcPr>
            <w:tcW w:w="717" w:type="dxa"/>
            <w:noWrap/>
            <w:vAlign w:val="center"/>
            <w:hideMark/>
          </w:tcPr>
          <w:p w14:paraId="1DBFA394"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1%</w:t>
            </w:r>
          </w:p>
        </w:tc>
        <w:tc>
          <w:tcPr>
            <w:tcW w:w="1279" w:type="dxa"/>
            <w:noWrap/>
            <w:vAlign w:val="center"/>
            <w:hideMark/>
          </w:tcPr>
          <w:p w14:paraId="5BF33935" w14:textId="77777777" w:rsidR="007A4BC2" w:rsidRPr="004A5BF7" w:rsidRDefault="007A4BC2" w:rsidP="004A5BF7">
            <w:pPr>
              <w:spacing w:before="0" w:afterLines="40" w:after="96" w:line="200" w:lineRule="exact"/>
              <w:jc w:val="center"/>
              <w:rPr>
                <w:rFonts w:cs="Arial"/>
                <w:b/>
                <w:bCs/>
                <w:i/>
                <w:iCs/>
                <w:color w:val="000000"/>
                <w:sz w:val="18"/>
                <w:szCs w:val="18"/>
                <w:lang w:val="en-AU"/>
              </w:rPr>
            </w:pPr>
            <w:r w:rsidRPr="004A5BF7">
              <w:rPr>
                <w:rFonts w:cs="Arial"/>
                <w:b/>
                <w:bCs/>
                <w:i/>
                <w:iCs/>
                <w:color w:val="000000"/>
                <w:sz w:val="18"/>
                <w:szCs w:val="18"/>
                <w:lang w:val="en-AU"/>
              </w:rPr>
              <w:t>53%</w:t>
            </w:r>
          </w:p>
        </w:tc>
        <w:tc>
          <w:tcPr>
            <w:tcW w:w="1279" w:type="dxa"/>
            <w:noWrap/>
            <w:vAlign w:val="center"/>
            <w:hideMark/>
          </w:tcPr>
          <w:p w14:paraId="1CE69B4B" w14:textId="77777777" w:rsidR="007A4BC2" w:rsidRPr="004A5BF7" w:rsidRDefault="007A4BC2" w:rsidP="004A5BF7">
            <w:pPr>
              <w:spacing w:before="0" w:afterLines="40" w:after="96" w:line="200" w:lineRule="exact"/>
              <w:jc w:val="center"/>
              <w:rPr>
                <w:rFonts w:cs="Arial"/>
                <w:b/>
                <w:bCs/>
                <w:i/>
                <w:iCs/>
                <w:color w:val="000000"/>
                <w:sz w:val="18"/>
                <w:szCs w:val="18"/>
                <w:lang w:val="en-AU"/>
              </w:rPr>
            </w:pPr>
            <w:r w:rsidRPr="004A5BF7">
              <w:rPr>
                <w:rFonts w:cs="Arial"/>
                <w:b/>
                <w:bCs/>
                <w:i/>
                <w:iCs/>
                <w:color w:val="000000"/>
                <w:sz w:val="18"/>
                <w:szCs w:val="18"/>
                <w:lang w:val="en-AU"/>
              </w:rPr>
              <w:t>47%</w:t>
            </w:r>
          </w:p>
        </w:tc>
      </w:tr>
      <w:tr w:rsidR="007A4BC2" w:rsidRPr="00B239E5" w14:paraId="3274FD31" w14:textId="77777777" w:rsidTr="004A5BF7">
        <w:trPr>
          <w:trHeight w:val="90"/>
        </w:trPr>
        <w:tc>
          <w:tcPr>
            <w:tcW w:w="1461" w:type="dxa"/>
            <w:vMerge w:val="restart"/>
            <w:noWrap/>
            <w:vAlign w:val="center"/>
            <w:hideMark/>
          </w:tcPr>
          <w:p w14:paraId="1B20FE08" w14:textId="77777777" w:rsidR="007A4BC2" w:rsidRPr="004A5BF7" w:rsidRDefault="007A4BC2" w:rsidP="004A5BF7">
            <w:pPr>
              <w:spacing w:before="0" w:afterLines="40" w:after="96" w:line="200" w:lineRule="exact"/>
              <w:jc w:val="left"/>
              <w:rPr>
                <w:rFonts w:cs="Arial"/>
                <w:b/>
                <w:bCs/>
                <w:color w:val="000000"/>
                <w:sz w:val="18"/>
                <w:szCs w:val="18"/>
                <w:lang w:val="en-AU"/>
              </w:rPr>
            </w:pPr>
            <w:r w:rsidRPr="004A5BF7">
              <w:rPr>
                <w:rFonts w:cs="Arial"/>
                <w:b/>
                <w:bCs/>
                <w:color w:val="000000"/>
                <w:sz w:val="18"/>
                <w:szCs w:val="18"/>
                <w:lang w:val="en-AU"/>
              </w:rPr>
              <w:t>Cape York</w:t>
            </w:r>
          </w:p>
        </w:tc>
        <w:tc>
          <w:tcPr>
            <w:tcW w:w="628" w:type="dxa"/>
            <w:noWrap/>
            <w:vAlign w:val="center"/>
            <w:hideMark/>
          </w:tcPr>
          <w:p w14:paraId="5BBE35AC" w14:textId="77777777" w:rsidR="007A4BC2" w:rsidRPr="004A5BF7" w:rsidRDefault="007A4BC2" w:rsidP="004A5BF7">
            <w:pPr>
              <w:spacing w:before="0" w:afterLines="40" w:after="96" w:line="200" w:lineRule="exact"/>
              <w:jc w:val="left"/>
              <w:rPr>
                <w:rFonts w:cs="Arial"/>
                <w:color w:val="000000"/>
                <w:sz w:val="18"/>
                <w:szCs w:val="18"/>
                <w:lang w:val="en-AU"/>
              </w:rPr>
            </w:pPr>
            <w:r w:rsidRPr="004A5BF7">
              <w:rPr>
                <w:rFonts w:cs="Arial"/>
                <w:color w:val="000000"/>
                <w:sz w:val="18"/>
                <w:szCs w:val="18"/>
                <w:lang w:val="en-AU"/>
              </w:rPr>
              <w:t>area</w:t>
            </w:r>
          </w:p>
        </w:tc>
        <w:tc>
          <w:tcPr>
            <w:tcW w:w="939" w:type="dxa"/>
            <w:noWrap/>
            <w:vAlign w:val="center"/>
            <w:hideMark/>
          </w:tcPr>
          <w:p w14:paraId="2B1DED3D"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96,316</w:t>
            </w:r>
          </w:p>
        </w:tc>
        <w:tc>
          <w:tcPr>
            <w:tcW w:w="828" w:type="dxa"/>
            <w:noWrap/>
            <w:vAlign w:val="center"/>
            <w:hideMark/>
          </w:tcPr>
          <w:p w14:paraId="36230A43"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23,219</w:t>
            </w:r>
          </w:p>
        </w:tc>
        <w:tc>
          <w:tcPr>
            <w:tcW w:w="828" w:type="dxa"/>
            <w:noWrap/>
            <w:vAlign w:val="center"/>
            <w:hideMark/>
          </w:tcPr>
          <w:p w14:paraId="794D82A7"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27,258</w:t>
            </w:r>
          </w:p>
        </w:tc>
        <w:tc>
          <w:tcPr>
            <w:tcW w:w="828" w:type="dxa"/>
            <w:noWrap/>
            <w:vAlign w:val="center"/>
            <w:hideMark/>
          </w:tcPr>
          <w:p w14:paraId="2D9A4A76"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4,771</w:t>
            </w:r>
          </w:p>
        </w:tc>
        <w:tc>
          <w:tcPr>
            <w:tcW w:w="717" w:type="dxa"/>
            <w:noWrap/>
            <w:vAlign w:val="center"/>
            <w:hideMark/>
          </w:tcPr>
          <w:p w14:paraId="13276C35"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207</w:t>
            </w:r>
          </w:p>
        </w:tc>
        <w:tc>
          <w:tcPr>
            <w:tcW w:w="1279" w:type="dxa"/>
            <w:noWrap/>
            <w:vAlign w:val="center"/>
            <w:hideMark/>
          </w:tcPr>
          <w:p w14:paraId="6A6EF0D6" w14:textId="77777777" w:rsidR="007A4BC2" w:rsidRPr="004A5BF7" w:rsidRDefault="007A4BC2" w:rsidP="004A5BF7">
            <w:pPr>
              <w:spacing w:before="0" w:afterLines="40" w:after="96" w:line="200" w:lineRule="exact"/>
              <w:jc w:val="center"/>
              <w:rPr>
                <w:rFonts w:cs="Arial"/>
                <w:b/>
                <w:bCs/>
                <w:color w:val="000000"/>
                <w:sz w:val="18"/>
                <w:szCs w:val="18"/>
                <w:lang w:val="en-AU"/>
              </w:rPr>
            </w:pPr>
            <w:r w:rsidRPr="004A5BF7">
              <w:rPr>
                <w:rFonts w:cs="Arial"/>
                <w:b/>
                <w:bCs/>
                <w:color w:val="000000"/>
                <w:sz w:val="18"/>
                <w:szCs w:val="18"/>
                <w:lang w:val="en-AU"/>
              </w:rPr>
              <w:t>55,455</w:t>
            </w:r>
          </w:p>
        </w:tc>
        <w:tc>
          <w:tcPr>
            <w:tcW w:w="1279" w:type="dxa"/>
            <w:noWrap/>
            <w:vAlign w:val="center"/>
            <w:hideMark/>
          </w:tcPr>
          <w:p w14:paraId="3D1A3BCD" w14:textId="77777777" w:rsidR="007A4BC2" w:rsidRPr="004A5BF7" w:rsidRDefault="007A4BC2" w:rsidP="004A5BF7">
            <w:pPr>
              <w:spacing w:before="0" w:afterLines="40" w:after="96" w:line="200" w:lineRule="exact"/>
              <w:jc w:val="center"/>
              <w:rPr>
                <w:rFonts w:cs="Arial"/>
                <w:b/>
                <w:bCs/>
                <w:color w:val="000000"/>
                <w:sz w:val="18"/>
                <w:szCs w:val="18"/>
                <w:lang w:val="en-AU"/>
              </w:rPr>
            </w:pPr>
            <w:r w:rsidRPr="004A5BF7">
              <w:rPr>
                <w:rFonts w:cs="Arial"/>
                <w:b/>
                <w:bCs/>
                <w:color w:val="000000"/>
                <w:sz w:val="18"/>
                <w:szCs w:val="18"/>
                <w:lang w:val="en-AU"/>
              </w:rPr>
              <w:t>40,861</w:t>
            </w:r>
          </w:p>
        </w:tc>
      </w:tr>
      <w:tr w:rsidR="007A4BC2" w:rsidRPr="00B239E5" w14:paraId="2A57A550" w14:textId="77777777" w:rsidTr="004A5BF7">
        <w:trPr>
          <w:trHeight w:val="64"/>
        </w:trPr>
        <w:tc>
          <w:tcPr>
            <w:tcW w:w="1461" w:type="dxa"/>
            <w:vMerge/>
            <w:vAlign w:val="center"/>
            <w:hideMark/>
          </w:tcPr>
          <w:p w14:paraId="4D2212D9" w14:textId="77777777" w:rsidR="007A4BC2" w:rsidRPr="004A5BF7" w:rsidRDefault="007A4BC2" w:rsidP="004A5BF7">
            <w:pPr>
              <w:spacing w:before="0" w:afterLines="40" w:after="96" w:line="200" w:lineRule="exact"/>
              <w:jc w:val="left"/>
              <w:rPr>
                <w:rFonts w:cs="Arial"/>
                <w:b/>
                <w:bCs/>
                <w:color w:val="000000"/>
                <w:sz w:val="18"/>
                <w:szCs w:val="18"/>
                <w:lang w:val="en-AU"/>
              </w:rPr>
            </w:pPr>
          </w:p>
        </w:tc>
        <w:tc>
          <w:tcPr>
            <w:tcW w:w="628" w:type="dxa"/>
            <w:noWrap/>
            <w:vAlign w:val="center"/>
            <w:hideMark/>
          </w:tcPr>
          <w:p w14:paraId="2F39E4B4" w14:textId="77777777" w:rsidR="007A4BC2" w:rsidRPr="004A5BF7" w:rsidRDefault="007A4BC2" w:rsidP="004A5BF7">
            <w:pPr>
              <w:spacing w:before="0" w:afterLines="40" w:after="96" w:line="200" w:lineRule="exact"/>
              <w:jc w:val="left"/>
              <w:rPr>
                <w:rFonts w:cs="Arial"/>
                <w:i/>
                <w:iCs/>
                <w:color w:val="000000"/>
                <w:sz w:val="18"/>
                <w:szCs w:val="18"/>
                <w:lang w:val="en-AU"/>
              </w:rPr>
            </w:pPr>
            <w:r w:rsidRPr="004A5BF7">
              <w:rPr>
                <w:rFonts w:cs="Arial"/>
                <w:i/>
                <w:iCs/>
                <w:color w:val="000000"/>
                <w:sz w:val="18"/>
                <w:szCs w:val="18"/>
                <w:lang w:val="en-AU"/>
              </w:rPr>
              <w:t>%</w:t>
            </w:r>
          </w:p>
        </w:tc>
        <w:tc>
          <w:tcPr>
            <w:tcW w:w="939" w:type="dxa"/>
            <w:noWrap/>
            <w:vAlign w:val="center"/>
            <w:hideMark/>
          </w:tcPr>
          <w:p w14:paraId="5B078702"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100%</w:t>
            </w:r>
          </w:p>
        </w:tc>
        <w:tc>
          <w:tcPr>
            <w:tcW w:w="828" w:type="dxa"/>
            <w:noWrap/>
            <w:vAlign w:val="center"/>
            <w:hideMark/>
          </w:tcPr>
          <w:p w14:paraId="4AD34BB7"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24%</w:t>
            </w:r>
          </w:p>
        </w:tc>
        <w:tc>
          <w:tcPr>
            <w:tcW w:w="828" w:type="dxa"/>
            <w:noWrap/>
            <w:vAlign w:val="center"/>
            <w:hideMark/>
          </w:tcPr>
          <w:p w14:paraId="270C8C37"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28%</w:t>
            </w:r>
          </w:p>
        </w:tc>
        <w:tc>
          <w:tcPr>
            <w:tcW w:w="828" w:type="dxa"/>
            <w:noWrap/>
            <w:vAlign w:val="center"/>
            <w:hideMark/>
          </w:tcPr>
          <w:p w14:paraId="276BE091"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5%</w:t>
            </w:r>
          </w:p>
        </w:tc>
        <w:tc>
          <w:tcPr>
            <w:tcW w:w="717" w:type="dxa"/>
            <w:noWrap/>
            <w:vAlign w:val="center"/>
            <w:hideMark/>
          </w:tcPr>
          <w:p w14:paraId="7092D232"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0%</w:t>
            </w:r>
          </w:p>
        </w:tc>
        <w:tc>
          <w:tcPr>
            <w:tcW w:w="1279" w:type="dxa"/>
            <w:noWrap/>
            <w:vAlign w:val="center"/>
            <w:hideMark/>
          </w:tcPr>
          <w:p w14:paraId="4B96B8DB" w14:textId="77777777" w:rsidR="007A4BC2" w:rsidRPr="004A5BF7" w:rsidRDefault="007A4BC2" w:rsidP="004A5BF7">
            <w:pPr>
              <w:spacing w:before="0" w:afterLines="40" w:after="96" w:line="200" w:lineRule="exact"/>
              <w:jc w:val="center"/>
              <w:rPr>
                <w:rFonts w:cs="Arial"/>
                <w:b/>
                <w:bCs/>
                <w:i/>
                <w:iCs/>
                <w:color w:val="000000"/>
                <w:sz w:val="18"/>
                <w:szCs w:val="18"/>
                <w:lang w:val="en-AU"/>
              </w:rPr>
            </w:pPr>
            <w:r w:rsidRPr="004A5BF7">
              <w:rPr>
                <w:rFonts w:cs="Arial"/>
                <w:b/>
                <w:bCs/>
                <w:i/>
                <w:iCs/>
                <w:color w:val="000000"/>
                <w:sz w:val="18"/>
                <w:szCs w:val="18"/>
                <w:lang w:val="en-AU"/>
              </w:rPr>
              <w:t>58%</w:t>
            </w:r>
          </w:p>
        </w:tc>
        <w:tc>
          <w:tcPr>
            <w:tcW w:w="1279" w:type="dxa"/>
            <w:noWrap/>
            <w:vAlign w:val="center"/>
            <w:hideMark/>
          </w:tcPr>
          <w:p w14:paraId="703E8A97" w14:textId="77777777" w:rsidR="007A4BC2" w:rsidRPr="004A5BF7" w:rsidRDefault="007A4BC2" w:rsidP="004A5BF7">
            <w:pPr>
              <w:spacing w:before="0" w:afterLines="40" w:after="96" w:line="200" w:lineRule="exact"/>
              <w:jc w:val="center"/>
              <w:rPr>
                <w:rFonts w:cs="Arial"/>
                <w:b/>
                <w:bCs/>
                <w:i/>
                <w:iCs/>
                <w:color w:val="000000"/>
                <w:sz w:val="18"/>
                <w:szCs w:val="18"/>
                <w:lang w:val="en-AU"/>
              </w:rPr>
            </w:pPr>
            <w:r w:rsidRPr="004A5BF7">
              <w:rPr>
                <w:rFonts w:cs="Arial"/>
                <w:b/>
                <w:bCs/>
                <w:i/>
                <w:iCs/>
                <w:color w:val="000000"/>
                <w:sz w:val="18"/>
                <w:szCs w:val="18"/>
                <w:lang w:val="en-AU"/>
              </w:rPr>
              <w:t>42%</w:t>
            </w:r>
          </w:p>
        </w:tc>
      </w:tr>
      <w:tr w:rsidR="007A4BC2" w:rsidRPr="00B239E5" w14:paraId="36B3FA29" w14:textId="77777777" w:rsidTr="004A5BF7">
        <w:trPr>
          <w:trHeight w:val="156"/>
        </w:trPr>
        <w:tc>
          <w:tcPr>
            <w:tcW w:w="1461" w:type="dxa"/>
            <w:vMerge w:val="restart"/>
            <w:noWrap/>
            <w:vAlign w:val="center"/>
            <w:hideMark/>
          </w:tcPr>
          <w:p w14:paraId="7F6DBB9C" w14:textId="77777777" w:rsidR="007A4BC2" w:rsidRPr="004A5BF7" w:rsidRDefault="007A4BC2" w:rsidP="004A5BF7">
            <w:pPr>
              <w:spacing w:before="0" w:afterLines="40" w:after="96" w:line="200" w:lineRule="exact"/>
              <w:jc w:val="left"/>
              <w:rPr>
                <w:rFonts w:cs="Arial"/>
                <w:b/>
                <w:bCs/>
                <w:color w:val="000000"/>
                <w:sz w:val="18"/>
                <w:szCs w:val="18"/>
                <w:lang w:val="en-AU"/>
              </w:rPr>
            </w:pPr>
            <w:r w:rsidRPr="004A5BF7">
              <w:rPr>
                <w:rFonts w:cs="Arial"/>
                <w:b/>
                <w:bCs/>
                <w:color w:val="000000"/>
                <w:sz w:val="18"/>
                <w:szCs w:val="18"/>
                <w:lang w:val="en-AU"/>
              </w:rPr>
              <w:t>Wet Tropics</w:t>
            </w:r>
          </w:p>
        </w:tc>
        <w:tc>
          <w:tcPr>
            <w:tcW w:w="628" w:type="dxa"/>
            <w:noWrap/>
            <w:vAlign w:val="center"/>
            <w:hideMark/>
          </w:tcPr>
          <w:p w14:paraId="2FC34FCD" w14:textId="77777777" w:rsidR="007A4BC2" w:rsidRPr="004A5BF7" w:rsidRDefault="007A4BC2" w:rsidP="004A5BF7">
            <w:pPr>
              <w:spacing w:before="0" w:afterLines="40" w:after="96" w:line="200" w:lineRule="exact"/>
              <w:jc w:val="left"/>
              <w:rPr>
                <w:rFonts w:cs="Arial"/>
                <w:color w:val="000000"/>
                <w:sz w:val="18"/>
                <w:szCs w:val="18"/>
                <w:lang w:val="en-AU"/>
              </w:rPr>
            </w:pPr>
            <w:r w:rsidRPr="004A5BF7">
              <w:rPr>
                <w:rFonts w:cs="Arial"/>
                <w:color w:val="000000"/>
                <w:sz w:val="18"/>
                <w:szCs w:val="18"/>
                <w:lang w:val="en-AU"/>
              </w:rPr>
              <w:t>area</w:t>
            </w:r>
          </w:p>
        </w:tc>
        <w:tc>
          <w:tcPr>
            <w:tcW w:w="939" w:type="dxa"/>
            <w:noWrap/>
            <w:vAlign w:val="center"/>
            <w:hideMark/>
          </w:tcPr>
          <w:p w14:paraId="72D93653"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31,949</w:t>
            </w:r>
          </w:p>
        </w:tc>
        <w:tc>
          <w:tcPr>
            <w:tcW w:w="828" w:type="dxa"/>
            <w:noWrap/>
            <w:vAlign w:val="center"/>
            <w:hideMark/>
          </w:tcPr>
          <w:p w14:paraId="1205F99A"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12,355</w:t>
            </w:r>
          </w:p>
        </w:tc>
        <w:tc>
          <w:tcPr>
            <w:tcW w:w="828" w:type="dxa"/>
            <w:noWrap/>
            <w:vAlign w:val="center"/>
            <w:hideMark/>
          </w:tcPr>
          <w:p w14:paraId="0A454EB5"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4,730</w:t>
            </w:r>
          </w:p>
        </w:tc>
        <w:tc>
          <w:tcPr>
            <w:tcW w:w="828" w:type="dxa"/>
            <w:noWrap/>
            <w:vAlign w:val="center"/>
            <w:hideMark/>
          </w:tcPr>
          <w:p w14:paraId="1FE92D5A"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2,927</w:t>
            </w:r>
          </w:p>
        </w:tc>
        <w:tc>
          <w:tcPr>
            <w:tcW w:w="717" w:type="dxa"/>
            <w:noWrap/>
            <w:vAlign w:val="center"/>
            <w:hideMark/>
          </w:tcPr>
          <w:p w14:paraId="4F7DA6FE"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211</w:t>
            </w:r>
          </w:p>
        </w:tc>
        <w:tc>
          <w:tcPr>
            <w:tcW w:w="1279" w:type="dxa"/>
            <w:noWrap/>
            <w:vAlign w:val="center"/>
            <w:hideMark/>
          </w:tcPr>
          <w:p w14:paraId="227C3B30" w14:textId="77777777" w:rsidR="007A4BC2" w:rsidRPr="004A5BF7" w:rsidRDefault="007A4BC2" w:rsidP="004A5BF7">
            <w:pPr>
              <w:spacing w:before="0" w:afterLines="40" w:after="96" w:line="200" w:lineRule="exact"/>
              <w:jc w:val="center"/>
              <w:rPr>
                <w:rFonts w:cs="Arial"/>
                <w:b/>
                <w:bCs/>
                <w:color w:val="000000"/>
                <w:sz w:val="18"/>
                <w:szCs w:val="18"/>
                <w:lang w:val="en-AU"/>
              </w:rPr>
            </w:pPr>
            <w:r w:rsidRPr="004A5BF7">
              <w:rPr>
                <w:rFonts w:cs="Arial"/>
                <w:b/>
                <w:bCs/>
                <w:color w:val="000000"/>
                <w:sz w:val="18"/>
                <w:szCs w:val="18"/>
                <w:lang w:val="en-AU"/>
              </w:rPr>
              <w:t>20,223</w:t>
            </w:r>
          </w:p>
        </w:tc>
        <w:tc>
          <w:tcPr>
            <w:tcW w:w="1279" w:type="dxa"/>
            <w:noWrap/>
            <w:vAlign w:val="center"/>
            <w:hideMark/>
          </w:tcPr>
          <w:p w14:paraId="12F75CE8" w14:textId="77777777" w:rsidR="007A4BC2" w:rsidRPr="004A5BF7" w:rsidRDefault="007A4BC2" w:rsidP="004A5BF7">
            <w:pPr>
              <w:spacing w:before="0" w:afterLines="40" w:after="96" w:line="200" w:lineRule="exact"/>
              <w:jc w:val="center"/>
              <w:rPr>
                <w:rFonts w:cs="Arial"/>
                <w:b/>
                <w:bCs/>
                <w:color w:val="000000"/>
                <w:sz w:val="18"/>
                <w:szCs w:val="18"/>
                <w:lang w:val="en-AU"/>
              </w:rPr>
            </w:pPr>
            <w:r w:rsidRPr="004A5BF7">
              <w:rPr>
                <w:rFonts w:cs="Arial"/>
                <w:b/>
                <w:bCs/>
                <w:color w:val="000000"/>
                <w:sz w:val="18"/>
                <w:szCs w:val="18"/>
                <w:lang w:val="en-AU"/>
              </w:rPr>
              <w:t>11,726</w:t>
            </w:r>
          </w:p>
        </w:tc>
      </w:tr>
      <w:tr w:rsidR="007A4BC2" w:rsidRPr="00B239E5" w14:paraId="4669877C" w14:textId="77777777" w:rsidTr="004A5BF7">
        <w:trPr>
          <w:trHeight w:val="131"/>
        </w:trPr>
        <w:tc>
          <w:tcPr>
            <w:tcW w:w="1461" w:type="dxa"/>
            <w:vMerge/>
            <w:vAlign w:val="center"/>
            <w:hideMark/>
          </w:tcPr>
          <w:p w14:paraId="3190D47B" w14:textId="77777777" w:rsidR="007A4BC2" w:rsidRPr="004A5BF7" w:rsidRDefault="007A4BC2" w:rsidP="004A5BF7">
            <w:pPr>
              <w:spacing w:before="0" w:afterLines="40" w:after="96" w:line="200" w:lineRule="exact"/>
              <w:jc w:val="left"/>
              <w:rPr>
                <w:rFonts w:cs="Arial"/>
                <w:b/>
                <w:bCs/>
                <w:color w:val="000000"/>
                <w:sz w:val="18"/>
                <w:szCs w:val="18"/>
                <w:lang w:val="en-AU"/>
              </w:rPr>
            </w:pPr>
          </w:p>
        </w:tc>
        <w:tc>
          <w:tcPr>
            <w:tcW w:w="628" w:type="dxa"/>
            <w:noWrap/>
            <w:vAlign w:val="center"/>
            <w:hideMark/>
          </w:tcPr>
          <w:p w14:paraId="1C344781" w14:textId="77777777" w:rsidR="007A4BC2" w:rsidRPr="004A5BF7" w:rsidRDefault="007A4BC2" w:rsidP="004A5BF7">
            <w:pPr>
              <w:spacing w:before="0" w:afterLines="40" w:after="96" w:line="200" w:lineRule="exact"/>
              <w:jc w:val="left"/>
              <w:rPr>
                <w:rFonts w:cs="Arial"/>
                <w:i/>
                <w:iCs/>
                <w:color w:val="000000"/>
                <w:sz w:val="18"/>
                <w:szCs w:val="18"/>
                <w:lang w:val="en-AU"/>
              </w:rPr>
            </w:pPr>
            <w:r w:rsidRPr="004A5BF7">
              <w:rPr>
                <w:rFonts w:cs="Arial"/>
                <w:i/>
                <w:iCs/>
                <w:color w:val="000000"/>
                <w:sz w:val="18"/>
                <w:szCs w:val="18"/>
                <w:lang w:val="en-AU"/>
              </w:rPr>
              <w:t>%</w:t>
            </w:r>
          </w:p>
        </w:tc>
        <w:tc>
          <w:tcPr>
            <w:tcW w:w="939" w:type="dxa"/>
            <w:noWrap/>
            <w:vAlign w:val="center"/>
            <w:hideMark/>
          </w:tcPr>
          <w:p w14:paraId="1CA7EB05"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100%</w:t>
            </w:r>
          </w:p>
        </w:tc>
        <w:tc>
          <w:tcPr>
            <w:tcW w:w="828" w:type="dxa"/>
            <w:noWrap/>
            <w:vAlign w:val="center"/>
            <w:hideMark/>
          </w:tcPr>
          <w:p w14:paraId="70EFD968"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39%</w:t>
            </w:r>
          </w:p>
        </w:tc>
        <w:tc>
          <w:tcPr>
            <w:tcW w:w="828" w:type="dxa"/>
            <w:noWrap/>
            <w:vAlign w:val="center"/>
            <w:hideMark/>
          </w:tcPr>
          <w:p w14:paraId="3C746CA2"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15%</w:t>
            </w:r>
          </w:p>
        </w:tc>
        <w:tc>
          <w:tcPr>
            <w:tcW w:w="828" w:type="dxa"/>
            <w:noWrap/>
            <w:vAlign w:val="center"/>
            <w:hideMark/>
          </w:tcPr>
          <w:p w14:paraId="59785472"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9%</w:t>
            </w:r>
          </w:p>
        </w:tc>
        <w:tc>
          <w:tcPr>
            <w:tcW w:w="717" w:type="dxa"/>
            <w:noWrap/>
            <w:vAlign w:val="center"/>
            <w:hideMark/>
          </w:tcPr>
          <w:p w14:paraId="784C9232"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1%</w:t>
            </w:r>
          </w:p>
        </w:tc>
        <w:tc>
          <w:tcPr>
            <w:tcW w:w="1279" w:type="dxa"/>
            <w:noWrap/>
            <w:vAlign w:val="center"/>
            <w:hideMark/>
          </w:tcPr>
          <w:p w14:paraId="2C9180E0" w14:textId="77777777" w:rsidR="007A4BC2" w:rsidRPr="004A5BF7" w:rsidRDefault="007A4BC2" w:rsidP="004A5BF7">
            <w:pPr>
              <w:spacing w:before="0" w:afterLines="40" w:after="96" w:line="200" w:lineRule="exact"/>
              <w:jc w:val="center"/>
              <w:rPr>
                <w:rFonts w:cs="Arial"/>
                <w:b/>
                <w:bCs/>
                <w:i/>
                <w:iCs/>
                <w:color w:val="000000"/>
                <w:sz w:val="18"/>
                <w:szCs w:val="18"/>
                <w:lang w:val="en-AU"/>
              </w:rPr>
            </w:pPr>
            <w:r w:rsidRPr="004A5BF7">
              <w:rPr>
                <w:rFonts w:cs="Arial"/>
                <w:b/>
                <w:bCs/>
                <w:i/>
                <w:iCs/>
                <w:color w:val="000000"/>
                <w:sz w:val="18"/>
                <w:szCs w:val="18"/>
                <w:lang w:val="en-AU"/>
              </w:rPr>
              <w:t>63%</w:t>
            </w:r>
          </w:p>
        </w:tc>
        <w:tc>
          <w:tcPr>
            <w:tcW w:w="1279" w:type="dxa"/>
            <w:noWrap/>
            <w:vAlign w:val="center"/>
            <w:hideMark/>
          </w:tcPr>
          <w:p w14:paraId="6509DCD3" w14:textId="77777777" w:rsidR="007A4BC2" w:rsidRPr="004A5BF7" w:rsidRDefault="007A4BC2" w:rsidP="004A5BF7">
            <w:pPr>
              <w:spacing w:before="0" w:afterLines="40" w:after="96" w:line="200" w:lineRule="exact"/>
              <w:jc w:val="center"/>
              <w:rPr>
                <w:rFonts w:cs="Arial"/>
                <w:b/>
                <w:bCs/>
                <w:i/>
                <w:iCs/>
                <w:color w:val="000000"/>
                <w:sz w:val="18"/>
                <w:szCs w:val="18"/>
                <w:lang w:val="en-AU"/>
              </w:rPr>
            </w:pPr>
            <w:r w:rsidRPr="004A5BF7">
              <w:rPr>
                <w:rFonts w:cs="Arial"/>
                <w:b/>
                <w:bCs/>
                <w:i/>
                <w:iCs/>
                <w:color w:val="000000"/>
                <w:sz w:val="18"/>
                <w:szCs w:val="18"/>
                <w:lang w:val="en-AU"/>
              </w:rPr>
              <w:t>37%</w:t>
            </w:r>
          </w:p>
        </w:tc>
      </w:tr>
      <w:tr w:rsidR="007A4BC2" w:rsidRPr="00B239E5" w14:paraId="07BC85DA" w14:textId="77777777" w:rsidTr="004A5BF7">
        <w:trPr>
          <w:trHeight w:val="108"/>
        </w:trPr>
        <w:tc>
          <w:tcPr>
            <w:tcW w:w="1461" w:type="dxa"/>
            <w:vMerge w:val="restart"/>
            <w:noWrap/>
            <w:vAlign w:val="center"/>
            <w:hideMark/>
          </w:tcPr>
          <w:p w14:paraId="597F6B0D" w14:textId="77777777" w:rsidR="007A4BC2" w:rsidRPr="004A5BF7" w:rsidRDefault="007A4BC2" w:rsidP="004A5BF7">
            <w:pPr>
              <w:spacing w:before="0" w:afterLines="40" w:after="96" w:line="200" w:lineRule="exact"/>
              <w:jc w:val="left"/>
              <w:rPr>
                <w:rFonts w:cs="Arial"/>
                <w:b/>
                <w:bCs/>
                <w:color w:val="000000"/>
                <w:sz w:val="18"/>
                <w:szCs w:val="18"/>
                <w:lang w:val="en-AU"/>
              </w:rPr>
            </w:pPr>
            <w:r w:rsidRPr="004A5BF7">
              <w:rPr>
                <w:rFonts w:cs="Arial"/>
                <w:b/>
                <w:bCs/>
                <w:color w:val="000000"/>
                <w:sz w:val="18"/>
                <w:szCs w:val="18"/>
                <w:lang w:val="en-AU"/>
              </w:rPr>
              <w:t>Burdekin</w:t>
            </w:r>
          </w:p>
        </w:tc>
        <w:tc>
          <w:tcPr>
            <w:tcW w:w="628" w:type="dxa"/>
            <w:noWrap/>
            <w:vAlign w:val="center"/>
            <w:hideMark/>
          </w:tcPr>
          <w:p w14:paraId="083AA4BF" w14:textId="77777777" w:rsidR="007A4BC2" w:rsidRPr="004A5BF7" w:rsidRDefault="007A4BC2" w:rsidP="004A5BF7">
            <w:pPr>
              <w:spacing w:before="0" w:afterLines="40" w:after="96" w:line="200" w:lineRule="exact"/>
              <w:jc w:val="left"/>
              <w:rPr>
                <w:rFonts w:cs="Arial"/>
                <w:color w:val="000000"/>
                <w:sz w:val="18"/>
                <w:szCs w:val="18"/>
                <w:lang w:val="en-AU"/>
              </w:rPr>
            </w:pPr>
            <w:r w:rsidRPr="004A5BF7">
              <w:rPr>
                <w:rFonts w:cs="Arial"/>
                <w:color w:val="000000"/>
                <w:sz w:val="18"/>
                <w:szCs w:val="18"/>
                <w:lang w:val="en-AU"/>
              </w:rPr>
              <w:t>area</w:t>
            </w:r>
          </w:p>
        </w:tc>
        <w:tc>
          <w:tcPr>
            <w:tcW w:w="939" w:type="dxa"/>
            <w:noWrap/>
            <w:vAlign w:val="center"/>
            <w:hideMark/>
          </w:tcPr>
          <w:p w14:paraId="4CCEF0C1"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46,967</w:t>
            </w:r>
          </w:p>
        </w:tc>
        <w:tc>
          <w:tcPr>
            <w:tcW w:w="828" w:type="dxa"/>
            <w:noWrap/>
            <w:vAlign w:val="center"/>
            <w:hideMark/>
          </w:tcPr>
          <w:p w14:paraId="39F6ECE3"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12,213</w:t>
            </w:r>
          </w:p>
        </w:tc>
        <w:tc>
          <w:tcPr>
            <w:tcW w:w="828" w:type="dxa"/>
            <w:noWrap/>
            <w:vAlign w:val="center"/>
            <w:hideMark/>
          </w:tcPr>
          <w:p w14:paraId="50EA92F6"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9,325</w:t>
            </w:r>
          </w:p>
        </w:tc>
        <w:tc>
          <w:tcPr>
            <w:tcW w:w="828" w:type="dxa"/>
            <w:noWrap/>
            <w:vAlign w:val="center"/>
            <w:hideMark/>
          </w:tcPr>
          <w:p w14:paraId="5214C0AE"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2,934</w:t>
            </w:r>
          </w:p>
        </w:tc>
        <w:tc>
          <w:tcPr>
            <w:tcW w:w="717" w:type="dxa"/>
            <w:noWrap/>
            <w:vAlign w:val="center"/>
            <w:hideMark/>
          </w:tcPr>
          <w:p w14:paraId="0130C0D6"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391</w:t>
            </w:r>
          </w:p>
        </w:tc>
        <w:tc>
          <w:tcPr>
            <w:tcW w:w="1279" w:type="dxa"/>
            <w:noWrap/>
            <w:vAlign w:val="center"/>
            <w:hideMark/>
          </w:tcPr>
          <w:p w14:paraId="46627B41" w14:textId="77777777" w:rsidR="007A4BC2" w:rsidRPr="004A5BF7" w:rsidRDefault="007A4BC2" w:rsidP="004A5BF7">
            <w:pPr>
              <w:spacing w:before="0" w:afterLines="40" w:after="96" w:line="200" w:lineRule="exact"/>
              <w:jc w:val="center"/>
              <w:rPr>
                <w:rFonts w:cs="Arial"/>
                <w:b/>
                <w:bCs/>
                <w:color w:val="000000"/>
                <w:sz w:val="18"/>
                <w:szCs w:val="18"/>
                <w:lang w:val="en-AU"/>
              </w:rPr>
            </w:pPr>
            <w:r w:rsidRPr="004A5BF7">
              <w:rPr>
                <w:rFonts w:cs="Arial"/>
                <w:b/>
                <w:bCs/>
                <w:color w:val="000000"/>
                <w:sz w:val="18"/>
                <w:szCs w:val="18"/>
                <w:lang w:val="en-AU"/>
              </w:rPr>
              <w:t>24,863</w:t>
            </w:r>
          </w:p>
        </w:tc>
        <w:tc>
          <w:tcPr>
            <w:tcW w:w="1279" w:type="dxa"/>
            <w:noWrap/>
            <w:vAlign w:val="center"/>
            <w:hideMark/>
          </w:tcPr>
          <w:p w14:paraId="4B1F3837" w14:textId="77777777" w:rsidR="007A4BC2" w:rsidRPr="004A5BF7" w:rsidRDefault="007A4BC2" w:rsidP="004A5BF7">
            <w:pPr>
              <w:spacing w:before="0" w:afterLines="40" w:after="96" w:line="200" w:lineRule="exact"/>
              <w:jc w:val="center"/>
              <w:rPr>
                <w:rFonts w:cs="Arial"/>
                <w:b/>
                <w:bCs/>
                <w:color w:val="000000"/>
                <w:sz w:val="18"/>
                <w:szCs w:val="18"/>
                <w:lang w:val="en-AU"/>
              </w:rPr>
            </w:pPr>
            <w:r w:rsidRPr="004A5BF7">
              <w:rPr>
                <w:rFonts w:cs="Arial"/>
                <w:b/>
                <w:bCs/>
                <w:color w:val="000000"/>
                <w:sz w:val="18"/>
                <w:szCs w:val="18"/>
                <w:lang w:val="en-AU"/>
              </w:rPr>
              <w:t>22,104</w:t>
            </w:r>
          </w:p>
        </w:tc>
      </w:tr>
      <w:tr w:rsidR="007A4BC2" w:rsidRPr="00B239E5" w14:paraId="3DC0D00D" w14:textId="77777777" w:rsidTr="004A5BF7">
        <w:trPr>
          <w:trHeight w:val="83"/>
        </w:trPr>
        <w:tc>
          <w:tcPr>
            <w:tcW w:w="1461" w:type="dxa"/>
            <w:vMerge/>
            <w:vAlign w:val="center"/>
            <w:hideMark/>
          </w:tcPr>
          <w:p w14:paraId="6667B6F0" w14:textId="77777777" w:rsidR="007A4BC2" w:rsidRPr="004A5BF7" w:rsidRDefault="007A4BC2" w:rsidP="004A5BF7">
            <w:pPr>
              <w:spacing w:before="0" w:afterLines="40" w:after="96" w:line="200" w:lineRule="exact"/>
              <w:jc w:val="left"/>
              <w:rPr>
                <w:rFonts w:cs="Arial"/>
                <w:b/>
                <w:bCs/>
                <w:color w:val="000000"/>
                <w:sz w:val="18"/>
                <w:szCs w:val="18"/>
                <w:lang w:val="en-AU"/>
              </w:rPr>
            </w:pPr>
          </w:p>
        </w:tc>
        <w:tc>
          <w:tcPr>
            <w:tcW w:w="628" w:type="dxa"/>
            <w:noWrap/>
            <w:vAlign w:val="center"/>
            <w:hideMark/>
          </w:tcPr>
          <w:p w14:paraId="33E1FE9D" w14:textId="77777777" w:rsidR="007A4BC2" w:rsidRPr="004A5BF7" w:rsidRDefault="007A4BC2" w:rsidP="004A5BF7">
            <w:pPr>
              <w:spacing w:before="0" w:afterLines="40" w:after="96" w:line="200" w:lineRule="exact"/>
              <w:jc w:val="left"/>
              <w:rPr>
                <w:rFonts w:cs="Arial"/>
                <w:i/>
                <w:iCs/>
                <w:color w:val="000000"/>
                <w:sz w:val="18"/>
                <w:szCs w:val="18"/>
                <w:lang w:val="en-AU"/>
              </w:rPr>
            </w:pPr>
            <w:r w:rsidRPr="004A5BF7">
              <w:rPr>
                <w:rFonts w:cs="Arial"/>
                <w:i/>
                <w:iCs/>
                <w:color w:val="000000"/>
                <w:sz w:val="18"/>
                <w:szCs w:val="18"/>
                <w:lang w:val="en-AU"/>
              </w:rPr>
              <w:t>%</w:t>
            </w:r>
          </w:p>
        </w:tc>
        <w:tc>
          <w:tcPr>
            <w:tcW w:w="939" w:type="dxa"/>
            <w:noWrap/>
            <w:vAlign w:val="center"/>
            <w:hideMark/>
          </w:tcPr>
          <w:p w14:paraId="7FF19650"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100%</w:t>
            </w:r>
          </w:p>
        </w:tc>
        <w:tc>
          <w:tcPr>
            <w:tcW w:w="828" w:type="dxa"/>
            <w:noWrap/>
            <w:vAlign w:val="center"/>
            <w:hideMark/>
          </w:tcPr>
          <w:p w14:paraId="72206DA0"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26%</w:t>
            </w:r>
          </w:p>
        </w:tc>
        <w:tc>
          <w:tcPr>
            <w:tcW w:w="828" w:type="dxa"/>
            <w:noWrap/>
            <w:vAlign w:val="center"/>
            <w:hideMark/>
          </w:tcPr>
          <w:p w14:paraId="611A88FC"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20%</w:t>
            </w:r>
          </w:p>
        </w:tc>
        <w:tc>
          <w:tcPr>
            <w:tcW w:w="828" w:type="dxa"/>
            <w:noWrap/>
            <w:vAlign w:val="center"/>
            <w:hideMark/>
          </w:tcPr>
          <w:p w14:paraId="5206211C"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6%</w:t>
            </w:r>
          </w:p>
        </w:tc>
        <w:tc>
          <w:tcPr>
            <w:tcW w:w="717" w:type="dxa"/>
            <w:noWrap/>
            <w:vAlign w:val="center"/>
            <w:hideMark/>
          </w:tcPr>
          <w:p w14:paraId="503108C9"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1%</w:t>
            </w:r>
          </w:p>
        </w:tc>
        <w:tc>
          <w:tcPr>
            <w:tcW w:w="1279" w:type="dxa"/>
            <w:noWrap/>
            <w:vAlign w:val="center"/>
            <w:hideMark/>
          </w:tcPr>
          <w:p w14:paraId="042AEA27" w14:textId="77777777" w:rsidR="007A4BC2" w:rsidRPr="004A5BF7" w:rsidRDefault="007A4BC2" w:rsidP="004A5BF7">
            <w:pPr>
              <w:spacing w:before="0" w:afterLines="40" w:after="96" w:line="200" w:lineRule="exact"/>
              <w:jc w:val="center"/>
              <w:rPr>
                <w:rFonts w:cs="Arial"/>
                <w:b/>
                <w:bCs/>
                <w:i/>
                <w:iCs/>
                <w:color w:val="000000"/>
                <w:sz w:val="18"/>
                <w:szCs w:val="18"/>
                <w:lang w:val="en-AU"/>
              </w:rPr>
            </w:pPr>
            <w:r w:rsidRPr="004A5BF7">
              <w:rPr>
                <w:rFonts w:cs="Arial"/>
                <w:b/>
                <w:bCs/>
                <w:i/>
                <w:iCs/>
                <w:color w:val="000000"/>
                <w:sz w:val="18"/>
                <w:szCs w:val="18"/>
                <w:lang w:val="en-AU"/>
              </w:rPr>
              <w:t>53%</w:t>
            </w:r>
          </w:p>
        </w:tc>
        <w:tc>
          <w:tcPr>
            <w:tcW w:w="1279" w:type="dxa"/>
            <w:noWrap/>
            <w:vAlign w:val="center"/>
            <w:hideMark/>
          </w:tcPr>
          <w:p w14:paraId="7D65998E" w14:textId="77777777" w:rsidR="007A4BC2" w:rsidRPr="004A5BF7" w:rsidRDefault="007A4BC2" w:rsidP="004A5BF7">
            <w:pPr>
              <w:spacing w:before="0" w:afterLines="40" w:after="96" w:line="200" w:lineRule="exact"/>
              <w:jc w:val="center"/>
              <w:rPr>
                <w:rFonts w:cs="Arial"/>
                <w:b/>
                <w:bCs/>
                <w:i/>
                <w:iCs/>
                <w:color w:val="000000"/>
                <w:sz w:val="18"/>
                <w:szCs w:val="18"/>
                <w:lang w:val="en-AU"/>
              </w:rPr>
            </w:pPr>
            <w:r w:rsidRPr="004A5BF7">
              <w:rPr>
                <w:rFonts w:cs="Arial"/>
                <w:b/>
                <w:bCs/>
                <w:i/>
                <w:iCs/>
                <w:color w:val="000000"/>
                <w:sz w:val="18"/>
                <w:szCs w:val="18"/>
                <w:lang w:val="en-AU"/>
              </w:rPr>
              <w:t>47%</w:t>
            </w:r>
          </w:p>
        </w:tc>
      </w:tr>
      <w:tr w:rsidR="007A4BC2" w:rsidRPr="00B239E5" w14:paraId="5C04491E" w14:textId="77777777" w:rsidTr="004A5BF7">
        <w:trPr>
          <w:trHeight w:val="130"/>
        </w:trPr>
        <w:tc>
          <w:tcPr>
            <w:tcW w:w="1461" w:type="dxa"/>
            <w:vMerge w:val="restart"/>
            <w:vAlign w:val="center"/>
            <w:hideMark/>
          </w:tcPr>
          <w:p w14:paraId="28FA591E" w14:textId="37169466" w:rsidR="007A4BC2" w:rsidRPr="004A5BF7" w:rsidRDefault="007A4BC2" w:rsidP="004A5BF7">
            <w:pPr>
              <w:spacing w:before="0" w:afterLines="40" w:after="96" w:line="200" w:lineRule="exact"/>
              <w:jc w:val="left"/>
              <w:rPr>
                <w:rFonts w:cs="Arial"/>
                <w:b/>
                <w:bCs/>
                <w:color w:val="000000"/>
                <w:sz w:val="18"/>
                <w:szCs w:val="18"/>
                <w:lang w:val="en-AU"/>
              </w:rPr>
            </w:pPr>
            <w:r w:rsidRPr="004A5BF7">
              <w:rPr>
                <w:rFonts w:cs="Arial"/>
                <w:b/>
                <w:bCs/>
                <w:color w:val="000000"/>
                <w:sz w:val="18"/>
                <w:szCs w:val="18"/>
                <w:lang w:val="en-AU"/>
              </w:rPr>
              <w:t>Mackay</w:t>
            </w:r>
            <w:r w:rsidR="00B239E5" w:rsidRPr="00B239E5">
              <w:rPr>
                <w:rFonts w:cs="Arial"/>
                <w:b/>
                <w:bCs/>
                <w:color w:val="000000"/>
                <w:sz w:val="18"/>
                <w:szCs w:val="18"/>
                <w:lang w:val="en-AU"/>
              </w:rPr>
              <w:t xml:space="preserve"> </w:t>
            </w:r>
            <w:r w:rsidRPr="004A5BF7">
              <w:rPr>
                <w:rFonts w:cs="Arial"/>
                <w:b/>
                <w:bCs/>
                <w:color w:val="000000"/>
                <w:sz w:val="18"/>
                <w:szCs w:val="18"/>
                <w:lang w:val="en-AU"/>
              </w:rPr>
              <w:t>Whitsun</w:t>
            </w:r>
            <w:r w:rsidR="00B239E5" w:rsidRPr="00B239E5">
              <w:rPr>
                <w:rFonts w:cs="Arial"/>
                <w:b/>
                <w:bCs/>
                <w:color w:val="000000"/>
                <w:sz w:val="18"/>
                <w:szCs w:val="18"/>
                <w:lang w:val="en-AU"/>
              </w:rPr>
              <w:t>d</w:t>
            </w:r>
            <w:r w:rsidRPr="004A5BF7">
              <w:rPr>
                <w:rFonts w:cs="Arial"/>
                <w:b/>
                <w:bCs/>
                <w:color w:val="000000"/>
                <w:sz w:val="18"/>
                <w:szCs w:val="18"/>
                <w:lang w:val="en-AU"/>
              </w:rPr>
              <w:t>ay</w:t>
            </w:r>
          </w:p>
        </w:tc>
        <w:tc>
          <w:tcPr>
            <w:tcW w:w="628" w:type="dxa"/>
            <w:noWrap/>
            <w:vAlign w:val="center"/>
            <w:hideMark/>
          </w:tcPr>
          <w:p w14:paraId="273997EF" w14:textId="77777777" w:rsidR="007A4BC2" w:rsidRPr="004A5BF7" w:rsidRDefault="007A4BC2" w:rsidP="004A5BF7">
            <w:pPr>
              <w:spacing w:before="0" w:afterLines="40" w:after="96" w:line="200" w:lineRule="exact"/>
              <w:jc w:val="left"/>
              <w:rPr>
                <w:rFonts w:cs="Arial"/>
                <w:color w:val="000000"/>
                <w:sz w:val="18"/>
                <w:szCs w:val="18"/>
                <w:lang w:val="en-AU"/>
              </w:rPr>
            </w:pPr>
            <w:r w:rsidRPr="004A5BF7">
              <w:rPr>
                <w:rFonts w:cs="Arial"/>
                <w:color w:val="000000"/>
                <w:sz w:val="18"/>
                <w:szCs w:val="18"/>
                <w:lang w:val="en-AU"/>
              </w:rPr>
              <w:t>area</w:t>
            </w:r>
          </w:p>
        </w:tc>
        <w:tc>
          <w:tcPr>
            <w:tcW w:w="939" w:type="dxa"/>
            <w:noWrap/>
            <w:vAlign w:val="center"/>
            <w:hideMark/>
          </w:tcPr>
          <w:p w14:paraId="678682F7"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48,949</w:t>
            </w:r>
          </w:p>
        </w:tc>
        <w:tc>
          <w:tcPr>
            <w:tcW w:w="828" w:type="dxa"/>
            <w:noWrap/>
            <w:vAlign w:val="center"/>
            <w:hideMark/>
          </w:tcPr>
          <w:p w14:paraId="2E5B2116"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6,320</w:t>
            </w:r>
          </w:p>
        </w:tc>
        <w:tc>
          <w:tcPr>
            <w:tcW w:w="828" w:type="dxa"/>
            <w:noWrap/>
            <w:vAlign w:val="center"/>
            <w:hideMark/>
          </w:tcPr>
          <w:p w14:paraId="79111D49"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15,629</w:t>
            </w:r>
          </w:p>
        </w:tc>
        <w:tc>
          <w:tcPr>
            <w:tcW w:w="828" w:type="dxa"/>
            <w:noWrap/>
            <w:vAlign w:val="center"/>
            <w:hideMark/>
          </w:tcPr>
          <w:p w14:paraId="209D60A0"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4,047</w:t>
            </w:r>
          </w:p>
        </w:tc>
        <w:tc>
          <w:tcPr>
            <w:tcW w:w="717" w:type="dxa"/>
            <w:noWrap/>
            <w:vAlign w:val="center"/>
            <w:hideMark/>
          </w:tcPr>
          <w:p w14:paraId="50908B34"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207</w:t>
            </w:r>
          </w:p>
        </w:tc>
        <w:tc>
          <w:tcPr>
            <w:tcW w:w="1279" w:type="dxa"/>
            <w:noWrap/>
            <w:vAlign w:val="center"/>
            <w:hideMark/>
          </w:tcPr>
          <w:p w14:paraId="543922C1" w14:textId="77777777" w:rsidR="007A4BC2" w:rsidRPr="004A5BF7" w:rsidRDefault="007A4BC2" w:rsidP="004A5BF7">
            <w:pPr>
              <w:spacing w:before="0" w:afterLines="40" w:after="96" w:line="200" w:lineRule="exact"/>
              <w:jc w:val="center"/>
              <w:rPr>
                <w:rFonts w:cs="Arial"/>
                <w:b/>
                <w:bCs/>
                <w:color w:val="000000"/>
                <w:sz w:val="18"/>
                <w:szCs w:val="18"/>
                <w:lang w:val="en-AU"/>
              </w:rPr>
            </w:pPr>
            <w:r w:rsidRPr="004A5BF7">
              <w:rPr>
                <w:rFonts w:cs="Arial"/>
                <w:b/>
                <w:bCs/>
                <w:color w:val="000000"/>
                <w:sz w:val="18"/>
                <w:szCs w:val="18"/>
                <w:lang w:val="en-AU"/>
              </w:rPr>
              <w:t>26,203</w:t>
            </w:r>
          </w:p>
        </w:tc>
        <w:tc>
          <w:tcPr>
            <w:tcW w:w="1279" w:type="dxa"/>
            <w:noWrap/>
            <w:vAlign w:val="center"/>
            <w:hideMark/>
          </w:tcPr>
          <w:p w14:paraId="2EF7304A" w14:textId="77777777" w:rsidR="007A4BC2" w:rsidRPr="004A5BF7" w:rsidRDefault="007A4BC2" w:rsidP="004A5BF7">
            <w:pPr>
              <w:spacing w:before="0" w:afterLines="40" w:after="96" w:line="200" w:lineRule="exact"/>
              <w:jc w:val="center"/>
              <w:rPr>
                <w:rFonts w:cs="Arial"/>
                <w:b/>
                <w:bCs/>
                <w:color w:val="000000"/>
                <w:sz w:val="18"/>
                <w:szCs w:val="18"/>
                <w:lang w:val="en-AU"/>
              </w:rPr>
            </w:pPr>
            <w:r w:rsidRPr="004A5BF7">
              <w:rPr>
                <w:rFonts w:cs="Arial"/>
                <w:b/>
                <w:bCs/>
                <w:color w:val="000000"/>
                <w:sz w:val="18"/>
                <w:szCs w:val="18"/>
                <w:lang w:val="en-AU"/>
              </w:rPr>
              <w:t>22,746</w:t>
            </w:r>
          </w:p>
        </w:tc>
      </w:tr>
      <w:tr w:rsidR="007A4BC2" w:rsidRPr="00B239E5" w14:paraId="212E76AC" w14:textId="77777777" w:rsidTr="004A5BF7">
        <w:trPr>
          <w:trHeight w:val="133"/>
        </w:trPr>
        <w:tc>
          <w:tcPr>
            <w:tcW w:w="1461" w:type="dxa"/>
            <w:vMerge/>
            <w:vAlign w:val="center"/>
            <w:hideMark/>
          </w:tcPr>
          <w:p w14:paraId="2B75F39E" w14:textId="77777777" w:rsidR="007A4BC2" w:rsidRPr="004A5BF7" w:rsidRDefault="007A4BC2" w:rsidP="004A5BF7">
            <w:pPr>
              <w:spacing w:before="0" w:afterLines="40" w:after="96" w:line="200" w:lineRule="exact"/>
              <w:jc w:val="left"/>
              <w:rPr>
                <w:rFonts w:cs="Arial"/>
                <w:b/>
                <w:bCs/>
                <w:color w:val="000000"/>
                <w:sz w:val="18"/>
                <w:szCs w:val="18"/>
                <w:lang w:val="en-AU"/>
              </w:rPr>
            </w:pPr>
          </w:p>
        </w:tc>
        <w:tc>
          <w:tcPr>
            <w:tcW w:w="628" w:type="dxa"/>
            <w:noWrap/>
            <w:vAlign w:val="center"/>
            <w:hideMark/>
          </w:tcPr>
          <w:p w14:paraId="670FC791" w14:textId="77777777" w:rsidR="007A4BC2" w:rsidRPr="004A5BF7" w:rsidRDefault="007A4BC2" w:rsidP="004A5BF7">
            <w:pPr>
              <w:spacing w:before="0" w:afterLines="40" w:after="96" w:line="200" w:lineRule="exact"/>
              <w:jc w:val="left"/>
              <w:rPr>
                <w:rFonts w:cs="Arial"/>
                <w:i/>
                <w:iCs/>
                <w:color w:val="000000"/>
                <w:sz w:val="18"/>
                <w:szCs w:val="18"/>
                <w:lang w:val="en-AU"/>
              </w:rPr>
            </w:pPr>
            <w:r w:rsidRPr="004A5BF7">
              <w:rPr>
                <w:rFonts w:cs="Arial"/>
                <w:i/>
                <w:iCs/>
                <w:color w:val="000000"/>
                <w:sz w:val="18"/>
                <w:szCs w:val="18"/>
                <w:lang w:val="en-AU"/>
              </w:rPr>
              <w:t>%</w:t>
            </w:r>
          </w:p>
        </w:tc>
        <w:tc>
          <w:tcPr>
            <w:tcW w:w="939" w:type="dxa"/>
            <w:noWrap/>
            <w:vAlign w:val="center"/>
            <w:hideMark/>
          </w:tcPr>
          <w:p w14:paraId="6367F757"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100%</w:t>
            </w:r>
          </w:p>
        </w:tc>
        <w:tc>
          <w:tcPr>
            <w:tcW w:w="828" w:type="dxa"/>
            <w:noWrap/>
            <w:vAlign w:val="center"/>
            <w:hideMark/>
          </w:tcPr>
          <w:p w14:paraId="2688B380"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13%</w:t>
            </w:r>
          </w:p>
        </w:tc>
        <w:tc>
          <w:tcPr>
            <w:tcW w:w="828" w:type="dxa"/>
            <w:noWrap/>
            <w:vAlign w:val="center"/>
            <w:hideMark/>
          </w:tcPr>
          <w:p w14:paraId="655B08BE"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32%</w:t>
            </w:r>
          </w:p>
        </w:tc>
        <w:tc>
          <w:tcPr>
            <w:tcW w:w="828" w:type="dxa"/>
            <w:noWrap/>
            <w:vAlign w:val="center"/>
            <w:hideMark/>
          </w:tcPr>
          <w:p w14:paraId="706B59A8"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8%</w:t>
            </w:r>
          </w:p>
        </w:tc>
        <w:tc>
          <w:tcPr>
            <w:tcW w:w="717" w:type="dxa"/>
            <w:noWrap/>
            <w:vAlign w:val="center"/>
            <w:hideMark/>
          </w:tcPr>
          <w:p w14:paraId="615B6CCD"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0%</w:t>
            </w:r>
          </w:p>
        </w:tc>
        <w:tc>
          <w:tcPr>
            <w:tcW w:w="1279" w:type="dxa"/>
            <w:noWrap/>
            <w:vAlign w:val="center"/>
            <w:hideMark/>
          </w:tcPr>
          <w:p w14:paraId="0B69EE89" w14:textId="77777777" w:rsidR="007A4BC2" w:rsidRPr="004A5BF7" w:rsidRDefault="007A4BC2" w:rsidP="004A5BF7">
            <w:pPr>
              <w:spacing w:before="0" w:afterLines="40" w:after="96" w:line="200" w:lineRule="exact"/>
              <w:jc w:val="center"/>
              <w:rPr>
                <w:rFonts w:cs="Arial"/>
                <w:b/>
                <w:bCs/>
                <w:i/>
                <w:iCs/>
                <w:color w:val="000000"/>
                <w:sz w:val="18"/>
                <w:szCs w:val="18"/>
                <w:lang w:val="en-AU"/>
              </w:rPr>
            </w:pPr>
            <w:r w:rsidRPr="004A5BF7">
              <w:rPr>
                <w:rFonts w:cs="Arial"/>
                <w:b/>
                <w:bCs/>
                <w:i/>
                <w:iCs/>
                <w:color w:val="000000"/>
                <w:sz w:val="18"/>
                <w:szCs w:val="18"/>
                <w:lang w:val="en-AU"/>
              </w:rPr>
              <w:t>54%</w:t>
            </w:r>
          </w:p>
        </w:tc>
        <w:tc>
          <w:tcPr>
            <w:tcW w:w="1279" w:type="dxa"/>
            <w:noWrap/>
            <w:vAlign w:val="center"/>
            <w:hideMark/>
          </w:tcPr>
          <w:p w14:paraId="79F0AD1F" w14:textId="77777777" w:rsidR="007A4BC2" w:rsidRPr="004A5BF7" w:rsidRDefault="007A4BC2" w:rsidP="004A5BF7">
            <w:pPr>
              <w:spacing w:before="0" w:afterLines="40" w:after="96" w:line="200" w:lineRule="exact"/>
              <w:jc w:val="center"/>
              <w:rPr>
                <w:rFonts w:cs="Arial"/>
                <w:b/>
                <w:bCs/>
                <w:i/>
                <w:iCs/>
                <w:color w:val="000000"/>
                <w:sz w:val="18"/>
                <w:szCs w:val="18"/>
                <w:lang w:val="en-AU"/>
              </w:rPr>
            </w:pPr>
            <w:r w:rsidRPr="004A5BF7">
              <w:rPr>
                <w:rFonts w:cs="Arial"/>
                <w:b/>
                <w:bCs/>
                <w:i/>
                <w:iCs/>
                <w:color w:val="000000"/>
                <w:sz w:val="18"/>
                <w:szCs w:val="18"/>
                <w:lang w:val="en-AU"/>
              </w:rPr>
              <w:t>46%</w:t>
            </w:r>
          </w:p>
        </w:tc>
      </w:tr>
      <w:tr w:rsidR="007A4BC2" w:rsidRPr="00B239E5" w14:paraId="2CC0002D" w14:textId="77777777" w:rsidTr="004A5BF7">
        <w:trPr>
          <w:trHeight w:val="208"/>
        </w:trPr>
        <w:tc>
          <w:tcPr>
            <w:tcW w:w="1461" w:type="dxa"/>
            <w:vMerge w:val="restart"/>
            <w:noWrap/>
            <w:vAlign w:val="center"/>
            <w:hideMark/>
          </w:tcPr>
          <w:p w14:paraId="0E8B7A6E" w14:textId="77777777" w:rsidR="007A4BC2" w:rsidRPr="004A5BF7" w:rsidRDefault="007A4BC2" w:rsidP="004A5BF7">
            <w:pPr>
              <w:spacing w:before="0" w:afterLines="40" w:after="96" w:line="200" w:lineRule="exact"/>
              <w:jc w:val="left"/>
              <w:rPr>
                <w:rFonts w:cs="Arial"/>
                <w:b/>
                <w:bCs/>
                <w:color w:val="000000"/>
                <w:sz w:val="18"/>
                <w:szCs w:val="18"/>
                <w:lang w:val="en-AU"/>
              </w:rPr>
            </w:pPr>
            <w:r w:rsidRPr="004A5BF7">
              <w:rPr>
                <w:rFonts w:cs="Arial"/>
                <w:b/>
                <w:bCs/>
                <w:color w:val="000000"/>
                <w:sz w:val="18"/>
                <w:szCs w:val="18"/>
                <w:lang w:val="en-AU"/>
              </w:rPr>
              <w:t>Fitzroy</w:t>
            </w:r>
          </w:p>
        </w:tc>
        <w:tc>
          <w:tcPr>
            <w:tcW w:w="628" w:type="dxa"/>
            <w:noWrap/>
            <w:vAlign w:val="center"/>
            <w:hideMark/>
          </w:tcPr>
          <w:p w14:paraId="17E48E8D" w14:textId="77777777" w:rsidR="007A4BC2" w:rsidRPr="004A5BF7" w:rsidRDefault="007A4BC2" w:rsidP="004A5BF7">
            <w:pPr>
              <w:spacing w:before="0" w:afterLines="40" w:after="96" w:line="200" w:lineRule="exact"/>
              <w:jc w:val="left"/>
              <w:rPr>
                <w:rFonts w:cs="Arial"/>
                <w:color w:val="000000"/>
                <w:sz w:val="18"/>
                <w:szCs w:val="18"/>
                <w:lang w:val="en-AU"/>
              </w:rPr>
            </w:pPr>
            <w:r w:rsidRPr="004A5BF7">
              <w:rPr>
                <w:rFonts w:cs="Arial"/>
                <w:color w:val="000000"/>
                <w:sz w:val="18"/>
                <w:szCs w:val="18"/>
                <w:lang w:val="en-AU"/>
              </w:rPr>
              <w:t>area</w:t>
            </w:r>
          </w:p>
        </w:tc>
        <w:tc>
          <w:tcPr>
            <w:tcW w:w="939" w:type="dxa"/>
            <w:noWrap/>
            <w:vAlign w:val="center"/>
            <w:hideMark/>
          </w:tcPr>
          <w:p w14:paraId="363D80BA"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86,860</w:t>
            </w:r>
          </w:p>
        </w:tc>
        <w:tc>
          <w:tcPr>
            <w:tcW w:w="828" w:type="dxa"/>
            <w:noWrap/>
            <w:vAlign w:val="center"/>
            <w:hideMark/>
          </w:tcPr>
          <w:p w14:paraId="708040AD"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15,681</w:t>
            </w:r>
          </w:p>
        </w:tc>
        <w:tc>
          <w:tcPr>
            <w:tcW w:w="828" w:type="dxa"/>
            <w:noWrap/>
            <w:vAlign w:val="center"/>
            <w:hideMark/>
          </w:tcPr>
          <w:p w14:paraId="033E1647"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20,230</w:t>
            </w:r>
          </w:p>
        </w:tc>
        <w:tc>
          <w:tcPr>
            <w:tcW w:w="828" w:type="dxa"/>
            <w:noWrap/>
            <w:vAlign w:val="center"/>
            <w:hideMark/>
          </w:tcPr>
          <w:p w14:paraId="7FE944C8"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5,932</w:t>
            </w:r>
          </w:p>
        </w:tc>
        <w:tc>
          <w:tcPr>
            <w:tcW w:w="717" w:type="dxa"/>
            <w:noWrap/>
            <w:vAlign w:val="center"/>
            <w:hideMark/>
          </w:tcPr>
          <w:p w14:paraId="3300A632"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1,221</w:t>
            </w:r>
          </w:p>
        </w:tc>
        <w:tc>
          <w:tcPr>
            <w:tcW w:w="1279" w:type="dxa"/>
            <w:noWrap/>
            <w:vAlign w:val="center"/>
            <w:hideMark/>
          </w:tcPr>
          <w:p w14:paraId="3AF4882F" w14:textId="77777777" w:rsidR="007A4BC2" w:rsidRPr="004A5BF7" w:rsidRDefault="007A4BC2" w:rsidP="004A5BF7">
            <w:pPr>
              <w:spacing w:before="0" w:afterLines="40" w:after="96" w:line="200" w:lineRule="exact"/>
              <w:jc w:val="center"/>
              <w:rPr>
                <w:rFonts w:cs="Arial"/>
                <w:b/>
                <w:bCs/>
                <w:color w:val="000000"/>
                <w:sz w:val="18"/>
                <w:szCs w:val="18"/>
                <w:lang w:val="en-AU"/>
              </w:rPr>
            </w:pPr>
            <w:r w:rsidRPr="004A5BF7">
              <w:rPr>
                <w:rFonts w:cs="Arial"/>
                <w:b/>
                <w:bCs/>
                <w:color w:val="000000"/>
                <w:sz w:val="18"/>
                <w:szCs w:val="18"/>
                <w:lang w:val="en-AU"/>
              </w:rPr>
              <w:t>43,064</w:t>
            </w:r>
          </w:p>
        </w:tc>
        <w:tc>
          <w:tcPr>
            <w:tcW w:w="1279" w:type="dxa"/>
            <w:noWrap/>
            <w:vAlign w:val="center"/>
            <w:hideMark/>
          </w:tcPr>
          <w:p w14:paraId="52193982" w14:textId="77777777" w:rsidR="007A4BC2" w:rsidRPr="004A5BF7" w:rsidRDefault="007A4BC2" w:rsidP="004A5BF7">
            <w:pPr>
              <w:spacing w:before="0" w:afterLines="40" w:after="96" w:line="200" w:lineRule="exact"/>
              <w:jc w:val="center"/>
              <w:rPr>
                <w:rFonts w:cs="Arial"/>
                <w:b/>
                <w:bCs/>
                <w:color w:val="000000"/>
                <w:sz w:val="18"/>
                <w:szCs w:val="18"/>
                <w:lang w:val="en-AU"/>
              </w:rPr>
            </w:pPr>
            <w:r w:rsidRPr="004A5BF7">
              <w:rPr>
                <w:rFonts w:cs="Arial"/>
                <w:b/>
                <w:bCs/>
                <w:color w:val="000000"/>
                <w:sz w:val="18"/>
                <w:szCs w:val="18"/>
                <w:lang w:val="en-AU"/>
              </w:rPr>
              <w:t>43,796</w:t>
            </w:r>
          </w:p>
        </w:tc>
      </w:tr>
      <w:tr w:rsidR="007A4BC2" w:rsidRPr="00B239E5" w14:paraId="6B93A9FF" w14:textId="77777777" w:rsidTr="004A5BF7">
        <w:trPr>
          <w:trHeight w:val="125"/>
        </w:trPr>
        <w:tc>
          <w:tcPr>
            <w:tcW w:w="1461" w:type="dxa"/>
            <w:vMerge/>
            <w:vAlign w:val="center"/>
            <w:hideMark/>
          </w:tcPr>
          <w:p w14:paraId="5CD390EB" w14:textId="77777777" w:rsidR="007A4BC2" w:rsidRPr="004A5BF7" w:rsidRDefault="007A4BC2" w:rsidP="004A5BF7">
            <w:pPr>
              <w:spacing w:before="0" w:afterLines="40" w:after="96" w:line="200" w:lineRule="exact"/>
              <w:jc w:val="left"/>
              <w:rPr>
                <w:rFonts w:cs="Arial"/>
                <w:b/>
                <w:bCs/>
                <w:color w:val="000000"/>
                <w:sz w:val="18"/>
                <w:szCs w:val="18"/>
                <w:lang w:val="en-AU"/>
              </w:rPr>
            </w:pPr>
          </w:p>
        </w:tc>
        <w:tc>
          <w:tcPr>
            <w:tcW w:w="628" w:type="dxa"/>
            <w:noWrap/>
            <w:vAlign w:val="center"/>
            <w:hideMark/>
          </w:tcPr>
          <w:p w14:paraId="3B6B67A8" w14:textId="77777777" w:rsidR="007A4BC2" w:rsidRPr="004A5BF7" w:rsidRDefault="007A4BC2" w:rsidP="004A5BF7">
            <w:pPr>
              <w:spacing w:before="0" w:afterLines="40" w:after="96" w:line="200" w:lineRule="exact"/>
              <w:jc w:val="left"/>
              <w:rPr>
                <w:rFonts w:cs="Arial"/>
                <w:i/>
                <w:iCs/>
                <w:color w:val="000000"/>
                <w:sz w:val="18"/>
                <w:szCs w:val="18"/>
                <w:lang w:val="en-AU"/>
              </w:rPr>
            </w:pPr>
            <w:r w:rsidRPr="004A5BF7">
              <w:rPr>
                <w:rFonts w:cs="Arial"/>
                <w:i/>
                <w:iCs/>
                <w:color w:val="000000"/>
                <w:sz w:val="18"/>
                <w:szCs w:val="18"/>
                <w:lang w:val="en-AU"/>
              </w:rPr>
              <w:t>%</w:t>
            </w:r>
          </w:p>
        </w:tc>
        <w:tc>
          <w:tcPr>
            <w:tcW w:w="939" w:type="dxa"/>
            <w:noWrap/>
            <w:vAlign w:val="center"/>
            <w:hideMark/>
          </w:tcPr>
          <w:p w14:paraId="22745B2B"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100%</w:t>
            </w:r>
          </w:p>
        </w:tc>
        <w:tc>
          <w:tcPr>
            <w:tcW w:w="828" w:type="dxa"/>
            <w:noWrap/>
            <w:vAlign w:val="center"/>
            <w:hideMark/>
          </w:tcPr>
          <w:p w14:paraId="64DA50DE"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18%</w:t>
            </w:r>
          </w:p>
        </w:tc>
        <w:tc>
          <w:tcPr>
            <w:tcW w:w="828" w:type="dxa"/>
            <w:noWrap/>
            <w:vAlign w:val="center"/>
            <w:hideMark/>
          </w:tcPr>
          <w:p w14:paraId="265D4318"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23%</w:t>
            </w:r>
          </w:p>
        </w:tc>
        <w:tc>
          <w:tcPr>
            <w:tcW w:w="828" w:type="dxa"/>
            <w:noWrap/>
            <w:vAlign w:val="center"/>
            <w:hideMark/>
          </w:tcPr>
          <w:p w14:paraId="62E3BF84"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7%</w:t>
            </w:r>
          </w:p>
        </w:tc>
        <w:tc>
          <w:tcPr>
            <w:tcW w:w="717" w:type="dxa"/>
            <w:noWrap/>
            <w:vAlign w:val="center"/>
            <w:hideMark/>
          </w:tcPr>
          <w:p w14:paraId="563715F3"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1%</w:t>
            </w:r>
          </w:p>
        </w:tc>
        <w:tc>
          <w:tcPr>
            <w:tcW w:w="1279" w:type="dxa"/>
            <w:noWrap/>
            <w:vAlign w:val="center"/>
            <w:hideMark/>
          </w:tcPr>
          <w:p w14:paraId="1A51F3CE" w14:textId="77777777" w:rsidR="007A4BC2" w:rsidRPr="004A5BF7" w:rsidRDefault="007A4BC2" w:rsidP="004A5BF7">
            <w:pPr>
              <w:spacing w:before="0" w:afterLines="40" w:after="96" w:line="200" w:lineRule="exact"/>
              <w:jc w:val="center"/>
              <w:rPr>
                <w:rFonts w:cs="Arial"/>
                <w:b/>
                <w:bCs/>
                <w:i/>
                <w:iCs/>
                <w:color w:val="000000"/>
                <w:sz w:val="18"/>
                <w:szCs w:val="18"/>
                <w:lang w:val="en-AU"/>
              </w:rPr>
            </w:pPr>
            <w:r w:rsidRPr="004A5BF7">
              <w:rPr>
                <w:rFonts w:cs="Arial"/>
                <w:b/>
                <w:bCs/>
                <w:i/>
                <w:iCs/>
                <w:color w:val="000000"/>
                <w:sz w:val="18"/>
                <w:szCs w:val="18"/>
                <w:lang w:val="en-AU"/>
              </w:rPr>
              <w:t>50%</w:t>
            </w:r>
          </w:p>
        </w:tc>
        <w:tc>
          <w:tcPr>
            <w:tcW w:w="1279" w:type="dxa"/>
            <w:noWrap/>
            <w:vAlign w:val="center"/>
            <w:hideMark/>
          </w:tcPr>
          <w:p w14:paraId="5502E839" w14:textId="77777777" w:rsidR="007A4BC2" w:rsidRPr="004A5BF7" w:rsidRDefault="007A4BC2" w:rsidP="004A5BF7">
            <w:pPr>
              <w:spacing w:before="0" w:afterLines="40" w:after="96" w:line="200" w:lineRule="exact"/>
              <w:jc w:val="center"/>
              <w:rPr>
                <w:rFonts w:cs="Arial"/>
                <w:b/>
                <w:bCs/>
                <w:i/>
                <w:iCs/>
                <w:color w:val="000000"/>
                <w:sz w:val="18"/>
                <w:szCs w:val="18"/>
                <w:lang w:val="en-AU"/>
              </w:rPr>
            </w:pPr>
            <w:r w:rsidRPr="004A5BF7">
              <w:rPr>
                <w:rFonts w:cs="Arial"/>
                <w:b/>
                <w:bCs/>
                <w:i/>
                <w:iCs/>
                <w:color w:val="000000"/>
                <w:sz w:val="18"/>
                <w:szCs w:val="18"/>
                <w:lang w:val="en-AU"/>
              </w:rPr>
              <w:t>50%</w:t>
            </w:r>
          </w:p>
        </w:tc>
      </w:tr>
      <w:tr w:rsidR="007A4BC2" w:rsidRPr="00B239E5" w14:paraId="7B4F01EB" w14:textId="77777777" w:rsidTr="004A5BF7">
        <w:trPr>
          <w:trHeight w:val="71"/>
        </w:trPr>
        <w:tc>
          <w:tcPr>
            <w:tcW w:w="1461" w:type="dxa"/>
            <w:vMerge w:val="restart"/>
            <w:vAlign w:val="center"/>
            <w:hideMark/>
          </w:tcPr>
          <w:p w14:paraId="1AED8CEE" w14:textId="7847DECC" w:rsidR="007A4BC2" w:rsidRPr="004A5BF7" w:rsidRDefault="007A4BC2" w:rsidP="004A5BF7">
            <w:pPr>
              <w:spacing w:before="0" w:afterLines="40" w:after="96" w:line="200" w:lineRule="exact"/>
              <w:jc w:val="left"/>
              <w:rPr>
                <w:rFonts w:cs="Arial"/>
                <w:b/>
                <w:bCs/>
                <w:color w:val="000000"/>
                <w:sz w:val="18"/>
                <w:szCs w:val="18"/>
                <w:lang w:val="en-AU"/>
              </w:rPr>
            </w:pPr>
            <w:r w:rsidRPr="004A5BF7">
              <w:rPr>
                <w:rFonts w:cs="Arial"/>
                <w:b/>
                <w:bCs/>
                <w:color w:val="000000"/>
                <w:sz w:val="18"/>
                <w:szCs w:val="18"/>
                <w:lang w:val="en-AU"/>
              </w:rPr>
              <w:t>Burnett</w:t>
            </w:r>
            <w:r w:rsidR="00B239E5" w:rsidRPr="00B239E5">
              <w:rPr>
                <w:rFonts w:cs="Arial"/>
                <w:b/>
                <w:bCs/>
                <w:color w:val="000000"/>
                <w:sz w:val="18"/>
                <w:szCs w:val="18"/>
                <w:lang w:val="en-AU"/>
              </w:rPr>
              <w:t xml:space="preserve"> </w:t>
            </w:r>
            <w:r w:rsidRPr="004A5BF7">
              <w:rPr>
                <w:rFonts w:cs="Arial"/>
                <w:b/>
                <w:bCs/>
                <w:color w:val="000000"/>
                <w:sz w:val="18"/>
                <w:szCs w:val="18"/>
                <w:lang w:val="en-AU"/>
              </w:rPr>
              <w:t>Mary</w:t>
            </w:r>
          </w:p>
        </w:tc>
        <w:tc>
          <w:tcPr>
            <w:tcW w:w="628" w:type="dxa"/>
            <w:noWrap/>
            <w:vAlign w:val="center"/>
            <w:hideMark/>
          </w:tcPr>
          <w:p w14:paraId="26445284" w14:textId="77777777" w:rsidR="007A4BC2" w:rsidRPr="004A5BF7" w:rsidRDefault="007A4BC2" w:rsidP="004A5BF7">
            <w:pPr>
              <w:spacing w:before="0" w:afterLines="40" w:after="96" w:line="200" w:lineRule="exact"/>
              <w:jc w:val="left"/>
              <w:rPr>
                <w:rFonts w:cs="Arial"/>
                <w:color w:val="000000"/>
                <w:sz w:val="18"/>
                <w:szCs w:val="18"/>
                <w:lang w:val="en-AU"/>
              </w:rPr>
            </w:pPr>
            <w:r w:rsidRPr="004A5BF7">
              <w:rPr>
                <w:rFonts w:cs="Arial"/>
                <w:color w:val="000000"/>
                <w:sz w:val="18"/>
                <w:szCs w:val="18"/>
                <w:lang w:val="en-AU"/>
              </w:rPr>
              <w:t>area</w:t>
            </w:r>
          </w:p>
        </w:tc>
        <w:tc>
          <w:tcPr>
            <w:tcW w:w="939" w:type="dxa"/>
            <w:noWrap/>
            <w:vAlign w:val="center"/>
            <w:hideMark/>
          </w:tcPr>
          <w:p w14:paraId="261E5371"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37,712</w:t>
            </w:r>
          </w:p>
        </w:tc>
        <w:tc>
          <w:tcPr>
            <w:tcW w:w="828" w:type="dxa"/>
            <w:noWrap/>
            <w:vAlign w:val="center"/>
            <w:hideMark/>
          </w:tcPr>
          <w:p w14:paraId="7473E672"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0</w:t>
            </w:r>
          </w:p>
        </w:tc>
        <w:tc>
          <w:tcPr>
            <w:tcW w:w="828" w:type="dxa"/>
            <w:noWrap/>
            <w:vAlign w:val="center"/>
            <w:hideMark/>
          </w:tcPr>
          <w:p w14:paraId="1D5C9FCC"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13,060</w:t>
            </w:r>
          </w:p>
        </w:tc>
        <w:tc>
          <w:tcPr>
            <w:tcW w:w="828" w:type="dxa"/>
            <w:noWrap/>
            <w:vAlign w:val="center"/>
            <w:hideMark/>
          </w:tcPr>
          <w:p w14:paraId="056B1CAB"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741</w:t>
            </w:r>
          </w:p>
        </w:tc>
        <w:tc>
          <w:tcPr>
            <w:tcW w:w="717" w:type="dxa"/>
            <w:noWrap/>
            <w:vAlign w:val="center"/>
            <w:hideMark/>
          </w:tcPr>
          <w:p w14:paraId="79379180" w14:textId="77777777" w:rsidR="007A4BC2" w:rsidRPr="004A5BF7" w:rsidRDefault="007A4BC2" w:rsidP="004A5BF7">
            <w:pPr>
              <w:spacing w:before="0" w:afterLines="40" w:after="96" w:line="200" w:lineRule="exact"/>
              <w:jc w:val="center"/>
              <w:rPr>
                <w:rFonts w:cs="Arial"/>
                <w:color w:val="000000"/>
                <w:sz w:val="18"/>
                <w:szCs w:val="18"/>
                <w:lang w:val="en-AU"/>
              </w:rPr>
            </w:pPr>
            <w:r w:rsidRPr="004A5BF7">
              <w:rPr>
                <w:rFonts w:cs="Arial"/>
                <w:color w:val="000000"/>
                <w:sz w:val="18"/>
                <w:szCs w:val="18"/>
                <w:lang w:val="en-AU"/>
              </w:rPr>
              <w:t>60</w:t>
            </w:r>
          </w:p>
        </w:tc>
        <w:tc>
          <w:tcPr>
            <w:tcW w:w="1279" w:type="dxa"/>
            <w:noWrap/>
            <w:vAlign w:val="center"/>
            <w:hideMark/>
          </w:tcPr>
          <w:p w14:paraId="63D5E358" w14:textId="77777777" w:rsidR="007A4BC2" w:rsidRPr="004A5BF7" w:rsidRDefault="007A4BC2" w:rsidP="004A5BF7">
            <w:pPr>
              <w:spacing w:before="0" w:afterLines="40" w:after="96" w:line="200" w:lineRule="exact"/>
              <w:jc w:val="center"/>
              <w:rPr>
                <w:rFonts w:cs="Arial"/>
                <w:b/>
                <w:bCs/>
                <w:color w:val="000000"/>
                <w:sz w:val="18"/>
                <w:szCs w:val="18"/>
                <w:lang w:val="en-AU"/>
              </w:rPr>
            </w:pPr>
            <w:r w:rsidRPr="004A5BF7">
              <w:rPr>
                <w:rFonts w:cs="Arial"/>
                <w:b/>
                <w:bCs/>
                <w:color w:val="000000"/>
                <w:sz w:val="18"/>
                <w:szCs w:val="18"/>
                <w:lang w:val="en-AU"/>
              </w:rPr>
              <w:t>13,861</w:t>
            </w:r>
          </w:p>
        </w:tc>
        <w:tc>
          <w:tcPr>
            <w:tcW w:w="1279" w:type="dxa"/>
            <w:noWrap/>
            <w:vAlign w:val="center"/>
            <w:hideMark/>
          </w:tcPr>
          <w:p w14:paraId="1F7F8CF3" w14:textId="77777777" w:rsidR="007A4BC2" w:rsidRPr="004A5BF7" w:rsidRDefault="007A4BC2" w:rsidP="004A5BF7">
            <w:pPr>
              <w:spacing w:before="0" w:afterLines="40" w:after="96" w:line="200" w:lineRule="exact"/>
              <w:jc w:val="center"/>
              <w:rPr>
                <w:rFonts w:cs="Arial"/>
                <w:b/>
                <w:bCs/>
                <w:color w:val="000000"/>
                <w:sz w:val="18"/>
                <w:szCs w:val="18"/>
                <w:lang w:val="en-AU"/>
              </w:rPr>
            </w:pPr>
            <w:r w:rsidRPr="004A5BF7">
              <w:rPr>
                <w:rFonts w:cs="Arial"/>
                <w:b/>
                <w:bCs/>
                <w:color w:val="000000"/>
                <w:sz w:val="18"/>
                <w:szCs w:val="18"/>
                <w:lang w:val="en-AU"/>
              </w:rPr>
              <w:t>23,851</w:t>
            </w:r>
          </w:p>
        </w:tc>
      </w:tr>
      <w:tr w:rsidR="007A4BC2" w:rsidRPr="00B239E5" w14:paraId="71EBB976" w14:textId="77777777" w:rsidTr="004A5BF7">
        <w:trPr>
          <w:trHeight w:val="131"/>
        </w:trPr>
        <w:tc>
          <w:tcPr>
            <w:tcW w:w="1461" w:type="dxa"/>
            <w:vMerge/>
            <w:vAlign w:val="center"/>
            <w:hideMark/>
          </w:tcPr>
          <w:p w14:paraId="210984B1" w14:textId="77777777" w:rsidR="007A4BC2" w:rsidRPr="004A5BF7" w:rsidRDefault="007A4BC2" w:rsidP="004A5BF7">
            <w:pPr>
              <w:spacing w:before="0" w:afterLines="40" w:after="96" w:line="200" w:lineRule="exact"/>
              <w:jc w:val="left"/>
              <w:rPr>
                <w:rFonts w:cs="Arial"/>
                <w:b/>
                <w:bCs/>
                <w:color w:val="000000"/>
                <w:sz w:val="18"/>
                <w:szCs w:val="18"/>
                <w:lang w:val="en-AU"/>
              </w:rPr>
            </w:pPr>
          </w:p>
        </w:tc>
        <w:tc>
          <w:tcPr>
            <w:tcW w:w="628" w:type="dxa"/>
            <w:noWrap/>
            <w:vAlign w:val="center"/>
            <w:hideMark/>
          </w:tcPr>
          <w:p w14:paraId="05343892" w14:textId="77777777" w:rsidR="007A4BC2" w:rsidRPr="004A5BF7" w:rsidRDefault="007A4BC2" w:rsidP="004A5BF7">
            <w:pPr>
              <w:spacing w:before="0" w:afterLines="40" w:after="96" w:line="200" w:lineRule="exact"/>
              <w:jc w:val="left"/>
              <w:rPr>
                <w:rFonts w:cs="Arial"/>
                <w:i/>
                <w:iCs/>
                <w:color w:val="000000"/>
                <w:sz w:val="18"/>
                <w:szCs w:val="18"/>
                <w:lang w:val="en-AU"/>
              </w:rPr>
            </w:pPr>
            <w:r w:rsidRPr="004A5BF7">
              <w:rPr>
                <w:rFonts w:cs="Arial"/>
                <w:i/>
                <w:iCs/>
                <w:color w:val="000000"/>
                <w:sz w:val="18"/>
                <w:szCs w:val="18"/>
                <w:lang w:val="en-AU"/>
              </w:rPr>
              <w:t>%</w:t>
            </w:r>
          </w:p>
        </w:tc>
        <w:tc>
          <w:tcPr>
            <w:tcW w:w="939" w:type="dxa"/>
            <w:noWrap/>
            <w:vAlign w:val="center"/>
            <w:hideMark/>
          </w:tcPr>
          <w:p w14:paraId="3F6AEA58"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100%</w:t>
            </w:r>
          </w:p>
        </w:tc>
        <w:tc>
          <w:tcPr>
            <w:tcW w:w="828" w:type="dxa"/>
            <w:noWrap/>
            <w:vAlign w:val="center"/>
            <w:hideMark/>
          </w:tcPr>
          <w:p w14:paraId="03ACF961"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0%</w:t>
            </w:r>
          </w:p>
        </w:tc>
        <w:tc>
          <w:tcPr>
            <w:tcW w:w="828" w:type="dxa"/>
            <w:noWrap/>
            <w:vAlign w:val="center"/>
            <w:hideMark/>
          </w:tcPr>
          <w:p w14:paraId="1DE7B5B0"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35%</w:t>
            </w:r>
          </w:p>
        </w:tc>
        <w:tc>
          <w:tcPr>
            <w:tcW w:w="828" w:type="dxa"/>
            <w:noWrap/>
            <w:vAlign w:val="center"/>
            <w:hideMark/>
          </w:tcPr>
          <w:p w14:paraId="5D31E44C"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2%</w:t>
            </w:r>
          </w:p>
        </w:tc>
        <w:tc>
          <w:tcPr>
            <w:tcW w:w="717" w:type="dxa"/>
            <w:noWrap/>
            <w:vAlign w:val="center"/>
            <w:hideMark/>
          </w:tcPr>
          <w:p w14:paraId="5E101CC3" w14:textId="77777777" w:rsidR="007A4BC2" w:rsidRPr="004A5BF7" w:rsidRDefault="007A4BC2" w:rsidP="004A5BF7">
            <w:pPr>
              <w:spacing w:before="0" w:afterLines="40" w:after="96" w:line="200" w:lineRule="exact"/>
              <w:jc w:val="center"/>
              <w:rPr>
                <w:rFonts w:cs="Arial"/>
                <w:i/>
                <w:iCs/>
                <w:color w:val="000000"/>
                <w:sz w:val="18"/>
                <w:szCs w:val="18"/>
                <w:lang w:val="en-AU"/>
              </w:rPr>
            </w:pPr>
            <w:r w:rsidRPr="004A5BF7">
              <w:rPr>
                <w:rFonts w:cs="Arial"/>
                <w:i/>
                <w:iCs/>
                <w:color w:val="000000"/>
                <w:sz w:val="18"/>
                <w:szCs w:val="18"/>
                <w:lang w:val="en-AU"/>
              </w:rPr>
              <w:t>0%</w:t>
            </w:r>
          </w:p>
        </w:tc>
        <w:tc>
          <w:tcPr>
            <w:tcW w:w="1279" w:type="dxa"/>
            <w:noWrap/>
            <w:vAlign w:val="center"/>
            <w:hideMark/>
          </w:tcPr>
          <w:p w14:paraId="2B2C46EC" w14:textId="77777777" w:rsidR="007A4BC2" w:rsidRPr="004A5BF7" w:rsidRDefault="007A4BC2" w:rsidP="004A5BF7">
            <w:pPr>
              <w:spacing w:before="0" w:afterLines="40" w:after="96" w:line="200" w:lineRule="exact"/>
              <w:jc w:val="center"/>
              <w:rPr>
                <w:rFonts w:cs="Arial"/>
                <w:b/>
                <w:bCs/>
                <w:i/>
                <w:iCs/>
                <w:color w:val="000000"/>
                <w:sz w:val="18"/>
                <w:szCs w:val="18"/>
                <w:lang w:val="en-AU"/>
              </w:rPr>
            </w:pPr>
            <w:r w:rsidRPr="004A5BF7">
              <w:rPr>
                <w:rFonts w:cs="Arial"/>
                <w:b/>
                <w:bCs/>
                <w:i/>
                <w:iCs/>
                <w:color w:val="000000"/>
                <w:sz w:val="18"/>
                <w:szCs w:val="18"/>
                <w:lang w:val="en-AU"/>
              </w:rPr>
              <w:t>37%</w:t>
            </w:r>
          </w:p>
        </w:tc>
        <w:tc>
          <w:tcPr>
            <w:tcW w:w="1279" w:type="dxa"/>
            <w:noWrap/>
            <w:vAlign w:val="center"/>
            <w:hideMark/>
          </w:tcPr>
          <w:p w14:paraId="5CA99CA8" w14:textId="77777777" w:rsidR="007A4BC2" w:rsidRPr="004A5BF7" w:rsidRDefault="007A4BC2" w:rsidP="004A5BF7">
            <w:pPr>
              <w:spacing w:before="0" w:afterLines="40" w:after="96" w:line="200" w:lineRule="exact"/>
              <w:jc w:val="center"/>
              <w:rPr>
                <w:rFonts w:cs="Arial"/>
                <w:b/>
                <w:bCs/>
                <w:i/>
                <w:iCs/>
                <w:color w:val="000000"/>
                <w:sz w:val="18"/>
                <w:szCs w:val="18"/>
                <w:lang w:val="en-AU"/>
              </w:rPr>
            </w:pPr>
            <w:r w:rsidRPr="004A5BF7">
              <w:rPr>
                <w:rFonts w:cs="Arial"/>
                <w:b/>
                <w:bCs/>
                <w:i/>
                <w:iCs/>
                <w:color w:val="000000"/>
                <w:sz w:val="18"/>
                <w:szCs w:val="18"/>
                <w:lang w:val="en-AU"/>
              </w:rPr>
              <w:t>63%</w:t>
            </w:r>
          </w:p>
        </w:tc>
      </w:tr>
    </w:tbl>
    <w:p w14:paraId="3E5EB990" w14:textId="61F1681B" w:rsidR="000A11A3" w:rsidRDefault="00AB2398" w:rsidP="000A11A3">
      <w:pPr>
        <w:rPr>
          <w:lang w:val="en-AU"/>
        </w:rPr>
      </w:pPr>
      <w:r>
        <w:rPr>
          <w:lang w:val="en-AU"/>
        </w:rPr>
        <w:fldChar w:fldCharType="begin"/>
      </w:r>
      <w:r>
        <w:rPr>
          <w:lang w:val="en-AU"/>
        </w:rPr>
        <w:instrText xml:space="preserve"> REF _Ref459147962 \h </w:instrText>
      </w:r>
      <w:r>
        <w:rPr>
          <w:lang w:val="en-AU"/>
        </w:rPr>
      </w:r>
      <w:r>
        <w:rPr>
          <w:lang w:val="en-AU"/>
        </w:rPr>
        <w:fldChar w:fldCharType="separate"/>
      </w:r>
      <w:r w:rsidR="007F5336" w:rsidRPr="00B239E5">
        <w:t xml:space="preserve">Table </w:t>
      </w:r>
      <w:r w:rsidR="007F5336">
        <w:rPr>
          <w:noProof/>
        </w:rPr>
        <w:t>5</w:t>
      </w:r>
      <w:r w:rsidR="007F5336">
        <w:noBreakHyphen/>
      </w:r>
      <w:r w:rsidR="007F5336">
        <w:rPr>
          <w:noProof/>
        </w:rPr>
        <w:t>3</w:t>
      </w:r>
      <w:r>
        <w:rPr>
          <w:lang w:val="en-AU"/>
        </w:rPr>
        <w:fldChar w:fldCharType="end"/>
      </w:r>
      <w:r>
        <w:rPr>
          <w:lang w:val="en-AU"/>
        </w:rPr>
        <w:t xml:space="preserve"> </w:t>
      </w:r>
      <w:r w:rsidR="000A11A3" w:rsidRPr="00B10E2E">
        <w:rPr>
          <w:lang w:val="en-AU"/>
        </w:rPr>
        <w:t>present</w:t>
      </w:r>
      <w:r w:rsidR="00B43959">
        <w:rPr>
          <w:lang w:val="en-AU"/>
        </w:rPr>
        <w:t>s</w:t>
      </w:r>
      <w:r w:rsidR="000A11A3" w:rsidRPr="00B10E2E">
        <w:rPr>
          <w:lang w:val="en-AU"/>
        </w:rPr>
        <w:t xml:space="preserve"> the areas (km</w:t>
      </w:r>
      <w:r w:rsidR="000A11A3" w:rsidRPr="00B10E2E">
        <w:rPr>
          <w:vertAlign w:val="superscript"/>
          <w:lang w:val="en-AU"/>
        </w:rPr>
        <w:t>2</w:t>
      </w:r>
      <w:r w:rsidR="000A11A3" w:rsidRPr="00B10E2E">
        <w:rPr>
          <w:lang w:val="en-AU"/>
        </w:rPr>
        <w:t>) and percentage (%) of coral reefs exposed to different categories of potential river plume risk within each NRM</w:t>
      </w:r>
      <w:r w:rsidR="00B43959">
        <w:rPr>
          <w:lang w:val="en-AU"/>
        </w:rPr>
        <w:t>,</w:t>
      </w:r>
      <w:r w:rsidR="000A11A3" w:rsidRPr="00B10E2E">
        <w:rPr>
          <w:lang w:val="en-AU"/>
        </w:rPr>
        <w:t xml:space="preserve"> exhibit</w:t>
      </w:r>
      <w:r w:rsidR="00B43959">
        <w:rPr>
          <w:lang w:val="en-AU"/>
        </w:rPr>
        <w:t>ing</w:t>
      </w:r>
      <w:r w:rsidR="000A11A3" w:rsidRPr="00B10E2E">
        <w:rPr>
          <w:lang w:val="en-AU"/>
        </w:rPr>
        <w:t xml:space="preserve"> a wide range of exposure</w:t>
      </w:r>
      <w:r w:rsidR="000A11A3" w:rsidRPr="008467AA">
        <w:rPr>
          <w:lang w:val="en-AU"/>
        </w:rPr>
        <w:t xml:space="preserve"> (areas, % and categories of risk). In 2014-15, </w:t>
      </w:r>
      <w:r w:rsidR="000A11A3">
        <w:rPr>
          <w:lang w:val="en-AU"/>
        </w:rPr>
        <w:t xml:space="preserve">it was estimated that 62% of </w:t>
      </w:r>
      <w:r w:rsidR="000A11A3" w:rsidRPr="008467AA">
        <w:rPr>
          <w:lang w:val="en-AU"/>
        </w:rPr>
        <w:t>GBR coral reefs were exposed to the lowest categories of potential river plume risk (I and II)</w:t>
      </w:r>
      <w:r w:rsidR="000A11A3">
        <w:rPr>
          <w:lang w:val="en-AU"/>
        </w:rPr>
        <w:t xml:space="preserve"> and only a very small area of reefs </w:t>
      </w:r>
      <w:r w:rsidR="00B43959">
        <w:rPr>
          <w:lang w:val="en-AU"/>
        </w:rPr>
        <w:t xml:space="preserve">(&lt;1% of the area) </w:t>
      </w:r>
      <w:r w:rsidR="000A11A3">
        <w:rPr>
          <w:lang w:val="en-AU"/>
        </w:rPr>
        <w:t>were in the highest risk category (class IV).</w:t>
      </w:r>
      <w:r w:rsidR="000A11A3" w:rsidRPr="000A11A3">
        <w:rPr>
          <w:lang w:val="en-AU"/>
        </w:rPr>
        <w:t xml:space="preserve"> </w:t>
      </w:r>
      <w:r w:rsidR="000A11A3">
        <w:rPr>
          <w:lang w:val="en-AU"/>
        </w:rPr>
        <w:t>The assessment indicates that</w:t>
      </w:r>
      <w:r w:rsidR="000A11A3" w:rsidRPr="008467AA">
        <w:rPr>
          <w:lang w:val="en-AU"/>
        </w:rPr>
        <w:t xml:space="preserve"> </w:t>
      </w:r>
      <w:r w:rsidR="00B43959">
        <w:rPr>
          <w:lang w:val="en-AU"/>
        </w:rPr>
        <w:t xml:space="preserve">only coral reefs in the </w:t>
      </w:r>
      <w:r w:rsidR="000A11A3" w:rsidRPr="008467AA">
        <w:rPr>
          <w:lang w:val="en-AU"/>
        </w:rPr>
        <w:t>Mackay</w:t>
      </w:r>
      <w:r w:rsidR="00B239E5">
        <w:rPr>
          <w:lang w:val="en-AU"/>
        </w:rPr>
        <w:t xml:space="preserve"> </w:t>
      </w:r>
      <w:r w:rsidR="000A11A3" w:rsidRPr="008467AA">
        <w:rPr>
          <w:lang w:val="en-AU"/>
        </w:rPr>
        <w:t xml:space="preserve">Whitsunday and Fitzroy regions </w:t>
      </w:r>
      <w:r w:rsidR="000A11A3">
        <w:rPr>
          <w:lang w:val="en-AU"/>
        </w:rPr>
        <w:t>were potentially exposed to</w:t>
      </w:r>
      <w:r w:rsidR="000A11A3" w:rsidRPr="008467AA">
        <w:rPr>
          <w:lang w:val="en-AU"/>
        </w:rPr>
        <w:t xml:space="preserve"> category III</w:t>
      </w:r>
      <w:r w:rsidR="00B43959">
        <w:rPr>
          <w:lang w:val="en-AU"/>
        </w:rPr>
        <w:t xml:space="preserve"> risk</w:t>
      </w:r>
      <w:r w:rsidR="000A11A3" w:rsidRPr="008467AA">
        <w:rPr>
          <w:lang w:val="en-AU"/>
        </w:rPr>
        <w:t xml:space="preserve"> from river plume exposure</w:t>
      </w:r>
      <w:r w:rsidR="00B43959">
        <w:rPr>
          <w:lang w:val="en-AU"/>
        </w:rPr>
        <w:t>, however these areas were also small (3%).</w:t>
      </w:r>
    </w:p>
    <w:p w14:paraId="7B927634" w14:textId="2B86CC9B" w:rsidR="007A4BC2" w:rsidRPr="00B239E5" w:rsidRDefault="007A4BC2" w:rsidP="00B239E5">
      <w:pPr>
        <w:pStyle w:val="Caption"/>
        <w:rPr>
          <w:rStyle w:val="IntenseReference"/>
          <w:bCs w:val="0"/>
          <w:color w:val="auto"/>
          <w:lang w:val="en-US"/>
        </w:rPr>
      </w:pPr>
      <w:bookmarkStart w:id="1126" w:name="_Ref459147962"/>
      <w:bookmarkStart w:id="1127" w:name="_Toc459332157"/>
      <w:bookmarkEnd w:id="1122"/>
      <w:bookmarkEnd w:id="1125"/>
      <w:r w:rsidRPr="00B239E5">
        <w:t xml:space="preserve">Table </w:t>
      </w:r>
      <w:r w:rsidR="00124249">
        <w:fldChar w:fldCharType="begin"/>
      </w:r>
      <w:r w:rsidR="00124249">
        <w:instrText xml:space="preserve"> STYLEREF 1 \s </w:instrText>
      </w:r>
      <w:r w:rsidR="00124249">
        <w:fldChar w:fldCharType="separate"/>
      </w:r>
      <w:r w:rsidR="007F5336">
        <w:rPr>
          <w:noProof/>
        </w:rPr>
        <w:t>5</w:t>
      </w:r>
      <w:r w:rsidR="00124249">
        <w:fldChar w:fldCharType="end"/>
      </w:r>
      <w:r w:rsidR="00124249">
        <w:noBreakHyphen/>
      </w:r>
      <w:r w:rsidR="00124249">
        <w:fldChar w:fldCharType="begin"/>
      </w:r>
      <w:r w:rsidR="00124249">
        <w:instrText xml:space="preserve"> SEQ Table \* ARABIC \s 1 </w:instrText>
      </w:r>
      <w:r w:rsidR="00124249">
        <w:fldChar w:fldCharType="separate"/>
      </w:r>
      <w:r w:rsidR="007F5336">
        <w:rPr>
          <w:noProof/>
        </w:rPr>
        <w:t>3</w:t>
      </w:r>
      <w:r w:rsidR="00124249">
        <w:fldChar w:fldCharType="end"/>
      </w:r>
      <w:bookmarkEnd w:id="1126"/>
      <w:r w:rsidRPr="00B239E5">
        <w:t>: Areas (km</w:t>
      </w:r>
      <w:r w:rsidRPr="004A5BF7">
        <w:rPr>
          <w:vertAlign w:val="superscript"/>
        </w:rPr>
        <w:t>2</w:t>
      </w:r>
      <w:r w:rsidRPr="00B239E5">
        <w:t>) and percentage (%) of the coral reefs exposed to different categories of surface river plume frequency and river plume-related risk within the GBR and each NRM</w:t>
      </w:r>
      <w:r w:rsidR="00B239E5">
        <w:t xml:space="preserve"> region</w:t>
      </w:r>
      <w:r w:rsidRPr="00B239E5">
        <w:t>.</w:t>
      </w:r>
      <w:bookmarkEnd w:id="1127"/>
      <w:r w:rsidR="00DA2DAF" w:rsidRPr="00B239E5">
        <w:t xml:space="preserve"> </w:t>
      </w:r>
      <w:r w:rsidRPr="00B239E5">
        <w:rPr>
          <w:rStyle w:val="IntenseReference"/>
          <w:bCs w:val="0"/>
          <w:color w:val="auto"/>
          <w:lang w:val="en-US"/>
        </w:rPr>
        <w:t xml:space="preserve"> Surface areas south of the GBR marine park boundary (Hervey Bay) are not included.</w:t>
      </w:r>
    </w:p>
    <w:tbl>
      <w:tblPr>
        <w:tblStyle w:val="TableGrid1"/>
        <w:tblW w:w="8547" w:type="dxa"/>
        <w:tblLook w:val="04A0" w:firstRow="1" w:lastRow="0" w:firstColumn="1" w:lastColumn="0" w:noHBand="0" w:noVBand="1"/>
        <w:tblCaption w:val="Table 5 3: Areas (km2) and percentage (%) of the coral reefs exposed to different categories of surface river plume frequency and river plume-related risk within the GBR and each NRM region"/>
        <w:tblDescription w:val="Table showing areas (km2) and percentage (%) of the coral reefs exposed to different categories of surface river plume frequency and river plume-related risk within the GBR and each NRM region.  Surface areas south of the GBR marine park boundary (Hervey Bay) are not included."/>
      </w:tblPr>
      <w:tblGrid>
        <w:gridCol w:w="1380"/>
        <w:gridCol w:w="587"/>
        <w:gridCol w:w="880"/>
        <w:gridCol w:w="966"/>
        <w:gridCol w:w="966"/>
        <w:gridCol w:w="661"/>
        <w:gridCol w:w="547"/>
        <w:gridCol w:w="1280"/>
        <w:gridCol w:w="1280"/>
      </w:tblGrid>
      <w:tr w:rsidR="00B239E5" w:rsidRPr="007A4BC2" w14:paraId="63708601" w14:textId="77777777" w:rsidTr="006E77C1">
        <w:trPr>
          <w:trHeight w:val="315"/>
          <w:tblHeader/>
        </w:trPr>
        <w:tc>
          <w:tcPr>
            <w:tcW w:w="1967" w:type="dxa"/>
            <w:gridSpan w:val="2"/>
            <w:vMerge w:val="restart"/>
            <w:noWrap/>
            <w:hideMark/>
          </w:tcPr>
          <w:p w14:paraId="3CCDAA11" w14:textId="77777777" w:rsidR="00B239E5" w:rsidRPr="007A4BC2" w:rsidRDefault="00B239E5" w:rsidP="009C102D">
            <w:pPr>
              <w:spacing w:before="0" w:after="0"/>
              <w:jc w:val="center"/>
              <w:rPr>
                <w:rFonts w:cs="Arial"/>
                <w:b/>
                <w:bCs/>
                <w:color w:val="000000"/>
                <w:sz w:val="18"/>
                <w:szCs w:val="18"/>
                <w:lang w:val="en-AU"/>
              </w:rPr>
            </w:pPr>
            <w:r w:rsidRPr="007A4BC2">
              <w:rPr>
                <w:rFonts w:cs="Arial"/>
                <w:b/>
                <w:bCs/>
                <w:color w:val="000000"/>
                <w:sz w:val="18"/>
                <w:szCs w:val="18"/>
                <w:lang w:val="en-AU"/>
              </w:rPr>
              <w:t>Coral reefs</w:t>
            </w:r>
          </w:p>
        </w:tc>
        <w:tc>
          <w:tcPr>
            <w:tcW w:w="880" w:type="dxa"/>
            <w:vMerge w:val="restart"/>
            <w:noWrap/>
            <w:hideMark/>
          </w:tcPr>
          <w:p w14:paraId="39022DB6" w14:textId="1F9C3057" w:rsidR="00B239E5" w:rsidRPr="007A4BC2" w:rsidRDefault="00B239E5" w:rsidP="009C102D">
            <w:pPr>
              <w:spacing w:before="0" w:after="0"/>
              <w:jc w:val="center"/>
              <w:rPr>
                <w:rFonts w:cs="Arial"/>
                <w:b/>
                <w:bCs/>
                <w:color w:val="000000"/>
                <w:sz w:val="18"/>
                <w:szCs w:val="18"/>
                <w:lang w:val="en-AU"/>
              </w:rPr>
            </w:pPr>
            <w:r w:rsidRPr="007A4BC2">
              <w:rPr>
                <w:rFonts w:cs="Arial"/>
                <w:b/>
                <w:bCs/>
                <w:color w:val="000000"/>
                <w:sz w:val="18"/>
                <w:szCs w:val="18"/>
                <w:lang w:val="en-AU"/>
              </w:rPr>
              <w:t>Tot</w:t>
            </w:r>
            <w:r w:rsidR="006E77C1">
              <w:rPr>
                <w:rFonts w:cs="Arial"/>
                <w:b/>
                <w:bCs/>
                <w:color w:val="000000"/>
                <w:sz w:val="18"/>
                <w:szCs w:val="18"/>
                <w:lang w:val="en-AU"/>
              </w:rPr>
              <w:t>a</w:t>
            </w:r>
            <w:r w:rsidR="004A61EF">
              <w:rPr>
                <w:rFonts w:cs="Arial"/>
                <w:b/>
                <w:bCs/>
                <w:color w:val="000000"/>
                <w:sz w:val="18"/>
                <w:szCs w:val="18"/>
                <w:lang w:val="en-AU"/>
              </w:rPr>
              <w:t>l</w:t>
            </w:r>
          </w:p>
        </w:tc>
        <w:tc>
          <w:tcPr>
            <w:tcW w:w="3140" w:type="dxa"/>
            <w:gridSpan w:val="4"/>
            <w:noWrap/>
            <w:hideMark/>
          </w:tcPr>
          <w:p w14:paraId="23A0694C" w14:textId="77777777" w:rsidR="00B239E5" w:rsidRPr="007A4BC2" w:rsidRDefault="00B239E5" w:rsidP="009C102D">
            <w:pPr>
              <w:spacing w:before="0" w:after="0"/>
              <w:jc w:val="center"/>
              <w:rPr>
                <w:rFonts w:cs="Arial"/>
                <w:b/>
                <w:bCs/>
                <w:color w:val="000000"/>
                <w:sz w:val="18"/>
                <w:szCs w:val="18"/>
                <w:lang w:val="en-AU"/>
              </w:rPr>
            </w:pPr>
            <w:r w:rsidRPr="007A4BC2">
              <w:rPr>
                <w:rFonts w:cs="Arial"/>
                <w:b/>
                <w:bCs/>
                <w:color w:val="000000"/>
                <w:sz w:val="18"/>
                <w:szCs w:val="18"/>
                <w:lang w:val="en-AU"/>
              </w:rPr>
              <w:t>Risk category</w:t>
            </w:r>
          </w:p>
        </w:tc>
        <w:tc>
          <w:tcPr>
            <w:tcW w:w="1280" w:type="dxa"/>
            <w:vMerge w:val="restart"/>
            <w:hideMark/>
          </w:tcPr>
          <w:p w14:paraId="5BF45BB4" w14:textId="03D6483C" w:rsidR="00B239E5" w:rsidRPr="007A4BC2" w:rsidRDefault="00B239E5" w:rsidP="009C102D">
            <w:pPr>
              <w:spacing w:before="0" w:after="0"/>
              <w:jc w:val="center"/>
              <w:rPr>
                <w:rFonts w:cs="Arial"/>
                <w:b/>
                <w:bCs/>
                <w:color w:val="000000"/>
                <w:sz w:val="18"/>
                <w:szCs w:val="18"/>
                <w:lang w:val="en-AU"/>
              </w:rPr>
            </w:pPr>
            <w:r w:rsidRPr="00B239E5">
              <w:rPr>
                <w:rFonts w:cs="Arial"/>
                <w:b/>
                <w:bCs/>
                <w:color w:val="000000"/>
                <w:sz w:val="18"/>
                <w:szCs w:val="18"/>
                <w:lang w:val="en-AU"/>
              </w:rPr>
              <w:t>Total</w:t>
            </w:r>
            <w:r w:rsidRPr="002615B8">
              <w:rPr>
                <w:rFonts w:cs="Arial"/>
                <w:b/>
                <w:bCs/>
                <w:color w:val="000000"/>
                <w:sz w:val="18"/>
                <w:szCs w:val="18"/>
                <w:lang w:val="en-AU"/>
              </w:rPr>
              <w:t xml:space="preserve"> exposed</w:t>
            </w:r>
          </w:p>
        </w:tc>
        <w:tc>
          <w:tcPr>
            <w:tcW w:w="1280" w:type="dxa"/>
            <w:vMerge w:val="restart"/>
            <w:hideMark/>
          </w:tcPr>
          <w:p w14:paraId="486EF317" w14:textId="4E9DCF9B" w:rsidR="00B239E5" w:rsidRPr="007A4BC2" w:rsidRDefault="00B239E5" w:rsidP="009C102D">
            <w:pPr>
              <w:spacing w:before="0" w:after="0"/>
              <w:jc w:val="center"/>
              <w:rPr>
                <w:rFonts w:cs="Arial"/>
                <w:b/>
                <w:bCs/>
                <w:color w:val="000000"/>
                <w:sz w:val="18"/>
                <w:szCs w:val="18"/>
                <w:lang w:val="en-AU"/>
              </w:rPr>
            </w:pPr>
            <w:r w:rsidRPr="00B239E5">
              <w:rPr>
                <w:rFonts w:cs="Arial"/>
                <w:b/>
                <w:bCs/>
                <w:color w:val="000000"/>
                <w:sz w:val="18"/>
                <w:szCs w:val="18"/>
                <w:lang w:val="en-AU"/>
              </w:rPr>
              <w:t>Total</w:t>
            </w:r>
            <w:r w:rsidRPr="002615B8">
              <w:rPr>
                <w:rFonts w:cs="Arial"/>
                <w:b/>
                <w:bCs/>
                <w:color w:val="000000"/>
                <w:sz w:val="18"/>
                <w:szCs w:val="18"/>
                <w:lang w:val="en-AU"/>
              </w:rPr>
              <w:t xml:space="preserve"> non exposed</w:t>
            </w:r>
          </w:p>
        </w:tc>
      </w:tr>
      <w:tr w:rsidR="007A4BC2" w:rsidRPr="007A4BC2" w14:paraId="2342C0BF" w14:textId="77777777" w:rsidTr="006E77C1">
        <w:trPr>
          <w:trHeight w:val="140"/>
          <w:tblHeader/>
        </w:trPr>
        <w:tc>
          <w:tcPr>
            <w:tcW w:w="1967" w:type="dxa"/>
            <w:gridSpan w:val="2"/>
            <w:vMerge/>
            <w:hideMark/>
          </w:tcPr>
          <w:p w14:paraId="6ED1CD98" w14:textId="77777777" w:rsidR="007A4BC2" w:rsidRPr="007A4BC2" w:rsidRDefault="007A4BC2" w:rsidP="009C102D">
            <w:pPr>
              <w:spacing w:before="0" w:after="0"/>
              <w:rPr>
                <w:rFonts w:cs="Arial"/>
                <w:b/>
                <w:bCs/>
                <w:color w:val="000000"/>
                <w:sz w:val="18"/>
                <w:szCs w:val="18"/>
                <w:lang w:val="en-AU"/>
              </w:rPr>
            </w:pPr>
          </w:p>
        </w:tc>
        <w:tc>
          <w:tcPr>
            <w:tcW w:w="880" w:type="dxa"/>
            <w:vMerge/>
            <w:hideMark/>
          </w:tcPr>
          <w:p w14:paraId="01C93C61" w14:textId="77777777" w:rsidR="007A4BC2" w:rsidRPr="007A4BC2" w:rsidRDefault="007A4BC2" w:rsidP="009C102D">
            <w:pPr>
              <w:spacing w:before="0" w:after="0"/>
              <w:rPr>
                <w:rFonts w:cs="Arial"/>
                <w:b/>
                <w:bCs/>
                <w:color w:val="000000"/>
                <w:sz w:val="18"/>
                <w:szCs w:val="18"/>
                <w:lang w:val="en-AU"/>
              </w:rPr>
            </w:pPr>
          </w:p>
        </w:tc>
        <w:tc>
          <w:tcPr>
            <w:tcW w:w="966" w:type="dxa"/>
            <w:shd w:val="clear" w:color="auto" w:fill="0070C0"/>
            <w:noWrap/>
            <w:hideMark/>
          </w:tcPr>
          <w:p w14:paraId="201E07F8" w14:textId="77777777" w:rsidR="007A4BC2" w:rsidRPr="007A4BC2" w:rsidRDefault="007A4BC2" w:rsidP="009C102D">
            <w:pPr>
              <w:spacing w:before="0" w:after="0"/>
              <w:jc w:val="center"/>
              <w:rPr>
                <w:rFonts w:cs="Arial"/>
                <w:b/>
                <w:bCs/>
                <w:color w:val="FFFFFF"/>
                <w:sz w:val="18"/>
                <w:szCs w:val="18"/>
                <w:lang w:val="en-AU"/>
              </w:rPr>
            </w:pPr>
            <w:r w:rsidRPr="007A4BC2">
              <w:rPr>
                <w:rFonts w:cs="Arial"/>
                <w:b/>
                <w:bCs/>
                <w:color w:val="FFFFFF"/>
                <w:sz w:val="18"/>
                <w:szCs w:val="18"/>
                <w:lang w:val="en-AU"/>
              </w:rPr>
              <w:t>I</w:t>
            </w:r>
          </w:p>
        </w:tc>
        <w:tc>
          <w:tcPr>
            <w:tcW w:w="966" w:type="dxa"/>
            <w:shd w:val="clear" w:color="auto" w:fill="00B050"/>
            <w:noWrap/>
            <w:hideMark/>
          </w:tcPr>
          <w:p w14:paraId="3B246773" w14:textId="77777777" w:rsidR="007A4BC2" w:rsidRPr="007A4BC2" w:rsidRDefault="007A4BC2" w:rsidP="009C102D">
            <w:pPr>
              <w:spacing w:before="0" w:after="0"/>
              <w:jc w:val="center"/>
              <w:rPr>
                <w:rFonts w:cs="Arial"/>
                <w:b/>
                <w:bCs/>
                <w:color w:val="FFFFFF"/>
                <w:sz w:val="18"/>
                <w:szCs w:val="18"/>
                <w:lang w:val="en-AU"/>
              </w:rPr>
            </w:pPr>
            <w:r w:rsidRPr="007A4BC2">
              <w:rPr>
                <w:rFonts w:cs="Arial"/>
                <w:b/>
                <w:bCs/>
                <w:color w:val="FFFFFF"/>
                <w:sz w:val="18"/>
                <w:szCs w:val="18"/>
                <w:lang w:val="en-AU"/>
              </w:rPr>
              <w:t>II</w:t>
            </w:r>
          </w:p>
        </w:tc>
        <w:tc>
          <w:tcPr>
            <w:tcW w:w="661" w:type="dxa"/>
            <w:shd w:val="clear" w:color="auto" w:fill="FF0000"/>
            <w:noWrap/>
            <w:hideMark/>
          </w:tcPr>
          <w:p w14:paraId="7EA173A6" w14:textId="77777777" w:rsidR="007A4BC2" w:rsidRPr="007A4BC2" w:rsidRDefault="007A4BC2" w:rsidP="009C102D">
            <w:pPr>
              <w:spacing w:before="0" w:after="0"/>
              <w:jc w:val="center"/>
              <w:rPr>
                <w:rFonts w:cs="Arial"/>
                <w:b/>
                <w:bCs/>
                <w:color w:val="FFFFFF"/>
                <w:sz w:val="18"/>
                <w:szCs w:val="18"/>
                <w:lang w:val="en-AU"/>
              </w:rPr>
            </w:pPr>
            <w:r w:rsidRPr="007A4BC2">
              <w:rPr>
                <w:rFonts w:cs="Arial"/>
                <w:b/>
                <w:bCs/>
                <w:color w:val="FFFFFF"/>
                <w:sz w:val="18"/>
                <w:szCs w:val="18"/>
                <w:lang w:val="en-AU"/>
              </w:rPr>
              <w:t>III</w:t>
            </w:r>
          </w:p>
        </w:tc>
        <w:tc>
          <w:tcPr>
            <w:tcW w:w="547" w:type="dxa"/>
            <w:shd w:val="clear" w:color="auto" w:fill="C00000"/>
            <w:noWrap/>
            <w:hideMark/>
          </w:tcPr>
          <w:p w14:paraId="12DEB572" w14:textId="77777777" w:rsidR="007A4BC2" w:rsidRPr="007A4BC2" w:rsidRDefault="007A4BC2" w:rsidP="009C102D">
            <w:pPr>
              <w:spacing w:before="0" w:after="0"/>
              <w:jc w:val="center"/>
              <w:rPr>
                <w:rFonts w:cs="Arial"/>
                <w:b/>
                <w:bCs/>
                <w:color w:val="FFFFFF"/>
                <w:sz w:val="18"/>
                <w:szCs w:val="18"/>
                <w:lang w:val="en-AU"/>
              </w:rPr>
            </w:pPr>
            <w:r w:rsidRPr="007A4BC2">
              <w:rPr>
                <w:rFonts w:cs="Arial"/>
                <w:b/>
                <w:bCs/>
                <w:color w:val="FFFFFF"/>
                <w:sz w:val="18"/>
                <w:szCs w:val="18"/>
                <w:lang w:val="en-AU"/>
              </w:rPr>
              <w:t>IV</w:t>
            </w:r>
          </w:p>
        </w:tc>
        <w:tc>
          <w:tcPr>
            <w:tcW w:w="1280" w:type="dxa"/>
            <w:vMerge/>
            <w:hideMark/>
          </w:tcPr>
          <w:p w14:paraId="04E39FEC" w14:textId="77777777" w:rsidR="007A4BC2" w:rsidRPr="007A4BC2" w:rsidRDefault="007A4BC2" w:rsidP="009C102D">
            <w:pPr>
              <w:spacing w:before="0" w:after="0"/>
              <w:rPr>
                <w:rFonts w:cs="Arial"/>
                <w:b/>
                <w:bCs/>
                <w:color w:val="000000"/>
                <w:sz w:val="18"/>
                <w:szCs w:val="18"/>
                <w:lang w:val="en-AU"/>
              </w:rPr>
            </w:pPr>
          </w:p>
        </w:tc>
        <w:tc>
          <w:tcPr>
            <w:tcW w:w="1280" w:type="dxa"/>
            <w:vMerge/>
            <w:hideMark/>
          </w:tcPr>
          <w:p w14:paraId="2B7ADB7B" w14:textId="77777777" w:rsidR="007A4BC2" w:rsidRPr="007A4BC2" w:rsidRDefault="007A4BC2" w:rsidP="009C102D">
            <w:pPr>
              <w:spacing w:before="0" w:after="0"/>
              <w:rPr>
                <w:rFonts w:cs="Arial"/>
                <w:b/>
                <w:bCs/>
                <w:color w:val="000000"/>
                <w:sz w:val="18"/>
                <w:szCs w:val="18"/>
                <w:lang w:val="en-AU"/>
              </w:rPr>
            </w:pPr>
          </w:p>
        </w:tc>
      </w:tr>
      <w:tr w:rsidR="007A4BC2" w:rsidRPr="007A4BC2" w14:paraId="7A3B10CC" w14:textId="77777777" w:rsidTr="004A5BF7">
        <w:trPr>
          <w:trHeight w:val="315"/>
        </w:trPr>
        <w:tc>
          <w:tcPr>
            <w:tcW w:w="1380" w:type="dxa"/>
            <w:vMerge w:val="restart"/>
            <w:noWrap/>
            <w:vAlign w:val="center"/>
            <w:hideMark/>
          </w:tcPr>
          <w:p w14:paraId="52E928AA" w14:textId="77777777" w:rsidR="007A4BC2" w:rsidRPr="007A4BC2" w:rsidRDefault="007A4BC2" w:rsidP="004A5BF7">
            <w:pPr>
              <w:spacing w:before="0" w:after="0"/>
              <w:jc w:val="left"/>
              <w:rPr>
                <w:rFonts w:cs="Arial"/>
                <w:b/>
                <w:bCs/>
                <w:color w:val="000000"/>
                <w:sz w:val="18"/>
                <w:szCs w:val="18"/>
                <w:lang w:val="en-AU"/>
              </w:rPr>
            </w:pPr>
            <w:r w:rsidRPr="007A4BC2">
              <w:rPr>
                <w:rFonts w:cs="Arial"/>
                <w:b/>
                <w:bCs/>
                <w:color w:val="000000"/>
                <w:sz w:val="18"/>
                <w:szCs w:val="18"/>
                <w:lang w:val="en-AU"/>
              </w:rPr>
              <w:t>GBR</w:t>
            </w:r>
          </w:p>
        </w:tc>
        <w:tc>
          <w:tcPr>
            <w:tcW w:w="587" w:type="dxa"/>
            <w:noWrap/>
            <w:vAlign w:val="center"/>
            <w:hideMark/>
          </w:tcPr>
          <w:p w14:paraId="55C9F452" w14:textId="77777777" w:rsidR="007A4BC2" w:rsidRPr="007A4BC2" w:rsidRDefault="007A4BC2" w:rsidP="00B239E5">
            <w:pPr>
              <w:spacing w:before="0" w:after="0"/>
              <w:jc w:val="center"/>
              <w:rPr>
                <w:rFonts w:cs="Arial"/>
                <w:b/>
                <w:bCs/>
                <w:color w:val="000000"/>
                <w:sz w:val="18"/>
                <w:szCs w:val="18"/>
                <w:lang w:val="en-AU"/>
              </w:rPr>
            </w:pPr>
            <w:r w:rsidRPr="007A4BC2">
              <w:rPr>
                <w:rFonts w:cs="Arial"/>
                <w:b/>
                <w:bCs/>
                <w:color w:val="000000"/>
                <w:sz w:val="18"/>
                <w:szCs w:val="18"/>
                <w:lang w:val="en-AU"/>
              </w:rPr>
              <w:t>area</w:t>
            </w:r>
          </w:p>
        </w:tc>
        <w:tc>
          <w:tcPr>
            <w:tcW w:w="880" w:type="dxa"/>
            <w:noWrap/>
            <w:vAlign w:val="center"/>
            <w:hideMark/>
          </w:tcPr>
          <w:p w14:paraId="3FAEE394" w14:textId="77777777" w:rsidR="007A4BC2" w:rsidRPr="007A4BC2" w:rsidRDefault="007A4BC2" w:rsidP="00B239E5">
            <w:pPr>
              <w:spacing w:before="0" w:after="0"/>
              <w:jc w:val="center"/>
              <w:rPr>
                <w:rFonts w:cs="Arial"/>
                <w:b/>
                <w:bCs/>
                <w:color w:val="000000"/>
                <w:sz w:val="18"/>
                <w:szCs w:val="18"/>
                <w:lang w:val="en-AU"/>
              </w:rPr>
            </w:pPr>
            <w:r w:rsidRPr="007A4BC2">
              <w:rPr>
                <w:rFonts w:cs="Arial"/>
                <w:b/>
                <w:bCs/>
                <w:color w:val="000000"/>
                <w:sz w:val="18"/>
                <w:szCs w:val="18"/>
                <w:lang w:val="en-AU"/>
              </w:rPr>
              <w:t>24,075</w:t>
            </w:r>
          </w:p>
        </w:tc>
        <w:tc>
          <w:tcPr>
            <w:tcW w:w="966" w:type="dxa"/>
            <w:noWrap/>
            <w:vAlign w:val="center"/>
            <w:hideMark/>
          </w:tcPr>
          <w:p w14:paraId="335D6CEC" w14:textId="77777777" w:rsidR="007A4BC2" w:rsidRPr="007A4BC2" w:rsidRDefault="007A4BC2" w:rsidP="00B239E5">
            <w:pPr>
              <w:spacing w:before="0" w:after="0"/>
              <w:jc w:val="center"/>
              <w:rPr>
                <w:rFonts w:cs="Arial"/>
                <w:b/>
                <w:bCs/>
                <w:color w:val="000000"/>
                <w:sz w:val="18"/>
                <w:szCs w:val="18"/>
                <w:lang w:val="en-AU"/>
              </w:rPr>
            </w:pPr>
            <w:r w:rsidRPr="007A4BC2">
              <w:rPr>
                <w:rFonts w:cs="Arial"/>
                <w:b/>
                <w:bCs/>
                <w:color w:val="000000"/>
                <w:sz w:val="18"/>
                <w:szCs w:val="18"/>
                <w:lang w:val="en-AU"/>
              </w:rPr>
              <w:t>9,769</w:t>
            </w:r>
          </w:p>
        </w:tc>
        <w:tc>
          <w:tcPr>
            <w:tcW w:w="966" w:type="dxa"/>
            <w:noWrap/>
            <w:vAlign w:val="center"/>
            <w:hideMark/>
          </w:tcPr>
          <w:p w14:paraId="22287081" w14:textId="77777777" w:rsidR="007A4BC2" w:rsidRPr="007A4BC2" w:rsidRDefault="007A4BC2" w:rsidP="00B239E5">
            <w:pPr>
              <w:spacing w:before="0" w:after="0"/>
              <w:jc w:val="center"/>
              <w:rPr>
                <w:rFonts w:cs="Arial"/>
                <w:b/>
                <w:bCs/>
                <w:color w:val="000000"/>
                <w:sz w:val="18"/>
                <w:szCs w:val="18"/>
                <w:lang w:val="en-AU"/>
              </w:rPr>
            </w:pPr>
            <w:r w:rsidRPr="007A4BC2">
              <w:rPr>
                <w:rFonts w:cs="Arial"/>
                <w:b/>
                <w:bCs/>
                <w:color w:val="000000"/>
                <w:sz w:val="18"/>
                <w:szCs w:val="18"/>
                <w:lang w:val="en-AU"/>
              </w:rPr>
              <w:t>4,594</w:t>
            </w:r>
          </w:p>
        </w:tc>
        <w:tc>
          <w:tcPr>
            <w:tcW w:w="661" w:type="dxa"/>
            <w:noWrap/>
            <w:vAlign w:val="center"/>
            <w:hideMark/>
          </w:tcPr>
          <w:p w14:paraId="0470C561" w14:textId="77777777" w:rsidR="007A4BC2" w:rsidRPr="007A4BC2" w:rsidRDefault="007A4BC2" w:rsidP="00B239E5">
            <w:pPr>
              <w:spacing w:before="0" w:after="0"/>
              <w:jc w:val="center"/>
              <w:rPr>
                <w:rFonts w:cs="Arial"/>
                <w:b/>
                <w:bCs/>
                <w:color w:val="000000"/>
                <w:sz w:val="18"/>
                <w:szCs w:val="18"/>
                <w:lang w:val="en-AU"/>
              </w:rPr>
            </w:pPr>
            <w:r w:rsidRPr="007A4BC2">
              <w:rPr>
                <w:rFonts w:cs="Arial"/>
                <w:b/>
                <w:bCs/>
                <w:color w:val="000000"/>
                <w:sz w:val="18"/>
                <w:szCs w:val="18"/>
                <w:lang w:val="en-AU"/>
              </w:rPr>
              <w:t>416</w:t>
            </w:r>
          </w:p>
        </w:tc>
        <w:tc>
          <w:tcPr>
            <w:tcW w:w="547" w:type="dxa"/>
            <w:noWrap/>
            <w:vAlign w:val="center"/>
            <w:hideMark/>
          </w:tcPr>
          <w:p w14:paraId="7550DCC6" w14:textId="77777777" w:rsidR="007A4BC2" w:rsidRPr="007A4BC2" w:rsidRDefault="007A4BC2" w:rsidP="00B239E5">
            <w:pPr>
              <w:spacing w:before="0" w:after="0"/>
              <w:jc w:val="center"/>
              <w:rPr>
                <w:rFonts w:cs="Arial"/>
                <w:b/>
                <w:bCs/>
                <w:color w:val="000000"/>
                <w:sz w:val="18"/>
                <w:szCs w:val="18"/>
                <w:lang w:val="en-AU"/>
              </w:rPr>
            </w:pPr>
            <w:r w:rsidRPr="007A4BC2">
              <w:rPr>
                <w:rFonts w:cs="Arial"/>
                <w:b/>
                <w:bCs/>
                <w:color w:val="000000"/>
                <w:sz w:val="18"/>
                <w:szCs w:val="18"/>
                <w:lang w:val="en-AU"/>
              </w:rPr>
              <w:t>34</w:t>
            </w:r>
          </w:p>
        </w:tc>
        <w:tc>
          <w:tcPr>
            <w:tcW w:w="1280" w:type="dxa"/>
            <w:noWrap/>
            <w:vAlign w:val="center"/>
            <w:hideMark/>
          </w:tcPr>
          <w:p w14:paraId="3A327D29" w14:textId="77777777" w:rsidR="007A4BC2" w:rsidRPr="007A4BC2" w:rsidRDefault="007A4BC2" w:rsidP="00B239E5">
            <w:pPr>
              <w:spacing w:before="0" w:after="0"/>
              <w:jc w:val="center"/>
              <w:rPr>
                <w:rFonts w:cs="Arial"/>
                <w:b/>
                <w:bCs/>
                <w:color w:val="000000"/>
                <w:sz w:val="18"/>
                <w:szCs w:val="18"/>
                <w:lang w:val="en-AU"/>
              </w:rPr>
            </w:pPr>
            <w:r w:rsidRPr="007A4BC2">
              <w:rPr>
                <w:rFonts w:cs="Arial"/>
                <w:b/>
                <w:bCs/>
                <w:color w:val="000000"/>
                <w:sz w:val="18"/>
                <w:szCs w:val="18"/>
                <w:lang w:val="en-AU"/>
              </w:rPr>
              <w:t>14,813</w:t>
            </w:r>
          </w:p>
        </w:tc>
        <w:tc>
          <w:tcPr>
            <w:tcW w:w="1280" w:type="dxa"/>
            <w:noWrap/>
            <w:vAlign w:val="center"/>
            <w:hideMark/>
          </w:tcPr>
          <w:p w14:paraId="3DF850A8" w14:textId="77777777" w:rsidR="007A4BC2" w:rsidRPr="007A4BC2" w:rsidRDefault="007A4BC2" w:rsidP="00B239E5">
            <w:pPr>
              <w:spacing w:before="0" w:after="0"/>
              <w:jc w:val="center"/>
              <w:rPr>
                <w:rFonts w:cs="Arial"/>
                <w:b/>
                <w:bCs/>
                <w:color w:val="000000"/>
                <w:sz w:val="18"/>
                <w:szCs w:val="18"/>
                <w:lang w:val="en-AU"/>
              </w:rPr>
            </w:pPr>
            <w:r w:rsidRPr="007A4BC2">
              <w:rPr>
                <w:rFonts w:cs="Arial"/>
                <w:b/>
                <w:bCs/>
                <w:color w:val="000000"/>
                <w:sz w:val="18"/>
                <w:szCs w:val="18"/>
                <w:lang w:val="en-AU"/>
              </w:rPr>
              <w:t>9,262</w:t>
            </w:r>
          </w:p>
        </w:tc>
      </w:tr>
      <w:tr w:rsidR="007A4BC2" w:rsidRPr="007A4BC2" w14:paraId="441B159A" w14:textId="77777777" w:rsidTr="004A5BF7">
        <w:trPr>
          <w:trHeight w:val="315"/>
        </w:trPr>
        <w:tc>
          <w:tcPr>
            <w:tcW w:w="1380" w:type="dxa"/>
            <w:vMerge/>
            <w:vAlign w:val="center"/>
            <w:hideMark/>
          </w:tcPr>
          <w:p w14:paraId="47006529" w14:textId="77777777" w:rsidR="007A4BC2" w:rsidRPr="007A4BC2" w:rsidRDefault="007A4BC2" w:rsidP="004A5BF7">
            <w:pPr>
              <w:spacing w:before="0" w:after="0"/>
              <w:jc w:val="left"/>
              <w:rPr>
                <w:rFonts w:cs="Arial"/>
                <w:b/>
                <w:bCs/>
                <w:color w:val="000000"/>
                <w:sz w:val="18"/>
                <w:szCs w:val="18"/>
                <w:lang w:val="en-AU"/>
              </w:rPr>
            </w:pPr>
          </w:p>
        </w:tc>
        <w:tc>
          <w:tcPr>
            <w:tcW w:w="587" w:type="dxa"/>
            <w:noWrap/>
            <w:vAlign w:val="center"/>
            <w:hideMark/>
          </w:tcPr>
          <w:p w14:paraId="7535A3E4" w14:textId="77777777" w:rsidR="007A4BC2" w:rsidRPr="007A4BC2" w:rsidRDefault="007A4BC2" w:rsidP="00B239E5">
            <w:pPr>
              <w:spacing w:before="0" w:after="0"/>
              <w:jc w:val="center"/>
              <w:rPr>
                <w:rFonts w:cs="Arial"/>
                <w:b/>
                <w:bCs/>
                <w:i/>
                <w:iCs/>
                <w:color w:val="000000"/>
                <w:sz w:val="18"/>
                <w:szCs w:val="18"/>
                <w:lang w:val="en-AU"/>
              </w:rPr>
            </w:pPr>
            <w:r w:rsidRPr="007A4BC2">
              <w:rPr>
                <w:rFonts w:cs="Arial"/>
                <w:b/>
                <w:bCs/>
                <w:i/>
                <w:iCs/>
                <w:color w:val="000000"/>
                <w:sz w:val="18"/>
                <w:szCs w:val="18"/>
                <w:lang w:val="en-AU"/>
              </w:rPr>
              <w:t>%</w:t>
            </w:r>
          </w:p>
        </w:tc>
        <w:tc>
          <w:tcPr>
            <w:tcW w:w="880" w:type="dxa"/>
            <w:noWrap/>
            <w:vAlign w:val="center"/>
            <w:hideMark/>
          </w:tcPr>
          <w:p w14:paraId="25DD6567" w14:textId="77777777" w:rsidR="007A4BC2" w:rsidRPr="007A4BC2" w:rsidRDefault="007A4BC2" w:rsidP="00B239E5">
            <w:pPr>
              <w:spacing w:before="0" w:after="0"/>
              <w:jc w:val="center"/>
              <w:rPr>
                <w:rFonts w:cs="Arial"/>
                <w:b/>
                <w:bCs/>
                <w:i/>
                <w:iCs/>
                <w:color w:val="000000"/>
                <w:sz w:val="18"/>
                <w:szCs w:val="18"/>
                <w:lang w:val="en-AU"/>
              </w:rPr>
            </w:pPr>
            <w:r w:rsidRPr="007A4BC2">
              <w:rPr>
                <w:rFonts w:cs="Arial"/>
                <w:b/>
                <w:bCs/>
                <w:i/>
                <w:iCs/>
                <w:color w:val="000000"/>
                <w:sz w:val="18"/>
                <w:szCs w:val="18"/>
                <w:lang w:val="en-AU"/>
              </w:rPr>
              <w:t>100%</w:t>
            </w:r>
          </w:p>
        </w:tc>
        <w:tc>
          <w:tcPr>
            <w:tcW w:w="966" w:type="dxa"/>
            <w:noWrap/>
            <w:vAlign w:val="center"/>
            <w:hideMark/>
          </w:tcPr>
          <w:p w14:paraId="3987F8C2"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41%</w:t>
            </w:r>
          </w:p>
        </w:tc>
        <w:tc>
          <w:tcPr>
            <w:tcW w:w="966" w:type="dxa"/>
            <w:noWrap/>
            <w:vAlign w:val="center"/>
            <w:hideMark/>
          </w:tcPr>
          <w:p w14:paraId="305F0A3C"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19%</w:t>
            </w:r>
          </w:p>
        </w:tc>
        <w:tc>
          <w:tcPr>
            <w:tcW w:w="661" w:type="dxa"/>
            <w:noWrap/>
            <w:vAlign w:val="center"/>
            <w:hideMark/>
          </w:tcPr>
          <w:p w14:paraId="49187EE1"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2%</w:t>
            </w:r>
          </w:p>
        </w:tc>
        <w:tc>
          <w:tcPr>
            <w:tcW w:w="547" w:type="dxa"/>
            <w:noWrap/>
            <w:vAlign w:val="center"/>
            <w:hideMark/>
          </w:tcPr>
          <w:p w14:paraId="4BC86AD5"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0%</w:t>
            </w:r>
          </w:p>
        </w:tc>
        <w:tc>
          <w:tcPr>
            <w:tcW w:w="1280" w:type="dxa"/>
            <w:noWrap/>
            <w:vAlign w:val="center"/>
            <w:hideMark/>
          </w:tcPr>
          <w:p w14:paraId="62B75933" w14:textId="77777777" w:rsidR="007A4BC2" w:rsidRPr="007A4BC2" w:rsidRDefault="007A4BC2" w:rsidP="00B239E5">
            <w:pPr>
              <w:spacing w:before="0" w:after="0"/>
              <w:jc w:val="center"/>
              <w:rPr>
                <w:rFonts w:cs="Arial"/>
                <w:b/>
                <w:bCs/>
                <w:i/>
                <w:iCs/>
                <w:color w:val="000000"/>
                <w:sz w:val="18"/>
                <w:szCs w:val="18"/>
                <w:lang w:val="en-AU"/>
              </w:rPr>
            </w:pPr>
            <w:r w:rsidRPr="007A4BC2">
              <w:rPr>
                <w:rFonts w:cs="Arial"/>
                <w:b/>
                <w:bCs/>
                <w:i/>
                <w:iCs/>
                <w:color w:val="000000"/>
                <w:sz w:val="18"/>
                <w:szCs w:val="18"/>
                <w:lang w:val="en-AU"/>
              </w:rPr>
              <w:t>62%</w:t>
            </w:r>
          </w:p>
        </w:tc>
        <w:tc>
          <w:tcPr>
            <w:tcW w:w="1280" w:type="dxa"/>
            <w:noWrap/>
            <w:vAlign w:val="center"/>
            <w:hideMark/>
          </w:tcPr>
          <w:p w14:paraId="2EE5E1FB" w14:textId="77777777" w:rsidR="007A4BC2" w:rsidRPr="007A4BC2" w:rsidRDefault="007A4BC2" w:rsidP="00B239E5">
            <w:pPr>
              <w:spacing w:before="0" w:after="0"/>
              <w:jc w:val="center"/>
              <w:rPr>
                <w:rFonts w:cs="Arial"/>
                <w:b/>
                <w:bCs/>
                <w:i/>
                <w:iCs/>
                <w:color w:val="000000"/>
                <w:sz w:val="18"/>
                <w:szCs w:val="18"/>
                <w:lang w:val="en-AU"/>
              </w:rPr>
            </w:pPr>
            <w:r w:rsidRPr="007A4BC2">
              <w:rPr>
                <w:rFonts w:cs="Arial"/>
                <w:b/>
                <w:bCs/>
                <w:i/>
                <w:iCs/>
                <w:color w:val="000000"/>
                <w:sz w:val="18"/>
                <w:szCs w:val="18"/>
                <w:lang w:val="en-AU"/>
              </w:rPr>
              <w:t>38%</w:t>
            </w:r>
          </w:p>
        </w:tc>
      </w:tr>
      <w:tr w:rsidR="007A4BC2" w:rsidRPr="007A4BC2" w14:paraId="19C3FB65" w14:textId="77777777" w:rsidTr="004A5BF7">
        <w:trPr>
          <w:trHeight w:val="315"/>
        </w:trPr>
        <w:tc>
          <w:tcPr>
            <w:tcW w:w="1380" w:type="dxa"/>
            <w:vMerge w:val="restart"/>
            <w:noWrap/>
            <w:vAlign w:val="center"/>
            <w:hideMark/>
          </w:tcPr>
          <w:p w14:paraId="5E18905B" w14:textId="77777777" w:rsidR="007A4BC2" w:rsidRPr="007A4BC2" w:rsidRDefault="007A4BC2" w:rsidP="004A5BF7">
            <w:pPr>
              <w:spacing w:before="0" w:after="0"/>
              <w:jc w:val="left"/>
              <w:rPr>
                <w:rFonts w:cs="Arial"/>
                <w:b/>
                <w:bCs/>
                <w:color w:val="000000"/>
                <w:sz w:val="18"/>
                <w:szCs w:val="18"/>
                <w:lang w:val="en-AU"/>
              </w:rPr>
            </w:pPr>
            <w:r w:rsidRPr="007A4BC2">
              <w:rPr>
                <w:rFonts w:cs="Arial"/>
                <w:b/>
                <w:bCs/>
                <w:color w:val="000000"/>
                <w:sz w:val="18"/>
                <w:szCs w:val="18"/>
                <w:lang w:val="en-AU"/>
              </w:rPr>
              <w:t>Cape York</w:t>
            </w:r>
          </w:p>
        </w:tc>
        <w:tc>
          <w:tcPr>
            <w:tcW w:w="587" w:type="dxa"/>
            <w:noWrap/>
            <w:vAlign w:val="center"/>
            <w:hideMark/>
          </w:tcPr>
          <w:p w14:paraId="6F66E3F9"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area</w:t>
            </w:r>
          </w:p>
        </w:tc>
        <w:tc>
          <w:tcPr>
            <w:tcW w:w="880" w:type="dxa"/>
            <w:noWrap/>
            <w:vAlign w:val="center"/>
            <w:hideMark/>
          </w:tcPr>
          <w:p w14:paraId="5944BD65"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10,332</w:t>
            </w:r>
          </w:p>
        </w:tc>
        <w:tc>
          <w:tcPr>
            <w:tcW w:w="966" w:type="dxa"/>
            <w:noWrap/>
            <w:vAlign w:val="center"/>
            <w:hideMark/>
          </w:tcPr>
          <w:p w14:paraId="3D22A1EF"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6,174</w:t>
            </w:r>
          </w:p>
        </w:tc>
        <w:tc>
          <w:tcPr>
            <w:tcW w:w="966" w:type="dxa"/>
            <w:noWrap/>
            <w:vAlign w:val="center"/>
            <w:hideMark/>
          </w:tcPr>
          <w:p w14:paraId="74AB2A48"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3,410</w:t>
            </w:r>
          </w:p>
        </w:tc>
        <w:tc>
          <w:tcPr>
            <w:tcW w:w="661" w:type="dxa"/>
            <w:noWrap/>
            <w:vAlign w:val="center"/>
            <w:hideMark/>
          </w:tcPr>
          <w:p w14:paraId="658211E7"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128</w:t>
            </w:r>
          </w:p>
        </w:tc>
        <w:tc>
          <w:tcPr>
            <w:tcW w:w="547" w:type="dxa"/>
            <w:noWrap/>
            <w:vAlign w:val="center"/>
            <w:hideMark/>
          </w:tcPr>
          <w:p w14:paraId="49F5AD99"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2</w:t>
            </w:r>
          </w:p>
        </w:tc>
        <w:tc>
          <w:tcPr>
            <w:tcW w:w="1280" w:type="dxa"/>
            <w:noWrap/>
            <w:vAlign w:val="center"/>
            <w:hideMark/>
          </w:tcPr>
          <w:p w14:paraId="7111A8E3" w14:textId="77777777" w:rsidR="007A4BC2" w:rsidRPr="007A4BC2" w:rsidRDefault="007A4BC2" w:rsidP="00B239E5">
            <w:pPr>
              <w:spacing w:before="0" w:after="0"/>
              <w:jc w:val="center"/>
              <w:rPr>
                <w:rFonts w:cs="Arial"/>
                <w:b/>
                <w:bCs/>
                <w:color w:val="000000"/>
                <w:sz w:val="18"/>
                <w:szCs w:val="18"/>
                <w:lang w:val="en-AU"/>
              </w:rPr>
            </w:pPr>
            <w:r w:rsidRPr="007A4BC2">
              <w:rPr>
                <w:rFonts w:cs="Arial"/>
                <w:b/>
                <w:bCs/>
                <w:color w:val="000000"/>
                <w:sz w:val="18"/>
                <w:szCs w:val="18"/>
                <w:lang w:val="en-AU"/>
              </w:rPr>
              <w:t>9,714</w:t>
            </w:r>
          </w:p>
        </w:tc>
        <w:tc>
          <w:tcPr>
            <w:tcW w:w="1280" w:type="dxa"/>
            <w:noWrap/>
            <w:vAlign w:val="center"/>
            <w:hideMark/>
          </w:tcPr>
          <w:p w14:paraId="4D88F24B" w14:textId="77777777" w:rsidR="007A4BC2" w:rsidRPr="007A4BC2" w:rsidRDefault="007A4BC2" w:rsidP="00B239E5">
            <w:pPr>
              <w:spacing w:before="0" w:after="0"/>
              <w:jc w:val="center"/>
              <w:rPr>
                <w:rFonts w:cs="Arial"/>
                <w:b/>
                <w:bCs/>
                <w:color w:val="000000"/>
                <w:sz w:val="18"/>
                <w:szCs w:val="18"/>
                <w:lang w:val="en-AU"/>
              </w:rPr>
            </w:pPr>
            <w:r w:rsidRPr="007A4BC2">
              <w:rPr>
                <w:rFonts w:cs="Arial"/>
                <w:b/>
                <w:bCs/>
                <w:color w:val="000000"/>
                <w:sz w:val="18"/>
                <w:szCs w:val="18"/>
                <w:lang w:val="en-AU"/>
              </w:rPr>
              <w:t>618</w:t>
            </w:r>
          </w:p>
        </w:tc>
      </w:tr>
      <w:tr w:rsidR="007A4BC2" w:rsidRPr="007A4BC2" w14:paraId="2873EC7D" w14:textId="77777777" w:rsidTr="004A5BF7">
        <w:trPr>
          <w:trHeight w:val="300"/>
        </w:trPr>
        <w:tc>
          <w:tcPr>
            <w:tcW w:w="1380" w:type="dxa"/>
            <w:vMerge/>
            <w:vAlign w:val="center"/>
            <w:hideMark/>
          </w:tcPr>
          <w:p w14:paraId="0E90047F" w14:textId="77777777" w:rsidR="007A4BC2" w:rsidRPr="007A4BC2" w:rsidRDefault="007A4BC2" w:rsidP="004A5BF7">
            <w:pPr>
              <w:spacing w:before="0" w:after="0"/>
              <w:jc w:val="left"/>
              <w:rPr>
                <w:rFonts w:cs="Arial"/>
                <w:b/>
                <w:bCs/>
                <w:color w:val="000000"/>
                <w:sz w:val="18"/>
                <w:szCs w:val="18"/>
                <w:lang w:val="en-AU"/>
              </w:rPr>
            </w:pPr>
          </w:p>
        </w:tc>
        <w:tc>
          <w:tcPr>
            <w:tcW w:w="587" w:type="dxa"/>
            <w:noWrap/>
            <w:vAlign w:val="center"/>
            <w:hideMark/>
          </w:tcPr>
          <w:p w14:paraId="46093575"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w:t>
            </w:r>
          </w:p>
        </w:tc>
        <w:tc>
          <w:tcPr>
            <w:tcW w:w="880" w:type="dxa"/>
            <w:noWrap/>
            <w:vAlign w:val="center"/>
            <w:hideMark/>
          </w:tcPr>
          <w:p w14:paraId="6A54A19E"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100%</w:t>
            </w:r>
          </w:p>
        </w:tc>
        <w:tc>
          <w:tcPr>
            <w:tcW w:w="966" w:type="dxa"/>
            <w:noWrap/>
            <w:vAlign w:val="center"/>
            <w:hideMark/>
          </w:tcPr>
          <w:p w14:paraId="4BC91B9D"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60%</w:t>
            </w:r>
          </w:p>
        </w:tc>
        <w:tc>
          <w:tcPr>
            <w:tcW w:w="966" w:type="dxa"/>
            <w:noWrap/>
            <w:vAlign w:val="center"/>
            <w:hideMark/>
          </w:tcPr>
          <w:p w14:paraId="7D35417B"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33%</w:t>
            </w:r>
          </w:p>
        </w:tc>
        <w:tc>
          <w:tcPr>
            <w:tcW w:w="661" w:type="dxa"/>
            <w:noWrap/>
            <w:vAlign w:val="center"/>
            <w:hideMark/>
          </w:tcPr>
          <w:p w14:paraId="7F1DF7A7"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1%</w:t>
            </w:r>
          </w:p>
        </w:tc>
        <w:tc>
          <w:tcPr>
            <w:tcW w:w="547" w:type="dxa"/>
            <w:noWrap/>
            <w:vAlign w:val="center"/>
            <w:hideMark/>
          </w:tcPr>
          <w:p w14:paraId="3BB2B821"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0%</w:t>
            </w:r>
          </w:p>
        </w:tc>
        <w:tc>
          <w:tcPr>
            <w:tcW w:w="1280" w:type="dxa"/>
            <w:noWrap/>
            <w:vAlign w:val="center"/>
            <w:hideMark/>
          </w:tcPr>
          <w:p w14:paraId="524EAA92" w14:textId="77777777" w:rsidR="007A4BC2" w:rsidRPr="007A4BC2" w:rsidRDefault="007A4BC2" w:rsidP="00B239E5">
            <w:pPr>
              <w:spacing w:before="0" w:after="0"/>
              <w:jc w:val="center"/>
              <w:rPr>
                <w:rFonts w:cs="Arial"/>
                <w:b/>
                <w:bCs/>
                <w:i/>
                <w:iCs/>
                <w:color w:val="000000"/>
                <w:sz w:val="18"/>
                <w:szCs w:val="18"/>
                <w:lang w:val="en-AU"/>
              </w:rPr>
            </w:pPr>
            <w:r w:rsidRPr="007A4BC2">
              <w:rPr>
                <w:rFonts w:cs="Arial"/>
                <w:b/>
                <w:bCs/>
                <w:i/>
                <w:iCs/>
                <w:color w:val="000000"/>
                <w:sz w:val="18"/>
                <w:szCs w:val="18"/>
                <w:lang w:val="en-AU"/>
              </w:rPr>
              <w:t>94%</w:t>
            </w:r>
          </w:p>
        </w:tc>
        <w:tc>
          <w:tcPr>
            <w:tcW w:w="1280" w:type="dxa"/>
            <w:noWrap/>
            <w:vAlign w:val="center"/>
            <w:hideMark/>
          </w:tcPr>
          <w:p w14:paraId="2EF2820D" w14:textId="77777777" w:rsidR="007A4BC2" w:rsidRPr="007A4BC2" w:rsidRDefault="007A4BC2" w:rsidP="00B239E5">
            <w:pPr>
              <w:spacing w:before="0" w:after="0"/>
              <w:jc w:val="center"/>
              <w:rPr>
                <w:rFonts w:cs="Arial"/>
                <w:b/>
                <w:bCs/>
                <w:i/>
                <w:iCs/>
                <w:color w:val="000000"/>
                <w:sz w:val="18"/>
                <w:szCs w:val="18"/>
                <w:lang w:val="en-AU"/>
              </w:rPr>
            </w:pPr>
            <w:r w:rsidRPr="007A4BC2">
              <w:rPr>
                <w:rFonts w:cs="Arial"/>
                <w:b/>
                <w:bCs/>
                <w:i/>
                <w:iCs/>
                <w:color w:val="000000"/>
                <w:sz w:val="18"/>
                <w:szCs w:val="18"/>
                <w:lang w:val="en-AU"/>
              </w:rPr>
              <w:t>6%</w:t>
            </w:r>
          </w:p>
        </w:tc>
      </w:tr>
      <w:tr w:rsidR="007A4BC2" w:rsidRPr="007A4BC2" w14:paraId="30044E25" w14:textId="77777777" w:rsidTr="004A5BF7">
        <w:trPr>
          <w:trHeight w:val="300"/>
        </w:trPr>
        <w:tc>
          <w:tcPr>
            <w:tcW w:w="1380" w:type="dxa"/>
            <w:vMerge w:val="restart"/>
            <w:noWrap/>
            <w:vAlign w:val="center"/>
            <w:hideMark/>
          </w:tcPr>
          <w:p w14:paraId="024440FE" w14:textId="77777777" w:rsidR="007A4BC2" w:rsidRPr="007A4BC2" w:rsidRDefault="007A4BC2" w:rsidP="004A5BF7">
            <w:pPr>
              <w:spacing w:before="0" w:after="0"/>
              <w:jc w:val="left"/>
              <w:rPr>
                <w:rFonts w:cs="Arial"/>
                <w:b/>
                <w:bCs/>
                <w:color w:val="000000"/>
                <w:sz w:val="18"/>
                <w:szCs w:val="18"/>
                <w:lang w:val="en-AU"/>
              </w:rPr>
            </w:pPr>
            <w:r w:rsidRPr="007A4BC2">
              <w:rPr>
                <w:rFonts w:cs="Arial"/>
                <w:b/>
                <w:bCs/>
                <w:color w:val="000000"/>
                <w:sz w:val="18"/>
                <w:szCs w:val="18"/>
                <w:lang w:val="en-AU"/>
              </w:rPr>
              <w:t>Wet Tropics</w:t>
            </w:r>
          </w:p>
        </w:tc>
        <w:tc>
          <w:tcPr>
            <w:tcW w:w="587" w:type="dxa"/>
            <w:noWrap/>
            <w:vAlign w:val="center"/>
            <w:hideMark/>
          </w:tcPr>
          <w:p w14:paraId="0F7E11FD"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area</w:t>
            </w:r>
          </w:p>
        </w:tc>
        <w:tc>
          <w:tcPr>
            <w:tcW w:w="880" w:type="dxa"/>
            <w:noWrap/>
            <w:vAlign w:val="center"/>
            <w:hideMark/>
          </w:tcPr>
          <w:p w14:paraId="7284D5D9"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2,418</w:t>
            </w:r>
          </w:p>
        </w:tc>
        <w:tc>
          <w:tcPr>
            <w:tcW w:w="966" w:type="dxa"/>
            <w:noWrap/>
            <w:vAlign w:val="center"/>
            <w:hideMark/>
          </w:tcPr>
          <w:p w14:paraId="6D0CECDA"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1,731</w:t>
            </w:r>
          </w:p>
        </w:tc>
        <w:tc>
          <w:tcPr>
            <w:tcW w:w="966" w:type="dxa"/>
            <w:noWrap/>
            <w:vAlign w:val="center"/>
            <w:hideMark/>
          </w:tcPr>
          <w:p w14:paraId="23E74D53"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23</w:t>
            </w:r>
          </w:p>
        </w:tc>
        <w:tc>
          <w:tcPr>
            <w:tcW w:w="661" w:type="dxa"/>
            <w:noWrap/>
            <w:vAlign w:val="center"/>
            <w:hideMark/>
          </w:tcPr>
          <w:p w14:paraId="7B8E32CE"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36</w:t>
            </w:r>
          </w:p>
        </w:tc>
        <w:tc>
          <w:tcPr>
            <w:tcW w:w="547" w:type="dxa"/>
            <w:noWrap/>
            <w:vAlign w:val="center"/>
            <w:hideMark/>
          </w:tcPr>
          <w:p w14:paraId="193FF7E2"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0</w:t>
            </w:r>
          </w:p>
        </w:tc>
        <w:tc>
          <w:tcPr>
            <w:tcW w:w="1280" w:type="dxa"/>
            <w:noWrap/>
            <w:vAlign w:val="center"/>
            <w:hideMark/>
          </w:tcPr>
          <w:p w14:paraId="46155412" w14:textId="77777777" w:rsidR="007A4BC2" w:rsidRPr="007A4BC2" w:rsidRDefault="007A4BC2" w:rsidP="00B239E5">
            <w:pPr>
              <w:spacing w:before="0" w:after="0"/>
              <w:jc w:val="center"/>
              <w:rPr>
                <w:rFonts w:cs="Arial"/>
                <w:b/>
                <w:bCs/>
                <w:color w:val="000000"/>
                <w:sz w:val="18"/>
                <w:szCs w:val="18"/>
                <w:lang w:val="en-AU"/>
              </w:rPr>
            </w:pPr>
            <w:r w:rsidRPr="007A4BC2">
              <w:rPr>
                <w:rFonts w:cs="Arial"/>
                <w:b/>
                <w:bCs/>
                <w:color w:val="000000"/>
                <w:sz w:val="18"/>
                <w:szCs w:val="18"/>
                <w:lang w:val="en-AU"/>
              </w:rPr>
              <w:t>1,790</w:t>
            </w:r>
          </w:p>
        </w:tc>
        <w:tc>
          <w:tcPr>
            <w:tcW w:w="1280" w:type="dxa"/>
            <w:noWrap/>
            <w:vAlign w:val="center"/>
            <w:hideMark/>
          </w:tcPr>
          <w:p w14:paraId="3B470E81" w14:textId="77777777" w:rsidR="007A4BC2" w:rsidRPr="007A4BC2" w:rsidRDefault="007A4BC2" w:rsidP="00B239E5">
            <w:pPr>
              <w:spacing w:before="0" w:after="0"/>
              <w:jc w:val="center"/>
              <w:rPr>
                <w:rFonts w:cs="Arial"/>
                <w:b/>
                <w:bCs/>
                <w:color w:val="000000"/>
                <w:sz w:val="18"/>
                <w:szCs w:val="18"/>
                <w:lang w:val="en-AU"/>
              </w:rPr>
            </w:pPr>
            <w:r w:rsidRPr="007A4BC2">
              <w:rPr>
                <w:rFonts w:cs="Arial"/>
                <w:b/>
                <w:bCs/>
                <w:color w:val="000000"/>
                <w:sz w:val="18"/>
                <w:szCs w:val="18"/>
                <w:lang w:val="en-AU"/>
              </w:rPr>
              <w:t>628</w:t>
            </w:r>
          </w:p>
        </w:tc>
      </w:tr>
      <w:tr w:rsidR="007A4BC2" w:rsidRPr="007A4BC2" w14:paraId="610C73A4" w14:textId="77777777" w:rsidTr="004A5BF7">
        <w:trPr>
          <w:trHeight w:val="300"/>
        </w:trPr>
        <w:tc>
          <w:tcPr>
            <w:tcW w:w="1380" w:type="dxa"/>
            <w:vMerge/>
            <w:vAlign w:val="center"/>
            <w:hideMark/>
          </w:tcPr>
          <w:p w14:paraId="3036AEC5" w14:textId="77777777" w:rsidR="007A4BC2" w:rsidRPr="007A4BC2" w:rsidRDefault="007A4BC2" w:rsidP="004A5BF7">
            <w:pPr>
              <w:spacing w:before="0" w:after="0"/>
              <w:jc w:val="left"/>
              <w:rPr>
                <w:rFonts w:cs="Arial"/>
                <w:b/>
                <w:bCs/>
                <w:color w:val="000000"/>
                <w:sz w:val="18"/>
                <w:szCs w:val="18"/>
                <w:lang w:val="en-AU"/>
              </w:rPr>
            </w:pPr>
          </w:p>
        </w:tc>
        <w:tc>
          <w:tcPr>
            <w:tcW w:w="587" w:type="dxa"/>
            <w:noWrap/>
            <w:vAlign w:val="center"/>
            <w:hideMark/>
          </w:tcPr>
          <w:p w14:paraId="3CDB806D"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w:t>
            </w:r>
          </w:p>
        </w:tc>
        <w:tc>
          <w:tcPr>
            <w:tcW w:w="880" w:type="dxa"/>
            <w:noWrap/>
            <w:vAlign w:val="center"/>
            <w:hideMark/>
          </w:tcPr>
          <w:p w14:paraId="4BDAACAA"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100%</w:t>
            </w:r>
          </w:p>
        </w:tc>
        <w:tc>
          <w:tcPr>
            <w:tcW w:w="966" w:type="dxa"/>
            <w:noWrap/>
            <w:vAlign w:val="center"/>
            <w:hideMark/>
          </w:tcPr>
          <w:p w14:paraId="1F1ED226"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72%</w:t>
            </w:r>
          </w:p>
        </w:tc>
        <w:tc>
          <w:tcPr>
            <w:tcW w:w="966" w:type="dxa"/>
            <w:noWrap/>
            <w:vAlign w:val="center"/>
            <w:hideMark/>
          </w:tcPr>
          <w:p w14:paraId="7C70ADDA"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1%</w:t>
            </w:r>
          </w:p>
        </w:tc>
        <w:tc>
          <w:tcPr>
            <w:tcW w:w="661" w:type="dxa"/>
            <w:noWrap/>
            <w:vAlign w:val="center"/>
            <w:hideMark/>
          </w:tcPr>
          <w:p w14:paraId="09CA914A"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2%</w:t>
            </w:r>
          </w:p>
        </w:tc>
        <w:tc>
          <w:tcPr>
            <w:tcW w:w="547" w:type="dxa"/>
            <w:noWrap/>
            <w:vAlign w:val="center"/>
            <w:hideMark/>
          </w:tcPr>
          <w:p w14:paraId="3B34788F"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0%</w:t>
            </w:r>
          </w:p>
        </w:tc>
        <w:tc>
          <w:tcPr>
            <w:tcW w:w="1280" w:type="dxa"/>
            <w:noWrap/>
            <w:vAlign w:val="center"/>
            <w:hideMark/>
          </w:tcPr>
          <w:p w14:paraId="6701D406" w14:textId="77777777" w:rsidR="007A4BC2" w:rsidRPr="007A4BC2" w:rsidRDefault="007A4BC2" w:rsidP="00B239E5">
            <w:pPr>
              <w:spacing w:before="0" w:after="0"/>
              <w:jc w:val="center"/>
              <w:rPr>
                <w:rFonts w:cs="Arial"/>
                <w:b/>
                <w:bCs/>
                <w:i/>
                <w:iCs/>
                <w:color w:val="000000"/>
                <w:sz w:val="18"/>
                <w:szCs w:val="18"/>
                <w:lang w:val="en-AU"/>
              </w:rPr>
            </w:pPr>
            <w:r w:rsidRPr="007A4BC2">
              <w:rPr>
                <w:rFonts w:cs="Arial"/>
                <w:b/>
                <w:bCs/>
                <w:i/>
                <w:iCs/>
                <w:color w:val="000000"/>
                <w:sz w:val="18"/>
                <w:szCs w:val="18"/>
                <w:lang w:val="en-AU"/>
              </w:rPr>
              <w:t>74%</w:t>
            </w:r>
          </w:p>
        </w:tc>
        <w:tc>
          <w:tcPr>
            <w:tcW w:w="1280" w:type="dxa"/>
            <w:noWrap/>
            <w:vAlign w:val="center"/>
            <w:hideMark/>
          </w:tcPr>
          <w:p w14:paraId="4C2FCE5C" w14:textId="77777777" w:rsidR="007A4BC2" w:rsidRPr="007A4BC2" w:rsidRDefault="007A4BC2" w:rsidP="00B239E5">
            <w:pPr>
              <w:spacing w:before="0" w:after="0"/>
              <w:jc w:val="center"/>
              <w:rPr>
                <w:rFonts w:cs="Arial"/>
                <w:b/>
                <w:bCs/>
                <w:i/>
                <w:iCs/>
                <w:color w:val="000000"/>
                <w:sz w:val="18"/>
                <w:szCs w:val="18"/>
                <w:lang w:val="en-AU"/>
              </w:rPr>
            </w:pPr>
            <w:r w:rsidRPr="007A4BC2">
              <w:rPr>
                <w:rFonts w:cs="Arial"/>
                <w:b/>
                <w:bCs/>
                <w:i/>
                <w:iCs/>
                <w:color w:val="000000"/>
                <w:sz w:val="18"/>
                <w:szCs w:val="18"/>
                <w:lang w:val="en-AU"/>
              </w:rPr>
              <w:t>26%</w:t>
            </w:r>
          </w:p>
        </w:tc>
      </w:tr>
      <w:tr w:rsidR="007A4BC2" w:rsidRPr="007A4BC2" w14:paraId="24DAA3FC" w14:textId="77777777" w:rsidTr="004A5BF7">
        <w:trPr>
          <w:trHeight w:val="300"/>
        </w:trPr>
        <w:tc>
          <w:tcPr>
            <w:tcW w:w="1380" w:type="dxa"/>
            <w:vMerge w:val="restart"/>
            <w:noWrap/>
            <w:vAlign w:val="center"/>
            <w:hideMark/>
          </w:tcPr>
          <w:p w14:paraId="35BD3AB6" w14:textId="77777777" w:rsidR="007A4BC2" w:rsidRPr="007A4BC2" w:rsidRDefault="007A4BC2" w:rsidP="004A5BF7">
            <w:pPr>
              <w:spacing w:before="0" w:after="0"/>
              <w:jc w:val="left"/>
              <w:rPr>
                <w:rFonts w:cs="Arial"/>
                <w:b/>
                <w:bCs/>
                <w:color w:val="000000"/>
                <w:sz w:val="18"/>
                <w:szCs w:val="18"/>
                <w:lang w:val="en-AU"/>
              </w:rPr>
            </w:pPr>
            <w:r w:rsidRPr="007A4BC2">
              <w:rPr>
                <w:rFonts w:cs="Arial"/>
                <w:b/>
                <w:bCs/>
                <w:color w:val="000000"/>
                <w:sz w:val="18"/>
                <w:szCs w:val="18"/>
                <w:lang w:val="en-AU"/>
              </w:rPr>
              <w:t>Burdekin</w:t>
            </w:r>
          </w:p>
        </w:tc>
        <w:tc>
          <w:tcPr>
            <w:tcW w:w="587" w:type="dxa"/>
            <w:noWrap/>
            <w:vAlign w:val="center"/>
            <w:hideMark/>
          </w:tcPr>
          <w:p w14:paraId="378233AE"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area</w:t>
            </w:r>
          </w:p>
        </w:tc>
        <w:tc>
          <w:tcPr>
            <w:tcW w:w="880" w:type="dxa"/>
            <w:noWrap/>
            <w:vAlign w:val="center"/>
            <w:hideMark/>
          </w:tcPr>
          <w:p w14:paraId="190572B4"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2,966</w:t>
            </w:r>
          </w:p>
        </w:tc>
        <w:tc>
          <w:tcPr>
            <w:tcW w:w="966" w:type="dxa"/>
            <w:noWrap/>
            <w:vAlign w:val="center"/>
            <w:hideMark/>
          </w:tcPr>
          <w:p w14:paraId="010E2ABA"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995</w:t>
            </w:r>
          </w:p>
        </w:tc>
        <w:tc>
          <w:tcPr>
            <w:tcW w:w="966" w:type="dxa"/>
            <w:noWrap/>
            <w:vAlign w:val="center"/>
            <w:hideMark/>
          </w:tcPr>
          <w:p w14:paraId="1789D20D"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222</w:t>
            </w:r>
          </w:p>
        </w:tc>
        <w:tc>
          <w:tcPr>
            <w:tcW w:w="661" w:type="dxa"/>
            <w:noWrap/>
            <w:vAlign w:val="center"/>
            <w:hideMark/>
          </w:tcPr>
          <w:p w14:paraId="1D4C0435"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23</w:t>
            </w:r>
          </w:p>
        </w:tc>
        <w:tc>
          <w:tcPr>
            <w:tcW w:w="547" w:type="dxa"/>
            <w:noWrap/>
            <w:vAlign w:val="center"/>
            <w:hideMark/>
          </w:tcPr>
          <w:p w14:paraId="084A2F2D"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0</w:t>
            </w:r>
          </w:p>
        </w:tc>
        <w:tc>
          <w:tcPr>
            <w:tcW w:w="1280" w:type="dxa"/>
            <w:noWrap/>
            <w:vAlign w:val="center"/>
            <w:hideMark/>
          </w:tcPr>
          <w:p w14:paraId="210078E0" w14:textId="77777777" w:rsidR="007A4BC2" w:rsidRPr="007A4BC2" w:rsidRDefault="007A4BC2" w:rsidP="00B239E5">
            <w:pPr>
              <w:spacing w:before="0" w:after="0"/>
              <w:jc w:val="center"/>
              <w:rPr>
                <w:rFonts w:cs="Arial"/>
                <w:b/>
                <w:bCs/>
                <w:color w:val="000000"/>
                <w:sz w:val="18"/>
                <w:szCs w:val="18"/>
                <w:lang w:val="en-AU"/>
              </w:rPr>
            </w:pPr>
            <w:r w:rsidRPr="007A4BC2">
              <w:rPr>
                <w:rFonts w:cs="Arial"/>
                <w:b/>
                <w:bCs/>
                <w:color w:val="000000"/>
                <w:sz w:val="18"/>
                <w:szCs w:val="18"/>
                <w:lang w:val="en-AU"/>
              </w:rPr>
              <w:t>1,239</w:t>
            </w:r>
          </w:p>
        </w:tc>
        <w:tc>
          <w:tcPr>
            <w:tcW w:w="1280" w:type="dxa"/>
            <w:noWrap/>
            <w:vAlign w:val="center"/>
            <w:hideMark/>
          </w:tcPr>
          <w:p w14:paraId="2A29E8F4" w14:textId="77777777" w:rsidR="007A4BC2" w:rsidRPr="007A4BC2" w:rsidRDefault="007A4BC2" w:rsidP="00B239E5">
            <w:pPr>
              <w:spacing w:before="0" w:after="0"/>
              <w:jc w:val="center"/>
              <w:rPr>
                <w:rFonts w:cs="Arial"/>
                <w:b/>
                <w:bCs/>
                <w:color w:val="000000"/>
                <w:sz w:val="18"/>
                <w:szCs w:val="18"/>
                <w:lang w:val="en-AU"/>
              </w:rPr>
            </w:pPr>
            <w:r w:rsidRPr="007A4BC2">
              <w:rPr>
                <w:rFonts w:cs="Arial"/>
                <w:b/>
                <w:bCs/>
                <w:color w:val="000000"/>
                <w:sz w:val="18"/>
                <w:szCs w:val="18"/>
                <w:lang w:val="en-AU"/>
              </w:rPr>
              <w:t>1,727</w:t>
            </w:r>
          </w:p>
        </w:tc>
      </w:tr>
      <w:tr w:rsidR="007A4BC2" w:rsidRPr="007A4BC2" w14:paraId="37161037" w14:textId="77777777" w:rsidTr="004A5BF7">
        <w:trPr>
          <w:trHeight w:val="300"/>
        </w:trPr>
        <w:tc>
          <w:tcPr>
            <w:tcW w:w="1380" w:type="dxa"/>
            <w:vMerge/>
            <w:vAlign w:val="center"/>
            <w:hideMark/>
          </w:tcPr>
          <w:p w14:paraId="72D1B361" w14:textId="77777777" w:rsidR="007A4BC2" w:rsidRPr="007A4BC2" w:rsidRDefault="007A4BC2" w:rsidP="004A5BF7">
            <w:pPr>
              <w:spacing w:before="0" w:after="0"/>
              <w:jc w:val="left"/>
              <w:rPr>
                <w:rFonts w:cs="Arial"/>
                <w:b/>
                <w:bCs/>
                <w:color w:val="000000"/>
                <w:sz w:val="18"/>
                <w:szCs w:val="18"/>
                <w:lang w:val="en-AU"/>
              </w:rPr>
            </w:pPr>
          </w:p>
        </w:tc>
        <w:tc>
          <w:tcPr>
            <w:tcW w:w="587" w:type="dxa"/>
            <w:noWrap/>
            <w:vAlign w:val="center"/>
            <w:hideMark/>
          </w:tcPr>
          <w:p w14:paraId="71DB749A"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w:t>
            </w:r>
          </w:p>
        </w:tc>
        <w:tc>
          <w:tcPr>
            <w:tcW w:w="880" w:type="dxa"/>
            <w:noWrap/>
            <w:vAlign w:val="center"/>
            <w:hideMark/>
          </w:tcPr>
          <w:p w14:paraId="0B1530CF"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100%</w:t>
            </w:r>
          </w:p>
        </w:tc>
        <w:tc>
          <w:tcPr>
            <w:tcW w:w="966" w:type="dxa"/>
            <w:noWrap/>
            <w:vAlign w:val="center"/>
            <w:hideMark/>
          </w:tcPr>
          <w:p w14:paraId="46FE283A"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34%</w:t>
            </w:r>
          </w:p>
        </w:tc>
        <w:tc>
          <w:tcPr>
            <w:tcW w:w="966" w:type="dxa"/>
            <w:noWrap/>
            <w:vAlign w:val="center"/>
            <w:hideMark/>
          </w:tcPr>
          <w:p w14:paraId="1F5A074C"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7%</w:t>
            </w:r>
          </w:p>
        </w:tc>
        <w:tc>
          <w:tcPr>
            <w:tcW w:w="661" w:type="dxa"/>
            <w:noWrap/>
            <w:vAlign w:val="center"/>
            <w:hideMark/>
          </w:tcPr>
          <w:p w14:paraId="5BD6BA5C"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1%</w:t>
            </w:r>
          </w:p>
        </w:tc>
        <w:tc>
          <w:tcPr>
            <w:tcW w:w="547" w:type="dxa"/>
            <w:noWrap/>
            <w:vAlign w:val="center"/>
            <w:hideMark/>
          </w:tcPr>
          <w:p w14:paraId="57B84DC3"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0%</w:t>
            </w:r>
          </w:p>
        </w:tc>
        <w:tc>
          <w:tcPr>
            <w:tcW w:w="1280" w:type="dxa"/>
            <w:noWrap/>
            <w:vAlign w:val="center"/>
            <w:hideMark/>
          </w:tcPr>
          <w:p w14:paraId="548C12B9" w14:textId="77777777" w:rsidR="007A4BC2" w:rsidRPr="007A4BC2" w:rsidRDefault="007A4BC2" w:rsidP="00B239E5">
            <w:pPr>
              <w:spacing w:before="0" w:after="0"/>
              <w:jc w:val="center"/>
              <w:rPr>
                <w:rFonts w:cs="Arial"/>
                <w:b/>
                <w:bCs/>
                <w:i/>
                <w:iCs/>
                <w:color w:val="000000"/>
                <w:sz w:val="18"/>
                <w:szCs w:val="18"/>
                <w:lang w:val="en-AU"/>
              </w:rPr>
            </w:pPr>
            <w:r w:rsidRPr="007A4BC2">
              <w:rPr>
                <w:rFonts w:cs="Arial"/>
                <w:b/>
                <w:bCs/>
                <w:i/>
                <w:iCs/>
                <w:color w:val="000000"/>
                <w:sz w:val="18"/>
                <w:szCs w:val="18"/>
                <w:lang w:val="en-AU"/>
              </w:rPr>
              <w:t>42%</w:t>
            </w:r>
          </w:p>
        </w:tc>
        <w:tc>
          <w:tcPr>
            <w:tcW w:w="1280" w:type="dxa"/>
            <w:noWrap/>
            <w:vAlign w:val="center"/>
            <w:hideMark/>
          </w:tcPr>
          <w:p w14:paraId="1CB717BB" w14:textId="77777777" w:rsidR="007A4BC2" w:rsidRPr="007A4BC2" w:rsidRDefault="007A4BC2" w:rsidP="00B239E5">
            <w:pPr>
              <w:spacing w:before="0" w:after="0"/>
              <w:jc w:val="center"/>
              <w:rPr>
                <w:rFonts w:cs="Arial"/>
                <w:b/>
                <w:bCs/>
                <w:i/>
                <w:iCs/>
                <w:color w:val="000000"/>
                <w:sz w:val="18"/>
                <w:szCs w:val="18"/>
                <w:lang w:val="en-AU"/>
              </w:rPr>
            </w:pPr>
            <w:r w:rsidRPr="007A4BC2">
              <w:rPr>
                <w:rFonts w:cs="Arial"/>
                <w:b/>
                <w:bCs/>
                <w:i/>
                <w:iCs/>
                <w:color w:val="000000"/>
                <w:sz w:val="18"/>
                <w:szCs w:val="18"/>
                <w:lang w:val="en-AU"/>
              </w:rPr>
              <w:t>58%</w:t>
            </w:r>
          </w:p>
        </w:tc>
      </w:tr>
      <w:tr w:rsidR="007A4BC2" w:rsidRPr="007A4BC2" w14:paraId="042DDC90" w14:textId="77777777" w:rsidTr="004A5BF7">
        <w:trPr>
          <w:trHeight w:val="251"/>
        </w:trPr>
        <w:tc>
          <w:tcPr>
            <w:tcW w:w="1380" w:type="dxa"/>
            <w:vMerge w:val="restart"/>
            <w:vAlign w:val="center"/>
            <w:hideMark/>
          </w:tcPr>
          <w:p w14:paraId="6478D90F" w14:textId="00EB76F2" w:rsidR="007A4BC2" w:rsidRPr="007A4BC2" w:rsidRDefault="007A4BC2" w:rsidP="004A5BF7">
            <w:pPr>
              <w:spacing w:before="0" w:after="0"/>
              <w:jc w:val="left"/>
              <w:rPr>
                <w:rFonts w:cs="Arial"/>
                <w:b/>
                <w:bCs/>
                <w:color w:val="000000"/>
                <w:sz w:val="18"/>
                <w:szCs w:val="18"/>
                <w:lang w:val="en-AU"/>
              </w:rPr>
            </w:pPr>
            <w:r w:rsidRPr="007A4BC2">
              <w:rPr>
                <w:rFonts w:cs="Arial"/>
                <w:b/>
                <w:bCs/>
                <w:color w:val="000000"/>
                <w:sz w:val="18"/>
                <w:szCs w:val="18"/>
                <w:lang w:val="en-AU"/>
              </w:rPr>
              <w:t>Mackay</w:t>
            </w:r>
            <w:r w:rsidR="00B239E5">
              <w:rPr>
                <w:rFonts w:cs="Arial"/>
                <w:b/>
                <w:bCs/>
                <w:color w:val="000000"/>
                <w:sz w:val="18"/>
                <w:szCs w:val="18"/>
                <w:lang w:val="en-AU"/>
              </w:rPr>
              <w:t xml:space="preserve"> </w:t>
            </w:r>
            <w:r w:rsidRPr="007A4BC2">
              <w:rPr>
                <w:rFonts w:cs="Arial"/>
                <w:b/>
                <w:bCs/>
                <w:color w:val="000000"/>
                <w:sz w:val="18"/>
                <w:szCs w:val="18"/>
                <w:lang w:val="en-AU"/>
              </w:rPr>
              <w:t>Whitsunday</w:t>
            </w:r>
          </w:p>
        </w:tc>
        <w:tc>
          <w:tcPr>
            <w:tcW w:w="587" w:type="dxa"/>
            <w:noWrap/>
            <w:vAlign w:val="center"/>
            <w:hideMark/>
          </w:tcPr>
          <w:p w14:paraId="0B2BEE71"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area</w:t>
            </w:r>
          </w:p>
        </w:tc>
        <w:tc>
          <w:tcPr>
            <w:tcW w:w="880" w:type="dxa"/>
            <w:noWrap/>
            <w:vAlign w:val="center"/>
            <w:hideMark/>
          </w:tcPr>
          <w:p w14:paraId="2F671E4C"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3,196</w:t>
            </w:r>
          </w:p>
        </w:tc>
        <w:tc>
          <w:tcPr>
            <w:tcW w:w="966" w:type="dxa"/>
            <w:noWrap/>
            <w:vAlign w:val="center"/>
            <w:hideMark/>
          </w:tcPr>
          <w:p w14:paraId="22021AC2"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388</w:t>
            </w:r>
          </w:p>
        </w:tc>
        <w:tc>
          <w:tcPr>
            <w:tcW w:w="966" w:type="dxa"/>
            <w:noWrap/>
            <w:vAlign w:val="center"/>
            <w:hideMark/>
          </w:tcPr>
          <w:p w14:paraId="45C95373"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263</w:t>
            </w:r>
          </w:p>
        </w:tc>
        <w:tc>
          <w:tcPr>
            <w:tcW w:w="661" w:type="dxa"/>
            <w:noWrap/>
            <w:vAlign w:val="center"/>
            <w:hideMark/>
          </w:tcPr>
          <w:p w14:paraId="57934DD9"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99</w:t>
            </w:r>
          </w:p>
        </w:tc>
        <w:tc>
          <w:tcPr>
            <w:tcW w:w="547" w:type="dxa"/>
            <w:noWrap/>
            <w:vAlign w:val="center"/>
            <w:hideMark/>
          </w:tcPr>
          <w:p w14:paraId="491E6D53"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0</w:t>
            </w:r>
          </w:p>
        </w:tc>
        <w:tc>
          <w:tcPr>
            <w:tcW w:w="1280" w:type="dxa"/>
            <w:noWrap/>
            <w:vAlign w:val="center"/>
            <w:hideMark/>
          </w:tcPr>
          <w:p w14:paraId="2F54EDC8" w14:textId="77777777" w:rsidR="007A4BC2" w:rsidRPr="007A4BC2" w:rsidRDefault="007A4BC2" w:rsidP="00B239E5">
            <w:pPr>
              <w:spacing w:before="0" w:after="0"/>
              <w:jc w:val="center"/>
              <w:rPr>
                <w:rFonts w:cs="Arial"/>
                <w:b/>
                <w:bCs/>
                <w:color w:val="000000"/>
                <w:sz w:val="18"/>
                <w:szCs w:val="18"/>
                <w:lang w:val="en-AU"/>
              </w:rPr>
            </w:pPr>
            <w:r w:rsidRPr="007A4BC2">
              <w:rPr>
                <w:rFonts w:cs="Arial"/>
                <w:b/>
                <w:bCs/>
                <w:color w:val="000000"/>
                <w:sz w:val="18"/>
                <w:szCs w:val="18"/>
                <w:lang w:val="en-AU"/>
              </w:rPr>
              <w:t>751</w:t>
            </w:r>
          </w:p>
        </w:tc>
        <w:tc>
          <w:tcPr>
            <w:tcW w:w="1280" w:type="dxa"/>
            <w:noWrap/>
            <w:vAlign w:val="center"/>
            <w:hideMark/>
          </w:tcPr>
          <w:p w14:paraId="6832E952" w14:textId="77777777" w:rsidR="007A4BC2" w:rsidRPr="007A4BC2" w:rsidRDefault="007A4BC2" w:rsidP="00B239E5">
            <w:pPr>
              <w:spacing w:before="0" w:after="0"/>
              <w:jc w:val="center"/>
              <w:rPr>
                <w:rFonts w:cs="Arial"/>
                <w:b/>
                <w:bCs/>
                <w:color w:val="000000"/>
                <w:sz w:val="18"/>
                <w:szCs w:val="18"/>
                <w:lang w:val="en-AU"/>
              </w:rPr>
            </w:pPr>
            <w:r w:rsidRPr="007A4BC2">
              <w:rPr>
                <w:rFonts w:cs="Arial"/>
                <w:b/>
                <w:bCs/>
                <w:color w:val="000000"/>
                <w:sz w:val="18"/>
                <w:szCs w:val="18"/>
                <w:lang w:val="en-AU"/>
              </w:rPr>
              <w:t>2,445</w:t>
            </w:r>
          </w:p>
        </w:tc>
      </w:tr>
      <w:tr w:rsidR="007A4BC2" w:rsidRPr="007A4BC2" w14:paraId="45E3502B" w14:textId="77777777" w:rsidTr="004A5BF7">
        <w:trPr>
          <w:trHeight w:val="283"/>
        </w:trPr>
        <w:tc>
          <w:tcPr>
            <w:tcW w:w="1380" w:type="dxa"/>
            <w:vMerge/>
            <w:vAlign w:val="center"/>
            <w:hideMark/>
          </w:tcPr>
          <w:p w14:paraId="6E7337C2" w14:textId="77777777" w:rsidR="007A4BC2" w:rsidRPr="007A4BC2" w:rsidRDefault="007A4BC2" w:rsidP="004A5BF7">
            <w:pPr>
              <w:spacing w:before="0" w:after="0"/>
              <w:jc w:val="left"/>
              <w:rPr>
                <w:rFonts w:cs="Arial"/>
                <w:b/>
                <w:bCs/>
                <w:color w:val="000000"/>
                <w:sz w:val="18"/>
                <w:szCs w:val="18"/>
                <w:lang w:val="en-AU"/>
              </w:rPr>
            </w:pPr>
          </w:p>
        </w:tc>
        <w:tc>
          <w:tcPr>
            <w:tcW w:w="587" w:type="dxa"/>
            <w:noWrap/>
            <w:vAlign w:val="center"/>
            <w:hideMark/>
          </w:tcPr>
          <w:p w14:paraId="552EF733"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w:t>
            </w:r>
          </w:p>
        </w:tc>
        <w:tc>
          <w:tcPr>
            <w:tcW w:w="880" w:type="dxa"/>
            <w:noWrap/>
            <w:vAlign w:val="center"/>
            <w:hideMark/>
          </w:tcPr>
          <w:p w14:paraId="05CE44C2"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100%</w:t>
            </w:r>
          </w:p>
        </w:tc>
        <w:tc>
          <w:tcPr>
            <w:tcW w:w="966" w:type="dxa"/>
            <w:noWrap/>
            <w:vAlign w:val="center"/>
            <w:hideMark/>
          </w:tcPr>
          <w:p w14:paraId="55308929"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12%</w:t>
            </w:r>
          </w:p>
        </w:tc>
        <w:tc>
          <w:tcPr>
            <w:tcW w:w="966" w:type="dxa"/>
            <w:noWrap/>
            <w:vAlign w:val="center"/>
            <w:hideMark/>
          </w:tcPr>
          <w:p w14:paraId="420ADD0F"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8%</w:t>
            </w:r>
          </w:p>
        </w:tc>
        <w:tc>
          <w:tcPr>
            <w:tcW w:w="661" w:type="dxa"/>
            <w:noWrap/>
            <w:vAlign w:val="center"/>
            <w:hideMark/>
          </w:tcPr>
          <w:p w14:paraId="35CF6942"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3%</w:t>
            </w:r>
          </w:p>
        </w:tc>
        <w:tc>
          <w:tcPr>
            <w:tcW w:w="547" w:type="dxa"/>
            <w:noWrap/>
            <w:vAlign w:val="center"/>
            <w:hideMark/>
          </w:tcPr>
          <w:p w14:paraId="7105D686"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0%</w:t>
            </w:r>
          </w:p>
        </w:tc>
        <w:tc>
          <w:tcPr>
            <w:tcW w:w="1280" w:type="dxa"/>
            <w:noWrap/>
            <w:vAlign w:val="center"/>
            <w:hideMark/>
          </w:tcPr>
          <w:p w14:paraId="0803D2D0" w14:textId="77777777" w:rsidR="007A4BC2" w:rsidRPr="007A4BC2" w:rsidRDefault="007A4BC2" w:rsidP="00B239E5">
            <w:pPr>
              <w:spacing w:before="0" w:after="0"/>
              <w:jc w:val="center"/>
              <w:rPr>
                <w:rFonts w:cs="Arial"/>
                <w:b/>
                <w:bCs/>
                <w:i/>
                <w:iCs/>
                <w:color w:val="000000"/>
                <w:sz w:val="18"/>
                <w:szCs w:val="18"/>
                <w:lang w:val="en-AU"/>
              </w:rPr>
            </w:pPr>
            <w:r w:rsidRPr="007A4BC2">
              <w:rPr>
                <w:rFonts w:cs="Arial"/>
                <w:b/>
                <w:bCs/>
                <w:i/>
                <w:iCs/>
                <w:color w:val="000000"/>
                <w:sz w:val="18"/>
                <w:szCs w:val="18"/>
                <w:lang w:val="en-AU"/>
              </w:rPr>
              <w:t>23%</w:t>
            </w:r>
          </w:p>
        </w:tc>
        <w:tc>
          <w:tcPr>
            <w:tcW w:w="1280" w:type="dxa"/>
            <w:noWrap/>
            <w:vAlign w:val="center"/>
            <w:hideMark/>
          </w:tcPr>
          <w:p w14:paraId="15BB1A0E" w14:textId="77777777" w:rsidR="007A4BC2" w:rsidRPr="007A4BC2" w:rsidRDefault="007A4BC2" w:rsidP="00B239E5">
            <w:pPr>
              <w:spacing w:before="0" w:after="0"/>
              <w:jc w:val="center"/>
              <w:rPr>
                <w:rFonts w:cs="Arial"/>
                <w:b/>
                <w:bCs/>
                <w:i/>
                <w:iCs/>
                <w:color w:val="000000"/>
                <w:sz w:val="18"/>
                <w:szCs w:val="18"/>
                <w:lang w:val="en-AU"/>
              </w:rPr>
            </w:pPr>
            <w:r w:rsidRPr="007A4BC2">
              <w:rPr>
                <w:rFonts w:cs="Arial"/>
                <w:b/>
                <w:bCs/>
                <w:i/>
                <w:iCs/>
                <w:color w:val="000000"/>
                <w:sz w:val="18"/>
                <w:szCs w:val="18"/>
                <w:lang w:val="en-AU"/>
              </w:rPr>
              <w:t>77%</w:t>
            </w:r>
          </w:p>
        </w:tc>
      </w:tr>
      <w:tr w:rsidR="007A4BC2" w:rsidRPr="007A4BC2" w14:paraId="4CE31815" w14:textId="77777777" w:rsidTr="004A5BF7">
        <w:trPr>
          <w:trHeight w:val="300"/>
        </w:trPr>
        <w:tc>
          <w:tcPr>
            <w:tcW w:w="1380" w:type="dxa"/>
            <w:vMerge w:val="restart"/>
            <w:noWrap/>
            <w:vAlign w:val="center"/>
            <w:hideMark/>
          </w:tcPr>
          <w:p w14:paraId="3C876D98" w14:textId="77777777" w:rsidR="007A4BC2" w:rsidRPr="007A4BC2" w:rsidRDefault="007A4BC2" w:rsidP="004A5BF7">
            <w:pPr>
              <w:spacing w:before="0" w:after="0"/>
              <w:jc w:val="left"/>
              <w:rPr>
                <w:rFonts w:cs="Arial"/>
                <w:b/>
                <w:bCs/>
                <w:color w:val="000000"/>
                <w:sz w:val="18"/>
                <w:szCs w:val="18"/>
                <w:lang w:val="en-AU"/>
              </w:rPr>
            </w:pPr>
            <w:r w:rsidRPr="007A4BC2">
              <w:rPr>
                <w:rFonts w:cs="Arial"/>
                <w:b/>
                <w:bCs/>
                <w:color w:val="000000"/>
                <w:sz w:val="18"/>
                <w:szCs w:val="18"/>
                <w:lang w:val="en-AU"/>
              </w:rPr>
              <w:t>Fitzroy</w:t>
            </w:r>
          </w:p>
        </w:tc>
        <w:tc>
          <w:tcPr>
            <w:tcW w:w="587" w:type="dxa"/>
            <w:noWrap/>
            <w:vAlign w:val="center"/>
            <w:hideMark/>
          </w:tcPr>
          <w:p w14:paraId="3284303E"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area</w:t>
            </w:r>
          </w:p>
        </w:tc>
        <w:tc>
          <w:tcPr>
            <w:tcW w:w="880" w:type="dxa"/>
            <w:noWrap/>
            <w:vAlign w:val="center"/>
            <w:hideMark/>
          </w:tcPr>
          <w:p w14:paraId="143B9411"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4,880</w:t>
            </w:r>
          </w:p>
        </w:tc>
        <w:tc>
          <w:tcPr>
            <w:tcW w:w="966" w:type="dxa"/>
            <w:noWrap/>
            <w:vAlign w:val="center"/>
            <w:hideMark/>
          </w:tcPr>
          <w:p w14:paraId="4CAC05F9"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482</w:t>
            </w:r>
          </w:p>
        </w:tc>
        <w:tc>
          <w:tcPr>
            <w:tcW w:w="966" w:type="dxa"/>
            <w:noWrap/>
            <w:vAlign w:val="center"/>
            <w:hideMark/>
          </w:tcPr>
          <w:p w14:paraId="7E6E0B54"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396</w:t>
            </w:r>
          </w:p>
        </w:tc>
        <w:tc>
          <w:tcPr>
            <w:tcW w:w="661" w:type="dxa"/>
            <w:noWrap/>
            <w:vAlign w:val="center"/>
            <w:hideMark/>
          </w:tcPr>
          <w:p w14:paraId="5EB5889B"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124</w:t>
            </w:r>
          </w:p>
        </w:tc>
        <w:tc>
          <w:tcPr>
            <w:tcW w:w="547" w:type="dxa"/>
            <w:noWrap/>
            <w:vAlign w:val="center"/>
            <w:hideMark/>
          </w:tcPr>
          <w:p w14:paraId="75467C25"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32</w:t>
            </w:r>
          </w:p>
        </w:tc>
        <w:tc>
          <w:tcPr>
            <w:tcW w:w="1280" w:type="dxa"/>
            <w:noWrap/>
            <w:vAlign w:val="center"/>
            <w:hideMark/>
          </w:tcPr>
          <w:p w14:paraId="2C158F7A" w14:textId="77777777" w:rsidR="007A4BC2" w:rsidRPr="007A4BC2" w:rsidRDefault="007A4BC2" w:rsidP="00B239E5">
            <w:pPr>
              <w:spacing w:before="0" w:after="0"/>
              <w:jc w:val="center"/>
              <w:rPr>
                <w:rFonts w:cs="Arial"/>
                <w:b/>
                <w:bCs/>
                <w:color w:val="000000"/>
                <w:sz w:val="18"/>
                <w:szCs w:val="18"/>
                <w:lang w:val="en-AU"/>
              </w:rPr>
            </w:pPr>
            <w:r w:rsidRPr="007A4BC2">
              <w:rPr>
                <w:rFonts w:cs="Arial"/>
                <w:b/>
                <w:bCs/>
                <w:color w:val="000000"/>
                <w:sz w:val="18"/>
                <w:szCs w:val="18"/>
                <w:lang w:val="en-AU"/>
              </w:rPr>
              <w:t>1,034</w:t>
            </w:r>
          </w:p>
        </w:tc>
        <w:tc>
          <w:tcPr>
            <w:tcW w:w="1280" w:type="dxa"/>
            <w:noWrap/>
            <w:vAlign w:val="center"/>
            <w:hideMark/>
          </w:tcPr>
          <w:p w14:paraId="522E14DC" w14:textId="77777777" w:rsidR="007A4BC2" w:rsidRPr="007A4BC2" w:rsidRDefault="007A4BC2" w:rsidP="00B239E5">
            <w:pPr>
              <w:spacing w:before="0" w:after="0"/>
              <w:jc w:val="center"/>
              <w:rPr>
                <w:rFonts w:cs="Arial"/>
                <w:b/>
                <w:bCs/>
                <w:color w:val="000000"/>
                <w:sz w:val="18"/>
                <w:szCs w:val="18"/>
                <w:lang w:val="en-AU"/>
              </w:rPr>
            </w:pPr>
            <w:r w:rsidRPr="007A4BC2">
              <w:rPr>
                <w:rFonts w:cs="Arial"/>
                <w:b/>
                <w:bCs/>
                <w:color w:val="000000"/>
                <w:sz w:val="18"/>
                <w:szCs w:val="18"/>
                <w:lang w:val="en-AU"/>
              </w:rPr>
              <w:t>3,846</w:t>
            </w:r>
          </w:p>
        </w:tc>
      </w:tr>
      <w:tr w:rsidR="007A4BC2" w:rsidRPr="007A4BC2" w14:paraId="0A12CF53" w14:textId="77777777" w:rsidTr="004A5BF7">
        <w:trPr>
          <w:trHeight w:val="300"/>
        </w:trPr>
        <w:tc>
          <w:tcPr>
            <w:tcW w:w="1380" w:type="dxa"/>
            <w:vMerge/>
            <w:vAlign w:val="center"/>
            <w:hideMark/>
          </w:tcPr>
          <w:p w14:paraId="3F1FC781" w14:textId="77777777" w:rsidR="007A4BC2" w:rsidRPr="007A4BC2" w:rsidRDefault="007A4BC2" w:rsidP="004A5BF7">
            <w:pPr>
              <w:spacing w:before="0" w:after="0"/>
              <w:jc w:val="left"/>
              <w:rPr>
                <w:rFonts w:cs="Arial"/>
                <w:b/>
                <w:bCs/>
                <w:color w:val="000000"/>
                <w:sz w:val="18"/>
                <w:szCs w:val="18"/>
                <w:lang w:val="en-AU"/>
              </w:rPr>
            </w:pPr>
          </w:p>
        </w:tc>
        <w:tc>
          <w:tcPr>
            <w:tcW w:w="587" w:type="dxa"/>
            <w:noWrap/>
            <w:vAlign w:val="center"/>
            <w:hideMark/>
          </w:tcPr>
          <w:p w14:paraId="41356C97"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w:t>
            </w:r>
          </w:p>
        </w:tc>
        <w:tc>
          <w:tcPr>
            <w:tcW w:w="880" w:type="dxa"/>
            <w:noWrap/>
            <w:vAlign w:val="center"/>
            <w:hideMark/>
          </w:tcPr>
          <w:p w14:paraId="3993B6B2"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100%</w:t>
            </w:r>
          </w:p>
        </w:tc>
        <w:tc>
          <w:tcPr>
            <w:tcW w:w="966" w:type="dxa"/>
            <w:noWrap/>
            <w:vAlign w:val="center"/>
            <w:hideMark/>
          </w:tcPr>
          <w:p w14:paraId="72D49C55"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10%</w:t>
            </w:r>
          </w:p>
        </w:tc>
        <w:tc>
          <w:tcPr>
            <w:tcW w:w="966" w:type="dxa"/>
            <w:noWrap/>
            <w:vAlign w:val="center"/>
            <w:hideMark/>
          </w:tcPr>
          <w:p w14:paraId="617E68A1"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8%</w:t>
            </w:r>
          </w:p>
        </w:tc>
        <w:tc>
          <w:tcPr>
            <w:tcW w:w="661" w:type="dxa"/>
            <w:noWrap/>
            <w:vAlign w:val="center"/>
            <w:hideMark/>
          </w:tcPr>
          <w:p w14:paraId="4980DD27"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3%</w:t>
            </w:r>
          </w:p>
        </w:tc>
        <w:tc>
          <w:tcPr>
            <w:tcW w:w="547" w:type="dxa"/>
            <w:noWrap/>
            <w:vAlign w:val="center"/>
            <w:hideMark/>
          </w:tcPr>
          <w:p w14:paraId="6FB0F3E3"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1%</w:t>
            </w:r>
          </w:p>
        </w:tc>
        <w:tc>
          <w:tcPr>
            <w:tcW w:w="1280" w:type="dxa"/>
            <w:noWrap/>
            <w:vAlign w:val="center"/>
            <w:hideMark/>
          </w:tcPr>
          <w:p w14:paraId="728939AE" w14:textId="77777777" w:rsidR="007A4BC2" w:rsidRPr="007A4BC2" w:rsidRDefault="007A4BC2" w:rsidP="00B239E5">
            <w:pPr>
              <w:spacing w:before="0" w:after="0"/>
              <w:jc w:val="center"/>
              <w:rPr>
                <w:rFonts w:cs="Arial"/>
                <w:b/>
                <w:bCs/>
                <w:i/>
                <w:iCs/>
                <w:color w:val="000000"/>
                <w:sz w:val="18"/>
                <w:szCs w:val="18"/>
                <w:lang w:val="en-AU"/>
              </w:rPr>
            </w:pPr>
            <w:r w:rsidRPr="007A4BC2">
              <w:rPr>
                <w:rFonts w:cs="Arial"/>
                <w:b/>
                <w:bCs/>
                <w:i/>
                <w:iCs/>
                <w:color w:val="000000"/>
                <w:sz w:val="18"/>
                <w:szCs w:val="18"/>
                <w:lang w:val="en-AU"/>
              </w:rPr>
              <w:t>21%</w:t>
            </w:r>
          </w:p>
        </w:tc>
        <w:tc>
          <w:tcPr>
            <w:tcW w:w="1280" w:type="dxa"/>
            <w:noWrap/>
            <w:vAlign w:val="center"/>
            <w:hideMark/>
          </w:tcPr>
          <w:p w14:paraId="1576CFE9" w14:textId="77777777" w:rsidR="007A4BC2" w:rsidRPr="007A4BC2" w:rsidRDefault="007A4BC2" w:rsidP="00B239E5">
            <w:pPr>
              <w:spacing w:before="0" w:after="0"/>
              <w:jc w:val="center"/>
              <w:rPr>
                <w:rFonts w:cs="Arial"/>
                <w:b/>
                <w:bCs/>
                <w:i/>
                <w:iCs/>
                <w:color w:val="000000"/>
                <w:sz w:val="18"/>
                <w:szCs w:val="18"/>
                <w:lang w:val="en-AU"/>
              </w:rPr>
            </w:pPr>
            <w:r w:rsidRPr="007A4BC2">
              <w:rPr>
                <w:rFonts w:cs="Arial"/>
                <w:b/>
                <w:bCs/>
                <w:i/>
                <w:iCs/>
                <w:color w:val="000000"/>
                <w:sz w:val="18"/>
                <w:szCs w:val="18"/>
                <w:lang w:val="en-AU"/>
              </w:rPr>
              <w:t>79%</w:t>
            </w:r>
          </w:p>
        </w:tc>
      </w:tr>
      <w:tr w:rsidR="007A4BC2" w:rsidRPr="007A4BC2" w14:paraId="01760547" w14:textId="77777777" w:rsidTr="004A5BF7">
        <w:trPr>
          <w:trHeight w:val="300"/>
        </w:trPr>
        <w:tc>
          <w:tcPr>
            <w:tcW w:w="1380" w:type="dxa"/>
            <w:vMerge w:val="restart"/>
            <w:vAlign w:val="center"/>
            <w:hideMark/>
          </w:tcPr>
          <w:p w14:paraId="0EA8670A" w14:textId="643EBFCF" w:rsidR="007A4BC2" w:rsidRPr="007A4BC2" w:rsidRDefault="007A4BC2" w:rsidP="004A5BF7">
            <w:pPr>
              <w:spacing w:before="0" w:after="0"/>
              <w:jc w:val="left"/>
              <w:rPr>
                <w:rFonts w:cs="Arial"/>
                <w:b/>
                <w:bCs/>
                <w:color w:val="000000"/>
                <w:sz w:val="18"/>
                <w:szCs w:val="18"/>
                <w:lang w:val="en-AU"/>
              </w:rPr>
            </w:pPr>
            <w:r w:rsidRPr="007A4BC2">
              <w:rPr>
                <w:rFonts w:cs="Arial"/>
                <w:b/>
                <w:bCs/>
                <w:color w:val="000000"/>
                <w:sz w:val="18"/>
                <w:szCs w:val="18"/>
                <w:lang w:val="en-AU"/>
              </w:rPr>
              <w:t>Burnett</w:t>
            </w:r>
            <w:r w:rsidR="00B239E5">
              <w:rPr>
                <w:rFonts w:cs="Arial"/>
                <w:b/>
                <w:bCs/>
                <w:color w:val="000000"/>
                <w:sz w:val="18"/>
                <w:szCs w:val="18"/>
                <w:lang w:val="en-AU"/>
              </w:rPr>
              <w:t xml:space="preserve"> </w:t>
            </w:r>
            <w:r w:rsidRPr="007A4BC2">
              <w:rPr>
                <w:rFonts w:cs="Arial"/>
                <w:b/>
                <w:bCs/>
                <w:color w:val="000000"/>
                <w:sz w:val="18"/>
                <w:szCs w:val="18"/>
                <w:lang w:val="en-AU"/>
              </w:rPr>
              <w:t>Mary</w:t>
            </w:r>
          </w:p>
        </w:tc>
        <w:tc>
          <w:tcPr>
            <w:tcW w:w="587" w:type="dxa"/>
            <w:noWrap/>
            <w:vAlign w:val="center"/>
            <w:hideMark/>
          </w:tcPr>
          <w:p w14:paraId="6D85B3D6"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area</w:t>
            </w:r>
          </w:p>
        </w:tc>
        <w:tc>
          <w:tcPr>
            <w:tcW w:w="880" w:type="dxa"/>
            <w:noWrap/>
            <w:vAlign w:val="center"/>
            <w:hideMark/>
          </w:tcPr>
          <w:p w14:paraId="3D510457"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284</w:t>
            </w:r>
          </w:p>
        </w:tc>
        <w:tc>
          <w:tcPr>
            <w:tcW w:w="966" w:type="dxa"/>
            <w:noWrap/>
            <w:vAlign w:val="center"/>
            <w:hideMark/>
          </w:tcPr>
          <w:p w14:paraId="68205126"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0</w:t>
            </w:r>
          </w:p>
        </w:tc>
        <w:tc>
          <w:tcPr>
            <w:tcW w:w="966" w:type="dxa"/>
            <w:noWrap/>
            <w:vAlign w:val="center"/>
            <w:hideMark/>
          </w:tcPr>
          <w:p w14:paraId="3AD60CF3"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280</w:t>
            </w:r>
          </w:p>
        </w:tc>
        <w:tc>
          <w:tcPr>
            <w:tcW w:w="661" w:type="dxa"/>
            <w:noWrap/>
            <w:vAlign w:val="center"/>
            <w:hideMark/>
          </w:tcPr>
          <w:p w14:paraId="40BBA091"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4</w:t>
            </w:r>
          </w:p>
        </w:tc>
        <w:tc>
          <w:tcPr>
            <w:tcW w:w="547" w:type="dxa"/>
            <w:noWrap/>
            <w:vAlign w:val="center"/>
            <w:hideMark/>
          </w:tcPr>
          <w:p w14:paraId="790BAFCB" w14:textId="77777777" w:rsidR="007A4BC2" w:rsidRPr="007A4BC2" w:rsidRDefault="007A4BC2" w:rsidP="00B239E5">
            <w:pPr>
              <w:spacing w:before="0" w:after="0"/>
              <w:jc w:val="center"/>
              <w:rPr>
                <w:rFonts w:cs="Arial"/>
                <w:color w:val="000000"/>
                <w:sz w:val="18"/>
                <w:szCs w:val="18"/>
                <w:lang w:val="en-AU"/>
              </w:rPr>
            </w:pPr>
            <w:r w:rsidRPr="007A4BC2">
              <w:rPr>
                <w:rFonts w:cs="Arial"/>
                <w:color w:val="000000"/>
                <w:sz w:val="18"/>
                <w:szCs w:val="18"/>
                <w:lang w:val="en-AU"/>
              </w:rPr>
              <w:t>0</w:t>
            </w:r>
          </w:p>
        </w:tc>
        <w:tc>
          <w:tcPr>
            <w:tcW w:w="1280" w:type="dxa"/>
            <w:noWrap/>
            <w:vAlign w:val="center"/>
            <w:hideMark/>
          </w:tcPr>
          <w:p w14:paraId="5063E5C6" w14:textId="77777777" w:rsidR="007A4BC2" w:rsidRPr="007A4BC2" w:rsidRDefault="007A4BC2" w:rsidP="00B239E5">
            <w:pPr>
              <w:spacing w:before="0" w:after="0"/>
              <w:jc w:val="center"/>
              <w:rPr>
                <w:rFonts w:cs="Arial"/>
                <w:b/>
                <w:bCs/>
                <w:color w:val="000000"/>
                <w:sz w:val="18"/>
                <w:szCs w:val="18"/>
                <w:lang w:val="en-AU"/>
              </w:rPr>
            </w:pPr>
            <w:r w:rsidRPr="007A4BC2">
              <w:rPr>
                <w:rFonts w:cs="Arial"/>
                <w:b/>
                <w:bCs/>
                <w:color w:val="000000"/>
                <w:sz w:val="18"/>
                <w:szCs w:val="18"/>
                <w:lang w:val="en-AU"/>
              </w:rPr>
              <w:t>284</w:t>
            </w:r>
          </w:p>
        </w:tc>
        <w:tc>
          <w:tcPr>
            <w:tcW w:w="1280" w:type="dxa"/>
            <w:noWrap/>
            <w:vAlign w:val="center"/>
            <w:hideMark/>
          </w:tcPr>
          <w:p w14:paraId="2372AD7B" w14:textId="77777777" w:rsidR="007A4BC2" w:rsidRPr="007A4BC2" w:rsidRDefault="007A4BC2" w:rsidP="00B239E5">
            <w:pPr>
              <w:spacing w:before="0" w:after="0"/>
              <w:jc w:val="center"/>
              <w:rPr>
                <w:rFonts w:cs="Arial"/>
                <w:b/>
                <w:bCs/>
                <w:color w:val="000000"/>
                <w:sz w:val="18"/>
                <w:szCs w:val="18"/>
                <w:lang w:val="en-AU"/>
              </w:rPr>
            </w:pPr>
            <w:r w:rsidRPr="007A4BC2">
              <w:rPr>
                <w:rFonts w:cs="Arial"/>
                <w:b/>
                <w:bCs/>
                <w:color w:val="000000"/>
                <w:sz w:val="18"/>
                <w:szCs w:val="18"/>
                <w:lang w:val="en-AU"/>
              </w:rPr>
              <w:t>0</w:t>
            </w:r>
          </w:p>
        </w:tc>
      </w:tr>
      <w:tr w:rsidR="007A4BC2" w:rsidRPr="007A4BC2" w14:paraId="09607990" w14:textId="77777777" w:rsidTr="004A5BF7">
        <w:trPr>
          <w:trHeight w:val="315"/>
        </w:trPr>
        <w:tc>
          <w:tcPr>
            <w:tcW w:w="1380" w:type="dxa"/>
            <w:vMerge/>
            <w:vAlign w:val="center"/>
            <w:hideMark/>
          </w:tcPr>
          <w:p w14:paraId="27B5341C" w14:textId="77777777" w:rsidR="007A4BC2" w:rsidRPr="007A4BC2" w:rsidRDefault="007A4BC2" w:rsidP="004A5BF7">
            <w:pPr>
              <w:spacing w:before="0" w:after="0"/>
              <w:jc w:val="center"/>
              <w:rPr>
                <w:rFonts w:cs="Arial"/>
                <w:b/>
                <w:bCs/>
                <w:color w:val="000000"/>
                <w:sz w:val="18"/>
                <w:szCs w:val="18"/>
                <w:lang w:val="en-AU"/>
              </w:rPr>
            </w:pPr>
          </w:p>
        </w:tc>
        <w:tc>
          <w:tcPr>
            <w:tcW w:w="587" w:type="dxa"/>
            <w:noWrap/>
            <w:vAlign w:val="center"/>
            <w:hideMark/>
          </w:tcPr>
          <w:p w14:paraId="6D9CDC4E"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w:t>
            </w:r>
          </w:p>
        </w:tc>
        <w:tc>
          <w:tcPr>
            <w:tcW w:w="880" w:type="dxa"/>
            <w:noWrap/>
            <w:vAlign w:val="center"/>
            <w:hideMark/>
          </w:tcPr>
          <w:p w14:paraId="35BC8247"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100%</w:t>
            </w:r>
          </w:p>
        </w:tc>
        <w:tc>
          <w:tcPr>
            <w:tcW w:w="966" w:type="dxa"/>
            <w:noWrap/>
            <w:vAlign w:val="center"/>
            <w:hideMark/>
          </w:tcPr>
          <w:p w14:paraId="1BDEA940"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0%</w:t>
            </w:r>
          </w:p>
        </w:tc>
        <w:tc>
          <w:tcPr>
            <w:tcW w:w="966" w:type="dxa"/>
            <w:noWrap/>
            <w:vAlign w:val="center"/>
            <w:hideMark/>
          </w:tcPr>
          <w:p w14:paraId="480FAC5B"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98%</w:t>
            </w:r>
          </w:p>
        </w:tc>
        <w:tc>
          <w:tcPr>
            <w:tcW w:w="661" w:type="dxa"/>
            <w:noWrap/>
            <w:vAlign w:val="center"/>
            <w:hideMark/>
          </w:tcPr>
          <w:p w14:paraId="1C53EA10"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2%</w:t>
            </w:r>
          </w:p>
        </w:tc>
        <w:tc>
          <w:tcPr>
            <w:tcW w:w="547" w:type="dxa"/>
            <w:noWrap/>
            <w:vAlign w:val="center"/>
            <w:hideMark/>
          </w:tcPr>
          <w:p w14:paraId="5A473AD5" w14:textId="77777777" w:rsidR="007A4BC2" w:rsidRPr="007A4BC2" w:rsidRDefault="007A4BC2" w:rsidP="00B239E5">
            <w:pPr>
              <w:spacing w:before="0" w:after="0"/>
              <w:jc w:val="center"/>
              <w:rPr>
                <w:rFonts w:cs="Arial"/>
                <w:i/>
                <w:iCs/>
                <w:color w:val="000000"/>
                <w:sz w:val="18"/>
                <w:szCs w:val="18"/>
                <w:lang w:val="en-AU"/>
              </w:rPr>
            </w:pPr>
            <w:r w:rsidRPr="007A4BC2">
              <w:rPr>
                <w:rFonts w:cs="Arial"/>
                <w:i/>
                <w:iCs/>
                <w:color w:val="000000"/>
                <w:sz w:val="18"/>
                <w:szCs w:val="18"/>
                <w:lang w:val="en-AU"/>
              </w:rPr>
              <w:t>0%</w:t>
            </w:r>
          </w:p>
        </w:tc>
        <w:tc>
          <w:tcPr>
            <w:tcW w:w="1280" w:type="dxa"/>
            <w:noWrap/>
            <w:vAlign w:val="center"/>
            <w:hideMark/>
          </w:tcPr>
          <w:p w14:paraId="79A8E11B" w14:textId="77777777" w:rsidR="007A4BC2" w:rsidRPr="007A4BC2" w:rsidRDefault="007A4BC2" w:rsidP="00B239E5">
            <w:pPr>
              <w:spacing w:before="0" w:after="0"/>
              <w:jc w:val="center"/>
              <w:rPr>
                <w:rFonts w:cs="Arial"/>
                <w:b/>
                <w:bCs/>
                <w:i/>
                <w:iCs/>
                <w:color w:val="000000"/>
                <w:sz w:val="18"/>
                <w:szCs w:val="18"/>
                <w:lang w:val="en-AU"/>
              </w:rPr>
            </w:pPr>
            <w:r w:rsidRPr="007A4BC2">
              <w:rPr>
                <w:rFonts w:cs="Arial"/>
                <w:b/>
                <w:bCs/>
                <w:i/>
                <w:iCs/>
                <w:color w:val="000000"/>
                <w:sz w:val="18"/>
                <w:szCs w:val="18"/>
                <w:lang w:val="en-AU"/>
              </w:rPr>
              <w:t>100%</w:t>
            </w:r>
          </w:p>
        </w:tc>
        <w:tc>
          <w:tcPr>
            <w:tcW w:w="1280" w:type="dxa"/>
            <w:noWrap/>
            <w:vAlign w:val="center"/>
            <w:hideMark/>
          </w:tcPr>
          <w:p w14:paraId="5ED0BFF1" w14:textId="77777777" w:rsidR="007A4BC2" w:rsidRPr="007A4BC2" w:rsidRDefault="007A4BC2" w:rsidP="00B239E5">
            <w:pPr>
              <w:spacing w:before="0" w:after="0"/>
              <w:jc w:val="center"/>
              <w:rPr>
                <w:rFonts w:cs="Arial"/>
                <w:b/>
                <w:bCs/>
                <w:i/>
                <w:iCs/>
                <w:color w:val="000000"/>
                <w:sz w:val="18"/>
                <w:szCs w:val="18"/>
                <w:lang w:val="en-AU"/>
              </w:rPr>
            </w:pPr>
            <w:r w:rsidRPr="007A4BC2">
              <w:rPr>
                <w:rFonts w:cs="Arial"/>
                <w:b/>
                <w:bCs/>
                <w:i/>
                <w:iCs/>
                <w:color w:val="000000"/>
                <w:sz w:val="18"/>
                <w:szCs w:val="18"/>
                <w:lang w:val="en-AU"/>
              </w:rPr>
              <w:t>0%</w:t>
            </w:r>
          </w:p>
        </w:tc>
      </w:tr>
    </w:tbl>
    <w:p w14:paraId="0F2DD5EE" w14:textId="7CC5AAE4" w:rsidR="00B43959" w:rsidRDefault="00B43959" w:rsidP="00B43959">
      <w:pPr>
        <w:rPr>
          <w:lang w:val="en-AU"/>
        </w:rPr>
      </w:pPr>
      <w:r>
        <w:fldChar w:fldCharType="begin"/>
      </w:r>
      <w:r>
        <w:instrText xml:space="preserve"> REF _Ref437955503 \h  \* MERGEFORMAT </w:instrText>
      </w:r>
      <w:r>
        <w:fldChar w:fldCharType="separate"/>
      </w:r>
      <w:r w:rsidR="007F5336" w:rsidRPr="00202A68">
        <w:t xml:space="preserve">Table </w:t>
      </w:r>
      <w:r w:rsidR="007F5336">
        <w:rPr>
          <w:noProof/>
        </w:rPr>
        <w:t>5</w:t>
      </w:r>
      <w:r w:rsidR="007F5336">
        <w:rPr>
          <w:noProof/>
        </w:rPr>
        <w:noBreakHyphen/>
        <w:t>4</w:t>
      </w:r>
      <w:r>
        <w:fldChar w:fldCharType="end"/>
      </w:r>
      <w:r>
        <w:t xml:space="preserve"> </w:t>
      </w:r>
      <w:r w:rsidRPr="00B10E2E">
        <w:rPr>
          <w:lang w:val="en-AU"/>
        </w:rPr>
        <w:t>present</w:t>
      </w:r>
      <w:r>
        <w:rPr>
          <w:lang w:val="en-AU"/>
        </w:rPr>
        <w:t>s</w:t>
      </w:r>
      <w:r w:rsidRPr="00B10E2E">
        <w:rPr>
          <w:lang w:val="en-AU"/>
        </w:rPr>
        <w:t xml:space="preserve"> the areas (km</w:t>
      </w:r>
      <w:r w:rsidRPr="00B10E2E">
        <w:rPr>
          <w:vertAlign w:val="superscript"/>
          <w:lang w:val="en-AU"/>
        </w:rPr>
        <w:t>2</w:t>
      </w:r>
      <w:r w:rsidRPr="00B10E2E">
        <w:rPr>
          <w:lang w:val="en-AU"/>
        </w:rPr>
        <w:t>) and percentage (%) of seagrass beds (</w:t>
      </w:r>
      <w:r>
        <w:rPr>
          <w:lang w:val="en-AU"/>
        </w:rPr>
        <w:t>surveyed</w:t>
      </w:r>
      <w:r w:rsidRPr="00B10E2E">
        <w:rPr>
          <w:lang w:val="en-AU"/>
        </w:rPr>
        <w:t>, deep</w:t>
      </w:r>
      <w:r w:rsidR="00F30C0F">
        <w:rPr>
          <w:lang w:val="en-AU"/>
        </w:rPr>
        <w:t>-</w:t>
      </w:r>
      <w:r>
        <w:rPr>
          <w:lang w:val="en-AU"/>
        </w:rPr>
        <w:t>water modelled</w:t>
      </w:r>
      <w:r w:rsidRPr="00B10E2E">
        <w:rPr>
          <w:lang w:val="en-AU"/>
        </w:rPr>
        <w:t xml:space="preserve"> and total (</w:t>
      </w:r>
      <w:r w:rsidR="00F30C0F">
        <w:rPr>
          <w:lang w:val="en-AU"/>
        </w:rPr>
        <w:t>surveyed + deep-water modelled</w:t>
      </w:r>
      <w:r w:rsidRPr="00B10E2E">
        <w:rPr>
          <w:lang w:val="en-AU"/>
        </w:rPr>
        <w:t>)</w:t>
      </w:r>
      <w:r>
        <w:rPr>
          <w:lang w:val="en-AU"/>
        </w:rPr>
        <w:t xml:space="preserve"> </w:t>
      </w:r>
      <w:r w:rsidRPr="00B10E2E">
        <w:rPr>
          <w:lang w:val="en-AU"/>
        </w:rPr>
        <w:t>exposed to different categories of potential river plume risk within each NRM</w:t>
      </w:r>
      <w:r>
        <w:rPr>
          <w:lang w:val="en-AU"/>
        </w:rPr>
        <w:t>,</w:t>
      </w:r>
      <w:r w:rsidRPr="00B10E2E">
        <w:rPr>
          <w:lang w:val="en-AU"/>
        </w:rPr>
        <w:t xml:space="preserve"> exhibit</w:t>
      </w:r>
      <w:r>
        <w:rPr>
          <w:lang w:val="en-AU"/>
        </w:rPr>
        <w:t>ing</w:t>
      </w:r>
      <w:r w:rsidRPr="00B10E2E">
        <w:rPr>
          <w:lang w:val="en-AU"/>
        </w:rPr>
        <w:t xml:space="preserve"> a wide range of exposure</w:t>
      </w:r>
      <w:r w:rsidRPr="008467AA">
        <w:rPr>
          <w:lang w:val="en-AU"/>
        </w:rPr>
        <w:t xml:space="preserve"> (areas, % and categories of risk).</w:t>
      </w:r>
      <w:r>
        <w:rPr>
          <w:lang w:val="en-AU"/>
        </w:rPr>
        <w:t xml:space="preserve"> In 2014-15</w:t>
      </w:r>
      <w:r w:rsidRPr="00B10E2E">
        <w:rPr>
          <w:lang w:val="en-AU"/>
        </w:rPr>
        <w:t xml:space="preserve"> </w:t>
      </w:r>
      <w:r w:rsidRPr="008467AA">
        <w:rPr>
          <w:lang w:val="en-AU"/>
        </w:rPr>
        <w:t xml:space="preserve">GBR </w:t>
      </w:r>
      <w:r w:rsidR="00B239E5">
        <w:rPr>
          <w:lang w:val="en-AU"/>
        </w:rPr>
        <w:t xml:space="preserve">surveyed </w:t>
      </w:r>
      <w:r w:rsidRPr="008467AA">
        <w:rPr>
          <w:lang w:val="en-AU"/>
        </w:rPr>
        <w:t>seagrass beds were most</w:t>
      </w:r>
      <w:r>
        <w:rPr>
          <w:lang w:val="en-AU"/>
        </w:rPr>
        <w:t>ly</w:t>
      </w:r>
      <w:r w:rsidRPr="008467AA">
        <w:rPr>
          <w:lang w:val="en-AU"/>
        </w:rPr>
        <w:t xml:space="preserve"> exposed to the medium categories of potential river plume risk (</w:t>
      </w:r>
      <w:r>
        <w:rPr>
          <w:lang w:val="en-AU"/>
        </w:rPr>
        <w:t xml:space="preserve">categories </w:t>
      </w:r>
      <w:r w:rsidRPr="008467AA">
        <w:rPr>
          <w:lang w:val="en-AU"/>
        </w:rPr>
        <w:t>II and III).</w:t>
      </w:r>
      <w:r>
        <w:rPr>
          <w:lang w:val="en-AU"/>
        </w:rPr>
        <w:t xml:space="preserve"> E</w:t>
      </w:r>
      <w:r w:rsidRPr="008467AA">
        <w:rPr>
          <w:lang w:val="en-AU"/>
        </w:rPr>
        <w:t xml:space="preserve">xposure categories </w:t>
      </w:r>
      <w:r>
        <w:rPr>
          <w:lang w:val="en-AU"/>
        </w:rPr>
        <w:t>for deep</w:t>
      </w:r>
      <w:r w:rsidR="00F30C0F">
        <w:rPr>
          <w:lang w:val="en-AU"/>
        </w:rPr>
        <w:t>-</w:t>
      </w:r>
      <w:r>
        <w:rPr>
          <w:lang w:val="en-AU"/>
        </w:rPr>
        <w:t xml:space="preserve">water modelled seagrass </w:t>
      </w:r>
      <w:r w:rsidRPr="008467AA">
        <w:rPr>
          <w:lang w:val="en-AU"/>
        </w:rPr>
        <w:t xml:space="preserve">were more variable but were </w:t>
      </w:r>
      <w:r>
        <w:rPr>
          <w:lang w:val="en-AU"/>
        </w:rPr>
        <w:t>predominantly</w:t>
      </w:r>
      <w:r w:rsidRPr="008467AA">
        <w:rPr>
          <w:lang w:val="en-AU"/>
        </w:rPr>
        <w:t xml:space="preserve"> exposed to the lowest categories of potential river plume risk (I and II). </w:t>
      </w:r>
    </w:p>
    <w:p w14:paraId="5F22EF8A" w14:textId="67B6C5A6" w:rsidR="005F3C3E" w:rsidRPr="0070210F" w:rsidRDefault="00B43959" w:rsidP="009F168E">
      <w:pPr>
        <w:rPr>
          <w:rFonts w:cs="Arial"/>
          <w:szCs w:val="22"/>
          <w:lang w:val="en-AU"/>
        </w:rPr>
      </w:pPr>
      <w:r>
        <w:rPr>
          <w:rFonts w:cs="Arial"/>
          <w:szCs w:val="22"/>
          <w:lang w:val="en-AU"/>
        </w:rPr>
        <w:t>It is estimated that</w:t>
      </w:r>
      <w:r w:rsidR="005F3C3E" w:rsidRPr="0070210F">
        <w:rPr>
          <w:rFonts w:cs="Arial"/>
          <w:szCs w:val="22"/>
          <w:lang w:val="en-AU"/>
        </w:rPr>
        <w:t xml:space="preserve"> 97% of the GBR </w:t>
      </w:r>
      <w:r>
        <w:rPr>
          <w:rFonts w:cs="Arial"/>
          <w:szCs w:val="22"/>
          <w:lang w:val="en-AU"/>
        </w:rPr>
        <w:t xml:space="preserve">surveyed </w:t>
      </w:r>
      <w:r w:rsidR="005F3C3E" w:rsidRPr="0070210F">
        <w:rPr>
          <w:rFonts w:cs="Arial"/>
          <w:szCs w:val="22"/>
          <w:lang w:val="en-AU"/>
        </w:rPr>
        <w:t xml:space="preserve">seagrasses were exposed to </w:t>
      </w:r>
      <w:r>
        <w:rPr>
          <w:rFonts w:cs="Arial"/>
          <w:szCs w:val="22"/>
          <w:lang w:val="en-AU"/>
        </w:rPr>
        <w:t xml:space="preserve">surface </w:t>
      </w:r>
      <w:r w:rsidR="005F3C3E" w:rsidRPr="0070210F">
        <w:rPr>
          <w:rFonts w:cs="Arial"/>
          <w:szCs w:val="22"/>
          <w:lang w:val="en-AU"/>
        </w:rPr>
        <w:t xml:space="preserve">river plumes, with most of them </w:t>
      </w:r>
      <w:r>
        <w:rPr>
          <w:rFonts w:cs="Arial"/>
          <w:szCs w:val="22"/>
          <w:lang w:val="en-AU"/>
        </w:rPr>
        <w:t>in</w:t>
      </w:r>
      <w:r w:rsidRPr="0070210F">
        <w:rPr>
          <w:rFonts w:cs="Arial"/>
          <w:szCs w:val="22"/>
          <w:lang w:val="en-AU"/>
        </w:rPr>
        <w:t xml:space="preserve"> </w:t>
      </w:r>
      <w:r w:rsidR="005F3C3E" w:rsidRPr="0070210F">
        <w:rPr>
          <w:rFonts w:cs="Arial"/>
          <w:szCs w:val="22"/>
          <w:lang w:val="en-AU"/>
        </w:rPr>
        <w:t>the potential risk categories II and III from the river plume exposure. The largest areas of coastal seagrasses exposed to river plumes were located in the Cape York (97%</w:t>
      </w:r>
      <w:r>
        <w:rPr>
          <w:rFonts w:cs="Arial"/>
          <w:szCs w:val="22"/>
          <w:lang w:val="en-AU"/>
        </w:rPr>
        <w:t xml:space="preserve"> but note low confidence</w:t>
      </w:r>
      <w:r w:rsidR="005F3C3E" w:rsidRPr="0070210F">
        <w:rPr>
          <w:rFonts w:cs="Arial"/>
          <w:szCs w:val="22"/>
          <w:lang w:val="en-AU"/>
        </w:rPr>
        <w:t>), Burdekin (97%) and Fitzroy (95%)</w:t>
      </w:r>
      <w:r>
        <w:rPr>
          <w:rFonts w:cs="Arial"/>
          <w:szCs w:val="22"/>
          <w:lang w:val="en-AU"/>
        </w:rPr>
        <w:t xml:space="preserve"> regions</w:t>
      </w:r>
      <w:r w:rsidR="005F3C3E" w:rsidRPr="0070210F">
        <w:rPr>
          <w:rFonts w:cs="Arial"/>
          <w:szCs w:val="22"/>
          <w:lang w:val="en-AU"/>
        </w:rPr>
        <w:t xml:space="preserve">. </w:t>
      </w:r>
      <w:r>
        <w:rPr>
          <w:rFonts w:cs="Arial"/>
          <w:szCs w:val="22"/>
          <w:lang w:val="en-AU"/>
        </w:rPr>
        <w:t xml:space="preserve">Excluding the Cape York region, </w:t>
      </w:r>
      <w:r w:rsidR="00B239E5">
        <w:rPr>
          <w:rFonts w:cs="Arial"/>
          <w:szCs w:val="22"/>
          <w:lang w:val="en-AU"/>
        </w:rPr>
        <w:t>surveyed</w:t>
      </w:r>
      <w:r w:rsidR="005F3C3E" w:rsidRPr="0070210F">
        <w:rPr>
          <w:rFonts w:cs="Arial"/>
          <w:szCs w:val="22"/>
          <w:lang w:val="en-AU"/>
        </w:rPr>
        <w:t xml:space="preserve"> seagrasses of the </w:t>
      </w:r>
      <w:r w:rsidRPr="0070210F">
        <w:rPr>
          <w:rFonts w:cs="Arial"/>
          <w:szCs w:val="22"/>
          <w:lang w:val="en-AU"/>
        </w:rPr>
        <w:t xml:space="preserve">Burdekin and Fitzroy </w:t>
      </w:r>
      <w:r>
        <w:rPr>
          <w:rFonts w:cs="Arial"/>
          <w:szCs w:val="22"/>
          <w:lang w:val="en-AU"/>
        </w:rPr>
        <w:t>regions had</w:t>
      </w:r>
      <w:r w:rsidR="005F3C3E" w:rsidRPr="0070210F">
        <w:rPr>
          <w:rFonts w:cs="Arial"/>
          <w:szCs w:val="22"/>
          <w:lang w:val="en-AU"/>
        </w:rPr>
        <w:t xml:space="preserve"> the highest potential risk from river plume exposure 83% and 95 % respectively).</w:t>
      </w:r>
    </w:p>
    <w:p w14:paraId="5F22EF8B" w14:textId="2536F14C" w:rsidR="005F3C3E" w:rsidRPr="0070210F" w:rsidRDefault="00B43959" w:rsidP="009F168E">
      <w:pPr>
        <w:rPr>
          <w:rFonts w:cs="Arial"/>
          <w:szCs w:val="22"/>
          <w:lang w:val="en-AU"/>
        </w:rPr>
      </w:pPr>
      <w:r>
        <w:rPr>
          <w:rFonts w:cs="Arial"/>
          <w:szCs w:val="22"/>
          <w:lang w:val="en-AU"/>
        </w:rPr>
        <w:t>For deep</w:t>
      </w:r>
      <w:r w:rsidR="00F30C0F">
        <w:rPr>
          <w:rFonts w:cs="Arial"/>
          <w:szCs w:val="22"/>
          <w:lang w:val="en-AU"/>
        </w:rPr>
        <w:t>-</w:t>
      </w:r>
      <w:r>
        <w:rPr>
          <w:rFonts w:cs="Arial"/>
          <w:szCs w:val="22"/>
          <w:lang w:val="en-AU"/>
        </w:rPr>
        <w:t>water modelled seagrass</w:t>
      </w:r>
      <w:r w:rsidR="00B239E5">
        <w:rPr>
          <w:rFonts w:cs="Arial"/>
          <w:szCs w:val="22"/>
          <w:lang w:val="en-AU"/>
        </w:rPr>
        <w:t>,</w:t>
      </w:r>
      <w:r w:rsidR="005F3C3E" w:rsidRPr="0070210F">
        <w:rPr>
          <w:rFonts w:cs="Arial"/>
          <w:szCs w:val="22"/>
          <w:lang w:val="en-AU"/>
        </w:rPr>
        <w:t xml:space="preserve"> 94%</w:t>
      </w:r>
      <w:r>
        <w:rPr>
          <w:rFonts w:cs="Arial"/>
          <w:szCs w:val="22"/>
          <w:lang w:val="en-AU"/>
        </w:rPr>
        <w:t xml:space="preserve"> </w:t>
      </w:r>
      <w:r w:rsidR="005F3C3E" w:rsidRPr="0070210F">
        <w:rPr>
          <w:rFonts w:cs="Arial"/>
          <w:szCs w:val="22"/>
          <w:lang w:val="en-AU"/>
        </w:rPr>
        <w:t xml:space="preserve"> were exposed to </w:t>
      </w:r>
      <w:r w:rsidR="002226D2">
        <w:rPr>
          <w:rFonts w:cs="Arial"/>
          <w:szCs w:val="22"/>
          <w:lang w:val="en-AU"/>
        </w:rPr>
        <w:t xml:space="preserve">surface </w:t>
      </w:r>
      <w:r w:rsidR="005F3C3E" w:rsidRPr="0070210F">
        <w:rPr>
          <w:rFonts w:cs="Arial"/>
          <w:szCs w:val="22"/>
          <w:lang w:val="en-AU"/>
        </w:rPr>
        <w:t xml:space="preserve">river plumes, with most of them </w:t>
      </w:r>
      <w:r w:rsidR="00944779">
        <w:rPr>
          <w:rFonts w:cs="Arial"/>
          <w:szCs w:val="22"/>
          <w:lang w:val="en-AU"/>
        </w:rPr>
        <w:t>(92%) in</w:t>
      </w:r>
      <w:r w:rsidR="00944779" w:rsidRPr="0070210F">
        <w:rPr>
          <w:rFonts w:cs="Arial"/>
          <w:szCs w:val="22"/>
          <w:lang w:val="en-AU"/>
        </w:rPr>
        <w:t xml:space="preserve"> </w:t>
      </w:r>
      <w:r w:rsidR="005F3C3E" w:rsidRPr="0070210F">
        <w:rPr>
          <w:rFonts w:cs="Arial"/>
          <w:szCs w:val="22"/>
          <w:lang w:val="en-AU"/>
        </w:rPr>
        <w:t xml:space="preserve">the lowest potential risk categories (I and II). In all NRM regions, 90 to 100% of </w:t>
      </w:r>
      <w:r w:rsidR="00944779">
        <w:rPr>
          <w:rFonts w:cs="Arial"/>
          <w:szCs w:val="22"/>
          <w:lang w:val="en-AU"/>
        </w:rPr>
        <w:t>deep</w:t>
      </w:r>
      <w:r w:rsidR="00F30C0F">
        <w:rPr>
          <w:rFonts w:cs="Arial"/>
          <w:szCs w:val="22"/>
          <w:lang w:val="en-AU"/>
        </w:rPr>
        <w:t>-</w:t>
      </w:r>
      <w:r w:rsidR="00944779">
        <w:rPr>
          <w:rFonts w:cs="Arial"/>
          <w:szCs w:val="22"/>
          <w:lang w:val="en-AU"/>
        </w:rPr>
        <w:t>water modelled</w:t>
      </w:r>
      <w:r w:rsidR="00944779" w:rsidRPr="0070210F">
        <w:rPr>
          <w:rFonts w:cs="Arial"/>
          <w:szCs w:val="22"/>
          <w:lang w:val="en-AU"/>
        </w:rPr>
        <w:t xml:space="preserve"> </w:t>
      </w:r>
      <w:r w:rsidR="005F3C3E" w:rsidRPr="0070210F">
        <w:rPr>
          <w:rFonts w:cs="Arial"/>
          <w:szCs w:val="22"/>
          <w:lang w:val="en-AU"/>
        </w:rPr>
        <w:t>seagrass areas were exposed to river plumes, except in the Burdekin w</w:t>
      </w:r>
      <w:r w:rsidR="00944779">
        <w:rPr>
          <w:rFonts w:cs="Arial"/>
          <w:szCs w:val="22"/>
          <w:lang w:val="en-AU"/>
        </w:rPr>
        <w:t>h</w:t>
      </w:r>
      <w:r w:rsidR="005F3C3E" w:rsidRPr="0070210F">
        <w:rPr>
          <w:rFonts w:cs="Arial"/>
          <w:szCs w:val="22"/>
          <w:lang w:val="en-AU"/>
        </w:rPr>
        <w:t xml:space="preserve">ere </w:t>
      </w:r>
      <w:r w:rsidR="00944779">
        <w:rPr>
          <w:rFonts w:cs="Arial"/>
          <w:szCs w:val="22"/>
          <w:lang w:val="en-AU"/>
        </w:rPr>
        <w:t xml:space="preserve">the proportion of </w:t>
      </w:r>
      <w:r w:rsidR="005F3C3E" w:rsidRPr="0070210F">
        <w:rPr>
          <w:rFonts w:cs="Arial"/>
          <w:szCs w:val="22"/>
          <w:lang w:val="en-AU"/>
        </w:rPr>
        <w:t xml:space="preserve">meadows exposed </w:t>
      </w:r>
      <w:r w:rsidR="00944779">
        <w:rPr>
          <w:rFonts w:cs="Arial"/>
          <w:szCs w:val="22"/>
          <w:lang w:val="en-AU"/>
        </w:rPr>
        <w:t>was</w:t>
      </w:r>
      <w:r w:rsidR="00944779" w:rsidRPr="0070210F">
        <w:rPr>
          <w:rFonts w:cs="Arial"/>
          <w:szCs w:val="22"/>
          <w:lang w:val="en-AU"/>
        </w:rPr>
        <w:t xml:space="preserve"> </w:t>
      </w:r>
      <w:r w:rsidR="005F3C3E" w:rsidRPr="0070210F">
        <w:rPr>
          <w:rFonts w:cs="Arial"/>
          <w:szCs w:val="22"/>
          <w:lang w:val="en-AU"/>
        </w:rPr>
        <w:t xml:space="preserve">about 74%. Note that seagrass meadows in Hervey Bay (outside of the GBR southern boundary) were not included in the risk analysis. </w:t>
      </w:r>
      <w:r w:rsidR="00944779">
        <w:rPr>
          <w:rFonts w:cs="Arial"/>
          <w:szCs w:val="22"/>
          <w:lang w:val="en-AU"/>
        </w:rPr>
        <w:t>There were no deep</w:t>
      </w:r>
      <w:r w:rsidR="00F30C0F">
        <w:rPr>
          <w:rFonts w:cs="Arial"/>
          <w:szCs w:val="22"/>
          <w:lang w:val="en-AU"/>
        </w:rPr>
        <w:t>-</w:t>
      </w:r>
      <w:r w:rsidR="00944779">
        <w:rPr>
          <w:rFonts w:cs="Arial"/>
          <w:szCs w:val="22"/>
          <w:lang w:val="en-AU"/>
        </w:rPr>
        <w:t>water modelled</w:t>
      </w:r>
      <w:r w:rsidR="00944779" w:rsidRPr="0070210F">
        <w:rPr>
          <w:rFonts w:cs="Arial"/>
          <w:szCs w:val="22"/>
          <w:lang w:val="en-AU"/>
        </w:rPr>
        <w:t xml:space="preserve"> </w:t>
      </w:r>
      <w:r w:rsidR="005F3C3E" w:rsidRPr="0070210F">
        <w:rPr>
          <w:rFonts w:cs="Arial"/>
          <w:szCs w:val="22"/>
          <w:lang w:val="en-AU"/>
        </w:rPr>
        <w:t>seagrass</w:t>
      </w:r>
      <w:r w:rsidR="00944779">
        <w:rPr>
          <w:rFonts w:cs="Arial"/>
          <w:szCs w:val="22"/>
          <w:lang w:val="en-AU"/>
        </w:rPr>
        <w:t xml:space="preserve"> in the highest risk category, and a relatively small proportion </w:t>
      </w:r>
      <w:r w:rsidR="00F30C0F">
        <w:rPr>
          <w:rFonts w:cs="Arial"/>
          <w:szCs w:val="22"/>
          <w:lang w:val="en-AU"/>
        </w:rPr>
        <w:t>was</w:t>
      </w:r>
      <w:r w:rsidR="00944779">
        <w:rPr>
          <w:rFonts w:cs="Arial"/>
          <w:szCs w:val="22"/>
          <w:lang w:val="en-AU"/>
        </w:rPr>
        <w:t xml:space="preserve"> in the </w:t>
      </w:r>
      <w:r w:rsidR="00944779" w:rsidRPr="0070210F">
        <w:rPr>
          <w:rFonts w:cs="Arial"/>
          <w:szCs w:val="22"/>
          <w:lang w:val="en-AU"/>
        </w:rPr>
        <w:t>potential risk category III</w:t>
      </w:r>
      <w:r w:rsidR="00944779" w:rsidRPr="0070210F" w:rsidDel="00944779">
        <w:rPr>
          <w:rFonts w:cs="Arial"/>
          <w:szCs w:val="22"/>
          <w:lang w:val="en-AU"/>
        </w:rPr>
        <w:t xml:space="preserve"> </w:t>
      </w:r>
      <w:r w:rsidR="005F3C3E" w:rsidRPr="0070210F">
        <w:rPr>
          <w:rFonts w:cs="Arial"/>
          <w:szCs w:val="22"/>
          <w:lang w:val="en-AU"/>
        </w:rPr>
        <w:t xml:space="preserve"> </w:t>
      </w:r>
      <w:r w:rsidR="00944779">
        <w:rPr>
          <w:rFonts w:cs="Arial"/>
          <w:szCs w:val="22"/>
          <w:lang w:val="en-AU"/>
        </w:rPr>
        <w:t>in</w:t>
      </w:r>
      <w:r w:rsidR="00944779" w:rsidRPr="0070210F">
        <w:rPr>
          <w:rFonts w:cs="Arial"/>
          <w:szCs w:val="22"/>
          <w:lang w:val="en-AU"/>
        </w:rPr>
        <w:t xml:space="preserve"> </w:t>
      </w:r>
      <w:r w:rsidR="005F3C3E" w:rsidRPr="0070210F">
        <w:rPr>
          <w:rFonts w:cs="Arial"/>
          <w:szCs w:val="22"/>
          <w:lang w:val="en-AU"/>
        </w:rPr>
        <w:t>the Fitzroy and Mackay</w:t>
      </w:r>
      <w:r w:rsidR="00B239E5">
        <w:rPr>
          <w:rFonts w:cs="Arial"/>
          <w:szCs w:val="22"/>
          <w:lang w:val="en-AU"/>
        </w:rPr>
        <w:t xml:space="preserve"> </w:t>
      </w:r>
      <w:r w:rsidR="005F3C3E" w:rsidRPr="0070210F">
        <w:rPr>
          <w:rFonts w:cs="Arial"/>
          <w:szCs w:val="22"/>
          <w:lang w:val="en-AU"/>
        </w:rPr>
        <w:t>Whitsunday</w:t>
      </w:r>
      <w:r w:rsidR="00944779">
        <w:rPr>
          <w:rFonts w:cs="Arial"/>
          <w:szCs w:val="22"/>
          <w:lang w:val="en-AU"/>
        </w:rPr>
        <w:t xml:space="preserve"> regions (</w:t>
      </w:r>
      <w:r w:rsidR="0070210F">
        <w:rPr>
          <w:rFonts w:cs="Arial"/>
          <w:szCs w:val="22"/>
          <w:lang w:val="en-AU"/>
        </w:rPr>
        <w:t>5% and 13</w:t>
      </w:r>
      <w:r w:rsidR="005F3C3E" w:rsidRPr="0070210F">
        <w:rPr>
          <w:rFonts w:cs="Arial"/>
          <w:szCs w:val="22"/>
          <w:lang w:val="en-AU"/>
        </w:rPr>
        <w:t xml:space="preserve">% respectively).  </w:t>
      </w:r>
    </w:p>
    <w:p w14:paraId="5F22EF8D" w14:textId="45BE8C56" w:rsidR="00174FBE" w:rsidRDefault="00944779">
      <w:pPr>
        <w:spacing w:before="0" w:after="0"/>
        <w:jc w:val="left"/>
        <w:rPr>
          <w:szCs w:val="24"/>
          <w:lang w:val="en-AU" w:eastAsia="en-GB"/>
        </w:rPr>
      </w:pPr>
      <w:r>
        <w:rPr>
          <w:lang w:val="en-AU"/>
        </w:rPr>
        <w:t xml:space="preserve">The assessment of the total seagrass area </w:t>
      </w:r>
      <w:r w:rsidR="007A4BC2">
        <w:rPr>
          <w:lang w:val="en-AU"/>
        </w:rPr>
        <w:t xml:space="preserve">(see </w:t>
      </w:r>
      <w:r w:rsidR="007A4BC2">
        <w:rPr>
          <w:lang w:val="en-AU"/>
        </w:rPr>
        <w:fldChar w:fldCharType="begin"/>
      </w:r>
      <w:r w:rsidR="007A4BC2">
        <w:rPr>
          <w:lang w:val="en-AU"/>
        </w:rPr>
        <w:instrText xml:space="preserve"> REF _Ref437955503 \h </w:instrText>
      </w:r>
      <w:r w:rsidR="007A4BC2">
        <w:rPr>
          <w:lang w:val="en-AU"/>
        </w:rPr>
      </w:r>
      <w:r w:rsidR="007A4BC2">
        <w:rPr>
          <w:lang w:val="en-AU"/>
        </w:rPr>
        <w:fldChar w:fldCharType="separate"/>
      </w:r>
      <w:r w:rsidR="007F5336" w:rsidRPr="00202A68">
        <w:t xml:space="preserve">Table </w:t>
      </w:r>
      <w:r w:rsidR="007F5336">
        <w:rPr>
          <w:noProof/>
        </w:rPr>
        <w:t>5</w:t>
      </w:r>
      <w:r w:rsidR="007F5336">
        <w:noBreakHyphen/>
      </w:r>
      <w:r w:rsidR="007F5336">
        <w:rPr>
          <w:noProof/>
        </w:rPr>
        <w:t>4</w:t>
      </w:r>
      <w:r w:rsidR="007A4BC2">
        <w:rPr>
          <w:lang w:val="en-AU"/>
        </w:rPr>
        <w:fldChar w:fldCharType="end"/>
      </w:r>
      <w:r w:rsidR="007A4BC2">
        <w:rPr>
          <w:lang w:val="en-AU"/>
        </w:rPr>
        <w:t xml:space="preserve">) </w:t>
      </w:r>
      <w:r>
        <w:rPr>
          <w:lang w:val="en-AU"/>
        </w:rPr>
        <w:t xml:space="preserve">indicates that while 94% of the seagrasses were potentially exposed to surface river plumes, a majority of these were in the lowest risk categories (I and II). </w:t>
      </w:r>
      <w:r w:rsidR="007A4BC2">
        <w:rPr>
          <w:lang w:val="en-AU"/>
        </w:rPr>
        <w:t xml:space="preserve"> </w:t>
      </w:r>
    </w:p>
    <w:p w14:paraId="5F22F02D" w14:textId="0B5B8870" w:rsidR="00D361EB" w:rsidRPr="00202A68" w:rsidRDefault="00D361EB" w:rsidP="00164E5E">
      <w:pPr>
        <w:pStyle w:val="Caption"/>
        <w:rPr>
          <w:rStyle w:val="IntenseReference"/>
        </w:rPr>
      </w:pPr>
      <w:bookmarkStart w:id="1128" w:name="_Ref437955503"/>
      <w:bookmarkStart w:id="1129" w:name="_Toc459332158"/>
      <w:r w:rsidRPr="00202A68">
        <w:t xml:space="preserve">Table </w:t>
      </w:r>
      <w:r w:rsidR="00124249">
        <w:fldChar w:fldCharType="begin"/>
      </w:r>
      <w:r w:rsidR="00124249">
        <w:instrText xml:space="preserve"> STYLEREF 1 \s </w:instrText>
      </w:r>
      <w:r w:rsidR="00124249">
        <w:fldChar w:fldCharType="separate"/>
      </w:r>
      <w:r w:rsidR="007F5336">
        <w:rPr>
          <w:noProof/>
        </w:rPr>
        <w:t>5</w:t>
      </w:r>
      <w:r w:rsidR="00124249">
        <w:fldChar w:fldCharType="end"/>
      </w:r>
      <w:r w:rsidR="00124249">
        <w:noBreakHyphen/>
      </w:r>
      <w:r w:rsidR="00124249">
        <w:fldChar w:fldCharType="begin"/>
      </w:r>
      <w:r w:rsidR="00124249">
        <w:instrText xml:space="preserve"> SEQ Table \* ARABIC \s 1 </w:instrText>
      </w:r>
      <w:r w:rsidR="00124249">
        <w:fldChar w:fldCharType="separate"/>
      </w:r>
      <w:r w:rsidR="007F5336">
        <w:rPr>
          <w:noProof/>
        </w:rPr>
        <w:t>4</w:t>
      </w:r>
      <w:r w:rsidR="00124249">
        <w:fldChar w:fldCharType="end"/>
      </w:r>
      <w:bookmarkEnd w:id="1128"/>
      <w:r w:rsidRPr="00202A68">
        <w:t>: Areas (km</w:t>
      </w:r>
      <w:r w:rsidRPr="004A5BF7">
        <w:rPr>
          <w:vertAlign w:val="superscript"/>
        </w:rPr>
        <w:t>2</w:t>
      </w:r>
      <w:r w:rsidRPr="00202A68">
        <w:t xml:space="preserve">) and percentage (%) of </w:t>
      </w:r>
      <w:r w:rsidR="00B239E5">
        <w:t>surveyed</w:t>
      </w:r>
      <w:r w:rsidRPr="00202A68">
        <w:t>, deep</w:t>
      </w:r>
      <w:r w:rsidR="00B239E5">
        <w:t>water modelled</w:t>
      </w:r>
      <w:r w:rsidRPr="00202A68">
        <w:t xml:space="preserve"> and total (</w:t>
      </w:r>
      <w:r w:rsidR="00B239E5">
        <w:t>surveyed plus deepwater modelled</w:t>
      </w:r>
      <w:r w:rsidRPr="00202A68">
        <w:t xml:space="preserve">) seagrass exposed to different categories of </w:t>
      </w:r>
      <w:r w:rsidR="00DA6094">
        <w:t xml:space="preserve">surface </w:t>
      </w:r>
      <w:r w:rsidRPr="00202A68">
        <w:t>river plume frequency and river plume-related risk within the GBR and each NRM</w:t>
      </w:r>
      <w:r w:rsidR="00B239E5">
        <w:t xml:space="preserve"> region</w:t>
      </w:r>
      <w:r w:rsidRPr="00202A68">
        <w:t>.</w:t>
      </w:r>
      <w:bookmarkEnd w:id="1129"/>
      <w:r w:rsidRPr="00202A68">
        <w:rPr>
          <w:rStyle w:val="IntenseReference"/>
        </w:rPr>
        <w:t xml:space="preserve"> Surface areas south of the GBR </w:t>
      </w:r>
      <w:r w:rsidR="00B239E5">
        <w:rPr>
          <w:rStyle w:val="IntenseReference"/>
        </w:rPr>
        <w:t>M</w:t>
      </w:r>
      <w:r w:rsidR="00B239E5" w:rsidRPr="00202A68">
        <w:rPr>
          <w:rStyle w:val="IntenseReference"/>
        </w:rPr>
        <w:t xml:space="preserve">arine </w:t>
      </w:r>
      <w:r w:rsidR="00B239E5">
        <w:rPr>
          <w:rStyle w:val="IntenseReference"/>
        </w:rPr>
        <w:t>P</w:t>
      </w:r>
      <w:r w:rsidRPr="00202A68">
        <w:rPr>
          <w:rStyle w:val="IntenseReference"/>
        </w:rPr>
        <w:t>ark boundary (Hervey Bay) are not included.</w:t>
      </w:r>
    </w:p>
    <w:tbl>
      <w:tblPr>
        <w:tblStyle w:val="TableGrid1"/>
        <w:tblW w:w="8705" w:type="dxa"/>
        <w:tblLook w:val="04A0" w:firstRow="1" w:lastRow="0" w:firstColumn="1" w:lastColumn="0" w:noHBand="0" w:noVBand="1"/>
        <w:tblCaption w:val="Table 5 4: Areas (km2) and percentage (%) of surveyed, deepwater modelled and total (surveyed plus deepwater modelled) seagrass exposed to different categories of surface river plume frequency and river plume-related risk within the GBR and each NRM region"/>
        <w:tblDescription w:val="Table showing areas (km2) and percentage (%) of surveyed, deepwater modelled and total (surveyed plus deepwater modelled) seagrass exposed to different categories of surface river plume frequency and river plume-related risk within the GBR and each NRM region. Surface areas south of the GBR Marine Park boundary (Hervey Bay) are not included."/>
      </w:tblPr>
      <w:tblGrid>
        <w:gridCol w:w="1461"/>
        <w:gridCol w:w="628"/>
        <w:gridCol w:w="880"/>
        <w:gridCol w:w="906"/>
        <w:gridCol w:w="905"/>
        <w:gridCol w:w="748"/>
        <w:gridCol w:w="617"/>
        <w:gridCol w:w="1280"/>
        <w:gridCol w:w="1280"/>
      </w:tblGrid>
      <w:tr w:rsidR="00B239E5" w:rsidRPr="007A4BC2" w14:paraId="5F22F033" w14:textId="77777777" w:rsidTr="004A5BF7">
        <w:trPr>
          <w:trHeight w:val="315"/>
          <w:tblHeader/>
        </w:trPr>
        <w:tc>
          <w:tcPr>
            <w:tcW w:w="2089" w:type="dxa"/>
            <w:gridSpan w:val="2"/>
            <w:vMerge w:val="restart"/>
            <w:noWrap/>
            <w:hideMark/>
          </w:tcPr>
          <w:p w14:paraId="5F22F02E" w14:textId="5705B10F" w:rsidR="00B239E5" w:rsidRPr="007A4BC2" w:rsidRDefault="00B239E5" w:rsidP="004A5BF7">
            <w:pPr>
              <w:spacing w:before="0" w:after="0"/>
              <w:jc w:val="left"/>
              <w:rPr>
                <w:rFonts w:cs="Arial"/>
                <w:b/>
                <w:bCs/>
                <w:color w:val="000000"/>
                <w:sz w:val="18"/>
                <w:szCs w:val="18"/>
                <w:lang w:val="en-AU"/>
              </w:rPr>
            </w:pPr>
            <w:r w:rsidRPr="007A4BC2">
              <w:rPr>
                <w:rFonts w:cs="Arial"/>
                <w:b/>
                <w:bCs/>
                <w:color w:val="000000"/>
                <w:sz w:val="18"/>
                <w:szCs w:val="18"/>
                <w:lang w:val="en-AU"/>
              </w:rPr>
              <w:t>Total seagrass</w:t>
            </w:r>
          </w:p>
        </w:tc>
        <w:tc>
          <w:tcPr>
            <w:tcW w:w="880" w:type="dxa"/>
            <w:vMerge w:val="restart"/>
            <w:noWrap/>
            <w:hideMark/>
          </w:tcPr>
          <w:p w14:paraId="5F22F02F" w14:textId="10666BFC" w:rsidR="00B239E5" w:rsidRPr="007A4BC2" w:rsidRDefault="00B239E5" w:rsidP="009F168E">
            <w:pPr>
              <w:spacing w:before="0" w:after="0"/>
              <w:jc w:val="center"/>
              <w:rPr>
                <w:rFonts w:cs="Arial"/>
                <w:b/>
                <w:bCs/>
                <w:color w:val="000000"/>
                <w:sz w:val="18"/>
                <w:szCs w:val="18"/>
                <w:lang w:val="en-AU"/>
              </w:rPr>
            </w:pPr>
            <w:r w:rsidRPr="002615B8">
              <w:rPr>
                <w:rFonts w:cs="Arial"/>
                <w:b/>
                <w:bCs/>
                <w:color w:val="000000"/>
                <w:sz w:val="18"/>
                <w:szCs w:val="18"/>
                <w:lang w:val="en-AU"/>
              </w:rPr>
              <w:t>Tot</w:t>
            </w:r>
            <w:r>
              <w:rPr>
                <w:rFonts w:cs="Arial"/>
                <w:b/>
                <w:bCs/>
                <w:color w:val="000000"/>
                <w:sz w:val="18"/>
                <w:szCs w:val="18"/>
                <w:lang w:val="en-AU"/>
              </w:rPr>
              <w:t>al</w:t>
            </w:r>
          </w:p>
        </w:tc>
        <w:tc>
          <w:tcPr>
            <w:tcW w:w="3176" w:type="dxa"/>
            <w:gridSpan w:val="4"/>
            <w:noWrap/>
            <w:hideMark/>
          </w:tcPr>
          <w:p w14:paraId="5F22F030" w14:textId="77777777" w:rsidR="00B239E5" w:rsidRPr="007A4BC2" w:rsidRDefault="00B239E5" w:rsidP="009F168E">
            <w:pPr>
              <w:spacing w:before="0" w:after="0"/>
              <w:jc w:val="center"/>
              <w:rPr>
                <w:rFonts w:cs="Arial"/>
                <w:b/>
                <w:bCs/>
                <w:color w:val="000000"/>
                <w:sz w:val="18"/>
                <w:szCs w:val="18"/>
                <w:lang w:val="en-AU"/>
              </w:rPr>
            </w:pPr>
            <w:r w:rsidRPr="007A4BC2">
              <w:rPr>
                <w:rFonts w:cs="Arial"/>
                <w:b/>
                <w:bCs/>
                <w:color w:val="000000"/>
                <w:sz w:val="18"/>
                <w:szCs w:val="18"/>
                <w:lang w:val="en-AU"/>
              </w:rPr>
              <w:t>Risk category</w:t>
            </w:r>
          </w:p>
        </w:tc>
        <w:tc>
          <w:tcPr>
            <w:tcW w:w="1280" w:type="dxa"/>
            <w:vMerge w:val="restart"/>
            <w:hideMark/>
          </w:tcPr>
          <w:p w14:paraId="5F22F031" w14:textId="44496CBA" w:rsidR="00B239E5" w:rsidRPr="007A4BC2" w:rsidRDefault="00B239E5" w:rsidP="009F168E">
            <w:pPr>
              <w:spacing w:before="0" w:after="0"/>
              <w:jc w:val="center"/>
              <w:rPr>
                <w:rFonts w:cs="Arial"/>
                <w:b/>
                <w:bCs/>
                <w:color w:val="000000"/>
                <w:sz w:val="18"/>
                <w:szCs w:val="18"/>
                <w:lang w:val="en-AU"/>
              </w:rPr>
            </w:pPr>
            <w:r w:rsidRPr="00B239E5">
              <w:rPr>
                <w:rFonts w:cs="Arial"/>
                <w:b/>
                <w:bCs/>
                <w:color w:val="000000"/>
                <w:sz w:val="18"/>
                <w:szCs w:val="18"/>
                <w:lang w:val="en-AU"/>
              </w:rPr>
              <w:t>Total</w:t>
            </w:r>
            <w:r w:rsidRPr="002615B8">
              <w:rPr>
                <w:rFonts w:cs="Arial"/>
                <w:b/>
                <w:bCs/>
                <w:color w:val="000000"/>
                <w:sz w:val="18"/>
                <w:szCs w:val="18"/>
                <w:lang w:val="en-AU"/>
              </w:rPr>
              <w:t xml:space="preserve"> exposed</w:t>
            </w:r>
          </w:p>
        </w:tc>
        <w:tc>
          <w:tcPr>
            <w:tcW w:w="1280" w:type="dxa"/>
            <w:vMerge w:val="restart"/>
            <w:hideMark/>
          </w:tcPr>
          <w:p w14:paraId="5F22F032" w14:textId="4FDCEEAA" w:rsidR="00B239E5" w:rsidRPr="007A4BC2" w:rsidRDefault="00B239E5" w:rsidP="009F168E">
            <w:pPr>
              <w:spacing w:before="0" w:after="0"/>
              <w:jc w:val="center"/>
              <w:rPr>
                <w:rFonts w:cs="Arial"/>
                <w:b/>
                <w:bCs/>
                <w:color w:val="000000"/>
                <w:sz w:val="18"/>
                <w:szCs w:val="18"/>
                <w:lang w:val="en-AU"/>
              </w:rPr>
            </w:pPr>
            <w:r w:rsidRPr="00B239E5">
              <w:rPr>
                <w:rFonts w:cs="Arial"/>
                <w:b/>
                <w:bCs/>
                <w:color w:val="000000"/>
                <w:sz w:val="18"/>
                <w:szCs w:val="18"/>
                <w:lang w:val="en-AU"/>
              </w:rPr>
              <w:t>Total</w:t>
            </w:r>
            <w:r w:rsidRPr="002615B8">
              <w:rPr>
                <w:rFonts w:cs="Arial"/>
                <w:b/>
                <w:bCs/>
                <w:color w:val="000000"/>
                <w:sz w:val="18"/>
                <w:szCs w:val="18"/>
                <w:lang w:val="en-AU"/>
              </w:rPr>
              <w:t xml:space="preserve"> non exposed</w:t>
            </w:r>
          </w:p>
        </w:tc>
      </w:tr>
      <w:tr w:rsidR="00D361EB" w:rsidRPr="007A4BC2" w14:paraId="5F22F03C" w14:textId="77777777" w:rsidTr="004A5BF7">
        <w:trPr>
          <w:trHeight w:val="64"/>
          <w:tblHeader/>
        </w:trPr>
        <w:tc>
          <w:tcPr>
            <w:tcW w:w="2089" w:type="dxa"/>
            <w:gridSpan w:val="2"/>
            <w:vMerge/>
            <w:hideMark/>
          </w:tcPr>
          <w:p w14:paraId="5F22F034" w14:textId="77777777" w:rsidR="00D361EB" w:rsidRPr="007A4BC2" w:rsidRDefault="00D361EB" w:rsidP="004A5BF7">
            <w:pPr>
              <w:spacing w:before="0" w:after="0"/>
              <w:jc w:val="left"/>
              <w:rPr>
                <w:rFonts w:cs="Arial"/>
                <w:b/>
                <w:bCs/>
                <w:color w:val="000000"/>
                <w:sz w:val="18"/>
                <w:szCs w:val="18"/>
                <w:lang w:val="en-AU"/>
              </w:rPr>
            </w:pPr>
          </w:p>
        </w:tc>
        <w:tc>
          <w:tcPr>
            <w:tcW w:w="880" w:type="dxa"/>
            <w:vMerge/>
            <w:hideMark/>
          </w:tcPr>
          <w:p w14:paraId="5F22F035" w14:textId="77777777" w:rsidR="00D361EB" w:rsidRPr="007A4BC2" w:rsidRDefault="00D361EB" w:rsidP="009F168E">
            <w:pPr>
              <w:spacing w:before="0" w:after="0"/>
              <w:rPr>
                <w:rFonts w:cs="Arial"/>
                <w:b/>
                <w:bCs/>
                <w:color w:val="000000"/>
                <w:sz w:val="18"/>
                <w:szCs w:val="18"/>
                <w:lang w:val="en-AU"/>
              </w:rPr>
            </w:pPr>
          </w:p>
        </w:tc>
        <w:tc>
          <w:tcPr>
            <w:tcW w:w="906" w:type="dxa"/>
            <w:shd w:val="clear" w:color="auto" w:fill="0070C0"/>
            <w:noWrap/>
            <w:hideMark/>
          </w:tcPr>
          <w:p w14:paraId="5F22F036" w14:textId="77777777" w:rsidR="00D361EB" w:rsidRPr="007A4BC2" w:rsidRDefault="00D361EB" w:rsidP="009F168E">
            <w:pPr>
              <w:spacing w:before="0" w:after="0"/>
              <w:jc w:val="center"/>
              <w:rPr>
                <w:rFonts w:cs="Arial"/>
                <w:b/>
                <w:bCs/>
                <w:color w:val="FFFFFF" w:themeColor="background1"/>
                <w:sz w:val="18"/>
                <w:szCs w:val="18"/>
                <w:lang w:val="en-AU"/>
              </w:rPr>
            </w:pPr>
            <w:r w:rsidRPr="007A4BC2">
              <w:rPr>
                <w:rFonts w:cs="Arial"/>
                <w:b/>
                <w:bCs/>
                <w:color w:val="FFFFFF" w:themeColor="background1"/>
                <w:sz w:val="18"/>
                <w:szCs w:val="18"/>
                <w:lang w:val="en-AU"/>
              </w:rPr>
              <w:t>I</w:t>
            </w:r>
          </w:p>
        </w:tc>
        <w:tc>
          <w:tcPr>
            <w:tcW w:w="905" w:type="dxa"/>
            <w:shd w:val="clear" w:color="auto" w:fill="00B050"/>
            <w:noWrap/>
            <w:hideMark/>
          </w:tcPr>
          <w:p w14:paraId="5F22F037" w14:textId="77777777" w:rsidR="00D361EB" w:rsidRPr="007A4BC2" w:rsidRDefault="00D361EB" w:rsidP="009F168E">
            <w:pPr>
              <w:spacing w:before="0" w:after="0"/>
              <w:jc w:val="center"/>
              <w:rPr>
                <w:rFonts w:cs="Arial"/>
                <w:b/>
                <w:bCs/>
                <w:color w:val="FFFFFF" w:themeColor="background1"/>
                <w:sz w:val="18"/>
                <w:szCs w:val="18"/>
                <w:lang w:val="en-AU"/>
              </w:rPr>
            </w:pPr>
            <w:r w:rsidRPr="007A4BC2">
              <w:rPr>
                <w:rFonts w:cs="Arial"/>
                <w:b/>
                <w:bCs/>
                <w:color w:val="FFFFFF" w:themeColor="background1"/>
                <w:sz w:val="18"/>
                <w:szCs w:val="18"/>
                <w:lang w:val="en-AU"/>
              </w:rPr>
              <w:t>II</w:t>
            </w:r>
          </w:p>
        </w:tc>
        <w:tc>
          <w:tcPr>
            <w:tcW w:w="748" w:type="dxa"/>
            <w:shd w:val="clear" w:color="auto" w:fill="FF0000"/>
            <w:noWrap/>
            <w:hideMark/>
          </w:tcPr>
          <w:p w14:paraId="5F22F038" w14:textId="77777777" w:rsidR="00D361EB" w:rsidRPr="007A4BC2" w:rsidRDefault="00D361EB" w:rsidP="009F168E">
            <w:pPr>
              <w:spacing w:before="0" w:after="0"/>
              <w:jc w:val="center"/>
              <w:rPr>
                <w:rFonts w:cs="Arial"/>
                <w:b/>
                <w:bCs/>
                <w:color w:val="FFFFFF" w:themeColor="background1"/>
                <w:sz w:val="18"/>
                <w:szCs w:val="18"/>
                <w:lang w:val="en-AU"/>
              </w:rPr>
            </w:pPr>
            <w:r w:rsidRPr="007A4BC2">
              <w:rPr>
                <w:rFonts w:cs="Arial"/>
                <w:b/>
                <w:bCs/>
                <w:color w:val="FFFFFF" w:themeColor="background1"/>
                <w:sz w:val="18"/>
                <w:szCs w:val="18"/>
                <w:lang w:val="en-AU"/>
              </w:rPr>
              <w:t>III</w:t>
            </w:r>
          </w:p>
        </w:tc>
        <w:tc>
          <w:tcPr>
            <w:tcW w:w="617" w:type="dxa"/>
            <w:shd w:val="clear" w:color="auto" w:fill="C00000"/>
            <w:noWrap/>
            <w:hideMark/>
          </w:tcPr>
          <w:p w14:paraId="5F22F039" w14:textId="77777777" w:rsidR="00D361EB" w:rsidRPr="007A4BC2" w:rsidRDefault="00D361EB" w:rsidP="009F168E">
            <w:pPr>
              <w:spacing w:before="0" w:after="0"/>
              <w:jc w:val="center"/>
              <w:rPr>
                <w:rFonts w:cs="Arial"/>
                <w:b/>
                <w:bCs/>
                <w:sz w:val="18"/>
                <w:szCs w:val="18"/>
                <w:lang w:val="en-AU"/>
              </w:rPr>
            </w:pPr>
            <w:r w:rsidRPr="007A4BC2">
              <w:rPr>
                <w:rFonts w:cs="Arial"/>
                <w:b/>
                <w:bCs/>
                <w:sz w:val="18"/>
                <w:szCs w:val="18"/>
                <w:lang w:val="en-AU"/>
              </w:rPr>
              <w:t>IV</w:t>
            </w:r>
          </w:p>
        </w:tc>
        <w:tc>
          <w:tcPr>
            <w:tcW w:w="1280" w:type="dxa"/>
            <w:vMerge/>
            <w:hideMark/>
          </w:tcPr>
          <w:p w14:paraId="5F22F03A" w14:textId="77777777" w:rsidR="00D361EB" w:rsidRPr="007A4BC2" w:rsidRDefault="00D361EB" w:rsidP="009F168E">
            <w:pPr>
              <w:spacing w:before="0" w:after="0"/>
              <w:rPr>
                <w:rFonts w:cs="Arial"/>
                <w:b/>
                <w:bCs/>
                <w:color w:val="000000"/>
                <w:sz w:val="18"/>
                <w:szCs w:val="18"/>
                <w:lang w:val="en-AU"/>
              </w:rPr>
            </w:pPr>
          </w:p>
        </w:tc>
        <w:tc>
          <w:tcPr>
            <w:tcW w:w="1280" w:type="dxa"/>
            <w:vMerge/>
            <w:hideMark/>
          </w:tcPr>
          <w:p w14:paraId="5F22F03B" w14:textId="77777777" w:rsidR="00D361EB" w:rsidRPr="007A4BC2" w:rsidRDefault="00D361EB" w:rsidP="009F168E">
            <w:pPr>
              <w:spacing w:before="0" w:after="0"/>
              <w:rPr>
                <w:rFonts w:cs="Arial"/>
                <w:b/>
                <w:bCs/>
                <w:color w:val="000000"/>
                <w:sz w:val="18"/>
                <w:szCs w:val="18"/>
                <w:lang w:val="en-AU"/>
              </w:rPr>
            </w:pPr>
          </w:p>
        </w:tc>
      </w:tr>
      <w:tr w:rsidR="00D361EB" w:rsidRPr="007A4BC2" w14:paraId="5F22F046" w14:textId="77777777" w:rsidTr="00E437B8">
        <w:trPr>
          <w:trHeight w:val="315"/>
        </w:trPr>
        <w:tc>
          <w:tcPr>
            <w:tcW w:w="1461" w:type="dxa"/>
            <w:vMerge w:val="restart"/>
            <w:noWrap/>
            <w:hideMark/>
          </w:tcPr>
          <w:p w14:paraId="5F22F03D" w14:textId="77777777" w:rsidR="00D361EB" w:rsidRPr="007A4BC2" w:rsidRDefault="00D361EB" w:rsidP="004A5BF7">
            <w:pPr>
              <w:spacing w:before="0" w:after="0"/>
              <w:jc w:val="left"/>
              <w:rPr>
                <w:rFonts w:cs="Arial"/>
                <w:b/>
                <w:bCs/>
                <w:color w:val="000000"/>
                <w:sz w:val="18"/>
                <w:szCs w:val="18"/>
                <w:lang w:val="en-AU"/>
              </w:rPr>
            </w:pPr>
            <w:r w:rsidRPr="007A4BC2">
              <w:rPr>
                <w:rFonts w:cs="Arial"/>
                <w:b/>
                <w:bCs/>
                <w:color w:val="000000"/>
                <w:sz w:val="18"/>
                <w:szCs w:val="18"/>
                <w:lang w:val="en-AU"/>
              </w:rPr>
              <w:t>GBR</w:t>
            </w:r>
          </w:p>
        </w:tc>
        <w:tc>
          <w:tcPr>
            <w:tcW w:w="628" w:type="dxa"/>
            <w:noWrap/>
            <w:hideMark/>
          </w:tcPr>
          <w:p w14:paraId="5F22F03E" w14:textId="77777777" w:rsidR="00D361EB" w:rsidRPr="007A4BC2" w:rsidRDefault="00D361EB" w:rsidP="009F168E">
            <w:pPr>
              <w:spacing w:before="0" w:after="0"/>
              <w:jc w:val="center"/>
              <w:rPr>
                <w:rFonts w:cs="Arial"/>
                <w:b/>
                <w:bCs/>
                <w:color w:val="000000"/>
                <w:sz w:val="18"/>
                <w:szCs w:val="18"/>
                <w:lang w:val="en-AU"/>
              </w:rPr>
            </w:pPr>
            <w:r w:rsidRPr="007A4BC2">
              <w:rPr>
                <w:rFonts w:cs="Arial"/>
                <w:b/>
                <w:bCs/>
                <w:color w:val="000000"/>
                <w:sz w:val="18"/>
                <w:szCs w:val="18"/>
                <w:lang w:val="en-AU"/>
              </w:rPr>
              <w:t>area</w:t>
            </w:r>
          </w:p>
        </w:tc>
        <w:tc>
          <w:tcPr>
            <w:tcW w:w="880" w:type="dxa"/>
            <w:noWrap/>
            <w:hideMark/>
          </w:tcPr>
          <w:p w14:paraId="5F22F03F" w14:textId="77777777" w:rsidR="00D361EB" w:rsidRPr="007A4BC2" w:rsidRDefault="00D361EB" w:rsidP="009F168E">
            <w:pPr>
              <w:spacing w:before="0" w:after="0"/>
              <w:jc w:val="center"/>
              <w:rPr>
                <w:rFonts w:cs="Arial"/>
                <w:b/>
                <w:bCs/>
                <w:color w:val="000000"/>
                <w:sz w:val="18"/>
                <w:szCs w:val="18"/>
                <w:lang w:val="en-AU"/>
              </w:rPr>
            </w:pPr>
            <w:r w:rsidRPr="007A4BC2">
              <w:rPr>
                <w:rFonts w:cs="Arial"/>
                <w:b/>
                <w:bCs/>
                <w:color w:val="000000"/>
                <w:sz w:val="18"/>
                <w:szCs w:val="18"/>
                <w:lang w:val="en-AU"/>
              </w:rPr>
              <w:t>3,814</w:t>
            </w:r>
          </w:p>
        </w:tc>
        <w:tc>
          <w:tcPr>
            <w:tcW w:w="906" w:type="dxa"/>
            <w:noWrap/>
            <w:hideMark/>
          </w:tcPr>
          <w:p w14:paraId="5F22F040" w14:textId="77777777" w:rsidR="00D361EB" w:rsidRPr="007A4BC2" w:rsidRDefault="00D361EB" w:rsidP="009F168E">
            <w:pPr>
              <w:spacing w:before="0" w:after="0"/>
              <w:jc w:val="center"/>
              <w:rPr>
                <w:rFonts w:cs="Arial"/>
                <w:b/>
                <w:bCs/>
                <w:color w:val="000000"/>
                <w:sz w:val="18"/>
                <w:szCs w:val="18"/>
                <w:lang w:val="en-AU"/>
              </w:rPr>
            </w:pPr>
            <w:r w:rsidRPr="007A4BC2">
              <w:rPr>
                <w:rFonts w:cs="Arial"/>
                <w:b/>
                <w:bCs/>
                <w:color w:val="000000"/>
                <w:sz w:val="18"/>
                <w:szCs w:val="18"/>
                <w:lang w:val="en-AU"/>
              </w:rPr>
              <w:t>246</w:t>
            </w:r>
          </w:p>
        </w:tc>
        <w:tc>
          <w:tcPr>
            <w:tcW w:w="905" w:type="dxa"/>
            <w:noWrap/>
            <w:hideMark/>
          </w:tcPr>
          <w:p w14:paraId="5F22F041" w14:textId="77777777" w:rsidR="00D361EB" w:rsidRPr="007A4BC2" w:rsidRDefault="00D361EB" w:rsidP="009F168E">
            <w:pPr>
              <w:spacing w:before="0" w:after="0"/>
              <w:jc w:val="center"/>
              <w:rPr>
                <w:rFonts w:cs="Arial"/>
                <w:b/>
                <w:bCs/>
                <w:color w:val="000000"/>
                <w:sz w:val="18"/>
                <w:szCs w:val="18"/>
                <w:lang w:val="en-AU"/>
              </w:rPr>
            </w:pPr>
            <w:r w:rsidRPr="007A4BC2">
              <w:rPr>
                <w:rFonts w:cs="Arial"/>
                <w:b/>
                <w:bCs/>
                <w:color w:val="000000"/>
                <w:sz w:val="18"/>
                <w:szCs w:val="18"/>
                <w:lang w:val="en-AU"/>
              </w:rPr>
              <w:t>1,031</w:t>
            </w:r>
          </w:p>
        </w:tc>
        <w:tc>
          <w:tcPr>
            <w:tcW w:w="748" w:type="dxa"/>
            <w:noWrap/>
            <w:hideMark/>
          </w:tcPr>
          <w:p w14:paraId="5F22F042" w14:textId="77777777" w:rsidR="00D361EB" w:rsidRPr="007A4BC2" w:rsidRDefault="00D361EB" w:rsidP="009F168E">
            <w:pPr>
              <w:spacing w:before="0" w:after="0"/>
              <w:jc w:val="center"/>
              <w:rPr>
                <w:rFonts w:cs="Arial"/>
                <w:b/>
                <w:bCs/>
                <w:color w:val="000000"/>
                <w:sz w:val="18"/>
                <w:szCs w:val="18"/>
                <w:lang w:val="en-AU"/>
              </w:rPr>
            </w:pPr>
            <w:r w:rsidRPr="007A4BC2">
              <w:rPr>
                <w:rFonts w:cs="Arial"/>
                <w:b/>
                <w:bCs/>
                <w:color w:val="000000"/>
                <w:sz w:val="18"/>
                <w:szCs w:val="18"/>
                <w:lang w:val="en-AU"/>
              </w:rPr>
              <w:t>2,029</w:t>
            </w:r>
          </w:p>
        </w:tc>
        <w:tc>
          <w:tcPr>
            <w:tcW w:w="617" w:type="dxa"/>
            <w:noWrap/>
            <w:hideMark/>
          </w:tcPr>
          <w:p w14:paraId="5F22F043" w14:textId="77777777" w:rsidR="00D361EB" w:rsidRPr="007A4BC2" w:rsidRDefault="00D361EB" w:rsidP="009F168E">
            <w:pPr>
              <w:spacing w:before="0" w:after="0"/>
              <w:jc w:val="center"/>
              <w:rPr>
                <w:rFonts w:cs="Arial"/>
                <w:b/>
                <w:bCs/>
                <w:color w:val="000000"/>
                <w:sz w:val="18"/>
                <w:szCs w:val="18"/>
                <w:lang w:val="en-AU"/>
              </w:rPr>
            </w:pPr>
            <w:r w:rsidRPr="007A4BC2">
              <w:rPr>
                <w:rFonts w:cs="Arial"/>
                <w:b/>
                <w:bCs/>
                <w:color w:val="000000"/>
                <w:sz w:val="18"/>
                <w:szCs w:val="18"/>
                <w:lang w:val="en-AU"/>
              </w:rPr>
              <w:t>379</w:t>
            </w:r>
          </w:p>
        </w:tc>
        <w:tc>
          <w:tcPr>
            <w:tcW w:w="1280" w:type="dxa"/>
            <w:noWrap/>
            <w:hideMark/>
          </w:tcPr>
          <w:p w14:paraId="5F22F044" w14:textId="77777777" w:rsidR="00D361EB" w:rsidRPr="007A4BC2" w:rsidRDefault="00D361EB" w:rsidP="009F168E">
            <w:pPr>
              <w:spacing w:before="0" w:after="0"/>
              <w:jc w:val="center"/>
              <w:rPr>
                <w:rFonts w:cs="Arial"/>
                <w:b/>
                <w:bCs/>
                <w:color w:val="000000"/>
                <w:sz w:val="18"/>
                <w:szCs w:val="18"/>
                <w:lang w:val="en-AU"/>
              </w:rPr>
            </w:pPr>
            <w:r w:rsidRPr="007A4BC2">
              <w:rPr>
                <w:rFonts w:cs="Arial"/>
                <w:b/>
                <w:bCs/>
                <w:color w:val="000000"/>
                <w:sz w:val="18"/>
                <w:szCs w:val="18"/>
                <w:lang w:val="en-AU"/>
              </w:rPr>
              <w:t>3,684</w:t>
            </w:r>
          </w:p>
        </w:tc>
        <w:tc>
          <w:tcPr>
            <w:tcW w:w="1280" w:type="dxa"/>
            <w:noWrap/>
            <w:hideMark/>
          </w:tcPr>
          <w:p w14:paraId="5F22F045" w14:textId="77777777" w:rsidR="00D361EB" w:rsidRPr="007A4BC2" w:rsidRDefault="00D361EB" w:rsidP="009F168E">
            <w:pPr>
              <w:spacing w:before="0" w:after="0"/>
              <w:jc w:val="center"/>
              <w:rPr>
                <w:rFonts w:cs="Arial"/>
                <w:b/>
                <w:bCs/>
                <w:color w:val="000000"/>
                <w:sz w:val="18"/>
                <w:szCs w:val="18"/>
                <w:lang w:val="en-AU"/>
              </w:rPr>
            </w:pPr>
            <w:r w:rsidRPr="007A4BC2">
              <w:rPr>
                <w:rFonts w:cs="Arial"/>
                <w:b/>
                <w:bCs/>
                <w:color w:val="000000"/>
                <w:sz w:val="18"/>
                <w:szCs w:val="18"/>
                <w:lang w:val="en-AU"/>
              </w:rPr>
              <w:t>130</w:t>
            </w:r>
          </w:p>
        </w:tc>
      </w:tr>
      <w:tr w:rsidR="00D361EB" w:rsidRPr="007A4BC2" w14:paraId="5F22F050" w14:textId="77777777" w:rsidTr="00E437B8">
        <w:trPr>
          <w:trHeight w:val="315"/>
        </w:trPr>
        <w:tc>
          <w:tcPr>
            <w:tcW w:w="1461" w:type="dxa"/>
            <w:vMerge/>
            <w:hideMark/>
          </w:tcPr>
          <w:p w14:paraId="5F22F047" w14:textId="77777777" w:rsidR="00D361EB" w:rsidRPr="007A4BC2" w:rsidRDefault="00D361EB" w:rsidP="004A5BF7">
            <w:pPr>
              <w:spacing w:before="0" w:after="0"/>
              <w:jc w:val="left"/>
              <w:rPr>
                <w:rFonts w:cs="Arial"/>
                <w:b/>
                <w:bCs/>
                <w:color w:val="000000"/>
                <w:sz w:val="18"/>
                <w:szCs w:val="18"/>
                <w:lang w:val="en-AU"/>
              </w:rPr>
            </w:pPr>
          </w:p>
        </w:tc>
        <w:tc>
          <w:tcPr>
            <w:tcW w:w="628" w:type="dxa"/>
            <w:noWrap/>
            <w:hideMark/>
          </w:tcPr>
          <w:p w14:paraId="5F22F048" w14:textId="77777777" w:rsidR="00D361EB" w:rsidRPr="007A4BC2" w:rsidRDefault="00D361EB" w:rsidP="009F168E">
            <w:pPr>
              <w:spacing w:before="0" w:after="0"/>
              <w:jc w:val="center"/>
              <w:rPr>
                <w:rFonts w:cs="Arial"/>
                <w:b/>
                <w:bCs/>
                <w:i/>
                <w:iCs/>
                <w:color w:val="000000"/>
                <w:sz w:val="18"/>
                <w:szCs w:val="18"/>
                <w:lang w:val="en-AU"/>
              </w:rPr>
            </w:pPr>
            <w:r w:rsidRPr="007A4BC2">
              <w:rPr>
                <w:rFonts w:cs="Arial"/>
                <w:b/>
                <w:bCs/>
                <w:i/>
                <w:iCs/>
                <w:color w:val="000000"/>
                <w:sz w:val="18"/>
                <w:szCs w:val="18"/>
                <w:lang w:val="en-AU"/>
              </w:rPr>
              <w:t>%</w:t>
            </w:r>
          </w:p>
        </w:tc>
        <w:tc>
          <w:tcPr>
            <w:tcW w:w="880" w:type="dxa"/>
            <w:noWrap/>
            <w:hideMark/>
          </w:tcPr>
          <w:p w14:paraId="5F22F049" w14:textId="77777777" w:rsidR="00D361EB" w:rsidRPr="007A4BC2" w:rsidRDefault="00D361EB" w:rsidP="009F168E">
            <w:pPr>
              <w:spacing w:before="0" w:after="0"/>
              <w:jc w:val="center"/>
              <w:rPr>
                <w:rFonts w:cs="Arial"/>
                <w:b/>
                <w:bCs/>
                <w:i/>
                <w:iCs/>
                <w:color w:val="000000"/>
                <w:sz w:val="18"/>
                <w:szCs w:val="18"/>
                <w:lang w:val="en-AU"/>
              </w:rPr>
            </w:pPr>
            <w:r w:rsidRPr="007A4BC2">
              <w:rPr>
                <w:rFonts w:cs="Arial"/>
                <w:b/>
                <w:bCs/>
                <w:i/>
                <w:iCs/>
                <w:color w:val="000000"/>
                <w:sz w:val="18"/>
                <w:szCs w:val="18"/>
                <w:lang w:val="en-AU"/>
              </w:rPr>
              <w:t>100%</w:t>
            </w:r>
          </w:p>
        </w:tc>
        <w:tc>
          <w:tcPr>
            <w:tcW w:w="906" w:type="dxa"/>
            <w:noWrap/>
            <w:hideMark/>
          </w:tcPr>
          <w:p w14:paraId="5F22F04A"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6%</w:t>
            </w:r>
          </w:p>
        </w:tc>
        <w:tc>
          <w:tcPr>
            <w:tcW w:w="905" w:type="dxa"/>
            <w:noWrap/>
            <w:hideMark/>
          </w:tcPr>
          <w:p w14:paraId="5F22F04B"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27%</w:t>
            </w:r>
          </w:p>
        </w:tc>
        <w:tc>
          <w:tcPr>
            <w:tcW w:w="748" w:type="dxa"/>
            <w:noWrap/>
            <w:hideMark/>
          </w:tcPr>
          <w:p w14:paraId="5F22F04C"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53%</w:t>
            </w:r>
          </w:p>
        </w:tc>
        <w:tc>
          <w:tcPr>
            <w:tcW w:w="617" w:type="dxa"/>
            <w:noWrap/>
            <w:hideMark/>
          </w:tcPr>
          <w:p w14:paraId="5F22F04D"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10%</w:t>
            </w:r>
          </w:p>
        </w:tc>
        <w:tc>
          <w:tcPr>
            <w:tcW w:w="1280" w:type="dxa"/>
            <w:noWrap/>
            <w:hideMark/>
          </w:tcPr>
          <w:p w14:paraId="5F22F04E" w14:textId="77777777" w:rsidR="00D361EB" w:rsidRPr="007A4BC2" w:rsidRDefault="00D361EB" w:rsidP="009F168E">
            <w:pPr>
              <w:spacing w:before="0" w:after="0"/>
              <w:jc w:val="center"/>
              <w:rPr>
                <w:rFonts w:cs="Arial"/>
                <w:b/>
                <w:bCs/>
                <w:i/>
                <w:iCs/>
                <w:color w:val="000000"/>
                <w:sz w:val="18"/>
                <w:szCs w:val="18"/>
                <w:lang w:val="en-AU"/>
              </w:rPr>
            </w:pPr>
            <w:r w:rsidRPr="007A4BC2">
              <w:rPr>
                <w:rFonts w:cs="Arial"/>
                <w:b/>
                <w:bCs/>
                <w:i/>
                <w:iCs/>
                <w:color w:val="000000"/>
                <w:sz w:val="18"/>
                <w:szCs w:val="18"/>
                <w:lang w:val="en-AU"/>
              </w:rPr>
              <w:t>97%</w:t>
            </w:r>
          </w:p>
        </w:tc>
        <w:tc>
          <w:tcPr>
            <w:tcW w:w="1280" w:type="dxa"/>
            <w:noWrap/>
            <w:hideMark/>
          </w:tcPr>
          <w:p w14:paraId="5F22F04F" w14:textId="77777777" w:rsidR="00D361EB" w:rsidRPr="007A4BC2" w:rsidRDefault="00D361EB" w:rsidP="009F168E">
            <w:pPr>
              <w:spacing w:before="0" w:after="0"/>
              <w:jc w:val="center"/>
              <w:rPr>
                <w:rFonts w:cs="Arial"/>
                <w:b/>
                <w:bCs/>
                <w:i/>
                <w:iCs/>
                <w:color w:val="000000"/>
                <w:sz w:val="18"/>
                <w:szCs w:val="18"/>
                <w:lang w:val="en-AU"/>
              </w:rPr>
            </w:pPr>
            <w:r w:rsidRPr="007A4BC2">
              <w:rPr>
                <w:rFonts w:cs="Arial"/>
                <w:b/>
                <w:bCs/>
                <w:i/>
                <w:iCs/>
                <w:color w:val="000000"/>
                <w:sz w:val="18"/>
                <w:szCs w:val="18"/>
                <w:lang w:val="en-AU"/>
              </w:rPr>
              <w:t>3%</w:t>
            </w:r>
          </w:p>
        </w:tc>
      </w:tr>
      <w:tr w:rsidR="00D361EB" w:rsidRPr="007A4BC2" w14:paraId="5F22F05A" w14:textId="77777777" w:rsidTr="00E437B8">
        <w:trPr>
          <w:trHeight w:val="315"/>
        </w:trPr>
        <w:tc>
          <w:tcPr>
            <w:tcW w:w="1461" w:type="dxa"/>
            <w:vMerge w:val="restart"/>
            <w:noWrap/>
            <w:hideMark/>
          </w:tcPr>
          <w:p w14:paraId="5F22F051" w14:textId="77777777" w:rsidR="00D361EB" w:rsidRPr="007A4BC2" w:rsidRDefault="00D361EB" w:rsidP="004A5BF7">
            <w:pPr>
              <w:spacing w:before="0" w:after="0"/>
              <w:jc w:val="left"/>
              <w:rPr>
                <w:rFonts w:cs="Arial"/>
                <w:b/>
                <w:bCs/>
                <w:color w:val="000000"/>
                <w:sz w:val="18"/>
                <w:szCs w:val="18"/>
                <w:lang w:val="en-AU"/>
              </w:rPr>
            </w:pPr>
            <w:r w:rsidRPr="007A4BC2">
              <w:rPr>
                <w:rFonts w:cs="Arial"/>
                <w:b/>
                <w:bCs/>
                <w:color w:val="000000"/>
                <w:sz w:val="18"/>
                <w:szCs w:val="18"/>
                <w:lang w:val="en-AU"/>
              </w:rPr>
              <w:t>Cape York</w:t>
            </w:r>
          </w:p>
        </w:tc>
        <w:tc>
          <w:tcPr>
            <w:tcW w:w="628" w:type="dxa"/>
            <w:noWrap/>
            <w:hideMark/>
          </w:tcPr>
          <w:p w14:paraId="5F22F052"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area</w:t>
            </w:r>
          </w:p>
        </w:tc>
        <w:tc>
          <w:tcPr>
            <w:tcW w:w="880" w:type="dxa"/>
            <w:noWrap/>
            <w:hideMark/>
          </w:tcPr>
          <w:p w14:paraId="5F22F053"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2,438</w:t>
            </w:r>
          </w:p>
        </w:tc>
        <w:tc>
          <w:tcPr>
            <w:tcW w:w="906" w:type="dxa"/>
            <w:noWrap/>
            <w:hideMark/>
          </w:tcPr>
          <w:p w14:paraId="5F22F054"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245</w:t>
            </w:r>
          </w:p>
        </w:tc>
        <w:tc>
          <w:tcPr>
            <w:tcW w:w="905" w:type="dxa"/>
            <w:noWrap/>
            <w:hideMark/>
          </w:tcPr>
          <w:p w14:paraId="5F22F055"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861</w:t>
            </w:r>
          </w:p>
        </w:tc>
        <w:tc>
          <w:tcPr>
            <w:tcW w:w="748" w:type="dxa"/>
            <w:noWrap/>
            <w:hideMark/>
          </w:tcPr>
          <w:p w14:paraId="5F22F056"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1,173</w:t>
            </w:r>
          </w:p>
        </w:tc>
        <w:tc>
          <w:tcPr>
            <w:tcW w:w="617" w:type="dxa"/>
            <w:noWrap/>
            <w:hideMark/>
          </w:tcPr>
          <w:p w14:paraId="5F22F057"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98</w:t>
            </w:r>
          </w:p>
        </w:tc>
        <w:tc>
          <w:tcPr>
            <w:tcW w:w="1280" w:type="dxa"/>
            <w:noWrap/>
            <w:hideMark/>
          </w:tcPr>
          <w:p w14:paraId="5F22F058" w14:textId="77777777" w:rsidR="00D361EB" w:rsidRPr="007A4BC2" w:rsidRDefault="00D361EB" w:rsidP="009F168E">
            <w:pPr>
              <w:spacing w:before="0" w:after="0"/>
              <w:jc w:val="center"/>
              <w:rPr>
                <w:rFonts w:cs="Arial"/>
                <w:b/>
                <w:bCs/>
                <w:color w:val="000000"/>
                <w:sz w:val="18"/>
                <w:szCs w:val="18"/>
                <w:lang w:val="en-AU"/>
              </w:rPr>
            </w:pPr>
            <w:r w:rsidRPr="007A4BC2">
              <w:rPr>
                <w:rFonts w:cs="Arial"/>
                <w:b/>
                <w:bCs/>
                <w:color w:val="000000"/>
                <w:sz w:val="18"/>
                <w:szCs w:val="18"/>
                <w:lang w:val="en-AU"/>
              </w:rPr>
              <w:t>2,377</w:t>
            </w:r>
          </w:p>
        </w:tc>
        <w:tc>
          <w:tcPr>
            <w:tcW w:w="1280" w:type="dxa"/>
            <w:noWrap/>
            <w:hideMark/>
          </w:tcPr>
          <w:p w14:paraId="5F22F059" w14:textId="77777777" w:rsidR="00D361EB" w:rsidRPr="007A4BC2" w:rsidRDefault="00D361EB" w:rsidP="009F168E">
            <w:pPr>
              <w:spacing w:before="0" w:after="0"/>
              <w:jc w:val="center"/>
              <w:rPr>
                <w:rFonts w:cs="Arial"/>
                <w:b/>
                <w:bCs/>
                <w:color w:val="000000"/>
                <w:sz w:val="18"/>
                <w:szCs w:val="18"/>
                <w:lang w:val="en-AU"/>
              </w:rPr>
            </w:pPr>
            <w:r w:rsidRPr="007A4BC2">
              <w:rPr>
                <w:rFonts w:cs="Arial"/>
                <w:b/>
                <w:bCs/>
                <w:color w:val="000000"/>
                <w:sz w:val="18"/>
                <w:szCs w:val="18"/>
                <w:lang w:val="en-AU"/>
              </w:rPr>
              <w:t>61</w:t>
            </w:r>
          </w:p>
        </w:tc>
      </w:tr>
      <w:tr w:rsidR="00D361EB" w:rsidRPr="007A4BC2" w14:paraId="5F22F064" w14:textId="77777777" w:rsidTr="00E437B8">
        <w:trPr>
          <w:trHeight w:val="300"/>
        </w:trPr>
        <w:tc>
          <w:tcPr>
            <w:tcW w:w="1461" w:type="dxa"/>
            <w:vMerge/>
            <w:hideMark/>
          </w:tcPr>
          <w:p w14:paraId="5F22F05B" w14:textId="77777777" w:rsidR="00D361EB" w:rsidRPr="007A4BC2" w:rsidRDefault="00D361EB" w:rsidP="004A5BF7">
            <w:pPr>
              <w:spacing w:before="0" w:after="0"/>
              <w:jc w:val="left"/>
              <w:rPr>
                <w:rFonts w:cs="Arial"/>
                <w:b/>
                <w:bCs/>
                <w:color w:val="000000"/>
                <w:sz w:val="18"/>
                <w:szCs w:val="18"/>
                <w:lang w:val="en-AU"/>
              </w:rPr>
            </w:pPr>
          </w:p>
        </w:tc>
        <w:tc>
          <w:tcPr>
            <w:tcW w:w="628" w:type="dxa"/>
            <w:noWrap/>
            <w:hideMark/>
          </w:tcPr>
          <w:p w14:paraId="5F22F05C"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w:t>
            </w:r>
          </w:p>
        </w:tc>
        <w:tc>
          <w:tcPr>
            <w:tcW w:w="880" w:type="dxa"/>
            <w:noWrap/>
            <w:hideMark/>
          </w:tcPr>
          <w:p w14:paraId="5F22F05D"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100%</w:t>
            </w:r>
          </w:p>
        </w:tc>
        <w:tc>
          <w:tcPr>
            <w:tcW w:w="906" w:type="dxa"/>
            <w:noWrap/>
            <w:hideMark/>
          </w:tcPr>
          <w:p w14:paraId="5F22F05E"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10%</w:t>
            </w:r>
          </w:p>
        </w:tc>
        <w:tc>
          <w:tcPr>
            <w:tcW w:w="905" w:type="dxa"/>
            <w:noWrap/>
            <w:hideMark/>
          </w:tcPr>
          <w:p w14:paraId="5F22F05F"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35%</w:t>
            </w:r>
          </w:p>
        </w:tc>
        <w:tc>
          <w:tcPr>
            <w:tcW w:w="748" w:type="dxa"/>
            <w:noWrap/>
            <w:hideMark/>
          </w:tcPr>
          <w:p w14:paraId="5F22F060"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48%</w:t>
            </w:r>
          </w:p>
        </w:tc>
        <w:tc>
          <w:tcPr>
            <w:tcW w:w="617" w:type="dxa"/>
            <w:noWrap/>
            <w:hideMark/>
          </w:tcPr>
          <w:p w14:paraId="5F22F061"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4%</w:t>
            </w:r>
          </w:p>
        </w:tc>
        <w:tc>
          <w:tcPr>
            <w:tcW w:w="1280" w:type="dxa"/>
            <w:noWrap/>
            <w:hideMark/>
          </w:tcPr>
          <w:p w14:paraId="5F22F062" w14:textId="77777777" w:rsidR="00D361EB" w:rsidRPr="007A4BC2" w:rsidRDefault="00D361EB" w:rsidP="009F168E">
            <w:pPr>
              <w:spacing w:before="0" w:after="0"/>
              <w:jc w:val="center"/>
              <w:rPr>
                <w:rFonts w:cs="Arial"/>
                <w:b/>
                <w:bCs/>
                <w:i/>
                <w:iCs/>
                <w:color w:val="000000"/>
                <w:sz w:val="18"/>
                <w:szCs w:val="18"/>
                <w:lang w:val="en-AU"/>
              </w:rPr>
            </w:pPr>
            <w:r w:rsidRPr="007A4BC2">
              <w:rPr>
                <w:rFonts w:cs="Arial"/>
                <w:b/>
                <w:bCs/>
                <w:i/>
                <w:iCs/>
                <w:color w:val="000000"/>
                <w:sz w:val="18"/>
                <w:szCs w:val="18"/>
                <w:lang w:val="en-AU"/>
              </w:rPr>
              <w:t>97%</w:t>
            </w:r>
          </w:p>
        </w:tc>
        <w:tc>
          <w:tcPr>
            <w:tcW w:w="1280" w:type="dxa"/>
            <w:noWrap/>
            <w:hideMark/>
          </w:tcPr>
          <w:p w14:paraId="5F22F063" w14:textId="77777777" w:rsidR="00D361EB" w:rsidRPr="007A4BC2" w:rsidRDefault="00D361EB" w:rsidP="009F168E">
            <w:pPr>
              <w:spacing w:before="0" w:after="0"/>
              <w:jc w:val="center"/>
              <w:rPr>
                <w:rFonts w:cs="Arial"/>
                <w:b/>
                <w:bCs/>
                <w:i/>
                <w:iCs/>
                <w:color w:val="000000"/>
                <w:sz w:val="18"/>
                <w:szCs w:val="18"/>
                <w:lang w:val="en-AU"/>
              </w:rPr>
            </w:pPr>
            <w:r w:rsidRPr="007A4BC2">
              <w:rPr>
                <w:rFonts w:cs="Arial"/>
                <w:b/>
                <w:bCs/>
                <w:i/>
                <w:iCs/>
                <w:color w:val="000000"/>
                <w:sz w:val="18"/>
                <w:szCs w:val="18"/>
                <w:lang w:val="en-AU"/>
              </w:rPr>
              <w:t>3%</w:t>
            </w:r>
          </w:p>
        </w:tc>
      </w:tr>
      <w:tr w:rsidR="00D361EB" w:rsidRPr="007A4BC2" w14:paraId="5F22F06E" w14:textId="77777777" w:rsidTr="00E437B8">
        <w:trPr>
          <w:trHeight w:val="300"/>
        </w:trPr>
        <w:tc>
          <w:tcPr>
            <w:tcW w:w="1461" w:type="dxa"/>
            <w:vMerge w:val="restart"/>
            <w:noWrap/>
            <w:hideMark/>
          </w:tcPr>
          <w:p w14:paraId="5F22F065" w14:textId="77777777" w:rsidR="00D361EB" w:rsidRPr="007A4BC2" w:rsidRDefault="00D361EB" w:rsidP="004A5BF7">
            <w:pPr>
              <w:spacing w:before="0" w:after="0"/>
              <w:jc w:val="left"/>
              <w:rPr>
                <w:rFonts w:cs="Arial"/>
                <w:b/>
                <w:bCs/>
                <w:color w:val="000000"/>
                <w:sz w:val="18"/>
                <w:szCs w:val="18"/>
                <w:lang w:val="en-AU"/>
              </w:rPr>
            </w:pPr>
            <w:r w:rsidRPr="007A4BC2">
              <w:rPr>
                <w:rFonts w:cs="Arial"/>
                <w:b/>
                <w:bCs/>
                <w:color w:val="000000"/>
                <w:sz w:val="18"/>
                <w:szCs w:val="18"/>
                <w:lang w:val="en-AU"/>
              </w:rPr>
              <w:t>Wet Tropics</w:t>
            </w:r>
          </w:p>
        </w:tc>
        <w:tc>
          <w:tcPr>
            <w:tcW w:w="628" w:type="dxa"/>
            <w:noWrap/>
            <w:hideMark/>
          </w:tcPr>
          <w:p w14:paraId="5F22F066"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area</w:t>
            </w:r>
          </w:p>
        </w:tc>
        <w:tc>
          <w:tcPr>
            <w:tcW w:w="880" w:type="dxa"/>
            <w:noWrap/>
            <w:hideMark/>
          </w:tcPr>
          <w:p w14:paraId="5F22F067"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204</w:t>
            </w:r>
          </w:p>
        </w:tc>
        <w:tc>
          <w:tcPr>
            <w:tcW w:w="906" w:type="dxa"/>
            <w:noWrap/>
            <w:hideMark/>
          </w:tcPr>
          <w:p w14:paraId="5F22F068"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1</w:t>
            </w:r>
          </w:p>
        </w:tc>
        <w:tc>
          <w:tcPr>
            <w:tcW w:w="905" w:type="dxa"/>
            <w:noWrap/>
            <w:hideMark/>
          </w:tcPr>
          <w:p w14:paraId="5F22F069"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2</w:t>
            </w:r>
          </w:p>
        </w:tc>
        <w:tc>
          <w:tcPr>
            <w:tcW w:w="748" w:type="dxa"/>
            <w:noWrap/>
            <w:hideMark/>
          </w:tcPr>
          <w:p w14:paraId="5F22F06A"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142</w:t>
            </w:r>
          </w:p>
        </w:tc>
        <w:tc>
          <w:tcPr>
            <w:tcW w:w="617" w:type="dxa"/>
            <w:noWrap/>
            <w:hideMark/>
          </w:tcPr>
          <w:p w14:paraId="5F22F06B"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44</w:t>
            </w:r>
          </w:p>
        </w:tc>
        <w:tc>
          <w:tcPr>
            <w:tcW w:w="1280" w:type="dxa"/>
            <w:noWrap/>
            <w:hideMark/>
          </w:tcPr>
          <w:p w14:paraId="5F22F06C" w14:textId="77777777" w:rsidR="00D361EB" w:rsidRPr="007A4BC2" w:rsidRDefault="00D361EB" w:rsidP="009F168E">
            <w:pPr>
              <w:spacing w:before="0" w:after="0"/>
              <w:jc w:val="center"/>
              <w:rPr>
                <w:rFonts w:cs="Arial"/>
                <w:b/>
                <w:bCs/>
                <w:color w:val="000000"/>
                <w:sz w:val="18"/>
                <w:szCs w:val="18"/>
                <w:lang w:val="en-AU"/>
              </w:rPr>
            </w:pPr>
            <w:r w:rsidRPr="007A4BC2">
              <w:rPr>
                <w:rFonts w:cs="Arial"/>
                <w:b/>
                <w:bCs/>
                <w:color w:val="000000"/>
                <w:sz w:val="18"/>
                <w:szCs w:val="18"/>
                <w:lang w:val="en-AU"/>
              </w:rPr>
              <w:t>190</w:t>
            </w:r>
          </w:p>
        </w:tc>
        <w:tc>
          <w:tcPr>
            <w:tcW w:w="1280" w:type="dxa"/>
            <w:noWrap/>
            <w:hideMark/>
          </w:tcPr>
          <w:p w14:paraId="5F22F06D" w14:textId="77777777" w:rsidR="00D361EB" w:rsidRPr="007A4BC2" w:rsidRDefault="00D361EB" w:rsidP="009F168E">
            <w:pPr>
              <w:spacing w:before="0" w:after="0"/>
              <w:jc w:val="center"/>
              <w:rPr>
                <w:rFonts w:cs="Arial"/>
                <w:b/>
                <w:bCs/>
                <w:color w:val="000000"/>
                <w:sz w:val="18"/>
                <w:szCs w:val="18"/>
                <w:lang w:val="en-AU"/>
              </w:rPr>
            </w:pPr>
            <w:r w:rsidRPr="007A4BC2">
              <w:rPr>
                <w:rFonts w:cs="Arial"/>
                <w:b/>
                <w:bCs/>
                <w:color w:val="000000"/>
                <w:sz w:val="18"/>
                <w:szCs w:val="18"/>
                <w:lang w:val="en-AU"/>
              </w:rPr>
              <w:t>14</w:t>
            </w:r>
          </w:p>
        </w:tc>
      </w:tr>
      <w:tr w:rsidR="00D361EB" w:rsidRPr="007A4BC2" w14:paraId="5F22F078" w14:textId="77777777" w:rsidTr="00E437B8">
        <w:trPr>
          <w:trHeight w:val="300"/>
        </w:trPr>
        <w:tc>
          <w:tcPr>
            <w:tcW w:w="1461" w:type="dxa"/>
            <w:vMerge/>
            <w:hideMark/>
          </w:tcPr>
          <w:p w14:paraId="5F22F06F" w14:textId="77777777" w:rsidR="00D361EB" w:rsidRPr="007A4BC2" w:rsidRDefault="00D361EB" w:rsidP="004A5BF7">
            <w:pPr>
              <w:spacing w:before="0" w:after="0"/>
              <w:jc w:val="left"/>
              <w:rPr>
                <w:rFonts w:cs="Arial"/>
                <w:b/>
                <w:bCs/>
                <w:color w:val="000000"/>
                <w:sz w:val="18"/>
                <w:szCs w:val="18"/>
                <w:lang w:val="en-AU"/>
              </w:rPr>
            </w:pPr>
          </w:p>
        </w:tc>
        <w:tc>
          <w:tcPr>
            <w:tcW w:w="628" w:type="dxa"/>
            <w:noWrap/>
            <w:hideMark/>
          </w:tcPr>
          <w:p w14:paraId="5F22F070"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w:t>
            </w:r>
          </w:p>
        </w:tc>
        <w:tc>
          <w:tcPr>
            <w:tcW w:w="880" w:type="dxa"/>
            <w:noWrap/>
            <w:hideMark/>
          </w:tcPr>
          <w:p w14:paraId="5F22F071"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100%</w:t>
            </w:r>
          </w:p>
        </w:tc>
        <w:tc>
          <w:tcPr>
            <w:tcW w:w="906" w:type="dxa"/>
            <w:noWrap/>
            <w:hideMark/>
          </w:tcPr>
          <w:p w14:paraId="5F22F072"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1%</w:t>
            </w:r>
          </w:p>
        </w:tc>
        <w:tc>
          <w:tcPr>
            <w:tcW w:w="905" w:type="dxa"/>
            <w:noWrap/>
            <w:hideMark/>
          </w:tcPr>
          <w:p w14:paraId="5F22F073"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1%</w:t>
            </w:r>
          </w:p>
        </w:tc>
        <w:tc>
          <w:tcPr>
            <w:tcW w:w="748" w:type="dxa"/>
            <w:noWrap/>
            <w:hideMark/>
          </w:tcPr>
          <w:p w14:paraId="5F22F074"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70%</w:t>
            </w:r>
          </w:p>
        </w:tc>
        <w:tc>
          <w:tcPr>
            <w:tcW w:w="617" w:type="dxa"/>
            <w:noWrap/>
            <w:hideMark/>
          </w:tcPr>
          <w:p w14:paraId="5F22F075"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22%</w:t>
            </w:r>
          </w:p>
        </w:tc>
        <w:tc>
          <w:tcPr>
            <w:tcW w:w="1280" w:type="dxa"/>
            <w:noWrap/>
            <w:hideMark/>
          </w:tcPr>
          <w:p w14:paraId="5F22F076" w14:textId="77777777" w:rsidR="00D361EB" w:rsidRPr="007A4BC2" w:rsidRDefault="00D361EB" w:rsidP="009F168E">
            <w:pPr>
              <w:spacing w:before="0" w:after="0"/>
              <w:jc w:val="center"/>
              <w:rPr>
                <w:rFonts w:cs="Arial"/>
                <w:b/>
                <w:bCs/>
                <w:i/>
                <w:iCs/>
                <w:color w:val="000000"/>
                <w:sz w:val="18"/>
                <w:szCs w:val="18"/>
                <w:lang w:val="en-AU"/>
              </w:rPr>
            </w:pPr>
            <w:r w:rsidRPr="007A4BC2">
              <w:rPr>
                <w:rFonts w:cs="Arial"/>
                <w:b/>
                <w:bCs/>
                <w:i/>
                <w:iCs/>
                <w:color w:val="000000"/>
                <w:sz w:val="18"/>
                <w:szCs w:val="18"/>
                <w:lang w:val="en-AU"/>
              </w:rPr>
              <w:t>93%</w:t>
            </w:r>
          </w:p>
        </w:tc>
        <w:tc>
          <w:tcPr>
            <w:tcW w:w="1280" w:type="dxa"/>
            <w:noWrap/>
            <w:hideMark/>
          </w:tcPr>
          <w:p w14:paraId="5F22F077" w14:textId="77777777" w:rsidR="00D361EB" w:rsidRPr="007A4BC2" w:rsidRDefault="00D361EB" w:rsidP="009F168E">
            <w:pPr>
              <w:spacing w:before="0" w:after="0"/>
              <w:jc w:val="center"/>
              <w:rPr>
                <w:rFonts w:cs="Arial"/>
                <w:b/>
                <w:bCs/>
                <w:i/>
                <w:iCs/>
                <w:color w:val="000000"/>
                <w:sz w:val="18"/>
                <w:szCs w:val="18"/>
                <w:lang w:val="en-AU"/>
              </w:rPr>
            </w:pPr>
            <w:r w:rsidRPr="007A4BC2">
              <w:rPr>
                <w:rFonts w:cs="Arial"/>
                <w:b/>
                <w:bCs/>
                <w:i/>
                <w:iCs/>
                <w:color w:val="000000"/>
                <w:sz w:val="18"/>
                <w:szCs w:val="18"/>
                <w:lang w:val="en-AU"/>
              </w:rPr>
              <w:t>7%</w:t>
            </w:r>
          </w:p>
        </w:tc>
      </w:tr>
      <w:tr w:rsidR="00D361EB" w:rsidRPr="007A4BC2" w14:paraId="5F22F082" w14:textId="77777777" w:rsidTr="00E437B8">
        <w:trPr>
          <w:trHeight w:val="300"/>
        </w:trPr>
        <w:tc>
          <w:tcPr>
            <w:tcW w:w="1461" w:type="dxa"/>
            <w:vMerge w:val="restart"/>
            <w:noWrap/>
            <w:hideMark/>
          </w:tcPr>
          <w:p w14:paraId="5F22F079" w14:textId="77777777" w:rsidR="00D361EB" w:rsidRPr="007A4BC2" w:rsidRDefault="00D361EB" w:rsidP="004A5BF7">
            <w:pPr>
              <w:spacing w:before="0" w:after="0"/>
              <w:jc w:val="left"/>
              <w:rPr>
                <w:rFonts w:cs="Arial"/>
                <w:b/>
                <w:bCs/>
                <w:color w:val="000000"/>
                <w:sz w:val="18"/>
                <w:szCs w:val="18"/>
                <w:lang w:val="en-AU"/>
              </w:rPr>
            </w:pPr>
            <w:r w:rsidRPr="007A4BC2">
              <w:rPr>
                <w:rFonts w:cs="Arial"/>
                <w:b/>
                <w:bCs/>
                <w:color w:val="000000"/>
                <w:sz w:val="18"/>
                <w:szCs w:val="18"/>
                <w:lang w:val="en-AU"/>
              </w:rPr>
              <w:t>Burdekin</w:t>
            </w:r>
          </w:p>
        </w:tc>
        <w:tc>
          <w:tcPr>
            <w:tcW w:w="628" w:type="dxa"/>
            <w:noWrap/>
            <w:hideMark/>
          </w:tcPr>
          <w:p w14:paraId="5F22F07A"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area</w:t>
            </w:r>
          </w:p>
        </w:tc>
        <w:tc>
          <w:tcPr>
            <w:tcW w:w="880" w:type="dxa"/>
            <w:noWrap/>
            <w:hideMark/>
          </w:tcPr>
          <w:p w14:paraId="5F22F07B"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621</w:t>
            </w:r>
          </w:p>
        </w:tc>
        <w:tc>
          <w:tcPr>
            <w:tcW w:w="906" w:type="dxa"/>
            <w:noWrap/>
            <w:hideMark/>
          </w:tcPr>
          <w:p w14:paraId="5F22F07C"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0</w:t>
            </w:r>
          </w:p>
        </w:tc>
        <w:tc>
          <w:tcPr>
            <w:tcW w:w="905" w:type="dxa"/>
            <w:noWrap/>
            <w:hideMark/>
          </w:tcPr>
          <w:p w14:paraId="5F22F07D"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92</w:t>
            </w:r>
          </w:p>
        </w:tc>
        <w:tc>
          <w:tcPr>
            <w:tcW w:w="748" w:type="dxa"/>
            <w:noWrap/>
            <w:hideMark/>
          </w:tcPr>
          <w:p w14:paraId="5F22F07E"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409</w:t>
            </w:r>
          </w:p>
        </w:tc>
        <w:tc>
          <w:tcPr>
            <w:tcW w:w="617" w:type="dxa"/>
            <w:noWrap/>
            <w:hideMark/>
          </w:tcPr>
          <w:p w14:paraId="5F22F07F"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105</w:t>
            </w:r>
          </w:p>
        </w:tc>
        <w:tc>
          <w:tcPr>
            <w:tcW w:w="1280" w:type="dxa"/>
            <w:noWrap/>
            <w:hideMark/>
          </w:tcPr>
          <w:p w14:paraId="5F22F080" w14:textId="77777777" w:rsidR="00D361EB" w:rsidRPr="007A4BC2" w:rsidRDefault="00D361EB" w:rsidP="009F168E">
            <w:pPr>
              <w:spacing w:before="0" w:after="0"/>
              <w:jc w:val="center"/>
              <w:rPr>
                <w:rFonts w:cs="Arial"/>
                <w:b/>
                <w:bCs/>
                <w:color w:val="000000"/>
                <w:sz w:val="18"/>
                <w:szCs w:val="18"/>
                <w:lang w:val="en-AU"/>
              </w:rPr>
            </w:pPr>
            <w:r w:rsidRPr="007A4BC2">
              <w:rPr>
                <w:rFonts w:cs="Arial"/>
                <w:b/>
                <w:bCs/>
                <w:color w:val="000000"/>
                <w:sz w:val="18"/>
                <w:szCs w:val="18"/>
                <w:lang w:val="en-AU"/>
              </w:rPr>
              <w:t>605</w:t>
            </w:r>
          </w:p>
        </w:tc>
        <w:tc>
          <w:tcPr>
            <w:tcW w:w="1280" w:type="dxa"/>
            <w:noWrap/>
            <w:hideMark/>
          </w:tcPr>
          <w:p w14:paraId="5F22F081" w14:textId="77777777" w:rsidR="00D361EB" w:rsidRPr="007A4BC2" w:rsidRDefault="00D361EB" w:rsidP="009F168E">
            <w:pPr>
              <w:spacing w:before="0" w:after="0"/>
              <w:jc w:val="center"/>
              <w:rPr>
                <w:rFonts w:cs="Arial"/>
                <w:b/>
                <w:bCs/>
                <w:color w:val="000000"/>
                <w:sz w:val="18"/>
                <w:szCs w:val="18"/>
                <w:lang w:val="en-AU"/>
              </w:rPr>
            </w:pPr>
            <w:r w:rsidRPr="007A4BC2">
              <w:rPr>
                <w:rFonts w:cs="Arial"/>
                <w:b/>
                <w:bCs/>
                <w:color w:val="000000"/>
                <w:sz w:val="18"/>
                <w:szCs w:val="18"/>
                <w:lang w:val="en-AU"/>
              </w:rPr>
              <w:t>16</w:t>
            </w:r>
          </w:p>
        </w:tc>
      </w:tr>
      <w:tr w:rsidR="00D361EB" w:rsidRPr="007A4BC2" w14:paraId="5F22F08C" w14:textId="77777777" w:rsidTr="00E437B8">
        <w:trPr>
          <w:trHeight w:val="300"/>
        </w:trPr>
        <w:tc>
          <w:tcPr>
            <w:tcW w:w="1461" w:type="dxa"/>
            <w:vMerge/>
            <w:hideMark/>
          </w:tcPr>
          <w:p w14:paraId="5F22F083" w14:textId="77777777" w:rsidR="00D361EB" w:rsidRPr="007A4BC2" w:rsidRDefault="00D361EB" w:rsidP="004A5BF7">
            <w:pPr>
              <w:spacing w:before="0" w:after="0"/>
              <w:jc w:val="left"/>
              <w:rPr>
                <w:rFonts w:cs="Arial"/>
                <w:b/>
                <w:bCs/>
                <w:color w:val="000000"/>
                <w:sz w:val="18"/>
                <w:szCs w:val="18"/>
                <w:lang w:val="en-AU"/>
              </w:rPr>
            </w:pPr>
          </w:p>
        </w:tc>
        <w:tc>
          <w:tcPr>
            <w:tcW w:w="628" w:type="dxa"/>
            <w:noWrap/>
            <w:hideMark/>
          </w:tcPr>
          <w:p w14:paraId="5F22F084"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w:t>
            </w:r>
          </w:p>
        </w:tc>
        <w:tc>
          <w:tcPr>
            <w:tcW w:w="880" w:type="dxa"/>
            <w:noWrap/>
            <w:hideMark/>
          </w:tcPr>
          <w:p w14:paraId="5F22F085"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100%</w:t>
            </w:r>
          </w:p>
        </w:tc>
        <w:tc>
          <w:tcPr>
            <w:tcW w:w="906" w:type="dxa"/>
            <w:noWrap/>
            <w:hideMark/>
          </w:tcPr>
          <w:p w14:paraId="5F22F086"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0%</w:t>
            </w:r>
          </w:p>
        </w:tc>
        <w:tc>
          <w:tcPr>
            <w:tcW w:w="905" w:type="dxa"/>
            <w:noWrap/>
            <w:hideMark/>
          </w:tcPr>
          <w:p w14:paraId="5F22F087"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15%</w:t>
            </w:r>
          </w:p>
        </w:tc>
        <w:tc>
          <w:tcPr>
            <w:tcW w:w="748" w:type="dxa"/>
            <w:noWrap/>
            <w:hideMark/>
          </w:tcPr>
          <w:p w14:paraId="5F22F088"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66%</w:t>
            </w:r>
          </w:p>
        </w:tc>
        <w:tc>
          <w:tcPr>
            <w:tcW w:w="617" w:type="dxa"/>
            <w:noWrap/>
            <w:hideMark/>
          </w:tcPr>
          <w:p w14:paraId="5F22F089"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17%</w:t>
            </w:r>
          </w:p>
        </w:tc>
        <w:tc>
          <w:tcPr>
            <w:tcW w:w="1280" w:type="dxa"/>
            <w:noWrap/>
            <w:hideMark/>
          </w:tcPr>
          <w:p w14:paraId="5F22F08A" w14:textId="77777777" w:rsidR="00D361EB" w:rsidRPr="007A4BC2" w:rsidRDefault="00D361EB" w:rsidP="009F168E">
            <w:pPr>
              <w:spacing w:before="0" w:after="0"/>
              <w:jc w:val="center"/>
              <w:rPr>
                <w:rFonts w:cs="Arial"/>
                <w:b/>
                <w:bCs/>
                <w:i/>
                <w:iCs/>
                <w:color w:val="000000"/>
                <w:sz w:val="18"/>
                <w:szCs w:val="18"/>
                <w:lang w:val="en-AU"/>
              </w:rPr>
            </w:pPr>
            <w:r w:rsidRPr="007A4BC2">
              <w:rPr>
                <w:rFonts w:cs="Arial"/>
                <w:b/>
                <w:bCs/>
                <w:i/>
                <w:iCs/>
                <w:color w:val="000000"/>
                <w:sz w:val="18"/>
                <w:szCs w:val="18"/>
                <w:lang w:val="en-AU"/>
              </w:rPr>
              <w:t>97%</w:t>
            </w:r>
          </w:p>
        </w:tc>
        <w:tc>
          <w:tcPr>
            <w:tcW w:w="1280" w:type="dxa"/>
            <w:noWrap/>
            <w:hideMark/>
          </w:tcPr>
          <w:p w14:paraId="5F22F08B" w14:textId="77777777" w:rsidR="00D361EB" w:rsidRPr="007A4BC2" w:rsidRDefault="00D361EB" w:rsidP="009F168E">
            <w:pPr>
              <w:spacing w:before="0" w:after="0"/>
              <w:jc w:val="center"/>
              <w:rPr>
                <w:rFonts w:cs="Arial"/>
                <w:b/>
                <w:bCs/>
                <w:i/>
                <w:iCs/>
                <w:color w:val="000000"/>
                <w:sz w:val="18"/>
                <w:szCs w:val="18"/>
                <w:lang w:val="en-AU"/>
              </w:rPr>
            </w:pPr>
            <w:r w:rsidRPr="007A4BC2">
              <w:rPr>
                <w:rFonts w:cs="Arial"/>
                <w:b/>
                <w:bCs/>
                <w:i/>
                <w:iCs/>
                <w:color w:val="000000"/>
                <w:sz w:val="18"/>
                <w:szCs w:val="18"/>
                <w:lang w:val="en-AU"/>
              </w:rPr>
              <w:t>3%</w:t>
            </w:r>
          </w:p>
        </w:tc>
      </w:tr>
      <w:tr w:rsidR="00D361EB" w:rsidRPr="007A4BC2" w14:paraId="5F22F096" w14:textId="77777777" w:rsidTr="004A5BF7">
        <w:trPr>
          <w:trHeight w:val="85"/>
        </w:trPr>
        <w:tc>
          <w:tcPr>
            <w:tcW w:w="1461" w:type="dxa"/>
            <w:vMerge w:val="restart"/>
            <w:hideMark/>
          </w:tcPr>
          <w:p w14:paraId="5F22F08D" w14:textId="0D158729" w:rsidR="00D361EB" w:rsidRPr="007A4BC2" w:rsidRDefault="00D361EB" w:rsidP="004A5BF7">
            <w:pPr>
              <w:spacing w:before="0" w:after="0"/>
              <w:jc w:val="left"/>
              <w:rPr>
                <w:rFonts w:cs="Arial"/>
                <w:b/>
                <w:bCs/>
                <w:color w:val="000000"/>
                <w:sz w:val="18"/>
                <w:szCs w:val="18"/>
                <w:lang w:val="en-AU"/>
              </w:rPr>
            </w:pPr>
            <w:r w:rsidRPr="007A4BC2">
              <w:rPr>
                <w:rFonts w:cs="Arial"/>
                <w:b/>
                <w:bCs/>
                <w:color w:val="000000"/>
                <w:sz w:val="18"/>
                <w:szCs w:val="18"/>
                <w:lang w:val="en-AU"/>
              </w:rPr>
              <w:t>Mackay</w:t>
            </w:r>
            <w:r w:rsidR="00B239E5">
              <w:rPr>
                <w:rFonts w:cs="Arial"/>
                <w:b/>
                <w:bCs/>
                <w:color w:val="000000"/>
                <w:sz w:val="18"/>
                <w:szCs w:val="18"/>
                <w:lang w:val="en-AU"/>
              </w:rPr>
              <w:t xml:space="preserve"> </w:t>
            </w:r>
            <w:r w:rsidRPr="007A4BC2">
              <w:rPr>
                <w:rFonts w:cs="Arial"/>
                <w:b/>
                <w:bCs/>
                <w:color w:val="000000"/>
                <w:sz w:val="18"/>
                <w:szCs w:val="18"/>
                <w:lang w:val="en-AU"/>
              </w:rPr>
              <w:t>Whitsunday</w:t>
            </w:r>
          </w:p>
        </w:tc>
        <w:tc>
          <w:tcPr>
            <w:tcW w:w="628" w:type="dxa"/>
            <w:noWrap/>
            <w:hideMark/>
          </w:tcPr>
          <w:p w14:paraId="5F22F08E"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area</w:t>
            </w:r>
          </w:p>
        </w:tc>
        <w:tc>
          <w:tcPr>
            <w:tcW w:w="880" w:type="dxa"/>
            <w:noWrap/>
            <w:hideMark/>
          </w:tcPr>
          <w:p w14:paraId="5F22F08F"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231</w:t>
            </w:r>
          </w:p>
        </w:tc>
        <w:tc>
          <w:tcPr>
            <w:tcW w:w="906" w:type="dxa"/>
            <w:noWrap/>
            <w:hideMark/>
          </w:tcPr>
          <w:p w14:paraId="5F22F090"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0</w:t>
            </w:r>
          </w:p>
        </w:tc>
        <w:tc>
          <w:tcPr>
            <w:tcW w:w="905" w:type="dxa"/>
            <w:noWrap/>
            <w:hideMark/>
          </w:tcPr>
          <w:p w14:paraId="5F22F091"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76</w:t>
            </w:r>
          </w:p>
        </w:tc>
        <w:tc>
          <w:tcPr>
            <w:tcW w:w="748" w:type="dxa"/>
            <w:noWrap/>
            <w:hideMark/>
          </w:tcPr>
          <w:p w14:paraId="5F22F092"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102</w:t>
            </w:r>
          </w:p>
        </w:tc>
        <w:tc>
          <w:tcPr>
            <w:tcW w:w="617" w:type="dxa"/>
            <w:noWrap/>
            <w:hideMark/>
          </w:tcPr>
          <w:p w14:paraId="5F22F093"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33</w:t>
            </w:r>
          </w:p>
        </w:tc>
        <w:tc>
          <w:tcPr>
            <w:tcW w:w="1280" w:type="dxa"/>
            <w:noWrap/>
            <w:hideMark/>
          </w:tcPr>
          <w:p w14:paraId="5F22F094" w14:textId="77777777" w:rsidR="00D361EB" w:rsidRPr="007A4BC2" w:rsidRDefault="00D361EB" w:rsidP="009F168E">
            <w:pPr>
              <w:spacing w:before="0" w:after="0"/>
              <w:jc w:val="center"/>
              <w:rPr>
                <w:rFonts w:cs="Arial"/>
                <w:b/>
                <w:bCs/>
                <w:color w:val="000000"/>
                <w:sz w:val="18"/>
                <w:szCs w:val="18"/>
                <w:lang w:val="en-AU"/>
              </w:rPr>
            </w:pPr>
            <w:r w:rsidRPr="007A4BC2">
              <w:rPr>
                <w:rFonts w:cs="Arial"/>
                <w:b/>
                <w:bCs/>
                <w:color w:val="000000"/>
                <w:sz w:val="18"/>
                <w:szCs w:val="18"/>
                <w:lang w:val="en-AU"/>
              </w:rPr>
              <w:t>211</w:t>
            </w:r>
          </w:p>
        </w:tc>
        <w:tc>
          <w:tcPr>
            <w:tcW w:w="1280" w:type="dxa"/>
            <w:noWrap/>
            <w:hideMark/>
          </w:tcPr>
          <w:p w14:paraId="5F22F095" w14:textId="77777777" w:rsidR="00D361EB" w:rsidRPr="007A4BC2" w:rsidRDefault="00D361EB" w:rsidP="009F168E">
            <w:pPr>
              <w:spacing w:before="0" w:after="0"/>
              <w:jc w:val="center"/>
              <w:rPr>
                <w:rFonts w:cs="Arial"/>
                <w:b/>
                <w:bCs/>
                <w:color w:val="000000"/>
                <w:sz w:val="18"/>
                <w:szCs w:val="18"/>
                <w:lang w:val="en-AU"/>
              </w:rPr>
            </w:pPr>
            <w:r w:rsidRPr="007A4BC2">
              <w:rPr>
                <w:rFonts w:cs="Arial"/>
                <w:b/>
                <w:bCs/>
                <w:color w:val="000000"/>
                <w:sz w:val="18"/>
                <w:szCs w:val="18"/>
                <w:lang w:val="en-AU"/>
              </w:rPr>
              <w:t>20</w:t>
            </w:r>
          </w:p>
        </w:tc>
      </w:tr>
      <w:tr w:rsidR="00D361EB" w:rsidRPr="007A4BC2" w14:paraId="5F22F0A0" w14:textId="77777777" w:rsidTr="00E437B8">
        <w:trPr>
          <w:trHeight w:val="300"/>
        </w:trPr>
        <w:tc>
          <w:tcPr>
            <w:tcW w:w="1461" w:type="dxa"/>
            <w:vMerge/>
            <w:hideMark/>
          </w:tcPr>
          <w:p w14:paraId="5F22F097" w14:textId="77777777" w:rsidR="00D361EB" w:rsidRPr="007A4BC2" w:rsidRDefault="00D361EB" w:rsidP="004A5BF7">
            <w:pPr>
              <w:spacing w:before="0" w:after="0"/>
              <w:jc w:val="left"/>
              <w:rPr>
                <w:rFonts w:cs="Arial"/>
                <w:b/>
                <w:bCs/>
                <w:color w:val="000000"/>
                <w:sz w:val="18"/>
                <w:szCs w:val="18"/>
                <w:lang w:val="en-AU"/>
              </w:rPr>
            </w:pPr>
          </w:p>
        </w:tc>
        <w:tc>
          <w:tcPr>
            <w:tcW w:w="628" w:type="dxa"/>
            <w:noWrap/>
            <w:hideMark/>
          </w:tcPr>
          <w:p w14:paraId="5F22F098"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w:t>
            </w:r>
          </w:p>
        </w:tc>
        <w:tc>
          <w:tcPr>
            <w:tcW w:w="880" w:type="dxa"/>
            <w:noWrap/>
            <w:hideMark/>
          </w:tcPr>
          <w:p w14:paraId="5F22F099"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100%</w:t>
            </w:r>
          </w:p>
        </w:tc>
        <w:tc>
          <w:tcPr>
            <w:tcW w:w="906" w:type="dxa"/>
            <w:noWrap/>
            <w:hideMark/>
          </w:tcPr>
          <w:p w14:paraId="5F22F09A"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0%</w:t>
            </w:r>
          </w:p>
        </w:tc>
        <w:tc>
          <w:tcPr>
            <w:tcW w:w="905" w:type="dxa"/>
            <w:noWrap/>
            <w:hideMark/>
          </w:tcPr>
          <w:p w14:paraId="5F22F09B"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33%</w:t>
            </w:r>
          </w:p>
        </w:tc>
        <w:tc>
          <w:tcPr>
            <w:tcW w:w="748" w:type="dxa"/>
            <w:noWrap/>
            <w:hideMark/>
          </w:tcPr>
          <w:p w14:paraId="5F22F09C"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44%</w:t>
            </w:r>
          </w:p>
        </w:tc>
        <w:tc>
          <w:tcPr>
            <w:tcW w:w="617" w:type="dxa"/>
            <w:noWrap/>
            <w:hideMark/>
          </w:tcPr>
          <w:p w14:paraId="5F22F09D"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14%</w:t>
            </w:r>
          </w:p>
        </w:tc>
        <w:tc>
          <w:tcPr>
            <w:tcW w:w="1280" w:type="dxa"/>
            <w:noWrap/>
            <w:hideMark/>
          </w:tcPr>
          <w:p w14:paraId="5F22F09E" w14:textId="77777777" w:rsidR="00D361EB" w:rsidRPr="007A4BC2" w:rsidRDefault="00D361EB" w:rsidP="009F168E">
            <w:pPr>
              <w:spacing w:before="0" w:after="0"/>
              <w:jc w:val="center"/>
              <w:rPr>
                <w:rFonts w:cs="Arial"/>
                <w:b/>
                <w:bCs/>
                <w:i/>
                <w:iCs/>
                <w:color w:val="000000"/>
                <w:sz w:val="18"/>
                <w:szCs w:val="18"/>
                <w:lang w:val="en-AU"/>
              </w:rPr>
            </w:pPr>
            <w:r w:rsidRPr="007A4BC2">
              <w:rPr>
                <w:rFonts w:cs="Arial"/>
                <w:b/>
                <w:bCs/>
                <w:i/>
                <w:iCs/>
                <w:color w:val="000000"/>
                <w:sz w:val="18"/>
                <w:szCs w:val="18"/>
                <w:lang w:val="en-AU"/>
              </w:rPr>
              <w:t>91%</w:t>
            </w:r>
          </w:p>
        </w:tc>
        <w:tc>
          <w:tcPr>
            <w:tcW w:w="1280" w:type="dxa"/>
            <w:noWrap/>
            <w:hideMark/>
          </w:tcPr>
          <w:p w14:paraId="5F22F09F" w14:textId="77777777" w:rsidR="00D361EB" w:rsidRPr="007A4BC2" w:rsidRDefault="00D361EB" w:rsidP="009F168E">
            <w:pPr>
              <w:spacing w:before="0" w:after="0"/>
              <w:jc w:val="center"/>
              <w:rPr>
                <w:rFonts w:cs="Arial"/>
                <w:b/>
                <w:bCs/>
                <w:i/>
                <w:iCs/>
                <w:color w:val="000000"/>
                <w:sz w:val="18"/>
                <w:szCs w:val="18"/>
                <w:lang w:val="en-AU"/>
              </w:rPr>
            </w:pPr>
            <w:r w:rsidRPr="007A4BC2">
              <w:rPr>
                <w:rFonts w:cs="Arial"/>
                <w:b/>
                <w:bCs/>
                <w:i/>
                <w:iCs/>
                <w:color w:val="000000"/>
                <w:sz w:val="18"/>
                <w:szCs w:val="18"/>
                <w:lang w:val="en-AU"/>
              </w:rPr>
              <w:t>9%</w:t>
            </w:r>
          </w:p>
        </w:tc>
      </w:tr>
      <w:tr w:rsidR="00D361EB" w:rsidRPr="007A4BC2" w14:paraId="5F22F0AA" w14:textId="77777777" w:rsidTr="00E437B8">
        <w:trPr>
          <w:trHeight w:val="300"/>
        </w:trPr>
        <w:tc>
          <w:tcPr>
            <w:tcW w:w="1461" w:type="dxa"/>
            <w:vMerge w:val="restart"/>
            <w:noWrap/>
            <w:hideMark/>
          </w:tcPr>
          <w:p w14:paraId="5F22F0A1" w14:textId="77777777" w:rsidR="00D361EB" w:rsidRPr="007A4BC2" w:rsidRDefault="00D361EB" w:rsidP="004A5BF7">
            <w:pPr>
              <w:spacing w:before="0" w:after="0"/>
              <w:jc w:val="left"/>
              <w:rPr>
                <w:rFonts w:cs="Arial"/>
                <w:b/>
                <w:bCs/>
                <w:color w:val="000000"/>
                <w:sz w:val="18"/>
                <w:szCs w:val="18"/>
                <w:lang w:val="en-AU"/>
              </w:rPr>
            </w:pPr>
            <w:r w:rsidRPr="007A4BC2">
              <w:rPr>
                <w:rFonts w:cs="Arial"/>
                <w:b/>
                <w:bCs/>
                <w:color w:val="000000"/>
                <w:sz w:val="18"/>
                <w:szCs w:val="18"/>
                <w:lang w:val="en-AU"/>
              </w:rPr>
              <w:t>Fitzroy</w:t>
            </w:r>
          </w:p>
        </w:tc>
        <w:tc>
          <w:tcPr>
            <w:tcW w:w="628" w:type="dxa"/>
            <w:noWrap/>
            <w:hideMark/>
          </w:tcPr>
          <w:p w14:paraId="5F22F0A2"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area</w:t>
            </w:r>
          </w:p>
        </w:tc>
        <w:tc>
          <w:tcPr>
            <w:tcW w:w="880" w:type="dxa"/>
            <w:noWrap/>
            <w:hideMark/>
          </w:tcPr>
          <w:p w14:paraId="5F22F0A3"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247</w:t>
            </w:r>
          </w:p>
        </w:tc>
        <w:tc>
          <w:tcPr>
            <w:tcW w:w="906" w:type="dxa"/>
            <w:noWrap/>
            <w:hideMark/>
          </w:tcPr>
          <w:p w14:paraId="5F22F0A4"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0</w:t>
            </w:r>
          </w:p>
        </w:tc>
        <w:tc>
          <w:tcPr>
            <w:tcW w:w="905" w:type="dxa"/>
            <w:noWrap/>
            <w:hideMark/>
          </w:tcPr>
          <w:p w14:paraId="5F22F0A5"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0</w:t>
            </w:r>
          </w:p>
        </w:tc>
        <w:tc>
          <w:tcPr>
            <w:tcW w:w="748" w:type="dxa"/>
            <w:noWrap/>
            <w:hideMark/>
          </w:tcPr>
          <w:p w14:paraId="5F22F0A6"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150</w:t>
            </w:r>
          </w:p>
        </w:tc>
        <w:tc>
          <w:tcPr>
            <w:tcW w:w="617" w:type="dxa"/>
            <w:noWrap/>
            <w:hideMark/>
          </w:tcPr>
          <w:p w14:paraId="5F22F0A7"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85</w:t>
            </w:r>
          </w:p>
        </w:tc>
        <w:tc>
          <w:tcPr>
            <w:tcW w:w="1280" w:type="dxa"/>
            <w:noWrap/>
            <w:hideMark/>
          </w:tcPr>
          <w:p w14:paraId="5F22F0A8" w14:textId="77777777" w:rsidR="00D361EB" w:rsidRPr="007A4BC2" w:rsidRDefault="00D361EB" w:rsidP="009F168E">
            <w:pPr>
              <w:spacing w:before="0" w:after="0"/>
              <w:jc w:val="center"/>
              <w:rPr>
                <w:rFonts w:cs="Arial"/>
                <w:b/>
                <w:bCs/>
                <w:color w:val="000000"/>
                <w:sz w:val="18"/>
                <w:szCs w:val="18"/>
                <w:lang w:val="en-AU"/>
              </w:rPr>
            </w:pPr>
            <w:r w:rsidRPr="007A4BC2">
              <w:rPr>
                <w:rFonts w:cs="Arial"/>
                <w:b/>
                <w:bCs/>
                <w:color w:val="000000"/>
                <w:sz w:val="18"/>
                <w:szCs w:val="18"/>
                <w:lang w:val="en-AU"/>
              </w:rPr>
              <w:t>235</w:t>
            </w:r>
          </w:p>
        </w:tc>
        <w:tc>
          <w:tcPr>
            <w:tcW w:w="1280" w:type="dxa"/>
            <w:noWrap/>
            <w:hideMark/>
          </w:tcPr>
          <w:p w14:paraId="5F22F0A9" w14:textId="77777777" w:rsidR="00D361EB" w:rsidRPr="007A4BC2" w:rsidRDefault="00D361EB" w:rsidP="009F168E">
            <w:pPr>
              <w:spacing w:before="0" w:after="0"/>
              <w:jc w:val="center"/>
              <w:rPr>
                <w:rFonts w:cs="Arial"/>
                <w:b/>
                <w:bCs/>
                <w:color w:val="000000"/>
                <w:sz w:val="18"/>
                <w:szCs w:val="18"/>
                <w:lang w:val="en-AU"/>
              </w:rPr>
            </w:pPr>
            <w:r w:rsidRPr="007A4BC2">
              <w:rPr>
                <w:rFonts w:cs="Arial"/>
                <w:b/>
                <w:bCs/>
                <w:color w:val="000000"/>
                <w:sz w:val="18"/>
                <w:szCs w:val="18"/>
                <w:lang w:val="en-AU"/>
              </w:rPr>
              <w:t>12</w:t>
            </w:r>
          </w:p>
        </w:tc>
      </w:tr>
      <w:tr w:rsidR="00D361EB" w:rsidRPr="007A4BC2" w14:paraId="5F22F0B4" w14:textId="77777777" w:rsidTr="00E437B8">
        <w:trPr>
          <w:trHeight w:val="300"/>
        </w:trPr>
        <w:tc>
          <w:tcPr>
            <w:tcW w:w="1461" w:type="dxa"/>
            <w:vMerge/>
            <w:hideMark/>
          </w:tcPr>
          <w:p w14:paraId="5F22F0AB" w14:textId="77777777" w:rsidR="00D361EB" w:rsidRPr="007A4BC2" w:rsidRDefault="00D361EB" w:rsidP="004A5BF7">
            <w:pPr>
              <w:spacing w:before="0" w:after="0"/>
              <w:jc w:val="left"/>
              <w:rPr>
                <w:rFonts w:cs="Arial"/>
                <w:b/>
                <w:bCs/>
                <w:color w:val="000000"/>
                <w:sz w:val="18"/>
                <w:szCs w:val="18"/>
                <w:lang w:val="en-AU"/>
              </w:rPr>
            </w:pPr>
          </w:p>
        </w:tc>
        <w:tc>
          <w:tcPr>
            <w:tcW w:w="628" w:type="dxa"/>
            <w:noWrap/>
            <w:hideMark/>
          </w:tcPr>
          <w:p w14:paraId="5F22F0AC"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w:t>
            </w:r>
          </w:p>
        </w:tc>
        <w:tc>
          <w:tcPr>
            <w:tcW w:w="880" w:type="dxa"/>
            <w:noWrap/>
            <w:hideMark/>
          </w:tcPr>
          <w:p w14:paraId="5F22F0AD"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100%</w:t>
            </w:r>
          </w:p>
        </w:tc>
        <w:tc>
          <w:tcPr>
            <w:tcW w:w="906" w:type="dxa"/>
            <w:noWrap/>
            <w:hideMark/>
          </w:tcPr>
          <w:p w14:paraId="5F22F0AE"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0%</w:t>
            </w:r>
          </w:p>
        </w:tc>
        <w:tc>
          <w:tcPr>
            <w:tcW w:w="905" w:type="dxa"/>
            <w:noWrap/>
            <w:hideMark/>
          </w:tcPr>
          <w:p w14:paraId="5F22F0AF"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0%</w:t>
            </w:r>
          </w:p>
        </w:tc>
        <w:tc>
          <w:tcPr>
            <w:tcW w:w="748" w:type="dxa"/>
            <w:noWrap/>
            <w:hideMark/>
          </w:tcPr>
          <w:p w14:paraId="5F22F0B0"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61%</w:t>
            </w:r>
          </w:p>
        </w:tc>
        <w:tc>
          <w:tcPr>
            <w:tcW w:w="617" w:type="dxa"/>
            <w:noWrap/>
            <w:hideMark/>
          </w:tcPr>
          <w:p w14:paraId="5F22F0B1"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34%</w:t>
            </w:r>
          </w:p>
        </w:tc>
        <w:tc>
          <w:tcPr>
            <w:tcW w:w="1280" w:type="dxa"/>
            <w:noWrap/>
            <w:hideMark/>
          </w:tcPr>
          <w:p w14:paraId="5F22F0B2" w14:textId="77777777" w:rsidR="00D361EB" w:rsidRPr="007A4BC2" w:rsidRDefault="00D361EB" w:rsidP="009F168E">
            <w:pPr>
              <w:spacing w:before="0" w:after="0"/>
              <w:jc w:val="center"/>
              <w:rPr>
                <w:rFonts w:cs="Arial"/>
                <w:b/>
                <w:bCs/>
                <w:i/>
                <w:iCs/>
                <w:color w:val="000000"/>
                <w:sz w:val="18"/>
                <w:szCs w:val="18"/>
                <w:lang w:val="en-AU"/>
              </w:rPr>
            </w:pPr>
            <w:r w:rsidRPr="007A4BC2">
              <w:rPr>
                <w:rFonts w:cs="Arial"/>
                <w:b/>
                <w:bCs/>
                <w:i/>
                <w:iCs/>
                <w:color w:val="000000"/>
                <w:sz w:val="18"/>
                <w:szCs w:val="18"/>
                <w:lang w:val="en-AU"/>
              </w:rPr>
              <w:t>95%</w:t>
            </w:r>
          </w:p>
        </w:tc>
        <w:tc>
          <w:tcPr>
            <w:tcW w:w="1280" w:type="dxa"/>
            <w:noWrap/>
            <w:hideMark/>
          </w:tcPr>
          <w:p w14:paraId="5F22F0B3" w14:textId="77777777" w:rsidR="00D361EB" w:rsidRPr="007A4BC2" w:rsidRDefault="00D361EB" w:rsidP="009F168E">
            <w:pPr>
              <w:spacing w:before="0" w:after="0"/>
              <w:jc w:val="center"/>
              <w:rPr>
                <w:rFonts w:cs="Arial"/>
                <w:b/>
                <w:bCs/>
                <w:i/>
                <w:iCs/>
                <w:color w:val="000000"/>
                <w:sz w:val="18"/>
                <w:szCs w:val="18"/>
                <w:lang w:val="en-AU"/>
              </w:rPr>
            </w:pPr>
            <w:r w:rsidRPr="007A4BC2">
              <w:rPr>
                <w:rFonts w:cs="Arial"/>
                <w:b/>
                <w:bCs/>
                <w:i/>
                <w:iCs/>
                <w:color w:val="000000"/>
                <w:sz w:val="18"/>
                <w:szCs w:val="18"/>
                <w:lang w:val="en-AU"/>
              </w:rPr>
              <w:t>5%</w:t>
            </w:r>
          </w:p>
        </w:tc>
      </w:tr>
      <w:tr w:rsidR="00D361EB" w:rsidRPr="007A4BC2" w14:paraId="5F22F0BE" w14:textId="77777777" w:rsidTr="00E437B8">
        <w:trPr>
          <w:trHeight w:val="300"/>
        </w:trPr>
        <w:tc>
          <w:tcPr>
            <w:tcW w:w="1461" w:type="dxa"/>
            <w:vMerge w:val="restart"/>
            <w:hideMark/>
          </w:tcPr>
          <w:p w14:paraId="5F22F0B5" w14:textId="77777777" w:rsidR="00D361EB" w:rsidRPr="007A4BC2" w:rsidRDefault="00D361EB" w:rsidP="004A5BF7">
            <w:pPr>
              <w:spacing w:before="0" w:after="0"/>
              <w:jc w:val="left"/>
              <w:rPr>
                <w:rFonts w:cs="Arial"/>
                <w:b/>
                <w:bCs/>
                <w:color w:val="000000"/>
                <w:sz w:val="18"/>
                <w:szCs w:val="18"/>
                <w:lang w:val="en-AU"/>
              </w:rPr>
            </w:pPr>
            <w:r w:rsidRPr="007A4BC2">
              <w:rPr>
                <w:rFonts w:cs="Arial"/>
                <w:b/>
                <w:bCs/>
                <w:color w:val="000000"/>
                <w:sz w:val="18"/>
                <w:szCs w:val="18"/>
                <w:lang w:val="en-AU"/>
              </w:rPr>
              <w:t>Burnett-Mary</w:t>
            </w:r>
          </w:p>
        </w:tc>
        <w:tc>
          <w:tcPr>
            <w:tcW w:w="628" w:type="dxa"/>
            <w:noWrap/>
            <w:hideMark/>
          </w:tcPr>
          <w:p w14:paraId="5F22F0B6"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area</w:t>
            </w:r>
          </w:p>
        </w:tc>
        <w:tc>
          <w:tcPr>
            <w:tcW w:w="880" w:type="dxa"/>
            <w:noWrap/>
            <w:hideMark/>
          </w:tcPr>
          <w:p w14:paraId="5F22F0B7"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74</w:t>
            </w:r>
          </w:p>
        </w:tc>
        <w:tc>
          <w:tcPr>
            <w:tcW w:w="906" w:type="dxa"/>
            <w:noWrap/>
            <w:hideMark/>
          </w:tcPr>
          <w:p w14:paraId="5F22F0B8"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0</w:t>
            </w:r>
          </w:p>
        </w:tc>
        <w:tc>
          <w:tcPr>
            <w:tcW w:w="905" w:type="dxa"/>
            <w:noWrap/>
            <w:hideMark/>
          </w:tcPr>
          <w:p w14:paraId="5F22F0B9"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1</w:t>
            </w:r>
          </w:p>
        </w:tc>
        <w:tc>
          <w:tcPr>
            <w:tcW w:w="748" w:type="dxa"/>
            <w:noWrap/>
            <w:hideMark/>
          </w:tcPr>
          <w:p w14:paraId="5F22F0BA"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52</w:t>
            </w:r>
          </w:p>
        </w:tc>
        <w:tc>
          <w:tcPr>
            <w:tcW w:w="617" w:type="dxa"/>
            <w:noWrap/>
            <w:hideMark/>
          </w:tcPr>
          <w:p w14:paraId="5F22F0BB" w14:textId="77777777" w:rsidR="00D361EB" w:rsidRPr="007A4BC2" w:rsidRDefault="00D361EB" w:rsidP="009F168E">
            <w:pPr>
              <w:spacing w:before="0" w:after="0"/>
              <w:jc w:val="center"/>
              <w:rPr>
                <w:rFonts w:cs="Arial"/>
                <w:color w:val="000000"/>
                <w:sz w:val="18"/>
                <w:szCs w:val="18"/>
                <w:lang w:val="en-AU"/>
              </w:rPr>
            </w:pPr>
            <w:r w:rsidRPr="007A4BC2">
              <w:rPr>
                <w:rFonts w:cs="Arial"/>
                <w:color w:val="000000"/>
                <w:sz w:val="18"/>
                <w:szCs w:val="18"/>
                <w:lang w:val="en-AU"/>
              </w:rPr>
              <w:t>14</w:t>
            </w:r>
          </w:p>
        </w:tc>
        <w:tc>
          <w:tcPr>
            <w:tcW w:w="1280" w:type="dxa"/>
            <w:noWrap/>
            <w:hideMark/>
          </w:tcPr>
          <w:p w14:paraId="5F22F0BC" w14:textId="77777777" w:rsidR="00D361EB" w:rsidRPr="007A4BC2" w:rsidRDefault="00D361EB" w:rsidP="009F168E">
            <w:pPr>
              <w:spacing w:before="0" w:after="0"/>
              <w:jc w:val="center"/>
              <w:rPr>
                <w:rFonts w:cs="Arial"/>
                <w:b/>
                <w:bCs/>
                <w:color w:val="000000"/>
                <w:sz w:val="18"/>
                <w:szCs w:val="18"/>
                <w:lang w:val="en-AU"/>
              </w:rPr>
            </w:pPr>
            <w:r w:rsidRPr="007A4BC2">
              <w:rPr>
                <w:rFonts w:cs="Arial"/>
                <w:b/>
                <w:bCs/>
                <w:color w:val="000000"/>
                <w:sz w:val="18"/>
                <w:szCs w:val="18"/>
                <w:lang w:val="en-AU"/>
              </w:rPr>
              <w:t>66</w:t>
            </w:r>
          </w:p>
        </w:tc>
        <w:tc>
          <w:tcPr>
            <w:tcW w:w="1280" w:type="dxa"/>
            <w:noWrap/>
            <w:hideMark/>
          </w:tcPr>
          <w:p w14:paraId="5F22F0BD" w14:textId="77777777" w:rsidR="00D361EB" w:rsidRPr="007A4BC2" w:rsidRDefault="00D361EB" w:rsidP="009F168E">
            <w:pPr>
              <w:spacing w:before="0" w:after="0"/>
              <w:jc w:val="center"/>
              <w:rPr>
                <w:rFonts w:cs="Arial"/>
                <w:b/>
                <w:bCs/>
                <w:color w:val="000000"/>
                <w:sz w:val="18"/>
                <w:szCs w:val="18"/>
                <w:lang w:val="en-AU"/>
              </w:rPr>
            </w:pPr>
            <w:r w:rsidRPr="007A4BC2">
              <w:rPr>
                <w:rFonts w:cs="Arial"/>
                <w:b/>
                <w:bCs/>
                <w:color w:val="000000"/>
                <w:sz w:val="18"/>
                <w:szCs w:val="18"/>
                <w:lang w:val="en-AU"/>
              </w:rPr>
              <w:t>8</w:t>
            </w:r>
          </w:p>
        </w:tc>
      </w:tr>
      <w:tr w:rsidR="00D361EB" w:rsidRPr="007A4BC2" w14:paraId="5F22F0C8" w14:textId="77777777" w:rsidTr="00E437B8">
        <w:trPr>
          <w:trHeight w:val="315"/>
        </w:trPr>
        <w:tc>
          <w:tcPr>
            <w:tcW w:w="1461" w:type="dxa"/>
            <w:vMerge/>
            <w:hideMark/>
          </w:tcPr>
          <w:p w14:paraId="5F22F0BF" w14:textId="77777777" w:rsidR="00D361EB" w:rsidRPr="007A4BC2" w:rsidRDefault="00D361EB" w:rsidP="009F168E">
            <w:pPr>
              <w:spacing w:before="0" w:after="0"/>
              <w:rPr>
                <w:rFonts w:cs="Arial"/>
                <w:b/>
                <w:bCs/>
                <w:color w:val="000000"/>
                <w:sz w:val="18"/>
                <w:szCs w:val="18"/>
                <w:lang w:val="en-AU"/>
              </w:rPr>
            </w:pPr>
          </w:p>
        </w:tc>
        <w:tc>
          <w:tcPr>
            <w:tcW w:w="628" w:type="dxa"/>
            <w:noWrap/>
            <w:hideMark/>
          </w:tcPr>
          <w:p w14:paraId="5F22F0C0"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w:t>
            </w:r>
          </w:p>
        </w:tc>
        <w:tc>
          <w:tcPr>
            <w:tcW w:w="880" w:type="dxa"/>
            <w:noWrap/>
            <w:hideMark/>
          </w:tcPr>
          <w:p w14:paraId="5F22F0C1"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100%</w:t>
            </w:r>
          </w:p>
        </w:tc>
        <w:tc>
          <w:tcPr>
            <w:tcW w:w="906" w:type="dxa"/>
            <w:noWrap/>
            <w:hideMark/>
          </w:tcPr>
          <w:p w14:paraId="5F22F0C2"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0%</w:t>
            </w:r>
          </w:p>
        </w:tc>
        <w:tc>
          <w:tcPr>
            <w:tcW w:w="905" w:type="dxa"/>
            <w:noWrap/>
            <w:hideMark/>
          </w:tcPr>
          <w:p w14:paraId="5F22F0C3"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1%</w:t>
            </w:r>
          </w:p>
        </w:tc>
        <w:tc>
          <w:tcPr>
            <w:tcW w:w="748" w:type="dxa"/>
            <w:noWrap/>
            <w:hideMark/>
          </w:tcPr>
          <w:p w14:paraId="5F22F0C4"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70%</w:t>
            </w:r>
          </w:p>
        </w:tc>
        <w:tc>
          <w:tcPr>
            <w:tcW w:w="617" w:type="dxa"/>
            <w:noWrap/>
            <w:hideMark/>
          </w:tcPr>
          <w:p w14:paraId="5F22F0C5" w14:textId="77777777" w:rsidR="00D361EB" w:rsidRPr="007A4BC2" w:rsidRDefault="00D361EB" w:rsidP="009F168E">
            <w:pPr>
              <w:spacing w:before="0" w:after="0"/>
              <w:jc w:val="center"/>
              <w:rPr>
                <w:rFonts w:cs="Arial"/>
                <w:i/>
                <w:iCs/>
                <w:color w:val="000000"/>
                <w:sz w:val="18"/>
                <w:szCs w:val="18"/>
                <w:lang w:val="en-AU"/>
              </w:rPr>
            </w:pPr>
            <w:r w:rsidRPr="007A4BC2">
              <w:rPr>
                <w:rFonts w:cs="Arial"/>
                <w:i/>
                <w:iCs/>
                <w:color w:val="000000"/>
                <w:sz w:val="18"/>
                <w:szCs w:val="18"/>
                <w:lang w:val="en-AU"/>
              </w:rPr>
              <w:t>19%</w:t>
            </w:r>
          </w:p>
        </w:tc>
        <w:tc>
          <w:tcPr>
            <w:tcW w:w="1280" w:type="dxa"/>
            <w:noWrap/>
            <w:hideMark/>
          </w:tcPr>
          <w:p w14:paraId="5F22F0C6" w14:textId="77777777" w:rsidR="00D361EB" w:rsidRPr="007A4BC2" w:rsidRDefault="00D361EB" w:rsidP="009F168E">
            <w:pPr>
              <w:spacing w:before="0" w:after="0"/>
              <w:jc w:val="center"/>
              <w:rPr>
                <w:rFonts w:cs="Arial"/>
                <w:b/>
                <w:bCs/>
                <w:i/>
                <w:iCs/>
                <w:color w:val="000000"/>
                <w:sz w:val="18"/>
                <w:szCs w:val="18"/>
                <w:lang w:val="en-AU"/>
              </w:rPr>
            </w:pPr>
            <w:r w:rsidRPr="007A4BC2">
              <w:rPr>
                <w:rFonts w:cs="Arial"/>
                <w:b/>
                <w:bCs/>
                <w:i/>
                <w:iCs/>
                <w:color w:val="000000"/>
                <w:sz w:val="18"/>
                <w:szCs w:val="18"/>
                <w:lang w:val="en-AU"/>
              </w:rPr>
              <w:t>90%</w:t>
            </w:r>
          </w:p>
        </w:tc>
        <w:tc>
          <w:tcPr>
            <w:tcW w:w="1280" w:type="dxa"/>
            <w:noWrap/>
            <w:hideMark/>
          </w:tcPr>
          <w:p w14:paraId="5F22F0C7" w14:textId="77777777" w:rsidR="00D361EB" w:rsidRPr="007A4BC2" w:rsidRDefault="00D361EB" w:rsidP="009F168E">
            <w:pPr>
              <w:spacing w:before="0" w:after="0"/>
              <w:jc w:val="center"/>
              <w:rPr>
                <w:rFonts w:cs="Arial"/>
                <w:b/>
                <w:bCs/>
                <w:i/>
                <w:iCs/>
                <w:color w:val="000000"/>
                <w:sz w:val="18"/>
                <w:szCs w:val="18"/>
                <w:lang w:val="en-AU"/>
              </w:rPr>
            </w:pPr>
            <w:r w:rsidRPr="007A4BC2">
              <w:rPr>
                <w:rFonts w:cs="Arial"/>
                <w:b/>
                <w:bCs/>
                <w:i/>
                <w:iCs/>
                <w:color w:val="000000"/>
                <w:sz w:val="18"/>
                <w:szCs w:val="18"/>
                <w:lang w:val="en-AU"/>
              </w:rPr>
              <w:t>10%</w:t>
            </w:r>
          </w:p>
        </w:tc>
      </w:tr>
      <w:tr w:rsidR="007A4BC2" w:rsidRPr="007A4BC2" w14:paraId="5F22F0D2" w14:textId="77777777" w:rsidTr="004A5BF7">
        <w:trPr>
          <w:trHeight w:val="64"/>
        </w:trPr>
        <w:tc>
          <w:tcPr>
            <w:tcW w:w="8705" w:type="dxa"/>
            <w:gridSpan w:val="9"/>
            <w:noWrap/>
            <w:hideMark/>
          </w:tcPr>
          <w:p w14:paraId="5F22F0D1" w14:textId="77777777" w:rsidR="007A4BC2" w:rsidRPr="007A4BC2" w:rsidRDefault="007A4BC2" w:rsidP="009F168E">
            <w:pPr>
              <w:spacing w:before="0" w:after="0"/>
              <w:rPr>
                <w:rFonts w:cs="Arial"/>
                <w:color w:val="000000"/>
                <w:sz w:val="18"/>
                <w:szCs w:val="18"/>
                <w:lang w:val="en-AU"/>
              </w:rPr>
            </w:pPr>
          </w:p>
        </w:tc>
      </w:tr>
    </w:tbl>
    <w:p w14:paraId="08499FA2" w14:textId="77777777" w:rsidR="005B1D9A" w:rsidRDefault="005B1D9A" w:rsidP="004A5BF7">
      <w:pPr>
        <w:rPr>
          <w:rFonts w:eastAsiaTheme="majorEastAsia"/>
          <w:lang w:val="en-AU"/>
        </w:rPr>
      </w:pPr>
    </w:p>
    <w:p w14:paraId="6E69F579" w14:textId="77777777" w:rsidR="00B239E5" w:rsidRDefault="00B239E5" w:rsidP="004A5BF7">
      <w:pPr>
        <w:rPr>
          <w:rFonts w:eastAsiaTheme="majorEastAsia"/>
          <w:lang w:val="en-AU"/>
        </w:rPr>
      </w:pPr>
    </w:p>
    <w:p w14:paraId="17A7FC19" w14:textId="77777777" w:rsidR="00B239E5" w:rsidRDefault="00B239E5" w:rsidP="004A5BF7">
      <w:pPr>
        <w:rPr>
          <w:rFonts w:eastAsiaTheme="majorEastAsia"/>
          <w:lang w:val="en-AU"/>
        </w:rPr>
      </w:pPr>
    </w:p>
    <w:p w14:paraId="5A236FBB" w14:textId="0015792E" w:rsidR="00B239E5" w:rsidRPr="004A5BF7" w:rsidRDefault="00B239E5" w:rsidP="004A5BF7">
      <w:pPr>
        <w:rPr>
          <w:rFonts w:eastAsiaTheme="majorEastAsia"/>
          <w:sz w:val="18"/>
          <w:szCs w:val="18"/>
          <w:lang w:val="en-AU"/>
        </w:rPr>
      </w:pPr>
      <w:r w:rsidRPr="004A5BF7">
        <w:rPr>
          <w:rFonts w:eastAsiaTheme="majorEastAsia"/>
          <w:sz w:val="18"/>
          <w:szCs w:val="18"/>
          <w:lang w:val="en-AU"/>
        </w:rPr>
        <w:t>Table 5-4 continued…</w:t>
      </w:r>
    </w:p>
    <w:tbl>
      <w:tblPr>
        <w:tblStyle w:val="TableGrid1"/>
        <w:tblW w:w="8759" w:type="dxa"/>
        <w:tblLook w:val="04A0" w:firstRow="1" w:lastRow="0" w:firstColumn="1" w:lastColumn="0" w:noHBand="0" w:noVBand="1"/>
        <w:tblCaption w:val="Table 5 4 continued: Areas (km2) and percentage (%) of surveyed, deepwater modelled and total (surveyed plus deepwater modelled) seagrass exposed to different categories of surface river plume frequency and river plume-related risk within the GBR and each NRM region."/>
        <w:tblDescription w:val="Table showing areas (km2) and percentage (%) of surveyed, deepwater modelled and total (surveyed plus deepwater modelled) seagrass exposed to different categories of surface river plume frequency and river plume-related risk within the GBR and each NRM region. Surface areas south of the GBR Marine Park boundary (Hervey Bay) are not included."/>
      </w:tblPr>
      <w:tblGrid>
        <w:gridCol w:w="1461"/>
        <w:gridCol w:w="628"/>
        <w:gridCol w:w="880"/>
        <w:gridCol w:w="906"/>
        <w:gridCol w:w="905"/>
        <w:gridCol w:w="748"/>
        <w:gridCol w:w="617"/>
        <w:gridCol w:w="1307"/>
        <w:gridCol w:w="1307"/>
      </w:tblGrid>
      <w:tr w:rsidR="00B239E5" w:rsidRPr="007A4BC2" w14:paraId="7B771B29" w14:textId="77777777" w:rsidTr="00033D3D">
        <w:trPr>
          <w:trHeight w:val="315"/>
          <w:tblHeader/>
        </w:trPr>
        <w:tc>
          <w:tcPr>
            <w:tcW w:w="2089" w:type="dxa"/>
            <w:gridSpan w:val="2"/>
            <w:vMerge w:val="restart"/>
            <w:noWrap/>
            <w:hideMark/>
          </w:tcPr>
          <w:p w14:paraId="65AC60F7"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Offshore seagrass</w:t>
            </w:r>
          </w:p>
        </w:tc>
        <w:tc>
          <w:tcPr>
            <w:tcW w:w="880" w:type="dxa"/>
            <w:vMerge w:val="restart"/>
            <w:noWrap/>
            <w:hideMark/>
          </w:tcPr>
          <w:p w14:paraId="2110D327" w14:textId="67106FB9"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Tot</w:t>
            </w:r>
            <w:r>
              <w:rPr>
                <w:rFonts w:cs="Arial"/>
                <w:b/>
                <w:bCs/>
                <w:color w:val="000000"/>
                <w:sz w:val="18"/>
                <w:szCs w:val="18"/>
                <w:lang w:val="en-AU"/>
              </w:rPr>
              <w:t>al</w:t>
            </w:r>
          </w:p>
        </w:tc>
        <w:tc>
          <w:tcPr>
            <w:tcW w:w="3176" w:type="dxa"/>
            <w:gridSpan w:val="4"/>
            <w:noWrap/>
            <w:hideMark/>
          </w:tcPr>
          <w:p w14:paraId="1D813678"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Risk category</w:t>
            </w:r>
          </w:p>
        </w:tc>
        <w:tc>
          <w:tcPr>
            <w:tcW w:w="1307" w:type="dxa"/>
            <w:vMerge w:val="restart"/>
            <w:hideMark/>
          </w:tcPr>
          <w:p w14:paraId="01134F06" w14:textId="77777777" w:rsidR="00B239E5" w:rsidRPr="002615B8" w:rsidRDefault="00B239E5" w:rsidP="00E62FA1">
            <w:pPr>
              <w:spacing w:before="0" w:after="0"/>
              <w:jc w:val="center"/>
              <w:rPr>
                <w:rFonts w:cs="Arial"/>
                <w:b/>
                <w:bCs/>
                <w:color w:val="000000"/>
                <w:sz w:val="18"/>
                <w:szCs w:val="18"/>
                <w:lang w:val="en-AU"/>
              </w:rPr>
            </w:pPr>
            <w:r w:rsidRPr="00B239E5">
              <w:rPr>
                <w:rFonts w:cs="Arial"/>
                <w:b/>
                <w:bCs/>
                <w:color w:val="000000"/>
                <w:sz w:val="18"/>
                <w:szCs w:val="18"/>
                <w:lang w:val="en-AU"/>
              </w:rPr>
              <w:t>Total</w:t>
            </w:r>
            <w:r w:rsidRPr="002615B8">
              <w:rPr>
                <w:rFonts w:cs="Arial"/>
                <w:b/>
                <w:bCs/>
                <w:color w:val="000000"/>
                <w:sz w:val="18"/>
                <w:szCs w:val="18"/>
                <w:lang w:val="en-AU"/>
              </w:rPr>
              <w:t xml:space="preserve"> exposed</w:t>
            </w:r>
          </w:p>
        </w:tc>
        <w:tc>
          <w:tcPr>
            <w:tcW w:w="1307" w:type="dxa"/>
            <w:vMerge w:val="restart"/>
            <w:hideMark/>
          </w:tcPr>
          <w:p w14:paraId="5CCB39D9" w14:textId="77777777" w:rsidR="00B239E5" w:rsidRPr="002615B8" w:rsidRDefault="00B239E5" w:rsidP="00E62FA1">
            <w:pPr>
              <w:spacing w:before="0" w:after="0"/>
              <w:jc w:val="center"/>
              <w:rPr>
                <w:rFonts w:cs="Arial"/>
                <w:b/>
                <w:bCs/>
                <w:color w:val="000000"/>
                <w:sz w:val="18"/>
                <w:szCs w:val="18"/>
                <w:lang w:val="en-AU"/>
              </w:rPr>
            </w:pPr>
            <w:r w:rsidRPr="00B239E5">
              <w:rPr>
                <w:rFonts w:cs="Arial"/>
                <w:b/>
                <w:bCs/>
                <w:color w:val="000000"/>
                <w:sz w:val="18"/>
                <w:szCs w:val="18"/>
                <w:lang w:val="en-AU"/>
              </w:rPr>
              <w:t>Total</w:t>
            </w:r>
            <w:r w:rsidRPr="002615B8">
              <w:rPr>
                <w:rFonts w:cs="Arial"/>
                <w:b/>
                <w:bCs/>
                <w:color w:val="000000"/>
                <w:sz w:val="18"/>
                <w:szCs w:val="18"/>
                <w:lang w:val="en-AU"/>
              </w:rPr>
              <w:t xml:space="preserve"> non exposed</w:t>
            </w:r>
          </w:p>
        </w:tc>
      </w:tr>
      <w:tr w:rsidR="00B239E5" w:rsidRPr="007A4BC2" w14:paraId="6CC5F331" w14:textId="77777777" w:rsidTr="00E62FA1">
        <w:trPr>
          <w:trHeight w:val="64"/>
        </w:trPr>
        <w:tc>
          <w:tcPr>
            <w:tcW w:w="2089" w:type="dxa"/>
            <w:gridSpan w:val="2"/>
            <w:vMerge/>
            <w:hideMark/>
          </w:tcPr>
          <w:p w14:paraId="2359FDB1" w14:textId="77777777" w:rsidR="00B239E5" w:rsidRPr="002615B8" w:rsidRDefault="00B239E5" w:rsidP="00E62FA1">
            <w:pPr>
              <w:spacing w:before="0" w:after="0"/>
              <w:rPr>
                <w:rFonts w:cs="Arial"/>
                <w:b/>
                <w:bCs/>
                <w:color w:val="000000"/>
                <w:sz w:val="18"/>
                <w:szCs w:val="18"/>
                <w:lang w:val="en-AU"/>
              </w:rPr>
            </w:pPr>
          </w:p>
        </w:tc>
        <w:tc>
          <w:tcPr>
            <w:tcW w:w="880" w:type="dxa"/>
            <w:vMerge/>
            <w:hideMark/>
          </w:tcPr>
          <w:p w14:paraId="4E662446" w14:textId="77777777" w:rsidR="00B239E5" w:rsidRPr="002615B8" w:rsidRDefault="00B239E5" w:rsidP="00E62FA1">
            <w:pPr>
              <w:spacing w:before="0" w:after="0"/>
              <w:rPr>
                <w:rFonts w:cs="Arial"/>
                <w:b/>
                <w:bCs/>
                <w:color w:val="000000"/>
                <w:sz w:val="18"/>
                <w:szCs w:val="18"/>
                <w:lang w:val="en-AU"/>
              </w:rPr>
            </w:pPr>
          </w:p>
        </w:tc>
        <w:tc>
          <w:tcPr>
            <w:tcW w:w="906" w:type="dxa"/>
            <w:shd w:val="clear" w:color="auto" w:fill="0070C0"/>
            <w:noWrap/>
            <w:hideMark/>
          </w:tcPr>
          <w:p w14:paraId="3F8A7B61" w14:textId="77777777" w:rsidR="00B239E5" w:rsidRPr="002615B8" w:rsidRDefault="00B239E5" w:rsidP="00E62FA1">
            <w:pPr>
              <w:spacing w:before="0" w:after="0"/>
              <w:jc w:val="center"/>
              <w:rPr>
                <w:rFonts w:cs="Arial"/>
                <w:b/>
                <w:bCs/>
                <w:color w:val="FFFFFF" w:themeColor="background1"/>
                <w:sz w:val="18"/>
                <w:szCs w:val="18"/>
                <w:lang w:val="en-AU"/>
              </w:rPr>
            </w:pPr>
            <w:r w:rsidRPr="002615B8">
              <w:rPr>
                <w:rFonts w:cs="Arial"/>
                <w:b/>
                <w:bCs/>
                <w:color w:val="FFFFFF" w:themeColor="background1"/>
                <w:sz w:val="18"/>
                <w:szCs w:val="18"/>
                <w:lang w:val="en-AU"/>
              </w:rPr>
              <w:t>I</w:t>
            </w:r>
          </w:p>
        </w:tc>
        <w:tc>
          <w:tcPr>
            <w:tcW w:w="905" w:type="dxa"/>
            <w:shd w:val="clear" w:color="auto" w:fill="00B050"/>
            <w:noWrap/>
            <w:hideMark/>
          </w:tcPr>
          <w:p w14:paraId="3EAC0BEF" w14:textId="77777777" w:rsidR="00B239E5" w:rsidRPr="002615B8" w:rsidRDefault="00B239E5" w:rsidP="00E62FA1">
            <w:pPr>
              <w:spacing w:before="0" w:after="0"/>
              <w:jc w:val="center"/>
              <w:rPr>
                <w:rFonts w:cs="Arial"/>
                <w:b/>
                <w:bCs/>
                <w:color w:val="FFFFFF" w:themeColor="background1"/>
                <w:sz w:val="18"/>
                <w:szCs w:val="18"/>
                <w:lang w:val="en-AU"/>
              </w:rPr>
            </w:pPr>
            <w:r w:rsidRPr="002615B8">
              <w:rPr>
                <w:rFonts w:cs="Arial"/>
                <w:b/>
                <w:bCs/>
                <w:color w:val="FFFFFF" w:themeColor="background1"/>
                <w:sz w:val="18"/>
                <w:szCs w:val="18"/>
                <w:lang w:val="en-AU"/>
              </w:rPr>
              <w:t>II</w:t>
            </w:r>
          </w:p>
        </w:tc>
        <w:tc>
          <w:tcPr>
            <w:tcW w:w="748" w:type="dxa"/>
            <w:shd w:val="clear" w:color="auto" w:fill="FF0000"/>
            <w:noWrap/>
            <w:hideMark/>
          </w:tcPr>
          <w:p w14:paraId="6952A58A" w14:textId="77777777" w:rsidR="00B239E5" w:rsidRPr="002615B8" w:rsidRDefault="00B239E5" w:rsidP="00E62FA1">
            <w:pPr>
              <w:spacing w:before="0" w:after="0"/>
              <w:jc w:val="center"/>
              <w:rPr>
                <w:rFonts w:cs="Arial"/>
                <w:b/>
                <w:bCs/>
                <w:color w:val="FFFFFF" w:themeColor="background1"/>
                <w:sz w:val="18"/>
                <w:szCs w:val="18"/>
                <w:lang w:val="en-AU"/>
              </w:rPr>
            </w:pPr>
            <w:r w:rsidRPr="002615B8">
              <w:rPr>
                <w:rFonts w:cs="Arial"/>
                <w:b/>
                <w:bCs/>
                <w:color w:val="FFFFFF" w:themeColor="background1"/>
                <w:sz w:val="18"/>
                <w:szCs w:val="18"/>
                <w:lang w:val="en-AU"/>
              </w:rPr>
              <w:t>III</w:t>
            </w:r>
          </w:p>
        </w:tc>
        <w:tc>
          <w:tcPr>
            <w:tcW w:w="617" w:type="dxa"/>
            <w:shd w:val="clear" w:color="auto" w:fill="C00000"/>
            <w:noWrap/>
            <w:hideMark/>
          </w:tcPr>
          <w:p w14:paraId="22A5978B" w14:textId="77777777" w:rsidR="00B239E5" w:rsidRPr="002615B8" w:rsidRDefault="00B239E5" w:rsidP="00E62FA1">
            <w:pPr>
              <w:spacing w:before="0" w:after="0"/>
              <w:jc w:val="center"/>
              <w:rPr>
                <w:rFonts w:cs="Arial"/>
                <w:b/>
                <w:bCs/>
                <w:sz w:val="18"/>
                <w:szCs w:val="18"/>
                <w:lang w:val="en-AU"/>
              </w:rPr>
            </w:pPr>
            <w:r w:rsidRPr="002615B8">
              <w:rPr>
                <w:rFonts w:cs="Arial"/>
                <w:b/>
                <w:bCs/>
                <w:sz w:val="18"/>
                <w:szCs w:val="18"/>
                <w:lang w:val="en-AU"/>
              </w:rPr>
              <w:t>IV</w:t>
            </w:r>
          </w:p>
        </w:tc>
        <w:tc>
          <w:tcPr>
            <w:tcW w:w="1307" w:type="dxa"/>
            <w:vMerge/>
            <w:hideMark/>
          </w:tcPr>
          <w:p w14:paraId="45B3855D" w14:textId="77777777" w:rsidR="00B239E5" w:rsidRPr="002615B8" w:rsidRDefault="00B239E5" w:rsidP="00E62FA1">
            <w:pPr>
              <w:spacing w:before="0" w:after="0"/>
              <w:rPr>
                <w:rFonts w:cs="Arial"/>
                <w:b/>
                <w:bCs/>
                <w:color w:val="000000"/>
                <w:sz w:val="18"/>
                <w:szCs w:val="18"/>
                <w:lang w:val="en-AU"/>
              </w:rPr>
            </w:pPr>
          </w:p>
        </w:tc>
        <w:tc>
          <w:tcPr>
            <w:tcW w:w="1307" w:type="dxa"/>
            <w:vMerge/>
            <w:hideMark/>
          </w:tcPr>
          <w:p w14:paraId="131020C5" w14:textId="77777777" w:rsidR="00B239E5" w:rsidRPr="002615B8" w:rsidRDefault="00B239E5" w:rsidP="00E62FA1">
            <w:pPr>
              <w:spacing w:before="0" w:after="0"/>
              <w:rPr>
                <w:rFonts w:cs="Arial"/>
                <w:b/>
                <w:bCs/>
                <w:color w:val="000000"/>
                <w:sz w:val="18"/>
                <w:szCs w:val="18"/>
                <w:lang w:val="en-AU"/>
              </w:rPr>
            </w:pPr>
          </w:p>
        </w:tc>
      </w:tr>
      <w:tr w:rsidR="00B239E5" w:rsidRPr="007A4BC2" w14:paraId="2BE75BBC" w14:textId="77777777" w:rsidTr="00E62FA1">
        <w:trPr>
          <w:trHeight w:val="315"/>
        </w:trPr>
        <w:tc>
          <w:tcPr>
            <w:tcW w:w="1461" w:type="dxa"/>
            <w:vMerge w:val="restart"/>
            <w:noWrap/>
            <w:hideMark/>
          </w:tcPr>
          <w:p w14:paraId="010F7F8A"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GBR</w:t>
            </w:r>
          </w:p>
        </w:tc>
        <w:tc>
          <w:tcPr>
            <w:tcW w:w="628" w:type="dxa"/>
            <w:noWrap/>
            <w:hideMark/>
          </w:tcPr>
          <w:p w14:paraId="4A9C716D"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area</w:t>
            </w:r>
          </w:p>
        </w:tc>
        <w:tc>
          <w:tcPr>
            <w:tcW w:w="880" w:type="dxa"/>
            <w:noWrap/>
            <w:hideMark/>
          </w:tcPr>
          <w:p w14:paraId="6EB84773"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31,632</w:t>
            </w:r>
          </w:p>
        </w:tc>
        <w:tc>
          <w:tcPr>
            <w:tcW w:w="906" w:type="dxa"/>
            <w:noWrap/>
            <w:hideMark/>
          </w:tcPr>
          <w:p w14:paraId="2E99FED0"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12,121</w:t>
            </w:r>
          </w:p>
        </w:tc>
        <w:tc>
          <w:tcPr>
            <w:tcW w:w="905" w:type="dxa"/>
            <w:noWrap/>
            <w:hideMark/>
          </w:tcPr>
          <w:p w14:paraId="64D14B1A"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17,162</w:t>
            </w:r>
          </w:p>
        </w:tc>
        <w:tc>
          <w:tcPr>
            <w:tcW w:w="748" w:type="dxa"/>
            <w:noWrap/>
            <w:hideMark/>
          </w:tcPr>
          <w:p w14:paraId="4C3B009B"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387</w:t>
            </w:r>
          </w:p>
        </w:tc>
        <w:tc>
          <w:tcPr>
            <w:tcW w:w="617" w:type="dxa"/>
            <w:noWrap/>
            <w:hideMark/>
          </w:tcPr>
          <w:p w14:paraId="0E932430"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0</w:t>
            </w:r>
          </w:p>
        </w:tc>
        <w:tc>
          <w:tcPr>
            <w:tcW w:w="1307" w:type="dxa"/>
            <w:noWrap/>
            <w:hideMark/>
          </w:tcPr>
          <w:p w14:paraId="3DDFEBCD"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29,669</w:t>
            </w:r>
          </w:p>
        </w:tc>
        <w:tc>
          <w:tcPr>
            <w:tcW w:w="1307" w:type="dxa"/>
            <w:noWrap/>
            <w:hideMark/>
          </w:tcPr>
          <w:p w14:paraId="5265F150"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1,963</w:t>
            </w:r>
          </w:p>
        </w:tc>
      </w:tr>
      <w:tr w:rsidR="00B239E5" w:rsidRPr="007A4BC2" w14:paraId="43AAA3EA" w14:textId="77777777" w:rsidTr="00E62FA1">
        <w:trPr>
          <w:trHeight w:val="315"/>
        </w:trPr>
        <w:tc>
          <w:tcPr>
            <w:tcW w:w="1461" w:type="dxa"/>
            <w:vMerge/>
            <w:hideMark/>
          </w:tcPr>
          <w:p w14:paraId="65B714AF" w14:textId="77777777" w:rsidR="00B239E5" w:rsidRPr="002615B8" w:rsidRDefault="00B239E5" w:rsidP="00E62FA1">
            <w:pPr>
              <w:spacing w:before="0" w:after="0"/>
              <w:rPr>
                <w:rFonts w:cs="Arial"/>
                <w:b/>
                <w:bCs/>
                <w:color w:val="000000"/>
                <w:sz w:val="18"/>
                <w:szCs w:val="18"/>
                <w:lang w:val="en-AU"/>
              </w:rPr>
            </w:pPr>
          </w:p>
        </w:tc>
        <w:tc>
          <w:tcPr>
            <w:tcW w:w="628" w:type="dxa"/>
            <w:noWrap/>
            <w:hideMark/>
          </w:tcPr>
          <w:p w14:paraId="3BA1722A"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w:t>
            </w:r>
          </w:p>
        </w:tc>
        <w:tc>
          <w:tcPr>
            <w:tcW w:w="880" w:type="dxa"/>
            <w:noWrap/>
            <w:hideMark/>
          </w:tcPr>
          <w:p w14:paraId="3BA58103"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100%</w:t>
            </w:r>
          </w:p>
        </w:tc>
        <w:tc>
          <w:tcPr>
            <w:tcW w:w="906" w:type="dxa"/>
            <w:noWrap/>
            <w:hideMark/>
          </w:tcPr>
          <w:p w14:paraId="57531C11"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38%</w:t>
            </w:r>
          </w:p>
        </w:tc>
        <w:tc>
          <w:tcPr>
            <w:tcW w:w="905" w:type="dxa"/>
            <w:noWrap/>
            <w:hideMark/>
          </w:tcPr>
          <w:p w14:paraId="2A68990F"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54%</w:t>
            </w:r>
          </w:p>
        </w:tc>
        <w:tc>
          <w:tcPr>
            <w:tcW w:w="748" w:type="dxa"/>
            <w:noWrap/>
            <w:hideMark/>
          </w:tcPr>
          <w:p w14:paraId="09C4A8F9"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1%</w:t>
            </w:r>
          </w:p>
        </w:tc>
        <w:tc>
          <w:tcPr>
            <w:tcW w:w="617" w:type="dxa"/>
            <w:noWrap/>
            <w:hideMark/>
          </w:tcPr>
          <w:p w14:paraId="589307BC"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0%</w:t>
            </w:r>
          </w:p>
        </w:tc>
        <w:tc>
          <w:tcPr>
            <w:tcW w:w="1307" w:type="dxa"/>
            <w:noWrap/>
            <w:hideMark/>
          </w:tcPr>
          <w:p w14:paraId="1B9CA8BE"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94%</w:t>
            </w:r>
          </w:p>
        </w:tc>
        <w:tc>
          <w:tcPr>
            <w:tcW w:w="1307" w:type="dxa"/>
            <w:noWrap/>
            <w:hideMark/>
          </w:tcPr>
          <w:p w14:paraId="640234A6"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6%</w:t>
            </w:r>
          </w:p>
        </w:tc>
      </w:tr>
      <w:tr w:rsidR="00B239E5" w:rsidRPr="007A4BC2" w14:paraId="3BBDACE4" w14:textId="77777777" w:rsidTr="00E62FA1">
        <w:trPr>
          <w:trHeight w:val="315"/>
        </w:trPr>
        <w:tc>
          <w:tcPr>
            <w:tcW w:w="1461" w:type="dxa"/>
            <w:vMerge w:val="restart"/>
            <w:noWrap/>
            <w:hideMark/>
          </w:tcPr>
          <w:p w14:paraId="045F1929"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Cape York</w:t>
            </w:r>
          </w:p>
        </w:tc>
        <w:tc>
          <w:tcPr>
            <w:tcW w:w="628" w:type="dxa"/>
            <w:noWrap/>
            <w:hideMark/>
          </w:tcPr>
          <w:p w14:paraId="4F54E281"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area</w:t>
            </w:r>
          </w:p>
        </w:tc>
        <w:tc>
          <w:tcPr>
            <w:tcW w:w="880" w:type="dxa"/>
            <w:noWrap/>
            <w:hideMark/>
          </w:tcPr>
          <w:p w14:paraId="068259F1"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9,459</w:t>
            </w:r>
          </w:p>
        </w:tc>
        <w:tc>
          <w:tcPr>
            <w:tcW w:w="906" w:type="dxa"/>
            <w:noWrap/>
            <w:hideMark/>
          </w:tcPr>
          <w:p w14:paraId="51C11551"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3,270</w:t>
            </w:r>
          </w:p>
        </w:tc>
        <w:tc>
          <w:tcPr>
            <w:tcW w:w="905" w:type="dxa"/>
            <w:noWrap/>
            <w:hideMark/>
          </w:tcPr>
          <w:p w14:paraId="775BA90D"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5,973</w:t>
            </w:r>
          </w:p>
        </w:tc>
        <w:tc>
          <w:tcPr>
            <w:tcW w:w="748" w:type="dxa"/>
            <w:noWrap/>
            <w:hideMark/>
          </w:tcPr>
          <w:p w14:paraId="127155C1"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49</w:t>
            </w:r>
          </w:p>
        </w:tc>
        <w:tc>
          <w:tcPr>
            <w:tcW w:w="617" w:type="dxa"/>
            <w:noWrap/>
            <w:hideMark/>
          </w:tcPr>
          <w:p w14:paraId="20F394AC"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0</w:t>
            </w:r>
          </w:p>
        </w:tc>
        <w:tc>
          <w:tcPr>
            <w:tcW w:w="1307" w:type="dxa"/>
            <w:noWrap/>
            <w:hideMark/>
          </w:tcPr>
          <w:p w14:paraId="3B9B4FDE"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9,292</w:t>
            </w:r>
          </w:p>
        </w:tc>
        <w:tc>
          <w:tcPr>
            <w:tcW w:w="1307" w:type="dxa"/>
            <w:noWrap/>
            <w:hideMark/>
          </w:tcPr>
          <w:p w14:paraId="5053D921"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167</w:t>
            </w:r>
          </w:p>
        </w:tc>
      </w:tr>
      <w:tr w:rsidR="00B239E5" w:rsidRPr="007A4BC2" w14:paraId="26159DFD" w14:textId="77777777" w:rsidTr="00E62FA1">
        <w:trPr>
          <w:trHeight w:val="300"/>
        </w:trPr>
        <w:tc>
          <w:tcPr>
            <w:tcW w:w="1461" w:type="dxa"/>
            <w:vMerge/>
            <w:hideMark/>
          </w:tcPr>
          <w:p w14:paraId="769E81DD" w14:textId="77777777" w:rsidR="00B239E5" w:rsidRPr="002615B8" w:rsidRDefault="00B239E5" w:rsidP="00E62FA1">
            <w:pPr>
              <w:spacing w:before="0" w:after="0"/>
              <w:rPr>
                <w:rFonts w:cs="Arial"/>
                <w:b/>
                <w:bCs/>
                <w:color w:val="000000"/>
                <w:sz w:val="18"/>
                <w:szCs w:val="18"/>
                <w:lang w:val="en-AU"/>
              </w:rPr>
            </w:pPr>
          </w:p>
        </w:tc>
        <w:tc>
          <w:tcPr>
            <w:tcW w:w="628" w:type="dxa"/>
            <w:noWrap/>
            <w:hideMark/>
          </w:tcPr>
          <w:p w14:paraId="39E8EFB9"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w:t>
            </w:r>
          </w:p>
        </w:tc>
        <w:tc>
          <w:tcPr>
            <w:tcW w:w="880" w:type="dxa"/>
            <w:noWrap/>
            <w:hideMark/>
          </w:tcPr>
          <w:p w14:paraId="38417089"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100%</w:t>
            </w:r>
          </w:p>
        </w:tc>
        <w:tc>
          <w:tcPr>
            <w:tcW w:w="906" w:type="dxa"/>
            <w:noWrap/>
            <w:hideMark/>
          </w:tcPr>
          <w:p w14:paraId="418719ED"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35%</w:t>
            </w:r>
          </w:p>
        </w:tc>
        <w:tc>
          <w:tcPr>
            <w:tcW w:w="905" w:type="dxa"/>
            <w:noWrap/>
            <w:hideMark/>
          </w:tcPr>
          <w:p w14:paraId="76FA70FC"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63%</w:t>
            </w:r>
          </w:p>
        </w:tc>
        <w:tc>
          <w:tcPr>
            <w:tcW w:w="748" w:type="dxa"/>
            <w:noWrap/>
            <w:hideMark/>
          </w:tcPr>
          <w:p w14:paraId="00CD763A"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1%</w:t>
            </w:r>
          </w:p>
        </w:tc>
        <w:tc>
          <w:tcPr>
            <w:tcW w:w="617" w:type="dxa"/>
            <w:noWrap/>
            <w:hideMark/>
          </w:tcPr>
          <w:p w14:paraId="653D3A27"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0%</w:t>
            </w:r>
          </w:p>
        </w:tc>
        <w:tc>
          <w:tcPr>
            <w:tcW w:w="1307" w:type="dxa"/>
            <w:noWrap/>
            <w:hideMark/>
          </w:tcPr>
          <w:p w14:paraId="78ECD504"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98%</w:t>
            </w:r>
          </w:p>
        </w:tc>
        <w:tc>
          <w:tcPr>
            <w:tcW w:w="1307" w:type="dxa"/>
            <w:noWrap/>
            <w:hideMark/>
          </w:tcPr>
          <w:p w14:paraId="30B4E082"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2%</w:t>
            </w:r>
          </w:p>
        </w:tc>
      </w:tr>
      <w:tr w:rsidR="00B239E5" w:rsidRPr="007A4BC2" w14:paraId="15BA9BEC" w14:textId="77777777" w:rsidTr="00E62FA1">
        <w:trPr>
          <w:trHeight w:val="300"/>
        </w:trPr>
        <w:tc>
          <w:tcPr>
            <w:tcW w:w="1461" w:type="dxa"/>
            <w:vMerge w:val="restart"/>
            <w:noWrap/>
            <w:hideMark/>
          </w:tcPr>
          <w:p w14:paraId="265AC6AF"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Wet Tropics</w:t>
            </w:r>
          </w:p>
        </w:tc>
        <w:tc>
          <w:tcPr>
            <w:tcW w:w="628" w:type="dxa"/>
            <w:noWrap/>
            <w:hideMark/>
          </w:tcPr>
          <w:p w14:paraId="0384DDE7"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area</w:t>
            </w:r>
          </w:p>
        </w:tc>
        <w:tc>
          <w:tcPr>
            <w:tcW w:w="880" w:type="dxa"/>
            <w:noWrap/>
            <w:hideMark/>
          </w:tcPr>
          <w:p w14:paraId="1B418E7C"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4,661</w:t>
            </w:r>
          </w:p>
        </w:tc>
        <w:tc>
          <w:tcPr>
            <w:tcW w:w="906" w:type="dxa"/>
            <w:noWrap/>
            <w:hideMark/>
          </w:tcPr>
          <w:p w14:paraId="3D03DAED"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2,891</w:t>
            </w:r>
          </w:p>
        </w:tc>
        <w:tc>
          <w:tcPr>
            <w:tcW w:w="905" w:type="dxa"/>
            <w:noWrap/>
            <w:hideMark/>
          </w:tcPr>
          <w:p w14:paraId="57F2928F"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1,421</w:t>
            </w:r>
          </w:p>
        </w:tc>
        <w:tc>
          <w:tcPr>
            <w:tcW w:w="748" w:type="dxa"/>
            <w:noWrap/>
            <w:hideMark/>
          </w:tcPr>
          <w:p w14:paraId="0FED5756"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14</w:t>
            </w:r>
          </w:p>
        </w:tc>
        <w:tc>
          <w:tcPr>
            <w:tcW w:w="617" w:type="dxa"/>
            <w:noWrap/>
            <w:hideMark/>
          </w:tcPr>
          <w:p w14:paraId="1F3C3A7D"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0</w:t>
            </w:r>
          </w:p>
        </w:tc>
        <w:tc>
          <w:tcPr>
            <w:tcW w:w="1307" w:type="dxa"/>
            <w:noWrap/>
            <w:hideMark/>
          </w:tcPr>
          <w:p w14:paraId="649C8262"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4,326</w:t>
            </w:r>
          </w:p>
        </w:tc>
        <w:tc>
          <w:tcPr>
            <w:tcW w:w="1307" w:type="dxa"/>
            <w:noWrap/>
            <w:hideMark/>
          </w:tcPr>
          <w:p w14:paraId="6342D38C"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335</w:t>
            </w:r>
          </w:p>
        </w:tc>
      </w:tr>
      <w:tr w:rsidR="00B239E5" w:rsidRPr="007A4BC2" w14:paraId="659F44AD" w14:textId="77777777" w:rsidTr="00E62FA1">
        <w:trPr>
          <w:trHeight w:val="300"/>
        </w:trPr>
        <w:tc>
          <w:tcPr>
            <w:tcW w:w="1461" w:type="dxa"/>
            <w:vMerge/>
            <w:hideMark/>
          </w:tcPr>
          <w:p w14:paraId="32FC5C17" w14:textId="77777777" w:rsidR="00B239E5" w:rsidRPr="002615B8" w:rsidRDefault="00B239E5" w:rsidP="00E62FA1">
            <w:pPr>
              <w:spacing w:before="0" w:after="0"/>
              <w:rPr>
                <w:rFonts w:cs="Arial"/>
                <w:b/>
                <w:bCs/>
                <w:color w:val="000000"/>
                <w:sz w:val="18"/>
                <w:szCs w:val="18"/>
                <w:lang w:val="en-AU"/>
              </w:rPr>
            </w:pPr>
          </w:p>
        </w:tc>
        <w:tc>
          <w:tcPr>
            <w:tcW w:w="628" w:type="dxa"/>
            <w:noWrap/>
            <w:hideMark/>
          </w:tcPr>
          <w:p w14:paraId="1665B068"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w:t>
            </w:r>
          </w:p>
        </w:tc>
        <w:tc>
          <w:tcPr>
            <w:tcW w:w="880" w:type="dxa"/>
            <w:noWrap/>
            <w:hideMark/>
          </w:tcPr>
          <w:p w14:paraId="562D3549"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100%</w:t>
            </w:r>
          </w:p>
        </w:tc>
        <w:tc>
          <w:tcPr>
            <w:tcW w:w="906" w:type="dxa"/>
            <w:noWrap/>
            <w:hideMark/>
          </w:tcPr>
          <w:p w14:paraId="1F621181"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62%</w:t>
            </w:r>
          </w:p>
        </w:tc>
        <w:tc>
          <w:tcPr>
            <w:tcW w:w="905" w:type="dxa"/>
            <w:noWrap/>
            <w:hideMark/>
          </w:tcPr>
          <w:p w14:paraId="10464F7E"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30%</w:t>
            </w:r>
          </w:p>
        </w:tc>
        <w:tc>
          <w:tcPr>
            <w:tcW w:w="748" w:type="dxa"/>
            <w:noWrap/>
            <w:hideMark/>
          </w:tcPr>
          <w:p w14:paraId="74644F24"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0%</w:t>
            </w:r>
          </w:p>
        </w:tc>
        <w:tc>
          <w:tcPr>
            <w:tcW w:w="617" w:type="dxa"/>
            <w:noWrap/>
            <w:hideMark/>
          </w:tcPr>
          <w:p w14:paraId="473D0506"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0%</w:t>
            </w:r>
          </w:p>
        </w:tc>
        <w:tc>
          <w:tcPr>
            <w:tcW w:w="1307" w:type="dxa"/>
            <w:noWrap/>
            <w:hideMark/>
          </w:tcPr>
          <w:p w14:paraId="0AF69538"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93%</w:t>
            </w:r>
          </w:p>
        </w:tc>
        <w:tc>
          <w:tcPr>
            <w:tcW w:w="1307" w:type="dxa"/>
            <w:noWrap/>
            <w:hideMark/>
          </w:tcPr>
          <w:p w14:paraId="30C7373F"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7%</w:t>
            </w:r>
          </w:p>
        </w:tc>
      </w:tr>
      <w:tr w:rsidR="00B239E5" w:rsidRPr="007A4BC2" w14:paraId="71C79409" w14:textId="77777777" w:rsidTr="00E62FA1">
        <w:trPr>
          <w:trHeight w:val="300"/>
        </w:trPr>
        <w:tc>
          <w:tcPr>
            <w:tcW w:w="1461" w:type="dxa"/>
            <w:vMerge w:val="restart"/>
            <w:noWrap/>
            <w:hideMark/>
          </w:tcPr>
          <w:p w14:paraId="2A1A840E"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Burdekin</w:t>
            </w:r>
          </w:p>
        </w:tc>
        <w:tc>
          <w:tcPr>
            <w:tcW w:w="628" w:type="dxa"/>
            <w:noWrap/>
            <w:hideMark/>
          </w:tcPr>
          <w:p w14:paraId="5648D371"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area</w:t>
            </w:r>
          </w:p>
        </w:tc>
        <w:tc>
          <w:tcPr>
            <w:tcW w:w="880" w:type="dxa"/>
            <w:noWrap/>
            <w:hideMark/>
          </w:tcPr>
          <w:p w14:paraId="42E48565"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5,459</w:t>
            </w:r>
          </w:p>
        </w:tc>
        <w:tc>
          <w:tcPr>
            <w:tcW w:w="906" w:type="dxa"/>
            <w:noWrap/>
            <w:hideMark/>
          </w:tcPr>
          <w:p w14:paraId="53DE4A62"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2,858</w:t>
            </w:r>
          </w:p>
        </w:tc>
        <w:tc>
          <w:tcPr>
            <w:tcW w:w="905" w:type="dxa"/>
            <w:noWrap/>
            <w:hideMark/>
          </w:tcPr>
          <w:p w14:paraId="11D87183"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1,157</w:t>
            </w:r>
          </w:p>
        </w:tc>
        <w:tc>
          <w:tcPr>
            <w:tcW w:w="748" w:type="dxa"/>
            <w:noWrap/>
            <w:hideMark/>
          </w:tcPr>
          <w:p w14:paraId="37877540"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0</w:t>
            </w:r>
          </w:p>
        </w:tc>
        <w:tc>
          <w:tcPr>
            <w:tcW w:w="617" w:type="dxa"/>
            <w:noWrap/>
            <w:hideMark/>
          </w:tcPr>
          <w:p w14:paraId="62A9D6BD"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0</w:t>
            </w:r>
          </w:p>
        </w:tc>
        <w:tc>
          <w:tcPr>
            <w:tcW w:w="1307" w:type="dxa"/>
            <w:noWrap/>
            <w:hideMark/>
          </w:tcPr>
          <w:p w14:paraId="289FFD3C"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4,016</w:t>
            </w:r>
          </w:p>
        </w:tc>
        <w:tc>
          <w:tcPr>
            <w:tcW w:w="1307" w:type="dxa"/>
            <w:noWrap/>
            <w:hideMark/>
          </w:tcPr>
          <w:p w14:paraId="1CC2A1D8"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1,443</w:t>
            </w:r>
          </w:p>
        </w:tc>
      </w:tr>
      <w:tr w:rsidR="00B239E5" w:rsidRPr="007A4BC2" w14:paraId="68FBB7EF" w14:textId="77777777" w:rsidTr="00E62FA1">
        <w:trPr>
          <w:trHeight w:val="300"/>
        </w:trPr>
        <w:tc>
          <w:tcPr>
            <w:tcW w:w="1461" w:type="dxa"/>
            <w:vMerge/>
            <w:hideMark/>
          </w:tcPr>
          <w:p w14:paraId="108722CC" w14:textId="77777777" w:rsidR="00B239E5" w:rsidRPr="002615B8" w:rsidRDefault="00B239E5" w:rsidP="00E62FA1">
            <w:pPr>
              <w:spacing w:before="0" w:after="0"/>
              <w:rPr>
                <w:rFonts w:cs="Arial"/>
                <w:b/>
                <w:bCs/>
                <w:color w:val="000000"/>
                <w:sz w:val="18"/>
                <w:szCs w:val="18"/>
                <w:lang w:val="en-AU"/>
              </w:rPr>
            </w:pPr>
          </w:p>
        </w:tc>
        <w:tc>
          <w:tcPr>
            <w:tcW w:w="628" w:type="dxa"/>
            <w:noWrap/>
            <w:hideMark/>
          </w:tcPr>
          <w:p w14:paraId="2B4E9399"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w:t>
            </w:r>
          </w:p>
        </w:tc>
        <w:tc>
          <w:tcPr>
            <w:tcW w:w="880" w:type="dxa"/>
            <w:noWrap/>
            <w:hideMark/>
          </w:tcPr>
          <w:p w14:paraId="008123DC"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100%</w:t>
            </w:r>
          </w:p>
        </w:tc>
        <w:tc>
          <w:tcPr>
            <w:tcW w:w="906" w:type="dxa"/>
            <w:noWrap/>
            <w:hideMark/>
          </w:tcPr>
          <w:p w14:paraId="75496923"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52%</w:t>
            </w:r>
          </w:p>
        </w:tc>
        <w:tc>
          <w:tcPr>
            <w:tcW w:w="905" w:type="dxa"/>
            <w:noWrap/>
            <w:hideMark/>
          </w:tcPr>
          <w:p w14:paraId="1C536917"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21%</w:t>
            </w:r>
          </w:p>
        </w:tc>
        <w:tc>
          <w:tcPr>
            <w:tcW w:w="748" w:type="dxa"/>
            <w:noWrap/>
            <w:hideMark/>
          </w:tcPr>
          <w:p w14:paraId="46F362A9"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0%</w:t>
            </w:r>
          </w:p>
        </w:tc>
        <w:tc>
          <w:tcPr>
            <w:tcW w:w="617" w:type="dxa"/>
            <w:noWrap/>
            <w:hideMark/>
          </w:tcPr>
          <w:p w14:paraId="021CB5EE"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0%</w:t>
            </w:r>
          </w:p>
        </w:tc>
        <w:tc>
          <w:tcPr>
            <w:tcW w:w="1307" w:type="dxa"/>
            <w:noWrap/>
            <w:hideMark/>
          </w:tcPr>
          <w:p w14:paraId="227C1858"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74%</w:t>
            </w:r>
          </w:p>
        </w:tc>
        <w:tc>
          <w:tcPr>
            <w:tcW w:w="1307" w:type="dxa"/>
            <w:noWrap/>
            <w:hideMark/>
          </w:tcPr>
          <w:p w14:paraId="0DBEBA3F"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26%</w:t>
            </w:r>
          </w:p>
        </w:tc>
      </w:tr>
      <w:tr w:rsidR="00B239E5" w:rsidRPr="007A4BC2" w14:paraId="5369AB2F" w14:textId="77777777" w:rsidTr="00E62FA1">
        <w:trPr>
          <w:trHeight w:val="277"/>
        </w:trPr>
        <w:tc>
          <w:tcPr>
            <w:tcW w:w="1461" w:type="dxa"/>
            <w:vMerge w:val="restart"/>
            <w:hideMark/>
          </w:tcPr>
          <w:p w14:paraId="1BCC3CBE"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Mackay-Whitsundays</w:t>
            </w:r>
          </w:p>
        </w:tc>
        <w:tc>
          <w:tcPr>
            <w:tcW w:w="628" w:type="dxa"/>
            <w:noWrap/>
            <w:hideMark/>
          </w:tcPr>
          <w:p w14:paraId="0543149A"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area</w:t>
            </w:r>
          </w:p>
        </w:tc>
        <w:tc>
          <w:tcPr>
            <w:tcW w:w="880" w:type="dxa"/>
            <w:noWrap/>
            <w:hideMark/>
          </w:tcPr>
          <w:p w14:paraId="797A07AC"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220</w:t>
            </w:r>
          </w:p>
        </w:tc>
        <w:tc>
          <w:tcPr>
            <w:tcW w:w="906" w:type="dxa"/>
            <w:noWrap/>
            <w:hideMark/>
          </w:tcPr>
          <w:p w14:paraId="5985465F"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0</w:t>
            </w:r>
          </w:p>
        </w:tc>
        <w:tc>
          <w:tcPr>
            <w:tcW w:w="905" w:type="dxa"/>
            <w:noWrap/>
            <w:hideMark/>
          </w:tcPr>
          <w:p w14:paraId="68E99223"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192</w:t>
            </w:r>
          </w:p>
        </w:tc>
        <w:tc>
          <w:tcPr>
            <w:tcW w:w="748" w:type="dxa"/>
            <w:noWrap/>
            <w:hideMark/>
          </w:tcPr>
          <w:p w14:paraId="63982A92"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28</w:t>
            </w:r>
          </w:p>
        </w:tc>
        <w:tc>
          <w:tcPr>
            <w:tcW w:w="617" w:type="dxa"/>
            <w:noWrap/>
            <w:hideMark/>
          </w:tcPr>
          <w:p w14:paraId="5FA6056B"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0</w:t>
            </w:r>
          </w:p>
        </w:tc>
        <w:tc>
          <w:tcPr>
            <w:tcW w:w="1307" w:type="dxa"/>
            <w:noWrap/>
            <w:hideMark/>
          </w:tcPr>
          <w:p w14:paraId="7F2AC6AA"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220</w:t>
            </w:r>
          </w:p>
        </w:tc>
        <w:tc>
          <w:tcPr>
            <w:tcW w:w="1307" w:type="dxa"/>
            <w:noWrap/>
            <w:hideMark/>
          </w:tcPr>
          <w:p w14:paraId="27145E12"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0</w:t>
            </w:r>
          </w:p>
        </w:tc>
      </w:tr>
      <w:tr w:rsidR="00B239E5" w:rsidRPr="007A4BC2" w14:paraId="7B64EF87" w14:textId="77777777" w:rsidTr="00E62FA1">
        <w:trPr>
          <w:trHeight w:val="300"/>
        </w:trPr>
        <w:tc>
          <w:tcPr>
            <w:tcW w:w="1461" w:type="dxa"/>
            <w:vMerge/>
            <w:hideMark/>
          </w:tcPr>
          <w:p w14:paraId="17D91154" w14:textId="77777777" w:rsidR="00B239E5" w:rsidRPr="002615B8" w:rsidRDefault="00B239E5" w:rsidP="00E62FA1">
            <w:pPr>
              <w:spacing w:before="0" w:after="0"/>
              <w:rPr>
                <w:rFonts w:cs="Arial"/>
                <w:b/>
                <w:bCs/>
                <w:color w:val="000000"/>
                <w:sz w:val="18"/>
                <w:szCs w:val="18"/>
                <w:lang w:val="en-AU"/>
              </w:rPr>
            </w:pPr>
          </w:p>
        </w:tc>
        <w:tc>
          <w:tcPr>
            <w:tcW w:w="628" w:type="dxa"/>
            <w:noWrap/>
            <w:hideMark/>
          </w:tcPr>
          <w:p w14:paraId="7D7A8287"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w:t>
            </w:r>
          </w:p>
        </w:tc>
        <w:tc>
          <w:tcPr>
            <w:tcW w:w="880" w:type="dxa"/>
            <w:noWrap/>
            <w:hideMark/>
          </w:tcPr>
          <w:p w14:paraId="5FEE6C07"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100%</w:t>
            </w:r>
          </w:p>
        </w:tc>
        <w:tc>
          <w:tcPr>
            <w:tcW w:w="906" w:type="dxa"/>
            <w:noWrap/>
            <w:hideMark/>
          </w:tcPr>
          <w:p w14:paraId="58B33377"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0%</w:t>
            </w:r>
          </w:p>
        </w:tc>
        <w:tc>
          <w:tcPr>
            <w:tcW w:w="905" w:type="dxa"/>
            <w:noWrap/>
            <w:hideMark/>
          </w:tcPr>
          <w:p w14:paraId="6DCA3DC9"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87%</w:t>
            </w:r>
          </w:p>
        </w:tc>
        <w:tc>
          <w:tcPr>
            <w:tcW w:w="748" w:type="dxa"/>
            <w:noWrap/>
            <w:hideMark/>
          </w:tcPr>
          <w:p w14:paraId="02B134E5"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13%</w:t>
            </w:r>
          </w:p>
        </w:tc>
        <w:tc>
          <w:tcPr>
            <w:tcW w:w="617" w:type="dxa"/>
            <w:noWrap/>
            <w:hideMark/>
          </w:tcPr>
          <w:p w14:paraId="6346E5D1"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0%</w:t>
            </w:r>
          </w:p>
        </w:tc>
        <w:tc>
          <w:tcPr>
            <w:tcW w:w="1307" w:type="dxa"/>
            <w:noWrap/>
            <w:hideMark/>
          </w:tcPr>
          <w:p w14:paraId="31EB7EB6"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100%</w:t>
            </w:r>
          </w:p>
        </w:tc>
        <w:tc>
          <w:tcPr>
            <w:tcW w:w="1307" w:type="dxa"/>
            <w:noWrap/>
            <w:hideMark/>
          </w:tcPr>
          <w:p w14:paraId="3268D94B"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0%</w:t>
            </w:r>
          </w:p>
        </w:tc>
      </w:tr>
      <w:tr w:rsidR="00B239E5" w:rsidRPr="007A4BC2" w14:paraId="376B0025" w14:textId="77777777" w:rsidTr="00E62FA1">
        <w:trPr>
          <w:trHeight w:val="300"/>
        </w:trPr>
        <w:tc>
          <w:tcPr>
            <w:tcW w:w="1461" w:type="dxa"/>
            <w:vMerge w:val="restart"/>
            <w:noWrap/>
            <w:hideMark/>
          </w:tcPr>
          <w:p w14:paraId="6A4613B6"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Fitzroy</w:t>
            </w:r>
          </w:p>
        </w:tc>
        <w:tc>
          <w:tcPr>
            <w:tcW w:w="628" w:type="dxa"/>
            <w:noWrap/>
            <w:hideMark/>
          </w:tcPr>
          <w:p w14:paraId="1D6F2F1F"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area</w:t>
            </w:r>
          </w:p>
        </w:tc>
        <w:tc>
          <w:tcPr>
            <w:tcW w:w="880" w:type="dxa"/>
            <w:noWrap/>
            <w:hideMark/>
          </w:tcPr>
          <w:p w14:paraId="4D6F715B"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5,560</w:t>
            </w:r>
          </w:p>
        </w:tc>
        <w:tc>
          <w:tcPr>
            <w:tcW w:w="906" w:type="dxa"/>
            <w:noWrap/>
            <w:hideMark/>
          </w:tcPr>
          <w:p w14:paraId="475C99A2"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3,101</w:t>
            </w:r>
          </w:p>
        </w:tc>
        <w:tc>
          <w:tcPr>
            <w:tcW w:w="905" w:type="dxa"/>
            <w:noWrap/>
            <w:hideMark/>
          </w:tcPr>
          <w:p w14:paraId="467EB311"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2,175</w:t>
            </w:r>
          </w:p>
        </w:tc>
        <w:tc>
          <w:tcPr>
            <w:tcW w:w="748" w:type="dxa"/>
            <w:noWrap/>
            <w:hideMark/>
          </w:tcPr>
          <w:p w14:paraId="05A87D81"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281</w:t>
            </w:r>
          </w:p>
        </w:tc>
        <w:tc>
          <w:tcPr>
            <w:tcW w:w="617" w:type="dxa"/>
            <w:noWrap/>
            <w:hideMark/>
          </w:tcPr>
          <w:p w14:paraId="2BE367AD"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0</w:t>
            </w:r>
          </w:p>
        </w:tc>
        <w:tc>
          <w:tcPr>
            <w:tcW w:w="1307" w:type="dxa"/>
            <w:noWrap/>
            <w:hideMark/>
          </w:tcPr>
          <w:p w14:paraId="4E0D18F6"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5,557</w:t>
            </w:r>
          </w:p>
        </w:tc>
        <w:tc>
          <w:tcPr>
            <w:tcW w:w="1307" w:type="dxa"/>
            <w:noWrap/>
            <w:hideMark/>
          </w:tcPr>
          <w:p w14:paraId="67836949"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3</w:t>
            </w:r>
          </w:p>
        </w:tc>
      </w:tr>
      <w:tr w:rsidR="00B239E5" w:rsidRPr="007A4BC2" w14:paraId="174BA718" w14:textId="77777777" w:rsidTr="00E62FA1">
        <w:trPr>
          <w:trHeight w:val="300"/>
        </w:trPr>
        <w:tc>
          <w:tcPr>
            <w:tcW w:w="1461" w:type="dxa"/>
            <w:vMerge/>
            <w:hideMark/>
          </w:tcPr>
          <w:p w14:paraId="1EF15121" w14:textId="77777777" w:rsidR="00B239E5" w:rsidRPr="002615B8" w:rsidRDefault="00B239E5" w:rsidP="00E62FA1">
            <w:pPr>
              <w:spacing w:before="0" w:after="0"/>
              <w:rPr>
                <w:rFonts w:cs="Arial"/>
                <w:b/>
                <w:bCs/>
                <w:color w:val="000000"/>
                <w:sz w:val="18"/>
                <w:szCs w:val="18"/>
                <w:lang w:val="en-AU"/>
              </w:rPr>
            </w:pPr>
          </w:p>
        </w:tc>
        <w:tc>
          <w:tcPr>
            <w:tcW w:w="628" w:type="dxa"/>
            <w:noWrap/>
            <w:hideMark/>
          </w:tcPr>
          <w:p w14:paraId="2AC20F9E"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w:t>
            </w:r>
          </w:p>
        </w:tc>
        <w:tc>
          <w:tcPr>
            <w:tcW w:w="880" w:type="dxa"/>
            <w:noWrap/>
            <w:hideMark/>
          </w:tcPr>
          <w:p w14:paraId="71DDF5D0"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100%</w:t>
            </w:r>
          </w:p>
        </w:tc>
        <w:tc>
          <w:tcPr>
            <w:tcW w:w="906" w:type="dxa"/>
            <w:noWrap/>
            <w:hideMark/>
          </w:tcPr>
          <w:p w14:paraId="6B2C2F76"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56%</w:t>
            </w:r>
          </w:p>
        </w:tc>
        <w:tc>
          <w:tcPr>
            <w:tcW w:w="905" w:type="dxa"/>
            <w:noWrap/>
            <w:hideMark/>
          </w:tcPr>
          <w:p w14:paraId="1925A84C"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39%</w:t>
            </w:r>
          </w:p>
        </w:tc>
        <w:tc>
          <w:tcPr>
            <w:tcW w:w="748" w:type="dxa"/>
            <w:noWrap/>
            <w:hideMark/>
          </w:tcPr>
          <w:p w14:paraId="54B62AC6"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5%</w:t>
            </w:r>
          </w:p>
        </w:tc>
        <w:tc>
          <w:tcPr>
            <w:tcW w:w="617" w:type="dxa"/>
            <w:noWrap/>
            <w:hideMark/>
          </w:tcPr>
          <w:p w14:paraId="6B93CC7D"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0%</w:t>
            </w:r>
          </w:p>
        </w:tc>
        <w:tc>
          <w:tcPr>
            <w:tcW w:w="1307" w:type="dxa"/>
            <w:noWrap/>
            <w:hideMark/>
          </w:tcPr>
          <w:p w14:paraId="2018BA18"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100%</w:t>
            </w:r>
          </w:p>
        </w:tc>
        <w:tc>
          <w:tcPr>
            <w:tcW w:w="1307" w:type="dxa"/>
            <w:noWrap/>
            <w:hideMark/>
          </w:tcPr>
          <w:p w14:paraId="6FA7E6BC"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0%</w:t>
            </w:r>
          </w:p>
        </w:tc>
      </w:tr>
      <w:tr w:rsidR="00B239E5" w:rsidRPr="007A4BC2" w14:paraId="666AF3FC" w14:textId="77777777" w:rsidTr="00E62FA1">
        <w:trPr>
          <w:trHeight w:val="300"/>
        </w:trPr>
        <w:tc>
          <w:tcPr>
            <w:tcW w:w="1461" w:type="dxa"/>
            <w:vMerge w:val="restart"/>
            <w:hideMark/>
          </w:tcPr>
          <w:p w14:paraId="4C5613AB"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Burnett-Mary</w:t>
            </w:r>
          </w:p>
        </w:tc>
        <w:tc>
          <w:tcPr>
            <w:tcW w:w="628" w:type="dxa"/>
            <w:noWrap/>
            <w:hideMark/>
          </w:tcPr>
          <w:p w14:paraId="1D3D59B2"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area</w:t>
            </w:r>
          </w:p>
        </w:tc>
        <w:tc>
          <w:tcPr>
            <w:tcW w:w="880" w:type="dxa"/>
            <w:noWrap/>
            <w:hideMark/>
          </w:tcPr>
          <w:p w14:paraId="55A6BB95"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6,301</w:t>
            </w:r>
          </w:p>
        </w:tc>
        <w:tc>
          <w:tcPr>
            <w:tcW w:w="906" w:type="dxa"/>
            <w:noWrap/>
            <w:hideMark/>
          </w:tcPr>
          <w:p w14:paraId="78772CA0"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0</w:t>
            </w:r>
          </w:p>
        </w:tc>
        <w:tc>
          <w:tcPr>
            <w:tcW w:w="905" w:type="dxa"/>
            <w:noWrap/>
            <w:hideMark/>
          </w:tcPr>
          <w:p w14:paraId="0EF7ECBD"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6,242</w:t>
            </w:r>
          </w:p>
        </w:tc>
        <w:tc>
          <w:tcPr>
            <w:tcW w:w="748" w:type="dxa"/>
            <w:noWrap/>
            <w:hideMark/>
          </w:tcPr>
          <w:p w14:paraId="5841D6D1"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15</w:t>
            </w:r>
          </w:p>
        </w:tc>
        <w:tc>
          <w:tcPr>
            <w:tcW w:w="617" w:type="dxa"/>
            <w:noWrap/>
            <w:hideMark/>
          </w:tcPr>
          <w:p w14:paraId="70DAE6B1"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0</w:t>
            </w:r>
          </w:p>
        </w:tc>
        <w:tc>
          <w:tcPr>
            <w:tcW w:w="1307" w:type="dxa"/>
            <w:noWrap/>
            <w:hideMark/>
          </w:tcPr>
          <w:p w14:paraId="18D0FB2E"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6,257</w:t>
            </w:r>
          </w:p>
        </w:tc>
        <w:tc>
          <w:tcPr>
            <w:tcW w:w="1307" w:type="dxa"/>
            <w:noWrap/>
            <w:hideMark/>
          </w:tcPr>
          <w:p w14:paraId="2440D653"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44</w:t>
            </w:r>
          </w:p>
        </w:tc>
      </w:tr>
      <w:tr w:rsidR="00B239E5" w:rsidRPr="007A4BC2" w14:paraId="58441DA8" w14:textId="77777777" w:rsidTr="00E62FA1">
        <w:trPr>
          <w:trHeight w:val="315"/>
        </w:trPr>
        <w:tc>
          <w:tcPr>
            <w:tcW w:w="1461" w:type="dxa"/>
            <w:vMerge/>
            <w:hideMark/>
          </w:tcPr>
          <w:p w14:paraId="301EEF7A" w14:textId="77777777" w:rsidR="00B239E5" w:rsidRPr="002615B8" w:rsidRDefault="00B239E5" w:rsidP="00E62FA1">
            <w:pPr>
              <w:spacing w:before="0" w:after="0"/>
              <w:rPr>
                <w:rFonts w:cs="Arial"/>
                <w:b/>
                <w:bCs/>
                <w:color w:val="000000"/>
                <w:sz w:val="18"/>
                <w:szCs w:val="18"/>
                <w:lang w:val="en-AU"/>
              </w:rPr>
            </w:pPr>
          </w:p>
        </w:tc>
        <w:tc>
          <w:tcPr>
            <w:tcW w:w="628" w:type="dxa"/>
            <w:noWrap/>
            <w:hideMark/>
          </w:tcPr>
          <w:p w14:paraId="2DD5E87F"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w:t>
            </w:r>
          </w:p>
        </w:tc>
        <w:tc>
          <w:tcPr>
            <w:tcW w:w="880" w:type="dxa"/>
            <w:noWrap/>
            <w:hideMark/>
          </w:tcPr>
          <w:p w14:paraId="02452D6D"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100%</w:t>
            </w:r>
          </w:p>
        </w:tc>
        <w:tc>
          <w:tcPr>
            <w:tcW w:w="906" w:type="dxa"/>
            <w:noWrap/>
            <w:hideMark/>
          </w:tcPr>
          <w:p w14:paraId="32EC678B"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0%</w:t>
            </w:r>
          </w:p>
        </w:tc>
        <w:tc>
          <w:tcPr>
            <w:tcW w:w="905" w:type="dxa"/>
            <w:noWrap/>
            <w:hideMark/>
          </w:tcPr>
          <w:p w14:paraId="324D1B23"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99%</w:t>
            </w:r>
          </w:p>
        </w:tc>
        <w:tc>
          <w:tcPr>
            <w:tcW w:w="748" w:type="dxa"/>
            <w:noWrap/>
            <w:hideMark/>
          </w:tcPr>
          <w:p w14:paraId="5316DDD0"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0%</w:t>
            </w:r>
          </w:p>
        </w:tc>
        <w:tc>
          <w:tcPr>
            <w:tcW w:w="617" w:type="dxa"/>
            <w:noWrap/>
            <w:hideMark/>
          </w:tcPr>
          <w:p w14:paraId="2F485512"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0%</w:t>
            </w:r>
          </w:p>
        </w:tc>
        <w:tc>
          <w:tcPr>
            <w:tcW w:w="1307" w:type="dxa"/>
            <w:noWrap/>
            <w:hideMark/>
          </w:tcPr>
          <w:p w14:paraId="04F46B95"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99%</w:t>
            </w:r>
          </w:p>
        </w:tc>
        <w:tc>
          <w:tcPr>
            <w:tcW w:w="1307" w:type="dxa"/>
            <w:noWrap/>
            <w:hideMark/>
          </w:tcPr>
          <w:p w14:paraId="2FCFF704"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1%</w:t>
            </w:r>
          </w:p>
        </w:tc>
      </w:tr>
      <w:tr w:rsidR="00B239E5" w:rsidRPr="007A4BC2" w14:paraId="596F7108" w14:textId="77777777" w:rsidTr="00E62FA1">
        <w:trPr>
          <w:trHeight w:val="64"/>
        </w:trPr>
        <w:tc>
          <w:tcPr>
            <w:tcW w:w="8759" w:type="dxa"/>
            <w:gridSpan w:val="9"/>
            <w:noWrap/>
          </w:tcPr>
          <w:p w14:paraId="4832A1A1" w14:textId="77777777" w:rsidR="00B239E5" w:rsidRPr="002615B8" w:rsidRDefault="00B239E5" w:rsidP="00E62FA1">
            <w:pPr>
              <w:spacing w:before="0" w:after="0"/>
              <w:rPr>
                <w:rFonts w:cs="Arial"/>
                <w:color w:val="000000"/>
                <w:sz w:val="18"/>
                <w:szCs w:val="18"/>
                <w:lang w:val="en-AU"/>
              </w:rPr>
            </w:pPr>
          </w:p>
        </w:tc>
      </w:tr>
      <w:tr w:rsidR="00B239E5" w:rsidRPr="007A4BC2" w14:paraId="047EE27A" w14:textId="77777777" w:rsidTr="00E62FA1">
        <w:trPr>
          <w:trHeight w:val="315"/>
        </w:trPr>
        <w:tc>
          <w:tcPr>
            <w:tcW w:w="2089" w:type="dxa"/>
            <w:gridSpan w:val="2"/>
            <w:vMerge w:val="restart"/>
            <w:noWrap/>
            <w:hideMark/>
          </w:tcPr>
          <w:p w14:paraId="23502E0E"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Total seagrass</w:t>
            </w:r>
          </w:p>
        </w:tc>
        <w:tc>
          <w:tcPr>
            <w:tcW w:w="880" w:type="dxa"/>
            <w:vMerge w:val="restart"/>
            <w:noWrap/>
            <w:hideMark/>
          </w:tcPr>
          <w:p w14:paraId="56038303" w14:textId="71FCA1E0"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Tot</w:t>
            </w:r>
            <w:r>
              <w:rPr>
                <w:rFonts w:cs="Arial"/>
                <w:b/>
                <w:bCs/>
                <w:color w:val="000000"/>
                <w:sz w:val="18"/>
                <w:szCs w:val="18"/>
                <w:lang w:val="en-AU"/>
              </w:rPr>
              <w:t>al</w:t>
            </w:r>
          </w:p>
        </w:tc>
        <w:tc>
          <w:tcPr>
            <w:tcW w:w="3176" w:type="dxa"/>
            <w:gridSpan w:val="4"/>
            <w:noWrap/>
            <w:hideMark/>
          </w:tcPr>
          <w:p w14:paraId="5FC5DF35"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Risk category</w:t>
            </w:r>
          </w:p>
        </w:tc>
        <w:tc>
          <w:tcPr>
            <w:tcW w:w="1307" w:type="dxa"/>
            <w:vMerge w:val="restart"/>
            <w:hideMark/>
          </w:tcPr>
          <w:p w14:paraId="4510DB48" w14:textId="77777777" w:rsidR="00B239E5" w:rsidRPr="002615B8" w:rsidRDefault="00B239E5" w:rsidP="00E62FA1">
            <w:pPr>
              <w:spacing w:before="0" w:after="0"/>
              <w:jc w:val="center"/>
              <w:rPr>
                <w:rFonts w:cs="Arial"/>
                <w:b/>
                <w:bCs/>
                <w:color w:val="000000"/>
                <w:sz w:val="18"/>
                <w:szCs w:val="18"/>
                <w:lang w:val="en-AU"/>
              </w:rPr>
            </w:pPr>
            <w:r w:rsidRPr="00B239E5">
              <w:rPr>
                <w:rFonts w:cs="Arial"/>
                <w:b/>
                <w:bCs/>
                <w:color w:val="000000"/>
                <w:sz w:val="18"/>
                <w:szCs w:val="18"/>
                <w:lang w:val="en-AU"/>
              </w:rPr>
              <w:t>Total</w:t>
            </w:r>
            <w:r w:rsidRPr="002615B8">
              <w:rPr>
                <w:rFonts w:cs="Arial"/>
                <w:b/>
                <w:bCs/>
                <w:color w:val="000000"/>
                <w:sz w:val="18"/>
                <w:szCs w:val="18"/>
                <w:lang w:val="en-AU"/>
              </w:rPr>
              <w:t xml:space="preserve"> exposed</w:t>
            </w:r>
          </w:p>
        </w:tc>
        <w:tc>
          <w:tcPr>
            <w:tcW w:w="1307" w:type="dxa"/>
            <w:vMerge w:val="restart"/>
            <w:hideMark/>
          </w:tcPr>
          <w:p w14:paraId="32B929A1" w14:textId="77777777" w:rsidR="00B239E5" w:rsidRPr="002615B8" w:rsidRDefault="00B239E5" w:rsidP="00E62FA1">
            <w:pPr>
              <w:spacing w:before="0" w:after="0"/>
              <w:jc w:val="center"/>
              <w:rPr>
                <w:rFonts w:cs="Arial"/>
                <w:b/>
                <w:bCs/>
                <w:color w:val="000000"/>
                <w:sz w:val="18"/>
                <w:szCs w:val="18"/>
                <w:lang w:val="en-AU"/>
              </w:rPr>
            </w:pPr>
            <w:r w:rsidRPr="00B239E5">
              <w:rPr>
                <w:rFonts w:cs="Arial"/>
                <w:b/>
                <w:bCs/>
                <w:color w:val="000000"/>
                <w:sz w:val="18"/>
                <w:szCs w:val="18"/>
                <w:lang w:val="en-AU"/>
              </w:rPr>
              <w:t>Total</w:t>
            </w:r>
            <w:r w:rsidRPr="002615B8">
              <w:rPr>
                <w:rFonts w:cs="Arial"/>
                <w:b/>
                <w:bCs/>
                <w:color w:val="000000"/>
                <w:sz w:val="18"/>
                <w:szCs w:val="18"/>
                <w:lang w:val="en-AU"/>
              </w:rPr>
              <w:t xml:space="preserve"> non exposed</w:t>
            </w:r>
          </w:p>
        </w:tc>
      </w:tr>
      <w:tr w:rsidR="00B239E5" w:rsidRPr="007A4BC2" w14:paraId="6256CCA8" w14:textId="77777777" w:rsidTr="00E62FA1">
        <w:trPr>
          <w:trHeight w:val="64"/>
        </w:trPr>
        <w:tc>
          <w:tcPr>
            <w:tcW w:w="2089" w:type="dxa"/>
            <w:gridSpan w:val="2"/>
            <w:vMerge/>
            <w:hideMark/>
          </w:tcPr>
          <w:p w14:paraId="12C325C2" w14:textId="77777777" w:rsidR="00B239E5" w:rsidRPr="002615B8" w:rsidRDefault="00B239E5" w:rsidP="00E62FA1">
            <w:pPr>
              <w:spacing w:before="0" w:after="0"/>
              <w:rPr>
                <w:rFonts w:cs="Arial"/>
                <w:b/>
                <w:bCs/>
                <w:color w:val="000000"/>
                <w:sz w:val="18"/>
                <w:szCs w:val="18"/>
                <w:lang w:val="en-AU"/>
              </w:rPr>
            </w:pPr>
          </w:p>
        </w:tc>
        <w:tc>
          <w:tcPr>
            <w:tcW w:w="880" w:type="dxa"/>
            <w:vMerge/>
            <w:hideMark/>
          </w:tcPr>
          <w:p w14:paraId="638C493C" w14:textId="77777777" w:rsidR="00B239E5" w:rsidRPr="002615B8" w:rsidRDefault="00B239E5" w:rsidP="00E62FA1">
            <w:pPr>
              <w:spacing w:before="0" w:after="0"/>
              <w:rPr>
                <w:rFonts w:cs="Arial"/>
                <w:b/>
                <w:bCs/>
                <w:color w:val="000000"/>
                <w:sz w:val="18"/>
                <w:szCs w:val="18"/>
                <w:lang w:val="en-AU"/>
              </w:rPr>
            </w:pPr>
          </w:p>
        </w:tc>
        <w:tc>
          <w:tcPr>
            <w:tcW w:w="906" w:type="dxa"/>
            <w:shd w:val="clear" w:color="auto" w:fill="0070C0"/>
            <w:noWrap/>
            <w:hideMark/>
          </w:tcPr>
          <w:p w14:paraId="17E260C2" w14:textId="77777777" w:rsidR="00B239E5" w:rsidRPr="002615B8" w:rsidRDefault="00B239E5" w:rsidP="00E62FA1">
            <w:pPr>
              <w:spacing w:before="0" w:after="0"/>
              <w:jc w:val="center"/>
              <w:rPr>
                <w:rFonts w:cs="Arial"/>
                <w:b/>
                <w:bCs/>
                <w:color w:val="FFFFFF" w:themeColor="background1"/>
                <w:sz w:val="18"/>
                <w:szCs w:val="18"/>
                <w:lang w:val="en-AU"/>
              </w:rPr>
            </w:pPr>
            <w:r w:rsidRPr="002615B8">
              <w:rPr>
                <w:rFonts w:cs="Arial"/>
                <w:b/>
                <w:bCs/>
                <w:color w:val="FFFFFF" w:themeColor="background1"/>
                <w:sz w:val="18"/>
                <w:szCs w:val="18"/>
                <w:lang w:val="en-AU"/>
              </w:rPr>
              <w:t>I</w:t>
            </w:r>
          </w:p>
        </w:tc>
        <w:tc>
          <w:tcPr>
            <w:tcW w:w="905" w:type="dxa"/>
            <w:shd w:val="clear" w:color="auto" w:fill="00B050"/>
            <w:noWrap/>
            <w:hideMark/>
          </w:tcPr>
          <w:p w14:paraId="62A6C3C6" w14:textId="77777777" w:rsidR="00B239E5" w:rsidRPr="002615B8" w:rsidRDefault="00B239E5" w:rsidP="00E62FA1">
            <w:pPr>
              <w:spacing w:before="0" w:after="0"/>
              <w:jc w:val="center"/>
              <w:rPr>
                <w:rFonts w:cs="Arial"/>
                <w:b/>
                <w:bCs/>
                <w:color w:val="FFFFFF" w:themeColor="background1"/>
                <w:sz w:val="18"/>
                <w:szCs w:val="18"/>
                <w:lang w:val="en-AU"/>
              </w:rPr>
            </w:pPr>
            <w:r w:rsidRPr="002615B8">
              <w:rPr>
                <w:rFonts w:cs="Arial"/>
                <w:b/>
                <w:bCs/>
                <w:color w:val="FFFFFF" w:themeColor="background1"/>
                <w:sz w:val="18"/>
                <w:szCs w:val="18"/>
                <w:lang w:val="en-AU"/>
              </w:rPr>
              <w:t>II</w:t>
            </w:r>
          </w:p>
        </w:tc>
        <w:tc>
          <w:tcPr>
            <w:tcW w:w="748" w:type="dxa"/>
            <w:shd w:val="clear" w:color="auto" w:fill="FF0000"/>
            <w:noWrap/>
            <w:hideMark/>
          </w:tcPr>
          <w:p w14:paraId="32B15FD8" w14:textId="77777777" w:rsidR="00B239E5" w:rsidRPr="002615B8" w:rsidRDefault="00B239E5" w:rsidP="00E62FA1">
            <w:pPr>
              <w:spacing w:before="0" w:after="0"/>
              <w:jc w:val="center"/>
              <w:rPr>
                <w:rFonts w:cs="Arial"/>
                <w:b/>
                <w:bCs/>
                <w:color w:val="FFFFFF" w:themeColor="background1"/>
                <w:sz w:val="18"/>
                <w:szCs w:val="18"/>
                <w:lang w:val="en-AU"/>
              </w:rPr>
            </w:pPr>
            <w:r w:rsidRPr="002615B8">
              <w:rPr>
                <w:rFonts w:cs="Arial"/>
                <w:b/>
                <w:bCs/>
                <w:color w:val="FFFFFF" w:themeColor="background1"/>
                <w:sz w:val="18"/>
                <w:szCs w:val="18"/>
                <w:lang w:val="en-AU"/>
              </w:rPr>
              <w:t>III</w:t>
            </w:r>
          </w:p>
        </w:tc>
        <w:tc>
          <w:tcPr>
            <w:tcW w:w="617" w:type="dxa"/>
            <w:shd w:val="clear" w:color="auto" w:fill="C00000"/>
            <w:noWrap/>
            <w:hideMark/>
          </w:tcPr>
          <w:p w14:paraId="59B69DEF" w14:textId="77777777" w:rsidR="00B239E5" w:rsidRPr="002615B8" w:rsidRDefault="00B239E5" w:rsidP="00E62FA1">
            <w:pPr>
              <w:spacing w:before="0" w:after="0"/>
              <w:jc w:val="center"/>
              <w:rPr>
                <w:rFonts w:cs="Arial"/>
                <w:b/>
                <w:bCs/>
                <w:sz w:val="18"/>
                <w:szCs w:val="18"/>
                <w:lang w:val="en-AU"/>
              </w:rPr>
            </w:pPr>
            <w:r w:rsidRPr="002615B8">
              <w:rPr>
                <w:rFonts w:cs="Arial"/>
                <w:b/>
                <w:bCs/>
                <w:sz w:val="18"/>
                <w:szCs w:val="18"/>
                <w:lang w:val="en-AU"/>
              </w:rPr>
              <w:t>IV</w:t>
            </w:r>
          </w:p>
        </w:tc>
        <w:tc>
          <w:tcPr>
            <w:tcW w:w="1307" w:type="dxa"/>
            <w:vMerge/>
            <w:hideMark/>
          </w:tcPr>
          <w:p w14:paraId="4DD5CA11" w14:textId="77777777" w:rsidR="00B239E5" w:rsidRPr="002615B8" w:rsidRDefault="00B239E5" w:rsidP="00E62FA1">
            <w:pPr>
              <w:spacing w:before="0" w:after="0"/>
              <w:rPr>
                <w:rFonts w:cs="Arial"/>
                <w:b/>
                <w:bCs/>
                <w:color w:val="000000"/>
                <w:sz w:val="18"/>
                <w:szCs w:val="18"/>
                <w:lang w:val="en-AU"/>
              </w:rPr>
            </w:pPr>
          </w:p>
        </w:tc>
        <w:tc>
          <w:tcPr>
            <w:tcW w:w="1307" w:type="dxa"/>
            <w:vMerge/>
            <w:hideMark/>
          </w:tcPr>
          <w:p w14:paraId="1DB5CBC3" w14:textId="77777777" w:rsidR="00B239E5" w:rsidRPr="002615B8" w:rsidRDefault="00B239E5" w:rsidP="00E62FA1">
            <w:pPr>
              <w:spacing w:before="0" w:after="0"/>
              <w:rPr>
                <w:rFonts w:cs="Arial"/>
                <w:b/>
                <w:bCs/>
                <w:color w:val="000000"/>
                <w:sz w:val="18"/>
                <w:szCs w:val="18"/>
                <w:lang w:val="en-AU"/>
              </w:rPr>
            </w:pPr>
          </w:p>
        </w:tc>
      </w:tr>
      <w:tr w:rsidR="00B239E5" w:rsidRPr="007A4BC2" w14:paraId="40C80129" w14:textId="77777777" w:rsidTr="00E62FA1">
        <w:trPr>
          <w:trHeight w:val="315"/>
        </w:trPr>
        <w:tc>
          <w:tcPr>
            <w:tcW w:w="1461" w:type="dxa"/>
            <w:vMerge w:val="restart"/>
            <w:noWrap/>
            <w:hideMark/>
          </w:tcPr>
          <w:p w14:paraId="36F63A8C"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GBR</w:t>
            </w:r>
          </w:p>
        </w:tc>
        <w:tc>
          <w:tcPr>
            <w:tcW w:w="628" w:type="dxa"/>
            <w:noWrap/>
            <w:hideMark/>
          </w:tcPr>
          <w:p w14:paraId="1F30EDD2"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area</w:t>
            </w:r>
          </w:p>
        </w:tc>
        <w:tc>
          <w:tcPr>
            <w:tcW w:w="880" w:type="dxa"/>
            <w:noWrap/>
            <w:hideMark/>
          </w:tcPr>
          <w:p w14:paraId="3320466A"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35,447</w:t>
            </w:r>
          </w:p>
        </w:tc>
        <w:tc>
          <w:tcPr>
            <w:tcW w:w="906" w:type="dxa"/>
            <w:noWrap/>
            <w:hideMark/>
          </w:tcPr>
          <w:p w14:paraId="783A2207"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12,367</w:t>
            </w:r>
          </w:p>
        </w:tc>
        <w:tc>
          <w:tcPr>
            <w:tcW w:w="905" w:type="dxa"/>
            <w:noWrap/>
            <w:hideMark/>
          </w:tcPr>
          <w:p w14:paraId="6938585B"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18,193</w:t>
            </w:r>
          </w:p>
        </w:tc>
        <w:tc>
          <w:tcPr>
            <w:tcW w:w="748" w:type="dxa"/>
            <w:noWrap/>
            <w:hideMark/>
          </w:tcPr>
          <w:p w14:paraId="31A297F7"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2,415</w:t>
            </w:r>
          </w:p>
        </w:tc>
        <w:tc>
          <w:tcPr>
            <w:tcW w:w="617" w:type="dxa"/>
            <w:noWrap/>
            <w:hideMark/>
          </w:tcPr>
          <w:p w14:paraId="45ACB0B4"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379</w:t>
            </w:r>
          </w:p>
        </w:tc>
        <w:tc>
          <w:tcPr>
            <w:tcW w:w="1307" w:type="dxa"/>
            <w:noWrap/>
            <w:hideMark/>
          </w:tcPr>
          <w:p w14:paraId="0D03B84B"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33,354</w:t>
            </w:r>
          </w:p>
        </w:tc>
        <w:tc>
          <w:tcPr>
            <w:tcW w:w="1307" w:type="dxa"/>
            <w:noWrap/>
            <w:hideMark/>
          </w:tcPr>
          <w:p w14:paraId="62C1D2FC"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2,093</w:t>
            </w:r>
          </w:p>
        </w:tc>
      </w:tr>
      <w:tr w:rsidR="00B239E5" w:rsidRPr="007A4BC2" w14:paraId="040BC590" w14:textId="77777777" w:rsidTr="00E62FA1">
        <w:trPr>
          <w:trHeight w:val="315"/>
        </w:trPr>
        <w:tc>
          <w:tcPr>
            <w:tcW w:w="1461" w:type="dxa"/>
            <w:vMerge/>
            <w:hideMark/>
          </w:tcPr>
          <w:p w14:paraId="53E16626" w14:textId="77777777" w:rsidR="00B239E5" w:rsidRPr="002615B8" w:rsidRDefault="00B239E5" w:rsidP="00E62FA1">
            <w:pPr>
              <w:spacing w:before="0" w:after="0"/>
              <w:rPr>
                <w:rFonts w:cs="Arial"/>
                <w:b/>
                <w:bCs/>
                <w:color w:val="000000"/>
                <w:sz w:val="18"/>
                <w:szCs w:val="18"/>
                <w:lang w:val="en-AU"/>
              </w:rPr>
            </w:pPr>
          </w:p>
        </w:tc>
        <w:tc>
          <w:tcPr>
            <w:tcW w:w="628" w:type="dxa"/>
            <w:noWrap/>
            <w:hideMark/>
          </w:tcPr>
          <w:p w14:paraId="09189AFF"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w:t>
            </w:r>
          </w:p>
        </w:tc>
        <w:tc>
          <w:tcPr>
            <w:tcW w:w="880" w:type="dxa"/>
            <w:noWrap/>
            <w:hideMark/>
          </w:tcPr>
          <w:p w14:paraId="0FFEDE4A"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100%</w:t>
            </w:r>
          </w:p>
        </w:tc>
        <w:tc>
          <w:tcPr>
            <w:tcW w:w="906" w:type="dxa"/>
            <w:noWrap/>
            <w:hideMark/>
          </w:tcPr>
          <w:p w14:paraId="3FA27275"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35%</w:t>
            </w:r>
          </w:p>
        </w:tc>
        <w:tc>
          <w:tcPr>
            <w:tcW w:w="905" w:type="dxa"/>
            <w:noWrap/>
            <w:hideMark/>
          </w:tcPr>
          <w:p w14:paraId="560DC779"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51%</w:t>
            </w:r>
          </w:p>
        </w:tc>
        <w:tc>
          <w:tcPr>
            <w:tcW w:w="748" w:type="dxa"/>
            <w:noWrap/>
            <w:hideMark/>
          </w:tcPr>
          <w:p w14:paraId="69AA460B"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7%</w:t>
            </w:r>
          </w:p>
        </w:tc>
        <w:tc>
          <w:tcPr>
            <w:tcW w:w="617" w:type="dxa"/>
            <w:noWrap/>
            <w:hideMark/>
          </w:tcPr>
          <w:p w14:paraId="444E1313"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1%</w:t>
            </w:r>
          </w:p>
        </w:tc>
        <w:tc>
          <w:tcPr>
            <w:tcW w:w="1307" w:type="dxa"/>
            <w:noWrap/>
            <w:hideMark/>
          </w:tcPr>
          <w:p w14:paraId="023E9C25"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94%</w:t>
            </w:r>
          </w:p>
        </w:tc>
        <w:tc>
          <w:tcPr>
            <w:tcW w:w="1307" w:type="dxa"/>
            <w:noWrap/>
            <w:hideMark/>
          </w:tcPr>
          <w:p w14:paraId="36F8DB8F"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6%</w:t>
            </w:r>
          </w:p>
        </w:tc>
      </w:tr>
      <w:tr w:rsidR="00B239E5" w:rsidRPr="007A4BC2" w14:paraId="6DA36A85" w14:textId="77777777" w:rsidTr="00E62FA1">
        <w:trPr>
          <w:trHeight w:val="315"/>
        </w:trPr>
        <w:tc>
          <w:tcPr>
            <w:tcW w:w="1461" w:type="dxa"/>
            <w:vMerge w:val="restart"/>
            <w:noWrap/>
            <w:hideMark/>
          </w:tcPr>
          <w:p w14:paraId="52A6C9CD"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Cape York</w:t>
            </w:r>
          </w:p>
        </w:tc>
        <w:tc>
          <w:tcPr>
            <w:tcW w:w="628" w:type="dxa"/>
            <w:noWrap/>
            <w:hideMark/>
          </w:tcPr>
          <w:p w14:paraId="6398A8EB"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area</w:t>
            </w:r>
          </w:p>
        </w:tc>
        <w:tc>
          <w:tcPr>
            <w:tcW w:w="880" w:type="dxa"/>
            <w:noWrap/>
            <w:hideMark/>
          </w:tcPr>
          <w:p w14:paraId="72952B57"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11,896</w:t>
            </w:r>
          </w:p>
        </w:tc>
        <w:tc>
          <w:tcPr>
            <w:tcW w:w="906" w:type="dxa"/>
            <w:noWrap/>
            <w:hideMark/>
          </w:tcPr>
          <w:p w14:paraId="5FAC9EFE"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3,515</w:t>
            </w:r>
          </w:p>
        </w:tc>
        <w:tc>
          <w:tcPr>
            <w:tcW w:w="905" w:type="dxa"/>
            <w:noWrap/>
            <w:hideMark/>
          </w:tcPr>
          <w:p w14:paraId="7C5C4FCF"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6,834</w:t>
            </w:r>
          </w:p>
        </w:tc>
        <w:tc>
          <w:tcPr>
            <w:tcW w:w="748" w:type="dxa"/>
            <w:noWrap/>
            <w:hideMark/>
          </w:tcPr>
          <w:p w14:paraId="7C6EBAB9"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1,222</w:t>
            </w:r>
          </w:p>
        </w:tc>
        <w:tc>
          <w:tcPr>
            <w:tcW w:w="617" w:type="dxa"/>
            <w:noWrap/>
            <w:hideMark/>
          </w:tcPr>
          <w:p w14:paraId="3EFE353B"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98</w:t>
            </w:r>
          </w:p>
        </w:tc>
        <w:tc>
          <w:tcPr>
            <w:tcW w:w="1307" w:type="dxa"/>
            <w:noWrap/>
            <w:hideMark/>
          </w:tcPr>
          <w:p w14:paraId="394CF32C"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11,669</w:t>
            </w:r>
          </w:p>
        </w:tc>
        <w:tc>
          <w:tcPr>
            <w:tcW w:w="1307" w:type="dxa"/>
            <w:noWrap/>
            <w:hideMark/>
          </w:tcPr>
          <w:p w14:paraId="5819B78C"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227</w:t>
            </w:r>
          </w:p>
        </w:tc>
      </w:tr>
      <w:tr w:rsidR="00B239E5" w:rsidRPr="007A4BC2" w14:paraId="725C5C73" w14:textId="77777777" w:rsidTr="00E62FA1">
        <w:trPr>
          <w:trHeight w:val="300"/>
        </w:trPr>
        <w:tc>
          <w:tcPr>
            <w:tcW w:w="1461" w:type="dxa"/>
            <w:vMerge/>
            <w:hideMark/>
          </w:tcPr>
          <w:p w14:paraId="313A6967" w14:textId="77777777" w:rsidR="00B239E5" w:rsidRPr="002615B8" w:rsidRDefault="00B239E5" w:rsidP="00E62FA1">
            <w:pPr>
              <w:spacing w:before="0" w:after="0"/>
              <w:rPr>
                <w:rFonts w:cs="Arial"/>
                <w:b/>
                <w:bCs/>
                <w:color w:val="000000"/>
                <w:sz w:val="18"/>
                <w:szCs w:val="18"/>
                <w:lang w:val="en-AU"/>
              </w:rPr>
            </w:pPr>
          </w:p>
        </w:tc>
        <w:tc>
          <w:tcPr>
            <w:tcW w:w="628" w:type="dxa"/>
            <w:noWrap/>
            <w:hideMark/>
          </w:tcPr>
          <w:p w14:paraId="28EA5C47"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w:t>
            </w:r>
          </w:p>
        </w:tc>
        <w:tc>
          <w:tcPr>
            <w:tcW w:w="880" w:type="dxa"/>
            <w:noWrap/>
            <w:hideMark/>
          </w:tcPr>
          <w:p w14:paraId="41E2CAB0"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100%</w:t>
            </w:r>
          </w:p>
        </w:tc>
        <w:tc>
          <w:tcPr>
            <w:tcW w:w="906" w:type="dxa"/>
            <w:noWrap/>
            <w:hideMark/>
          </w:tcPr>
          <w:p w14:paraId="348692F0"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30%</w:t>
            </w:r>
          </w:p>
        </w:tc>
        <w:tc>
          <w:tcPr>
            <w:tcW w:w="905" w:type="dxa"/>
            <w:noWrap/>
            <w:hideMark/>
          </w:tcPr>
          <w:p w14:paraId="29BFC23A"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57%</w:t>
            </w:r>
          </w:p>
        </w:tc>
        <w:tc>
          <w:tcPr>
            <w:tcW w:w="748" w:type="dxa"/>
            <w:noWrap/>
            <w:hideMark/>
          </w:tcPr>
          <w:p w14:paraId="3C8AF806"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10%</w:t>
            </w:r>
          </w:p>
        </w:tc>
        <w:tc>
          <w:tcPr>
            <w:tcW w:w="617" w:type="dxa"/>
            <w:noWrap/>
            <w:hideMark/>
          </w:tcPr>
          <w:p w14:paraId="3A59C690"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1%</w:t>
            </w:r>
          </w:p>
        </w:tc>
        <w:tc>
          <w:tcPr>
            <w:tcW w:w="1307" w:type="dxa"/>
            <w:noWrap/>
            <w:hideMark/>
          </w:tcPr>
          <w:p w14:paraId="212347A0"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98%</w:t>
            </w:r>
          </w:p>
        </w:tc>
        <w:tc>
          <w:tcPr>
            <w:tcW w:w="1307" w:type="dxa"/>
            <w:noWrap/>
            <w:hideMark/>
          </w:tcPr>
          <w:p w14:paraId="617F7946"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2%</w:t>
            </w:r>
          </w:p>
        </w:tc>
      </w:tr>
      <w:tr w:rsidR="00B239E5" w:rsidRPr="007A4BC2" w14:paraId="44354743" w14:textId="77777777" w:rsidTr="00E62FA1">
        <w:trPr>
          <w:trHeight w:val="300"/>
        </w:trPr>
        <w:tc>
          <w:tcPr>
            <w:tcW w:w="1461" w:type="dxa"/>
            <w:vMerge w:val="restart"/>
            <w:noWrap/>
            <w:hideMark/>
          </w:tcPr>
          <w:p w14:paraId="5C53A8CD"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Wet Tropics</w:t>
            </w:r>
          </w:p>
        </w:tc>
        <w:tc>
          <w:tcPr>
            <w:tcW w:w="628" w:type="dxa"/>
            <w:noWrap/>
            <w:hideMark/>
          </w:tcPr>
          <w:p w14:paraId="107FB896"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area</w:t>
            </w:r>
          </w:p>
        </w:tc>
        <w:tc>
          <w:tcPr>
            <w:tcW w:w="880" w:type="dxa"/>
            <w:noWrap/>
            <w:hideMark/>
          </w:tcPr>
          <w:p w14:paraId="0ED90C7D"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4,865</w:t>
            </w:r>
          </w:p>
        </w:tc>
        <w:tc>
          <w:tcPr>
            <w:tcW w:w="906" w:type="dxa"/>
            <w:noWrap/>
            <w:hideMark/>
          </w:tcPr>
          <w:p w14:paraId="37C0E184"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2,893</w:t>
            </w:r>
          </w:p>
        </w:tc>
        <w:tc>
          <w:tcPr>
            <w:tcW w:w="905" w:type="dxa"/>
            <w:noWrap/>
            <w:hideMark/>
          </w:tcPr>
          <w:p w14:paraId="7D985114"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1,423</w:t>
            </w:r>
          </w:p>
        </w:tc>
        <w:tc>
          <w:tcPr>
            <w:tcW w:w="748" w:type="dxa"/>
            <w:noWrap/>
            <w:hideMark/>
          </w:tcPr>
          <w:p w14:paraId="576B5B15"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156</w:t>
            </w:r>
          </w:p>
        </w:tc>
        <w:tc>
          <w:tcPr>
            <w:tcW w:w="617" w:type="dxa"/>
            <w:noWrap/>
            <w:hideMark/>
          </w:tcPr>
          <w:p w14:paraId="4C922758"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44</w:t>
            </w:r>
          </w:p>
        </w:tc>
        <w:tc>
          <w:tcPr>
            <w:tcW w:w="1307" w:type="dxa"/>
            <w:noWrap/>
            <w:hideMark/>
          </w:tcPr>
          <w:p w14:paraId="1DFC3855"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4,516</w:t>
            </w:r>
          </w:p>
        </w:tc>
        <w:tc>
          <w:tcPr>
            <w:tcW w:w="1307" w:type="dxa"/>
            <w:noWrap/>
            <w:hideMark/>
          </w:tcPr>
          <w:p w14:paraId="7009D4CA"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349</w:t>
            </w:r>
          </w:p>
        </w:tc>
      </w:tr>
      <w:tr w:rsidR="00B239E5" w:rsidRPr="007A4BC2" w14:paraId="015EBD4A" w14:textId="77777777" w:rsidTr="00E62FA1">
        <w:trPr>
          <w:trHeight w:val="300"/>
        </w:trPr>
        <w:tc>
          <w:tcPr>
            <w:tcW w:w="1461" w:type="dxa"/>
            <w:vMerge/>
            <w:hideMark/>
          </w:tcPr>
          <w:p w14:paraId="4AFBB52C" w14:textId="77777777" w:rsidR="00B239E5" w:rsidRPr="002615B8" w:rsidRDefault="00B239E5" w:rsidP="00E62FA1">
            <w:pPr>
              <w:spacing w:before="0" w:after="0"/>
              <w:rPr>
                <w:rFonts w:cs="Arial"/>
                <w:b/>
                <w:bCs/>
                <w:color w:val="000000"/>
                <w:sz w:val="18"/>
                <w:szCs w:val="18"/>
                <w:lang w:val="en-AU"/>
              </w:rPr>
            </w:pPr>
          </w:p>
        </w:tc>
        <w:tc>
          <w:tcPr>
            <w:tcW w:w="628" w:type="dxa"/>
            <w:noWrap/>
            <w:hideMark/>
          </w:tcPr>
          <w:p w14:paraId="35623F0A"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w:t>
            </w:r>
          </w:p>
        </w:tc>
        <w:tc>
          <w:tcPr>
            <w:tcW w:w="880" w:type="dxa"/>
            <w:noWrap/>
            <w:hideMark/>
          </w:tcPr>
          <w:p w14:paraId="1519253F"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100%</w:t>
            </w:r>
          </w:p>
        </w:tc>
        <w:tc>
          <w:tcPr>
            <w:tcW w:w="906" w:type="dxa"/>
            <w:noWrap/>
            <w:hideMark/>
          </w:tcPr>
          <w:p w14:paraId="00B6A7B9"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59%</w:t>
            </w:r>
          </w:p>
        </w:tc>
        <w:tc>
          <w:tcPr>
            <w:tcW w:w="905" w:type="dxa"/>
            <w:noWrap/>
            <w:hideMark/>
          </w:tcPr>
          <w:p w14:paraId="7A4D22C5"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29%</w:t>
            </w:r>
          </w:p>
        </w:tc>
        <w:tc>
          <w:tcPr>
            <w:tcW w:w="748" w:type="dxa"/>
            <w:noWrap/>
            <w:hideMark/>
          </w:tcPr>
          <w:p w14:paraId="7C3BD31B"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3%</w:t>
            </w:r>
          </w:p>
        </w:tc>
        <w:tc>
          <w:tcPr>
            <w:tcW w:w="617" w:type="dxa"/>
            <w:noWrap/>
            <w:hideMark/>
          </w:tcPr>
          <w:p w14:paraId="1E1E9BA3"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1%</w:t>
            </w:r>
          </w:p>
        </w:tc>
        <w:tc>
          <w:tcPr>
            <w:tcW w:w="1307" w:type="dxa"/>
            <w:noWrap/>
            <w:hideMark/>
          </w:tcPr>
          <w:p w14:paraId="17457430"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93%</w:t>
            </w:r>
          </w:p>
        </w:tc>
        <w:tc>
          <w:tcPr>
            <w:tcW w:w="1307" w:type="dxa"/>
            <w:noWrap/>
            <w:hideMark/>
          </w:tcPr>
          <w:p w14:paraId="5E872336"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7%</w:t>
            </w:r>
          </w:p>
        </w:tc>
      </w:tr>
      <w:tr w:rsidR="00B239E5" w:rsidRPr="007A4BC2" w14:paraId="66B16AAE" w14:textId="77777777" w:rsidTr="00E62FA1">
        <w:trPr>
          <w:trHeight w:val="300"/>
        </w:trPr>
        <w:tc>
          <w:tcPr>
            <w:tcW w:w="1461" w:type="dxa"/>
            <w:vMerge w:val="restart"/>
            <w:noWrap/>
            <w:hideMark/>
          </w:tcPr>
          <w:p w14:paraId="2A907E3A"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Burdekin</w:t>
            </w:r>
          </w:p>
        </w:tc>
        <w:tc>
          <w:tcPr>
            <w:tcW w:w="628" w:type="dxa"/>
            <w:noWrap/>
            <w:hideMark/>
          </w:tcPr>
          <w:p w14:paraId="04472F59"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area</w:t>
            </w:r>
          </w:p>
        </w:tc>
        <w:tc>
          <w:tcPr>
            <w:tcW w:w="880" w:type="dxa"/>
            <w:noWrap/>
            <w:hideMark/>
          </w:tcPr>
          <w:p w14:paraId="39F011C2"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6,066</w:t>
            </w:r>
          </w:p>
        </w:tc>
        <w:tc>
          <w:tcPr>
            <w:tcW w:w="906" w:type="dxa"/>
            <w:noWrap/>
            <w:hideMark/>
          </w:tcPr>
          <w:p w14:paraId="49E605F2"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2,858</w:t>
            </w:r>
          </w:p>
        </w:tc>
        <w:tc>
          <w:tcPr>
            <w:tcW w:w="905" w:type="dxa"/>
            <w:noWrap/>
            <w:hideMark/>
          </w:tcPr>
          <w:p w14:paraId="187EFB92"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1,249</w:t>
            </w:r>
          </w:p>
        </w:tc>
        <w:tc>
          <w:tcPr>
            <w:tcW w:w="748" w:type="dxa"/>
            <w:noWrap/>
            <w:hideMark/>
          </w:tcPr>
          <w:p w14:paraId="5A85BDAB"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409</w:t>
            </w:r>
          </w:p>
        </w:tc>
        <w:tc>
          <w:tcPr>
            <w:tcW w:w="617" w:type="dxa"/>
            <w:noWrap/>
            <w:hideMark/>
          </w:tcPr>
          <w:p w14:paraId="57CA3AB6"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105</w:t>
            </w:r>
          </w:p>
        </w:tc>
        <w:tc>
          <w:tcPr>
            <w:tcW w:w="1307" w:type="dxa"/>
            <w:noWrap/>
            <w:hideMark/>
          </w:tcPr>
          <w:p w14:paraId="043B400C"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4,621</w:t>
            </w:r>
          </w:p>
        </w:tc>
        <w:tc>
          <w:tcPr>
            <w:tcW w:w="1307" w:type="dxa"/>
            <w:noWrap/>
            <w:hideMark/>
          </w:tcPr>
          <w:p w14:paraId="7014BD5C"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1,445</w:t>
            </w:r>
          </w:p>
        </w:tc>
      </w:tr>
      <w:tr w:rsidR="00B239E5" w:rsidRPr="007A4BC2" w14:paraId="3DE6E071" w14:textId="77777777" w:rsidTr="00E62FA1">
        <w:trPr>
          <w:trHeight w:val="300"/>
        </w:trPr>
        <w:tc>
          <w:tcPr>
            <w:tcW w:w="1461" w:type="dxa"/>
            <w:vMerge/>
            <w:hideMark/>
          </w:tcPr>
          <w:p w14:paraId="3F568395" w14:textId="77777777" w:rsidR="00B239E5" w:rsidRPr="002615B8" w:rsidRDefault="00B239E5" w:rsidP="00E62FA1">
            <w:pPr>
              <w:spacing w:before="0" w:after="0"/>
              <w:rPr>
                <w:rFonts w:cs="Arial"/>
                <w:b/>
                <w:bCs/>
                <w:color w:val="000000"/>
                <w:sz w:val="18"/>
                <w:szCs w:val="18"/>
                <w:lang w:val="en-AU"/>
              </w:rPr>
            </w:pPr>
          </w:p>
        </w:tc>
        <w:tc>
          <w:tcPr>
            <w:tcW w:w="628" w:type="dxa"/>
            <w:noWrap/>
            <w:hideMark/>
          </w:tcPr>
          <w:p w14:paraId="7502B3F5"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w:t>
            </w:r>
          </w:p>
        </w:tc>
        <w:tc>
          <w:tcPr>
            <w:tcW w:w="880" w:type="dxa"/>
            <w:noWrap/>
            <w:hideMark/>
          </w:tcPr>
          <w:p w14:paraId="03BEAD20"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100%</w:t>
            </w:r>
          </w:p>
        </w:tc>
        <w:tc>
          <w:tcPr>
            <w:tcW w:w="906" w:type="dxa"/>
            <w:noWrap/>
            <w:hideMark/>
          </w:tcPr>
          <w:p w14:paraId="4504667D"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47%</w:t>
            </w:r>
          </w:p>
        </w:tc>
        <w:tc>
          <w:tcPr>
            <w:tcW w:w="905" w:type="dxa"/>
            <w:noWrap/>
            <w:hideMark/>
          </w:tcPr>
          <w:p w14:paraId="54DC9649"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21%</w:t>
            </w:r>
          </w:p>
        </w:tc>
        <w:tc>
          <w:tcPr>
            <w:tcW w:w="748" w:type="dxa"/>
            <w:noWrap/>
            <w:hideMark/>
          </w:tcPr>
          <w:p w14:paraId="2D7E564C"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7%</w:t>
            </w:r>
          </w:p>
        </w:tc>
        <w:tc>
          <w:tcPr>
            <w:tcW w:w="617" w:type="dxa"/>
            <w:noWrap/>
            <w:hideMark/>
          </w:tcPr>
          <w:p w14:paraId="62C16B0A"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2%</w:t>
            </w:r>
          </w:p>
        </w:tc>
        <w:tc>
          <w:tcPr>
            <w:tcW w:w="1307" w:type="dxa"/>
            <w:noWrap/>
            <w:hideMark/>
          </w:tcPr>
          <w:p w14:paraId="313438C6"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76%</w:t>
            </w:r>
          </w:p>
        </w:tc>
        <w:tc>
          <w:tcPr>
            <w:tcW w:w="1307" w:type="dxa"/>
            <w:noWrap/>
            <w:hideMark/>
          </w:tcPr>
          <w:p w14:paraId="3B72CB1D"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24%</w:t>
            </w:r>
          </w:p>
        </w:tc>
      </w:tr>
      <w:tr w:rsidR="00B239E5" w:rsidRPr="007A4BC2" w14:paraId="083D3175" w14:textId="77777777" w:rsidTr="00E62FA1">
        <w:trPr>
          <w:trHeight w:val="267"/>
        </w:trPr>
        <w:tc>
          <w:tcPr>
            <w:tcW w:w="1461" w:type="dxa"/>
            <w:vMerge w:val="restart"/>
            <w:hideMark/>
          </w:tcPr>
          <w:p w14:paraId="5D3D1EC6"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Mackay-Whitsundays</w:t>
            </w:r>
          </w:p>
        </w:tc>
        <w:tc>
          <w:tcPr>
            <w:tcW w:w="628" w:type="dxa"/>
            <w:noWrap/>
            <w:hideMark/>
          </w:tcPr>
          <w:p w14:paraId="0CD275F6"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area</w:t>
            </w:r>
          </w:p>
        </w:tc>
        <w:tc>
          <w:tcPr>
            <w:tcW w:w="880" w:type="dxa"/>
            <w:noWrap/>
            <w:hideMark/>
          </w:tcPr>
          <w:p w14:paraId="010424A7"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451</w:t>
            </w:r>
          </w:p>
        </w:tc>
        <w:tc>
          <w:tcPr>
            <w:tcW w:w="906" w:type="dxa"/>
            <w:noWrap/>
            <w:hideMark/>
          </w:tcPr>
          <w:p w14:paraId="16FEDCAF"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0</w:t>
            </w:r>
          </w:p>
        </w:tc>
        <w:tc>
          <w:tcPr>
            <w:tcW w:w="905" w:type="dxa"/>
            <w:noWrap/>
            <w:hideMark/>
          </w:tcPr>
          <w:p w14:paraId="4A64DA06"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270</w:t>
            </w:r>
          </w:p>
        </w:tc>
        <w:tc>
          <w:tcPr>
            <w:tcW w:w="748" w:type="dxa"/>
            <w:noWrap/>
            <w:hideMark/>
          </w:tcPr>
          <w:p w14:paraId="1A0D0338"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130</w:t>
            </w:r>
          </w:p>
        </w:tc>
        <w:tc>
          <w:tcPr>
            <w:tcW w:w="617" w:type="dxa"/>
            <w:noWrap/>
            <w:hideMark/>
          </w:tcPr>
          <w:p w14:paraId="00412DDA"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33</w:t>
            </w:r>
          </w:p>
        </w:tc>
        <w:tc>
          <w:tcPr>
            <w:tcW w:w="1307" w:type="dxa"/>
            <w:noWrap/>
            <w:hideMark/>
          </w:tcPr>
          <w:p w14:paraId="5F88A1A4"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433</w:t>
            </w:r>
          </w:p>
        </w:tc>
        <w:tc>
          <w:tcPr>
            <w:tcW w:w="1307" w:type="dxa"/>
            <w:noWrap/>
            <w:hideMark/>
          </w:tcPr>
          <w:p w14:paraId="17ADF92F"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18</w:t>
            </w:r>
          </w:p>
        </w:tc>
      </w:tr>
      <w:tr w:rsidR="00B239E5" w:rsidRPr="007A4BC2" w14:paraId="72C68A7E" w14:textId="77777777" w:rsidTr="00E62FA1">
        <w:trPr>
          <w:trHeight w:val="300"/>
        </w:trPr>
        <w:tc>
          <w:tcPr>
            <w:tcW w:w="1461" w:type="dxa"/>
            <w:vMerge/>
            <w:hideMark/>
          </w:tcPr>
          <w:p w14:paraId="2E9EFD84" w14:textId="77777777" w:rsidR="00B239E5" w:rsidRPr="002615B8" w:rsidRDefault="00B239E5" w:rsidP="00E62FA1">
            <w:pPr>
              <w:spacing w:before="0" w:after="0"/>
              <w:rPr>
                <w:rFonts w:cs="Arial"/>
                <w:b/>
                <w:bCs/>
                <w:color w:val="000000"/>
                <w:sz w:val="18"/>
                <w:szCs w:val="18"/>
                <w:lang w:val="en-AU"/>
              </w:rPr>
            </w:pPr>
          </w:p>
        </w:tc>
        <w:tc>
          <w:tcPr>
            <w:tcW w:w="628" w:type="dxa"/>
            <w:noWrap/>
            <w:hideMark/>
          </w:tcPr>
          <w:p w14:paraId="24708AA5"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w:t>
            </w:r>
          </w:p>
        </w:tc>
        <w:tc>
          <w:tcPr>
            <w:tcW w:w="880" w:type="dxa"/>
            <w:noWrap/>
            <w:hideMark/>
          </w:tcPr>
          <w:p w14:paraId="0C839FAE"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100%</w:t>
            </w:r>
          </w:p>
        </w:tc>
        <w:tc>
          <w:tcPr>
            <w:tcW w:w="906" w:type="dxa"/>
            <w:noWrap/>
            <w:hideMark/>
          </w:tcPr>
          <w:p w14:paraId="3091917B"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0%</w:t>
            </w:r>
          </w:p>
        </w:tc>
        <w:tc>
          <w:tcPr>
            <w:tcW w:w="905" w:type="dxa"/>
            <w:noWrap/>
            <w:hideMark/>
          </w:tcPr>
          <w:p w14:paraId="5B86E928"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60%</w:t>
            </w:r>
          </w:p>
        </w:tc>
        <w:tc>
          <w:tcPr>
            <w:tcW w:w="748" w:type="dxa"/>
            <w:noWrap/>
            <w:hideMark/>
          </w:tcPr>
          <w:p w14:paraId="61AB9CB0"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29%</w:t>
            </w:r>
          </w:p>
        </w:tc>
        <w:tc>
          <w:tcPr>
            <w:tcW w:w="617" w:type="dxa"/>
            <w:noWrap/>
            <w:hideMark/>
          </w:tcPr>
          <w:p w14:paraId="0FA70121"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7%</w:t>
            </w:r>
          </w:p>
        </w:tc>
        <w:tc>
          <w:tcPr>
            <w:tcW w:w="1307" w:type="dxa"/>
            <w:noWrap/>
            <w:hideMark/>
          </w:tcPr>
          <w:p w14:paraId="14E305C4"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96%</w:t>
            </w:r>
          </w:p>
        </w:tc>
        <w:tc>
          <w:tcPr>
            <w:tcW w:w="1307" w:type="dxa"/>
            <w:noWrap/>
            <w:hideMark/>
          </w:tcPr>
          <w:p w14:paraId="6460DB36"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4%</w:t>
            </w:r>
          </w:p>
        </w:tc>
      </w:tr>
      <w:tr w:rsidR="00B239E5" w:rsidRPr="007A4BC2" w14:paraId="4955A0A6" w14:textId="77777777" w:rsidTr="00E62FA1">
        <w:trPr>
          <w:trHeight w:val="300"/>
        </w:trPr>
        <w:tc>
          <w:tcPr>
            <w:tcW w:w="1461" w:type="dxa"/>
            <w:vMerge w:val="restart"/>
            <w:noWrap/>
            <w:hideMark/>
          </w:tcPr>
          <w:p w14:paraId="45BC08D9"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Fitzroy</w:t>
            </w:r>
          </w:p>
        </w:tc>
        <w:tc>
          <w:tcPr>
            <w:tcW w:w="628" w:type="dxa"/>
            <w:noWrap/>
            <w:hideMark/>
          </w:tcPr>
          <w:p w14:paraId="59AC3716"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area</w:t>
            </w:r>
          </w:p>
        </w:tc>
        <w:tc>
          <w:tcPr>
            <w:tcW w:w="880" w:type="dxa"/>
            <w:noWrap/>
            <w:hideMark/>
          </w:tcPr>
          <w:p w14:paraId="3ECA210E"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5,801</w:t>
            </w:r>
          </w:p>
        </w:tc>
        <w:tc>
          <w:tcPr>
            <w:tcW w:w="906" w:type="dxa"/>
            <w:noWrap/>
            <w:hideMark/>
          </w:tcPr>
          <w:p w14:paraId="6B62FCA9"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3,101</w:t>
            </w:r>
          </w:p>
        </w:tc>
        <w:tc>
          <w:tcPr>
            <w:tcW w:w="905" w:type="dxa"/>
            <w:noWrap/>
            <w:hideMark/>
          </w:tcPr>
          <w:p w14:paraId="4F83D2C9"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2,175</w:t>
            </w:r>
          </w:p>
        </w:tc>
        <w:tc>
          <w:tcPr>
            <w:tcW w:w="748" w:type="dxa"/>
            <w:noWrap/>
            <w:hideMark/>
          </w:tcPr>
          <w:p w14:paraId="0F3A385F"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432</w:t>
            </w:r>
          </w:p>
        </w:tc>
        <w:tc>
          <w:tcPr>
            <w:tcW w:w="617" w:type="dxa"/>
            <w:noWrap/>
            <w:hideMark/>
          </w:tcPr>
          <w:p w14:paraId="479155B3"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85</w:t>
            </w:r>
          </w:p>
        </w:tc>
        <w:tc>
          <w:tcPr>
            <w:tcW w:w="1307" w:type="dxa"/>
            <w:noWrap/>
            <w:hideMark/>
          </w:tcPr>
          <w:p w14:paraId="2D918EEB"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5,792</w:t>
            </w:r>
          </w:p>
        </w:tc>
        <w:tc>
          <w:tcPr>
            <w:tcW w:w="1307" w:type="dxa"/>
            <w:noWrap/>
            <w:hideMark/>
          </w:tcPr>
          <w:p w14:paraId="44248D83"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9</w:t>
            </w:r>
          </w:p>
        </w:tc>
      </w:tr>
      <w:tr w:rsidR="00B239E5" w:rsidRPr="007A4BC2" w14:paraId="5AC10325" w14:textId="77777777" w:rsidTr="00E62FA1">
        <w:trPr>
          <w:trHeight w:val="300"/>
        </w:trPr>
        <w:tc>
          <w:tcPr>
            <w:tcW w:w="1461" w:type="dxa"/>
            <w:vMerge/>
            <w:hideMark/>
          </w:tcPr>
          <w:p w14:paraId="7500D3C6" w14:textId="77777777" w:rsidR="00B239E5" w:rsidRPr="002615B8" w:rsidRDefault="00B239E5" w:rsidP="00E62FA1">
            <w:pPr>
              <w:spacing w:before="0" w:after="0"/>
              <w:rPr>
                <w:rFonts w:cs="Arial"/>
                <w:b/>
                <w:bCs/>
                <w:color w:val="000000"/>
                <w:sz w:val="18"/>
                <w:szCs w:val="18"/>
                <w:lang w:val="en-AU"/>
              </w:rPr>
            </w:pPr>
          </w:p>
        </w:tc>
        <w:tc>
          <w:tcPr>
            <w:tcW w:w="628" w:type="dxa"/>
            <w:noWrap/>
            <w:hideMark/>
          </w:tcPr>
          <w:p w14:paraId="3BC93A1B"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w:t>
            </w:r>
          </w:p>
        </w:tc>
        <w:tc>
          <w:tcPr>
            <w:tcW w:w="880" w:type="dxa"/>
            <w:noWrap/>
            <w:hideMark/>
          </w:tcPr>
          <w:p w14:paraId="31C6FC4B"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100%</w:t>
            </w:r>
          </w:p>
        </w:tc>
        <w:tc>
          <w:tcPr>
            <w:tcW w:w="906" w:type="dxa"/>
            <w:noWrap/>
            <w:hideMark/>
          </w:tcPr>
          <w:p w14:paraId="39C9A4F6"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53%</w:t>
            </w:r>
          </w:p>
        </w:tc>
        <w:tc>
          <w:tcPr>
            <w:tcW w:w="905" w:type="dxa"/>
            <w:noWrap/>
            <w:hideMark/>
          </w:tcPr>
          <w:p w14:paraId="07CA316F"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37%</w:t>
            </w:r>
          </w:p>
        </w:tc>
        <w:tc>
          <w:tcPr>
            <w:tcW w:w="748" w:type="dxa"/>
            <w:noWrap/>
            <w:hideMark/>
          </w:tcPr>
          <w:p w14:paraId="72D72E69"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7%</w:t>
            </w:r>
          </w:p>
        </w:tc>
        <w:tc>
          <w:tcPr>
            <w:tcW w:w="617" w:type="dxa"/>
            <w:noWrap/>
            <w:hideMark/>
          </w:tcPr>
          <w:p w14:paraId="441C7019"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1%</w:t>
            </w:r>
          </w:p>
        </w:tc>
        <w:tc>
          <w:tcPr>
            <w:tcW w:w="1307" w:type="dxa"/>
            <w:noWrap/>
            <w:hideMark/>
          </w:tcPr>
          <w:p w14:paraId="120555F6"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100%</w:t>
            </w:r>
          </w:p>
        </w:tc>
        <w:tc>
          <w:tcPr>
            <w:tcW w:w="1307" w:type="dxa"/>
            <w:noWrap/>
            <w:hideMark/>
          </w:tcPr>
          <w:p w14:paraId="71BF80E7"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0%</w:t>
            </w:r>
          </w:p>
        </w:tc>
      </w:tr>
      <w:tr w:rsidR="00B239E5" w:rsidRPr="007A4BC2" w14:paraId="62C51EB4" w14:textId="77777777" w:rsidTr="00E62FA1">
        <w:trPr>
          <w:trHeight w:val="300"/>
        </w:trPr>
        <w:tc>
          <w:tcPr>
            <w:tcW w:w="1461" w:type="dxa"/>
            <w:vMerge w:val="restart"/>
            <w:hideMark/>
          </w:tcPr>
          <w:p w14:paraId="39A28B91"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Burnett-Mary</w:t>
            </w:r>
          </w:p>
        </w:tc>
        <w:tc>
          <w:tcPr>
            <w:tcW w:w="628" w:type="dxa"/>
            <w:noWrap/>
            <w:hideMark/>
          </w:tcPr>
          <w:p w14:paraId="2BD10D72"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area</w:t>
            </w:r>
          </w:p>
        </w:tc>
        <w:tc>
          <w:tcPr>
            <w:tcW w:w="880" w:type="dxa"/>
            <w:noWrap/>
            <w:hideMark/>
          </w:tcPr>
          <w:p w14:paraId="0DFDAB1B"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6,374</w:t>
            </w:r>
          </w:p>
        </w:tc>
        <w:tc>
          <w:tcPr>
            <w:tcW w:w="906" w:type="dxa"/>
            <w:noWrap/>
            <w:hideMark/>
          </w:tcPr>
          <w:p w14:paraId="5799D25F"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0</w:t>
            </w:r>
          </w:p>
        </w:tc>
        <w:tc>
          <w:tcPr>
            <w:tcW w:w="905" w:type="dxa"/>
            <w:noWrap/>
            <w:hideMark/>
          </w:tcPr>
          <w:p w14:paraId="43285CC1"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6,242</w:t>
            </w:r>
          </w:p>
        </w:tc>
        <w:tc>
          <w:tcPr>
            <w:tcW w:w="748" w:type="dxa"/>
            <w:noWrap/>
            <w:hideMark/>
          </w:tcPr>
          <w:p w14:paraId="7E7B3492"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67</w:t>
            </w:r>
          </w:p>
        </w:tc>
        <w:tc>
          <w:tcPr>
            <w:tcW w:w="617" w:type="dxa"/>
            <w:noWrap/>
            <w:hideMark/>
          </w:tcPr>
          <w:p w14:paraId="579CCAC9" w14:textId="77777777" w:rsidR="00B239E5" w:rsidRPr="002615B8" w:rsidRDefault="00B239E5" w:rsidP="00E62FA1">
            <w:pPr>
              <w:spacing w:before="0" w:after="0"/>
              <w:jc w:val="center"/>
              <w:rPr>
                <w:rFonts w:cs="Arial"/>
                <w:color w:val="000000"/>
                <w:sz w:val="18"/>
                <w:szCs w:val="18"/>
                <w:lang w:val="en-AU"/>
              </w:rPr>
            </w:pPr>
            <w:r w:rsidRPr="002615B8">
              <w:rPr>
                <w:rFonts w:cs="Arial"/>
                <w:color w:val="000000"/>
                <w:sz w:val="18"/>
                <w:szCs w:val="18"/>
                <w:lang w:val="en-AU"/>
              </w:rPr>
              <w:t>14</w:t>
            </w:r>
          </w:p>
        </w:tc>
        <w:tc>
          <w:tcPr>
            <w:tcW w:w="1307" w:type="dxa"/>
            <w:noWrap/>
            <w:hideMark/>
          </w:tcPr>
          <w:p w14:paraId="351C63B3"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6,323</w:t>
            </w:r>
          </w:p>
        </w:tc>
        <w:tc>
          <w:tcPr>
            <w:tcW w:w="1307" w:type="dxa"/>
            <w:noWrap/>
            <w:hideMark/>
          </w:tcPr>
          <w:p w14:paraId="1D29AC56" w14:textId="77777777" w:rsidR="00B239E5" w:rsidRPr="002615B8" w:rsidRDefault="00B239E5" w:rsidP="00E62FA1">
            <w:pPr>
              <w:spacing w:before="0" w:after="0"/>
              <w:jc w:val="center"/>
              <w:rPr>
                <w:rFonts w:cs="Arial"/>
                <w:b/>
                <w:bCs/>
                <w:color w:val="000000"/>
                <w:sz w:val="18"/>
                <w:szCs w:val="18"/>
                <w:lang w:val="en-AU"/>
              </w:rPr>
            </w:pPr>
            <w:r w:rsidRPr="002615B8">
              <w:rPr>
                <w:rFonts w:cs="Arial"/>
                <w:b/>
                <w:bCs/>
                <w:color w:val="000000"/>
                <w:sz w:val="18"/>
                <w:szCs w:val="18"/>
                <w:lang w:val="en-AU"/>
              </w:rPr>
              <w:t>51</w:t>
            </w:r>
          </w:p>
        </w:tc>
      </w:tr>
      <w:tr w:rsidR="00B239E5" w:rsidRPr="007A4BC2" w14:paraId="1594584B" w14:textId="77777777" w:rsidTr="00E62FA1">
        <w:trPr>
          <w:trHeight w:val="315"/>
        </w:trPr>
        <w:tc>
          <w:tcPr>
            <w:tcW w:w="1461" w:type="dxa"/>
            <w:vMerge/>
            <w:hideMark/>
          </w:tcPr>
          <w:p w14:paraId="3F37D9D3" w14:textId="77777777" w:rsidR="00B239E5" w:rsidRPr="002615B8" w:rsidRDefault="00B239E5" w:rsidP="00E62FA1">
            <w:pPr>
              <w:spacing w:before="0" w:after="0"/>
              <w:rPr>
                <w:rFonts w:cs="Arial"/>
                <w:b/>
                <w:bCs/>
                <w:color w:val="000000"/>
                <w:sz w:val="18"/>
                <w:szCs w:val="18"/>
                <w:lang w:val="en-AU"/>
              </w:rPr>
            </w:pPr>
          </w:p>
        </w:tc>
        <w:tc>
          <w:tcPr>
            <w:tcW w:w="628" w:type="dxa"/>
            <w:noWrap/>
            <w:hideMark/>
          </w:tcPr>
          <w:p w14:paraId="5CAC45D9"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w:t>
            </w:r>
          </w:p>
        </w:tc>
        <w:tc>
          <w:tcPr>
            <w:tcW w:w="880" w:type="dxa"/>
            <w:noWrap/>
            <w:hideMark/>
          </w:tcPr>
          <w:p w14:paraId="580079A3"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100%</w:t>
            </w:r>
          </w:p>
        </w:tc>
        <w:tc>
          <w:tcPr>
            <w:tcW w:w="906" w:type="dxa"/>
            <w:noWrap/>
            <w:hideMark/>
          </w:tcPr>
          <w:p w14:paraId="254739F5"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0%</w:t>
            </w:r>
          </w:p>
        </w:tc>
        <w:tc>
          <w:tcPr>
            <w:tcW w:w="905" w:type="dxa"/>
            <w:noWrap/>
            <w:hideMark/>
          </w:tcPr>
          <w:p w14:paraId="38873A61"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98%</w:t>
            </w:r>
          </w:p>
        </w:tc>
        <w:tc>
          <w:tcPr>
            <w:tcW w:w="748" w:type="dxa"/>
            <w:noWrap/>
            <w:hideMark/>
          </w:tcPr>
          <w:p w14:paraId="36D774EE"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1%</w:t>
            </w:r>
          </w:p>
        </w:tc>
        <w:tc>
          <w:tcPr>
            <w:tcW w:w="617" w:type="dxa"/>
            <w:noWrap/>
            <w:hideMark/>
          </w:tcPr>
          <w:p w14:paraId="02AD9233" w14:textId="77777777" w:rsidR="00B239E5" w:rsidRPr="002615B8" w:rsidRDefault="00B239E5" w:rsidP="00E62FA1">
            <w:pPr>
              <w:spacing w:before="0" w:after="0"/>
              <w:jc w:val="center"/>
              <w:rPr>
                <w:rFonts w:cs="Arial"/>
                <w:i/>
                <w:iCs/>
                <w:color w:val="000000"/>
                <w:sz w:val="18"/>
                <w:szCs w:val="18"/>
                <w:lang w:val="en-AU"/>
              </w:rPr>
            </w:pPr>
            <w:r w:rsidRPr="002615B8">
              <w:rPr>
                <w:rFonts w:cs="Arial"/>
                <w:i/>
                <w:iCs/>
                <w:color w:val="000000"/>
                <w:sz w:val="18"/>
                <w:szCs w:val="18"/>
                <w:lang w:val="en-AU"/>
              </w:rPr>
              <w:t>0%</w:t>
            </w:r>
          </w:p>
        </w:tc>
        <w:tc>
          <w:tcPr>
            <w:tcW w:w="1307" w:type="dxa"/>
            <w:noWrap/>
            <w:hideMark/>
          </w:tcPr>
          <w:p w14:paraId="57CE69CB"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99%</w:t>
            </w:r>
          </w:p>
        </w:tc>
        <w:tc>
          <w:tcPr>
            <w:tcW w:w="1307" w:type="dxa"/>
            <w:noWrap/>
            <w:hideMark/>
          </w:tcPr>
          <w:p w14:paraId="24BD8497" w14:textId="77777777" w:rsidR="00B239E5" w:rsidRPr="002615B8" w:rsidRDefault="00B239E5" w:rsidP="00E62FA1">
            <w:pPr>
              <w:spacing w:before="0" w:after="0"/>
              <w:jc w:val="center"/>
              <w:rPr>
                <w:rFonts w:cs="Arial"/>
                <w:b/>
                <w:bCs/>
                <w:i/>
                <w:iCs/>
                <w:color w:val="000000"/>
                <w:sz w:val="18"/>
                <w:szCs w:val="18"/>
                <w:lang w:val="en-AU"/>
              </w:rPr>
            </w:pPr>
            <w:r w:rsidRPr="002615B8">
              <w:rPr>
                <w:rFonts w:cs="Arial"/>
                <w:b/>
                <w:bCs/>
                <w:i/>
                <w:iCs/>
                <w:color w:val="000000"/>
                <w:sz w:val="18"/>
                <w:szCs w:val="18"/>
                <w:lang w:val="en-AU"/>
              </w:rPr>
              <w:t>1%</w:t>
            </w:r>
          </w:p>
        </w:tc>
      </w:tr>
    </w:tbl>
    <w:p w14:paraId="31FF42BA" w14:textId="77777777" w:rsidR="00B239E5" w:rsidRDefault="00B239E5" w:rsidP="004A5BF7">
      <w:pPr>
        <w:rPr>
          <w:rFonts w:eastAsiaTheme="majorEastAsia"/>
          <w:lang w:val="en-AU"/>
        </w:rPr>
      </w:pPr>
    </w:p>
    <w:p w14:paraId="74C4AC1A" w14:textId="53012C81" w:rsidR="005B1D9A" w:rsidRPr="00F77A23" w:rsidRDefault="005B1D9A" w:rsidP="005B1D9A">
      <w:pPr>
        <w:pStyle w:val="Heading30"/>
        <w:numPr>
          <w:ilvl w:val="2"/>
          <w:numId w:val="42"/>
        </w:numPr>
      </w:pPr>
      <w:bookmarkStart w:id="1130" w:name="_Toc459158414"/>
      <w:bookmarkStart w:id="1131" w:name="_Toc459158687"/>
      <w:bookmarkStart w:id="1132" w:name="_Toc459158968"/>
      <w:bookmarkStart w:id="1133" w:name="_Toc459209967"/>
      <w:bookmarkStart w:id="1134" w:name="_Toc459329093"/>
      <w:bookmarkStart w:id="1135" w:name="_Toc459329452"/>
      <w:bookmarkStart w:id="1136" w:name="_Toc459329813"/>
      <w:bookmarkStart w:id="1137" w:name="_Toc459330173"/>
      <w:bookmarkStart w:id="1138" w:name="_Toc459330533"/>
      <w:bookmarkStart w:id="1139" w:name="_Toc459330893"/>
      <w:bookmarkStart w:id="1140" w:name="_Toc459331253"/>
      <w:bookmarkStart w:id="1141" w:name="_Toc459331613"/>
      <w:bookmarkStart w:id="1142" w:name="_Toc459331973"/>
      <w:bookmarkStart w:id="1143" w:name="_Toc462307449"/>
      <w:bookmarkEnd w:id="1130"/>
      <w:bookmarkEnd w:id="1131"/>
      <w:bookmarkEnd w:id="1132"/>
      <w:bookmarkEnd w:id="1133"/>
      <w:bookmarkEnd w:id="1134"/>
      <w:bookmarkEnd w:id="1135"/>
      <w:bookmarkEnd w:id="1136"/>
      <w:bookmarkEnd w:id="1137"/>
      <w:bookmarkEnd w:id="1138"/>
      <w:bookmarkEnd w:id="1139"/>
      <w:bookmarkEnd w:id="1140"/>
      <w:bookmarkEnd w:id="1141"/>
      <w:bookmarkEnd w:id="1142"/>
      <w:r>
        <w:t xml:space="preserve">Loading maps for </w:t>
      </w:r>
      <w:r w:rsidR="00C75099">
        <w:t>dissolved inorganic nitrogen, particulate nitrogen and sediment</w:t>
      </w:r>
      <w:bookmarkEnd w:id="1143"/>
    </w:p>
    <w:p w14:paraId="735E8D01" w14:textId="0DEEDC68" w:rsidR="003358CD" w:rsidRDefault="003358CD" w:rsidP="003358CD">
      <w:pPr>
        <w:rPr>
          <w:rFonts w:eastAsiaTheme="majorEastAsia"/>
          <w:lang w:val="en-AU"/>
        </w:rPr>
      </w:pPr>
      <w:r>
        <w:rPr>
          <w:rFonts w:eastAsiaTheme="majorEastAsia"/>
          <w:lang w:val="en-AU"/>
        </w:rPr>
        <w:t>This section presents the results for the loading maps for DIN, PN and sediment (evaluated as TSS) in plume waters. A detailed description of the methodology and loading maps, their potential uses and limitations are presented in Appendix A1.1</w:t>
      </w:r>
      <w:r w:rsidR="008A2DCB">
        <w:rPr>
          <w:rFonts w:eastAsiaTheme="majorEastAsia"/>
          <w:lang w:val="en-AU"/>
        </w:rPr>
        <w:t>0</w:t>
      </w:r>
      <w:r w:rsidR="00B239E5">
        <w:rPr>
          <w:rFonts w:eastAsiaTheme="majorEastAsia"/>
          <w:lang w:val="en-AU"/>
        </w:rPr>
        <w:t>.</w:t>
      </w:r>
    </w:p>
    <w:p w14:paraId="7A1C613F" w14:textId="7C23C934" w:rsidR="003358CD" w:rsidRPr="00883BEF" w:rsidRDefault="003358CD" w:rsidP="003358CD">
      <w:pPr>
        <w:pStyle w:val="ListParagraph"/>
        <w:numPr>
          <w:ilvl w:val="0"/>
          <w:numId w:val="111"/>
        </w:numPr>
        <w:rPr>
          <w:rFonts w:cs="Arial"/>
          <w:b/>
          <w:szCs w:val="22"/>
        </w:rPr>
      </w:pPr>
      <w:r w:rsidRPr="00883BEF">
        <w:rPr>
          <w:rFonts w:cs="Arial"/>
          <w:b/>
          <w:szCs w:val="22"/>
        </w:rPr>
        <w:t xml:space="preserve">Mapping annual DIN concentration </w:t>
      </w:r>
      <w:r>
        <w:rPr>
          <w:rFonts w:cs="Arial"/>
          <w:b/>
          <w:szCs w:val="22"/>
        </w:rPr>
        <w:t>in</w:t>
      </w:r>
      <w:r w:rsidRPr="00883BEF">
        <w:rPr>
          <w:rFonts w:cs="Arial"/>
          <w:b/>
          <w:szCs w:val="22"/>
        </w:rPr>
        <w:t xml:space="preserve"> the GBR 2003-2015</w:t>
      </w:r>
    </w:p>
    <w:p w14:paraId="2DCBB8CE" w14:textId="314B871B" w:rsidR="003358CD" w:rsidRPr="004A5BF7" w:rsidRDefault="003358CD" w:rsidP="003358CD">
      <w:pPr>
        <w:pStyle w:val="Figure"/>
        <w:rPr>
          <w:rFonts w:ascii="Arial" w:hAnsi="Arial" w:cs="Arial"/>
          <w:szCs w:val="22"/>
          <w:lang w:val="da-DK"/>
        </w:rPr>
      </w:pPr>
      <w:r w:rsidRPr="00961331">
        <w:rPr>
          <w:rFonts w:ascii="Arial" w:hAnsi="Arial" w:cs="Arial"/>
          <w:szCs w:val="22"/>
        </w:rPr>
        <w:t>The model-predicted DIN export to GBR lagoon is examined by its annual concentration (DIN, µg/L) over 13 years (</w:t>
      </w:r>
      <w:r w:rsidR="00B239E5">
        <w:rPr>
          <w:rFonts w:ascii="Arial" w:hAnsi="Arial" w:cs="Arial"/>
          <w:szCs w:val="22"/>
        </w:rPr>
        <w:fldChar w:fldCharType="begin"/>
      </w:r>
      <w:r w:rsidR="00B239E5">
        <w:rPr>
          <w:rFonts w:ascii="Arial" w:hAnsi="Arial" w:cs="Arial"/>
          <w:szCs w:val="22"/>
        </w:rPr>
        <w:instrText xml:space="preserve"> REF _Ref459148701 \h  \* MERGEFORMAT </w:instrText>
      </w:r>
      <w:r w:rsidR="00B239E5">
        <w:rPr>
          <w:rFonts w:ascii="Arial" w:hAnsi="Arial" w:cs="Arial"/>
          <w:szCs w:val="22"/>
        </w:rPr>
      </w:r>
      <w:r w:rsidR="00B239E5">
        <w:rPr>
          <w:rFonts w:ascii="Arial" w:hAnsi="Arial" w:cs="Arial"/>
          <w:szCs w:val="22"/>
        </w:rPr>
        <w:fldChar w:fldCharType="separate"/>
      </w:r>
      <w:r w:rsidR="007F5336" w:rsidRPr="007F5336">
        <w:rPr>
          <w:rFonts w:ascii="Arial" w:hAnsi="Arial" w:cs="Arial"/>
          <w:szCs w:val="22"/>
        </w:rPr>
        <w:t>Figure 5</w:t>
      </w:r>
      <w:r w:rsidR="007F5336" w:rsidRPr="007F5336">
        <w:rPr>
          <w:rFonts w:ascii="Arial" w:hAnsi="Arial" w:cs="Arial"/>
          <w:szCs w:val="22"/>
        </w:rPr>
        <w:noBreakHyphen/>
        <w:t>10</w:t>
      </w:r>
      <w:r w:rsidR="00B239E5">
        <w:rPr>
          <w:rFonts w:ascii="Arial" w:hAnsi="Arial" w:cs="Arial"/>
          <w:szCs w:val="22"/>
        </w:rPr>
        <w:fldChar w:fldCharType="end"/>
      </w:r>
      <w:r w:rsidR="00B239E5">
        <w:rPr>
          <w:rFonts w:ascii="Arial" w:hAnsi="Arial" w:cs="Arial"/>
          <w:szCs w:val="22"/>
        </w:rPr>
        <w:t xml:space="preserve"> and </w:t>
      </w:r>
      <w:r w:rsidR="00B239E5">
        <w:rPr>
          <w:rFonts w:ascii="Arial" w:hAnsi="Arial" w:cs="Arial"/>
          <w:szCs w:val="22"/>
        </w:rPr>
        <w:fldChar w:fldCharType="begin"/>
      </w:r>
      <w:r w:rsidR="00B239E5">
        <w:rPr>
          <w:rFonts w:ascii="Arial" w:hAnsi="Arial" w:cs="Arial"/>
          <w:szCs w:val="22"/>
        </w:rPr>
        <w:instrText xml:space="preserve"> REF _Ref459148714 \h  \* MERGEFORMAT </w:instrText>
      </w:r>
      <w:r w:rsidR="00B239E5">
        <w:rPr>
          <w:rFonts w:ascii="Arial" w:hAnsi="Arial" w:cs="Arial"/>
          <w:szCs w:val="22"/>
        </w:rPr>
      </w:r>
      <w:r w:rsidR="00B239E5">
        <w:rPr>
          <w:rFonts w:ascii="Arial" w:hAnsi="Arial" w:cs="Arial"/>
          <w:szCs w:val="22"/>
        </w:rPr>
        <w:fldChar w:fldCharType="separate"/>
      </w:r>
      <w:r w:rsidR="007F5336" w:rsidRPr="007F5336">
        <w:rPr>
          <w:rFonts w:ascii="Arial" w:hAnsi="Arial" w:cs="Arial"/>
          <w:szCs w:val="22"/>
        </w:rPr>
        <w:t>Figure 5</w:t>
      </w:r>
      <w:r w:rsidR="007F5336" w:rsidRPr="007F5336">
        <w:rPr>
          <w:rFonts w:ascii="Arial" w:hAnsi="Arial" w:cs="Arial"/>
          <w:szCs w:val="22"/>
        </w:rPr>
        <w:noBreakHyphen/>
        <w:t>11</w:t>
      </w:r>
      <w:r w:rsidR="00B239E5">
        <w:rPr>
          <w:rFonts w:ascii="Arial" w:hAnsi="Arial" w:cs="Arial"/>
          <w:szCs w:val="22"/>
        </w:rPr>
        <w:fldChar w:fldCharType="end"/>
      </w:r>
      <w:r>
        <w:rPr>
          <w:rFonts w:ascii="Arial" w:hAnsi="Arial" w:cs="Arial"/>
          <w:szCs w:val="22"/>
        </w:rPr>
        <w:t xml:space="preserve">). These maps provide an estimate </w:t>
      </w:r>
      <w:r w:rsidRPr="00961331">
        <w:rPr>
          <w:rFonts w:ascii="Arial" w:hAnsi="Arial" w:cs="Arial"/>
          <w:szCs w:val="22"/>
        </w:rPr>
        <w:t xml:space="preserve">of how far DIN can travel in GBR waters, </w:t>
      </w:r>
      <w:r>
        <w:rPr>
          <w:rFonts w:ascii="Arial" w:hAnsi="Arial" w:cs="Arial"/>
          <w:szCs w:val="22"/>
        </w:rPr>
        <w:t>and</w:t>
      </w:r>
      <w:r w:rsidRPr="00961331">
        <w:rPr>
          <w:rFonts w:ascii="Arial" w:hAnsi="Arial" w:cs="Arial"/>
          <w:szCs w:val="22"/>
        </w:rPr>
        <w:t xml:space="preserve"> the areas more likely to </w:t>
      </w:r>
      <w:r>
        <w:rPr>
          <w:rFonts w:ascii="Arial" w:hAnsi="Arial" w:cs="Arial"/>
          <w:szCs w:val="22"/>
        </w:rPr>
        <w:t>have</w:t>
      </w:r>
      <w:r w:rsidRPr="00961331">
        <w:rPr>
          <w:rFonts w:ascii="Arial" w:hAnsi="Arial" w:cs="Arial"/>
          <w:szCs w:val="22"/>
        </w:rPr>
        <w:t xml:space="preserve"> higher DIN concentration. The areas covered by model-predicted DIN vary over the 13 years analysed. Overall, years with very large river discharge (&gt; 65,000,000 ML), </w:t>
      </w:r>
      <w:r>
        <w:rPr>
          <w:rFonts w:ascii="Arial" w:hAnsi="Arial" w:cs="Arial"/>
          <w:szCs w:val="22"/>
        </w:rPr>
        <w:t>which</w:t>
      </w:r>
      <w:r w:rsidRPr="00961331">
        <w:rPr>
          <w:rFonts w:ascii="Arial" w:hAnsi="Arial" w:cs="Arial"/>
          <w:szCs w:val="22"/>
        </w:rPr>
        <w:t xml:space="preserve"> occurred in 2008, 2009 and 2011</w:t>
      </w:r>
      <w:r>
        <w:rPr>
          <w:rFonts w:ascii="Arial" w:hAnsi="Arial" w:cs="Arial"/>
          <w:szCs w:val="22"/>
        </w:rPr>
        <w:t>,</w:t>
      </w:r>
      <w:r w:rsidRPr="00961331">
        <w:rPr>
          <w:rFonts w:ascii="Arial" w:hAnsi="Arial" w:cs="Arial"/>
          <w:szCs w:val="22"/>
        </w:rPr>
        <w:t xml:space="preserve"> resulted in </w:t>
      </w:r>
      <w:r>
        <w:rPr>
          <w:rFonts w:ascii="Arial" w:hAnsi="Arial" w:cs="Arial"/>
          <w:szCs w:val="22"/>
        </w:rPr>
        <w:t>larger</w:t>
      </w:r>
      <w:r w:rsidRPr="00961331">
        <w:rPr>
          <w:rFonts w:ascii="Arial" w:hAnsi="Arial" w:cs="Arial"/>
          <w:szCs w:val="22"/>
        </w:rPr>
        <w:t xml:space="preserve"> areas of DIN transport and exposure </w:t>
      </w:r>
      <w:r>
        <w:rPr>
          <w:rFonts w:ascii="Arial" w:hAnsi="Arial" w:cs="Arial"/>
          <w:szCs w:val="22"/>
        </w:rPr>
        <w:t>across</w:t>
      </w:r>
      <w:r w:rsidRPr="00961331">
        <w:rPr>
          <w:rFonts w:ascii="Arial" w:hAnsi="Arial" w:cs="Arial"/>
          <w:szCs w:val="22"/>
        </w:rPr>
        <w:t xml:space="preserve"> the GBR. This is in agreement with previous observations about plumes in the GBR, where larger river discharge </w:t>
      </w:r>
      <w:r>
        <w:rPr>
          <w:rFonts w:ascii="Arial" w:hAnsi="Arial" w:cs="Arial"/>
          <w:szCs w:val="22"/>
        </w:rPr>
        <w:t xml:space="preserve">leads to </w:t>
      </w:r>
      <w:r w:rsidRPr="00961331">
        <w:rPr>
          <w:rFonts w:ascii="Arial" w:hAnsi="Arial" w:cs="Arial"/>
          <w:szCs w:val="22"/>
        </w:rPr>
        <w:t xml:space="preserve">larger extent of river plumes </w:t>
      </w:r>
      <w:r w:rsidRPr="00961331">
        <w:rPr>
          <w:rFonts w:ascii="Arial" w:hAnsi="Arial" w:cs="Arial"/>
          <w:szCs w:val="22"/>
        </w:rPr>
        <w:fldChar w:fldCharType="begin"/>
      </w:r>
      <w:r w:rsidRPr="00961331">
        <w:rPr>
          <w:rFonts w:ascii="Arial" w:hAnsi="Arial" w:cs="Arial"/>
          <w:szCs w:val="22"/>
        </w:rPr>
        <w:instrText xml:space="preserve"> ADDIN ZOTERO_ITEM CSL_CITATION {"citationID":"wUlv7R5q","properties":{"custom":"(e.g., \\uc0\\u193{}lvarez-Romero et al., 2013; Brodie et al., 2012; Devlin et al., 2012a, 2012b)","unsorted":false,"formattedCitation":"{\\rtf (e.g., \\uc0\\u193{}lvarez-Romero et al., 2013; Brodie et al., 2012; Devlin et al., 2012a, 2012b)}","plainCitation":"(e.g., Álvarez-Romero et al., 2013; Brodie et al., 2012; Devlin et al., 2012a, 2012b)"},"citationItems":[{"id":1,"uris":["http://zotero.org/users/2324349/items/TQTS3DE2"],"uri":["http://zotero.org/users/2324349/items/TQTS3DE2"],"itemData":{"id":1,"type":"article-journal","title":"A novel approach to model exposure of coastal-marine ecosystems to riverine flood plumes based on remote sensing techniques","container-title":"Journal of Environmental Management","page":"194-207","volume":"119","source":"ScienceDirect","abstract":"Increased loads of land-based pollutants are a major threat to coastal-marine ecosystems. Identifying the affected marine areas and the scale of influence on ecosystems is critical to assess the impacts of degraded water quality and to inform planning for catchment management and marine conservation. Studies using remotely-sensed data have contributed to our understanding of the occurrence and influence of river plumes, and to our ability to assess exposure of marine ecosystems to land-based pollutants. However, refinement of plume modeling techniques is required to improve risk assessments. We developed a novel, complementary, approach to model exposure of coastal-marine ecosystems to land-based pollutants. We used supervised classification of MODIS-Aqua true-color satellite imagery to map the extent of plumes and to qualitatively assess the dispersal of pollutants in plumes. We used the Great Barrier Reef (GBR), the world's largest coral reef system, to test our approach. We combined frequency of plume occurrence with spatially distributed loads (based on a cost-distance function) to create maps of exposure to suspended sediment and dissolved inorganic nitrogen. We then compared annual exposure maps (2007–2011) to assess inter-annual variability in the exposure of coral reefs and seagrass beds to these pollutants. We found this method useful to map plumes and qualitatively assess exposure to land-based pollutants. We observed inter-annual variation in exposure of ecosystems to pollutants in the GBR, stressing the need to incorporate a temporal component into plume exposure/risk models. Our study contributes to our understanding of plume spatial–temporal dynamics of the GBR and offers a method that can also be applied to monitor exposure of coastal-marine ecosystems to plumes and explore their ecological influences.","DOI":"10.1016/j.jenvman.2013.01.036","ISSN":"0301-4797","journalAbbreviation":"Journal of Environmental Management","author":[{"family":"Álvarez-Romero","given":"Jorge G."},{"family":"Devlin","given":"Michelle"},{"family":"Teixeira da Silva","given":"Eduardo"},{"family":"Petus","given":"Caroline"},{"family":"Ban","given":"Natalie C."},{"family":"Pressey","given":"Robert L."},{"family":"Kool","given":"Johnathan"},{"family":"Roberts","given":"Jason J."},{"family":"Cerdeira-Estrada","given":"Sergio"},{"family":"Wenger","given":"Amelia S."},{"family":"Brodie","given":"Jon"}],"issued":{"date-parts":[["2013",4,15]]}},"label":"page"},{"id":7,"uris":["http://zotero.org/users/2324349/items/EMF6TWGR"],"uri":["http://zotero.org/users/2324349/items/EMF6TWGR"],"itemData":{"id":7,"type":"article-journal","title":"Terrestrial pollutant runoff to the Great Barrier Reef: An update of issues, priorities and management responses","container-title":"Marine Pollution Bulletin","collection-title":"The Catchment to Reef Continuum: Case studies from the Great Barrier Reef","page":"81-100","volume":"65","issue":"4–9","source":"ScienceDirect","abstract":"The Great Barrier Reef (GBR) is a World Heritage Area and contains extensive areas of coral reef, seagrass meadows and fisheries resources. From adjacent catchments, numerous rivers discharge pollutants from agricultural, urban, mining and industrial activity. Pollutant sources have been identified and include suspended sediment from erosion in cattle grazing areas; nitrate from fertiliser application on crop lands; and herbicides from various land uses. The fate and effects of these pollutants in the receiving marine environment are relatively well understood. The Australian and Queensland Governments responded to the concerns of pollution of the GBR from catchment runoff with a plan to address this issue in 2003 (Reef Plan; updated 2009), incentive-based voluntary management initiatives in 2007 (Reef Rescue) and a State regulatory approach in 2009, the Reef Protection Package. This paper reviews new research relevant to the catchment to GBR continuum and evaluates the appropriateness of current management responses.","DOI":"10.1016/j.marpolbul.2011.12.012","ISSN":"0025-326X","shortTitle":"Terrestrial pollutant runoff to the Great Barrier Reef","journalAbbreviation":"Marine Pollution Bulletin","author":[{"family":"Brodie","given":"J. E."},{"family":"Kroon","given":"F. J."},{"family":"Schaffelke","given":"B."},{"family":"Wolanski","given":"E. C."},{"family":"Lewis","given":"S. E."},{"family":"Devlin","given":"M. J."},{"family":"Bohnet","given":"I. C."},{"family":"Bainbridge","given":"Z. T."},{"family":"Waterhouse","given":"J."},{"family":"Davis","given":"A. M."}],"issued":{"date-parts":[["2012"]]}},"label":"page","prefix":"e.g., "},{"id":19,"uris":["http://zotero.org/users/2324349/items/Q39GZNEF"],"uri":["http://zotero.org/users/2324349/items/Q39GZNEF"],"itemData":{"id":19,"type":"article-journal","title":"Mapping the pollutants in surface riverine flood plume waters in the Great Barrier Reef, Australia","container-title":"Marine Pollution Bulletin","collection-title":"The Catchment to Reef Continuum: Case studies from the Great Barrier Reef","page":"224-235","volume":"65","issue":"4–9","source":"ScienceDirect","abstract":"The extent of flood plume water over a 10 year period was mapped using quasi-true colour imagery and used to calculate long-term frequency of occurrence of the plumes. The proportional contribution of riverine loads of dissolved inorganic nitrogen, total suspended sediments and Photosystem-II herbicides from each catchment was used to scale the surface exposure maps for each pollutant. A classification procedure was also applied to satellite imagery (only Wet Tropics region) during 11 flood events (2000–2010) through processing of level-2 ocean colour products to discriminate the changing characteristics across three water types: “primary plume water”, characterised by high TSS values; “secondary plume water”, characterised by high phytoplankton production as measured by elevated chlorophyll-a (chl-a), and “tertiary plume water”, characterised by elevated coloured dissolved and detrital matter (CDOM + </w:instrText>
      </w:r>
      <w:r w:rsidRPr="004A5BF7">
        <w:rPr>
          <w:rFonts w:ascii="Arial" w:hAnsi="Arial" w:cs="Arial"/>
          <w:szCs w:val="22"/>
          <w:lang w:val="da-DK"/>
        </w:rPr>
        <w:instrText xml:space="preserve">D). This classification is a first step to characterise flood plumes.","DOI":"10.1016/j.marpolbul.2012.03.001","ISSN":"0025-326X","journalAbbreviation":"Marine Pollution Bulletin","author":[{"family":"Devlin","given":"Michelle"},{"family":"McKinna","given":"L."},{"family":"Álvarez-Romero","given":"J. G."},{"family":"Petus","given":"C."},{"family":"Abott","given":"B."},{"family":"Harkness","given":"P."},{"family":"Brodie","given":"J."}],"issued":{"date-parts":[["2012"]]}},"label":"page"},{"id":25,"uris":["http://zotero.org/users/2324349/items/TRJAN8JF"],"uri":["http://zotero.org/users/2324349/items/TRJAN8JF"],"itemData":{"id":25,"type":"chapter","title":"Monitoring and mapping of flood plumes in the Great Barrier Reef based on in-situ and remote sensing observations.","container-title":"Advances in Environmental Remote Sensing to Monitor Global Changes","publisher":"CRC Press","publisher-place":"Boca Raton","event-place":"Boca Raton","URL":"http://www.nerptropical.edu.au/publication/monitoring-and-mapping-flood-plumes-great-barrier-reef-based-situ-and-remote-sensing","author":[{"family":"Devlin","given":"Michelle"},{"family":"Schroeder","given":"Thomas"},{"family":"McKinna","given":"L."},{"family":"Brodie","given":"Jon"},{"family":"Brando","given":"Vittorio"},{"family":"Dekker","given":"A."}],"issued":{"date-parts":[["2012"]]},"accessed":{"date-parts":[["2015",5,20]]}},"label":"page"}],"schema":"https://github.com/citation-style-language/schema/raw/master/csl-citation.json"} </w:instrText>
      </w:r>
      <w:r w:rsidRPr="00961331">
        <w:rPr>
          <w:rFonts w:ascii="Arial" w:hAnsi="Arial" w:cs="Arial"/>
          <w:szCs w:val="22"/>
        </w:rPr>
        <w:fldChar w:fldCharType="separate"/>
      </w:r>
      <w:r w:rsidRPr="004A5BF7">
        <w:rPr>
          <w:rFonts w:ascii="Arial" w:hAnsi="Arial" w:cs="Arial"/>
          <w:szCs w:val="22"/>
          <w:lang w:val="da-DK"/>
        </w:rPr>
        <w:t>(e.g., Álvarez-Romero et al., 2013; Brodie et al., 2012; Devlin et al., 2012a, 2012b)</w:t>
      </w:r>
      <w:r w:rsidRPr="00961331">
        <w:rPr>
          <w:rFonts w:ascii="Arial" w:hAnsi="Arial" w:cs="Arial"/>
          <w:szCs w:val="22"/>
        </w:rPr>
        <w:fldChar w:fldCharType="end"/>
      </w:r>
      <w:r w:rsidRPr="004A5BF7">
        <w:rPr>
          <w:rFonts w:ascii="Arial" w:hAnsi="Arial" w:cs="Arial"/>
          <w:szCs w:val="22"/>
          <w:lang w:val="da-DK"/>
        </w:rPr>
        <w:t>.</w:t>
      </w:r>
    </w:p>
    <w:p w14:paraId="7B7D87AE" w14:textId="460E35E9" w:rsidR="003358CD" w:rsidRPr="00961331" w:rsidRDefault="003358CD" w:rsidP="003358CD">
      <w:pPr>
        <w:pStyle w:val="Figure"/>
        <w:rPr>
          <w:rFonts w:ascii="Arial" w:hAnsi="Arial" w:cs="Arial"/>
          <w:szCs w:val="22"/>
        </w:rPr>
      </w:pPr>
      <w:r w:rsidRPr="00961331">
        <w:rPr>
          <w:rFonts w:ascii="Arial" w:hAnsi="Arial" w:cs="Arial"/>
          <w:szCs w:val="22"/>
        </w:rPr>
        <w:t xml:space="preserve">Although the number of contributing rivers did not change over the modelled years, the </w:t>
      </w:r>
      <w:r>
        <w:rPr>
          <w:rFonts w:ascii="Arial" w:hAnsi="Arial" w:cs="Arial"/>
          <w:szCs w:val="22"/>
        </w:rPr>
        <w:t xml:space="preserve">extent of land-sourced DIN influence was greater in the </w:t>
      </w:r>
      <w:r w:rsidRPr="00961331">
        <w:rPr>
          <w:rFonts w:ascii="Arial" w:hAnsi="Arial" w:cs="Arial"/>
          <w:szCs w:val="22"/>
        </w:rPr>
        <w:t xml:space="preserve">Wet Tropics and Burdekin NRM regions </w:t>
      </w:r>
      <w:r>
        <w:rPr>
          <w:rFonts w:ascii="Arial" w:hAnsi="Arial" w:cs="Arial"/>
          <w:szCs w:val="22"/>
        </w:rPr>
        <w:t>compared to</w:t>
      </w:r>
      <w:r w:rsidRPr="00961331">
        <w:rPr>
          <w:rFonts w:ascii="Arial" w:hAnsi="Arial" w:cs="Arial"/>
          <w:szCs w:val="22"/>
        </w:rPr>
        <w:t xml:space="preserve"> the Mackay-Whitsunday and Fitzroy regions (</w:t>
      </w:r>
      <w:r>
        <w:rPr>
          <w:rFonts w:ascii="Arial" w:hAnsi="Arial" w:cs="Arial"/>
          <w:szCs w:val="22"/>
        </w:rPr>
        <w:t>note that r</w:t>
      </w:r>
      <w:r w:rsidRPr="00961331">
        <w:rPr>
          <w:rFonts w:ascii="Arial" w:hAnsi="Arial" w:cs="Arial"/>
          <w:szCs w:val="22"/>
        </w:rPr>
        <w:t xml:space="preserve">iver loads </w:t>
      </w:r>
      <w:r>
        <w:rPr>
          <w:rFonts w:ascii="Arial" w:hAnsi="Arial" w:cs="Arial"/>
          <w:szCs w:val="22"/>
        </w:rPr>
        <w:t>from</w:t>
      </w:r>
      <w:r w:rsidRPr="00961331">
        <w:rPr>
          <w:rFonts w:ascii="Arial" w:hAnsi="Arial" w:cs="Arial"/>
          <w:szCs w:val="22"/>
        </w:rPr>
        <w:t xml:space="preserve"> the Cape York and Burnett-Mary NRM regions were not included in the model). Similar trends have been observed on the distribution and movement of other land-sourced pollutants and they were attributed to rainfall and land uses differences </w:t>
      </w:r>
      <w:r w:rsidRPr="00961331">
        <w:rPr>
          <w:rFonts w:ascii="Arial" w:hAnsi="Arial" w:cs="Arial"/>
          <w:szCs w:val="22"/>
        </w:rPr>
        <w:fldChar w:fldCharType="begin"/>
      </w:r>
      <w:r w:rsidRPr="00961331">
        <w:rPr>
          <w:rFonts w:ascii="Arial" w:hAnsi="Arial" w:cs="Arial"/>
          <w:szCs w:val="22"/>
        </w:rPr>
        <w:instrText xml:space="preserve"> ADDIN ZOTERO_ITEM CSL_CITATION {"citationID":"rieB6hJb","properties":{"formattedCitation":"(Devlin et al., 2012b, 2013)","plainCitation":"(Devlin et al., 2012b, 2013)"},"citationItems":[{"id":25,"uris":["http://zotero.org/users/2324349/items/TRJAN8JF"],"uri":["http://zotero.org/users/2324349/items/TRJAN8JF"],"itemData":{"id":25,"type":"chapter","title":"Monitoring and mapping of flood plumes in the Great Barrier Reef based on in-situ and remote sensing observations.","container-title":"Advances in Environmental Remote Sensing to Monitor Global Changes","publisher":"CRC Press","publisher-place":"Boca Raton","event-place":"Boca Raton","URL":"http://www.nerptropical.edu.au/publication/monitoring-and-mapping-flood-plumes-great-barrier-reef-based-situ-and-remote-sensing","author":[{"family":"Devlin","given":"Michelle"},{"family":"Schroeder","given":"Thomas"},{"family":"McKinna","given":"L."},{"family":"Brodie","given":"Jon"},{"family":"Brando","given":"Vittorio"},{"family":"Dekker","given":"A."}],"issued":{"date-parts":[["2012"]]},"accessed":{"date-parts":[["2015",5,20]]}}},{"id":184,"uris":["http://zotero.org/users/2324349/items/WT8UJ7AD"],"uri":["http://zotero.org/users/2324349/items/WT8UJ7AD"],"itemData":{"id":184,"type":"report","title":"Reef Rescue Marine Monitoring Program. Final report of JCU activities 2011/12: flood plumes and extreme weather monitoring for the Great Barrier Reef Marine Park Authority","publisher":"James Cook University","genre":"Report","source":"elibrary.gbrmpa.gov.au","abstract":"The Reef Rescue Marine Monitoring Program (MMP) undertaken in the Great Barrier Reef lagoon assesses the long-term effectiveness of the Australian and Queensland Government’s Reef Water Quality Protection Plan and the Australian Government Reef Rescue initiative. The MMP was established in 2005 to help assess the long-term status and health of Reef ecosystems and is a critical component in the assessment of regional water quality as land management practices are improved across Reef catchments. The program forms an integral part of the Reef Plan Paddock to Reef Integrated Monitoring, Modelling and Reporting Program supported through Reef Plan and Reef Rescue initiatives. This report details the sampling that has taken place under the Reef Rescue Marine Monitoring Program: Terrestrial discharge into the Great Barrier Reef (project 3.7.2b) for the 2011/12 sampling year.","URL":"http://elibrary.gbrmpa.gov.au/jspui/handle/11017/2803","shortTitle":"Reef Rescue Marine Monitoring Program. Final report of JCU activities 2011/12","author":[{"family":"Devlin","given":"M. J."},{"family":"Wenger","given":"A."},{"family":"Petus","given":"C."},{"family":"Silva","given":"E. T.","non-dropping-particle":"da"},{"family":"DeBose","given":"J."},{"family":"Álvarez-Romero","given":"J."}],"issued":{"date-parts":[["2013"]]},"accessed":{"date-parts":[["2015",11,25]]}}}],"schema":"https://github.com/citation-style-language/schema/raw/master/csl-citation.json"} </w:instrText>
      </w:r>
      <w:r w:rsidRPr="00961331">
        <w:rPr>
          <w:rFonts w:ascii="Arial" w:hAnsi="Arial" w:cs="Arial"/>
          <w:szCs w:val="22"/>
        </w:rPr>
        <w:fldChar w:fldCharType="separate"/>
      </w:r>
      <w:r w:rsidRPr="00961331">
        <w:rPr>
          <w:rFonts w:ascii="Arial" w:hAnsi="Arial" w:cs="Arial"/>
          <w:szCs w:val="22"/>
        </w:rPr>
        <w:t>(Devlin et al., 2012b, 2013)</w:t>
      </w:r>
      <w:r w:rsidRPr="00961331">
        <w:rPr>
          <w:rFonts w:ascii="Arial" w:hAnsi="Arial" w:cs="Arial"/>
          <w:szCs w:val="22"/>
        </w:rPr>
        <w:fldChar w:fldCharType="end"/>
      </w:r>
      <w:r w:rsidRPr="00961331">
        <w:rPr>
          <w:rFonts w:ascii="Arial" w:hAnsi="Arial" w:cs="Arial"/>
          <w:szCs w:val="22"/>
        </w:rPr>
        <w:t>.</w:t>
      </w:r>
    </w:p>
    <w:p w14:paraId="19CB1E0B" w14:textId="018ED1B3" w:rsidR="003358CD" w:rsidRPr="00961331" w:rsidRDefault="003358CD" w:rsidP="003358CD">
      <w:pPr>
        <w:rPr>
          <w:rFonts w:cs="Arial"/>
          <w:szCs w:val="22"/>
        </w:rPr>
      </w:pPr>
      <w:r w:rsidRPr="00961331">
        <w:rPr>
          <w:rFonts w:cs="Arial"/>
          <w:szCs w:val="22"/>
        </w:rPr>
        <w:t xml:space="preserve">The highest model-predicted DIN concentration </w:t>
      </w:r>
      <w:r>
        <w:rPr>
          <w:rFonts w:cs="Arial"/>
          <w:szCs w:val="22"/>
        </w:rPr>
        <w:t>was</w:t>
      </w:r>
      <w:r w:rsidRPr="00961331">
        <w:rPr>
          <w:rFonts w:cs="Arial"/>
          <w:szCs w:val="22"/>
        </w:rPr>
        <w:t xml:space="preserve"> observed in 2011, followed by 2012 and 2009, with maximums of 268 µg/L, 197 µg/L and 172 µg/L, respectively. The areas presenting higher DIN concentration were relatively constant over the years, with higher DIN values observed in the Wet Tropics and Mackay-Whitsunday NRM regions than the other regions. Even though the Burdekin River is responsible on average for &gt; 36% of the DIN load accounted in the model, it is also responsible for 60% of the total discharge. The large Burdekin </w:t>
      </w:r>
      <w:r w:rsidR="00AB4F34">
        <w:rPr>
          <w:rFonts w:cs="Arial"/>
          <w:szCs w:val="22"/>
        </w:rPr>
        <w:t xml:space="preserve">River </w:t>
      </w:r>
      <w:r w:rsidRPr="00961331">
        <w:rPr>
          <w:rFonts w:cs="Arial"/>
          <w:szCs w:val="22"/>
        </w:rPr>
        <w:t xml:space="preserve">discharge results in </w:t>
      </w:r>
      <w:r w:rsidR="00AB4F34">
        <w:rPr>
          <w:rFonts w:cs="Arial"/>
          <w:szCs w:val="22"/>
        </w:rPr>
        <w:t>large</w:t>
      </w:r>
      <w:r w:rsidRPr="00961331">
        <w:rPr>
          <w:rFonts w:cs="Arial"/>
          <w:szCs w:val="22"/>
        </w:rPr>
        <w:t xml:space="preserve"> plumes and consequently</w:t>
      </w:r>
      <w:r w:rsidR="00AB4F34">
        <w:rPr>
          <w:rFonts w:cs="Arial"/>
          <w:szCs w:val="22"/>
        </w:rPr>
        <w:t>,</w:t>
      </w:r>
      <w:r w:rsidRPr="00961331">
        <w:rPr>
          <w:rFonts w:cs="Arial"/>
          <w:szCs w:val="22"/>
        </w:rPr>
        <w:t xml:space="preserve"> relatively low DIN concentrations. The Wet Tropic</w:t>
      </w:r>
      <w:r w:rsidR="00AB4F34">
        <w:rPr>
          <w:rFonts w:cs="Arial"/>
          <w:szCs w:val="22"/>
        </w:rPr>
        <w:t>s</w:t>
      </w:r>
      <w:r w:rsidRPr="00961331">
        <w:rPr>
          <w:rFonts w:cs="Arial"/>
          <w:szCs w:val="22"/>
        </w:rPr>
        <w:t xml:space="preserve"> NRM region is characteri</w:t>
      </w:r>
      <w:r w:rsidR="00AB4F34">
        <w:rPr>
          <w:rFonts w:cs="Arial"/>
          <w:szCs w:val="22"/>
        </w:rPr>
        <w:t>s</w:t>
      </w:r>
      <w:r w:rsidRPr="00961331">
        <w:rPr>
          <w:rFonts w:cs="Arial"/>
          <w:szCs w:val="22"/>
        </w:rPr>
        <w:t xml:space="preserve">ed by </w:t>
      </w:r>
      <w:r w:rsidR="00AB4F34">
        <w:rPr>
          <w:rFonts w:cs="Arial"/>
          <w:szCs w:val="22"/>
        </w:rPr>
        <w:t>large areas of</w:t>
      </w:r>
      <w:r w:rsidRPr="00961331">
        <w:rPr>
          <w:rFonts w:cs="Arial"/>
          <w:szCs w:val="22"/>
        </w:rPr>
        <w:t xml:space="preserve"> cropping </w:t>
      </w:r>
      <w:r w:rsidR="00AB4F34">
        <w:rPr>
          <w:rFonts w:cs="Arial"/>
          <w:szCs w:val="22"/>
        </w:rPr>
        <w:t xml:space="preserve">lands (predominately sugarcane) in the coastal areas, and the </w:t>
      </w:r>
      <w:r w:rsidRPr="00961331">
        <w:rPr>
          <w:rFonts w:cs="Arial"/>
          <w:szCs w:val="22"/>
        </w:rPr>
        <w:t xml:space="preserve">Johnstone and Tully catchments together possess </w:t>
      </w:r>
      <w:r w:rsidR="00AB4F34">
        <w:rPr>
          <w:rFonts w:cs="Arial"/>
          <w:szCs w:val="22"/>
        </w:rPr>
        <w:t>more than</w:t>
      </w:r>
      <w:r w:rsidRPr="00961331">
        <w:rPr>
          <w:rFonts w:cs="Arial"/>
          <w:szCs w:val="22"/>
        </w:rPr>
        <w:t xml:space="preserve"> 80% of the total banana crop and 27% of the sugarcane plantation in this region </w:t>
      </w:r>
      <w:r w:rsidRPr="00961331">
        <w:rPr>
          <w:rFonts w:cs="Arial"/>
          <w:szCs w:val="22"/>
        </w:rPr>
        <w:fldChar w:fldCharType="begin"/>
      </w:r>
      <w:r w:rsidRPr="00961331">
        <w:rPr>
          <w:rFonts w:cs="Arial"/>
          <w:szCs w:val="22"/>
        </w:rPr>
        <w:instrText xml:space="preserve"> ADDIN ZOTERO_ITEM CSL_CITATION {"citationID":"1h8jgrj8eb","properties":{"formattedCitation":"(Waterhouse et al., 2014)","plainCitation":"(Waterhouse et al., 2014)"},"citationItems":[{"id":54,"uris":["http://zotero.org/users/2324349/items/U2EMS73H"],"uri":["http://zotero.org/users/2324349/items/U2EMS73H"],"itemData":{"id":54,"type":"report","title":"Assessment of the relative risk of water quality to ecosystems of the Wet Tropics Region, Great Barrier. A report to Terrain NRM, Innisfail.","collection-title":"TropWATER Report","publisher":"James Cook University","publisher-place":"Townsville, AU","page":"61","event-place":"Townsville, AU","number":"14/27","author":[{"family":"Waterhouse","given":"Jane"},{"family":"Brodie","given":"Jon"},{"family":"Tracey","given":"Dieter"},{"family":"Lewis","given":"Stephen"},{"family":"Hateley","given":"Louise"},{"family":"Brinkman","given":"Richard"},{"family":"Furnas","given":"Miles"},{"family":"Wolff","given":"Nick"},{"family":"Silva","given":"Eduardo","non-dropping-particle":"da"},{"family":"O'Brien","given":"Dominique"},{"family":"McKenzie","given":"Len"}],"issued":{"date-parts":[["2014"]]}}}],"schema":"https://github.com/citation-style-language/schema/raw/master/csl-citation.json"} </w:instrText>
      </w:r>
      <w:r w:rsidRPr="00961331">
        <w:rPr>
          <w:rFonts w:cs="Arial"/>
          <w:szCs w:val="22"/>
        </w:rPr>
        <w:fldChar w:fldCharType="separate"/>
      </w:r>
      <w:r w:rsidRPr="00961331">
        <w:rPr>
          <w:rFonts w:cs="Arial"/>
          <w:szCs w:val="22"/>
        </w:rPr>
        <w:t>(Waterhouse et al., 2014)</w:t>
      </w:r>
      <w:r w:rsidRPr="00961331">
        <w:rPr>
          <w:rFonts w:cs="Arial"/>
          <w:szCs w:val="22"/>
        </w:rPr>
        <w:fldChar w:fldCharType="end"/>
      </w:r>
      <w:r w:rsidRPr="00961331">
        <w:rPr>
          <w:rFonts w:cs="Arial"/>
          <w:szCs w:val="22"/>
        </w:rPr>
        <w:t>.</w:t>
      </w:r>
    </w:p>
    <w:p w14:paraId="154FFD5C" w14:textId="426E87D9" w:rsidR="00164E5E" w:rsidRPr="00B239E5" w:rsidRDefault="008A2DCB" w:rsidP="004A5BF7">
      <w:pPr>
        <w:pStyle w:val="Caption"/>
      </w:pPr>
      <w:bookmarkStart w:id="1144" w:name="_Toc459332368"/>
      <w:bookmarkStart w:id="1145" w:name="_Toc443300198"/>
      <w:r w:rsidRPr="00B05E41">
        <w:rPr>
          <w:noProof/>
          <w:lang w:val="en-AU" w:eastAsia="en-AU"/>
        </w:rPr>
        <w:drawing>
          <wp:anchor distT="0" distB="0" distL="114300" distR="114300" simplePos="0" relativeHeight="251650560" behindDoc="0" locked="0" layoutInCell="1" allowOverlap="1" wp14:anchorId="14D94D5F" wp14:editId="153F3382">
            <wp:simplePos x="0" y="0"/>
            <wp:positionH relativeFrom="column">
              <wp:posOffset>9525</wp:posOffset>
            </wp:positionH>
            <wp:positionV relativeFrom="paragraph">
              <wp:posOffset>38100</wp:posOffset>
            </wp:positionV>
            <wp:extent cx="5600700" cy="6057900"/>
            <wp:effectExtent l="0" t="0" r="0" b="0"/>
            <wp:wrapTopAndBottom/>
            <wp:docPr id="7197" name="Picture 7197" descr="Map showing dissolved inorganic nitrogen (DIN, µg/L) concentration in the GBR lagoon 2003 water year (c.a., 1 October to 30 September). ‘Max.’ stands for the highest DIN concentration. Named rivers are those with load data available and grey lines are the NRM region boundaries." title="Figure 5 10: Dissolved inorganic nitrogen (DIN, µg/L) concentration in the GBR lagoon 2003 water year (c.a., 1 October to 30 Septem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PAPER\Edu New Load Maps paper\Plume Maps\MAPS\CATEG_DIN_conc_n_20_Fim_Maj+Upk.jpg"/>
                    <pic:cNvPicPr>
                      <a:picLocks noChangeAspect="1" noChangeArrowheads="1"/>
                    </pic:cNvPicPr>
                  </pic:nvPicPr>
                  <pic:blipFill rotWithShape="1">
                    <a:blip r:embed="rId321" cstate="screen">
                      <a:extLst>
                        <a:ext uri="{28A0092B-C50C-407E-A947-70E740481C1C}">
                          <a14:useLocalDpi xmlns:a14="http://schemas.microsoft.com/office/drawing/2010/main"/>
                        </a:ext>
                      </a:extLst>
                    </a:blip>
                    <a:srcRect t="5967" r="3382"/>
                    <a:stretch/>
                  </pic:blipFill>
                  <pic:spPr bwMode="auto">
                    <a:xfrm>
                      <a:off x="0" y="0"/>
                      <a:ext cx="5600700" cy="60579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Start w:id="1146" w:name="_Ref459148701"/>
      <w:r w:rsidR="00164E5E" w:rsidRPr="00B239E5">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10</w:t>
      </w:r>
      <w:r w:rsidR="00C62884">
        <w:fldChar w:fldCharType="end"/>
      </w:r>
      <w:bookmarkEnd w:id="1146"/>
      <w:r w:rsidR="00164E5E" w:rsidRPr="00B239E5">
        <w:t>: Dissolved inorganic nitrogen (DIN, µg/L) concentration in the GBR lagoon 2003 water year (c.a., 1 October</w:t>
      </w:r>
      <w:r w:rsidR="00164E5E" w:rsidRPr="004A5BF7">
        <w:t xml:space="preserve"> </w:t>
      </w:r>
      <w:r w:rsidR="00164E5E" w:rsidRPr="00B239E5">
        <w:t>to 30 September). ‘Max.’ stands for the highest DIN concentration. Named rivers are those with load data available and grey lines are the NRM region boundaries.</w:t>
      </w:r>
      <w:bookmarkEnd w:id="1144"/>
    </w:p>
    <w:p w14:paraId="0D9B31F3" w14:textId="38B77928" w:rsidR="003358CD" w:rsidRPr="00961331" w:rsidRDefault="00164E5E" w:rsidP="004A5BF7">
      <w:pPr>
        <w:pStyle w:val="Caption"/>
        <w:sectPr w:rsidR="003358CD" w:rsidRPr="00961331" w:rsidSect="00207F81">
          <w:pgSz w:w="11907" w:h="16839" w:code="9"/>
          <w:pgMar w:top="1440" w:right="1440" w:bottom="1440" w:left="1440" w:header="708" w:footer="708" w:gutter="0"/>
          <w:cols w:space="708"/>
          <w:docGrid w:linePitch="299"/>
        </w:sectPr>
      </w:pPr>
      <w:r w:rsidRPr="00961331">
        <w:t xml:space="preserve"> </w:t>
      </w:r>
    </w:p>
    <w:bookmarkEnd w:id="1145"/>
    <w:p w14:paraId="15D7EBA8" w14:textId="77777777" w:rsidR="003358CD" w:rsidRPr="00961331" w:rsidRDefault="003358CD" w:rsidP="003358CD">
      <w:pPr>
        <w:rPr>
          <w:rFonts w:cs="Arial"/>
          <w:szCs w:val="22"/>
        </w:rPr>
      </w:pPr>
    </w:p>
    <w:p w14:paraId="17783E3C" w14:textId="77777777" w:rsidR="003358CD" w:rsidRPr="00961331" w:rsidRDefault="003358CD" w:rsidP="003358CD">
      <w:pPr>
        <w:rPr>
          <w:rFonts w:cs="Arial"/>
          <w:szCs w:val="22"/>
        </w:rPr>
      </w:pPr>
      <w:r w:rsidRPr="00B05E41">
        <w:rPr>
          <w:rFonts w:cs="Arial"/>
          <w:noProof/>
          <w:szCs w:val="22"/>
          <w:lang w:val="en-AU" w:eastAsia="en-AU"/>
        </w:rPr>
        <w:drawing>
          <wp:inline distT="0" distB="0" distL="0" distR="0" wp14:anchorId="0C716110" wp14:editId="01950042">
            <wp:extent cx="8852035" cy="4425315"/>
            <wp:effectExtent l="0" t="0" r="6350" b="0"/>
            <wp:docPr id="7195" name="Picture 7195" descr="Panel of maps showing dissolved inorganic nitrogen (DIN, µg/L) over the GBR lagoon 2004-2015 water years (c.a., 1 October to 30 September). ‘Max.’ stands for the highest DIN concentration. Dots represent rivers with load data available and grey lines are the NRM region boundaries" title="Figure 5 11: Dissolved inorganic nitrogen (DIN, µg/L) over the GBR lagoon 2004-2015 water years (c.a., 1 October to 30 Septem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ocuments\PAPER\Edu New Load Maps paper\Plume Maps\MAPS\CATEG_DIN_conc_other_years_panel_Fim_Maj+Upk.jpg"/>
                    <pic:cNvPicPr>
                      <a:picLocks noChangeAspect="1" noChangeArrowheads="1"/>
                    </pic:cNvPicPr>
                  </pic:nvPicPr>
                  <pic:blipFill>
                    <a:blip r:embed="rId322" cstate="screen">
                      <a:extLst>
                        <a:ext uri="{28A0092B-C50C-407E-A947-70E740481C1C}">
                          <a14:useLocalDpi xmlns:a14="http://schemas.microsoft.com/office/drawing/2010/main"/>
                        </a:ext>
                      </a:extLst>
                    </a:blip>
                    <a:stretch>
                      <a:fillRect/>
                    </a:stretch>
                  </pic:blipFill>
                  <pic:spPr bwMode="auto">
                    <a:xfrm>
                      <a:off x="0" y="0"/>
                      <a:ext cx="8852035" cy="4425315"/>
                    </a:xfrm>
                    <a:prstGeom prst="rect">
                      <a:avLst/>
                    </a:prstGeom>
                    <a:noFill/>
                    <a:ln>
                      <a:noFill/>
                    </a:ln>
                  </pic:spPr>
                </pic:pic>
              </a:graphicData>
            </a:graphic>
          </wp:inline>
        </w:drawing>
      </w:r>
    </w:p>
    <w:p w14:paraId="7AF85218" w14:textId="2B360566" w:rsidR="003358CD" w:rsidRPr="00961331" w:rsidRDefault="003358CD" w:rsidP="004A5BF7">
      <w:pPr>
        <w:pStyle w:val="Caption"/>
      </w:pPr>
      <w:bookmarkStart w:id="1147" w:name="_Ref459148714"/>
      <w:bookmarkStart w:id="1148" w:name="_Ref449132661"/>
      <w:bookmarkStart w:id="1149" w:name="_Toc452586424"/>
      <w:bookmarkStart w:id="1150" w:name="_Toc459332369"/>
      <w:r w:rsidRPr="00961331">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11</w:t>
      </w:r>
      <w:r w:rsidR="00C62884">
        <w:fldChar w:fldCharType="end"/>
      </w:r>
      <w:bookmarkEnd w:id="1147"/>
      <w:bookmarkEnd w:id="1148"/>
      <w:r w:rsidRPr="00961331">
        <w:t>: Dissolved inorganic nitrogen (DIN, µg/L) over the GBR lagoon 2004-2015 water year</w:t>
      </w:r>
      <w:r w:rsidR="007B02BA">
        <w:t>s</w:t>
      </w:r>
      <w:r w:rsidRPr="00961331">
        <w:t xml:space="preserve"> (c.a., </w:t>
      </w:r>
      <w:r w:rsidR="007B02BA">
        <w:t xml:space="preserve">1 </w:t>
      </w:r>
      <w:r w:rsidRPr="00961331">
        <w:t>October</w:t>
      </w:r>
      <w:r w:rsidRPr="00961331">
        <w:rPr>
          <w:vertAlign w:val="superscript"/>
        </w:rPr>
        <w:t xml:space="preserve"> </w:t>
      </w:r>
      <w:r w:rsidRPr="00961331">
        <w:t xml:space="preserve">to </w:t>
      </w:r>
      <w:r w:rsidR="007B02BA">
        <w:t xml:space="preserve">30 </w:t>
      </w:r>
      <w:r w:rsidRPr="00961331">
        <w:t xml:space="preserve">September). ‘Max.’ stands for the highest DIN concentration. Dots represent rivers with load data available and grey lines are the NRM region </w:t>
      </w:r>
      <w:r w:rsidR="007B02BA">
        <w:t>boundaries</w:t>
      </w:r>
      <w:r w:rsidRPr="00961331">
        <w:t>.</w:t>
      </w:r>
      <w:bookmarkEnd w:id="1149"/>
      <w:bookmarkEnd w:id="1150"/>
    </w:p>
    <w:p w14:paraId="23725BCE" w14:textId="77777777" w:rsidR="003358CD" w:rsidRPr="00961331" w:rsidRDefault="003358CD" w:rsidP="003358CD">
      <w:pPr>
        <w:rPr>
          <w:rFonts w:cs="Arial"/>
          <w:szCs w:val="22"/>
        </w:rPr>
        <w:sectPr w:rsidR="003358CD" w:rsidRPr="00961331" w:rsidSect="0002165F">
          <w:pgSz w:w="16839" w:h="11907" w:orient="landscape" w:code="9"/>
          <w:pgMar w:top="1440" w:right="1440" w:bottom="1440" w:left="1440" w:header="708" w:footer="708" w:gutter="0"/>
          <w:cols w:space="708"/>
          <w:docGrid w:linePitch="326"/>
        </w:sectPr>
      </w:pPr>
    </w:p>
    <w:p w14:paraId="7538B5B0" w14:textId="797ECDF3" w:rsidR="003358CD" w:rsidRPr="00961331" w:rsidRDefault="003358CD" w:rsidP="003358CD">
      <w:pPr>
        <w:rPr>
          <w:rFonts w:cs="Arial"/>
          <w:szCs w:val="22"/>
        </w:rPr>
      </w:pPr>
      <w:r w:rsidRPr="00961331">
        <w:rPr>
          <w:rFonts w:cs="Arial"/>
          <w:szCs w:val="22"/>
        </w:rPr>
        <w:t xml:space="preserve">The preferential northward movement of the river plumes can result in increased model-predicted DIN concentration in areas that may not directly receive high DIN loads from their catchments. </w:t>
      </w:r>
      <w:r w:rsidR="007B02BA">
        <w:rPr>
          <w:rFonts w:cs="Arial"/>
          <w:szCs w:val="22"/>
        </w:rPr>
        <w:t>T</w:t>
      </w:r>
      <w:r w:rsidRPr="00961331">
        <w:rPr>
          <w:rFonts w:cs="Arial"/>
          <w:szCs w:val="22"/>
        </w:rPr>
        <w:t xml:space="preserve">he contribution of DIN from rivers to the waters of each NRM region was determined </w:t>
      </w:r>
      <w:r w:rsidR="007B02BA">
        <w:rPr>
          <w:rFonts w:cs="Arial"/>
          <w:szCs w:val="22"/>
        </w:rPr>
        <w:t>by the</w:t>
      </w:r>
      <w:r w:rsidRPr="00961331">
        <w:rPr>
          <w:rFonts w:cs="Arial"/>
          <w:szCs w:val="22"/>
        </w:rPr>
        <w:t xml:space="preserve"> amount of DIN exported from each river that reaches a particular NRM region</w:t>
      </w:r>
      <w:r w:rsidR="002F0744">
        <w:rPr>
          <w:rFonts w:cs="Arial"/>
          <w:szCs w:val="22"/>
        </w:rPr>
        <w:t>,</w:t>
      </w:r>
      <w:r w:rsidRPr="00961331">
        <w:rPr>
          <w:rFonts w:cs="Arial"/>
          <w:szCs w:val="22"/>
        </w:rPr>
        <w:t xml:space="preserve"> divided by the total amount of DIN in that region. Two periods were considered</w:t>
      </w:r>
      <w:r w:rsidR="002F0744">
        <w:rPr>
          <w:rFonts w:cs="Arial"/>
          <w:szCs w:val="22"/>
        </w:rPr>
        <w:t>-</w:t>
      </w:r>
      <w:r w:rsidRPr="00961331">
        <w:rPr>
          <w:rFonts w:cs="Arial"/>
          <w:szCs w:val="22"/>
        </w:rPr>
        <w:t xml:space="preserve"> the 2002</w:t>
      </w:r>
      <w:r w:rsidR="002F0744">
        <w:rPr>
          <w:rFonts w:cs="Arial"/>
          <w:szCs w:val="22"/>
        </w:rPr>
        <w:t>-</w:t>
      </w:r>
      <w:r w:rsidRPr="00961331">
        <w:rPr>
          <w:rFonts w:cs="Arial"/>
          <w:szCs w:val="22"/>
        </w:rPr>
        <w:t>03 and 2010</w:t>
      </w:r>
      <w:r w:rsidR="002F0744">
        <w:rPr>
          <w:rFonts w:cs="Arial"/>
          <w:szCs w:val="22"/>
        </w:rPr>
        <w:t>-</w:t>
      </w:r>
      <w:r w:rsidRPr="00961331">
        <w:rPr>
          <w:rFonts w:cs="Arial"/>
          <w:szCs w:val="22"/>
        </w:rPr>
        <w:t>11 water years (</w:t>
      </w:r>
      <w:r w:rsidRPr="00961331">
        <w:rPr>
          <w:rFonts w:cs="Arial"/>
          <w:szCs w:val="22"/>
        </w:rPr>
        <w:fldChar w:fldCharType="begin"/>
      </w:r>
      <w:r w:rsidRPr="00961331">
        <w:rPr>
          <w:rFonts w:cs="Arial"/>
          <w:szCs w:val="22"/>
        </w:rPr>
        <w:instrText xml:space="preserve"> REF _Ref449364148 \h  \* MERGEFORMAT </w:instrText>
      </w:r>
      <w:r w:rsidRPr="00961331">
        <w:rPr>
          <w:rFonts w:cs="Arial"/>
          <w:szCs w:val="22"/>
        </w:rPr>
      </w:r>
      <w:r w:rsidRPr="00961331">
        <w:rPr>
          <w:rFonts w:cs="Arial"/>
          <w:szCs w:val="22"/>
        </w:rPr>
        <w:fldChar w:fldCharType="separate"/>
      </w:r>
      <w:r w:rsidR="007F5336" w:rsidRPr="007F5336">
        <w:rPr>
          <w:rFonts w:cs="Arial"/>
          <w:szCs w:val="22"/>
        </w:rPr>
        <w:t xml:space="preserve">Figure </w:t>
      </w:r>
      <w:r w:rsidR="007F5336" w:rsidRPr="007F5336">
        <w:rPr>
          <w:rFonts w:cs="Arial"/>
          <w:noProof/>
          <w:szCs w:val="22"/>
        </w:rPr>
        <w:t>5</w:t>
      </w:r>
      <w:r w:rsidR="007F5336" w:rsidRPr="007F5336">
        <w:rPr>
          <w:rFonts w:cs="Arial"/>
          <w:noProof/>
          <w:szCs w:val="22"/>
        </w:rPr>
        <w:noBreakHyphen/>
        <w:t>12</w:t>
      </w:r>
      <w:r w:rsidRPr="00961331">
        <w:rPr>
          <w:rFonts w:cs="Arial"/>
          <w:szCs w:val="22"/>
        </w:rPr>
        <w:fldChar w:fldCharType="end"/>
      </w:r>
      <w:r w:rsidRPr="00961331">
        <w:rPr>
          <w:rFonts w:cs="Arial"/>
          <w:szCs w:val="22"/>
        </w:rPr>
        <w:t xml:space="preserve">), which represent the two extreme </w:t>
      </w:r>
      <w:r w:rsidR="002F0744">
        <w:rPr>
          <w:rFonts w:cs="Arial"/>
          <w:szCs w:val="22"/>
        </w:rPr>
        <w:t>years</w:t>
      </w:r>
      <w:r w:rsidRPr="00961331">
        <w:rPr>
          <w:rFonts w:cs="Arial"/>
          <w:szCs w:val="22"/>
        </w:rPr>
        <w:t xml:space="preserve"> of DIN loads discharged into the GBR lagoon over the 13 years </w:t>
      </w:r>
      <w:r w:rsidR="002F0744" w:rsidRPr="00961331">
        <w:rPr>
          <w:rFonts w:cs="Arial"/>
          <w:szCs w:val="22"/>
        </w:rPr>
        <w:t xml:space="preserve">analysed </w:t>
      </w:r>
      <w:r w:rsidRPr="00961331">
        <w:rPr>
          <w:rFonts w:cs="Arial"/>
          <w:szCs w:val="22"/>
        </w:rPr>
        <w:t xml:space="preserve">(3,029 tonnes and 29,958 tonnes, </w:t>
      </w:r>
      <w:r w:rsidRPr="008A2DCB">
        <w:rPr>
          <w:rFonts w:cs="Arial"/>
          <w:szCs w:val="22"/>
        </w:rPr>
        <w:t>respectively). If a</w:t>
      </w:r>
      <w:r w:rsidRPr="00961331">
        <w:rPr>
          <w:rFonts w:cs="Arial"/>
          <w:szCs w:val="22"/>
        </w:rPr>
        <w:t xml:space="preserve"> river presents a DIN contribution of 100% to a particular NRM region, which is the case for the Fitzroy River (</w:t>
      </w:r>
      <w:r w:rsidRPr="00961331">
        <w:rPr>
          <w:rFonts w:cs="Arial"/>
          <w:szCs w:val="22"/>
        </w:rPr>
        <w:fldChar w:fldCharType="begin"/>
      </w:r>
      <w:r w:rsidRPr="00961331">
        <w:rPr>
          <w:rFonts w:cs="Arial"/>
          <w:szCs w:val="22"/>
        </w:rPr>
        <w:instrText xml:space="preserve"> REF _Ref449364148 \h  \* MERGEFORMAT </w:instrText>
      </w:r>
      <w:r w:rsidRPr="00961331">
        <w:rPr>
          <w:rFonts w:cs="Arial"/>
          <w:szCs w:val="22"/>
        </w:rPr>
      </w:r>
      <w:r w:rsidRPr="00961331">
        <w:rPr>
          <w:rFonts w:cs="Arial"/>
          <w:szCs w:val="22"/>
        </w:rPr>
        <w:fldChar w:fldCharType="separate"/>
      </w:r>
      <w:r w:rsidR="007F5336" w:rsidRPr="007F5336">
        <w:rPr>
          <w:rFonts w:cs="Arial"/>
          <w:szCs w:val="22"/>
        </w:rPr>
        <w:t xml:space="preserve">Figure </w:t>
      </w:r>
      <w:r w:rsidR="007F5336" w:rsidRPr="007F5336">
        <w:rPr>
          <w:rFonts w:cs="Arial"/>
          <w:noProof/>
          <w:szCs w:val="22"/>
        </w:rPr>
        <w:t>5</w:t>
      </w:r>
      <w:r w:rsidR="007F5336" w:rsidRPr="007F5336">
        <w:rPr>
          <w:rFonts w:cs="Arial"/>
          <w:noProof/>
          <w:szCs w:val="22"/>
        </w:rPr>
        <w:noBreakHyphen/>
        <w:t>12</w:t>
      </w:r>
      <w:r w:rsidRPr="00961331">
        <w:rPr>
          <w:rFonts w:cs="Arial"/>
          <w:szCs w:val="22"/>
        </w:rPr>
        <w:fldChar w:fldCharType="end"/>
      </w:r>
      <w:r w:rsidRPr="00961331">
        <w:rPr>
          <w:rFonts w:cs="Arial"/>
          <w:szCs w:val="22"/>
        </w:rPr>
        <w:t xml:space="preserve">g and </w:t>
      </w:r>
      <w:r w:rsidRPr="00961331">
        <w:rPr>
          <w:rFonts w:cs="Arial"/>
          <w:szCs w:val="22"/>
        </w:rPr>
        <w:fldChar w:fldCharType="begin"/>
      </w:r>
      <w:r w:rsidRPr="00961331">
        <w:rPr>
          <w:rFonts w:cs="Arial"/>
          <w:szCs w:val="22"/>
        </w:rPr>
        <w:instrText xml:space="preserve"> REF _Ref449364148 \h  \* MERGEFORMAT </w:instrText>
      </w:r>
      <w:r w:rsidRPr="00961331">
        <w:rPr>
          <w:rFonts w:cs="Arial"/>
          <w:szCs w:val="22"/>
        </w:rPr>
      </w:r>
      <w:r w:rsidRPr="00961331">
        <w:rPr>
          <w:rFonts w:cs="Arial"/>
          <w:szCs w:val="22"/>
        </w:rPr>
        <w:fldChar w:fldCharType="separate"/>
      </w:r>
      <w:r w:rsidR="007F5336" w:rsidRPr="007F5336">
        <w:rPr>
          <w:rFonts w:cs="Arial"/>
          <w:szCs w:val="22"/>
        </w:rPr>
        <w:t xml:space="preserve">Figure </w:t>
      </w:r>
      <w:r w:rsidR="007F5336" w:rsidRPr="007F5336">
        <w:rPr>
          <w:rFonts w:cs="Arial"/>
          <w:noProof/>
          <w:szCs w:val="22"/>
        </w:rPr>
        <w:t>5</w:t>
      </w:r>
      <w:r w:rsidR="007F5336" w:rsidRPr="007F5336">
        <w:rPr>
          <w:rFonts w:cs="Arial"/>
          <w:noProof/>
          <w:szCs w:val="22"/>
        </w:rPr>
        <w:noBreakHyphen/>
        <w:t>12</w:t>
      </w:r>
      <w:r w:rsidRPr="00961331">
        <w:rPr>
          <w:rFonts w:cs="Arial"/>
          <w:szCs w:val="22"/>
        </w:rPr>
        <w:fldChar w:fldCharType="end"/>
      </w:r>
      <w:r w:rsidRPr="00961331">
        <w:rPr>
          <w:rFonts w:cs="Arial"/>
          <w:szCs w:val="22"/>
        </w:rPr>
        <w:t>h), this means that no other river included in the model contributes DIN to that NRM region.</w:t>
      </w:r>
    </w:p>
    <w:p w14:paraId="1B9F288F" w14:textId="0A579EC7" w:rsidR="003358CD" w:rsidRPr="00961331" w:rsidRDefault="003358CD" w:rsidP="003358CD">
      <w:pPr>
        <w:rPr>
          <w:rFonts w:cs="Arial"/>
          <w:szCs w:val="22"/>
        </w:rPr>
      </w:pPr>
      <w:r w:rsidRPr="00961331">
        <w:rPr>
          <w:rFonts w:cs="Arial"/>
          <w:szCs w:val="22"/>
        </w:rPr>
        <w:t>Overall, rivers located within a marine NRM region were the main contributors to the presence of DIN in its waters</w:t>
      </w:r>
      <w:r w:rsidR="002F0744">
        <w:rPr>
          <w:rFonts w:cs="Arial"/>
          <w:szCs w:val="22"/>
        </w:rPr>
        <w:t>, although this varied between years</w:t>
      </w:r>
      <w:r w:rsidRPr="00961331">
        <w:rPr>
          <w:rFonts w:cs="Arial"/>
          <w:szCs w:val="22"/>
        </w:rPr>
        <w:t>. For example, of the total DIN mass in the Burdekin NRM waters in 2002</w:t>
      </w:r>
      <w:r w:rsidR="002F0744">
        <w:rPr>
          <w:rFonts w:cs="Arial"/>
          <w:szCs w:val="22"/>
        </w:rPr>
        <w:t>-</w:t>
      </w:r>
      <w:r w:rsidRPr="00961331">
        <w:rPr>
          <w:rFonts w:cs="Arial"/>
          <w:szCs w:val="22"/>
        </w:rPr>
        <w:t>03 (c.a., 589 ton</w:t>
      </w:r>
      <w:r w:rsidR="00B239E5">
        <w:rPr>
          <w:rFonts w:cs="Arial"/>
          <w:szCs w:val="22"/>
        </w:rPr>
        <w:t>nes</w:t>
      </w:r>
      <w:r w:rsidRPr="00961331">
        <w:rPr>
          <w:rFonts w:cs="Arial"/>
          <w:szCs w:val="22"/>
        </w:rPr>
        <w:t>), 76% came from the Burdekin River</w:t>
      </w:r>
      <w:r w:rsidR="00B239E5">
        <w:rPr>
          <w:rFonts w:cs="Arial"/>
          <w:szCs w:val="22"/>
        </w:rPr>
        <w:t xml:space="preserve"> </w:t>
      </w:r>
      <w:r w:rsidR="002F0744">
        <w:rPr>
          <w:rFonts w:cs="Arial"/>
          <w:szCs w:val="22"/>
        </w:rPr>
        <w:t xml:space="preserve">and </w:t>
      </w:r>
      <w:r w:rsidRPr="00961331">
        <w:rPr>
          <w:rFonts w:cs="Arial"/>
          <w:szCs w:val="22"/>
        </w:rPr>
        <w:t xml:space="preserve">14% from the Haughton River, the two main rivers of the NRM region, and 6% from the Herbert River, 4% from the Proserpine River and &lt;1% from the O'Connell River. In </w:t>
      </w:r>
      <w:r w:rsidR="002F0744">
        <w:rPr>
          <w:rFonts w:cs="Arial"/>
          <w:szCs w:val="22"/>
        </w:rPr>
        <w:t xml:space="preserve">the </w:t>
      </w:r>
      <w:r w:rsidRPr="00961331">
        <w:rPr>
          <w:rFonts w:cs="Arial"/>
          <w:szCs w:val="22"/>
        </w:rPr>
        <w:t>2010</w:t>
      </w:r>
      <w:r w:rsidR="002F0744">
        <w:rPr>
          <w:rFonts w:cs="Arial"/>
          <w:szCs w:val="22"/>
        </w:rPr>
        <w:t>-</w:t>
      </w:r>
      <w:r w:rsidRPr="00961331">
        <w:rPr>
          <w:rFonts w:cs="Arial"/>
          <w:szCs w:val="22"/>
        </w:rPr>
        <w:t>11 season, the Burdekin River contributed 27% of the DIN in the Wet Tropics region due to the large Burdekin River discharge/plume (</w:t>
      </w:r>
      <w:r w:rsidRPr="00961331">
        <w:rPr>
          <w:rFonts w:cs="Arial"/>
          <w:szCs w:val="22"/>
        </w:rPr>
        <w:fldChar w:fldCharType="begin"/>
      </w:r>
      <w:r w:rsidRPr="00961331">
        <w:rPr>
          <w:rFonts w:cs="Arial"/>
          <w:szCs w:val="22"/>
        </w:rPr>
        <w:instrText xml:space="preserve"> REF _Ref449364148 \h  \* MERGEFORMAT </w:instrText>
      </w:r>
      <w:r w:rsidRPr="00961331">
        <w:rPr>
          <w:rFonts w:cs="Arial"/>
          <w:szCs w:val="22"/>
        </w:rPr>
      </w:r>
      <w:r w:rsidRPr="00961331">
        <w:rPr>
          <w:rFonts w:cs="Arial"/>
          <w:szCs w:val="22"/>
        </w:rPr>
        <w:fldChar w:fldCharType="separate"/>
      </w:r>
      <w:r w:rsidR="007F5336" w:rsidRPr="007F5336">
        <w:rPr>
          <w:rFonts w:cs="Arial"/>
          <w:szCs w:val="22"/>
        </w:rPr>
        <w:t xml:space="preserve">Figure </w:t>
      </w:r>
      <w:r w:rsidR="007F5336" w:rsidRPr="007F5336">
        <w:rPr>
          <w:rFonts w:cs="Arial"/>
          <w:noProof/>
          <w:szCs w:val="22"/>
        </w:rPr>
        <w:t>5</w:t>
      </w:r>
      <w:r w:rsidR="007F5336" w:rsidRPr="007F5336">
        <w:rPr>
          <w:rFonts w:cs="Arial"/>
          <w:noProof/>
          <w:szCs w:val="22"/>
        </w:rPr>
        <w:noBreakHyphen/>
        <w:t>12</w:t>
      </w:r>
      <w:r w:rsidRPr="00961331">
        <w:rPr>
          <w:rFonts w:cs="Arial"/>
          <w:szCs w:val="22"/>
        </w:rPr>
        <w:fldChar w:fldCharType="end"/>
      </w:r>
      <w:r w:rsidRPr="00961331">
        <w:rPr>
          <w:rFonts w:cs="Arial"/>
          <w:szCs w:val="22"/>
        </w:rPr>
        <w:t>b). Similar patterns occurred in the Mackay</w:t>
      </w:r>
      <w:r w:rsidR="00B239E5">
        <w:rPr>
          <w:rFonts w:cs="Arial"/>
          <w:szCs w:val="22"/>
        </w:rPr>
        <w:t xml:space="preserve"> </w:t>
      </w:r>
      <w:r w:rsidRPr="00961331">
        <w:rPr>
          <w:rFonts w:cs="Arial"/>
          <w:szCs w:val="22"/>
        </w:rPr>
        <w:t>Whitsunday region when in 2010</w:t>
      </w:r>
      <w:r w:rsidR="002F0744">
        <w:rPr>
          <w:rFonts w:cs="Arial"/>
          <w:szCs w:val="22"/>
        </w:rPr>
        <w:t>-</w:t>
      </w:r>
      <w:r w:rsidRPr="00961331">
        <w:rPr>
          <w:rFonts w:cs="Arial"/>
          <w:szCs w:val="22"/>
        </w:rPr>
        <w:t>11 16% of DIN in its waters was derived from the Fitzroy River. Conversely in 2002</w:t>
      </w:r>
      <w:r w:rsidR="00B239E5">
        <w:rPr>
          <w:rFonts w:cs="Arial"/>
          <w:szCs w:val="22"/>
        </w:rPr>
        <w:t>-</w:t>
      </w:r>
      <w:r w:rsidRPr="00961331">
        <w:rPr>
          <w:rFonts w:cs="Arial"/>
          <w:szCs w:val="22"/>
        </w:rPr>
        <w:t>03, the Fitzroy River had no DIN contribution to Mackay</w:t>
      </w:r>
      <w:r w:rsidR="00B239E5">
        <w:rPr>
          <w:rFonts w:cs="Arial"/>
          <w:szCs w:val="22"/>
        </w:rPr>
        <w:t xml:space="preserve"> </w:t>
      </w:r>
      <w:r w:rsidRPr="00961331">
        <w:rPr>
          <w:rFonts w:cs="Arial"/>
          <w:szCs w:val="22"/>
        </w:rPr>
        <w:t xml:space="preserve">Whitsunday </w:t>
      </w:r>
      <w:r w:rsidR="00B239E5">
        <w:rPr>
          <w:rFonts w:cs="Arial"/>
          <w:szCs w:val="22"/>
        </w:rPr>
        <w:t>region</w:t>
      </w:r>
      <w:r w:rsidRPr="00961331">
        <w:rPr>
          <w:rFonts w:cs="Arial"/>
          <w:szCs w:val="22"/>
        </w:rPr>
        <w:t>.</w:t>
      </w:r>
    </w:p>
    <w:p w14:paraId="43E3C719" w14:textId="41CFFBD5" w:rsidR="003358CD" w:rsidRPr="004A5BF7" w:rsidRDefault="003358CD" w:rsidP="003358CD">
      <w:pPr>
        <w:rPr>
          <w:rFonts w:cs="Arial"/>
          <w:szCs w:val="22"/>
          <w:lang w:val="da-DK"/>
        </w:rPr>
      </w:pPr>
      <w:r w:rsidRPr="00961331">
        <w:rPr>
          <w:rFonts w:cs="Arial"/>
          <w:szCs w:val="22"/>
        </w:rPr>
        <w:t xml:space="preserve">These results indicate that the northward plume transport has the potential to increase the DIN load impact into zones </w:t>
      </w:r>
      <w:r w:rsidR="002F0744">
        <w:rPr>
          <w:rFonts w:cs="Arial"/>
          <w:szCs w:val="22"/>
        </w:rPr>
        <w:t>outside of the NRM region</w:t>
      </w:r>
      <w:r w:rsidRPr="00961331">
        <w:rPr>
          <w:rFonts w:cs="Arial"/>
          <w:szCs w:val="22"/>
        </w:rPr>
        <w:t xml:space="preserve">. For example, the </w:t>
      </w:r>
      <w:r w:rsidR="002F0744">
        <w:rPr>
          <w:rFonts w:cs="Arial"/>
          <w:szCs w:val="22"/>
        </w:rPr>
        <w:t xml:space="preserve">contribution of DIN loadings from the Burdekin River combined with the </w:t>
      </w:r>
      <w:r w:rsidRPr="00961331">
        <w:rPr>
          <w:rFonts w:cs="Arial"/>
          <w:szCs w:val="22"/>
        </w:rPr>
        <w:t xml:space="preserve">high DIN concentrations from the Wet Tropic </w:t>
      </w:r>
      <w:r w:rsidR="002F0744">
        <w:rPr>
          <w:rFonts w:cs="Arial"/>
          <w:szCs w:val="22"/>
        </w:rPr>
        <w:t>r</w:t>
      </w:r>
      <w:r w:rsidRPr="00961331">
        <w:rPr>
          <w:rFonts w:cs="Arial"/>
          <w:szCs w:val="22"/>
        </w:rPr>
        <w:t xml:space="preserve">ivers is in agreement with the supporting theories of land-based eutrophication as a potential trigger for crown-of-thorns starfish outbreaks </w:t>
      </w:r>
      <w:r w:rsidRPr="00961331">
        <w:rPr>
          <w:rFonts w:cs="Arial"/>
          <w:szCs w:val="22"/>
        </w:rPr>
        <w:fldChar w:fldCharType="begin"/>
      </w:r>
      <w:r w:rsidRPr="00961331">
        <w:rPr>
          <w:rFonts w:cs="Arial"/>
          <w:szCs w:val="22"/>
        </w:rPr>
        <w:instrText xml:space="preserve"> ADDIN ZOTERO_ITEM CSL_CITATION {"citationID":"1hm6ubfo7p","properties":{"formattedCitation":"(Brodie et al., 2005; Scott A Wooldridge, 2009; Uthicke et al., 2015; Wooldridge, 2009; Wooldridge et al., 2015)","plainCitation":"(Brodie et al., 2005; Scott A Wooldridge, 2009; Uthicke et al., 2015; Wooldridge, 2009; Wooldridge et al., 2015)"},"citationItems":[{"id":82,"uris":["http://zotero.org/users/2324349/items/NQ9B5Z8M"],"uri":["http://zotero.org/users/2324349/items/NQ9B5Z8M"],"itemData":{"id":82,"type":"article-journal","title":"Are increased nutrient inputs responsible for more outbreaks of crown-of-thorns starfish? An appraisal of the evidence","container-title":"Marine Pollution Bulletin","collection-title":"Catchment to Reef: Water Quality Issues in the Great Barrier Reef Region","page":"266-278","volume":"51","issue":"1–4","source":"ScienceDirect","abstract":"The cause(s) of primary outbreaks of the coral-eating crown-of-thorns starfish (Acanthaster planci) are still subject to scientific controversy. The possibility of primary outbreaks being linked to terrestrial runoff has been postulated a number of times, suggesting that enhanced nutrient supply is critical for enhanced A. planci larval development. This paper examines the evidence for such a cause, focussing particularly on the Great Barrier Reef (GBR). Nutrient discharges from rivers have increased at least four-fold in the central GBR over the last century, and concentrations of large phyto-plankton (&amp;gt;2 μm) of the inshore central GBR shelf in the wet season when A. planci larvae develop, is double that of other places and times. Larval development, growth and survival increase almost ten-fold with doubled concentrations of large phyto-plankton. This and other lines of evidence suggest that frequent A. planci outbreaks on the GBR may indeed be a result of increased nutrient delivery from the land.","DOI":"10.1016/j.marpolbul.2004.10.035","ISSN":"0025-326X","shortTitle":"Are increased nutrient inputs responsible for more outbreaks of crown-of-thorns starfish?","journalAbbreviation":"Marine Pollution Bulletin","author":[{"family":"Brodie","given":"Jon"},{"family":"Fabricius","given":"Katharina"},{"family":"De’ath","given":"Glenn"},{"family":"Okaji","given":"Ken"}],"issued":{"date-parts":[["2005"]]}},"label":"page"},{"id":211,"uris":["http://zotero.org/users/2324349/items/ZI2SUKFK"],"uri":["http://zotero.org/users/2324349/items/ZI2SUKFK"],"itemData":{"id":211,"type":"article-journal","title":"Improved water quality can ameliorate effects of climate change on corals. Ecol Appl 19: 1492-1499","container-title":"Ecological applications : a publication of the Ecological Society of America","page":"1492-9","volume":"19","issue":"6","DOI":"10.1890/08-0963.1","ISSN":"1051-0761","shortTitle":"Wooldridge SA, Done TJ.. Improved water quality can ameliorate effects of climate change on corals. Ecol Appl 19","author":[{"family":"Scott A Wooldridge","given":"Terence J. Done"}],"issued":{"date-parts":[["2009"]]}},"label":"page"},{"id":198,"uris":["http://zotero.org/users/2324349/items/9AJ884XW"],"uri":["http://zotero.org/users/2324349/items/9AJ884XW"],"itemData":{"id":198,"type":"article-journal","title":"Climate change as an unexpected co-factor promoting coral eating seastar (Acanthaster planci) outbreaks","container-title":"Scientific Reports","page":"8402","volume":"5","source":"PubMed","abstract":"Coral reefs face a crisis due to local and global anthropogenic stressors. A large proportion of the ~50% coral loss on the Great Barrier Reef has been attributed to outbreaks of the crown-of-thorns-seastar (COTS). A widely assumed cause of primary COTS outbreaks is increased larval survivorship due to higher food availability, linked with anthropogenic runoff . Our experiment using a range of algal food concentrations at three temperatures representing present day average and predicted future increases, demonstrated a strong influence of food concentration on development is modulated by temperature. A 2°C increase in temperature led to a 4.2-4.9 times (at Day 10) or 1.2-1.8 times (Day 17) increase in late development larvae. A model indicated that food was the main driver, but that temperature was an important modulator of development. For instance, at 5000 cells ml(-1) food, a 2°C increase may shorten developmental time by 30% and may increase the probability of survival by 240%. The main contribution of temperature is to 'push' well-fed larvae faster to settlement. We conclude that warmer sea temperature is an important co-factor promoting COTS outbreaks.","DOI":"10.1038/srep08402","ISSN":"2045-2322","note":"PMID: 25672480\nPMCID: PMC4325318","journalAbbreviation":"Sci Rep","language":"eng","author":[{"family":"Uthicke","given":"S."},{"family":"Logan","given":"M."},{"family":"Liddy","given":"M."},{"family":"Francis","given":"D."},{"family":"Hardy","given":"N."},{"family":"Lamare","given":"M."}],"issued":{"date-parts":[["2015"]]},"PMID":"25672480","PMCID":"PMC4325318"},"label":"page"},{"id":200,"uris":["http://zotero.org/users/2324349/items/PGB5XWM9"],"uri":["http://zotero.org/users/2324349/items/PGB5XWM9"],"itemData":{"id":200,"type":"article-journal","title":"Water quality and coral bleaching thresholds: Formalising the linkage for the inshore reefs of the Great Barrier Reef, Australia","container-title":"Marine Pollution Bulletin","page":"745-751","volume":"58","issue":"5","source":"ScienceDirect","abstract":"The threats of wide-scale coral bleaching and reef demise associated with anthropogenic climate change are widely known. Here, the additional role of poor water quality in lowering the thermal tolerance (i.e. bleaching ‘resistance’) of symbiotic reef corals is considered. In particular, a quantitative linkage is established between terrestrially-sourced dissolved inorganic nitrogen (DIN) loading and the upper thermal bleaching thresholds of inshore reefs on the Great Barrier Reef, Australia. Significantly, this biophysical linkage provides concrete evidence for the oft-expressed belief that improved coral reef management will increase the regional-scale survival prospects of corals reefs to global climate change. Indeed, for inshore reef areas with a high runoff exposure risk, it is shown that the potential benefit of this ‘local’ management imperative is equivalent to </w:instrText>
      </w:r>
      <w:r w:rsidRPr="00961331">
        <w:rPr>
          <w:rFonts w:ascii="Cambria Math" w:hAnsi="Cambria Math" w:cs="Cambria Math"/>
          <w:szCs w:val="22"/>
        </w:rPr>
        <w:instrText>∼</w:instrText>
      </w:r>
      <w:r w:rsidRPr="00961331">
        <w:rPr>
          <w:rFonts w:cs="Arial"/>
          <w:szCs w:val="22"/>
        </w:rPr>
        <w:instrText xml:space="preserve">2.0–2.5 °C in relation to the upper thermal bleaching limit; though in this case, a potentially cost-prohibitive reduction in end-of-river DIN of &amp;gt;50–80% would be required. An integrated socio-economic modelling framework is outlined that will assist future efforts to understand (optimise) the alternate tradeoffs that the water quality/coral bleaching linkage presents.","DOI":"10.1016/j.marpolbul.2008.12.013","ISSN":"0025-326X","shortTitle":"Water quality and coral bleaching thresholds","journalAbbreviation":"Marine Pollution Bulletin","author":[{"family":"Wooldridge","given":"Scott A."}],"issued":{"date-parts":[["2009",5]]}},"label":"page"},{"id":135,"uris":["http://zotero.org/users/2324349/items/GMXDWTGX"],"uri":["http://zotero.org/users/2324349/items/GMXDWTGX"],"itemData":{"id":135,"type":"article-journal","title":"Ecologically based targets for bioavailable (reactive) nitrogen discharge from the drainage basins of the Wet Tropics region, Great Barrier Reef","container-title":"Marine Pollution Bulletin","page":"262-272","volume":"97","issue":"1–2","source":"ScienceDirect","abstract":"A modelling framework </w:instrText>
      </w:r>
      <w:r w:rsidRPr="004A5BF7">
        <w:rPr>
          <w:rFonts w:cs="Arial"/>
          <w:szCs w:val="22"/>
          <w:lang w:val="da-DK"/>
        </w:rPr>
        <w:instrText>is developed for the Wet Tropics region of the Great Barrier Reef that links a quantitative river discharge parameter (viz. dissolved inorganic nitrogen concentration, DIN) with an eutrophication indicator within the marine environment (viz. chlorophyll-a concentration, chl-a). The model predicts catchment-specific levels of reduction (%) in end-of-river DIN concentrations (as a proxy for total potentially reactive nitrogen, PRN) needed to ensure compliance with chl-a ‘trigger’ guidelines for the ecologically distinct, but PRN-related issues of crown-of-thorns starfish (COTS) outbreaks, reef biodiversity loss, and thermal bleaching sensitivity. The results indicate that even for river basins dominated by agricultural land uses, quite modest reductions in end-of-river PRN concentrations (</w:instrText>
      </w:r>
      <w:r w:rsidRPr="004A5BF7">
        <w:rPr>
          <w:rFonts w:ascii="Cambria Math" w:hAnsi="Cambria Math" w:cs="Cambria Math"/>
          <w:szCs w:val="22"/>
          <w:lang w:val="da-DK"/>
        </w:rPr>
        <w:instrText>∼</w:instrText>
      </w:r>
      <w:r w:rsidRPr="004A5BF7">
        <w:rPr>
          <w:rFonts w:cs="Arial"/>
          <w:szCs w:val="22"/>
          <w:lang w:val="da-DK"/>
        </w:rPr>
        <w:instrText>20–40%) may assist in mitigating the risk of primary COTS outbreaks from the mid-shelf reefs of the Wet Tropics. However, more significant reductions (</w:instrText>
      </w:r>
      <w:r w:rsidRPr="004A5BF7">
        <w:rPr>
          <w:rFonts w:ascii="Cambria Math" w:hAnsi="Cambria Math" w:cs="Cambria Math"/>
          <w:szCs w:val="22"/>
          <w:lang w:val="da-DK"/>
        </w:rPr>
        <w:instrText>∼</w:instrText>
      </w:r>
      <w:r w:rsidRPr="004A5BF7">
        <w:rPr>
          <w:rFonts w:cs="Arial"/>
          <w:szCs w:val="22"/>
          <w:lang w:val="da-DK"/>
        </w:rPr>
        <w:instrText xml:space="preserve">60–80%) are required to halt and reverse declines in reef biodiversity, and loss of thermal bleaching resistance.","DOI":"10.1016/j.marpolbul.2015.06.007","ISSN":"0025-326X","journalAbbreviation":"Marine Pollution Bulletin","author":[{"family":"Wooldridge","given":"Scott A."},{"family":"Brodie","given":"Jon E."},{"family":"Kroon","given":"Frederieke J."},{"family":"Turner","given":"Ryan D. R."}],"issued":{"date-parts":[["2015",8,15]]}},"label":"page"}],"schema":"https://github.com/citation-style-language/schema/raw/master/csl-citation.json"} </w:instrText>
      </w:r>
      <w:r w:rsidRPr="00961331">
        <w:rPr>
          <w:rFonts w:cs="Arial"/>
          <w:szCs w:val="22"/>
        </w:rPr>
        <w:fldChar w:fldCharType="separate"/>
      </w:r>
      <w:r w:rsidRPr="004A5BF7">
        <w:rPr>
          <w:rFonts w:cs="Arial"/>
          <w:szCs w:val="22"/>
          <w:lang w:val="da-DK"/>
        </w:rPr>
        <w:t xml:space="preserve">(Brodie et al., 2005; </w:t>
      </w:r>
      <w:r w:rsidR="008A2DCB">
        <w:rPr>
          <w:rFonts w:cs="Arial"/>
          <w:szCs w:val="22"/>
          <w:lang w:val="da-DK"/>
        </w:rPr>
        <w:t>W</w:t>
      </w:r>
      <w:r w:rsidRPr="004A5BF7">
        <w:rPr>
          <w:rFonts w:cs="Arial"/>
          <w:szCs w:val="22"/>
          <w:lang w:val="da-DK"/>
        </w:rPr>
        <w:t>ooldridge 2009; Uthicke et al., 2015; Wooldridge 2009; Wooldridge et al., 2015)</w:t>
      </w:r>
      <w:r w:rsidRPr="00961331">
        <w:rPr>
          <w:rFonts w:cs="Arial"/>
          <w:szCs w:val="22"/>
        </w:rPr>
        <w:fldChar w:fldCharType="end"/>
      </w:r>
      <w:r w:rsidRPr="004A5BF7">
        <w:rPr>
          <w:rFonts w:cs="Arial"/>
          <w:szCs w:val="22"/>
          <w:lang w:val="da-DK"/>
        </w:rPr>
        <w:t>.</w:t>
      </w:r>
    </w:p>
    <w:p w14:paraId="1459D90F" w14:textId="77777777" w:rsidR="003358CD" w:rsidRPr="004A5BF7" w:rsidRDefault="003358CD" w:rsidP="003358CD">
      <w:pPr>
        <w:rPr>
          <w:rFonts w:cs="Arial"/>
          <w:szCs w:val="22"/>
          <w:lang w:val="da-DK"/>
        </w:rPr>
      </w:pPr>
    </w:p>
    <w:p w14:paraId="55E8D928" w14:textId="77777777" w:rsidR="003358CD" w:rsidRPr="00961331" w:rsidRDefault="003358CD" w:rsidP="003358CD">
      <w:pPr>
        <w:rPr>
          <w:rFonts w:cs="Arial"/>
          <w:szCs w:val="22"/>
        </w:rPr>
      </w:pPr>
      <w:r w:rsidRPr="00B05E41">
        <w:rPr>
          <w:rFonts w:cs="Arial"/>
          <w:noProof/>
          <w:szCs w:val="22"/>
          <w:lang w:val="en-AU" w:eastAsia="en-AU"/>
        </w:rPr>
        <w:drawing>
          <wp:inline distT="0" distB="0" distL="0" distR="0" wp14:anchorId="04373A37" wp14:editId="7A0D1178">
            <wp:extent cx="5724525" cy="6360807"/>
            <wp:effectExtent l="0" t="0" r="0" b="1905"/>
            <wp:docPr id="7196" name="Picture 7196" descr="Panel of graphs showing river contributions (x-axis) to the dissolved inorganic nitrogen mass to four marine NRM regions (plot head name) in 2003 (left column) and 2011 (right column). Shading groups rivers in the same NRM region: Wet Tropics - red, Burdekin - blue, Mackay-Whitsunday – yellow, Fitzroy - green. The left panel show data for the 2002-03 water year (c.a., from 1 Oct  to 30 Sep), and right panel for the 2010-11 water year." title="Figure 5 12: River contributions (x-axis) to the dissolved inorganic nitrogen mass to four marine NRM regions (plot head name) in 2003 (left column) and 2011 (right colum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cuments\PAPER\Edu New Load Maps paper\Paper Text Figs Tabs\Relative_contribution_per_NRM_PLOT.jpg"/>
                    <pic:cNvPicPr>
                      <a:picLocks noChangeAspect="1" noChangeArrowheads="1"/>
                    </pic:cNvPicPr>
                  </pic:nvPicPr>
                  <pic:blipFill>
                    <a:blip r:embed="rId323" cstate="print">
                      <a:extLst>
                        <a:ext uri="{28A0092B-C50C-407E-A947-70E740481C1C}">
                          <a14:useLocalDpi xmlns:a14="http://schemas.microsoft.com/office/drawing/2010/main" val="0"/>
                        </a:ext>
                      </a:extLst>
                    </a:blip>
                    <a:stretch>
                      <a:fillRect/>
                    </a:stretch>
                  </pic:blipFill>
                  <pic:spPr bwMode="auto">
                    <a:xfrm>
                      <a:off x="0" y="0"/>
                      <a:ext cx="5724525" cy="6360807"/>
                    </a:xfrm>
                    <a:prstGeom prst="rect">
                      <a:avLst/>
                    </a:prstGeom>
                    <a:noFill/>
                    <a:ln>
                      <a:noFill/>
                    </a:ln>
                  </pic:spPr>
                </pic:pic>
              </a:graphicData>
            </a:graphic>
          </wp:inline>
        </w:drawing>
      </w:r>
    </w:p>
    <w:p w14:paraId="60DFC306" w14:textId="36B5A1B0" w:rsidR="003358CD" w:rsidRPr="00961331" w:rsidRDefault="003358CD" w:rsidP="004A5BF7">
      <w:pPr>
        <w:pStyle w:val="Caption"/>
      </w:pPr>
      <w:bookmarkStart w:id="1151" w:name="_Ref449364148"/>
      <w:bookmarkStart w:id="1152" w:name="_Toc452586425"/>
      <w:bookmarkStart w:id="1153" w:name="_Toc459332370"/>
      <w:r w:rsidRPr="00961331">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12</w:t>
      </w:r>
      <w:r w:rsidR="00C62884">
        <w:fldChar w:fldCharType="end"/>
      </w:r>
      <w:bookmarkEnd w:id="1151"/>
      <w:r w:rsidRPr="00961331">
        <w:t>: River contributions (x-axis) to the dissolved inorganic nitrogen mass to four marine NRM region</w:t>
      </w:r>
      <w:r w:rsidR="000E562C">
        <w:t>s</w:t>
      </w:r>
      <w:r w:rsidRPr="00961331">
        <w:t xml:space="preserve"> (plot head name) in 2003 (left column) and 2011 (right column). </w:t>
      </w:r>
      <w:r w:rsidR="000E562C">
        <w:t>Shading</w:t>
      </w:r>
      <w:r w:rsidRPr="00961331">
        <w:t xml:space="preserve"> group</w:t>
      </w:r>
      <w:r w:rsidR="000E562C">
        <w:t>s</w:t>
      </w:r>
      <w:r w:rsidRPr="00961331">
        <w:t xml:space="preserve"> rivers in the same NRM</w:t>
      </w:r>
      <w:r w:rsidR="000E562C">
        <w:t xml:space="preserve"> region</w:t>
      </w:r>
      <w:r w:rsidR="002F0744">
        <w:t xml:space="preserve">: </w:t>
      </w:r>
      <w:r w:rsidRPr="00961331">
        <w:t>Wet Tropics</w:t>
      </w:r>
      <w:r w:rsidR="002F0744">
        <w:t xml:space="preserve"> - red</w:t>
      </w:r>
      <w:r w:rsidRPr="00961331">
        <w:t>, Burdekin</w:t>
      </w:r>
      <w:r w:rsidR="002F0744">
        <w:t xml:space="preserve"> - blue</w:t>
      </w:r>
      <w:r w:rsidRPr="00961331">
        <w:t>, Mackay-Whitsunday</w:t>
      </w:r>
      <w:r w:rsidR="002F0744">
        <w:t xml:space="preserve"> – yellow, </w:t>
      </w:r>
      <w:r w:rsidRPr="00961331">
        <w:t>Fitzroy</w:t>
      </w:r>
      <w:r w:rsidR="002F0744">
        <w:t xml:space="preserve"> - green</w:t>
      </w:r>
      <w:r w:rsidRPr="00961331">
        <w:t>. The left panel show data for the 2002</w:t>
      </w:r>
      <w:r w:rsidR="002F0744">
        <w:t>-</w:t>
      </w:r>
      <w:r w:rsidRPr="00961331">
        <w:t xml:space="preserve">03 water year (c.a., from </w:t>
      </w:r>
      <w:r w:rsidR="000E562C">
        <w:t xml:space="preserve">1 </w:t>
      </w:r>
      <w:r w:rsidRPr="00961331">
        <w:t xml:space="preserve">Oct  to </w:t>
      </w:r>
      <w:r w:rsidR="000E562C">
        <w:t xml:space="preserve">30 </w:t>
      </w:r>
      <w:r w:rsidRPr="00961331">
        <w:t>Sep), and right panel for the 2010</w:t>
      </w:r>
      <w:r w:rsidR="002F0744">
        <w:t>-</w:t>
      </w:r>
      <w:r w:rsidRPr="00961331">
        <w:t>11 water year.</w:t>
      </w:r>
      <w:bookmarkEnd w:id="1152"/>
      <w:bookmarkEnd w:id="1153"/>
    </w:p>
    <w:p w14:paraId="0389D202" w14:textId="77777777" w:rsidR="005B1D9A" w:rsidRDefault="005B1D9A" w:rsidP="004A5BF7">
      <w:pPr>
        <w:rPr>
          <w:rFonts w:eastAsiaTheme="majorEastAsia"/>
          <w:lang w:val="en-AU"/>
        </w:rPr>
      </w:pPr>
    </w:p>
    <w:p w14:paraId="0890DDD0" w14:textId="18298C4B" w:rsidR="000E562C" w:rsidRPr="00883BEF" w:rsidRDefault="000E562C" w:rsidP="004A5BF7">
      <w:pPr>
        <w:pStyle w:val="ListParagraph"/>
        <w:numPr>
          <w:ilvl w:val="0"/>
          <w:numId w:val="111"/>
        </w:numPr>
        <w:rPr>
          <w:rFonts w:cs="Arial"/>
          <w:b/>
          <w:szCs w:val="22"/>
        </w:rPr>
      </w:pPr>
      <w:r w:rsidRPr="00883BEF">
        <w:rPr>
          <w:rFonts w:cs="Arial"/>
          <w:b/>
          <w:szCs w:val="22"/>
        </w:rPr>
        <w:t xml:space="preserve">Mapping annual average PN and TSS concentrations </w:t>
      </w:r>
      <w:r>
        <w:rPr>
          <w:rFonts w:cs="Arial"/>
          <w:b/>
          <w:szCs w:val="22"/>
        </w:rPr>
        <w:t>in</w:t>
      </w:r>
      <w:r w:rsidRPr="00883BEF">
        <w:rPr>
          <w:rFonts w:cs="Arial"/>
          <w:b/>
          <w:szCs w:val="22"/>
        </w:rPr>
        <w:t xml:space="preserve"> the GBR 2003-2015</w:t>
      </w:r>
    </w:p>
    <w:p w14:paraId="7F428746" w14:textId="77777777" w:rsidR="000E562C" w:rsidRDefault="000E562C" w:rsidP="004A5BF7">
      <w:r w:rsidRPr="00961331">
        <w:t>The same model developed for DIN dispersion was used</w:t>
      </w:r>
      <w:r>
        <w:t xml:space="preserve"> to produce </w:t>
      </w:r>
      <w:r w:rsidRPr="00961331">
        <w:t>maps for the land-sourced</w:t>
      </w:r>
      <w:r>
        <w:t xml:space="preserve"> PN and TSS in the GBR</w:t>
      </w:r>
      <w:r w:rsidRPr="00961331">
        <w:t>, except that the decay function was not included.</w:t>
      </w:r>
      <w:r>
        <w:t xml:space="preserve"> </w:t>
      </w:r>
    </w:p>
    <w:p w14:paraId="0ABA336F" w14:textId="23855F46" w:rsidR="000E562C" w:rsidRPr="00961331" w:rsidRDefault="000E562C" w:rsidP="004A5BF7">
      <w:pPr>
        <w:rPr>
          <w:rFonts w:cs="Arial"/>
          <w:szCs w:val="22"/>
        </w:rPr>
      </w:pPr>
      <w:r w:rsidRPr="00C12F12">
        <w:t>The model-predicted PN export to GBR lagoon is examined by its annual concentration (PN, µg/L) over 13 years (</w:t>
      </w:r>
      <w:r w:rsidR="00C12F12">
        <w:fldChar w:fldCharType="begin"/>
      </w:r>
      <w:r w:rsidR="00C12F12">
        <w:instrText xml:space="preserve"> REF _Ref462003897 \h </w:instrText>
      </w:r>
      <w:r w:rsidR="00C12F12">
        <w:fldChar w:fldCharType="separate"/>
      </w:r>
      <w:r w:rsidR="007F5336">
        <w:t xml:space="preserve">Figure </w:t>
      </w:r>
      <w:r w:rsidR="007F5336">
        <w:rPr>
          <w:noProof/>
        </w:rPr>
        <w:t>5</w:t>
      </w:r>
      <w:r w:rsidR="007F5336">
        <w:noBreakHyphen/>
      </w:r>
      <w:r w:rsidR="007F5336">
        <w:rPr>
          <w:noProof/>
        </w:rPr>
        <w:t>13</w:t>
      </w:r>
      <w:r w:rsidR="00C12F12">
        <w:fldChar w:fldCharType="end"/>
      </w:r>
      <w:r w:rsidR="00C12F12">
        <w:t xml:space="preserve"> </w:t>
      </w:r>
      <w:r w:rsidRPr="00961331">
        <w:rPr>
          <w:rFonts w:cs="Arial"/>
          <w:szCs w:val="22"/>
        </w:rPr>
        <w:t xml:space="preserve">and </w:t>
      </w:r>
      <w:r w:rsidRPr="00961331">
        <w:rPr>
          <w:rFonts w:cs="Arial"/>
          <w:szCs w:val="22"/>
        </w:rPr>
        <w:fldChar w:fldCharType="begin"/>
      </w:r>
      <w:r w:rsidRPr="00961331">
        <w:rPr>
          <w:rFonts w:cs="Arial"/>
          <w:szCs w:val="22"/>
        </w:rPr>
        <w:instrText xml:space="preserve"> REF _Ref450164873 \h  \* MERGEFORMAT </w:instrText>
      </w:r>
      <w:r w:rsidRPr="00961331">
        <w:rPr>
          <w:rFonts w:cs="Arial"/>
          <w:szCs w:val="22"/>
        </w:rPr>
      </w:r>
      <w:r w:rsidRPr="00961331">
        <w:rPr>
          <w:rFonts w:cs="Arial"/>
          <w:szCs w:val="22"/>
        </w:rPr>
        <w:fldChar w:fldCharType="separate"/>
      </w:r>
      <w:r w:rsidR="007F5336" w:rsidRPr="007F5336">
        <w:rPr>
          <w:rFonts w:cs="Arial"/>
          <w:szCs w:val="22"/>
        </w:rPr>
        <w:t xml:space="preserve">Figure </w:t>
      </w:r>
      <w:r w:rsidR="007F5336" w:rsidRPr="007F5336">
        <w:rPr>
          <w:rFonts w:cs="Arial"/>
          <w:noProof/>
          <w:szCs w:val="22"/>
        </w:rPr>
        <w:t>5</w:t>
      </w:r>
      <w:r w:rsidR="007F5336" w:rsidRPr="007F5336">
        <w:rPr>
          <w:rFonts w:cs="Arial"/>
          <w:noProof/>
          <w:szCs w:val="22"/>
        </w:rPr>
        <w:noBreakHyphen/>
        <w:t>14</w:t>
      </w:r>
      <w:r w:rsidRPr="00961331">
        <w:rPr>
          <w:rFonts w:cs="Arial"/>
          <w:szCs w:val="22"/>
        </w:rPr>
        <w:fldChar w:fldCharType="end"/>
      </w:r>
      <w:r>
        <w:rPr>
          <w:rFonts w:cs="Arial"/>
          <w:szCs w:val="22"/>
        </w:rPr>
        <w:t xml:space="preserve">). These maps provide an estimate </w:t>
      </w:r>
      <w:r w:rsidRPr="00961331">
        <w:rPr>
          <w:rFonts w:cs="Arial"/>
          <w:szCs w:val="22"/>
        </w:rPr>
        <w:t xml:space="preserve">of how far PN can travel in GBR waters, </w:t>
      </w:r>
      <w:r>
        <w:rPr>
          <w:rFonts w:cs="Arial"/>
          <w:szCs w:val="22"/>
        </w:rPr>
        <w:t>and</w:t>
      </w:r>
      <w:r w:rsidRPr="00961331">
        <w:rPr>
          <w:rFonts w:cs="Arial"/>
          <w:szCs w:val="22"/>
        </w:rPr>
        <w:t xml:space="preserve"> areas more likely t</w:t>
      </w:r>
      <w:r>
        <w:rPr>
          <w:rFonts w:cs="Arial"/>
          <w:szCs w:val="22"/>
        </w:rPr>
        <w:t>o present high PN concentration</w:t>
      </w:r>
      <w:r w:rsidRPr="00961331">
        <w:rPr>
          <w:rFonts w:cs="Arial"/>
          <w:szCs w:val="22"/>
        </w:rPr>
        <w:t>. The areas covered by model-predicted PN vary over the 13 years analysed. As observed for DIN, years with large river discharge (&gt; 65,000,000 ML</w:t>
      </w:r>
      <w:r>
        <w:rPr>
          <w:rFonts w:cs="Arial"/>
          <w:szCs w:val="22"/>
        </w:rPr>
        <w:t>)</w:t>
      </w:r>
      <w:r w:rsidRPr="00961331">
        <w:rPr>
          <w:rFonts w:cs="Arial"/>
          <w:szCs w:val="22"/>
        </w:rPr>
        <w:t xml:space="preserve"> resulted in </w:t>
      </w:r>
      <w:r>
        <w:rPr>
          <w:rFonts w:cs="Arial"/>
          <w:szCs w:val="22"/>
        </w:rPr>
        <w:t>larger</w:t>
      </w:r>
      <w:r w:rsidRPr="00961331">
        <w:rPr>
          <w:rFonts w:cs="Arial"/>
          <w:szCs w:val="22"/>
        </w:rPr>
        <w:t xml:space="preserve"> areas </w:t>
      </w:r>
      <w:r>
        <w:rPr>
          <w:rFonts w:cs="Arial"/>
          <w:szCs w:val="22"/>
        </w:rPr>
        <w:t>of PN extended</w:t>
      </w:r>
      <w:r w:rsidRPr="00961331">
        <w:rPr>
          <w:rFonts w:cs="Arial"/>
          <w:szCs w:val="22"/>
        </w:rPr>
        <w:t xml:space="preserve"> </w:t>
      </w:r>
      <w:r>
        <w:rPr>
          <w:rFonts w:cs="Arial"/>
          <w:szCs w:val="22"/>
        </w:rPr>
        <w:t>across</w:t>
      </w:r>
      <w:r w:rsidRPr="00961331">
        <w:rPr>
          <w:rFonts w:cs="Arial"/>
          <w:szCs w:val="22"/>
        </w:rPr>
        <w:t xml:space="preserve"> the GBR. The highest model-predicted PN concentration </w:t>
      </w:r>
      <w:r>
        <w:rPr>
          <w:rFonts w:cs="Arial"/>
          <w:szCs w:val="22"/>
        </w:rPr>
        <w:t>was</w:t>
      </w:r>
      <w:r w:rsidRPr="00961331">
        <w:rPr>
          <w:rFonts w:cs="Arial"/>
          <w:szCs w:val="22"/>
        </w:rPr>
        <w:t xml:space="preserve"> observed in 2011, followed by 2008 and 2012, with maximums of 354 µg/L, 261 µg/L and 244 µg/L, respectively. The areas </w:t>
      </w:r>
      <w:r>
        <w:rPr>
          <w:rFonts w:cs="Arial"/>
          <w:szCs w:val="22"/>
        </w:rPr>
        <w:t>showing</w:t>
      </w:r>
      <w:r w:rsidRPr="00961331">
        <w:rPr>
          <w:rFonts w:cs="Arial"/>
          <w:szCs w:val="22"/>
        </w:rPr>
        <w:t xml:space="preserve"> high PN concentration were relatively constant over the years, with high PN values observed in the Wet Tropics region</w:t>
      </w:r>
      <w:r>
        <w:rPr>
          <w:rFonts w:cs="Arial"/>
          <w:szCs w:val="22"/>
        </w:rPr>
        <w:t>. D</w:t>
      </w:r>
      <w:r w:rsidRPr="00961331">
        <w:rPr>
          <w:rFonts w:cs="Arial"/>
          <w:szCs w:val="22"/>
        </w:rPr>
        <w:t>uring years with large flows high PN areas</w:t>
      </w:r>
      <w:r>
        <w:rPr>
          <w:rFonts w:cs="Arial"/>
          <w:szCs w:val="22"/>
        </w:rPr>
        <w:t xml:space="preserve"> high concentrations</w:t>
      </w:r>
      <w:r w:rsidRPr="00961331">
        <w:rPr>
          <w:rFonts w:cs="Arial"/>
          <w:szCs w:val="22"/>
        </w:rPr>
        <w:t xml:space="preserve"> were also observed in the Burdekin and Mackay</w:t>
      </w:r>
      <w:r w:rsidR="00B239E5">
        <w:rPr>
          <w:rFonts w:cs="Arial"/>
          <w:szCs w:val="22"/>
        </w:rPr>
        <w:t xml:space="preserve"> </w:t>
      </w:r>
      <w:r w:rsidRPr="00961331">
        <w:rPr>
          <w:rFonts w:cs="Arial"/>
          <w:szCs w:val="22"/>
        </w:rPr>
        <w:t>Whitsunday regions.</w:t>
      </w:r>
    </w:p>
    <w:p w14:paraId="2453D0D0" w14:textId="638285D0" w:rsidR="000E562C" w:rsidRPr="00961331" w:rsidRDefault="008A2DCB" w:rsidP="00C12F12">
      <w:r w:rsidRPr="00B05E41">
        <w:rPr>
          <w:noProof/>
          <w:lang w:val="en-AU" w:eastAsia="en-AU"/>
        </w:rPr>
        <w:drawing>
          <wp:anchor distT="0" distB="0" distL="114300" distR="114300" simplePos="0" relativeHeight="251651584" behindDoc="0" locked="0" layoutInCell="1" allowOverlap="1" wp14:anchorId="01D180EF" wp14:editId="1261A103">
            <wp:simplePos x="0" y="0"/>
            <wp:positionH relativeFrom="column">
              <wp:posOffset>161925</wp:posOffset>
            </wp:positionH>
            <wp:positionV relativeFrom="paragraph">
              <wp:posOffset>255270</wp:posOffset>
            </wp:positionV>
            <wp:extent cx="5372100" cy="5821680"/>
            <wp:effectExtent l="0" t="0" r="0" b="7620"/>
            <wp:wrapTopAndBottom/>
            <wp:docPr id="7194" name="Picture 7194" descr="Map showing particulate nitrogen (PN, µg/L) over the GBR lagoon 2003 water year (c.a., 1 October to 30 September). ‘Max.’ stands for the highest PN concentration. Named rivers are those with load data available and grey lines are the NRM region boundaries." title="Figure 5 13: Particulate nitrogen (PN, µg/L) over the GBR lagoon 2003 water year (c.a., 1 October to 30 Septem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PAPER\Edu New Load Maps paper\Plume Maps\MAPS\CATEG_DIN_conc_n_20_Fim_Maj+Upk.jpg"/>
                    <pic:cNvPicPr>
                      <a:picLocks noChangeAspect="1" noChangeArrowheads="1"/>
                    </pic:cNvPicPr>
                  </pic:nvPicPr>
                  <pic:blipFill rotWithShape="1">
                    <a:blip r:embed="rId324" cstate="print">
                      <a:extLst>
                        <a:ext uri="{28A0092B-C50C-407E-A947-70E740481C1C}">
                          <a14:useLocalDpi xmlns:a14="http://schemas.microsoft.com/office/drawing/2010/main" val="0"/>
                        </a:ext>
                      </a:extLst>
                    </a:blip>
                    <a:srcRect t="5755" r="3375"/>
                    <a:stretch/>
                  </pic:blipFill>
                  <pic:spPr bwMode="auto">
                    <a:xfrm>
                      <a:off x="0" y="0"/>
                      <a:ext cx="5372100" cy="58216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301D909" w14:textId="77777777" w:rsidR="008A2DCB" w:rsidRDefault="008A2DCB" w:rsidP="00C12F12">
      <w:bookmarkStart w:id="1154" w:name="_Ref459148951"/>
      <w:bookmarkStart w:id="1155" w:name="_Toc452586426"/>
    </w:p>
    <w:p w14:paraId="76A08619" w14:textId="45608553" w:rsidR="000E562C" w:rsidRPr="0046312F" w:rsidRDefault="000E562C" w:rsidP="004A5BF7">
      <w:pPr>
        <w:pStyle w:val="Caption"/>
      </w:pPr>
      <w:bookmarkStart w:id="1156" w:name="_Ref462003897"/>
      <w:bookmarkStart w:id="1157" w:name="_Toc459332371"/>
      <w:r>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13</w:t>
      </w:r>
      <w:r w:rsidR="00C62884">
        <w:fldChar w:fldCharType="end"/>
      </w:r>
      <w:bookmarkEnd w:id="1154"/>
      <w:bookmarkEnd w:id="1156"/>
      <w:r w:rsidRPr="0046312F">
        <w:t xml:space="preserve">: Particulate nitrogen (PN, µg/L) over the GBR lagoon 2003 water year (c.a., </w:t>
      </w:r>
      <w:r>
        <w:t xml:space="preserve">1 </w:t>
      </w:r>
      <w:r w:rsidRPr="0046312F">
        <w:t xml:space="preserve">October to </w:t>
      </w:r>
      <w:r>
        <w:t xml:space="preserve">30 </w:t>
      </w:r>
      <w:r w:rsidRPr="0046312F">
        <w:t xml:space="preserve">September). ‘Max.’ stands for the highest PN concentration. Named rivers are those with load data available and grey lines are the NRM region </w:t>
      </w:r>
      <w:r>
        <w:t>boundaries</w:t>
      </w:r>
      <w:r w:rsidRPr="0046312F">
        <w:t>.</w:t>
      </w:r>
      <w:bookmarkEnd w:id="1155"/>
      <w:bookmarkEnd w:id="1157"/>
    </w:p>
    <w:p w14:paraId="07455D54" w14:textId="77777777" w:rsidR="000E562C" w:rsidRPr="00961331" w:rsidRDefault="000E562C" w:rsidP="000E562C">
      <w:pPr>
        <w:pStyle w:val="Figure"/>
        <w:rPr>
          <w:rFonts w:ascii="Arial" w:hAnsi="Arial" w:cs="Arial"/>
          <w:szCs w:val="22"/>
        </w:rPr>
      </w:pPr>
    </w:p>
    <w:p w14:paraId="0B1A16E4" w14:textId="77777777" w:rsidR="000E562C" w:rsidRPr="00961331" w:rsidRDefault="000E562C" w:rsidP="000E562C">
      <w:pPr>
        <w:pStyle w:val="Figure"/>
        <w:rPr>
          <w:rFonts w:ascii="Arial" w:hAnsi="Arial" w:cs="Arial"/>
          <w:szCs w:val="22"/>
        </w:rPr>
        <w:sectPr w:rsidR="000E562C" w:rsidRPr="00961331" w:rsidSect="00207F81">
          <w:pgSz w:w="11907" w:h="16839" w:code="9"/>
          <w:pgMar w:top="1440" w:right="1440" w:bottom="1440" w:left="1440" w:header="708" w:footer="708" w:gutter="0"/>
          <w:cols w:space="708"/>
          <w:docGrid w:linePitch="299"/>
        </w:sectPr>
      </w:pPr>
    </w:p>
    <w:p w14:paraId="02ECE539" w14:textId="77777777" w:rsidR="000E562C" w:rsidRPr="00961331" w:rsidRDefault="000E562C" w:rsidP="000E562C">
      <w:pPr>
        <w:rPr>
          <w:rFonts w:cs="Arial"/>
          <w:szCs w:val="22"/>
        </w:rPr>
      </w:pPr>
    </w:p>
    <w:p w14:paraId="55227E9E" w14:textId="77777777" w:rsidR="000E562C" w:rsidRPr="00C12F12" w:rsidRDefault="000E562C" w:rsidP="000E562C">
      <w:r w:rsidRPr="00B05E41">
        <w:rPr>
          <w:rFonts w:cs="Arial"/>
          <w:noProof/>
          <w:szCs w:val="22"/>
          <w:lang w:val="en-AU" w:eastAsia="en-AU"/>
        </w:rPr>
        <w:drawing>
          <wp:inline distT="0" distB="0" distL="0" distR="0" wp14:anchorId="6EEDDE04" wp14:editId="459A6226">
            <wp:extent cx="8852035" cy="4425314"/>
            <wp:effectExtent l="0" t="0" r="6350" b="0"/>
            <wp:docPr id="7198" name="Picture 7198" descr="Map showing particulate nitrogen (PN, µg/L) over the GBR lagoon 2004-2015 water year (c.a., 1 October to 30 September). ‘Max.’ stands for the highest PN concentration. Dots represent rivers with load data available and grey lines are the NRM region boundaries" title="Figure 5 14: Particulate nitrogen (PN, µg/L) over the GBR lagoon 2004-2015 water year (c.a., 1 October to 30 Septem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ocuments\PAPER\Edu New Load Maps paper\Plume Maps\MAPS\CATEG_DIN_conc_other_years_panel_Fim_Maj+Upk.jpg"/>
                    <pic:cNvPicPr>
                      <a:picLocks noChangeAspect="1" noChangeArrowheads="1"/>
                    </pic:cNvPicPr>
                  </pic:nvPicPr>
                  <pic:blipFill>
                    <a:blip r:embed="rId325" cstate="print">
                      <a:extLst>
                        <a:ext uri="{28A0092B-C50C-407E-A947-70E740481C1C}">
                          <a14:useLocalDpi xmlns:a14="http://schemas.microsoft.com/office/drawing/2010/main" val="0"/>
                        </a:ext>
                      </a:extLst>
                    </a:blip>
                    <a:stretch>
                      <a:fillRect/>
                    </a:stretch>
                  </pic:blipFill>
                  <pic:spPr bwMode="auto">
                    <a:xfrm>
                      <a:off x="0" y="0"/>
                      <a:ext cx="8852035" cy="4425314"/>
                    </a:xfrm>
                    <a:prstGeom prst="rect">
                      <a:avLst/>
                    </a:prstGeom>
                    <a:noFill/>
                    <a:ln>
                      <a:noFill/>
                    </a:ln>
                  </pic:spPr>
                </pic:pic>
              </a:graphicData>
            </a:graphic>
          </wp:inline>
        </w:drawing>
      </w:r>
    </w:p>
    <w:p w14:paraId="2760551C" w14:textId="038F9D31" w:rsidR="000E562C" w:rsidRPr="00961331" w:rsidRDefault="000E562C" w:rsidP="004A5BF7">
      <w:pPr>
        <w:pStyle w:val="Caption"/>
      </w:pPr>
      <w:bookmarkStart w:id="1158" w:name="_Ref450164873"/>
      <w:bookmarkStart w:id="1159" w:name="_Toc452586427"/>
      <w:bookmarkStart w:id="1160" w:name="_Toc459332372"/>
      <w:r w:rsidRPr="00961331">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14</w:t>
      </w:r>
      <w:r w:rsidR="00C62884">
        <w:fldChar w:fldCharType="end"/>
      </w:r>
      <w:bookmarkEnd w:id="1158"/>
      <w:r w:rsidRPr="00961331">
        <w:t xml:space="preserve">: Particulate nitrogen (PN, µg/L) over the GBR lagoon 2004-2015 water year (c.a., </w:t>
      </w:r>
      <w:r>
        <w:t>1 October</w:t>
      </w:r>
      <w:r w:rsidRPr="00961331">
        <w:rPr>
          <w:vertAlign w:val="superscript"/>
        </w:rPr>
        <w:t xml:space="preserve"> </w:t>
      </w:r>
      <w:r w:rsidRPr="00961331">
        <w:t xml:space="preserve">to </w:t>
      </w:r>
      <w:r>
        <w:t>30 September</w:t>
      </w:r>
      <w:r w:rsidRPr="00961331">
        <w:t xml:space="preserve">). ‘Max.’ stands for the highest PN concentration. Dots represent rivers with load data available and grey lines are the NRM region </w:t>
      </w:r>
      <w:r>
        <w:t>boundaries</w:t>
      </w:r>
      <w:r w:rsidRPr="00961331">
        <w:t>.</w:t>
      </w:r>
      <w:bookmarkEnd w:id="1159"/>
      <w:bookmarkEnd w:id="1160"/>
    </w:p>
    <w:p w14:paraId="35ADD842" w14:textId="77777777" w:rsidR="000E562C" w:rsidRPr="00961331" w:rsidRDefault="000E562C" w:rsidP="004A5BF7">
      <w:pPr>
        <w:pStyle w:val="Caption"/>
        <w:sectPr w:rsidR="000E562C" w:rsidRPr="00961331" w:rsidSect="0002165F">
          <w:pgSz w:w="16839" w:h="11907" w:orient="landscape" w:code="9"/>
          <w:pgMar w:top="1440" w:right="1440" w:bottom="1440" w:left="1440" w:header="708" w:footer="708" w:gutter="0"/>
          <w:cols w:space="708"/>
          <w:docGrid w:linePitch="326"/>
        </w:sectPr>
      </w:pPr>
    </w:p>
    <w:p w14:paraId="0B9BC6E8" w14:textId="77777777" w:rsidR="007F5336" w:rsidRDefault="008A2DCB" w:rsidP="000560C0">
      <w:r w:rsidRPr="00B05E41">
        <w:rPr>
          <w:rFonts w:cs="Arial"/>
          <w:noProof/>
          <w:lang w:val="en-AU" w:eastAsia="en-AU"/>
        </w:rPr>
        <w:drawing>
          <wp:anchor distT="0" distB="0" distL="114300" distR="114300" simplePos="0" relativeHeight="251652608" behindDoc="0" locked="0" layoutInCell="1" allowOverlap="1" wp14:anchorId="0D23CA30" wp14:editId="6F1FB8D0">
            <wp:simplePos x="0" y="0"/>
            <wp:positionH relativeFrom="column">
              <wp:posOffset>0</wp:posOffset>
            </wp:positionH>
            <wp:positionV relativeFrom="paragraph">
              <wp:posOffset>1771015</wp:posOffset>
            </wp:positionV>
            <wp:extent cx="5567045" cy="6105525"/>
            <wp:effectExtent l="0" t="0" r="0" b="9525"/>
            <wp:wrapTopAndBottom/>
            <wp:docPr id="7201" name="Picture 7201" descr="Map showing total suspended solids (TSS, mg/L) over the GBR lagoon 2003 water year (c.a., 1 October to 30 September). ‘Max.’ stands for the highest TSS concentration. Named rivers are those with load data available and grey lines are the NRM region boundaries" title="Figure 5 15: Total suspended solids (TSS, mg/L) over the GBR lagoon 2003 water year (c.a., 1 October to 30 Septem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PAPER\Edu New Load Maps paper\Plume Maps\MAPS\CATEG_DIN_conc_n_20_Fim_Maj+Upk.jpg"/>
                    <pic:cNvPicPr>
                      <a:picLocks noChangeAspect="1" noChangeArrowheads="1"/>
                    </pic:cNvPicPr>
                  </pic:nvPicPr>
                  <pic:blipFill rotWithShape="1">
                    <a:blip r:embed="rId326" cstate="print">
                      <a:extLst>
                        <a:ext uri="{28A0092B-C50C-407E-A947-70E740481C1C}">
                          <a14:useLocalDpi xmlns:a14="http://schemas.microsoft.com/office/drawing/2010/main" val="0"/>
                        </a:ext>
                      </a:extLst>
                    </a:blip>
                    <a:srcRect t="5866" r="4631"/>
                    <a:stretch/>
                  </pic:blipFill>
                  <pic:spPr bwMode="auto">
                    <a:xfrm>
                      <a:off x="0" y="0"/>
                      <a:ext cx="5567045" cy="61055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9791A" w:rsidRPr="00961331">
        <w:t xml:space="preserve">The model-predicted </w:t>
      </w:r>
      <w:r w:rsidR="00D9791A">
        <w:t>TSS</w:t>
      </w:r>
      <w:r w:rsidR="00D9791A" w:rsidRPr="00961331">
        <w:t xml:space="preserve"> export to </w:t>
      </w:r>
      <w:r w:rsidR="00D9791A">
        <w:t xml:space="preserve">the </w:t>
      </w:r>
      <w:r w:rsidR="00D9791A" w:rsidRPr="00961331">
        <w:t xml:space="preserve">GBR lagoon </w:t>
      </w:r>
      <w:r w:rsidR="00D9791A">
        <w:t>was</w:t>
      </w:r>
      <w:r w:rsidR="00D9791A" w:rsidRPr="00961331">
        <w:t xml:space="preserve"> examined by its annual concentration over 13 years (</w:t>
      </w:r>
      <w:r w:rsidR="00B239E5">
        <w:fldChar w:fldCharType="begin"/>
      </w:r>
      <w:r w:rsidR="00B239E5">
        <w:instrText xml:space="preserve"> REF _Ref459149030 \h </w:instrText>
      </w:r>
      <w:r w:rsidR="00B239E5">
        <w:fldChar w:fldCharType="separate"/>
      </w:r>
    </w:p>
    <w:p w14:paraId="2CAB5E13" w14:textId="2680AE77" w:rsidR="00D9791A" w:rsidRDefault="007F5336" w:rsidP="004A5BF7">
      <w:r w:rsidRPr="00961331">
        <w:t xml:space="preserve">Figure </w:t>
      </w:r>
      <w:r>
        <w:rPr>
          <w:noProof/>
        </w:rPr>
        <w:t>5</w:t>
      </w:r>
      <w:r>
        <w:noBreakHyphen/>
      </w:r>
      <w:r>
        <w:rPr>
          <w:noProof/>
        </w:rPr>
        <w:t>15</w:t>
      </w:r>
      <w:r w:rsidR="00B239E5">
        <w:fldChar w:fldCharType="end"/>
      </w:r>
      <w:r w:rsidR="00D9791A">
        <w:t>) with similar patterns a</w:t>
      </w:r>
      <w:r w:rsidR="00D9791A" w:rsidRPr="00961331">
        <w:t>s observed for DIN and PN</w:t>
      </w:r>
      <w:r w:rsidR="00D9791A">
        <w:t xml:space="preserve"> in relation to</w:t>
      </w:r>
      <w:r w:rsidR="00D9791A" w:rsidRPr="00961331">
        <w:t xml:space="preserve"> river discharge. The highest model-predicted </w:t>
      </w:r>
      <w:r w:rsidR="00D9791A">
        <w:t>TSS</w:t>
      </w:r>
      <w:r w:rsidR="00D9791A" w:rsidRPr="00961331">
        <w:t xml:space="preserve"> concentration </w:t>
      </w:r>
      <w:r w:rsidR="00D9791A">
        <w:t>was</w:t>
      </w:r>
      <w:r w:rsidR="00D9791A" w:rsidRPr="00961331">
        <w:t xml:space="preserve"> observed in 2011, followed by 2007 and 2008, with maximums of 100 mg/L, 84 mg/L and 78 mg/L, respectively. The areas </w:t>
      </w:r>
      <w:r w:rsidR="00D9791A">
        <w:t>with</w:t>
      </w:r>
      <w:r w:rsidR="00D9791A" w:rsidRPr="00961331">
        <w:t xml:space="preserve"> high TSS concentration were more variable over the years compared to</w:t>
      </w:r>
      <w:r w:rsidR="00D9791A">
        <w:t xml:space="preserve"> the</w:t>
      </w:r>
      <w:r w:rsidR="00D9791A" w:rsidRPr="00961331">
        <w:t xml:space="preserve"> DIN and PN </w:t>
      </w:r>
      <w:r w:rsidR="00D9791A">
        <w:t>assessments</w:t>
      </w:r>
      <w:r w:rsidR="00D9791A" w:rsidRPr="00961331">
        <w:t xml:space="preserve">. </w:t>
      </w:r>
      <w:r w:rsidR="00D9791A">
        <w:t>High TSS values were observed</w:t>
      </w:r>
      <w:r w:rsidR="00D9791A" w:rsidRPr="00961331">
        <w:t xml:space="preserve"> in the Wet Tropics region over all </w:t>
      </w:r>
      <w:r w:rsidR="00D9791A">
        <w:t xml:space="preserve">of </w:t>
      </w:r>
      <w:r w:rsidR="00D9791A" w:rsidRPr="00961331">
        <w:t>the years analysed, but high values were also observed in the Burdekin region</w:t>
      </w:r>
      <w:r w:rsidR="00D9791A">
        <w:t xml:space="preserve"> in several years including </w:t>
      </w:r>
      <w:r w:rsidR="00D9791A" w:rsidRPr="00961331">
        <w:t>2005, 2007 and 2013, and in Macka</w:t>
      </w:r>
      <w:r w:rsidR="00B239E5">
        <w:t xml:space="preserve">y </w:t>
      </w:r>
      <w:r w:rsidR="00D9791A" w:rsidRPr="00961331">
        <w:t>Whitsunday in 2010, 2011 and 2012</w:t>
      </w:r>
      <w:r w:rsidR="00B239E5">
        <w:t xml:space="preserve"> (</w:t>
      </w:r>
      <w:r w:rsidR="00B239E5">
        <w:fldChar w:fldCharType="begin"/>
      </w:r>
      <w:r w:rsidR="00B239E5">
        <w:instrText xml:space="preserve"> REF _Ref459149085 \h </w:instrText>
      </w:r>
      <w:r w:rsidR="00B239E5">
        <w:fldChar w:fldCharType="separate"/>
      </w:r>
      <w:r w:rsidRPr="00961331">
        <w:t xml:space="preserve">Figure </w:t>
      </w:r>
      <w:r>
        <w:rPr>
          <w:noProof/>
        </w:rPr>
        <w:t>5</w:t>
      </w:r>
      <w:r>
        <w:noBreakHyphen/>
      </w:r>
      <w:r>
        <w:rPr>
          <w:noProof/>
        </w:rPr>
        <w:t>16</w:t>
      </w:r>
      <w:r w:rsidR="00B239E5">
        <w:fldChar w:fldCharType="end"/>
      </w:r>
      <w:r w:rsidR="00B239E5">
        <w:t>)</w:t>
      </w:r>
      <w:r w:rsidR="00D9791A" w:rsidRPr="00961331">
        <w:t>.</w:t>
      </w:r>
    </w:p>
    <w:p w14:paraId="59778A02" w14:textId="77777777" w:rsidR="008A2DCB" w:rsidRDefault="008A2DCB" w:rsidP="000560C0">
      <w:bookmarkStart w:id="1161" w:name="_Ref459149030"/>
    </w:p>
    <w:p w14:paraId="03538F4B" w14:textId="5ADF9F43" w:rsidR="00D9791A" w:rsidRPr="00961331" w:rsidRDefault="00D9791A" w:rsidP="00E94752">
      <w:pPr>
        <w:pStyle w:val="Caption"/>
        <w:rPr>
          <w:rFonts w:cs="Arial"/>
        </w:rPr>
      </w:pPr>
      <w:bookmarkStart w:id="1162" w:name="_Toc459332373"/>
      <w:r w:rsidRPr="00961331">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15</w:t>
      </w:r>
      <w:r w:rsidR="00C62884">
        <w:fldChar w:fldCharType="end"/>
      </w:r>
      <w:bookmarkEnd w:id="1161"/>
      <w:r w:rsidRPr="00961331">
        <w:t xml:space="preserve">: Total suspended solids (TSS, mg/L) over the GBR lagoon 2003 water year (c.a., </w:t>
      </w:r>
      <w:r>
        <w:t xml:space="preserve">1 </w:t>
      </w:r>
      <w:r w:rsidRPr="00961331">
        <w:t>October</w:t>
      </w:r>
      <w:r w:rsidRPr="00961331">
        <w:rPr>
          <w:vertAlign w:val="superscript"/>
        </w:rPr>
        <w:t xml:space="preserve"> </w:t>
      </w:r>
      <w:r w:rsidRPr="00961331">
        <w:t xml:space="preserve">to </w:t>
      </w:r>
      <w:r>
        <w:t xml:space="preserve">30 </w:t>
      </w:r>
      <w:r w:rsidRPr="00961331">
        <w:t xml:space="preserve">September). ‘Max.’ stands for the highest TSS concentration. Named rivers are those with load data available and grey lines are the NRM region </w:t>
      </w:r>
      <w:r>
        <w:t>boundaries</w:t>
      </w:r>
      <w:r w:rsidRPr="00961331">
        <w:t>.</w:t>
      </w:r>
      <w:bookmarkEnd w:id="1162"/>
      <w:r w:rsidR="00E94752" w:rsidRPr="00961331">
        <w:rPr>
          <w:rFonts w:cs="Arial"/>
        </w:rPr>
        <w:t xml:space="preserve"> </w:t>
      </w:r>
    </w:p>
    <w:p w14:paraId="37ACD44A" w14:textId="77777777" w:rsidR="00D9791A" w:rsidRPr="00961331" w:rsidRDefault="00D9791A" w:rsidP="00D9791A">
      <w:pPr>
        <w:pStyle w:val="Figure"/>
        <w:rPr>
          <w:rFonts w:ascii="Arial" w:hAnsi="Arial" w:cs="Arial"/>
          <w:szCs w:val="22"/>
        </w:rPr>
        <w:sectPr w:rsidR="00D9791A" w:rsidRPr="00961331" w:rsidSect="00207F81">
          <w:pgSz w:w="11907" w:h="16839" w:code="9"/>
          <w:pgMar w:top="1440" w:right="1440" w:bottom="1440" w:left="1440" w:header="708" w:footer="708" w:gutter="0"/>
          <w:cols w:space="708"/>
          <w:docGrid w:linePitch="299"/>
        </w:sectPr>
      </w:pPr>
    </w:p>
    <w:p w14:paraId="7810CFA7" w14:textId="0C16D0DA" w:rsidR="00D9791A" w:rsidRPr="00961331" w:rsidRDefault="00E94752" w:rsidP="000560C0">
      <w:pPr>
        <w:rPr>
          <w:rFonts w:cs="Arial"/>
          <w:szCs w:val="22"/>
        </w:rPr>
      </w:pPr>
      <w:r>
        <w:rPr>
          <w:noProof/>
          <w:lang w:val="en-AU" w:eastAsia="en-AU"/>
        </w:rPr>
        <w:drawing>
          <wp:anchor distT="0" distB="0" distL="114300" distR="114300" simplePos="0" relativeHeight="251759616" behindDoc="0" locked="0" layoutInCell="1" allowOverlap="1" wp14:anchorId="6256E00F" wp14:editId="09A4274B">
            <wp:simplePos x="0" y="0"/>
            <wp:positionH relativeFrom="column">
              <wp:posOffset>0</wp:posOffset>
            </wp:positionH>
            <wp:positionV relativeFrom="paragraph">
              <wp:posOffset>234950</wp:posOffset>
            </wp:positionV>
            <wp:extent cx="8633460" cy="4310380"/>
            <wp:effectExtent l="0" t="0" r="0" b="0"/>
            <wp:wrapTopAndBottom/>
            <wp:docPr id="87" name="Picture 87" descr="Map showing total suspended sediments (TSS, µg/L) over the GBR lagoon 2004-2015 water year (c.a., 1 October to 30 September). ‘Max.’ stands for the highest TSS concentration. Dots represent rivers with load data available and grey lines are the NRM region boundaries" title="Figure 5 16: Total suspended sediments (TSS, µg/L) over the GBR lagoon 2004-2015 water year (c.a., 1 October to 30 Septem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line images 1"/>
                    <pic:cNvPicPr>
                      <a:picLocks noChangeAspect="1" noChangeArrowheads="1"/>
                    </pic:cNvPicPr>
                  </pic:nvPicPr>
                  <pic:blipFill>
                    <a:blip r:embed="rId327" r:link="rId328" cstate="print">
                      <a:extLst>
                        <a:ext uri="{28A0092B-C50C-407E-A947-70E740481C1C}">
                          <a14:useLocalDpi xmlns:a14="http://schemas.microsoft.com/office/drawing/2010/main" val="0"/>
                        </a:ext>
                      </a:extLst>
                    </a:blip>
                    <a:srcRect/>
                    <a:stretch>
                      <a:fillRect/>
                    </a:stretch>
                  </pic:blipFill>
                  <pic:spPr bwMode="auto">
                    <a:xfrm>
                      <a:off x="0" y="0"/>
                      <a:ext cx="8633460" cy="43103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7FB24E4" w14:textId="3DCACAC2" w:rsidR="00D9791A" w:rsidRPr="00961331" w:rsidRDefault="00D9791A" w:rsidP="00D9791A">
      <w:pPr>
        <w:pStyle w:val="Caption"/>
      </w:pPr>
      <w:bookmarkStart w:id="1163" w:name="_Ref459149085"/>
      <w:bookmarkStart w:id="1164" w:name="_Toc459332374"/>
      <w:r w:rsidRPr="00961331">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16</w:t>
      </w:r>
      <w:r w:rsidR="00C62884">
        <w:fldChar w:fldCharType="end"/>
      </w:r>
      <w:bookmarkEnd w:id="1163"/>
      <w:r w:rsidRPr="00961331">
        <w:t xml:space="preserve">: </w:t>
      </w:r>
      <w:r>
        <w:t>Total suspended sediments</w:t>
      </w:r>
      <w:r w:rsidRPr="00961331">
        <w:t xml:space="preserve"> (</w:t>
      </w:r>
      <w:r>
        <w:t>TSS</w:t>
      </w:r>
      <w:r w:rsidRPr="00961331">
        <w:t xml:space="preserve">, µg/L) over the GBR lagoon 2004-2015 water year (c.a., </w:t>
      </w:r>
      <w:r>
        <w:t>1 October</w:t>
      </w:r>
      <w:r w:rsidRPr="00961331">
        <w:rPr>
          <w:vertAlign w:val="superscript"/>
        </w:rPr>
        <w:t xml:space="preserve"> </w:t>
      </w:r>
      <w:r w:rsidRPr="00961331">
        <w:t xml:space="preserve">to </w:t>
      </w:r>
      <w:r>
        <w:t>30 September</w:t>
      </w:r>
      <w:r w:rsidRPr="00961331">
        <w:t xml:space="preserve">). ‘Max.’ stands for the highest </w:t>
      </w:r>
      <w:r>
        <w:t>TSS</w:t>
      </w:r>
      <w:r w:rsidRPr="00961331">
        <w:t xml:space="preserve"> concentration. Dots represent rivers with load data available and grey lines are the NRM region </w:t>
      </w:r>
      <w:r>
        <w:t>boundaries</w:t>
      </w:r>
      <w:r w:rsidRPr="00961331">
        <w:t>.</w:t>
      </w:r>
      <w:bookmarkEnd w:id="1164"/>
    </w:p>
    <w:p w14:paraId="38C315F8" w14:textId="77777777" w:rsidR="00D9791A" w:rsidRPr="00961331" w:rsidRDefault="00D9791A" w:rsidP="00D9791A">
      <w:pPr>
        <w:pStyle w:val="Caption"/>
        <w:sectPr w:rsidR="00D9791A" w:rsidRPr="00961331" w:rsidSect="0002165F">
          <w:pgSz w:w="16839" w:h="11907" w:orient="landscape" w:code="9"/>
          <w:pgMar w:top="1440" w:right="1440" w:bottom="1440" w:left="1440" w:header="708" w:footer="708" w:gutter="0"/>
          <w:cols w:space="708"/>
          <w:docGrid w:linePitch="326"/>
        </w:sectPr>
      </w:pPr>
    </w:p>
    <w:p w14:paraId="5F22F216" w14:textId="77777777" w:rsidR="007D0559" w:rsidRPr="00A3042C" w:rsidRDefault="00A86825" w:rsidP="00A3042C">
      <w:pPr>
        <w:pStyle w:val="Heading2"/>
      </w:pPr>
      <w:bookmarkStart w:id="1165" w:name="_Toc459158416"/>
      <w:bookmarkStart w:id="1166" w:name="_Toc459158689"/>
      <w:bookmarkStart w:id="1167" w:name="_Toc459158970"/>
      <w:bookmarkStart w:id="1168" w:name="_Toc459209969"/>
      <w:bookmarkStart w:id="1169" w:name="_Toc459329095"/>
      <w:bookmarkStart w:id="1170" w:name="_Toc459329454"/>
      <w:bookmarkStart w:id="1171" w:name="_Toc459329815"/>
      <w:bookmarkStart w:id="1172" w:name="_Toc459330175"/>
      <w:bookmarkStart w:id="1173" w:name="_Toc459330535"/>
      <w:bookmarkStart w:id="1174" w:name="_Toc459330895"/>
      <w:bookmarkStart w:id="1175" w:name="_Toc459331255"/>
      <w:bookmarkStart w:id="1176" w:name="_Toc459331615"/>
      <w:bookmarkStart w:id="1177" w:name="_Toc459331975"/>
      <w:bookmarkStart w:id="1178" w:name="_Toc462307450"/>
      <w:bookmarkEnd w:id="1165"/>
      <w:bookmarkEnd w:id="1166"/>
      <w:bookmarkEnd w:id="1167"/>
      <w:bookmarkEnd w:id="1168"/>
      <w:bookmarkEnd w:id="1169"/>
      <w:bookmarkEnd w:id="1170"/>
      <w:bookmarkEnd w:id="1171"/>
      <w:bookmarkEnd w:id="1172"/>
      <w:bookmarkEnd w:id="1173"/>
      <w:bookmarkEnd w:id="1174"/>
      <w:bookmarkEnd w:id="1175"/>
      <w:bookmarkEnd w:id="1176"/>
      <w:bookmarkEnd w:id="1177"/>
      <w:r w:rsidRPr="00A3042C">
        <w:t>Regional reports</w:t>
      </w:r>
      <w:bookmarkEnd w:id="1178"/>
      <w:r w:rsidRPr="00A3042C">
        <w:t xml:space="preserve"> </w:t>
      </w:r>
    </w:p>
    <w:p w14:paraId="5F22F217" w14:textId="58E385B8" w:rsidR="00016159" w:rsidRPr="00881B7D" w:rsidRDefault="00016159" w:rsidP="00A3042C">
      <w:r>
        <w:t xml:space="preserve">The </w:t>
      </w:r>
      <w:r w:rsidR="00403971">
        <w:t>following</w:t>
      </w:r>
      <w:r>
        <w:t xml:space="preserve"> </w:t>
      </w:r>
      <w:r w:rsidRPr="00881B7D">
        <w:t>section</w:t>
      </w:r>
      <w:r w:rsidR="00403971">
        <w:t>s</w:t>
      </w:r>
      <w:r w:rsidRPr="00881B7D">
        <w:t xml:space="preserve"> provide detailed trend analysis of key water quality constituents and other environmental drivers within each </w:t>
      </w:r>
      <w:r w:rsidRPr="001B52AD">
        <w:t xml:space="preserve">region. For the Wet Tropics </w:t>
      </w:r>
      <w:r w:rsidR="001B52AD" w:rsidRPr="004A5BF7">
        <w:t>r</w:t>
      </w:r>
      <w:r w:rsidR="001B52AD" w:rsidRPr="001B52AD">
        <w:t>egion</w:t>
      </w:r>
      <w:r w:rsidRPr="001B52AD">
        <w:t>, data are presented for sub-regions corresponding to major catchments.</w:t>
      </w:r>
      <w:r w:rsidRPr="00881B7D">
        <w:t xml:space="preserve"> </w:t>
      </w:r>
    </w:p>
    <w:p w14:paraId="5F22F218" w14:textId="77777777" w:rsidR="00016159" w:rsidRPr="00881B7D" w:rsidRDefault="00016159" w:rsidP="00016159">
      <w:pPr>
        <w:rPr>
          <w:lang w:val="en-AU"/>
        </w:rPr>
      </w:pPr>
      <w:r w:rsidRPr="00881B7D">
        <w:rPr>
          <w:lang w:val="en-AU"/>
        </w:rPr>
        <w:t xml:space="preserve">Specifically, the information provided here is focused on identification and interpretation of </w:t>
      </w:r>
      <w:r>
        <w:rPr>
          <w:lang w:val="en-AU"/>
        </w:rPr>
        <w:t xml:space="preserve">inter-annual trends </w:t>
      </w:r>
      <w:r w:rsidRPr="00881B7D">
        <w:rPr>
          <w:lang w:val="en-AU"/>
        </w:rPr>
        <w:t>observed in the environmental attributes monitored. For each region the following information is included and discussed:</w:t>
      </w:r>
    </w:p>
    <w:p w14:paraId="5F22F219" w14:textId="426B7A77" w:rsidR="00016159" w:rsidRPr="00881B7D" w:rsidRDefault="00016159" w:rsidP="00016159">
      <w:pPr>
        <w:pStyle w:val="ListParagraph"/>
        <w:numPr>
          <w:ilvl w:val="0"/>
          <w:numId w:val="14"/>
        </w:numPr>
        <w:rPr>
          <w:lang w:val="en-AU"/>
        </w:rPr>
      </w:pPr>
      <w:r w:rsidRPr="00881B7D">
        <w:rPr>
          <w:lang w:val="en-AU"/>
        </w:rPr>
        <w:t xml:space="preserve">A map of the water quality monitoring locations </w:t>
      </w:r>
      <w:r>
        <w:rPr>
          <w:lang w:val="en-AU"/>
        </w:rPr>
        <w:t xml:space="preserve">and the water bodies they are located in; a second map </w:t>
      </w:r>
      <w:r w:rsidRPr="00881B7D">
        <w:rPr>
          <w:lang w:val="en-AU"/>
        </w:rPr>
        <w:t>that categorises the long-term exposure of the area to flood plumes</w:t>
      </w:r>
      <w:r w:rsidRPr="003F61FB">
        <w:rPr>
          <w:lang w:val="en-AU"/>
        </w:rPr>
        <w:t xml:space="preserve"> </w:t>
      </w:r>
      <w:r w:rsidRPr="008E7490">
        <w:rPr>
          <w:lang w:val="en-AU"/>
        </w:rPr>
        <w:t>derived from satellite imagery</w:t>
      </w:r>
      <w:r w:rsidR="001A2A10">
        <w:rPr>
          <w:lang w:val="en-AU"/>
        </w:rPr>
        <w:t xml:space="preserve"> representing the </w:t>
      </w:r>
      <w:r w:rsidR="001A2A10" w:rsidRPr="00D66EEC">
        <w:rPr>
          <w:rFonts w:cs="Arial"/>
        </w:rPr>
        <w:t>proportion of time within wet season over 2007-2015 during which optical p</w:t>
      </w:r>
      <w:r w:rsidR="001A2A10">
        <w:rPr>
          <w:rFonts w:cs="Arial"/>
        </w:rPr>
        <w:t>roperties were consistent with Primary or S</w:t>
      </w:r>
      <w:r w:rsidR="001A2A10" w:rsidRPr="00D66EEC">
        <w:rPr>
          <w:rFonts w:cs="Arial"/>
        </w:rPr>
        <w:t xml:space="preserve">econdary </w:t>
      </w:r>
      <w:r w:rsidR="001A2A10">
        <w:rPr>
          <w:rFonts w:cs="Arial"/>
        </w:rPr>
        <w:t xml:space="preserve">plume water type </w:t>
      </w:r>
      <w:r w:rsidR="001A2A10" w:rsidRPr="00D66EEC">
        <w:rPr>
          <w:rFonts w:cs="Arial"/>
        </w:rPr>
        <w:t>characteristics</w:t>
      </w:r>
      <w:r w:rsidRPr="00881B7D">
        <w:rPr>
          <w:lang w:val="en-AU"/>
        </w:rPr>
        <w:t xml:space="preserve">. </w:t>
      </w:r>
    </w:p>
    <w:p w14:paraId="5F22F21A" w14:textId="77777777" w:rsidR="00016159" w:rsidRPr="00881B7D" w:rsidRDefault="00016159" w:rsidP="00016159">
      <w:pPr>
        <w:pStyle w:val="ListParagraph"/>
        <w:numPr>
          <w:ilvl w:val="0"/>
          <w:numId w:val="14"/>
        </w:numPr>
        <w:rPr>
          <w:lang w:val="en-AU"/>
        </w:rPr>
      </w:pPr>
      <w:r w:rsidRPr="00881B7D">
        <w:rPr>
          <w:lang w:val="en-AU"/>
        </w:rPr>
        <w:t xml:space="preserve">A figure providing time-series of the discharge from local rivers that influenced the region. </w:t>
      </w:r>
    </w:p>
    <w:p w14:paraId="5F22F21B" w14:textId="77777777" w:rsidR="00016159" w:rsidRPr="00881B7D" w:rsidRDefault="00016159" w:rsidP="00016159">
      <w:pPr>
        <w:pStyle w:val="ListParagraph"/>
        <w:numPr>
          <w:ilvl w:val="0"/>
          <w:numId w:val="14"/>
        </w:numPr>
        <w:rPr>
          <w:lang w:val="en-AU"/>
        </w:rPr>
      </w:pPr>
      <w:r w:rsidRPr="00881B7D">
        <w:rPr>
          <w:lang w:val="en-AU"/>
        </w:rPr>
        <w:t>A figure providing regional trends in key water quality parameters and the resultant t</w:t>
      </w:r>
      <w:r w:rsidR="005128DC">
        <w:rPr>
          <w:lang w:val="en-AU"/>
        </w:rPr>
        <w:t>rend in the water quality index</w:t>
      </w:r>
      <w:r>
        <w:rPr>
          <w:lang w:val="en-AU"/>
        </w:rPr>
        <w:t>, based on ambient sampling</w:t>
      </w:r>
      <w:r w:rsidR="005128DC">
        <w:rPr>
          <w:lang w:val="en-AU"/>
        </w:rPr>
        <w:t>.</w:t>
      </w:r>
      <w:r w:rsidRPr="00881B7D">
        <w:rPr>
          <w:lang w:val="en-AU"/>
        </w:rPr>
        <w:t xml:space="preserve"> </w:t>
      </w:r>
    </w:p>
    <w:p w14:paraId="5F22F21D" w14:textId="77777777" w:rsidR="00016159" w:rsidRPr="008467AA" w:rsidRDefault="00016159" w:rsidP="00016159">
      <w:pPr>
        <w:rPr>
          <w:color w:val="0070C0"/>
          <w:lang w:val="en-AU"/>
        </w:rPr>
      </w:pPr>
    </w:p>
    <w:p w14:paraId="5F22F21E" w14:textId="77777777" w:rsidR="00016159" w:rsidRPr="00881B7D" w:rsidRDefault="00016159" w:rsidP="00016159">
      <w:pPr>
        <w:rPr>
          <w:color w:val="000000" w:themeColor="text1"/>
          <w:lang w:val="en-AU"/>
        </w:rPr>
      </w:pPr>
      <w:r w:rsidRPr="00881B7D">
        <w:rPr>
          <w:color w:val="000000" w:themeColor="text1"/>
          <w:lang w:val="en-AU"/>
        </w:rPr>
        <w:t>Site-specific data and additional information tables are presented in Appendix 2 (referred to by Figure and Table numbers prefixed “A2”) and may be referred to where specific detail is required. These more detailed data summaries include:</w:t>
      </w:r>
    </w:p>
    <w:p w14:paraId="5F22F21F" w14:textId="77777777" w:rsidR="00F95745" w:rsidRDefault="00F95745" w:rsidP="00016159">
      <w:pPr>
        <w:pStyle w:val="ListParagraph"/>
        <w:numPr>
          <w:ilvl w:val="0"/>
          <w:numId w:val="15"/>
        </w:numPr>
        <w:spacing w:before="0" w:after="0"/>
        <w:jc w:val="left"/>
        <w:rPr>
          <w:rFonts w:cs="Arial"/>
          <w:color w:val="000000" w:themeColor="text1"/>
          <w:szCs w:val="22"/>
          <w:lang w:val="en-AU"/>
        </w:rPr>
      </w:pPr>
      <w:r>
        <w:rPr>
          <w:rFonts w:cs="Arial"/>
          <w:color w:val="000000" w:themeColor="text1"/>
          <w:szCs w:val="22"/>
          <w:lang w:val="en-AU"/>
        </w:rPr>
        <w:t>Table A2-1</w:t>
      </w:r>
      <w:r w:rsidRPr="008467AA">
        <w:rPr>
          <w:rFonts w:cs="Arial"/>
          <w:color w:val="000000" w:themeColor="text1"/>
          <w:szCs w:val="22"/>
          <w:lang w:val="en-AU"/>
        </w:rPr>
        <w:t xml:space="preserve"> Summary </w:t>
      </w:r>
      <w:r>
        <w:rPr>
          <w:rFonts w:cs="Arial"/>
          <w:color w:val="000000" w:themeColor="text1"/>
          <w:szCs w:val="22"/>
          <w:lang w:val="en-AU"/>
        </w:rPr>
        <w:t xml:space="preserve">of the relative annual discharge for the major GBR catchment rivers. </w:t>
      </w:r>
    </w:p>
    <w:p w14:paraId="5F22F220" w14:textId="77777777" w:rsidR="00F95745" w:rsidRDefault="00F95745" w:rsidP="00016159">
      <w:pPr>
        <w:pStyle w:val="ListParagraph"/>
        <w:numPr>
          <w:ilvl w:val="0"/>
          <w:numId w:val="15"/>
        </w:numPr>
        <w:spacing w:before="0" w:after="0"/>
        <w:jc w:val="left"/>
        <w:rPr>
          <w:rFonts w:cs="Arial"/>
          <w:color w:val="000000" w:themeColor="text1"/>
          <w:szCs w:val="22"/>
          <w:lang w:val="en-AU"/>
        </w:rPr>
      </w:pPr>
      <w:r>
        <w:rPr>
          <w:rFonts w:cs="Arial"/>
          <w:color w:val="000000" w:themeColor="text1"/>
          <w:szCs w:val="22"/>
          <w:lang w:val="en-AU"/>
        </w:rPr>
        <w:t>Table A2-</w:t>
      </w:r>
      <w:r w:rsidR="00B27C95">
        <w:rPr>
          <w:rFonts w:cs="Arial"/>
          <w:color w:val="000000" w:themeColor="text1"/>
          <w:szCs w:val="22"/>
          <w:lang w:val="en-AU"/>
        </w:rPr>
        <w:t xml:space="preserve">2 </w:t>
      </w:r>
      <w:r w:rsidR="00B27C95" w:rsidRPr="00881B7D">
        <w:rPr>
          <w:rFonts w:cs="Arial"/>
          <w:color w:val="000000" w:themeColor="text1"/>
          <w:szCs w:val="22"/>
          <w:lang w:val="en-AU"/>
        </w:rPr>
        <w:t xml:space="preserve">Annual summaries </w:t>
      </w:r>
      <w:r w:rsidR="00B27C95">
        <w:rPr>
          <w:rFonts w:cs="Arial"/>
          <w:color w:val="000000" w:themeColor="text1"/>
          <w:szCs w:val="22"/>
          <w:lang w:val="en-AU"/>
        </w:rPr>
        <w:t>of the 75</w:t>
      </w:r>
      <w:r w:rsidR="00B27C95" w:rsidRPr="003D550E">
        <w:rPr>
          <w:rFonts w:cs="Arial"/>
          <w:color w:val="000000" w:themeColor="text1"/>
          <w:szCs w:val="22"/>
          <w:vertAlign w:val="superscript"/>
          <w:lang w:val="en-AU"/>
        </w:rPr>
        <w:t>th</w:t>
      </w:r>
      <w:r w:rsidR="00B27C95">
        <w:rPr>
          <w:rFonts w:cs="Arial"/>
          <w:color w:val="000000" w:themeColor="text1"/>
          <w:szCs w:val="22"/>
          <w:lang w:val="en-AU"/>
        </w:rPr>
        <w:t xml:space="preserve"> and 95</w:t>
      </w:r>
      <w:r w:rsidR="00B27C95" w:rsidRPr="003D550E">
        <w:rPr>
          <w:rFonts w:cs="Arial"/>
          <w:color w:val="000000" w:themeColor="text1"/>
          <w:szCs w:val="22"/>
          <w:vertAlign w:val="superscript"/>
          <w:lang w:val="en-AU"/>
        </w:rPr>
        <w:t>th</w:t>
      </w:r>
      <w:r w:rsidR="00B27C95">
        <w:rPr>
          <w:rFonts w:cs="Arial"/>
          <w:color w:val="000000" w:themeColor="text1"/>
          <w:szCs w:val="22"/>
          <w:lang w:val="en-AU"/>
        </w:rPr>
        <w:t xml:space="preserve"> percentile flow of the major GBR rivers. </w:t>
      </w:r>
    </w:p>
    <w:p w14:paraId="5F22F221" w14:textId="6515EC85" w:rsidR="005128DC" w:rsidRPr="005128DC" w:rsidRDefault="005128DC" w:rsidP="00A42680">
      <w:pPr>
        <w:pStyle w:val="ListParagraph"/>
        <w:numPr>
          <w:ilvl w:val="0"/>
          <w:numId w:val="15"/>
        </w:numPr>
        <w:rPr>
          <w:lang w:val="en-AU"/>
        </w:rPr>
      </w:pPr>
      <w:r w:rsidRPr="00403971">
        <w:rPr>
          <w:rFonts w:cs="Arial"/>
          <w:color w:val="000000" w:themeColor="text1"/>
          <w:szCs w:val="22"/>
          <w:lang w:val="en-AU"/>
        </w:rPr>
        <w:t>Table A2-3</w:t>
      </w:r>
      <w:r>
        <w:rPr>
          <w:rFonts w:cs="Arial"/>
          <w:color w:val="000000" w:themeColor="text1"/>
          <w:szCs w:val="22"/>
          <w:lang w:val="en-AU"/>
        </w:rPr>
        <w:t xml:space="preserve"> </w:t>
      </w:r>
      <w:r w:rsidRPr="00403971">
        <w:rPr>
          <w:rFonts w:cs="Arial"/>
          <w:color w:val="000000" w:themeColor="text1"/>
          <w:szCs w:val="22"/>
          <w:lang w:val="en-AU"/>
        </w:rPr>
        <w:t>Summary statistics for each direct water sampling variable from each monitoring location.</w:t>
      </w:r>
    </w:p>
    <w:p w14:paraId="5F22F222" w14:textId="77777777" w:rsidR="00A42680" w:rsidRDefault="00A42680" w:rsidP="00A42680">
      <w:pPr>
        <w:pStyle w:val="ListParagraph"/>
        <w:numPr>
          <w:ilvl w:val="0"/>
          <w:numId w:val="15"/>
        </w:numPr>
        <w:rPr>
          <w:lang w:val="en-AU"/>
        </w:rPr>
      </w:pPr>
      <w:r w:rsidRPr="008467AA">
        <w:rPr>
          <w:lang w:val="en-AU"/>
        </w:rPr>
        <w:t xml:space="preserve">A set of </w:t>
      </w:r>
      <w:r>
        <w:rPr>
          <w:lang w:val="en-AU"/>
        </w:rPr>
        <w:t>figures (</w:t>
      </w:r>
      <w:r w:rsidR="00B27C95" w:rsidRPr="00B27C95">
        <w:rPr>
          <w:rFonts w:cs="Arial"/>
          <w:color w:val="000000" w:themeColor="text1"/>
          <w:szCs w:val="22"/>
          <w:lang w:val="en-AU"/>
        </w:rPr>
        <w:t>Figure A2-1 to A2-3</w:t>
      </w:r>
      <w:r>
        <w:rPr>
          <w:rFonts w:cs="Arial"/>
          <w:color w:val="000000" w:themeColor="text1"/>
          <w:szCs w:val="22"/>
          <w:lang w:val="en-AU"/>
        </w:rPr>
        <w:t>)</w:t>
      </w:r>
      <w:r w:rsidR="00B27C95" w:rsidRPr="00B27C95">
        <w:rPr>
          <w:rFonts w:cs="Arial"/>
          <w:color w:val="000000" w:themeColor="text1"/>
          <w:szCs w:val="22"/>
          <w:lang w:val="en-AU"/>
        </w:rPr>
        <w:t xml:space="preserve"> </w:t>
      </w:r>
      <w:r w:rsidRPr="008467AA">
        <w:rPr>
          <w:lang w:val="en-AU"/>
        </w:rPr>
        <w:t xml:space="preserve">providing </w:t>
      </w:r>
      <w:r>
        <w:rPr>
          <w:lang w:val="en-AU"/>
        </w:rPr>
        <w:t xml:space="preserve">flow rates and </w:t>
      </w:r>
      <w:r>
        <w:rPr>
          <w:rFonts w:eastAsia="SimSun" w:cs="Arial"/>
          <w:szCs w:val="22"/>
        </w:rPr>
        <w:t>l</w:t>
      </w:r>
      <w:r w:rsidRPr="00F84B87">
        <w:rPr>
          <w:rFonts w:eastAsia="SimSun" w:cs="Arial"/>
          <w:szCs w:val="22"/>
        </w:rPr>
        <w:t>ong-term total wet season discharge</w:t>
      </w:r>
      <w:r>
        <w:rPr>
          <w:rFonts w:eastAsia="SimSun" w:cs="Arial"/>
          <w:szCs w:val="22"/>
        </w:rPr>
        <w:t xml:space="preserve"> of major rivers (</w:t>
      </w:r>
      <w:r w:rsidRPr="00F84B87">
        <w:rPr>
          <w:rFonts w:eastAsia="SimSun" w:cs="Arial"/>
          <w:szCs w:val="22"/>
        </w:rPr>
        <w:t>Russell-Mulgrave</w:t>
      </w:r>
      <w:r>
        <w:rPr>
          <w:rFonts w:eastAsia="SimSun" w:cs="Arial"/>
          <w:szCs w:val="22"/>
        </w:rPr>
        <w:t>, Tully and Burdekin)</w:t>
      </w:r>
      <w:r w:rsidR="005128DC">
        <w:rPr>
          <w:rFonts w:eastAsia="SimSun" w:cs="Arial"/>
          <w:szCs w:val="22"/>
        </w:rPr>
        <w:t>.</w:t>
      </w:r>
    </w:p>
    <w:p w14:paraId="5F22F223" w14:textId="77777777" w:rsidR="005128DC" w:rsidRDefault="005128DC" w:rsidP="00B27C95">
      <w:pPr>
        <w:pStyle w:val="ListParagraph"/>
        <w:numPr>
          <w:ilvl w:val="0"/>
          <w:numId w:val="15"/>
        </w:numPr>
        <w:spacing w:before="0" w:after="0"/>
        <w:jc w:val="left"/>
        <w:rPr>
          <w:rFonts w:cs="Arial"/>
          <w:color w:val="000000" w:themeColor="text1"/>
          <w:szCs w:val="22"/>
          <w:lang w:val="en-AU"/>
        </w:rPr>
      </w:pPr>
      <w:r>
        <w:rPr>
          <w:rFonts w:cs="Arial"/>
          <w:color w:val="000000" w:themeColor="text1"/>
          <w:szCs w:val="22"/>
          <w:lang w:val="en-AU"/>
        </w:rPr>
        <w:t xml:space="preserve">Table A2-4 Annual </w:t>
      </w:r>
      <w:r w:rsidRPr="005128DC">
        <w:rPr>
          <w:rFonts w:cs="Arial"/>
          <w:color w:val="000000" w:themeColor="text1"/>
          <w:szCs w:val="22"/>
          <w:lang w:val="en-AU"/>
        </w:rPr>
        <w:t>summaries of</w:t>
      </w:r>
      <w:r>
        <w:rPr>
          <w:rFonts w:cs="Arial"/>
          <w:color w:val="000000" w:themeColor="text1"/>
          <w:szCs w:val="22"/>
          <w:lang w:val="en-AU"/>
        </w:rPr>
        <w:t xml:space="preserve"> direct water sampling data.</w:t>
      </w:r>
    </w:p>
    <w:p w14:paraId="5F22F224" w14:textId="77777777" w:rsidR="005128DC" w:rsidRDefault="00B27C95" w:rsidP="005128DC">
      <w:pPr>
        <w:pStyle w:val="ListParagraph"/>
        <w:numPr>
          <w:ilvl w:val="0"/>
          <w:numId w:val="15"/>
        </w:numPr>
        <w:spacing w:before="0" w:after="0"/>
        <w:jc w:val="left"/>
        <w:rPr>
          <w:rFonts w:cs="Arial"/>
          <w:color w:val="000000" w:themeColor="text1"/>
          <w:szCs w:val="22"/>
          <w:lang w:val="en-AU"/>
        </w:rPr>
      </w:pPr>
      <w:r w:rsidRPr="005128DC">
        <w:rPr>
          <w:rFonts w:cs="Arial"/>
          <w:color w:val="000000" w:themeColor="text1"/>
          <w:szCs w:val="22"/>
          <w:lang w:val="en-AU"/>
        </w:rPr>
        <w:t>Table A2-</w:t>
      </w:r>
      <w:r w:rsidR="005128DC">
        <w:rPr>
          <w:rFonts w:cs="Arial"/>
          <w:color w:val="000000" w:themeColor="text1"/>
          <w:szCs w:val="22"/>
          <w:lang w:val="en-AU"/>
        </w:rPr>
        <w:t>5</w:t>
      </w:r>
      <w:r w:rsidRPr="005128DC">
        <w:rPr>
          <w:rFonts w:cs="Arial"/>
          <w:color w:val="000000" w:themeColor="text1"/>
          <w:szCs w:val="22"/>
          <w:lang w:val="en-AU"/>
        </w:rPr>
        <w:t xml:space="preserve"> Annual summaries of W</w:t>
      </w:r>
      <w:r w:rsidR="005128DC">
        <w:rPr>
          <w:rFonts w:cs="Arial"/>
          <w:color w:val="000000" w:themeColor="text1"/>
          <w:szCs w:val="22"/>
          <w:lang w:val="en-AU"/>
        </w:rPr>
        <w:t xml:space="preserve">ET Labs ECO FLNTUSB Combination </w:t>
      </w:r>
      <w:r w:rsidRPr="005128DC">
        <w:rPr>
          <w:rFonts w:cs="Arial"/>
          <w:color w:val="000000" w:themeColor="text1"/>
          <w:szCs w:val="22"/>
          <w:lang w:val="en-AU"/>
        </w:rPr>
        <w:t>Fluorometer and Turbidity Sensor</w:t>
      </w:r>
      <w:r w:rsidR="00403971" w:rsidRPr="005128DC">
        <w:rPr>
          <w:rFonts w:cs="Arial"/>
          <w:color w:val="000000" w:themeColor="text1"/>
          <w:szCs w:val="22"/>
          <w:lang w:val="en-AU"/>
        </w:rPr>
        <w:t>-</w:t>
      </w:r>
      <w:r w:rsidRPr="005128DC">
        <w:rPr>
          <w:rFonts w:cs="Arial"/>
          <w:color w:val="000000" w:themeColor="text1"/>
          <w:szCs w:val="22"/>
          <w:lang w:val="en-AU"/>
        </w:rPr>
        <w:t>derived turbidity for each monitoring location.</w:t>
      </w:r>
    </w:p>
    <w:p w14:paraId="5F22F225" w14:textId="77777777" w:rsidR="00B27C95" w:rsidRPr="005128DC" w:rsidRDefault="00B27C95" w:rsidP="005128DC">
      <w:pPr>
        <w:pStyle w:val="ListParagraph"/>
        <w:numPr>
          <w:ilvl w:val="0"/>
          <w:numId w:val="15"/>
        </w:numPr>
        <w:spacing w:before="0" w:after="0"/>
        <w:jc w:val="left"/>
        <w:rPr>
          <w:rFonts w:cs="Arial"/>
          <w:color w:val="000000" w:themeColor="text1"/>
          <w:szCs w:val="22"/>
          <w:lang w:val="en-AU"/>
        </w:rPr>
      </w:pPr>
      <w:r w:rsidRPr="005128DC">
        <w:rPr>
          <w:rFonts w:cs="Arial"/>
          <w:color w:val="000000" w:themeColor="text1"/>
          <w:szCs w:val="22"/>
          <w:lang w:val="en-AU"/>
        </w:rPr>
        <w:t>Figure A2-4 Time-series of temperature, Chlorophyll a and turbidity derived from WET Labs ECO FLNTUSB Combination Fluorometer and Turbidity Sensors.</w:t>
      </w:r>
    </w:p>
    <w:p w14:paraId="5F22F226" w14:textId="77777777" w:rsidR="00B27C95" w:rsidRDefault="00B27C95" w:rsidP="00F95745">
      <w:pPr>
        <w:pStyle w:val="ListParagraph"/>
        <w:numPr>
          <w:ilvl w:val="0"/>
          <w:numId w:val="15"/>
        </w:numPr>
        <w:rPr>
          <w:lang w:val="en-AU"/>
        </w:rPr>
      </w:pPr>
      <w:r>
        <w:rPr>
          <w:rFonts w:cs="Arial"/>
          <w:color w:val="000000" w:themeColor="text1"/>
          <w:szCs w:val="22"/>
          <w:lang w:val="en-AU"/>
        </w:rPr>
        <w:t>Figure A2-5</w:t>
      </w:r>
      <w:r w:rsidRPr="00881B7D">
        <w:rPr>
          <w:rFonts w:cs="Arial"/>
          <w:color w:val="000000" w:themeColor="text1"/>
          <w:szCs w:val="22"/>
          <w:lang w:val="en-AU"/>
        </w:rPr>
        <w:t xml:space="preserve"> Time-series of temperature and salinity derived from the </w:t>
      </w:r>
      <w:r w:rsidRPr="00881B7D">
        <w:rPr>
          <w:rFonts w:cs="Arial"/>
          <w:szCs w:val="22"/>
          <w:lang w:val="en-AU"/>
        </w:rPr>
        <w:t>Sea-Bird Electronics (SBE) CTD profilers deployed at 8 stations</w:t>
      </w:r>
      <w:r w:rsidR="005128DC">
        <w:rPr>
          <w:rFonts w:cs="Arial"/>
          <w:szCs w:val="22"/>
          <w:lang w:val="en-AU"/>
        </w:rPr>
        <w:t>.</w:t>
      </w:r>
      <w:r w:rsidRPr="008467AA">
        <w:rPr>
          <w:lang w:val="en-AU"/>
        </w:rPr>
        <w:t xml:space="preserve"> </w:t>
      </w:r>
    </w:p>
    <w:p w14:paraId="5F22F227" w14:textId="77777777" w:rsidR="00A42680" w:rsidRPr="00A42680" w:rsidRDefault="00A42680" w:rsidP="00A42680">
      <w:pPr>
        <w:pStyle w:val="ListParagraph"/>
        <w:numPr>
          <w:ilvl w:val="0"/>
          <w:numId w:val="15"/>
        </w:numPr>
        <w:spacing w:before="0" w:after="0"/>
        <w:jc w:val="left"/>
        <w:rPr>
          <w:rFonts w:cs="Arial"/>
          <w:color w:val="000000" w:themeColor="text1"/>
          <w:szCs w:val="22"/>
          <w:lang w:val="en-AU"/>
        </w:rPr>
      </w:pPr>
      <w:r w:rsidRPr="00A42680">
        <w:rPr>
          <w:rFonts w:cs="Arial"/>
          <w:color w:val="000000" w:themeColor="text1"/>
          <w:szCs w:val="22"/>
          <w:lang w:val="en-AU"/>
        </w:rPr>
        <w:t>Table A2-</w:t>
      </w:r>
      <w:r w:rsidR="005128DC">
        <w:rPr>
          <w:rFonts w:cs="Arial"/>
          <w:color w:val="000000" w:themeColor="text1"/>
          <w:szCs w:val="22"/>
          <w:lang w:val="en-AU"/>
        </w:rPr>
        <w:t>6</w:t>
      </w:r>
      <w:r w:rsidRPr="00A42680">
        <w:rPr>
          <w:rFonts w:cs="Arial"/>
          <w:color w:val="000000" w:themeColor="text1"/>
          <w:szCs w:val="22"/>
          <w:lang w:val="en-AU"/>
        </w:rPr>
        <w:t xml:space="preserve"> Summary o</w:t>
      </w:r>
      <w:r>
        <w:rPr>
          <w:rFonts w:cs="Arial"/>
          <w:color w:val="000000" w:themeColor="text1"/>
          <w:szCs w:val="22"/>
          <w:lang w:val="en-AU"/>
        </w:rPr>
        <w:t>f</w:t>
      </w:r>
      <w:r w:rsidRPr="00A42680">
        <w:rPr>
          <w:rFonts w:cs="Arial"/>
          <w:color w:val="000000" w:themeColor="text1"/>
          <w:szCs w:val="22"/>
          <w:lang w:val="en-AU"/>
        </w:rPr>
        <w:t xml:space="preserve"> data collected during the 2014-2015 wet </w:t>
      </w:r>
      <w:r>
        <w:rPr>
          <w:rFonts w:cs="Arial"/>
          <w:color w:val="000000" w:themeColor="text1"/>
          <w:szCs w:val="22"/>
          <w:lang w:val="en-AU"/>
        </w:rPr>
        <w:t>season</w:t>
      </w:r>
      <w:r w:rsidRPr="00A42680">
        <w:rPr>
          <w:rFonts w:cs="Arial"/>
          <w:color w:val="000000" w:themeColor="text1"/>
          <w:szCs w:val="22"/>
          <w:lang w:val="en-AU"/>
        </w:rPr>
        <w:t xml:space="preserve">. </w:t>
      </w:r>
    </w:p>
    <w:p w14:paraId="5F22F228" w14:textId="151F9791" w:rsidR="00F95745" w:rsidRPr="008467AA" w:rsidRDefault="00F95745" w:rsidP="00F95745">
      <w:pPr>
        <w:pStyle w:val="ListParagraph"/>
        <w:numPr>
          <w:ilvl w:val="0"/>
          <w:numId w:val="15"/>
        </w:numPr>
        <w:rPr>
          <w:lang w:val="en-AU"/>
        </w:rPr>
      </w:pPr>
      <w:r w:rsidRPr="008467AA">
        <w:rPr>
          <w:lang w:val="en-AU"/>
        </w:rPr>
        <w:t>A set of tables</w:t>
      </w:r>
      <w:r w:rsidR="005128DC">
        <w:rPr>
          <w:lang w:val="en-AU"/>
        </w:rPr>
        <w:t xml:space="preserve"> (Table A2-7</w:t>
      </w:r>
      <w:r w:rsidR="00A42680">
        <w:rPr>
          <w:lang w:val="en-AU"/>
        </w:rPr>
        <w:t xml:space="preserve"> to A2-1</w:t>
      </w:r>
      <w:r w:rsidR="005128DC">
        <w:rPr>
          <w:lang w:val="en-AU"/>
        </w:rPr>
        <w:t>5</w:t>
      </w:r>
      <w:r w:rsidR="00A42680">
        <w:rPr>
          <w:lang w:val="en-AU"/>
        </w:rPr>
        <w:t>)</w:t>
      </w:r>
      <w:r w:rsidRPr="008467AA">
        <w:rPr>
          <w:lang w:val="en-AU"/>
        </w:rPr>
        <w:t xml:space="preserve"> providing outputs from correlation tables exploring the significant correlations </w:t>
      </w:r>
      <w:r w:rsidR="00861739">
        <w:rPr>
          <w:lang w:val="en-AU"/>
        </w:rPr>
        <w:t>between pairs of water quality parameters and then against wind and river discharge</w:t>
      </w:r>
      <w:r w:rsidR="005128DC">
        <w:rPr>
          <w:lang w:val="en-AU"/>
        </w:rPr>
        <w:t>.</w:t>
      </w:r>
    </w:p>
    <w:p w14:paraId="5F22F229" w14:textId="77777777" w:rsidR="00A42680" w:rsidRDefault="00A42680" w:rsidP="00A42680">
      <w:pPr>
        <w:pStyle w:val="ListParagraph"/>
        <w:numPr>
          <w:ilvl w:val="0"/>
          <w:numId w:val="15"/>
        </w:numPr>
        <w:rPr>
          <w:lang w:val="en-AU"/>
        </w:rPr>
      </w:pPr>
      <w:r w:rsidRPr="008467AA">
        <w:rPr>
          <w:lang w:val="en-AU"/>
        </w:rPr>
        <w:t xml:space="preserve">A set of </w:t>
      </w:r>
      <w:r>
        <w:rPr>
          <w:lang w:val="en-AU"/>
        </w:rPr>
        <w:t>figures (</w:t>
      </w:r>
      <w:r w:rsidRPr="00B27C95">
        <w:rPr>
          <w:rFonts w:cs="Arial"/>
          <w:color w:val="000000" w:themeColor="text1"/>
          <w:szCs w:val="22"/>
          <w:lang w:val="en-AU"/>
        </w:rPr>
        <w:t>Figure A2-</w:t>
      </w:r>
      <w:r>
        <w:rPr>
          <w:rFonts w:cs="Arial"/>
          <w:color w:val="000000" w:themeColor="text1"/>
          <w:szCs w:val="22"/>
          <w:lang w:val="en-AU"/>
        </w:rPr>
        <w:t>6</w:t>
      </w:r>
      <w:r w:rsidRPr="00B27C95">
        <w:rPr>
          <w:rFonts w:cs="Arial"/>
          <w:color w:val="000000" w:themeColor="text1"/>
          <w:szCs w:val="22"/>
          <w:lang w:val="en-AU"/>
        </w:rPr>
        <w:t xml:space="preserve"> to A2</w:t>
      </w:r>
      <w:r>
        <w:rPr>
          <w:rFonts w:cs="Arial"/>
          <w:color w:val="000000" w:themeColor="text1"/>
          <w:szCs w:val="22"/>
          <w:lang w:val="en-AU"/>
        </w:rPr>
        <w:t xml:space="preserve">-14) showing partial plots of water quality variables against river discharge for focus regions </w:t>
      </w:r>
      <w:r>
        <w:rPr>
          <w:rFonts w:eastAsia="SimSun" w:cs="Arial"/>
          <w:szCs w:val="22"/>
        </w:rPr>
        <w:t>(</w:t>
      </w:r>
      <w:r w:rsidRPr="00F84B87">
        <w:rPr>
          <w:rFonts w:eastAsia="SimSun" w:cs="Arial"/>
          <w:szCs w:val="22"/>
        </w:rPr>
        <w:t>Russell-Mulgrave</w:t>
      </w:r>
      <w:r>
        <w:rPr>
          <w:rFonts w:eastAsia="SimSun" w:cs="Arial"/>
          <w:szCs w:val="22"/>
        </w:rPr>
        <w:t>, Tully and Burdekin)</w:t>
      </w:r>
      <w:r w:rsidR="005128DC">
        <w:rPr>
          <w:rFonts w:eastAsia="SimSun" w:cs="Arial"/>
          <w:szCs w:val="22"/>
        </w:rPr>
        <w:t>.</w:t>
      </w:r>
    </w:p>
    <w:p w14:paraId="5F22F22A" w14:textId="77777777" w:rsidR="00053716" w:rsidRPr="005128DC" w:rsidRDefault="00053716" w:rsidP="00053716">
      <w:pPr>
        <w:pStyle w:val="ListParagraph"/>
        <w:numPr>
          <w:ilvl w:val="0"/>
          <w:numId w:val="15"/>
        </w:numPr>
        <w:spacing w:before="0" w:after="0"/>
        <w:jc w:val="left"/>
        <w:rPr>
          <w:rFonts w:cs="Arial"/>
          <w:color w:val="000000" w:themeColor="text1"/>
          <w:szCs w:val="22"/>
          <w:lang w:val="en-AU"/>
        </w:rPr>
      </w:pPr>
      <w:r w:rsidRPr="00A43A43">
        <w:rPr>
          <w:lang w:val="en-AU"/>
        </w:rPr>
        <w:t>T</w:t>
      </w:r>
      <w:r w:rsidRPr="00881B7D">
        <w:rPr>
          <w:lang w:val="en-AU"/>
        </w:rPr>
        <w:t xml:space="preserve">able A2- </w:t>
      </w:r>
      <w:r w:rsidR="005128DC">
        <w:rPr>
          <w:lang w:val="en-AU"/>
        </w:rPr>
        <w:t>16</w:t>
      </w:r>
      <w:r w:rsidRPr="00881B7D">
        <w:rPr>
          <w:lang w:val="en-AU"/>
        </w:rPr>
        <w:t xml:space="preserve"> Interim water quality index for each water quality sampling location.</w:t>
      </w:r>
    </w:p>
    <w:p w14:paraId="5F22F22B" w14:textId="77777777" w:rsidR="005128DC" w:rsidRPr="005128DC" w:rsidRDefault="005128DC" w:rsidP="00053716">
      <w:pPr>
        <w:pStyle w:val="ListParagraph"/>
        <w:numPr>
          <w:ilvl w:val="0"/>
          <w:numId w:val="15"/>
        </w:numPr>
        <w:spacing w:before="0" w:after="0"/>
        <w:jc w:val="left"/>
        <w:rPr>
          <w:rFonts w:cs="Arial"/>
          <w:color w:val="000000" w:themeColor="text1"/>
          <w:szCs w:val="22"/>
          <w:lang w:val="en-AU"/>
        </w:rPr>
      </w:pPr>
      <w:r w:rsidRPr="005128DC">
        <w:rPr>
          <w:lang w:val="en-AU"/>
        </w:rPr>
        <w:t>A set of figures (</w:t>
      </w:r>
      <w:r w:rsidRPr="005128DC">
        <w:rPr>
          <w:rFonts w:cs="Arial"/>
          <w:color w:val="000000" w:themeColor="text1"/>
          <w:szCs w:val="22"/>
          <w:lang w:val="en-AU"/>
        </w:rPr>
        <w:t>Figure A2-15 to A2-20) showing mixing plots for important water quality variables (DIN, DIP, Kd</w:t>
      </w:r>
      <w:r>
        <w:rPr>
          <w:rFonts w:cs="Arial"/>
          <w:color w:val="000000" w:themeColor="text1"/>
          <w:szCs w:val="22"/>
          <w:lang w:val="en-AU"/>
        </w:rPr>
        <w:t>,</w:t>
      </w:r>
      <w:r w:rsidRPr="005128DC">
        <w:rPr>
          <w:rFonts w:cs="Arial"/>
          <w:color w:val="000000" w:themeColor="text1"/>
          <w:szCs w:val="22"/>
          <w:lang w:val="en-AU"/>
        </w:rPr>
        <w:t xml:space="preserve"> TSS</w:t>
      </w:r>
      <w:r>
        <w:rPr>
          <w:rFonts w:cs="Arial"/>
          <w:color w:val="000000" w:themeColor="text1"/>
          <w:szCs w:val="22"/>
          <w:lang w:val="en-AU"/>
        </w:rPr>
        <w:t>,</w:t>
      </w:r>
      <w:r w:rsidRPr="005128DC">
        <w:rPr>
          <w:rFonts w:cs="Arial"/>
          <w:color w:val="000000" w:themeColor="text1"/>
          <w:szCs w:val="22"/>
          <w:lang w:val="en-AU"/>
        </w:rPr>
        <w:t xml:space="preserve"> Chl a</w:t>
      </w:r>
      <w:r>
        <w:rPr>
          <w:rFonts w:cs="Arial"/>
          <w:color w:val="000000" w:themeColor="text1"/>
          <w:szCs w:val="22"/>
          <w:lang w:val="en-AU"/>
        </w:rPr>
        <w:t>,</w:t>
      </w:r>
      <w:r w:rsidRPr="005128DC">
        <w:rPr>
          <w:rFonts w:cs="Arial"/>
          <w:color w:val="000000" w:themeColor="text1"/>
          <w:szCs w:val="22"/>
          <w:lang w:val="en-AU"/>
        </w:rPr>
        <w:t xml:space="preserve"> CDOM) for focus regions </w:t>
      </w:r>
      <w:r w:rsidRPr="005128DC">
        <w:rPr>
          <w:rFonts w:eastAsia="SimSun" w:cs="Arial"/>
          <w:szCs w:val="22"/>
        </w:rPr>
        <w:t>(Russell-Mulgrave, Tully and Burdekin).</w:t>
      </w:r>
    </w:p>
    <w:p w14:paraId="5F22F22E" w14:textId="77777777" w:rsidR="00790FF6" w:rsidRDefault="00790FF6">
      <w:pPr>
        <w:spacing w:before="0" w:after="0"/>
        <w:jc w:val="left"/>
        <w:rPr>
          <w:rStyle w:val="Heading20"/>
          <w:rFonts w:eastAsia="SimSun" w:cs="Arial"/>
          <w:b/>
          <w:sz w:val="24"/>
          <w:szCs w:val="24"/>
        </w:rPr>
      </w:pPr>
      <w:r>
        <w:rPr>
          <w:rStyle w:val="Heading20"/>
        </w:rPr>
        <w:br w:type="page"/>
      </w:r>
    </w:p>
    <w:p w14:paraId="5F22F22F" w14:textId="780642B4" w:rsidR="00BE393D" w:rsidRPr="002F27C9" w:rsidRDefault="00BE393D" w:rsidP="004A5BF7">
      <w:pPr>
        <w:pStyle w:val="Heading30"/>
        <w:numPr>
          <w:ilvl w:val="2"/>
          <w:numId w:val="42"/>
        </w:numPr>
        <w:rPr>
          <w:rStyle w:val="Heading20"/>
          <w:rFonts w:cs="Times New Roman"/>
          <w:b w:val="0"/>
          <w:i w:val="0"/>
          <w:sz w:val="22"/>
          <w:szCs w:val="20"/>
        </w:rPr>
      </w:pPr>
      <w:bookmarkStart w:id="1179" w:name="_Toc462307451"/>
      <w:r w:rsidRPr="002F27C9">
        <w:rPr>
          <w:rStyle w:val="Heading20"/>
        </w:rPr>
        <w:t>Wet Tropics Region: Barron Daintree sub-region</w:t>
      </w:r>
      <w:bookmarkEnd w:id="1179"/>
    </w:p>
    <w:p w14:paraId="5F22F230" w14:textId="77777777" w:rsidR="001857E0" w:rsidRPr="00EE6F82" w:rsidRDefault="005128DC" w:rsidP="00164E5E">
      <w:pPr>
        <w:pStyle w:val="Heading4"/>
      </w:pPr>
      <w:r>
        <w:t>Overview</w:t>
      </w:r>
    </w:p>
    <w:p w14:paraId="5F22F231" w14:textId="7C08EF48" w:rsidR="00317A18" w:rsidRPr="00A03137" w:rsidRDefault="0000083A" w:rsidP="0000083A">
      <w:pPr>
        <w:rPr>
          <w:szCs w:val="22"/>
          <w:lang w:val="en-AU"/>
        </w:rPr>
      </w:pPr>
      <w:r w:rsidRPr="000304E3">
        <w:rPr>
          <w:rFonts w:cs="Arial"/>
          <w:szCs w:val="22"/>
          <w:lang w:val="en-AU"/>
        </w:rPr>
        <w:t xml:space="preserve">The </w:t>
      </w:r>
      <w:r>
        <w:rPr>
          <w:rFonts w:cs="Arial"/>
          <w:szCs w:val="22"/>
          <w:lang w:val="en-AU"/>
        </w:rPr>
        <w:t>Barron Daintree</w:t>
      </w:r>
      <w:r w:rsidRPr="000304E3">
        <w:rPr>
          <w:rFonts w:cs="Arial"/>
          <w:szCs w:val="22"/>
          <w:lang w:val="en-AU"/>
        </w:rPr>
        <w:t xml:space="preserve"> sub-region</w:t>
      </w:r>
      <w:r>
        <w:rPr>
          <w:rFonts w:cs="Arial"/>
          <w:szCs w:val="22"/>
          <w:lang w:val="en-AU"/>
        </w:rPr>
        <w:t xml:space="preserve"> is primarily influenced by discharge from the Daintree, Mossman and Barron catchments</w:t>
      </w:r>
      <w:r w:rsidRPr="0000083A">
        <w:rPr>
          <w:rFonts w:cs="Arial"/>
          <w:szCs w:val="22"/>
          <w:lang w:val="en-AU"/>
        </w:rPr>
        <w:t xml:space="preserve"> </w:t>
      </w:r>
      <w:r w:rsidRPr="000304E3">
        <w:rPr>
          <w:rFonts w:cs="Arial"/>
          <w:szCs w:val="22"/>
          <w:lang w:val="en-AU"/>
        </w:rPr>
        <w:t>and to a lesser extent, by other</w:t>
      </w:r>
      <w:r>
        <w:rPr>
          <w:rFonts w:cs="Arial"/>
          <w:szCs w:val="22"/>
          <w:lang w:val="en-AU"/>
        </w:rPr>
        <w:t xml:space="preserve"> Wet Tropics</w:t>
      </w:r>
      <w:r w:rsidRPr="000304E3">
        <w:rPr>
          <w:rFonts w:cs="Arial"/>
          <w:szCs w:val="22"/>
          <w:lang w:val="en-AU"/>
        </w:rPr>
        <w:t xml:space="preserve"> rivers south of the sub-region (</w:t>
      </w:r>
      <w:r>
        <w:rPr>
          <w:rFonts w:cs="Arial"/>
          <w:szCs w:val="22"/>
          <w:lang w:val="en-AU"/>
        </w:rPr>
        <w:t>Brodie</w:t>
      </w:r>
      <w:r w:rsidRPr="000304E3">
        <w:rPr>
          <w:rFonts w:cs="Arial"/>
          <w:szCs w:val="22"/>
          <w:lang w:val="en-AU"/>
        </w:rPr>
        <w:t xml:space="preserve"> </w:t>
      </w:r>
      <w:r w:rsidRPr="005128DC">
        <w:rPr>
          <w:rFonts w:cs="Arial"/>
          <w:szCs w:val="22"/>
          <w:lang w:val="en-AU"/>
        </w:rPr>
        <w:t>et al.</w:t>
      </w:r>
      <w:r>
        <w:rPr>
          <w:rFonts w:cs="Arial"/>
          <w:szCs w:val="22"/>
          <w:lang w:val="en-AU"/>
        </w:rPr>
        <w:t>,</w:t>
      </w:r>
      <w:r w:rsidRPr="000304E3">
        <w:rPr>
          <w:rFonts w:cs="Arial"/>
          <w:szCs w:val="22"/>
          <w:lang w:val="en-AU"/>
        </w:rPr>
        <w:t xml:space="preserve"> 2013).</w:t>
      </w:r>
      <w:r>
        <w:rPr>
          <w:rFonts w:cs="Arial"/>
          <w:szCs w:val="22"/>
          <w:lang w:val="en-AU"/>
        </w:rPr>
        <w:t xml:space="preserve"> </w:t>
      </w:r>
      <w:r w:rsidRPr="004A5BF7">
        <w:rPr>
          <w:rFonts w:cs="Arial"/>
          <w:szCs w:val="22"/>
          <w:lang w:val="en-AU"/>
        </w:rPr>
        <w:t xml:space="preserve">The Daintree </w:t>
      </w:r>
      <w:r>
        <w:rPr>
          <w:rFonts w:cs="Arial"/>
          <w:szCs w:val="22"/>
          <w:lang w:val="en-AU"/>
        </w:rPr>
        <w:t>catchment</w:t>
      </w:r>
      <w:r w:rsidRPr="004A5BF7">
        <w:rPr>
          <w:rFonts w:cs="Arial"/>
          <w:szCs w:val="22"/>
          <w:lang w:val="en-AU"/>
        </w:rPr>
        <w:t xml:space="preserve"> has an area of 2,107</w:t>
      </w:r>
      <w:r w:rsidR="00B01257">
        <w:rPr>
          <w:rFonts w:cs="Arial"/>
          <w:szCs w:val="22"/>
          <w:lang w:val="en-AU"/>
        </w:rPr>
        <w:t xml:space="preserve"> </w:t>
      </w:r>
      <w:r w:rsidRPr="004A5BF7">
        <w:rPr>
          <w:rFonts w:cs="Arial"/>
          <w:szCs w:val="22"/>
          <w:lang w:val="en-AU"/>
        </w:rPr>
        <w:t>km</w:t>
      </w:r>
      <w:r w:rsidRPr="004A5BF7">
        <w:rPr>
          <w:rFonts w:cs="Arial"/>
          <w:szCs w:val="22"/>
          <w:vertAlign w:val="superscript"/>
          <w:lang w:val="en-AU"/>
        </w:rPr>
        <w:t>2</w:t>
      </w:r>
      <w:r w:rsidRPr="004A5BF7">
        <w:rPr>
          <w:rFonts w:cs="Arial"/>
          <w:szCs w:val="22"/>
          <w:lang w:val="en-AU"/>
        </w:rPr>
        <w:t xml:space="preserve"> and has a high proportion of protected areas (56% natural/minimise use lands and 32% forestry). Remaining area consists of 7% grazing</w:t>
      </w:r>
      <w:r>
        <w:rPr>
          <w:rFonts w:cs="Arial"/>
          <w:szCs w:val="22"/>
          <w:lang w:val="en-AU"/>
        </w:rPr>
        <w:t xml:space="preserve"> and to a lesser extent, </w:t>
      </w:r>
      <w:r w:rsidRPr="004A5BF7">
        <w:rPr>
          <w:rFonts w:cs="Arial"/>
          <w:szCs w:val="22"/>
          <w:lang w:val="en-AU"/>
        </w:rPr>
        <w:t>sugarcane</w:t>
      </w:r>
      <w:r>
        <w:rPr>
          <w:rFonts w:cs="Arial"/>
          <w:szCs w:val="22"/>
          <w:lang w:val="en-AU"/>
        </w:rPr>
        <w:t xml:space="preserve"> and </w:t>
      </w:r>
      <w:r w:rsidRPr="004A5BF7">
        <w:rPr>
          <w:rFonts w:cs="Arial"/>
          <w:szCs w:val="22"/>
          <w:lang w:val="en-AU"/>
        </w:rPr>
        <w:t xml:space="preserve">urban </w:t>
      </w:r>
      <w:r>
        <w:rPr>
          <w:rFonts w:cs="Arial"/>
          <w:szCs w:val="22"/>
          <w:lang w:val="en-AU"/>
        </w:rPr>
        <w:t>areas</w:t>
      </w:r>
      <w:r w:rsidRPr="004A5BF7">
        <w:rPr>
          <w:rFonts w:cs="Arial"/>
          <w:szCs w:val="22"/>
          <w:lang w:val="en-AU"/>
        </w:rPr>
        <w:t xml:space="preserve">. The Mossman </w:t>
      </w:r>
      <w:r>
        <w:rPr>
          <w:rFonts w:cs="Arial"/>
          <w:szCs w:val="22"/>
          <w:lang w:val="en-AU"/>
        </w:rPr>
        <w:t>catchment</w:t>
      </w:r>
      <w:r w:rsidRPr="004A5BF7">
        <w:rPr>
          <w:rFonts w:cs="Arial"/>
          <w:szCs w:val="22"/>
          <w:lang w:val="en-AU"/>
        </w:rPr>
        <w:t xml:space="preserve"> has an area of 479</w:t>
      </w:r>
      <w:r w:rsidR="00B01257">
        <w:rPr>
          <w:rFonts w:cs="Arial"/>
          <w:szCs w:val="22"/>
          <w:lang w:val="en-AU"/>
        </w:rPr>
        <w:t xml:space="preserve"> </w:t>
      </w:r>
      <w:r w:rsidRPr="004A5BF7">
        <w:rPr>
          <w:rFonts w:cs="Arial"/>
          <w:szCs w:val="22"/>
          <w:lang w:val="en-AU"/>
        </w:rPr>
        <w:t>km</w:t>
      </w:r>
      <w:r w:rsidRPr="004A5BF7">
        <w:rPr>
          <w:rFonts w:cs="Arial"/>
          <w:szCs w:val="22"/>
          <w:vertAlign w:val="superscript"/>
          <w:lang w:val="en-AU"/>
        </w:rPr>
        <w:t>2</w:t>
      </w:r>
      <w:r w:rsidRPr="004A5BF7">
        <w:rPr>
          <w:rFonts w:cs="Arial"/>
          <w:szCs w:val="22"/>
          <w:lang w:val="en-AU"/>
        </w:rPr>
        <w:t xml:space="preserve"> and consists of 76% natural/minimal use lands, </w:t>
      </w:r>
      <w:r w:rsidRPr="006D2DA9">
        <w:rPr>
          <w:rFonts w:cs="Arial"/>
          <w:szCs w:val="22"/>
          <w:lang w:val="en-AU"/>
        </w:rPr>
        <w:t>10% sugarcane</w:t>
      </w:r>
      <w:r>
        <w:rPr>
          <w:rFonts w:cs="Arial"/>
          <w:szCs w:val="22"/>
          <w:lang w:val="en-AU"/>
        </w:rPr>
        <w:t xml:space="preserve"> and smaller areas of </w:t>
      </w:r>
      <w:r w:rsidRPr="004A5BF7">
        <w:rPr>
          <w:rFonts w:cs="Arial"/>
          <w:szCs w:val="22"/>
          <w:lang w:val="en-AU"/>
        </w:rPr>
        <w:t>grazing</w:t>
      </w:r>
      <w:r>
        <w:rPr>
          <w:rFonts w:cs="Arial"/>
          <w:szCs w:val="22"/>
          <w:lang w:val="en-AU"/>
        </w:rPr>
        <w:t xml:space="preserve"> and urban</w:t>
      </w:r>
      <w:r w:rsidRPr="004A5BF7">
        <w:rPr>
          <w:rFonts w:cs="Arial"/>
          <w:szCs w:val="22"/>
          <w:lang w:val="en-AU"/>
        </w:rPr>
        <w:t xml:space="preserve"> land uses. The Barron </w:t>
      </w:r>
      <w:r>
        <w:rPr>
          <w:rFonts w:cs="Arial"/>
          <w:szCs w:val="22"/>
          <w:lang w:val="en-AU"/>
        </w:rPr>
        <w:t>catchment</w:t>
      </w:r>
      <w:r w:rsidRPr="004A5BF7">
        <w:rPr>
          <w:rFonts w:cs="Arial"/>
          <w:szCs w:val="22"/>
          <w:lang w:val="en-AU"/>
        </w:rPr>
        <w:t xml:space="preserve"> has an area of 2189 km</w:t>
      </w:r>
      <w:r w:rsidRPr="004A5BF7">
        <w:rPr>
          <w:rFonts w:cs="Arial"/>
          <w:szCs w:val="22"/>
          <w:vertAlign w:val="superscript"/>
          <w:lang w:val="en-AU"/>
        </w:rPr>
        <w:t>2</w:t>
      </w:r>
      <w:r w:rsidRPr="004A5BF7">
        <w:rPr>
          <w:rFonts w:cs="Arial"/>
          <w:szCs w:val="22"/>
          <w:lang w:val="en-AU"/>
        </w:rPr>
        <w:t xml:space="preserve"> and consists of 29% natural/minimal use lands, 31% grazing, 18% forestry, </w:t>
      </w:r>
      <w:r>
        <w:rPr>
          <w:rFonts w:cs="Arial"/>
          <w:szCs w:val="22"/>
          <w:lang w:val="en-AU"/>
        </w:rPr>
        <w:t>11</w:t>
      </w:r>
      <w:r w:rsidRPr="004A5BF7">
        <w:rPr>
          <w:rFonts w:cs="Arial"/>
          <w:szCs w:val="22"/>
          <w:lang w:val="en-AU"/>
        </w:rPr>
        <w:t>% crop</w:t>
      </w:r>
      <w:r>
        <w:rPr>
          <w:rFonts w:cs="Arial"/>
          <w:szCs w:val="22"/>
          <w:lang w:val="en-AU"/>
        </w:rPr>
        <w:t>ping including</w:t>
      </w:r>
      <w:r w:rsidRPr="004A5BF7">
        <w:rPr>
          <w:rFonts w:cs="Arial"/>
          <w:szCs w:val="22"/>
          <w:lang w:val="en-AU"/>
        </w:rPr>
        <w:t xml:space="preserve"> bananas</w:t>
      </w:r>
      <w:r>
        <w:rPr>
          <w:rFonts w:cs="Arial"/>
          <w:szCs w:val="22"/>
          <w:lang w:val="en-AU"/>
        </w:rPr>
        <w:t xml:space="preserve"> and</w:t>
      </w:r>
      <w:r w:rsidRPr="004A5BF7">
        <w:rPr>
          <w:rFonts w:cs="Arial"/>
          <w:szCs w:val="22"/>
          <w:lang w:val="en-AU"/>
        </w:rPr>
        <w:t xml:space="preserve"> sugarcane, </w:t>
      </w:r>
      <w:r>
        <w:rPr>
          <w:rFonts w:cs="Arial"/>
          <w:szCs w:val="22"/>
          <w:lang w:val="en-AU"/>
        </w:rPr>
        <w:t xml:space="preserve">and smaller areas of </w:t>
      </w:r>
      <w:r w:rsidRPr="004A5BF7">
        <w:rPr>
          <w:rFonts w:cs="Arial"/>
          <w:szCs w:val="22"/>
          <w:lang w:val="en-AU"/>
        </w:rPr>
        <w:t>dairy</w:t>
      </w:r>
      <w:r>
        <w:rPr>
          <w:rFonts w:cs="Arial"/>
          <w:szCs w:val="22"/>
          <w:lang w:val="en-AU"/>
        </w:rPr>
        <w:t xml:space="preserve"> and </w:t>
      </w:r>
      <w:r w:rsidRPr="004A5BF7">
        <w:rPr>
          <w:rFonts w:cs="Arial"/>
          <w:szCs w:val="22"/>
          <w:lang w:val="en-AU"/>
        </w:rPr>
        <w:t>urban land uses</w:t>
      </w:r>
      <w:r>
        <w:rPr>
          <w:rFonts w:cs="Arial"/>
          <w:szCs w:val="22"/>
          <w:lang w:val="en-AU"/>
        </w:rPr>
        <w:t xml:space="preserve"> (Terrain NRM, 2015)</w:t>
      </w:r>
      <w:r w:rsidRPr="004A5BF7">
        <w:rPr>
          <w:rFonts w:cs="Arial"/>
          <w:szCs w:val="22"/>
          <w:lang w:val="en-AU"/>
        </w:rPr>
        <w:t>.</w:t>
      </w:r>
      <w:r w:rsidR="00967627">
        <w:rPr>
          <w:szCs w:val="22"/>
          <w:lang w:val="en-AU"/>
        </w:rPr>
        <w:t xml:space="preserve"> </w:t>
      </w:r>
      <w:r w:rsidR="00967627" w:rsidRPr="004A5BF7">
        <w:rPr>
          <w:szCs w:val="22"/>
          <w:lang w:val="en-AU"/>
        </w:rPr>
        <w:t xml:space="preserve">The Barron River is the most </w:t>
      </w:r>
      <w:r w:rsidR="00967627">
        <w:rPr>
          <w:szCs w:val="22"/>
          <w:lang w:val="en-AU"/>
        </w:rPr>
        <w:t xml:space="preserve">hydrologically </w:t>
      </w:r>
      <w:r w:rsidR="00967627" w:rsidRPr="004A5BF7">
        <w:rPr>
          <w:szCs w:val="22"/>
          <w:lang w:val="en-AU"/>
        </w:rPr>
        <w:t>modified river in the Wet Tropics region and is heavily regulated by water supply infrastructure.</w:t>
      </w:r>
    </w:p>
    <w:p w14:paraId="5F22F232" w14:textId="4D5FCC63" w:rsidR="00317A18" w:rsidRPr="00A03137" w:rsidRDefault="00317A18" w:rsidP="00317A18">
      <w:pPr>
        <w:rPr>
          <w:szCs w:val="22"/>
          <w:lang w:val="en-AU"/>
        </w:rPr>
      </w:pPr>
      <w:r w:rsidRPr="00A03137">
        <w:rPr>
          <w:szCs w:val="22"/>
          <w:lang w:val="en-AU"/>
        </w:rPr>
        <w:t>Until the end of 2014, seven stations were sampled three times per year to determine the region</w:t>
      </w:r>
      <w:r w:rsidR="007E5FC8">
        <w:rPr>
          <w:szCs w:val="22"/>
          <w:lang w:val="en-AU"/>
        </w:rPr>
        <w:t>al</w:t>
      </w:r>
      <w:r w:rsidRPr="00A03137">
        <w:rPr>
          <w:szCs w:val="22"/>
          <w:lang w:val="en-AU"/>
        </w:rPr>
        <w:t xml:space="preserve"> </w:t>
      </w:r>
      <w:r w:rsidRPr="00A03137">
        <w:rPr>
          <w:rFonts w:cs="Arial"/>
          <w:szCs w:val="22"/>
          <w:lang w:val="en-AU"/>
        </w:rPr>
        <w:t xml:space="preserve">water quality. </w:t>
      </w:r>
      <w:r w:rsidRPr="00A03137">
        <w:rPr>
          <w:szCs w:val="22"/>
          <w:lang w:val="en-AU"/>
        </w:rPr>
        <w:t xml:space="preserve">Under the revised MMP water quality sampling design </w:t>
      </w:r>
      <w:r w:rsidRPr="00A03137">
        <w:rPr>
          <w:rFonts w:cs="Arial"/>
          <w:szCs w:val="22"/>
          <w:lang w:val="en-AU"/>
        </w:rPr>
        <w:t>implemented in 2015</w:t>
      </w:r>
      <w:r w:rsidR="00C427CE">
        <w:rPr>
          <w:rFonts w:cs="Arial"/>
          <w:szCs w:val="22"/>
          <w:lang w:val="en-AU"/>
        </w:rPr>
        <w:t xml:space="preserve"> the </w:t>
      </w:r>
      <w:r w:rsidR="00C427CE">
        <w:rPr>
          <w:szCs w:val="22"/>
          <w:lang w:val="en-AU"/>
        </w:rPr>
        <w:t>Snapper Island site was discontinued and</w:t>
      </w:r>
      <w:r w:rsidRPr="00A03137">
        <w:rPr>
          <w:rFonts w:cs="Arial"/>
          <w:szCs w:val="22"/>
          <w:lang w:val="en-AU"/>
        </w:rPr>
        <w:t xml:space="preserve"> </w:t>
      </w:r>
      <w:r w:rsidRPr="00A03137">
        <w:rPr>
          <w:szCs w:val="22"/>
          <w:lang w:val="en-AU"/>
        </w:rPr>
        <w:t xml:space="preserve">this sub-region </w:t>
      </w:r>
      <w:r w:rsidR="00C427CE">
        <w:rPr>
          <w:szCs w:val="22"/>
          <w:lang w:val="en-AU"/>
        </w:rPr>
        <w:t xml:space="preserve">therefore now </w:t>
      </w:r>
      <w:r w:rsidRPr="00A03137">
        <w:rPr>
          <w:szCs w:val="22"/>
          <w:lang w:val="en-AU"/>
        </w:rPr>
        <w:t xml:space="preserve">contains the six open water sites of the ‘Cairns long-term water quality transect’, which are sampled three times a year. Most of the sampling locations in this region are frequently exposed to </w:t>
      </w:r>
      <w:r w:rsidR="00E0353D">
        <w:rPr>
          <w:szCs w:val="22"/>
          <w:lang w:val="en-AU"/>
        </w:rPr>
        <w:t>S</w:t>
      </w:r>
      <w:r w:rsidRPr="00A03137">
        <w:rPr>
          <w:szCs w:val="22"/>
          <w:lang w:val="en-AU"/>
        </w:rPr>
        <w:t>econdary plume waters (</w:t>
      </w:r>
      <w:r w:rsidR="00E0353D">
        <w:rPr>
          <w:szCs w:val="22"/>
          <w:lang w:val="en-AU"/>
        </w:rPr>
        <w:fldChar w:fldCharType="begin"/>
      </w:r>
      <w:r w:rsidR="00E0353D">
        <w:rPr>
          <w:szCs w:val="22"/>
          <w:lang w:val="en-AU"/>
        </w:rPr>
        <w:instrText xml:space="preserve"> REF _Ref452303573 \h </w:instrText>
      </w:r>
      <w:r w:rsidR="00E0353D">
        <w:rPr>
          <w:szCs w:val="22"/>
          <w:lang w:val="en-AU"/>
        </w:rPr>
      </w:r>
      <w:r w:rsidR="00E0353D">
        <w:rPr>
          <w:szCs w:val="22"/>
          <w:lang w:val="en-AU"/>
        </w:rPr>
        <w:fldChar w:fldCharType="separate"/>
      </w:r>
      <w:r w:rsidR="007F5336" w:rsidRPr="00202A68">
        <w:t xml:space="preserve">Figure </w:t>
      </w:r>
      <w:r w:rsidR="007F5336">
        <w:rPr>
          <w:noProof/>
        </w:rPr>
        <w:t>5</w:t>
      </w:r>
      <w:r w:rsidR="007F5336">
        <w:noBreakHyphen/>
      </w:r>
      <w:r w:rsidR="007F5336">
        <w:rPr>
          <w:noProof/>
        </w:rPr>
        <w:t>17</w:t>
      </w:r>
      <w:r w:rsidR="00E0353D">
        <w:rPr>
          <w:szCs w:val="22"/>
          <w:lang w:val="en-AU"/>
        </w:rPr>
        <w:fldChar w:fldCharType="end"/>
      </w:r>
      <w:r w:rsidRPr="00A03137">
        <w:rPr>
          <w:szCs w:val="22"/>
          <w:lang w:val="en-AU"/>
        </w:rPr>
        <w:t xml:space="preserve">, definitions of exposure categories in caption). Two Cairns transect </w:t>
      </w:r>
      <w:r w:rsidR="004F0906">
        <w:rPr>
          <w:szCs w:val="22"/>
          <w:lang w:val="en-AU"/>
        </w:rPr>
        <w:t>stations</w:t>
      </w:r>
      <w:r w:rsidRPr="00A03137">
        <w:rPr>
          <w:szCs w:val="22"/>
          <w:lang w:val="en-AU"/>
        </w:rPr>
        <w:t xml:space="preserve"> in Trinity Inlet are exposed to </w:t>
      </w:r>
      <w:r w:rsidR="00E0353D">
        <w:rPr>
          <w:szCs w:val="22"/>
          <w:lang w:val="en-AU"/>
        </w:rPr>
        <w:t>Primary or S</w:t>
      </w:r>
      <w:r w:rsidRPr="00A03137">
        <w:rPr>
          <w:szCs w:val="22"/>
          <w:lang w:val="en-AU"/>
        </w:rPr>
        <w:t>econdary plume</w:t>
      </w:r>
      <w:r w:rsidR="00B01257">
        <w:rPr>
          <w:szCs w:val="22"/>
          <w:lang w:val="en-AU"/>
        </w:rPr>
        <w:t xml:space="preserve"> </w:t>
      </w:r>
      <w:r w:rsidRPr="00A03137">
        <w:rPr>
          <w:szCs w:val="22"/>
          <w:lang w:val="en-AU"/>
        </w:rPr>
        <w:t>waters most days during</w:t>
      </w:r>
      <w:r w:rsidR="004F0906">
        <w:rPr>
          <w:szCs w:val="22"/>
          <w:lang w:val="en-AU"/>
        </w:rPr>
        <w:t xml:space="preserve"> the wet season, while the two stations</w:t>
      </w:r>
      <w:r w:rsidRPr="00A03137">
        <w:rPr>
          <w:szCs w:val="22"/>
          <w:lang w:val="en-AU"/>
        </w:rPr>
        <w:t xml:space="preserve"> in the midshelf water body (Green and Double, </w:t>
      </w:r>
      <w:r w:rsidR="00EB33A6">
        <w:rPr>
          <w:szCs w:val="22"/>
          <w:lang w:val="en-AU"/>
        </w:rPr>
        <w:fldChar w:fldCharType="begin"/>
      </w:r>
      <w:r w:rsidR="00F64881">
        <w:rPr>
          <w:szCs w:val="22"/>
          <w:lang w:val="en-AU"/>
        </w:rPr>
        <w:instrText xml:space="preserve"> REF _Ref438136160 \h </w:instrText>
      </w:r>
      <w:r w:rsidR="00EB33A6">
        <w:rPr>
          <w:szCs w:val="22"/>
          <w:lang w:val="en-AU"/>
        </w:rPr>
      </w:r>
      <w:r w:rsidR="00EB33A6">
        <w:rPr>
          <w:szCs w:val="22"/>
          <w:lang w:val="en-AU"/>
        </w:rPr>
        <w:fldChar w:fldCharType="separate"/>
      </w:r>
      <w:r w:rsidR="007F5336" w:rsidRPr="00202A68">
        <w:t xml:space="preserve">Figure </w:t>
      </w:r>
      <w:r w:rsidR="007F5336">
        <w:rPr>
          <w:noProof/>
        </w:rPr>
        <w:t>5</w:t>
      </w:r>
      <w:r w:rsidR="007F5336">
        <w:noBreakHyphen/>
      </w:r>
      <w:r w:rsidR="007F5336">
        <w:rPr>
          <w:noProof/>
        </w:rPr>
        <w:t>17</w:t>
      </w:r>
      <w:r w:rsidR="00EB33A6">
        <w:rPr>
          <w:szCs w:val="22"/>
          <w:lang w:val="en-AU"/>
        </w:rPr>
        <w:fldChar w:fldCharType="end"/>
      </w:r>
      <w:r w:rsidRPr="00A03137">
        <w:rPr>
          <w:szCs w:val="22"/>
          <w:lang w:val="en-AU"/>
        </w:rPr>
        <w:t xml:space="preserve">) are rarely exposed to </w:t>
      </w:r>
      <w:r w:rsidR="00E0353D">
        <w:rPr>
          <w:szCs w:val="22"/>
          <w:lang w:val="en-AU"/>
        </w:rPr>
        <w:t>Primary or S</w:t>
      </w:r>
      <w:r w:rsidR="00E0353D" w:rsidRPr="00A03137">
        <w:rPr>
          <w:szCs w:val="22"/>
          <w:lang w:val="en-AU"/>
        </w:rPr>
        <w:t xml:space="preserve">econdary </w:t>
      </w:r>
      <w:r w:rsidRPr="00A03137">
        <w:rPr>
          <w:szCs w:val="22"/>
          <w:lang w:val="en-AU"/>
        </w:rPr>
        <w:t xml:space="preserve">plume waters. </w:t>
      </w:r>
    </w:p>
    <w:p w14:paraId="5F22F233" w14:textId="039508E1" w:rsidR="00317A18" w:rsidRDefault="00317A18" w:rsidP="00317A18">
      <w:pPr>
        <w:rPr>
          <w:lang w:val="en-AU"/>
        </w:rPr>
      </w:pPr>
      <w:r w:rsidRPr="00A03137">
        <w:rPr>
          <w:szCs w:val="22"/>
          <w:lang w:val="en-AU"/>
        </w:rPr>
        <w:t xml:space="preserve">Over the period 2006 to 2012, annual </w:t>
      </w:r>
      <w:r w:rsidR="004E5061">
        <w:rPr>
          <w:szCs w:val="22"/>
          <w:lang w:val="en-AU"/>
        </w:rPr>
        <w:t xml:space="preserve">combined </w:t>
      </w:r>
      <w:r w:rsidRPr="00A03137">
        <w:rPr>
          <w:szCs w:val="22"/>
          <w:lang w:val="en-AU"/>
        </w:rPr>
        <w:t xml:space="preserve">discharge for both the Daintree and Barron </w:t>
      </w:r>
      <w:r w:rsidR="00861739">
        <w:rPr>
          <w:szCs w:val="22"/>
          <w:lang w:val="en-AU"/>
        </w:rPr>
        <w:t>R</w:t>
      </w:r>
      <w:r w:rsidR="00861739" w:rsidRPr="00A03137">
        <w:rPr>
          <w:szCs w:val="22"/>
          <w:lang w:val="en-AU"/>
        </w:rPr>
        <w:t xml:space="preserve">ivers </w:t>
      </w:r>
      <w:r w:rsidRPr="00A03137">
        <w:rPr>
          <w:szCs w:val="22"/>
          <w:lang w:val="en-AU"/>
        </w:rPr>
        <w:t>has been at, or slightly above, median levels in most years with major floods of the Barron River in 2008 and again in 2011 when the Daintree River also flooded (</w:t>
      </w:r>
      <w:r w:rsidR="00EB33A6">
        <w:rPr>
          <w:szCs w:val="22"/>
          <w:lang w:val="en-AU"/>
        </w:rPr>
        <w:fldChar w:fldCharType="begin"/>
      </w:r>
      <w:r w:rsidR="00F64881">
        <w:rPr>
          <w:szCs w:val="22"/>
          <w:lang w:val="en-AU"/>
        </w:rPr>
        <w:instrText xml:space="preserve"> REF _Ref438136178 \h </w:instrText>
      </w:r>
      <w:r w:rsidR="00EB33A6">
        <w:rPr>
          <w:szCs w:val="22"/>
          <w:lang w:val="en-AU"/>
        </w:rPr>
      </w:r>
      <w:r w:rsidR="00EB33A6">
        <w:rPr>
          <w:szCs w:val="22"/>
          <w:lang w:val="en-AU"/>
        </w:rPr>
        <w:fldChar w:fldCharType="separate"/>
      </w:r>
      <w:r w:rsidR="007F5336" w:rsidRPr="00202A68">
        <w:t xml:space="preserve">Figure </w:t>
      </w:r>
      <w:r w:rsidR="007F5336">
        <w:rPr>
          <w:noProof/>
        </w:rPr>
        <w:t>5</w:t>
      </w:r>
      <w:r w:rsidR="007F5336">
        <w:noBreakHyphen/>
      </w:r>
      <w:r w:rsidR="007F5336">
        <w:rPr>
          <w:noProof/>
        </w:rPr>
        <w:t>18</w:t>
      </w:r>
      <w:r w:rsidR="00EB33A6">
        <w:rPr>
          <w:szCs w:val="22"/>
          <w:lang w:val="en-AU"/>
        </w:rPr>
        <w:fldChar w:fldCharType="end"/>
      </w:r>
      <w:r w:rsidR="00F64881">
        <w:rPr>
          <w:szCs w:val="22"/>
          <w:lang w:val="en-AU"/>
        </w:rPr>
        <w:t xml:space="preserve">, </w:t>
      </w:r>
      <w:r w:rsidRPr="00A03137">
        <w:rPr>
          <w:szCs w:val="22"/>
          <w:lang w:val="en-AU"/>
        </w:rPr>
        <w:t xml:space="preserve">Table A2-1). The </w:t>
      </w:r>
      <w:r w:rsidR="00E0353D">
        <w:rPr>
          <w:szCs w:val="22"/>
          <w:lang w:val="en-AU"/>
        </w:rPr>
        <w:t xml:space="preserve">2008 and </w:t>
      </w:r>
      <w:r w:rsidRPr="00A03137">
        <w:rPr>
          <w:szCs w:val="22"/>
          <w:lang w:val="en-AU"/>
        </w:rPr>
        <w:t>2011 floods were the highest flows recorded for the Barron over the last 14 years</w:t>
      </w:r>
      <w:r w:rsidR="00E0353D">
        <w:rPr>
          <w:szCs w:val="22"/>
          <w:lang w:val="en-AU"/>
        </w:rPr>
        <w:t xml:space="preserve"> (at least 3 times the long-term median)</w:t>
      </w:r>
      <w:r w:rsidRPr="00A03137">
        <w:rPr>
          <w:szCs w:val="22"/>
          <w:lang w:val="en-AU"/>
        </w:rPr>
        <w:t xml:space="preserve"> (Table A2-1). The annual discharge </w:t>
      </w:r>
      <w:r w:rsidR="0026385A">
        <w:rPr>
          <w:szCs w:val="22"/>
          <w:lang w:val="en-AU"/>
        </w:rPr>
        <w:t>of</w:t>
      </w:r>
      <w:r w:rsidR="0026385A" w:rsidRPr="00A03137">
        <w:rPr>
          <w:szCs w:val="22"/>
          <w:lang w:val="en-AU"/>
        </w:rPr>
        <w:t xml:space="preserve"> </w:t>
      </w:r>
      <w:r w:rsidRPr="00A03137">
        <w:rPr>
          <w:szCs w:val="22"/>
          <w:lang w:val="en-AU"/>
        </w:rPr>
        <w:t xml:space="preserve">the Daintree </w:t>
      </w:r>
      <w:r w:rsidR="00B01257">
        <w:rPr>
          <w:szCs w:val="22"/>
          <w:lang w:val="en-AU"/>
        </w:rPr>
        <w:t xml:space="preserve">River </w:t>
      </w:r>
      <w:r w:rsidRPr="00A03137">
        <w:rPr>
          <w:szCs w:val="22"/>
          <w:lang w:val="en-AU"/>
        </w:rPr>
        <w:t xml:space="preserve">for </w:t>
      </w:r>
      <w:r w:rsidR="0026385A">
        <w:rPr>
          <w:szCs w:val="22"/>
          <w:lang w:val="en-AU"/>
        </w:rPr>
        <w:t xml:space="preserve">the </w:t>
      </w:r>
      <w:r w:rsidRPr="00A03137">
        <w:rPr>
          <w:szCs w:val="22"/>
          <w:lang w:val="en-AU"/>
        </w:rPr>
        <w:t>2014</w:t>
      </w:r>
      <w:r w:rsidR="0026385A">
        <w:rPr>
          <w:szCs w:val="22"/>
          <w:lang w:val="en-AU"/>
        </w:rPr>
        <w:t xml:space="preserve"> water year was</w:t>
      </w:r>
      <w:r w:rsidR="0026385A" w:rsidRPr="00A03137">
        <w:rPr>
          <w:szCs w:val="22"/>
          <w:lang w:val="en-AU"/>
        </w:rPr>
        <w:t xml:space="preserve"> </w:t>
      </w:r>
      <w:r w:rsidRPr="00A03137">
        <w:rPr>
          <w:szCs w:val="22"/>
          <w:lang w:val="en-AU"/>
        </w:rPr>
        <w:t xml:space="preserve">three times the long-term median, the highest in the past 14 years, and </w:t>
      </w:r>
      <w:r w:rsidR="0026385A">
        <w:rPr>
          <w:szCs w:val="22"/>
          <w:lang w:val="en-AU"/>
        </w:rPr>
        <w:t>was</w:t>
      </w:r>
      <w:r w:rsidR="0026385A" w:rsidRPr="00A03137">
        <w:rPr>
          <w:szCs w:val="22"/>
          <w:lang w:val="en-AU"/>
        </w:rPr>
        <w:t xml:space="preserve"> </w:t>
      </w:r>
      <w:r w:rsidRPr="00A03137">
        <w:rPr>
          <w:szCs w:val="22"/>
          <w:lang w:val="en-AU"/>
        </w:rPr>
        <w:t>strongly influenced by Cyclone Ita (</w:t>
      </w:r>
      <w:r w:rsidR="00EB33A6">
        <w:rPr>
          <w:szCs w:val="22"/>
          <w:lang w:val="en-AU"/>
        </w:rPr>
        <w:fldChar w:fldCharType="begin"/>
      </w:r>
      <w:r w:rsidR="00F64881">
        <w:rPr>
          <w:szCs w:val="22"/>
          <w:lang w:val="en-AU"/>
        </w:rPr>
        <w:instrText xml:space="preserve"> REF _Ref438136178 \h </w:instrText>
      </w:r>
      <w:r w:rsidR="00EB33A6">
        <w:rPr>
          <w:szCs w:val="22"/>
          <w:lang w:val="en-AU"/>
        </w:rPr>
      </w:r>
      <w:r w:rsidR="00EB33A6">
        <w:rPr>
          <w:szCs w:val="22"/>
          <w:lang w:val="en-AU"/>
        </w:rPr>
        <w:fldChar w:fldCharType="separate"/>
      </w:r>
      <w:r w:rsidR="007F5336" w:rsidRPr="00202A68">
        <w:t xml:space="preserve">Figure </w:t>
      </w:r>
      <w:r w:rsidR="007F5336">
        <w:rPr>
          <w:noProof/>
        </w:rPr>
        <w:t>5</w:t>
      </w:r>
      <w:r w:rsidR="007F5336">
        <w:noBreakHyphen/>
      </w:r>
      <w:r w:rsidR="007F5336">
        <w:rPr>
          <w:noProof/>
        </w:rPr>
        <w:t>18</w:t>
      </w:r>
      <w:r w:rsidR="00EB33A6">
        <w:rPr>
          <w:szCs w:val="22"/>
          <w:lang w:val="en-AU"/>
        </w:rPr>
        <w:fldChar w:fldCharType="end"/>
      </w:r>
      <w:r w:rsidRPr="00A03137">
        <w:rPr>
          <w:szCs w:val="22"/>
          <w:lang w:val="en-AU"/>
        </w:rPr>
        <w:t>, Table A2-1</w:t>
      </w:r>
      <w:r w:rsidRPr="00A03137">
        <w:rPr>
          <w:lang w:val="en-AU"/>
        </w:rPr>
        <w:t>).</w:t>
      </w:r>
      <w:r w:rsidR="0026385A">
        <w:rPr>
          <w:lang w:val="en-AU"/>
        </w:rPr>
        <w:t xml:space="preserve"> The discharge in the 2015 water year was similar to the long-term median discharge.</w:t>
      </w:r>
    </w:p>
    <w:p w14:paraId="5F22F234" w14:textId="409BB870" w:rsidR="007042A5" w:rsidRDefault="007042A5" w:rsidP="00482828">
      <w:pPr>
        <w:jc w:val="center"/>
        <w:rPr>
          <w:lang w:val="en-AU"/>
        </w:rPr>
      </w:pPr>
    </w:p>
    <w:p w14:paraId="578534DC" w14:textId="2286FBAB" w:rsidR="00861739" w:rsidRDefault="00861739" w:rsidP="00861739">
      <w:pPr>
        <w:jc w:val="left"/>
        <w:rPr>
          <w:lang w:val="en-AU"/>
        </w:rPr>
      </w:pPr>
    </w:p>
    <w:p w14:paraId="5F22F236" w14:textId="212927A7" w:rsidR="00BE393D" w:rsidRPr="00202A68" w:rsidRDefault="009574D7" w:rsidP="00164E5E">
      <w:pPr>
        <w:pStyle w:val="Caption"/>
        <w:rPr>
          <w:rStyle w:val="IntenseReference"/>
        </w:rPr>
      </w:pPr>
      <w:bookmarkStart w:id="1180" w:name="_Ref452303573"/>
      <w:bookmarkStart w:id="1181" w:name="_Ref438136160"/>
      <w:bookmarkStart w:id="1182" w:name="_Toc459332375"/>
      <w:bookmarkStart w:id="1183" w:name="_Toc436913474"/>
      <w:r>
        <w:rPr>
          <w:noProof/>
          <w:lang w:val="en-AU" w:eastAsia="en-AU"/>
        </w:rPr>
        <w:drawing>
          <wp:anchor distT="0" distB="0" distL="114300" distR="114300" simplePos="0" relativeHeight="251653632" behindDoc="0" locked="0" layoutInCell="1" allowOverlap="1" wp14:anchorId="223D8852" wp14:editId="12E6E7DB">
            <wp:simplePos x="0" y="0"/>
            <wp:positionH relativeFrom="column">
              <wp:posOffset>7620</wp:posOffset>
            </wp:positionH>
            <wp:positionV relativeFrom="paragraph">
              <wp:posOffset>24765</wp:posOffset>
            </wp:positionV>
            <wp:extent cx="5731510" cy="4053840"/>
            <wp:effectExtent l="0" t="0" r="2540" b="3810"/>
            <wp:wrapTopAndBottom/>
            <wp:docPr id="7203" name="Picture 7203" descr="Panel of 2 maps showing  MMP water quality sampling sites in the Barron Daintree sub-region shown with (left) wet season plume frequency 2003 to 2015 (Primary + Secondary; where 1.0 represents 22 weeks, December to March) and (right) water body boundaries. " title="ure 5 17: MMP water quality sampling sites in the Barron Daintree sub-region shown with (left) wet season plume frequency 2003 to 2015 (Primary + Secondary; where 1.0 represents 22 weeks, December to March) and (right) water body boundari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_Site_maps_Cairns_v2.jpg"/>
                    <pic:cNvPicPr/>
                  </pic:nvPicPr>
                  <pic:blipFill>
                    <a:blip r:embed="rId329">
                      <a:extLst>
                        <a:ext uri="{28A0092B-C50C-407E-A947-70E740481C1C}">
                          <a14:useLocalDpi xmlns:a14="http://schemas.microsoft.com/office/drawing/2010/main" val="0"/>
                        </a:ext>
                      </a:extLst>
                    </a:blip>
                    <a:stretch>
                      <a:fillRect/>
                    </a:stretch>
                  </pic:blipFill>
                  <pic:spPr>
                    <a:xfrm>
                      <a:off x="0" y="0"/>
                      <a:ext cx="5731510" cy="4053840"/>
                    </a:xfrm>
                    <a:prstGeom prst="rect">
                      <a:avLst/>
                    </a:prstGeom>
                  </pic:spPr>
                </pic:pic>
              </a:graphicData>
            </a:graphic>
            <wp14:sizeRelH relativeFrom="page">
              <wp14:pctWidth>0</wp14:pctWidth>
            </wp14:sizeRelH>
            <wp14:sizeRelV relativeFrom="page">
              <wp14:pctHeight>0</wp14:pctHeight>
            </wp14:sizeRelV>
          </wp:anchor>
        </w:drawing>
      </w:r>
      <w:r w:rsidR="00271AED" w:rsidRPr="00202A68">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17</w:t>
      </w:r>
      <w:r w:rsidR="00C62884">
        <w:fldChar w:fldCharType="end"/>
      </w:r>
      <w:bookmarkEnd w:id="1180"/>
      <w:bookmarkEnd w:id="1181"/>
      <w:r w:rsidR="00271AED" w:rsidRPr="00202A68">
        <w:t xml:space="preserve">: </w:t>
      </w:r>
      <w:r w:rsidR="00BE393D" w:rsidRPr="00202A68">
        <w:t xml:space="preserve">MMP </w:t>
      </w:r>
      <w:r w:rsidR="00634C88" w:rsidRPr="00202A68">
        <w:t xml:space="preserve">water quality sampling </w:t>
      </w:r>
      <w:r w:rsidR="00BE393D" w:rsidRPr="00202A68">
        <w:t>sites in the Barron Daintree sub-regio</w:t>
      </w:r>
      <w:r w:rsidR="007042A5" w:rsidRPr="00202A68">
        <w:t xml:space="preserve">n shown with </w:t>
      </w:r>
      <w:r w:rsidR="00861739">
        <w:t xml:space="preserve">(left) </w:t>
      </w:r>
      <w:r w:rsidR="00072D21">
        <w:t xml:space="preserve">wet season </w:t>
      </w:r>
      <w:r w:rsidR="00861739">
        <w:t>plume frequency 2003</w:t>
      </w:r>
      <w:r w:rsidR="00B437C6">
        <w:t xml:space="preserve"> to </w:t>
      </w:r>
      <w:r w:rsidR="00861739">
        <w:t>2015 (Primary + Secondary; where 1.0 represents 22 weeks</w:t>
      </w:r>
      <w:r w:rsidR="00072D21">
        <w:t>, December to March</w:t>
      </w:r>
      <w:r w:rsidR="00861739">
        <w:t xml:space="preserve">) and (right) </w:t>
      </w:r>
      <w:r w:rsidR="007042A5" w:rsidRPr="00202A68">
        <w:t>water</w:t>
      </w:r>
      <w:r w:rsidR="00B437C6">
        <w:t xml:space="preserve"> </w:t>
      </w:r>
      <w:r w:rsidR="007042A5" w:rsidRPr="00202A68">
        <w:t>body boundaries.</w:t>
      </w:r>
      <w:bookmarkEnd w:id="1182"/>
      <w:r w:rsidR="007042A5" w:rsidRPr="00202A68">
        <w:rPr>
          <w:rStyle w:val="IntenseReference"/>
        </w:rPr>
        <w:t xml:space="preserve"> </w:t>
      </w:r>
      <w:bookmarkEnd w:id="1183"/>
    </w:p>
    <w:p w14:paraId="5F22F237" w14:textId="77777777" w:rsidR="007042A5" w:rsidRDefault="007042A5" w:rsidP="00BE393D">
      <w:pPr>
        <w:rPr>
          <w:highlight w:val="yellow"/>
          <w:lang w:val="en-AU"/>
        </w:rPr>
      </w:pPr>
    </w:p>
    <w:p w14:paraId="5F22F238" w14:textId="77777777" w:rsidR="00BE393D" w:rsidRPr="00076F5A" w:rsidRDefault="00D61FA6" w:rsidP="000560C0">
      <w:pPr>
        <w:rPr>
          <w:lang w:val="en-AU"/>
        </w:rPr>
      </w:pPr>
      <w:r w:rsidRPr="0026385A">
        <w:rPr>
          <w:noProof/>
          <w:lang w:val="en-AU" w:eastAsia="en-AU"/>
        </w:rPr>
        <w:drawing>
          <wp:inline distT="0" distB="0" distL="0" distR="0" wp14:anchorId="5F2323DD" wp14:editId="7BE10F54">
            <wp:extent cx="5943600" cy="2286000"/>
            <wp:effectExtent l="0" t="0" r="0" b="0"/>
            <wp:docPr id="13" name="Picture 13" descr="Graph showing combined discharge for the Barron and Daintree Rivers.  Daily (blue) and annual (October to September, red symbols) discharge volumes shown. Red dashed line represents long-term median of the combined annual discharge." title="Figure 5 18: Combined discharge for the Barron and Daintree Rivers.  Daily (blue) and annual (October to September, red symbols) discharge volu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lonborg\Desktop\MMP report 2014-15\Graphs 2014-2015\bdDischarge_Nosublabels.png"/>
                    <pic:cNvPicPr>
                      <a:picLocks noChangeAspect="1" noChangeArrowheads="1"/>
                    </pic:cNvPicPr>
                  </pic:nvPicPr>
                  <pic:blipFill>
                    <a:blip r:embed="rId330">
                      <a:extLst>
                        <a:ext uri="{28A0092B-C50C-407E-A947-70E740481C1C}">
                          <a14:useLocalDpi xmlns:a14="http://schemas.microsoft.com/office/drawing/2010/main" val="0"/>
                        </a:ext>
                      </a:extLst>
                    </a:blip>
                    <a:srcRect/>
                    <a:stretch>
                      <a:fillRect/>
                    </a:stretch>
                  </pic:blipFill>
                  <pic:spPr bwMode="auto">
                    <a:xfrm>
                      <a:off x="0" y="0"/>
                      <a:ext cx="5943600" cy="2286000"/>
                    </a:xfrm>
                    <a:prstGeom prst="rect">
                      <a:avLst/>
                    </a:prstGeom>
                    <a:noFill/>
                    <a:ln>
                      <a:noFill/>
                    </a:ln>
                  </pic:spPr>
                </pic:pic>
              </a:graphicData>
            </a:graphic>
          </wp:inline>
        </w:drawing>
      </w:r>
    </w:p>
    <w:p w14:paraId="5F22F23A" w14:textId="39878142" w:rsidR="00BE393D" w:rsidRPr="00202A68" w:rsidRDefault="00B62802" w:rsidP="00164E5E">
      <w:pPr>
        <w:pStyle w:val="Caption"/>
        <w:rPr>
          <w:rStyle w:val="IntenseReference"/>
        </w:rPr>
      </w:pPr>
      <w:bookmarkStart w:id="1184" w:name="_Ref438136178"/>
      <w:bookmarkStart w:id="1185" w:name="_Toc436913475"/>
      <w:bookmarkStart w:id="1186" w:name="_Toc459332376"/>
      <w:r w:rsidRPr="00202A68">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18</w:t>
      </w:r>
      <w:r w:rsidR="00C62884">
        <w:fldChar w:fldCharType="end"/>
      </w:r>
      <w:bookmarkEnd w:id="1184"/>
      <w:r w:rsidRPr="00202A68">
        <w:t xml:space="preserve">: </w:t>
      </w:r>
      <w:r w:rsidR="00BE393D" w:rsidRPr="00202A68">
        <w:t>Combined discharge for the Barron and Daintree Rivers.</w:t>
      </w:r>
      <w:r w:rsidR="002B1524">
        <w:t xml:space="preserve"> </w:t>
      </w:r>
      <w:r w:rsidR="00AB63E3" w:rsidRPr="00202A68">
        <w:rPr>
          <w:rStyle w:val="IntenseReference"/>
        </w:rPr>
        <w:t xml:space="preserve"> </w:t>
      </w:r>
      <w:r w:rsidR="00BE393D" w:rsidRPr="00202A68">
        <w:rPr>
          <w:rStyle w:val="IntenseReference"/>
        </w:rPr>
        <w:t>Daily (blue) and annual (October to September, red</w:t>
      </w:r>
      <w:r w:rsidR="0026385A" w:rsidRPr="00202A68">
        <w:rPr>
          <w:rStyle w:val="IntenseReference"/>
        </w:rPr>
        <w:t xml:space="preserve"> symbols</w:t>
      </w:r>
      <w:r w:rsidR="00BE393D" w:rsidRPr="00202A68">
        <w:rPr>
          <w:rStyle w:val="IntenseReference"/>
        </w:rPr>
        <w:t>)</w:t>
      </w:r>
      <w:r w:rsidR="00351938" w:rsidRPr="00202A68">
        <w:rPr>
          <w:rStyle w:val="IntenseReference"/>
        </w:rPr>
        <w:t xml:space="preserve"> </w:t>
      </w:r>
      <w:r w:rsidR="00BE393D" w:rsidRPr="00202A68">
        <w:rPr>
          <w:rStyle w:val="IntenseReference"/>
        </w:rPr>
        <w:t xml:space="preserve">discharge </w:t>
      </w:r>
      <w:r w:rsidR="0026385A" w:rsidRPr="00202A68">
        <w:rPr>
          <w:rStyle w:val="IntenseReference"/>
        </w:rPr>
        <w:t xml:space="preserve">volumes </w:t>
      </w:r>
      <w:r w:rsidR="00BE393D" w:rsidRPr="00202A68">
        <w:rPr>
          <w:rStyle w:val="IntenseReference"/>
        </w:rPr>
        <w:t>shown. Red dashed line represents long-term median of the combined annual discharge.</w:t>
      </w:r>
      <w:bookmarkEnd w:id="1185"/>
      <w:bookmarkEnd w:id="1186"/>
    </w:p>
    <w:p w14:paraId="0444C99E" w14:textId="667D1934" w:rsidR="002B1524" w:rsidRPr="007A1A6E" w:rsidRDefault="002B1524" w:rsidP="002B1524">
      <w:pPr>
        <w:rPr>
          <w:szCs w:val="22"/>
          <w:lang w:val="en-AU"/>
        </w:rPr>
      </w:pPr>
      <w:r>
        <w:rPr>
          <w:szCs w:val="22"/>
          <w:lang w:val="en-AU"/>
        </w:rPr>
        <w:t xml:space="preserve">The estimated zone of influence for the Barron River is shown in </w:t>
      </w:r>
      <w:r>
        <w:rPr>
          <w:szCs w:val="22"/>
          <w:lang w:val="en-AU"/>
        </w:rPr>
        <w:fldChar w:fldCharType="begin"/>
      </w:r>
      <w:r>
        <w:rPr>
          <w:szCs w:val="22"/>
          <w:lang w:val="en-AU"/>
        </w:rPr>
        <w:instrText xml:space="preserve"> REF _Ref452303982 \h </w:instrText>
      </w:r>
      <w:r>
        <w:rPr>
          <w:szCs w:val="22"/>
          <w:lang w:val="en-AU"/>
        </w:rPr>
      </w:r>
      <w:r>
        <w:rPr>
          <w:szCs w:val="22"/>
          <w:lang w:val="en-AU"/>
        </w:rPr>
        <w:fldChar w:fldCharType="separate"/>
      </w:r>
      <w:r w:rsidR="007F5336" w:rsidRPr="0079306A">
        <w:t xml:space="preserve">Figure </w:t>
      </w:r>
      <w:r w:rsidR="007F5336">
        <w:rPr>
          <w:noProof/>
        </w:rPr>
        <w:t>5</w:t>
      </w:r>
      <w:r w:rsidR="007F5336">
        <w:noBreakHyphen/>
      </w:r>
      <w:r w:rsidR="007F5336">
        <w:rPr>
          <w:noProof/>
        </w:rPr>
        <w:t>19</w:t>
      </w:r>
      <w:r>
        <w:rPr>
          <w:szCs w:val="22"/>
          <w:lang w:val="en-AU"/>
        </w:rPr>
        <w:fldChar w:fldCharType="end"/>
      </w:r>
      <w:r>
        <w:rPr>
          <w:szCs w:val="22"/>
          <w:lang w:val="en-AU"/>
        </w:rPr>
        <w:t>, supporting the conclusions above regarding freshwater discharge in 2014-15.</w:t>
      </w:r>
    </w:p>
    <w:p w14:paraId="5DF755FD" w14:textId="77777777" w:rsidR="002B1524" w:rsidRPr="007A1A6E" w:rsidRDefault="002B1524" w:rsidP="002B1524">
      <w:pPr>
        <w:jc w:val="center"/>
        <w:rPr>
          <w:rStyle w:val="IntenseReference"/>
          <w:sz w:val="22"/>
          <w:szCs w:val="22"/>
          <w:lang w:val="en-AU"/>
        </w:rPr>
      </w:pPr>
      <w:r w:rsidRPr="004A5BF7">
        <w:rPr>
          <w:bCs/>
          <w:noProof/>
          <w:color w:val="000000" w:themeColor="text1"/>
          <w:szCs w:val="22"/>
          <w:lang w:val="en-AU" w:eastAsia="en-AU"/>
        </w:rPr>
        <w:drawing>
          <wp:inline distT="0" distB="0" distL="0" distR="0" wp14:anchorId="220CC71B" wp14:editId="5D0D6ADA">
            <wp:extent cx="2808000" cy="2660400"/>
            <wp:effectExtent l="0" t="0" r="0" b="6985"/>
            <wp:docPr id="43" name="Picture 43" descr="Map showing cumulative exposure index for the Barron River in 2014-15.  The colour bar indicates the calculated cumulative exposure (concentration x days) above 1% of the incoming concentration. The colour bar is capped at 20 Conc.Days. Contours show 0.1, 1.0 and 10.0 Conc.Days exposure levels. " title="Figure 5 19: Cumulative exposure index for the Barron River in 2014-1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rbrinkma\Desktop\MMP\GBR_tracers_bar_0_01psu_20141101-20150331_zoom.gif"/>
                    <pic:cNvPicPr>
                      <a:picLocks noChangeAspect="1" noChangeArrowheads="1"/>
                    </pic:cNvPicPr>
                  </pic:nvPicPr>
                  <pic:blipFill>
                    <a:blip r:embed="rId331" cstate="print">
                      <a:extLst>
                        <a:ext uri="{28A0092B-C50C-407E-A947-70E740481C1C}">
                          <a14:useLocalDpi xmlns:a14="http://schemas.microsoft.com/office/drawing/2010/main" val="0"/>
                        </a:ext>
                      </a:extLst>
                    </a:blip>
                    <a:srcRect/>
                    <a:stretch>
                      <a:fillRect/>
                    </a:stretch>
                  </pic:blipFill>
                  <pic:spPr bwMode="auto">
                    <a:xfrm>
                      <a:off x="0" y="0"/>
                      <a:ext cx="2808000" cy="2660400"/>
                    </a:xfrm>
                    <a:prstGeom prst="rect">
                      <a:avLst/>
                    </a:prstGeom>
                    <a:noFill/>
                    <a:ln>
                      <a:noFill/>
                    </a:ln>
                  </pic:spPr>
                </pic:pic>
              </a:graphicData>
            </a:graphic>
          </wp:inline>
        </w:drawing>
      </w:r>
      <w:r w:rsidRPr="004A5BF7">
        <w:rPr>
          <w:b/>
          <w:bCs/>
          <w:i/>
          <w:iCs/>
          <w:noProof/>
          <w:color w:val="4F81BD" w:themeColor="accent1"/>
          <w:lang w:val="en-AU" w:eastAsia="en-AU"/>
        </w:rPr>
        <w:drawing>
          <wp:inline distT="0" distB="0" distL="0" distR="0" wp14:anchorId="15514C74" wp14:editId="3712A211">
            <wp:extent cx="2552400" cy="2660400"/>
            <wp:effectExtent l="0" t="0" r="635" b="6985"/>
            <wp:docPr id="44" name="Picture 44" descr="Map showing cumulative exposure index for the Barron River in 22010-11 (right) are shown for context.  The colour bar indicates the calculated cumulative exposure (concentration x days) above 1% of the incoming concentration. The colour bar is capped at 20 Conc.Days. Contours show 0.1, 1.0 and 10.0 Conc.Days exposure levels. " title="Figure 5 19: Cumulative exposure index for the Barron River for 201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Richard\eReefs\Terrain\2014-Analysis\Exp_Bar2011.gif"/>
                    <pic:cNvPicPr>
                      <a:picLocks noChangeAspect="1" noChangeArrowheads="1"/>
                    </pic:cNvPicPr>
                  </pic:nvPicPr>
                  <pic:blipFill rotWithShape="1">
                    <a:blip r:embed="rId332" cstate="print">
                      <a:extLst>
                        <a:ext uri="{28A0092B-C50C-407E-A947-70E740481C1C}">
                          <a14:useLocalDpi xmlns:a14="http://schemas.microsoft.com/office/drawing/2010/main" val="0"/>
                        </a:ext>
                      </a:extLst>
                    </a:blip>
                    <a:srcRect r="36333"/>
                    <a:stretch/>
                  </pic:blipFill>
                  <pic:spPr bwMode="auto">
                    <a:xfrm>
                      <a:off x="0" y="0"/>
                      <a:ext cx="2552400" cy="2660400"/>
                    </a:xfrm>
                    <a:prstGeom prst="rect">
                      <a:avLst/>
                    </a:prstGeom>
                    <a:noFill/>
                    <a:ln>
                      <a:noFill/>
                    </a:ln>
                    <a:extLst>
                      <a:ext uri="{53640926-AAD7-44D8-BBD7-CCE9431645EC}">
                        <a14:shadowObscured xmlns:a14="http://schemas.microsoft.com/office/drawing/2010/main"/>
                      </a:ext>
                    </a:extLst>
                  </pic:spPr>
                </pic:pic>
              </a:graphicData>
            </a:graphic>
          </wp:inline>
        </w:drawing>
      </w:r>
    </w:p>
    <w:p w14:paraId="531A38ED" w14:textId="5045764D" w:rsidR="002B1524" w:rsidRPr="0079306A" w:rsidRDefault="002B1524" w:rsidP="00164E5E">
      <w:pPr>
        <w:pStyle w:val="Caption"/>
        <w:rPr>
          <w:rStyle w:val="IntenseReference"/>
        </w:rPr>
      </w:pPr>
      <w:bookmarkStart w:id="1187" w:name="_Ref452303982"/>
      <w:bookmarkStart w:id="1188" w:name="_Toc459332377"/>
      <w:r w:rsidRPr="0079306A">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19</w:t>
      </w:r>
      <w:r w:rsidR="00C62884">
        <w:fldChar w:fldCharType="end"/>
      </w:r>
      <w:bookmarkEnd w:id="1187"/>
      <w:r w:rsidRPr="0079306A">
        <w:t xml:space="preserve">: Cumulative exposure index for the Barron River </w:t>
      </w:r>
      <w:r w:rsidR="00B01257">
        <w:t>in</w:t>
      </w:r>
      <w:r w:rsidRPr="0079306A">
        <w:t xml:space="preserve"> 2014-</w:t>
      </w:r>
      <w:r w:rsidR="00B01257">
        <w:t>1</w:t>
      </w:r>
      <w:r w:rsidRPr="0079306A">
        <w:t>5</w:t>
      </w:r>
      <w:r>
        <w:t xml:space="preserve"> </w:t>
      </w:r>
      <w:r w:rsidRPr="0079306A">
        <w:rPr>
          <w:rStyle w:val="IntenseReference"/>
        </w:rPr>
        <w:t>(left). Results for 2010-11 (right) are shown for context.  The colour bar indicates the calculated cumulative exposure (concentration x days) above 1% of the incoming concentration. The colour bar is capped at 20 Conc.Days. Contours show 0.1, 1.0 and 10.0 Conc.Days exposure levels.</w:t>
      </w:r>
      <w:bookmarkEnd w:id="1188"/>
      <w:r w:rsidRPr="0079306A">
        <w:rPr>
          <w:rStyle w:val="IntenseReference"/>
        </w:rPr>
        <w:t xml:space="preserve"> </w:t>
      </w:r>
    </w:p>
    <w:p w14:paraId="1E4461F1" w14:textId="1076FEEC" w:rsidR="00C810CE" w:rsidRDefault="00F942B9" w:rsidP="00C810CE">
      <w:r>
        <w:rPr>
          <w:rStyle w:val="IntenseReference"/>
          <w:sz w:val="22"/>
          <w:szCs w:val="22"/>
          <w:lang w:val="en-AU"/>
        </w:rPr>
        <w:t xml:space="preserve">Measured end-of-catchment loads and river discharge </w:t>
      </w:r>
      <w:r w:rsidR="00591D1B">
        <w:rPr>
          <w:rStyle w:val="IntenseReference"/>
          <w:sz w:val="22"/>
          <w:szCs w:val="22"/>
          <w:lang w:val="en-AU"/>
        </w:rPr>
        <w:t>for the Barron River from 2006-07 to 2014-15 are shown in</w:t>
      </w:r>
      <w:r w:rsidR="00B01257">
        <w:rPr>
          <w:rStyle w:val="IntenseReference"/>
          <w:sz w:val="22"/>
          <w:szCs w:val="22"/>
          <w:lang w:val="en-AU"/>
        </w:rPr>
        <w:t xml:space="preserve"> </w:t>
      </w:r>
      <w:r w:rsidR="00B01257">
        <w:rPr>
          <w:rStyle w:val="IntenseReference"/>
          <w:sz w:val="22"/>
          <w:szCs w:val="22"/>
          <w:lang w:val="en-AU"/>
        </w:rPr>
        <w:fldChar w:fldCharType="begin"/>
      </w:r>
      <w:r w:rsidR="00B01257">
        <w:rPr>
          <w:rStyle w:val="IntenseReference"/>
          <w:sz w:val="22"/>
          <w:szCs w:val="22"/>
          <w:lang w:val="en-AU"/>
        </w:rPr>
        <w:instrText xml:space="preserve"> REF _Ref459149674 \h </w:instrText>
      </w:r>
      <w:r w:rsidR="00B01257">
        <w:rPr>
          <w:rStyle w:val="IntenseReference"/>
          <w:sz w:val="22"/>
          <w:szCs w:val="22"/>
          <w:lang w:val="en-AU"/>
        </w:rPr>
      </w:r>
      <w:r w:rsidR="00B01257">
        <w:rPr>
          <w:rStyle w:val="IntenseReference"/>
          <w:sz w:val="22"/>
          <w:szCs w:val="22"/>
          <w:lang w:val="en-AU"/>
        </w:rPr>
        <w:fldChar w:fldCharType="separate"/>
      </w:r>
      <w:r w:rsidR="007F5336">
        <w:t xml:space="preserve">Figure </w:t>
      </w:r>
      <w:r w:rsidR="007F5336">
        <w:rPr>
          <w:noProof/>
        </w:rPr>
        <w:t>5</w:t>
      </w:r>
      <w:r w:rsidR="007F5336">
        <w:noBreakHyphen/>
      </w:r>
      <w:r w:rsidR="007F5336">
        <w:rPr>
          <w:noProof/>
        </w:rPr>
        <w:t>20</w:t>
      </w:r>
      <w:r w:rsidR="00B01257">
        <w:rPr>
          <w:rStyle w:val="IntenseReference"/>
          <w:sz w:val="22"/>
          <w:szCs w:val="22"/>
          <w:lang w:val="en-AU"/>
        </w:rPr>
        <w:fldChar w:fldCharType="end"/>
      </w:r>
      <w:r w:rsidR="00591D1B">
        <w:rPr>
          <w:rStyle w:val="IntenseReference"/>
          <w:sz w:val="22"/>
          <w:szCs w:val="22"/>
          <w:lang w:val="en-AU"/>
        </w:rPr>
        <w:t xml:space="preserve">. </w:t>
      </w:r>
      <w:r w:rsidR="00C810CE">
        <w:t xml:space="preserve">Of the Barron, Daintree and Mossman </w:t>
      </w:r>
      <w:r w:rsidR="00B01257">
        <w:t>Rivers</w:t>
      </w:r>
      <w:r w:rsidR="00C810CE">
        <w:t xml:space="preserve">, only the Barron River (at the Myola gauge) has been routinely monitored.  Overall the Barron River is a relatively small contributor of discharge, sediments and nutrients in the Wet Tropics region as it has a relatively small catchment area with areas of lower rainfall (dry tropical). The Tinaroo Dam on the Barron </w:t>
      </w:r>
      <w:r w:rsidR="00B01257">
        <w:t xml:space="preserve">River </w:t>
      </w:r>
      <w:r w:rsidR="00C810CE">
        <w:t xml:space="preserve">also captures a large proportion of the flow (and associated constituents) in the upper section of the catchment. The 2014-15 </w:t>
      </w:r>
      <w:r w:rsidR="00B01257">
        <w:t xml:space="preserve">wet </w:t>
      </w:r>
      <w:r w:rsidR="00C810CE">
        <w:t>season had relatively lower discharge and constituent loads relative to previous years of monitoring over the 2006</w:t>
      </w:r>
      <w:r w:rsidR="00B01257">
        <w:t>-</w:t>
      </w:r>
      <w:r w:rsidR="00C810CE">
        <w:t>07 to 2014</w:t>
      </w:r>
      <w:r w:rsidR="00B01257">
        <w:t>-</w:t>
      </w:r>
      <w:r w:rsidR="00C810CE">
        <w:t>15 period (</w:t>
      </w:r>
      <w:r w:rsidR="00B01257">
        <w:rPr>
          <w:highlight w:val="yellow"/>
        </w:rPr>
        <w:fldChar w:fldCharType="begin"/>
      </w:r>
      <w:r w:rsidR="00B01257">
        <w:rPr>
          <w:highlight w:val="yellow"/>
        </w:rPr>
        <w:instrText xml:space="preserve"> REF _Ref459149674 \h </w:instrText>
      </w:r>
      <w:r w:rsidR="00B01257">
        <w:rPr>
          <w:highlight w:val="yellow"/>
        </w:rPr>
      </w:r>
      <w:r w:rsidR="00B01257">
        <w:rPr>
          <w:highlight w:val="yellow"/>
        </w:rPr>
        <w:fldChar w:fldCharType="separate"/>
      </w:r>
      <w:r w:rsidR="007F5336">
        <w:t xml:space="preserve">Figure </w:t>
      </w:r>
      <w:r w:rsidR="007F5336">
        <w:rPr>
          <w:noProof/>
        </w:rPr>
        <w:t>5</w:t>
      </w:r>
      <w:r w:rsidR="007F5336">
        <w:noBreakHyphen/>
      </w:r>
      <w:r w:rsidR="007F5336">
        <w:rPr>
          <w:noProof/>
        </w:rPr>
        <w:t>20</w:t>
      </w:r>
      <w:r w:rsidR="00B01257">
        <w:rPr>
          <w:highlight w:val="yellow"/>
        </w:rPr>
        <w:fldChar w:fldCharType="end"/>
      </w:r>
      <w:r w:rsidR="00C810CE">
        <w:t xml:space="preserve">). The 2014-15 loads of TSS, PN and PP were similar across the monitored sites in the Wet Tropics with the exception of the Johnstone, while the DIN loads from the Barron </w:t>
      </w:r>
      <w:r w:rsidR="00B01257">
        <w:t xml:space="preserve">River </w:t>
      </w:r>
      <w:r w:rsidR="00C810CE">
        <w:t>are much lower than the other rivers, a reflection of the lower area of fertilised cropping in the Bar</w:t>
      </w:r>
      <w:r w:rsidR="00B01257">
        <w:t>r</w:t>
      </w:r>
      <w:r w:rsidR="00C810CE">
        <w:t xml:space="preserve">on River (below dam). </w:t>
      </w:r>
    </w:p>
    <w:p w14:paraId="4AEF3A4B" w14:textId="77777777" w:rsidR="00591D1B" w:rsidRDefault="00591D1B" w:rsidP="00591D1B">
      <w:r>
        <w:rPr>
          <w:noProof/>
          <w:lang w:val="en-AU" w:eastAsia="en-AU"/>
        </w:rPr>
        <w:drawing>
          <wp:inline distT="0" distB="0" distL="0" distR="0" wp14:anchorId="41F4CABD" wp14:editId="5941E57E">
            <wp:extent cx="5731510" cy="2587625"/>
            <wp:effectExtent l="0" t="0" r="2540" b="3175"/>
            <wp:docPr id="7208" name="Picture 7208" descr="Panel of graphs showing measured Barron River discharge and loads (at Myola gauge) for (A) total suspended solids (sediment), (B) dissolved inorganic nitrogen (DIN), (C) particulate nitrogen (PN) and (D) particulate phosphorus (PP) from 2006/07 to 2014/15. Data from the Department of Science Information Technology and Innovation’s Great Barrier Reef Catchment Loads Monitoring Program (compiled from: Joo et al., 2012; Turner et al., 2012, 2013; Wallace et al., 2014, 2015, in press; Garzon-Garcia et al., 2015)." title="Figure 5 20: Measured Barron River discharge and loads (at Myola gauge) for (A) total suspended solids (sediment), (B) dissolved inorganic nitrogen (DIN), (C) particulate nitrogen (PN) and (D) particulate phosphorus (PP) from 2006/07 to 20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arron loads.JPG"/>
                    <pic:cNvPicPr/>
                  </pic:nvPicPr>
                  <pic:blipFill>
                    <a:blip r:embed="rId333" cstate="print">
                      <a:extLst>
                        <a:ext uri="{28A0092B-C50C-407E-A947-70E740481C1C}">
                          <a14:useLocalDpi xmlns:a14="http://schemas.microsoft.com/office/drawing/2010/main" val="0"/>
                        </a:ext>
                      </a:extLst>
                    </a:blip>
                    <a:stretch>
                      <a:fillRect/>
                    </a:stretch>
                  </pic:blipFill>
                  <pic:spPr>
                    <a:xfrm>
                      <a:off x="0" y="0"/>
                      <a:ext cx="5731510" cy="2587625"/>
                    </a:xfrm>
                    <a:prstGeom prst="rect">
                      <a:avLst/>
                    </a:prstGeom>
                  </pic:spPr>
                </pic:pic>
              </a:graphicData>
            </a:graphic>
          </wp:inline>
        </w:drawing>
      </w:r>
    </w:p>
    <w:p w14:paraId="7CA5A6CE" w14:textId="38790A99" w:rsidR="002B1524" w:rsidRPr="004F0906" w:rsidRDefault="00591D1B" w:rsidP="004A5BF7">
      <w:pPr>
        <w:pStyle w:val="Caption"/>
        <w:rPr>
          <w:lang w:val="en-AU"/>
        </w:rPr>
      </w:pPr>
      <w:bookmarkStart w:id="1189" w:name="_Ref459149674"/>
      <w:bookmarkStart w:id="1190" w:name="_Toc459332378"/>
      <w:r>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20</w:t>
      </w:r>
      <w:r w:rsidR="00C62884">
        <w:fldChar w:fldCharType="end"/>
      </w:r>
      <w:bookmarkEnd w:id="1189"/>
      <w:r w:rsidR="00D26C13">
        <w:t>:</w:t>
      </w:r>
      <w:r>
        <w:t xml:space="preserve"> Measured Barron River discharge and loads (at Myola gauge) for (A) total suspended solids (sediment), (B) dissolved inorganic nitrogen (DIN), (C) particulate nitrogen (PN) and (D) particulate phosphorus (PP) from 2006/07 to 2014/15. Data from the Department of Science Information Technology and Innovation’s Great Barrier Reef Catchment Loads Monitoring Program (compiled from: Joo et al., 2012; Turner et al., 2012, 2013; Wallace et al., 2014, 2015, in press; Garzon-Garcia et al., 2015).</w:t>
      </w:r>
      <w:bookmarkEnd w:id="1190"/>
    </w:p>
    <w:p w14:paraId="5F22F23C" w14:textId="77777777" w:rsidR="001857E0" w:rsidRPr="00EF6E37" w:rsidRDefault="00DD4E91" w:rsidP="00164E5E">
      <w:pPr>
        <w:pStyle w:val="Heading4"/>
      </w:pPr>
      <w:r w:rsidRPr="00EF6E37">
        <w:t xml:space="preserve"> </w:t>
      </w:r>
      <w:r w:rsidR="004023C4" w:rsidRPr="00EF6E37">
        <w:t>A</w:t>
      </w:r>
      <w:r w:rsidR="001857E0" w:rsidRPr="00EF6E37">
        <w:t>mbient</w:t>
      </w:r>
      <w:r w:rsidR="004023C4" w:rsidRPr="00EF6E37">
        <w:t xml:space="preserve"> water quality</w:t>
      </w:r>
    </w:p>
    <w:p w14:paraId="5F22F23D" w14:textId="71704811" w:rsidR="00317A18" w:rsidRPr="00A03137" w:rsidRDefault="008645FA" w:rsidP="00317A18">
      <w:pPr>
        <w:rPr>
          <w:lang w:val="en-AU"/>
        </w:rPr>
      </w:pPr>
      <w:r w:rsidRPr="00A03137">
        <w:rPr>
          <w:lang w:val="en-AU"/>
        </w:rPr>
        <w:t>When</w:t>
      </w:r>
      <w:r w:rsidR="00317A18" w:rsidRPr="00A03137">
        <w:rPr>
          <w:lang w:val="en-AU"/>
        </w:rPr>
        <w:t xml:space="preserve"> analysing the water quality trend in Barron Daintree sub-region it should be noted that </w:t>
      </w:r>
      <w:r w:rsidR="004023C4">
        <w:rPr>
          <w:lang w:val="en-AU"/>
        </w:rPr>
        <w:t xml:space="preserve">the </w:t>
      </w:r>
      <w:r w:rsidR="00317A18" w:rsidRPr="00A03137">
        <w:rPr>
          <w:lang w:val="en-AU"/>
        </w:rPr>
        <w:t xml:space="preserve">Snapper Island site </w:t>
      </w:r>
      <w:r w:rsidR="004023C4">
        <w:rPr>
          <w:lang w:val="en-AU"/>
        </w:rPr>
        <w:t>was discontinued in 2015. T</w:t>
      </w:r>
      <w:r w:rsidR="00317A18" w:rsidRPr="00A03137">
        <w:rPr>
          <w:lang w:val="en-AU"/>
        </w:rPr>
        <w:t xml:space="preserve">he data collected at this site in previous years are for consistency </w:t>
      </w:r>
      <w:r w:rsidR="004023C4" w:rsidRPr="006E1CD6">
        <w:rPr>
          <w:lang w:val="en-AU"/>
        </w:rPr>
        <w:t xml:space="preserve">still </w:t>
      </w:r>
      <w:r w:rsidR="00317A18" w:rsidRPr="00A03137">
        <w:rPr>
          <w:lang w:val="en-AU"/>
        </w:rPr>
        <w:t xml:space="preserve">included in the </w:t>
      </w:r>
      <w:r w:rsidR="004023C4" w:rsidRPr="00A03137">
        <w:rPr>
          <w:lang w:val="en-AU"/>
        </w:rPr>
        <w:t>long</w:t>
      </w:r>
      <w:r w:rsidR="004023C4">
        <w:rPr>
          <w:lang w:val="en-AU"/>
        </w:rPr>
        <w:t>-</w:t>
      </w:r>
      <w:r w:rsidR="00317A18" w:rsidRPr="00A03137">
        <w:rPr>
          <w:lang w:val="en-AU"/>
        </w:rPr>
        <w:t>term analysis.</w:t>
      </w:r>
      <w:r w:rsidR="004023C4">
        <w:rPr>
          <w:lang w:val="en-AU"/>
        </w:rPr>
        <w:t xml:space="preserve"> In</w:t>
      </w:r>
      <w:r w:rsidR="00317A18" w:rsidRPr="00A03137">
        <w:rPr>
          <w:lang w:val="en-AU"/>
        </w:rPr>
        <w:t xml:space="preserve"> the new </w:t>
      </w:r>
      <w:r w:rsidR="004023C4">
        <w:rPr>
          <w:lang w:val="en-AU"/>
        </w:rPr>
        <w:t xml:space="preserve">sampling </w:t>
      </w:r>
      <w:r w:rsidR="00317A18" w:rsidRPr="00A03137">
        <w:rPr>
          <w:lang w:val="en-AU"/>
        </w:rPr>
        <w:t xml:space="preserve">design </w:t>
      </w:r>
      <w:r w:rsidR="004023C4">
        <w:rPr>
          <w:lang w:val="en-AU"/>
        </w:rPr>
        <w:t xml:space="preserve">there </w:t>
      </w:r>
      <w:r w:rsidR="00317A18" w:rsidRPr="00A03137">
        <w:rPr>
          <w:lang w:val="en-AU"/>
        </w:rPr>
        <w:t xml:space="preserve">are no longer any chlorophyll a and </w:t>
      </w:r>
      <w:r w:rsidR="004023C4">
        <w:rPr>
          <w:lang w:val="en-AU"/>
        </w:rPr>
        <w:t>t</w:t>
      </w:r>
      <w:r w:rsidR="004023C4" w:rsidRPr="00A03137">
        <w:rPr>
          <w:lang w:val="en-AU"/>
        </w:rPr>
        <w:t xml:space="preserve">urbidity </w:t>
      </w:r>
      <w:r w:rsidR="004023C4">
        <w:rPr>
          <w:lang w:val="en-AU"/>
        </w:rPr>
        <w:t>s</w:t>
      </w:r>
      <w:r w:rsidR="004023C4" w:rsidRPr="00A03137">
        <w:rPr>
          <w:lang w:val="en-AU"/>
        </w:rPr>
        <w:t xml:space="preserve">ensors </w:t>
      </w:r>
      <w:r w:rsidR="004023C4">
        <w:rPr>
          <w:lang w:val="en-AU"/>
        </w:rPr>
        <w:t>operated</w:t>
      </w:r>
      <w:r w:rsidR="004023C4" w:rsidRPr="00A03137">
        <w:rPr>
          <w:lang w:val="en-AU"/>
        </w:rPr>
        <w:t xml:space="preserve"> </w:t>
      </w:r>
      <w:r w:rsidR="00317A18" w:rsidRPr="00A03137">
        <w:rPr>
          <w:lang w:val="en-AU"/>
        </w:rPr>
        <w:t>in this sub-region</w:t>
      </w:r>
      <w:r w:rsidR="004023C4">
        <w:rPr>
          <w:lang w:val="en-AU"/>
        </w:rPr>
        <w:t>;</w:t>
      </w:r>
      <w:r w:rsidR="004023C4" w:rsidRPr="00A03137">
        <w:rPr>
          <w:lang w:val="en-AU"/>
        </w:rPr>
        <w:t xml:space="preserve"> </w:t>
      </w:r>
      <w:r w:rsidR="00317A18" w:rsidRPr="00A03137">
        <w:rPr>
          <w:lang w:val="en-AU"/>
        </w:rPr>
        <w:t xml:space="preserve">the turbidity data </w:t>
      </w:r>
      <w:r w:rsidR="004023C4">
        <w:rPr>
          <w:lang w:val="en-AU"/>
        </w:rPr>
        <w:t xml:space="preserve">to 2014 </w:t>
      </w:r>
      <w:r w:rsidR="00317A18" w:rsidRPr="00A03137">
        <w:rPr>
          <w:lang w:val="en-AU"/>
        </w:rPr>
        <w:t>presented in</w:t>
      </w:r>
      <w:r w:rsidR="00AD2AC5">
        <w:rPr>
          <w:lang w:val="en-AU"/>
        </w:rPr>
        <w:t xml:space="preserve"> </w:t>
      </w:r>
      <w:r w:rsidR="00AD2AC5">
        <w:rPr>
          <w:lang w:val="en-AU"/>
        </w:rPr>
        <w:fldChar w:fldCharType="begin"/>
      </w:r>
      <w:r w:rsidR="00AD2AC5">
        <w:rPr>
          <w:lang w:val="en-AU"/>
        </w:rPr>
        <w:instrText xml:space="preserve"> REF _Ref452304429 \h </w:instrText>
      </w:r>
      <w:r w:rsidR="00AD2AC5">
        <w:rPr>
          <w:lang w:val="en-AU"/>
        </w:rPr>
      </w:r>
      <w:r w:rsidR="00AD2AC5">
        <w:rPr>
          <w:lang w:val="en-AU"/>
        </w:rPr>
        <w:fldChar w:fldCharType="separate"/>
      </w:r>
      <w:r w:rsidR="007F5336" w:rsidRPr="00202A68">
        <w:t xml:space="preserve">Figure </w:t>
      </w:r>
      <w:r w:rsidR="007F5336">
        <w:rPr>
          <w:noProof/>
        </w:rPr>
        <w:t>5</w:t>
      </w:r>
      <w:r w:rsidR="007F5336">
        <w:noBreakHyphen/>
      </w:r>
      <w:r w:rsidR="007F5336">
        <w:rPr>
          <w:noProof/>
        </w:rPr>
        <w:t>21</w:t>
      </w:r>
      <w:r w:rsidR="00AD2AC5">
        <w:rPr>
          <w:lang w:val="en-AU"/>
        </w:rPr>
        <w:fldChar w:fldCharType="end"/>
      </w:r>
      <w:r w:rsidR="00317A18" w:rsidRPr="00A03137">
        <w:rPr>
          <w:lang w:val="en-AU"/>
        </w:rPr>
        <w:t xml:space="preserve">, are only shown for reference. </w:t>
      </w:r>
    </w:p>
    <w:p w14:paraId="5F22F23E" w14:textId="665DE8CC" w:rsidR="00317A18" w:rsidRPr="00A03137" w:rsidRDefault="00317A18" w:rsidP="00317A18">
      <w:pPr>
        <w:rPr>
          <w:color w:val="000000" w:themeColor="text1"/>
          <w:lang w:val="en-AU"/>
        </w:rPr>
      </w:pPr>
      <w:r w:rsidRPr="00A03137">
        <w:rPr>
          <w:color w:val="000000" w:themeColor="text1"/>
          <w:lang w:val="en-AU"/>
        </w:rPr>
        <w:t xml:space="preserve">The </w:t>
      </w:r>
      <w:r w:rsidR="00B01257">
        <w:rPr>
          <w:color w:val="000000" w:themeColor="text1"/>
          <w:lang w:val="en-AU"/>
        </w:rPr>
        <w:t>W</w:t>
      </w:r>
      <w:r w:rsidR="00B01257" w:rsidRPr="00A03137">
        <w:rPr>
          <w:color w:val="000000" w:themeColor="text1"/>
          <w:lang w:val="en-AU"/>
        </w:rPr>
        <w:t>ater</w:t>
      </w:r>
      <w:r w:rsidR="00B01257">
        <w:rPr>
          <w:color w:val="000000" w:themeColor="text1"/>
          <w:lang w:val="en-AU"/>
        </w:rPr>
        <w:t xml:space="preserve"> Q</w:t>
      </w:r>
      <w:r w:rsidRPr="00A03137">
        <w:rPr>
          <w:color w:val="000000" w:themeColor="text1"/>
          <w:lang w:val="en-AU"/>
        </w:rPr>
        <w:t xml:space="preserve">uality </w:t>
      </w:r>
      <w:r w:rsidR="00B01257">
        <w:rPr>
          <w:color w:val="000000" w:themeColor="text1"/>
          <w:lang w:val="en-AU"/>
        </w:rPr>
        <w:t>I</w:t>
      </w:r>
      <w:r w:rsidRPr="00A03137">
        <w:rPr>
          <w:color w:val="000000" w:themeColor="text1"/>
          <w:lang w:val="en-AU"/>
        </w:rPr>
        <w:t>ndex in this sub-region remained ‘good’, although declined slightly since 2009 (</w:t>
      </w:r>
      <w:r w:rsidR="00EB33A6">
        <w:rPr>
          <w:color w:val="000000" w:themeColor="text1"/>
          <w:lang w:val="en-AU"/>
        </w:rPr>
        <w:fldChar w:fldCharType="begin"/>
      </w:r>
      <w:r w:rsidR="00673CF4">
        <w:rPr>
          <w:color w:val="000000" w:themeColor="text1"/>
          <w:lang w:val="en-AU"/>
        </w:rPr>
        <w:instrText xml:space="preserve"> REF _Ref438135007 \h </w:instrText>
      </w:r>
      <w:r w:rsidR="00EB33A6">
        <w:rPr>
          <w:color w:val="000000" w:themeColor="text1"/>
          <w:lang w:val="en-AU"/>
        </w:rPr>
      </w:r>
      <w:r w:rsidR="00EB33A6">
        <w:rPr>
          <w:color w:val="000000" w:themeColor="text1"/>
          <w:lang w:val="en-AU"/>
        </w:rPr>
        <w:fldChar w:fldCharType="separate"/>
      </w:r>
      <w:r w:rsidR="007F5336" w:rsidRPr="00202A68">
        <w:t xml:space="preserve">Figure </w:t>
      </w:r>
      <w:r w:rsidR="007F5336">
        <w:rPr>
          <w:noProof/>
        </w:rPr>
        <w:t>5</w:t>
      </w:r>
      <w:r w:rsidR="007F5336">
        <w:noBreakHyphen/>
      </w:r>
      <w:r w:rsidR="007F5336">
        <w:rPr>
          <w:noProof/>
        </w:rPr>
        <w:t>21</w:t>
      </w:r>
      <w:r w:rsidR="00EB33A6">
        <w:rPr>
          <w:color w:val="000000" w:themeColor="text1"/>
          <w:lang w:val="en-AU"/>
        </w:rPr>
        <w:fldChar w:fldCharType="end"/>
      </w:r>
      <w:r w:rsidRPr="00A03137">
        <w:rPr>
          <w:color w:val="000000" w:themeColor="text1"/>
          <w:lang w:val="en-AU"/>
        </w:rPr>
        <w:t xml:space="preserve">). Concentrations of </w:t>
      </w:r>
      <w:r w:rsidR="00B01257">
        <w:rPr>
          <w:color w:val="000000" w:themeColor="text1"/>
          <w:lang w:val="en-AU"/>
        </w:rPr>
        <w:t>Chl-a</w:t>
      </w:r>
      <w:r w:rsidRPr="00A03137">
        <w:rPr>
          <w:color w:val="000000" w:themeColor="text1"/>
          <w:lang w:val="en-AU"/>
        </w:rPr>
        <w:t>, TSS and PN were high</w:t>
      </w:r>
      <w:r w:rsidR="00C427CE">
        <w:rPr>
          <w:color w:val="000000" w:themeColor="text1"/>
          <w:lang w:val="en-AU"/>
        </w:rPr>
        <w:t>er</w:t>
      </w:r>
      <w:r w:rsidRPr="00A03137">
        <w:rPr>
          <w:color w:val="000000" w:themeColor="text1"/>
          <w:lang w:val="en-AU"/>
        </w:rPr>
        <w:t xml:space="preserve"> at the </w:t>
      </w:r>
      <w:r w:rsidR="004023C4">
        <w:rPr>
          <w:color w:val="000000" w:themeColor="text1"/>
          <w:lang w:val="en-AU"/>
        </w:rPr>
        <w:t>start</w:t>
      </w:r>
      <w:r w:rsidR="004023C4" w:rsidRPr="00A03137">
        <w:rPr>
          <w:color w:val="000000" w:themeColor="text1"/>
          <w:lang w:val="en-AU"/>
        </w:rPr>
        <w:t xml:space="preserve"> </w:t>
      </w:r>
      <w:r w:rsidRPr="00A03137">
        <w:rPr>
          <w:color w:val="000000" w:themeColor="text1"/>
          <w:lang w:val="en-AU"/>
        </w:rPr>
        <w:t>of the MMP sampling in 2005-06, then declined</w:t>
      </w:r>
      <w:r w:rsidR="00C427CE">
        <w:rPr>
          <w:color w:val="000000" w:themeColor="text1"/>
          <w:lang w:val="en-AU"/>
        </w:rPr>
        <w:t xml:space="preserve"> slightly</w:t>
      </w:r>
      <w:r w:rsidRPr="00A03137">
        <w:rPr>
          <w:color w:val="000000" w:themeColor="text1"/>
          <w:lang w:val="en-AU"/>
        </w:rPr>
        <w:t>, and increased again after the major Barron River floods in 2008 (</w:t>
      </w:r>
      <w:r w:rsidR="00EB33A6">
        <w:rPr>
          <w:color w:val="000000" w:themeColor="text1"/>
          <w:lang w:val="en-AU"/>
        </w:rPr>
        <w:fldChar w:fldCharType="begin"/>
      </w:r>
      <w:r w:rsidR="00673CF4">
        <w:rPr>
          <w:color w:val="000000" w:themeColor="text1"/>
          <w:lang w:val="en-AU"/>
        </w:rPr>
        <w:instrText xml:space="preserve"> REF _Ref438135007 \h </w:instrText>
      </w:r>
      <w:r w:rsidR="00EB33A6">
        <w:rPr>
          <w:color w:val="000000" w:themeColor="text1"/>
          <w:lang w:val="en-AU"/>
        </w:rPr>
      </w:r>
      <w:r w:rsidR="00EB33A6">
        <w:rPr>
          <w:color w:val="000000" w:themeColor="text1"/>
          <w:lang w:val="en-AU"/>
        </w:rPr>
        <w:fldChar w:fldCharType="separate"/>
      </w:r>
      <w:r w:rsidR="007F5336" w:rsidRPr="00202A68">
        <w:t xml:space="preserve">Figure </w:t>
      </w:r>
      <w:r w:rsidR="007F5336">
        <w:rPr>
          <w:noProof/>
        </w:rPr>
        <w:t>5</w:t>
      </w:r>
      <w:r w:rsidR="007F5336">
        <w:noBreakHyphen/>
      </w:r>
      <w:r w:rsidR="007F5336">
        <w:rPr>
          <w:noProof/>
        </w:rPr>
        <w:t>21</w:t>
      </w:r>
      <w:r w:rsidR="00EB33A6">
        <w:rPr>
          <w:color w:val="000000" w:themeColor="text1"/>
          <w:lang w:val="en-AU"/>
        </w:rPr>
        <w:fldChar w:fldCharType="end"/>
      </w:r>
      <w:r w:rsidR="004023C4" w:rsidRPr="00A03137">
        <w:rPr>
          <w:color w:val="000000" w:themeColor="text1"/>
          <w:lang w:val="en-AU"/>
        </w:rPr>
        <w:t>b</w:t>
      </w:r>
      <w:r w:rsidRPr="00A03137">
        <w:rPr>
          <w:color w:val="000000" w:themeColor="text1"/>
          <w:lang w:val="en-AU"/>
        </w:rPr>
        <w:t xml:space="preserve">,c,f). Highest concentrations of </w:t>
      </w:r>
      <w:r w:rsidR="00B01257">
        <w:rPr>
          <w:color w:val="000000" w:themeColor="text1"/>
          <w:lang w:val="en-AU"/>
        </w:rPr>
        <w:t>Chl-a</w:t>
      </w:r>
      <w:r w:rsidRPr="00A03137">
        <w:rPr>
          <w:color w:val="000000" w:themeColor="text1"/>
          <w:lang w:val="en-AU"/>
        </w:rPr>
        <w:t xml:space="preserve">, PN, SS and particulate phosphorus (PP) were observed in 2014-15, with the predicted overall trend-line for </w:t>
      </w:r>
      <w:r w:rsidR="00B01257">
        <w:rPr>
          <w:color w:val="000000" w:themeColor="text1"/>
          <w:lang w:val="en-AU"/>
        </w:rPr>
        <w:t>Chl-a</w:t>
      </w:r>
      <w:r w:rsidRPr="00A03137">
        <w:rPr>
          <w:color w:val="000000" w:themeColor="text1"/>
          <w:lang w:val="en-AU"/>
        </w:rPr>
        <w:t xml:space="preserve">, PP and </w:t>
      </w:r>
      <w:r w:rsidR="00B01257">
        <w:rPr>
          <w:color w:val="000000" w:themeColor="text1"/>
          <w:lang w:val="en-AU"/>
        </w:rPr>
        <w:t>T</w:t>
      </w:r>
      <w:r w:rsidRPr="00A03137">
        <w:rPr>
          <w:color w:val="000000" w:themeColor="text1"/>
          <w:lang w:val="en-AU"/>
        </w:rPr>
        <w:t xml:space="preserve">SS exceeding water quality guidelines (guideline) (GBRMPA 2010). </w:t>
      </w:r>
      <w:r w:rsidRPr="00A03137">
        <w:rPr>
          <w:lang w:val="en-AU"/>
        </w:rPr>
        <w:t xml:space="preserve">Secchi depth </w:t>
      </w:r>
      <w:r w:rsidR="004023C4">
        <w:rPr>
          <w:lang w:val="en-AU"/>
        </w:rPr>
        <w:t>showed</w:t>
      </w:r>
      <w:r w:rsidRPr="00A03137">
        <w:rPr>
          <w:lang w:val="en-AU"/>
        </w:rPr>
        <w:t xml:space="preserve"> a steady decline since the beginning of the monitoring program</w:t>
      </w:r>
      <w:r w:rsidR="004023C4">
        <w:rPr>
          <w:lang w:val="en-AU"/>
        </w:rPr>
        <w:t>,</w:t>
      </w:r>
      <w:r w:rsidRPr="00A03137">
        <w:rPr>
          <w:lang w:val="en-AU"/>
        </w:rPr>
        <w:t xml:space="preserve"> reaching a new </w:t>
      </w:r>
      <w:r w:rsidR="004023C4">
        <w:rPr>
          <w:lang w:val="en-AU"/>
        </w:rPr>
        <w:t>minimum</w:t>
      </w:r>
      <w:r w:rsidR="004023C4" w:rsidRPr="00A03137">
        <w:rPr>
          <w:lang w:val="en-AU"/>
        </w:rPr>
        <w:t xml:space="preserve"> </w:t>
      </w:r>
      <w:r w:rsidRPr="00A03137">
        <w:rPr>
          <w:lang w:val="en-AU"/>
        </w:rPr>
        <w:t xml:space="preserve">in 2015 with levels </w:t>
      </w:r>
      <w:r w:rsidR="00E36C16">
        <w:rPr>
          <w:lang w:val="en-AU"/>
        </w:rPr>
        <w:t xml:space="preserve">throughout the monitoring period being </w:t>
      </w:r>
      <w:r w:rsidRPr="00A03137">
        <w:rPr>
          <w:lang w:val="en-AU"/>
        </w:rPr>
        <w:t>non</w:t>
      </w:r>
      <w:r w:rsidR="00AD2AC5">
        <w:rPr>
          <w:lang w:val="en-AU"/>
        </w:rPr>
        <w:t>-</w:t>
      </w:r>
      <w:r w:rsidRPr="00A03137">
        <w:rPr>
          <w:lang w:val="en-AU"/>
        </w:rPr>
        <w:t>compliant with the guideline</w:t>
      </w:r>
      <w:r w:rsidR="00A03137">
        <w:rPr>
          <w:lang w:val="en-AU"/>
        </w:rPr>
        <w:t xml:space="preserve"> </w:t>
      </w:r>
      <w:r w:rsidRPr="00A03137">
        <w:rPr>
          <w:rFonts w:cs="Arial"/>
          <w:color w:val="000000" w:themeColor="text1"/>
          <w:lang w:val="en-AU"/>
        </w:rPr>
        <w:t>(</w:t>
      </w:r>
      <w:r w:rsidR="00EB33A6">
        <w:rPr>
          <w:color w:val="000000" w:themeColor="text1"/>
          <w:lang w:val="en-AU"/>
        </w:rPr>
        <w:fldChar w:fldCharType="begin"/>
      </w:r>
      <w:r w:rsidR="00673CF4">
        <w:rPr>
          <w:rFonts w:cs="Arial"/>
          <w:color w:val="000000" w:themeColor="text1"/>
          <w:lang w:val="en-AU"/>
        </w:rPr>
        <w:instrText xml:space="preserve"> REF _Ref438135007 \h </w:instrText>
      </w:r>
      <w:r w:rsidR="00EB33A6">
        <w:rPr>
          <w:color w:val="000000" w:themeColor="text1"/>
          <w:lang w:val="en-AU"/>
        </w:rPr>
      </w:r>
      <w:r w:rsidR="00EB33A6">
        <w:rPr>
          <w:color w:val="000000" w:themeColor="text1"/>
          <w:lang w:val="en-AU"/>
        </w:rPr>
        <w:fldChar w:fldCharType="separate"/>
      </w:r>
      <w:r w:rsidR="007F5336" w:rsidRPr="00202A68">
        <w:t xml:space="preserve">Figure </w:t>
      </w:r>
      <w:r w:rsidR="007F5336">
        <w:rPr>
          <w:noProof/>
        </w:rPr>
        <w:t>5</w:t>
      </w:r>
      <w:r w:rsidR="007F5336">
        <w:noBreakHyphen/>
      </w:r>
      <w:r w:rsidR="007F5336">
        <w:rPr>
          <w:noProof/>
        </w:rPr>
        <w:t>21</w:t>
      </w:r>
      <w:r w:rsidR="00EB33A6">
        <w:rPr>
          <w:color w:val="000000" w:themeColor="text1"/>
          <w:lang w:val="en-AU"/>
        </w:rPr>
        <w:fldChar w:fldCharType="end"/>
      </w:r>
      <w:r w:rsidR="004023C4" w:rsidRPr="00A03137">
        <w:rPr>
          <w:color w:val="000000" w:themeColor="text1"/>
          <w:lang w:val="en-AU"/>
        </w:rPr>
        <w:t>e</w:t>
      </w:r>
      <w:r w:rsidRPr="00A03137">
        <w:rPr>
          <w:color w:val="000000" w:themeColor="text1"/>
          <w:lang w:val="en-AU"/>
        </w:rPr>
        <w:t>).</w:t>
      </w:r>
    </w:p>
    <w:p w14:paraId="5F22F23F" w14:textId="5C19F97B" w:rsidR="00317A18" w:rsidRDefault="00317A18" w:rsidP="00317A18">
      <w:pPr>
        <w:rPr>
          <w:color w:val="000000" w:themeColor="text1"/>
          <w:lang w:val="en-AU"/>
        </w:rPr>
      </w:pPr>
      <w:r w:rsidRPr="00A03137">
        <w:rPr>
          <w:color w:val="000000" w:themeColor="text1"/>
          <w:lang w:val="en-AU"/>
        </w:rPr>
        <w:t>The concentrations of dissolved oxidised nitrogen (</w:t>
      </w:r>
      <w:r w:rsidRPr="00A03137">
        <w:rPr>
          <w:lang w:val="en-AU"/>
        </w:rPr>
        <w:t>NO</w:t>
      </w:r>
      <w:r w:rsidRPr="00A03137">
        <w:rPr>
          <w:vertAlign w:val="subscript"/>
          <w:lang w:val="en-AU"/>
        </w:rPr>
        <w:t>x</w:t>
      </w:r>
      <w:r w:rsidRPr="00A03137">
        <w:rPr>
          <w:color w:val="000000" w:themeColor="text1"/>
          <w:lang w:val="en-AU"/>
        </w:rPr>
        <w:t>) steadily increased over the course of the monitoring program, with the overall trend-line approaching the guideline value in 2013 where it remains (</w:t>
      </w:r>
      <w:r w:rsidR="00EB33A6">
        <w:rPr>
          <w:color w:val="000000" w:themeColor="text1"/>
          <w:lang w:val="en-AU"/>
        </w:rPr>
        <w:fldChar w:fldCharType="begin"/>
      </w:r>
      <w:r w:rsidR="00673CF4">
        <w:rPr>
          <w:color w:val="000000" w:themeColor="text1"/>
          <w:lang w:val="en-AU"/>
        </w:rPr>
        <w:instrText xml:space="preserve"> REF _Ref438135007 \h </w:instrText>
      </w:r>
      <w:r w:rsidR="00EB33A6">
        <w:rPr>
          <w:color w:val="000000" w:themeColor="text1"/>
          <w:lang w:val="en-AU"/>
        </w:rPr>
      </w:r>
      <w:r w:rsidR="00EB33A6">
        <w:rPr>
          <w:color w:val="000000" w:themeColor="text1"/>
          <w:lang w:val="en-AU"/>
        </w:rPr>
        <w:fldChar w:fldCharType="separate"/>
      </w:r>
      <w:r w:rsidR="007F5336" w:rsidRPr="00202A68">
        <w:t xml:space="preserve">Figure </w:t>
      </w:r>
      <w:r w:rsidR="007F5336">
        <w:rPr>
          <w:noProof/>
        </w:rPr>
        <w:t>5</w:t>
      </w:r>
      <w:r w:rsidR="007F5336">
        <w:noBreakHyphen/>
      </w:r>
      <w:r w:rsidR="007F5336">
        <w:rPr>
          <w:noProof/>
        </w:rPr>
        <w:t>21</w:t>
      </w:r>
      <w:r w:rsidR="00EB33A6">
        <w:rPr>
          <w:color w:val="000000" w:themeColor="text1"/>
          <w:lang w:val="en-AU"/>
        </w:rPr>
        <w:fldChar w:fldCharType="end"/>
      </w:r>
      <w:r w:rsidR="004023C4" w:rsidRPr="00A03137">
        <w:rPr>
          <w:color w:val="000000" w:themeColor="text1"/>
          <w:lang w:val="en-AU"/>
        </w:rPr>
        <w:t>d</w:t>
      </w:r>
      <w:r w:rsidRPr="00A03137">
        <w:rPr>
          <w:color w:val="000000" w:themeColor="text1"/>
          <w:lang w:val="en-AU"/>
        </w:rPr>
        <w:t>). The concentrations of particulate organic carbon (POC) has increased slightly, while the concentrations of dissolved organic carbon (DOC) steadily increased over the course of the monitoring period with levels approaching a stable level during the wet season of 2012–13 (</w:t>
      </w:r>
      <w:r w:rsidR="00EB33A6">
        <w:rPr>
          <w:color w:val="000000" w:themeColor="text1"/>
          <w:lang w:val="en-AU"/>
        </w:rPr>
        <w:fldChar w:fldCharType="begin"/>
      </w:r>
      <w:r w:rsidR="00673CF4">
        <w:rPr>
          <w:color w:val="000000" w:themeColor="text1"/>
          <w:lang w:val="en-AU"/>
        </w:rPr>
        <w:instrText xml:space="preserve"> REF _Ref438135007 \h </w:instrText>
      </w:r>
      <w:r w:rsidR="00EB33A6">
        <w:rPr>
          <w:color w:val="000000" w:themeColor="text1"/>
          <w:lang w:val="en-AU"/>
        </w:rPr>
      </w:r>
      <w:r w:rsidR="00EB33A6">
        <w:rPr>
          <w:color w:val="000000" w:themeColor="text1"/>
          <w:lang w:val="en-AU"/>
        </w:rPr>
        <w:fldChar w:fldCharType="separate"/>
      </w:r>
      <w:r w:rsidR="007F5336" w:rsidRPr="00202A68">
        <w:t xml:space="preserve">Figure </w:t>
      </w:r>
      <w:r w:rsidR="007F5336">
        <w:rPr>
          <w:noProof/>
        </w:rPr>
        <w:t>5</w:t>
      </w:r>
      <w:r w:rsidR="007F5336">
        <w:noBreakHyphen/>
      </w:r>
      <w:r w:rsidR="007F5336">
        <w:rPr>
          <w:noProof/>
        </w:rPr>
        <w:t>21</w:t>
      </w:r>
      <w:r w:rsidR="00EB33A6">
        <w:rPr>
          <w:color w:val="000000" w:themeColor="text1"/>
          <w:lang w:val="en-AU"/>
        </w:rPr>
        <w:fldChar w:fldCharType="end"/>
      </w:r>
      <w:r w:rsidRPr="00A03137">
        <w:rPr>
          <w:color w:val="000000" w:themeColor="text1"/>
          <w:lang w:val="en-AU"/>
        </w:rPr>
        <w:t xml:space="preserve">j).   </w:t>
      </w:r>
    </w:p>
    <w:p w14:paraId="5F22F240" w14:textId="77777777" w:rsidR="00702B17" w:rsidRPr="00C51DE2" w:rsidRDefault="00702B17" w:rsidP="00317A18">
      <w:pPr>
        <w:rPr>
          <w:color w:val="000000" w:themeColor="text1"/>
          <w:lang w:val="en-AU"/>
        </w:rPr>
      </w:pPr>
    </w:p>
    <w:p w14:paraId="5F22F241" w14:textId="77777777" w:rsidR="00317A18" w:rsidRPr="00A03137" w:rsidRDefault="00317A18" w:rsidP="00317A18">
      <w:pPr>
        <w:spacing w:before="5" w:after="5"/>
        <w:ind w:left="5" w:right="5"/>
        <w:rPr>
          <w:color w:val="0070C0"/>
          <w:lang w:val="en-AU"/>
        </w:rPr>
      </w:pPr>
    </w:p>
    <w:p w14:paraId="5F22F242" w14:textId="77777777" w:rsidR="005D7487" w:rsidRPr="007042A5" w:rsidRDefault="007042A5" w:rsidP="006F3C55">
      <w:pPr>
        <w:spacing w:before="5" w:after="5"/>
        <w:ind w:left="5" w:right="5"/>
        <w:rPr>
          <w:color w:val="0070C0"/>
          <w:lang w:val="en-AU"/>
        </w:rPr>
      </w:pPr>
      <w:r w:rsidRPr="007042A5">
        <w:rPr>
          <w:rFonts w:ascii="Times New Roman" w:hAnsi="Times New Roman"/>
          <w:snapToGrid w:val="0"/>
          <w:color w:val="000000"/>
          <w:w w:val="0"/>
          <w:sz w:val="0"/>
          <w:szCs w:val="0"/>
          <w:u w:color="000000"/>
          <w:bdr w:val="none" w:sz="0" w:space="0" w:color="000000"/>
          <w:shd w:val="clear" w:color="000000" w:fill="000000"/>
        </w:rPr>
        <w:t xml:space="preserve"> </w:t>
      </w:r>
      <w:r>
        <w:rPr>
          <w:noProof/>
          <w:color w:val="0070C0"/>
          <w:lang w:val="en-AU" w:eastAsia="en-AU"/>
        </w:rPr>
        <w:drawing>
          <wp:inline distT="0" distB="0" distL="0" distR="0" wp14:anchorId="5F2323DF" wp14:editId="33D44EDC">
            <wp:extent cx="5731510" cy="5731510"/>
            <wp:effectExtent l="0" t="0" r="2540" b="2540"/>
            <wp:docPr id="7171" name="Picture 7171" descr="Panel of graphs showing temporal trends in water quality variables for the Barron Daintree sub-region. a) water quality index, b) chlorophyll a, c) total suspended solids, d) nitrate/nitrite, e) Secchi depth, f) particulate nitrogen, g) particulate phosphorus, h) particulate organic carbon and i) dissolved organic carbon. Water quality index colour coding: dark green- ‘very good’; light green-‘good’; yellow – ‘moderate; orange – ‘poor’; red – ‘very poor’. The water quality index is the aggregate of variables plotted in b - h and calculated as described in Appendix 1.2.3. Trends in POC and DOC values are plotted here (i, j); threshold levels have yet to be established.  Trends in manually sampled water quality variables are represented by blue lines with blue shaded areas defining 95% confidence intervals of those trends accounting for the effects of wind, waves and tides after applying x-z detrending, black dots represent observed data. Trends of records from ECO FLNTUSB instruments are represented in red, individual records are not displayed. Dashed reference lines indicate guideline values." title="Figure 5 21: Temporal trends in water quality variables for the Barron Daintree sub-region. a) water quality index, b) chlorophyll a, c) total suspended solids, d) nitrate/nitrite, e) Secchi depth, f) particulate nitrogen, g) particulate phosphorus, h) particulate organic carbon and i) dissolved organic carb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clonborg\Desktop\MMP report 2014-15\Final graphs 2015\EcosystemHealth\ecosystemHealth_WQ_niskin.all.reef.av_Barron_Daintree.png"/>
                    <pic:cNvPicPr>
                      <a:picLocks noChangeAspect="1" noChangeArrowheads="1"/>
                    </pic:cNvPicPr>
                  </pic:nvPicPr>
                  <pic:blipFill>
                    <a:blip r:embed="rId334">
                      <a:extLst>
                        <a:ext uri="{28A0092B-C50C-407E-A947-70E740481C1C}">
                          <a14:useLocalDpi xmlns:a14="http://schemas.microsoft.com/office/drawing/2010/main" val="0"/>
                        </a:ext>
                      </a:extLst>
                    </a:blip>
                    <a:srcRect/>
                    <a:stretch>
                      <a:fillRect/>
                    </a:stretch>
                  </pic:blipFill>
                  <pic:spPr bwMode="auto">
                    <a:xfrm>
                      <a:off x="0" y="0"/>
                      <a:ext cx="5731510" cy="5731510"/>
                    </a:xfrm>
                    <a:prstGeom prst="rect">
                      <a:avLst/>
                    </a:prstGeom>
                    <a:noFill/>
                    <a:ln>
                      <a:noFill/>
                    </a:ln>
                  </pic:spPr>
                </pic:pic>
              </a:graphicData>
            </a:graphic>
          </wp:inline>
        </w:drawing>
      </w:r>
    </w:p>
    <w:p w14:paraId="5F22F244" w14:textId="0A8696BF" w:rsidR="00702B17" w:rsidRPr="00702B17" w:rsidRDefault="00271AED" w:rsidP="00164E5E">
      <w:pPr>
        <w:pStyle w:val="Caption"/>
        <w:rPr>
          <w:rStyle w:val="IntenseReference"/>
          <w:lang w:val="en-AU"/>
        </w:rPr>
      </w:pPr>
      <w:bookmarkStart w:id="1191" w:name="_Ref452304429"/>
      <w:bookmarkStart w:id="1192" w:name="_Ref438135007"/>
      <w:bookmarkStart w:id="1193" w:name="_Toc436913476"/>
      <w:bookmarkStart w:id="1194" w:name="_Toc459332379"/>
      <w:r w:rsidRPr="00202A68">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21</w:t>
      </w:r>
      <w:r w:rsidR="00C62884">
        <w:fldChar w:fldCharType="end"/>
      </w:r>
      <w:bookmarkEnd w:id="1191"/>
      <w:bookmarkEnd w:id="1192"/>
      <w:r w:rsidRPr="00202A68">
        <w:t xml:space="preserve">: </w:t>
      </w:r>
      <w:r w:rsidR="00697F4E" w:rsidRPr="00202A68">
        <w:t>Temporal trends in water quality variables for the Barron</w:t>
      </w:r>
      <w:r w:rsidR="007710D9" w:rsidRPr="00202A68">
        <w:t xml:space="preserve"> Daintree sub</w:t>
      </w:r>
      <w:r w:rsidR="00DC03EF">
        <w:t>-</w:t>
      </w:r>
      <w:r w:rsidR="007710D9" w:rsidRPr="00202A68">
        <w:t>region</w:t>
      </w:r>
      <w:r w:rsidR="00702B17" w:rsidRPr="00202A68">
        <w:t>.</w:t>
      </w:r>
      <w:r w:rsidR="00702B17">
        <w:rPr>
          <w:rStyle w:val="IntenseReference"/>
          <w:lang w:val="en-AU"/>
        </w:rPr>
        <w:t xml:space="preserve"> </w:t>
      </w:r>
      <w:r w:rsidR="00702B17" w:rsidRPr="00702B17">
        <w:rPr>
          <w:rStyle w:val="IntenseReference"/>
        </w:rPr>
        <w:t>a) water quality index, b) chlorophyll a, c) total suspended solids, d) nitrate/nitrite, e) Secchi depth, f) particulate nitrogen, g) particulate phosphorus, h) particulate organic carbon and i) dissolved organic carbon. Water quality index colour coding: dark green- ‘very good’; light green-‘good’; yellow – ‘moderate; orange – ‘poor’; red – ‘very poor’. The water quality index is the aggregate of variables plotted in b - h and calculated as described in Appendix 1.2.3. Trends in POC and DOC values are plotted here (i, j); threshold levels have yet to be established.  Trends in manually sampled water quality variables are represented by blue lines with blue shaded areas defining 95% confidence intervals of those trends</w:t>
      </w:r>
      <w:r w:rsidR="001453F1">
        <w:rPr>
          <w:rStyle w:val="IntenseReference"/>
        </w:rPr>
        <w:t xml:space="preserve"> </w:t>
      </w:r>
      <w:r w:rsidR="000B4D65">
        <w:rPr>
          <w:rStyle w:val="IntenseReference"/>
        </w:rPr>
        <w:t xml:space="preserve">accounting for the effects of </w:t>
      </w:r>
      <w:r w:rsidR="00E25252" w:rsidRPr="00A40196">
        <w:rPr>
          <w:lang w:val="en-AU"/>
        </w:rPr>
        <w:t>wind, waves and tides</w:t>
      </w:r>
      <w:r w:rsidR="003C1B7C">
        <w:rPr>
          <w:lang w:val="en-AU"/>
        </w:rPr>
        <w:t xml:space="preserve"> </w:t>
      </w:r>
      <w:r w:rsidR="001453F1">
        <w:rPr>
          <w:rStyle w:val="IntenseReference"/>
        </w:rPr>
        <w:t>after applying x-z detrending</w:t>
      </w:r>
      <w:r w:rsidR="00702B17" w:rsidRPr="00702B17">
        <w:rPr>
          <w:rStyle w:val="IntenseReference"/>
        </w:rPr>
        <w:t>, black dots represent observed data. Trends of records from ECO FLNTUSB instruments are represented in red, individual records are not displayed. Dashed reference lines indicate guideline values</w:t>
      </w:r>
      <w:r w:rsidR="00702B17">
        <w:rPr>
          <w:rStyle w:val="IntenseReference"/>
        </w:rPr>
        <w:t>.</w:t>
      </w:r>
      <w:bookmarkEnd w:id="1193"/>
      <w:bookmarkEnd w:id="1194"/>
    </w:p>
    <w:p w14:paraId="1C2E989D" w14:textId="77777777" w:rsidR="002F27C9" w:rsidRDefault="002F27C9" w:rsidP="004A5BF7">
      <w:bookmarkStart w:id="1195" w:name="_Toc167192441"/>
    </w:p>
    <w:p w14:paraId="34872670" w14:textId="46FB9F7C" w:rsidR="002F27C9" w:rsidRPr="00EF6E37" w:rsidRDefault="002F27C9" w:rsidP="00164E5E">
      <w:pPr>
        <w:pStyle w:val="Heading4"/>
      </w:pPr>
      <w:r>
        <w:t>Wet season</w:t>
      </w:r>
      <w:r w:rsidRPr="00EF6E37">
        <w:t xml:space="preserve"> water quality</w:t>
      </w:r>
    </w:p>
    <w:p w14:paraId="2156C730" w14:textId="793352A1" w:rsidR="002F27C9" w:rsidRDefault="002F27C9" w:rsidP="004A5BF7">
      <w:r>
        <w:t>Wet season sampling in flood events is currently not conducted in the Barron Daintree sub-region as part of the MMP.</w:t>
      </w:r>
    </w:p>
    <w:p w14:paraId="5F22F245" w14:textId="40079AB2" w:rsidR="00E57B3F" w:rsidRPr="004A5BF7" w:rsidRDefault="00057454" w:rsidP="004A5BF7">
      <w:pPr>
        <w:pStyle w:val="Heading30"/>
        <w:numPr>
          <w:ilvl w:val="2"/>
          <w:numId w:val="42"/>
        </w:numPr>
        <w:rPr>
          <w:rStyle w:val="Heading20"/>
        </w:rPr>
      </w:pPr>
      <w:r w:rsidRPr="00A03137">
        <w:br w:type="page"/>
      </w:r>
      <w:bookmarkStart w:id="1196" w:name="_Toc462307452"/>
      <w:r w:rsidR="00202A68" w:rsidRPr="004A5BF7">
        <w:rPr>
          <w:rStyle w:val="Heading20"/>
        </w:rPr>
        <w:t>W</w:t>
      </w:r>
      <w:r w:rsidRPr="004A5BF7">
        <w:rPr>
          <w:rStyle w:val="Heading20"/>
        </w:rPr>
        <w:t xml:space="preserve">et Tropics Region: Russell-Mulgrave </w:t>
      </w:r>
      <w:r w:rsidR="00EE2F27" w:rsidRPr="004A5BF7">
        <w:rPr>
          <w:rStyle w:val="Heading20"/>
        </w:rPr>
        <w:t>focus</w:t>
      </w:r>
      <w:r w:rsidR="00E62FA1">
        <w:rPr>
          <w:rStyle w:val="Heading20"/>
        </w:rPr>
        <w:t xml:space="preserve"> area</w:t>
      </w:r>
      <w:bookmarkEnd w:id="1195"/>
      <w:bookmarkEnd w:id="1196"/>
    </w:p>
    <w:p w14:paraId="5F22F247" w14:textId="7EC682B1" w:rsidR="00CA6171" w:rsidRPr="00EF6E37" w:rsidRDefault="00446EA5" w:rsidP="00164E5E">
      <w:pPr>
        <w:pStyle w:val="Heading4"/>
      </w:pPr>
      <w:r>
        <w:t>Overview</w:t>
      </w:r>
    </w:p>
    <w:p w14:paraId="51E992E8" w14:textId="2981A3D5" w:rsidR="0000083A" w:rsidRPr="00EE1BAB" w:rsidRDefault="006D55EE" w:rsidP="0000083A">
      <w:pPr>
        <w:rPr>
          <w:rFonts w:ascii="Calibri" w:hAnsi="Calibri"/>
          <w:sz w:val="20"/>
        </w:rPr>
      </w:pPr>
      <w:r w:rsidRPr="000304E3">
        <w:rPr>
          <w:rFonts w:cs="Arial"/>
          <w:szCs w:val="22"/>
          <w:lang w:val="en-AU"/>
        </w:rPr>
        <w:t xml:space="preserve">The </w:t>
      </w:r>
      <w:r w:rsidR="009C102D">
        <w:rPr>
          <w:rFonts w:cs="Arial"/>
          <w:szCs w:val="22"/>
          <w:lang w:val="en-AU"/>
        </w:rPr>
        <w:t>Russell-Mulgrave</w:t>
      </w:r>
      <w:r w:rsidR="009C102D" w:rsidRPr="000304E3">
        <w:rPr>
          <w:rFonts w:cs="Arial"/>
          <w:szCs w:val="22"/>
          <w:lang w:val="en-AU"/>
        </w:rPr>
        <w:t xml:space="preserve"> </w:t>
      </w:r>
      <w:r w:rsidR="00E62FA1">
        <w:rPr>
          <w:rFonts w:cs="Arial"/>
          <w:szCs w:val="22"/>
          <w:lang w:val="en-AU"/>
        </w:rPr>
        <w:t>focus area</w:t>
      </w:r>
      <w:r w:rsidR="0000083A">
        <w:rPr>
          <w:rFonts w:cs="Arial"/>
          <w:szCs w:val="22"/>
          <w:lang w:val="en-AU"/>
        </w:rPr>
        <w:t xml:space="preserve"> is primarily influenced by discharge from the Russell-Mulgrave and Johnstone </w:t>
      </w:r>
      <w:r w:rsidR="00E62FA1">
        <w:rPr>
          <w:rFonts w:cs="Arial"/>
          <w:szCs w:val="22"/>
          <w:lang w:val="en-AU"/>
        </w:rPr>
        <w:t>Basins</w:t>
      </w:r>
      <w:r w:rsidR="0000083A" w:rsidRPr="0000083A">
        <w:rPr>
          <w:rFonts w:cs="Arial"/>
          <w:szCs w:val="22"/>
          <w:lang w:val="en-AU"/>
        </w:rPr>
        <w:t xml:space="preserve"> </w:t>
      </w:r>
      <w:r w:rsidR="0000083A" w:rsidRPr="000304E3">
        <w:rPr>
          <w:rFonts w:cs="Arial"/>
          <w:szCs w:val="22"/>
          <w:lang w:val="en-AU"/>
        </w:rPr>
        <w:t xml:space="preserve">and to a lesser extent, by other rivers south of the </w:t>
      </w:r>
      <w:r w:rsidR="00E62FA1">
        <w:rPr>
          <w:rFonts w:cs="Arial"/>
          <w:szCs w:val="22"/>
          <w:lang w:val="en-AU"/>
        </w:rPr>
        <w:t>focus area</w:t>
      </w:r>
      <w:r w:rsidR="0000083A" w:rsidRPr="000304E3">
        <w:rPr>
          <w:rFonts w:cs="Arial"/>
          <w:szCs w:val="22"/>
          <w:lang w:val="en-AU"/>
        </w:rPr>
        <w:t>, such as the Burdekin (</w:t>
      </w:r>
      <w:r w:rsidR="0000083A">
        <w:rPr>
          <w:rFonts w:cs="Arial"/>
          <w:szCs w:val="22"/>
          <w:lang w:val="en-AU"/>
        </w:rPr>
        <w:t>Brodie</w:t>
      </w:r>
      <w:r w:rsidR="0000083A" w:rsidRPr="000304E3">
        <w:rPr>
          <w:rFonts w:cs="Arial"/>
          <w:szCs w:val="22"/>
          <w:lang w:val="en-AU"/>
        </w:rPr>
        <w:t xml:space="preserve"> </w:t>
      </w:r>
      <w:r w:rsidR="0000083A" w:rsidRPr="005128DC">
        <w:rPr>
          <w:rFonts w:cs="Arial"/>
          <w:szCs w:val="22"/>
          <w:lang w:val="en-AU"/>
        </w:rPr>
        <w:t>et al.</w:t>
      </w:r>
      <w:r w:rsidR="0000083A">
        <w:rPr>
          <w:rFonts w:cs="Arial"/>
          <w:szCs w:val="22"/>
          <w:lang w:val="en-AU"/>
        </w:rPr>
        <w:t>,</w:t>
      </w:r>
      <w:r w:rsidR="0000083A" w:rsidRPr="000304E3">
        <w:rPr>
          <w:rFonts w:cs="Arial"/>
          <w:szCs w:val="22"/>
          <w:lang w:val="en-AU"/>
        </w:rPr>
        <w:t xml:space="preserve"> 2013).</w:t>
      </w:r>
      <w:r w:rsidRPr="000304E3">
        <w:rPr>
          <w:rFonts w:cs="Arial"/>
          <w:szCs w:val="22"/>
          <w:lang w:val="en-AU"/>
        </w:rPr>
        <w:t xml:space="preserve"> </w:t>
      </w:r>
      <w:r w:rsidR="0000083A">
        <w:rPr>
          <w:rFonts w:cs="Arial"/>
          <w:szCs w:val="22"/>
          <w:lang w:val="en-AU"/>
        </w:rPr>
        <w:t xml:space="preserve">The Russell-Mulgrave </w:t>
      </w:r>
      <w:r w:rsidR="00E62FA1">
        <w:rPr>
          <w:rFonts w:cs="Arial"/>
          <w:szCs w:val="22"/>
          <w:lang w:val="en-AU"/>
        </w:rPr>
        <w:t>Basins</w:t>
      </w:r>
      <w:r w:rsidR="0000083A" w:rsidRPr="000304E3">
        <w:rPr>
          <w:rFonts w:cs="Arial"/>
          <w:szCs w:val="22"/>
          <w:lang w:val="en-AU"/>
        </w:rPr>
        <w:t xml:space="preserve"> </w:t>
      </w:r>
      <w:r w:rsidR="00E62FA1">
        <w:rPr>
          <w:rFonts w:cs="Arial"/>
          <w:szCs w:val="22"/>
          <w:lang w:val="en-AU"/>
        </w:rPr>
        <w:t xml:space="preserve">contain </w:t>
      </w:r>
      <w:r w:rsidRPr="000304E3">
        <w:rPr>
          <w:rFonts w:cs="Arial"/>
          <w:szCs w:val="22"/>
          <w:lang w:val="en-AU"/>
        </w:rPr>
        <w:t>a high proportion of upland National Park and forest</w:t>
      </w:r>
      <w:r w:rsidR="009C102D">
        <w:rPr>
          <w:rFonts w:cs="Arial"/>
          <w:szCs w:val="22"/>
          <w:lang w:val="en-AU"/>
        </w:rPr>
        <w:t xml:space="preserve"> (72%)</w:t>
      </w:r>
      <w:r w:rsidRPr="000304E3">
        <w:rPr>
          <w:rFonts w:cs="Arial"/>
          <w:szCs w:val="22"/>
          <w:lang w:val="en-AU"/>
        </w:rPr>
        <w:t xml:space="preserve">, </w:t>
      </w:r>
      <w:r w:rsidR="0000083A">
        <w:rPr>
          <w:rFonts w:cs="Arial"/>
          <w:szCs w:val="22"/>
          <w:lang w:val="en-AU"/>
        </w:rPr>
        <w:t>with</w:t>
      </w:r>
      <w:r w:rsidR="0000083A" w:rsidRPr="000304E3">
        <w:rPr>
          <w:rFonts w:cs="Arial"/>
          <w:szCs w:val="22"/>
          <w:lang w:val="en-AU"/>
        </w:rPr>
        <w:t xml:space="preserve"> </w:t>
      </w:r>
      <w:r w:rsidR="009C102D">
        <w:rPr>
          <w:rFonts w:cs="Arial"/>
          <w:szCs w:val="22"/>
          <w:lang w:val="en-AU"/>
        </w:rPr>
        <w:t>13</w:t>
      </w:r>
      <w:r w:rsidRPr="000304E3">
        <w:rPr>
          <w:rFonts w:cs="Arial"/>
          <w:szCs w:val="22"/>
          <w:lang w:val="en-AU"/>
        </w:rPr>
        <w:t xml:space="preserve">% </w:t>
      </w:r>
      <w:r w:rsidR="0000083A">
        <w:rPr>
          <w:rFonts w:cs="Arial"/>
          <w:szCs w:val="22"/>
          <w:lang w:val="en-AU"/>
        </w:rPr>
        <w:t>of the area used for</w:t>
      </w:r>
      <w:r w:rsidRPr="000304E3">
        <w:rPr>
          <w:rFonts w:cs="Arial"/>
          <w:szCs w:val="22"/>
          <w:lang w:val="en-AU"/>
        </w:rPr>
        <w:t xml:space="preserve"> sugar</w:t>
      </w:r>
      <w:r w:rsidR="009C102D">
        <w:rPr>
          <w:rFonts w:cs="Arial"/>
          <w:szCs w:val="22"/>
          <w:lang w:val="en-AU"/>
        </w:rPr>
        <w:t>cane</w:t>
      </w:r>
      <w:r w:rsidRPr="000304E3">
        <w:rPr>
          <w:rFonts w:cs="Arial"/>
          <w:szCs w:val="22"/>
          <w:lang w:val="en-AU"/>
        </w:rPr>
        <w:t xml:space="preserve"> production on the coastal </w:t>
      </w:r>
      <w:r w:rsidR="009C102D">
        <w:rPr>
          <w:rFonts w:cs="Arial"/>
          <w:szCs w:val="22"/>
          <w:lang w:val="en-AU"/>
        </w:rPr>
        <w:t>floodplain (Terrain NRM, 2015)</w:t>
      </w:r>
      <w:r w:rsidRPr="000304E3">
        <w:rPr>
          <w:rFonts w:cs="Arial"/>
          <w:szCs w:val="22"/>
          <w:lang w:val="en-AU"/>
        </w:rPr>
        <w:t>.</w:t>
      </w:r>
      <w:r w:rsidR="0000083A">
        <w:rPr>
          <w:rFonts w:cs="Arial"/>
          <w:szCs w:val="22"/>
          <w:lang w:val="en-AU"/>
        </w:rPr>
        <w:t xml:space="preserve"> </w:t>
      </w:r>
      <w:r w:rsidR="0000083A" w:rsidRPr="004A5BF7">
        <w:rPr>
          <w:rFonts w:cs="Arial"/>
          <w:szCs w:val="22"/>
          <w:lang w:val="en-AU"/>
        </w:rPr>
        <w:t xml:space="preserve">The Johnstone </w:t>
      </w:r>
      <w:r w:rsidR="00E62FA1">
        <w:rPr>
          <w:rFonts w:cs="Arial"/>
          <w:szCs w:val="22"/>
          <w:lang w:val="en-AU"/>
        </w:rPr>
        <w:t>Basin</w:t>
      </w:r>
      <w:r w:rsidR="0000083A" w:rsidRPr="004A5BF7">
        <w:rPr>
          <w:rFonts w:cs="Arial"/>
          <w:szCs w:val="22"/>
          <w:lang w:val="en-AU"/>
        </w:rPr>
        <w:t xml:space="preserve"> has an area of 2,326 km</w:t>
      </w:r>
      <w:r w:rsidR="0000083A" w:rsidRPr="004A5BF7">
        <w:rPr>
          <w:rFonts w:cs="Arial"/>
          <w:szCs w:val="22"/>
          <w:vertAlign w:val="superscript"/>
          <w:lang w:val="en-AU"/>
        </w:rPr>
        <w:t>2</w:t>
      </w:r>
      <w:r w:rsidR="0000083A" w:rsidRPr="004A5BF7">
        <w:rPr>
          <w:rFonts w:cs="Arial"/>
          <w:szCs w:val="22"/>
          <w:lang w:val="en-AU"/>
        </w:rPr>
        <w:t xml:space="preserve"> and has a relatively high proportion of natural/minimal use lands (55%). The remaining area contains 16% grazing, 12% sugarcane</w:t>
      </w:r>
      <w:r w:rsidR="0000083A">
        <w:rPr>
          <w:rFonts w:cs="Arial"/>
          <w:szCs w:val="22"/>
          <w:lang w:val="en-AU"/>
        </w:rPr>
        <w:t xml:space="preserve"> and smaller areas of d</w:t>
      </w:r>
      <w:r w:rsidR="0000083A" w:rsidRPr="004A5BF7">
        <w:rPr>
          <w:rFonts w:cs="Arial"/>
          <w:szCs w:val="22"/>
          <w:lang w:val="en-AU"/>
        </w:rPr>
        <w:t xml:space="preserve">airy (in the upper catchment), bananas </w:t>
      </w:r>
      <w:r w:rsidR="0000083A">
        <w:rPr>
          <w:rFonts w:cs="Arial"/>
          <w:szCs w:val="22"/>
          <w:lang w:val="en-AU"/>
        </w:rPr>
        <w:t>and</w:t>
      </w:r>
      <w:r w:rsidR="0000083A" w:rsidRPr="004A5BF7">
        <w:rPr>
          <w:rFonts w:cs="Arial"/>
          <w:szCs w:val="22"/>
          <w:lang w:val="en-AU"/>
        </w:rPr>
        <w:t xml:space="preserve"> other crops, </w:t>
      </w:r>
      <w:r w:rsidR="0000083A">
        <w:rPr>
          <w:rFonts w:cs="Arial"/>
          <w:szCs w:val="22"/>
          <w:lang w:val="en-AU"/>
        </w:rPr>
        <w:t>and urban</w:t>
      </w:r>
      <w:r w:rsidR="0000083A" w:rsidRPr="004A5BF7">
        <w:rPr>
          <w:rFonts w:cs="Arial"/>
          <w:szCs w:val="22"/>
          <w:lang w:val="en-AU"/>
        </w:rPr>
        <w:t xml:space="preserve"> land uses</w:t>
      </w:r>
      <w:r w:rsidR="0000083A">
        <w:rPr>
          <w:rFonts w:cs="Arial"/>
          <w:szCs w:val="22"/>
          <w:lang w:val="en-AU"/>
        </w:rPr>
        <w:t xml:space="preserve"> (Terrain NRM, 2015)</w:t>
      </w:r>
      <w:r w:rsidR="0000083A" w:rsidRPr="004A5BF7">
        <w:rPr>
          <w:rFonts w:cs="Arial"/>
          <w:szCs w:val="22"/>
          <w:lang w:val="en-AU"/>
        </w:rPr>
        <w:t>.</w:t>
      </w:r>
      <w:r w:rsidR="0000083A" w:rsidRPr="00EE1BAB">
        <w:rPr>
          <w:rFonts w:ascii="Calibri" w:hAnsi="Calibri"/>
          <w:sz w:val="20"/>
        </w:rPr>
        <w:t xml:space="preserve"> </w:t>
      </w:r>
    </w:p>
    <w:p w14:paraId="5F22F251" w14:textId="3C2B6BE4" w:rsidR="00DD643E" w:rsidRPr="00315B2F" w:rsidRDefault="008645FA" w:rsidP="00E62FA1">
      <w:pPr>
        <w:rPr>
          <w:rFonts w:cs="Arial"/>
          <w:szCs w:val="22"/>
        </w:rPr>
      </w:pPr>
      <w:r w:rsidRPr="00A03137">
        <w:rPr>
          <w:szCs w:val="22"/>
          <w:lang w:val="en-AU"/>
        </w:rPr>
        <w:t xml:space="preserve">Three stations were sampled three times per year </w:t>
      </w:r>
      <w:r w:rsidR="007E5FC8">
        <w:rPr>
          <w:szCs w:val="22"/>
          <w:lang w:val="en-AU"/>
        </w:rPr>
        <w:t xml:space="preserve">in this </w:t>
      </w:r>
      <w:r w:rsidR="00E62FA1">
        <w:rPr>
          <w:szCs w:val="22"/>
          <w:lang w:val="en-AU"/>
        </w:rPr>
        <w:t>focus area</w:t>
      </w:r>
      <w:r w:rsidR="007E5FC8">
        <w:rPr>
          <w:szCs w:val="22"/>
          <w:lang w:val="en-AU"/>
        </w:rPr>
        <w:t xml:space="preserve"> </w:t>
      </w:r>
      <w:r w:rsidRPr="00A03137">
        <w:rPr>
          <w:szCs w:val="22"/>
          <w:lang w:val="en-AU"/>
        </w:rPr>
        <w:t xml:space="preserve">until the end of 2014 to determine regional </w:t>
      </w:r>
      <w:r w:rsidRPr="00A03137">
        <w:rPr>
          <w:rFonts w:cs="Arial"/>
          <w:szCs w:val="22"/>
          <w:lang w:val="en-AU"/>
        </w:rPr>
        <w:t xml:space="preserve">water quality. </w:t>
      </w:r>
      <w:r w:rsidR="00E62FA1">
        <w:rPr>
          <w:rFonts w:cs="Arial"/>
          <w:szCs w:val="22"/>
          <w:lang w:val="en-AU"/>
        </w:rPr>
        <w:t>Following</w:t>
      </w:r>
      <w:r w:rsidR="00E62FA1" w:rsidRPr="00A03137">
        <w:rPr>
          <w:rFonts w:cs="Arial"/>
          <w:szCs w:val="22"/>
          <w:lang w:val="en-AU"/>
        </w:rPr>
        <w:t xml:space="preserve"> </w:t>
      </w:r>
      <w:r w:rsidRPr="00A03137">
        <w:rPr>
          <w:rFonts w:cs="Arial"/>
          <w:szCs w:val="22"/>
          <w:lang w:val="en-AU"/>
        </w:rPr>
        <w:t xml:space="preserve">the implementation of the new </w:t>
      </w:r>
      <w:r w:rsidRPr="00A03137">
        <w:rPr>
          <w:szCs w:val="22"/>
          <w:lang w:val="en-AU"/>
        </w:rPr>
        <w:t>MMP water quality sampling design</w:t>
      </w:r>
      <w:r w:rsidR="006D55EE">
        <w:rPr>
          <w:szCs w:val="22"/>
          <w:lang w:val="en-AU"/>
        </w:rPr>
        <w:t xml:space="preserve"> </w:t>
      </w:r>
      <w:r w:rsidRPr="00A03137">
        <w:rPr>
          <w:rFonts w:cs="Arial"/>
          <w:szCs w:val="22"/>
          <w:lang w:val="en-AU"/>
        </w:rPr>
        <w:t xml:space="preserve">in 2015, 12 sampling stations are sampled </w:t>
      </w:r>
      <w:r w:rsidR="007E5FC8" w:rsidRPr="00A03137">
        <w:rPr>
          <w:rFonts w:cs="Arial"/>
          <w:szCs w:val="22"/>
          <w:lang w:val="en-AU"/>
        </w:rPr>
        <w:t xml:space="preserve">in this sub-region </w:t>
      </w:r>
      <w:r w:rsidRPr="00A03137">
        <w:rPr>
          <w:rFonts w:cs="Arial"/>
          <w:szCs w:val="22"/>
          <w:lang w:val="en-AU"/>
        </w:rPr>
        <w:t>up to 10 times per year, with six stations during both the dry and wet season and six</w:t>
      </w:r>
      <w:r w:rsidR="00CA6171" w:rsidRPr="00A03137">
        <w:rPr>
          <w:rFonts w:cs="Arial"/>
          <w:szCs w:val="22"/>
          <w:lang w:val="en-AU"/>
        </w:rPr>
        <w:t xml:space="preserve"> only during </w:t>
      </w:r>
      <w:r w:rsidR="00DD4E91">
        <w:rPr>
          <w:rFonts w:cs="Arial"/>
          <w:szCs w:val="22"/>
          <w:lang w:val="en-AU"/>
        </w:rPr>
        <w:t xml:space="preserve">major floods </w:t>
      </w:r>
      <w:r w:rsidR="00CA6171" w:rsidRPr="00A03137">
        <w:rPr>
          <w:rFonts w:cs="Arial"/>
          <w:szCs w:val="22"/>
          <w:lang w:val="en-AU"/>
        </w:rPr>
        <w:t>(</w:t>
      </w:r>
      <w:r w:rsidR="00E62FA1">
        <w:rPr>
          <w:rFonts w:cs="Arial"/>
          <w:szCs w:val="22"/>
          <w:lang w:val="en-AU"/>
        </w:rPr>
        <w:fldChar w:fldCharType="begin"/>
      </w:r>
      <w:r w:rsidR="00E62FA1">
        <w:rPr>
          <w:rFonts w:cs="Arial"/>
          <w:szCs w:val="22"/>
          <w:lang w:val="en-AU"/>
        </w:rPr>
        <w:instrText xml:space="preserve"> REF _Ref459146094 \h </w:instrText>
      </w:r>
      <w:r w:rsidR="00E62FA1">
        <w:rPr>
          <w:rFonts w:cs="Arial"/>
          <w:szCs w:val="22"/>
          <w:lang w:val="en-AU"/>
        </w:rPr>
      </w:r>
      <w:r w:rsidR="00E62FA1">
        <w:rPr>
          <w:rFonts w:cs="Arial"/>
          <w:szCs w:val="22"/>
          <w:lang w:val="en-AU"/>
        </w:rPr>
        <w:fldChar w:fldCharType="separate"/>
      </w:r>
      <w:r w:rsidR="007F5336" w:rsidRPr="00EC46B4">
        <w:t xml:space="preserve">Table </w:t>
      </w:r>
      <w:r w:rsidR="007F5336">
        <w:rPr>
          <w:noProof/>
        </w:rPr>
        <w:t>4</w:t>
      </w:r>
      <w:r w:rsidR="007F5336">
        <w:noBreakHyphen/>
      </w:r>
      <w:r w:rsidR="007F5336">
        <w:rPr>
          <w:noProof/>
        </w:rPr>
        <w:t>1</w:t>
      </w:r>
      <w:r w:rsidR="00E62FA1">
        <w:rPr>
          <w:rFonts w:cs="Arial"/>
          <w:szCs w:val="22"/>
          <w:lang w:val="en-AU"/>
        </w:rPr>
        <w:fldChar w:fldCharType="end"/>
      </w:r>
      <w:r w:rsidRPr="00A03137">
        <w:rPr>
          <w:rFonts w:cs="Arial"/>
          <w:szCs w:val="22"/>
          <w:lang w:val="en-AU"/>
        </w:rPr>
        <w:t xml:space="preserve">). The sampling </w:t>
      </w:r>
      <w:r w:rsidR="006D55EE">
        <w:rPr>
          <w:rFonts w:cs="Arial"/>
          <w:szCs w:val="22"/>
          <w:lang w:val="en-AU"/>
        </w:rPr>
        <w:t>stations</w:t>
      </w:r>
      <w:r w:rsidR="006D55EE" w:rsidRPr="00A03137">
        <w:rPr>
          <w:rFonts w:cs="Arial"/>
          <w:szCs w:val="22"/>
          <w:lang w:val="en-AU"/>
        </w:rPr>
        <w:t xml:space="preserve"> </w:t>
      </w:r>
      <w:r w:rsidRPr="00A03137">
        <w:rPr>
          <w:rFonts w:cs="Arial"/>
          <w:szCs w:val="22"/>
          <w:lang w:val="en-AU"/>
        </w:rPr>
        <w:t xml:space="preserve">in this new design are </w:t>
      </w:r>
      <w:r w:rsidR="006D55EE">
        <w:rPr>
          <w:rFonts w:cs="Arial"/>
          <w:szCs w:val="22"/>
          <w:lang w:val="en-AU"/>
        </w:rPr>
        <w:t>located</w:t>
      </w:r>
      <w:r w:rsidR="006D55EE" w:rsidRPr="00A03137">
        <w:rPr>
          <w:rFonts w:cs="Arial"/>
          <w:szCs w:val="22"/>
          <w:lang w:val="en-AU"/>
        </w:rPr>
        <w:t xml:space="preserve"> </w:t>
      </w:r>
      <w:r w:rsidRPr="00A03137">
        <w:rPr>
          <w:rFonts w:cs="Arial"/>
          <w:szCs w:val="22"/>
          <w:lang w:val="en-AU"/>
        </w:rPr>
        <w:t>in a</w:t>
      </w:r>
      <w:r w:rsidR="007E5FC8">
        <w:rPr>
          <w:rFonts w:cs="Arial"/>
          <w:szCs w:val="22"/>
          <w:lang w:val="en-AU"/>
        </w:rPr>
        <w:t xml:space="preserve"> transect from the</w:t>
      </w:r>
      <w:r w:rsidRPr="00A03137">
        <w:rPr>
          <w:rFonts w:cs="Arial"/>
          <w:szCs w:val="22"/>
          <w:lang w:val="en-AU"/>
        </w:rPr>
        <w:t xml:space="preserve"> river</w:t>
      </w:r>
      <w:r w:rsidR="007E5FC8">
        <w:rPr>
          <w:rFonts w:cs="Arial"/>
          <w:szCs w:val="22"/>
          <w:lang w:val="en-AU"/>
        </w:rPr>
        <w:t xml:space="preserve"> mouth</w:t>
      </w:r>
      <w:r w:rsidRPr="00A03137">
        <w:rPr>
          <w:rFonts w:cs="Arial"/>
          <w:szCs w:val="22"/>
          <w:lang w:val="en-AU"/>
        </w:rPr>
        <w:t xml:space="preserve"> to open coastal water</w:t>
      </w:r>
      <w:r w:rsidR="007E5FC8">
        <w:rPr>
          <w:rFonts w:cs="Arial"/>
          <w:szCs w:val="22"/>
          <w:lang w:val="en-AU"/>
        </w:rPr>
        <w:t xml:space="preserve">s, </w:t>
      </w:r>
      <w:r w:rsidRPr="00A03137">
        <w:rPr>
          <w:rFonts w:cs="Arial"/>
          <w:szCs w:val="22"/>
          <w:lang w:val="en-AU"/>
        </w:rPr>
        <w:t>representing a gradient in water quality</w:t>
      </w:r>
      <w:r w:rsidR="007E5FC8">
        <w:rPr>
          <w:rFonts w:cs="Arial"/>
          <w:szCs w:val="22"/>
          <w:lang w:val="en-AU"/>
        </w:rPr>
        <w:t>. Five</w:t>
      </w:r>
      <w:r w:rsidRPr="00A03137">
        <w:rPr>
          <w:rFonts w:cs="Arial"/>
          <w:szCs w:val="22"/>
          <w:lang w:val="en-AU"/>
        </w:rPr>
        <w:t xml:space="preserve"> stations </w:t>
      </w:r>
      <w:r w:rsidR="007E5FC8">
        <w:rPr>
          <w:rFonts w:cs="Arial"/>
          <w:szCs w:val="22"/>
          <w:lang w:val="en-AU"/>
        </w:rPr>
        <w:t>are</w:t>
      </w:r>
      <w:r w:rsidR="007E5FC8" w:rsidRPr="00A03137">
        <w:rPr>
          <w:rFonts w:cs="Arial"/>
          <w:szCs w:val="22"/>
          <w:lang w:val="en-AU"/>
        </w:rPr>
        <w:t xml:space="preserve"> </w:t>
      </w:r>
      <w:r w:rsidRPr="00A03137">
        <w:rPr>
          <w:rFonts w:cs="Arial"/>
          <w:szCs w:val="22"/>
          <w:lang w:val="en-AU"/>
        </w:rPr>
        <w:t xml:space="preserve">affected to a varying degree </w:t>
      </w:r>
      <w:r w:rsidRPr="00A03137">
        <w:rPr>
          <w:lang w:val="en-AU"/>
        </w:rPr>
        <w:t xml:space="preserve">by </w:t>
      </w:r>
      <w:r w:rsidR="007E5FC8">
        <w:rPr>
          <w:lang w:val="en-AU"/>
        </w:rPr>
        <w:t>P</w:t>
      </w:r>
      <w:r w:rsidRPr="00A03137">
        <w:rPr>
          <w:lang w:val="en-AU"/>
        </w:rPr>
        <w:t xml:space="preserve">rimary and </w:t>
      </w:r>
      <w:r w:rsidR="007E5FC8">
        <w:rPr>
          <w:lang w:val="en-AU"/>
        </w:rPr>
        <w:t>S</w:t>
      </w:r>
      <w:r w:rsidRPr="00A03137">
        <w:rPr>
          <w:lang w:val="en-AU"/>
        </w:rPr>
        <w:t>econdary plume</w:t>
      </w:r>
      <w:r w:rsidR="007E5FC8">
        <w:rPr>
          <w:lang w:val="en-AU"/>
        </w:rPr>
        <w:t xml:space="preserve"> water types</w:t>
      </w:r>
      <w:r w:rsidRPr="00A03137">
        <w:rPr>
          <w:lang w:val="en-AU"/>
        </w:rPr>
        <w:t xml:space="preserve">, while </w:t>
      </w:r>
      <w:r w:rsidR="00F351A1">
        <w:rPr>
          <w:lang w:val="en-AU"/>
        </w:rPr>
        <w:t xml:space="preserve">the remaining </w:t>
      </w:r>
      <w:r w:rsidR="007E5FC8">
        <w:rPr>
          <w:lang w:val="en-AU"/>
        </w:rPr>
        <w:t>seven</w:t>
      </w:r>
      <w:r w:rsidRPr="00A03137">
        <w:rPr>
          <w:rStyle w:val="IntenseReference"/>
          <w:rFonts w:cs="Arial"/>
          <w:color w:val="auto"/>
          <w:sz w:val="22"/>
          <w:szCs w:val="22"/>
          <w:lang w:val="en-AU"/>
        </w:rPr>
        <w:t xml:space="preserve"> </w:t>
      </w:r>
      <w:r w:rsidR="00796E07">
        <w:rPr>
          <w:lang w:val="en-AU"/>
        </w:rPr>
        <w:t>stations</w:t>
      </w:r>
      <w:r w:rsidR="00796E07" w:rsidRPr="00A03137">
        <w:rPr>
          <w:rFonts w:cs="Arial"/>
          <w:szCs w:val="22"/>
          <w:lang w:val="en-AU"/>
        </w:rPr>
        <w:t xml:space="preserve"> </w:t>
      </w:r>
      <w:r w:rsidRPr="00A03137">
        <w:rPr>
          <w:rFonts w:cs="Arial"/>
          <w:szCs w:val="22"/>
          <w:lang w:val="en-AU"/>
        </w:rPr>
        <w:t xml:space="preserve">are located in the midshelf water body which is rarely exposed to </w:t>
      </w:r>
      <w:r w:rsidR="007E5FC8">
        <w:rPr>
          <w:rFonts w:cs="Arial"/>
          <w:szCs w:val="22"/>
          <w:lang w:val="en-AU"/>
        </w:rPr>
        <w:t>Primary or S</w:t>
      </w:r>
      <w:r w:rsidR="007E5FC8" w:rsidRPr="00A03137">
        <w:rPr>
          <w:rFonts w:cs="Arial"/>
          <w:szCs w:val="22"/>
          <w:lang w:val="en-AU"/>
        </w:rPr>
        <w:t xml:space="preserve">econdary </w:t>
      </w:r>
      <w:r w:rsidR="00CA6171" w:rsidRPr="00A03137">
        <w:rPr>
          <w:rFonts w:cs="Arial"/>
          <w:szCs w:val="22"/>
          <w:lang w:val="en-AU"/>
        </w:rPr>
        <w:t>plume</w:t>
      </w:r>
      <w:r w:rsidR="007E5FC8">
        <w:rPr>
          <w:rFonts w:cs="Arial"/>
          <w:szCs w:val="22"/>
          <w:lang w:val="en-AU"/>
        </w:rPr>
        <w:t xml:space="preserve"> </w:t>
      </w:r>
      <w:r w:rsidR="00CA6171" w:rsidRPr="00A03137">
        <w:rPr>
          <w:rFonts w:cs="Arial"/>
          <w:szCs w:val="22"/>
          <w:lang w:val="en-AU"/>
        </w:rPr>
        <w:t>water</w:t>
      </w:r>
      <w:r w:rsidR="00E62FA1">
        <w:rPr>
          <w:rFonts w:cs="Arial"/>
          <w:szCs w:val="22"/>
          <w:lang w:val="en-AU"/>
        </w:rPr>
        <w:t>s</w:t>
      </w:r>
      <w:r w:rsidR="00CA6171" w:rsidRPr="00A03137">
        <w:rPr>
          <w:rFonts w:cs="Arial"/>
          <w:szCs w:val="22"/>
          <w:lang w:val="en-AU"/>
        </w:rPr>
        <w:t xml:space="preserve"> (</w:t>
      </w:r>
      <w:r w:rsidR="00EB33A6">
        <w:rPr>
          <w:rFonts w:cs="Arial"/>
          <w:szCs w:val="22"/>
          <w:lang w:val="en-AU"/>
        </w:rPr>
        <w:fldChar w:fldCharType="begin"/>
      </w:r>
      <w:r w:rsidR="00F64881">
        <w:rPr>
          <w:rFonts w:cs="Arial"/>
          <w:szCs w:val="22"/>
          <w:lang w:val="en-AU"/>
        </w:rPr>
        <w:instrText xml:space="preserve"> REF _Ref438135092 \h </w:instrText>
      </w:r>
      <w:r w:rsidR="00EB33A6">
        <w:rPr>
          <w:rFonts w:cs="Arial"/>
          <w:szCs w:val="22"/>
          <w:lang w:val="en-AU"/>
        </w:rPr>
      </w:r>
      <w:r w:rsidR="00EB33A6">
        <w:rPr>
          <w:rFonts w:cs="Arial"/>
          <w:szCs w:val="22"/>
          <w:lang w:val="en-AU"/>
        </w:rPr>
        <w:fldChar w:fldCharType="separate"/>
      </w:r>
      <w:r w:rsidR="007F5336" w:rsidRPr="0046312F">
        <w:t xml:space="preserve">Figure </w:t>
      </w:r>
      <w:r w:rsidR="007F5336">
        <w:rPr>
          <w:noProof/>
        </w:rPr>
        <w:t>5</w:t>
      </w:r>
      <w:r w:rsidR="007F5336">
        <w:noBreakHyphen/>
      </w:r>
      <w:r w:rsidR="007F5336">
        <w:rPr>
          <w:noProof/>
        </w:rPr>
        <w:t>22</w:t>
      </w:r>
      <w:r w:rsidR="00EB33A6">
        <w:rPr>
          <w:rFonts w:cs="Arial"/>
          <w:szCs w:val="22"/>
          <w:lang w:val="en-AU"/>
        </w:rPr>
        <w:fldChar w:fldCharType="end"/>
      </w:r>
      <w:r w:rsidRPr="00A03137">
        <w:rPr>
          <w:rFonts w:cs="Arial"/>
          <w:szCs w:val="22"/>
          <w:lang w:val="en-AU"/>
        </w:rPr>
        <w:t xml:space="preserve">). </w:t>
      </w:r>
    </w:p>
    <w:p w14:paraId="5F22F252" w14:textId="75F75F0D" w:rsidR="00DD643E" w:rsidRPr="00482828" w:rsidRDefault="00DD643E" w:rsidP="00DD643E">
      <w:pPr>
        <w:spacing w:before="5" w:after="5"/>
        <w:ind w:left="5" w:right="5"/>
        <w:jc w:val="center"/>
        <w:rPr>
          <w:color w:val="0070C0"/>
          <w:lang w:val="en-AU"/>
        </w:rPr>
      </w:pPr>
    </w:p>
    <w:p w14:paraId="01699829" w14:textId="5C1EFA18" w:rsidR="009574D7" w:rsidRPr="004A5BF7" w:rsidRDefault="00072D21" w:rsidP="0046312F">
      <w:pPr>
        <w:pStyle w:val="Caption"/>
      </w:pPr>
      <w:bookmarkStart w:id="1197" w:name="_Ref438135092"/>
      <w:bookmarkStart w:id="1198" w:name="_Toc459332380"/>
      <w:bookmarkStart w:id="1199" w:name="_Toc436913478"/>
      <w:r>
        <w:rPr>
          <w:noProof/>
          <w:lang w:val="en-AU" w:eastAsia="en-AU"/>
        </w:rPr>
        <w:drawing>
          <wp:anchor distT="0" distB="0" distL="114300" distR="114300" simplePos="0" relativeHeight="251654656" behindDoc="0" locked="0" layoutInCell="1" allowOverlap="1" wp14:anchorId="7E31EF7B" wp14:editId="4FBC6DA0">
            <wp:simplePos x="0" y="0"/>
            <wp:positionH relativeFrom="column">
              <wp:posOffset>0</wp:posOffset>
            </wp:positionH>
            <wp:positionV relativeFrom="paragraph">
              <wp:posOffset>0</wp:posOffset>
            </wp:positionV>
            <wp:extent cx="5731510" cy="4053840"/>
            <wp:effectExtent l="0" t="0" r="2540" b="3810"/>
            <wp:wrapTopAndBottom/>
            <wp:docPr id="7204" name="Picture 7204" descr="Panel of 2 maps showing  MMP sampling sites in the Russell-Mulgrave focus area, shown with (left) wet season plume frequency 2003 to 2015 (Primary + Secondary; where 1.0 represents 22 weeks, December to March) and (right) the water body boundaries." title="gure 5 22: MMP sampling sites in the Russell-Mulgrave focus area, shown with (left) wet season plume frequency 2003 to 2015 (Primary + Secondary; where 1.0 represents 22 weeks, December to March) and (right) the water body bounda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_Site_maps_RM_v2.jpg"/>
                    <pic:cNvPicPr/>
                  </pic:nvPicPr>
                  <pic:blipFill>
                    <a:blip r:embed="rId335">
                      <a:extLst>
                        <a:ext uri="{28A0092B-C50C-407E-A947-70E740481C1C}">
                          <a14:useLocalDpi xmlns:a14="http://schemas.microsoft.com/office/drawing/2010/main" val="0"/>
                        </a:ext>
                      </a:extLst>
                    </a:blip>
                    <a:stretch>
                      <a:fillRect/>
                    </a:stretch>
                  </pic:blipFill>
                  <pic:spPr>
                    <a:xfrm>
                      <a:off x="0" y="0"/>
                      <a:ext cx="5731510" cy="4053840"/>
                    </a:xfrm>
                    <a:prstGeom prst="rect">
                      <a:avLst/>
                    </a:prstGeom>
                  </pic:spPr>
                </pic:pic>
              </a:graphicData>
            </a:graphic>
            <wp14:sizeRelH relativeFrom="page">
              <wp14:pctWidth>0</wp14:pctWidth>
            </wp14:sizeRelH>
            <wp14:sizeRelV relativeFrom="page">
              <wp14:pctHeight>0</wp14:pctHeight>
            </wp14:sizeRelV>
          </wp:anchor>
        </w:drawing>
      </w:r>
      <w:r w:rsidR="00DD643E" w:rsidRPr="0046312F">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22</w:t>
      </w:r>
      <w:r w:rsidR="00C62884">
        <w:fldChar w:fldCharType="end"/>
      </w:r>
      <w:bookmarkEnd w:id="1197"/>
      <w:r w:rsidR="004448D4" w:rsidRPr="0046312F">
        <w:t>:</w:t>
      </w:r>
      <w:r w:rsidR="00DD643E" w:rsidRPr="0046312F">
        <w:t xml:space="preserve"> MMP sampling sites in the </w:t>
      </w:r>
      <w:r w:rsidR="00482828" w:rsidRPr="0046312F">
        <w:t xml:space="preserve">Russell-Mulgrave </w:t>
      </w:r>
      <w:r w:rsidR="007A1A6E" w:rsidRPr="0046312F">
        <w:t>focus</w:t>
      </w:r>
      <w:r w:rsidR="00E62FA1">
        <w:t xml:space="preserve"> area</w:t>
      </w:r>
      <w:r w:rsidR="00482828" w:rsidRPr="0046312F">
        <w:t xml:space="preserve">, shown with </w:t>
      </w:r>
      <w:r w:rsidRPr="0046312F">
        <w:t>(left) wet season plume frequency 2003</w:t>
      </w:r>
      <w:r w:rsidR="00B437C6">
        <w:t xml:space="preserve"> to </w:t>
      </w:r>
      <w:r w:rsidRPr="0046312F">
        <w:t xml:space="preserve">2015 (Primary + Secondary; where 1.0 represents 22 weeks, December to March) and (right) </w:t>
      </w:r>
      <w:r w:rsidR="00482828" w:rsidRPr="0046312F">
        <w:t>the water body boundaries.</w:t>
      </w:r>
      <w:bookmarkEnd w:id="1198"/>
    </w:p>
    <w:bookmarkEnd w:id="1199"/>
    <w:p w14:paraId="569CA2D2" w14:textId="40703538" w:rsidR="009C102D" w:rsidRDefault="009C102D" w:rsidP="009C102D">
      <w:pPr>
        <w:rPr>
          <w:rFonts w:eastAsia="Calibri"/>
          <w:lang w:val="en-AU"/>
        </w:rPr>
      </w:pPr>
      <w:r w:rsidRPr="00A03137">
        <w:rPr>
          <w:rFonts w:eastAsia="Calibri"/>
          <w:lang w:val="en-AU"/>
        </w:rPr>
        <w:t xml:space="preserve">The </w:t>
      </w:r>
      <w:r w:rsidR="007E5FC8" w:rsidRPr="00A03137">
        <w:rPr>
          <w:rFonts w:eastAsia="Calibri"/>
          <w:lang w:val="en-AU"/>
        </w:rPr>
        <w:t xml:space="preserve">2014-15 </w:t>
      </w:r>
      <w:r w:rsidRPr="00A03137">
        <w:rPr>
          <w:rFonts w:eastAsia="Calibri"/>
          <w:lang w:val="en-AU"/>
        </w:rPr>
        <w:t>wet season in the central GBR was characterised by many smaller episodic flows but no extended large flow associated with a cyclonic period.</w:t>
      </w:r>
      <w:r>
        <w:rPr>
          <w:lang w:val="en-AU"/>
        </w:rPr>
        <w:t xml:space="preserve"> </w:t>
      </w:r>
      <w:r w:rsidRPr="00F351A1">
        <w:rPr>
          <w:lang w:val="en-AU"/>
        </w:rPr>
        <w:t>The Wet Tropic</w:t>
      </w:r>
      <w:r w:rsidR="007E5FC8">
        <w:rPr>
          <w:lang w:val="en-AU"/>
        </w:rPr>
        <w:t>s</w:t>
      </w:r>
      <w:r w:rsidRPr="00F351A1">
        <w:rPr>
          <w:lang w:val="en-AU"/>
        </w:rPr>
        <w:t xml:space="preserve"> area </w:t>
      </w:r>
      <w:r w:rsidR="00C4661A">
        <w:rPr>
          <w:lang w:val="en-AU"/>
        </w:rPr>
        <w:t>had</w:t>
      </w:r>
      <w:r w:rsidRPr="00F351A1">
        <w:rPr>
          <w:lang w:val="en-AU"/>
        </w:rPr>
        <w:t xml:space="preserve"> a total wet season flow below the long-term median</w:t>
      </w:r>
      <w:r>
        <w:rPr>
          <w:lang w:val="en-AU"/>
        </w:rPr>
        <w:t xml:space="preserve"> with </w:t>
      </w:r>
      <w:r w:rsidR="007E5FC8">
        <w:rPr>
          <w:lang w:val="en-AU"/>
        </w:rPr>
        <w:t xml:space="preserve">discharge from </w:t>
      </w:r>
      <w:r>
        <w:rPr>
          <w:lang w:val="en-AU"/>
        </w:rPr>
        <w:t xml:space="preserve">both the Russell (381,250 ML) and the Mulgrave </w:t>
      </w:r>
      <w:r w:rsidR="009574D7">
        <w:rPr>
          <w:lang w:val="en-AU"/>
        </w:rPr>
        <w:t xml:space="preserve">Rivers </w:t>
      </w:r>
      <w:r>
        <w:rPr>
          <w:lang w:val="en-AU"/>
        </w:rPr>
        <w:t>(391,564 ML)</w:t>
      </w:r>
      <w:r w:rsidR="007E5FC8">
        <w:rPr>
          <w:lang w:val="en-AU"/>
        </w:rPr>
        <w:t xml:space="preserve"> </w:t>
      </w:r>
      <w:r>
        <w:rPr>
          <w:lang w:val="en-AU"/>
        </w:rPr>
        <w:t>below the long term median (Table A2-5)</w:t>
      </w:r>
      <w:r w:rsidRPr="00F351A1">
        <w:rPr>
          <w:lang w:val="en-AU"/>
        </w:rPr>
        <w:t>.</w:t>
      </w:r>
      <w:r w:rsidR="007E5FC8">
        <w:rPr>
          <w:lang w:val="en-AU"/>
        </w:rPr>
        <w:t xml:space="preserve"> </w:t>
      </w:r>
      <w:r>
        <w:rPr>
          <w:rFonts w:eastAsia="Calibri"/>
          <w:lang w:val="en-AU"/>
        </w:rPr>
        <w:t xml:space="preserve">The Johnstone </w:t>
      </w:r>
      <w:r w:rsidR="007E5FC8">
        <w:rPr>
          <w:rFonts w:eastAsia="Calibri"/>
          <w:lang w:val="en-AU"/>
        </w:rPr>
        <w:t>R</w:t>
      </w:r>
      <w:r>
        <w:rPr>
          <w:rFonts w:eastAsia="Calibri"/>
          <w:lang w:val="en-AU"/>
        </w:rPr>
        <w:t xml:space="preserve">iver also had </w:t>
      </w:r>
      <w:r w:rsidR="007E5FC8">
        <w:rPr>
          <w:rFonts w:eastAsia="Calibri"/>
          <w:lang w:val="en-AU"/>
        </w:rPr>
        <w:t xml:space="preserve">lower </w:t>
      </w:r>
      <w:r>
        <w:rPr>
          <w:rFonts w:eastAsia="Calibri"/>
          <w:lang w:val="en-AU"/>
        </w:rPr>
        <w:t xml:space="preserve">discharge than the long-term median. </w:t>
      </w:r>
      <w:r w:rsidRPr="00F351A1">
        <w:rPr>
          <w:rFonts w:eastAsia="Calibri"/>
          <w:lang w:val="en-AU"/>
        </w:rPr>
        <w:t>Heavy and consistent rain was experienced in the Wet Tropics region later in the wet season, peaking in late March</w:t>
      </w:r>
      <w:r>
        <w:rPr>
          <w:rStyle w:val="CommentReference"/>
          <w:rFonts w:ascii="Gill Sans MT" w:hAnsi="Gill Sans MT"/>
          <w:lang w:val="en-AU" w:eastAsia="en-AU"/>
        </w:rPr>
        <w:t xml:space="preserve"> </w:t>
      </w:r>
      <w:r w:rsidRPr="00F351A1">
        <w:rPr>
          <w:rFonts w:eastAsia="Calibri"/>
          <w:lang w:val="en-AU"/>
        </w:rPr>
        <w:t>(</w:t>
      </w:r>
      <w:r w:rsidR="00AB2398">
        <w:rPr>
          <w:rFonts w:eastAsia="Calibri"/>
          <w:lang w:val="en-AU"/>
        </w:rPr>
        <w:fldChar w:fldCharType="begin"/>
      </w:r>
      <w:r w:rsidR="00AB2398">
        <w:rPr>
          <w:rFonts w:eastAsia="Calibri"/>
          <w:lang w:val="en-AU"/>
        </w:rPr>
        <w:instrText xml:space="preserve"> REF _Ref459150372 \h </w:instrText>
      </w:r>
      <w:r w:rsidR="00AB2398">
        <w:rPr>
          <w:rFonts w:eastAsia="Calibri"/>
          <w:lang w:val="en-AU"/>
        </w:rPr>
      </w:r>
      <w:r w:rsidR="00AB2398">
        <w:rPr>
          <w:rFonts w:eastAsia="Calibri"/>
          <w:lang w:val="en-AU"/>
        </w:rPr>
        <w:fldChar w:fldCharType="separate"/>
      </w:r>
      <w:r w:rsidR="007F5336" w:rsidRPr="004448D4">
        <w:t xml:space="preserve">Figure </w:t>
      </w:r>
      <w:r w:rsidR="007F5336">
        <w:rPr>
          <w:noProof/>
        </w:rPr>
        <w:t>5</w:t>
      </w:r>
      <w:r w:rsidR="007F5336">
        <w:noBreakHyphen/>
      </w:r>
      <w:r w:rsidR="007F5336">
        <w:rPr>
          <w:noProof/>
        </w:rPr>
        <w:t>23</w:t>
      </w:r>
      <w:r w:rsidR="00AB2398">
        <w:rPr>
          <w:rFonts w:eastAsia="Calibri"/>
          <w:lang w:val="en-AU"/>
        </w:rPr>
        <w:fldChar w:fldCharType="end"/>
      </w:r>
      <w:r w:rsidRPr="00F351A1">
        <w:rPr>
          <w:rFonts w:eastAsia="Calibri"/>
          <w:lang w:val="en-AU"/>
        </w:rPr>
        <w:t>).</w:t>
      </w:r>
    </w:p>
    <w:p w14:paraId="521F424E" w14:textId="62242319" w:rsidR="009C102D" w:rsidRPr="00A03137" w:rsidRDefault="009C102D" w:rsidP="009C102D">
      <w:pPr>
        <w:rPr>
          <w:szCs w:val="22"/>
          <w:lang w:val="en-AU"/>
        </w:rPr>
      </w:pPr>
      <w:r w:rsidRPr="00A03137">
        <w:rPr>
          <w:szCs w:val="22"/>
          <w:lang w:val="en-AU"/>
        </w:rPr>
        <w:t xml:space="preserve">Over the period 2006 to 2015, </w:t>
      </w:r>
      <w:r>
        <w:rPr>
          <w:szCs w:val="22"/>
          <w:lang w:val="en-AU"/>
        </w:rPr>
        <w:t xml:space="preserve">the </w:t>
      </w:r>
      <w:r w:rsidRPr="00A03137">
        <w:rPr>
          <w:szCs w:val="22"/>
          <w:lang w:val="en-AU"/>
        </w:rPr>
        <w:t xml:space="preserve">annual </w:t>
      </w:r>
      <w:r w:rsidR="004E5061">
        <w:rPr>
          <w:szCs w:val="22"/>
          <w:lang w:val="en-AU"/>
        </w:rPr>
        <w:t>combined</w:t>
      </w:r>
      <w:r w:rsidR="004E5061" w:rsidRPr="00A03137">
        <w:rPr>
          <w:szCs w:val="22"/>
          <w:lang w:val="en-AU"/>
        </w:rPr>
        <w:t xml:space="preserve"> </w:t>
      </w:r>
      <w:r w:rsidRPr="00A03137">
        <w:rPr>
          <w:szCs w:val="22"/>
          <w:lang w:val="en-AU"/>
        </w:rPr>
        <w:t xml:space="preserve">discharge for both the Russell-Mulgrave and Johnstone </w:t>
      </w:r>
      <w:r w:rsidR="007E5FC8">
        <w:rPr>
          <w:szCs w:val="22"/>
          <w:lang w:val="en-AU"/>
        </w:rPr>
        <w:t>R</w:t>
      </w:r>
      <w:r w:rsidRPr="00A03137">
        <w:rPr>
          <w:szCs w:val="22"/>
          <w:lang w:val="en-AU"/>
        </w:rPr>
        <w:t>ivers was at, or slightly above, median levels in most years with major floods seen after the pa</w:t>
      </w:r>
      <w:r>
        <w:rPr>
          <w:szCs w:val="22"/>
          <w:lang w:val="en-AU"/>
        </w:rPr>
        <w:t>s</w:t>
      </w:r>
      <w:r w:rsidRPr="00A03137">
        <w:rPr>
          <w:szCs w:val="22"/>
          <w:lang w:val="en-AU"/>
        </w:rPr>
        <w:t>sing of tropical cyclones Larry in 2006, Tasha in late 2010 and Yasi in 2011 (</w:t>
      </w:r>
      <w:r w:rsidR="00AB2398">
        <w:rPr>
          <w:szCs w:val="22"/>
          <w:lang w:val="en-AU"/>
        </w:rPr>
        <w:fldChar w:fldCharType="begin"/>
      </w:r>
      <w:r w:rsidR="00AB2398">
        <w:rPr>
          <w:szCs w:val="22"/>
          <w:lang w:val="en-AU"/>
        </w:rPr>
        <w:instrText xml:space="preserve"> REF _Ref459150372 \h </w:instrText>
      </w:r>
      <w:r w:rsidR="00AB2398">
        <w:rPr>
          <w:szCs w:val="22"/>
          <w:lang w:val="en-AU"/>
        </w:rPr>
      </w:r>
      <w:r w:rsidR="00AB2398">
        <w:rPr>
          <w:szCs w:val="22"/>
          <w:lang w:val="en-AU"/>
        </w:rPr>
        <w:fldChar w:fldCharType="separate"/>
      </w:r>
      <w:r w:rsidR="007F5336" w:rsidRPr="004448D4">
        <w:t xml:space="preserve">Figure </w:t>
      </w:r>
      <w:r w:rsidR="007F5336">
        <w:rPr>
          <w:noProof/>
        </w:rPr>
        <w:t>5</w:t>
      </w:r>
      <w:r w:rsidR="007F5336">
        <w:noBreakHyphen/>
      </w:r>
      <w:r w:rsidR="007F5336">
        <w:rPr>
          <w:noProof/>
        </w:rPr>
        <w:t>23</w:t>
      </w:r>
      <w:r w:rsidR="00AB2398">
        <w:rPr>
          <w:szCs w:val="22"/>
          <w:lang w:val="en-AU"/>
        </w:rPr>
        <w:fldChar w:fldCharType="end"/>
      </w:r>
      <w:r w:rsidRPr="00A03137">
        <w:rPr>
          <w:szCs w:val="22"/>
          <w:lang w:val="en-AU"/>
        </w:rPr>
        <w:t xml:space="preserve">, Table A2-1). </w:t>
      </w:r>
      <w:r>
        <w:rPr>
          <w:szCs w:val="22"/>
          <w:lang w:val="en-AU"/>
        </w:rPr>
        <w:t xml:space="preserve">Discharge volumes in the 2014 and 2015 water years were just above the long-term median (Table A2-1). </w:t>
      </w:r>
    </w:p>
    <w:p w14:paraId="143F9962" w14:textId="77777777" w:rsidR="009C102D" w:rsidRPr="00F351A1" w:rsidRDefault="009C102D" w:rsidP="009C102D">
      <w:pPr>
        <w:rPr>
          <w:rFonts w:eastAsia="Calibri"/>
          <w:lang w:val="en-AU"/>
        </w:rPr>
      </w:pPr>
    </w:p>
    <w:p w14:paraId="66EBFF6B" w14:textId="77777777" w:rsidR="009C102D" w:rsidRPr="00A03137" w:rsidRDefault="009C102D" w:rsidP="009C102D">
      <w:pPr>
        <w:spacing w:before="5" w:after="5"/>
        <w:ind w:left="5" w:right="5"/>
        <w:jc w:val="center"/>
        <w:rPr>
          <w:color w:val="0070C0"/>
          <w:lang w:val="en-AU"/>
        </w:rPr>
      </w:pPr>
      <w:r w:rsidRPr="004A5BF7">
        <w:rPr>
          <w:noProof/>
          <w:color w:val="0070C0"/>
          <w:lang w:val="en-AU" w:eastAsia="en-AU"/>
        </w:rPr>
        <w:drawing>
          <wp:inline distT="0" distB="0" distL="0" distR="0" wp14:anchorId="5E4B67DC" wp14:editId="186BA448">
            <wp:extent cx="5943600" cy="2286000"/>
            <wp:effectExtent l="0" t="0" r="0" b="0"/>
            <wp:docPr id="45" name="Picture 45" descr="Graph showing combined discharge for the North and South Johnstone, Russell and Mulgrave Rivers. Daily (blue) and annual (October to September, red symbols) discharge shown. Red dashed line represents the long-term median of the combined annual discharge." title="Figure 5 23:  Combined discharge for the North and South Johnstone, Russell and Mulgrave Rivers. Daily (blue) and annual (October to September, red symbols) disch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lonborg\Desktop\MMP report 2014-15\Graphs 2014-2015\jrmDischarge_Nosublabels.png"/>
                    <pic:cNvPicPr>
                      <a:picLocks noChangeAspect="1" noChangeArrowheads="1"/>
                    </pic:cNvPicPr>
                  </pic:nvPicPr>
                  <pic:blipFill>
                    <a:blip r:embed="rId336">
                      <a:extLst>
                        <a:ext uri="{28A0092B-C50C-407E-A947-70E740481C1C}">
                          <a14:useLocalDpi xmlns:a14="http://schemas.microsoft.com/office/drawing/2010/main" val="0"/>
                        </a:ext>
                      </a:extLst>
                    </a:blip>
                    <a:srcRect/>
                    <a:stretch>
                      <a:fillRect/>
                    </a:stretch>
                  </pic:blipFill>
                  <pic:spPr bwMode="auto">
                    <a:xfrm>
                      <a:off x="0" y="0"/>
                      <a:ext cx="5943600" cy="2286000"/>
                    </a:xfrm>
                    <a:prstGeom prst="rect">
                      <a:avLst/>
                    </a:prstGeom>
                    <a:noFill/>
                    <a:ln>
                      <a:noFill/>
                    </a:ln>
                  </pic:spPr>
                </pic:pic>
              </a:graphicData>
            </a:graphic>
          </wp:inline>
        </w:drawing>
      </w:r>
    </w:p>
    <w:p w14:paraId="0D21A1DE" w14:textId="606C632E" w:rsidR="009C102D" w:rsidRPr="00202A68" w:rsidRDefault="009C102D" w:rsidP="00164E5E">
      <w:pPr>
        <w:pStyle w:val="Caption"/>
        <w:rPr>
          <w:rStyle w:val="IntenseReference"/>
        </w:rPr>
      </w:pPr>
      <w:bookmarkStart w:id="1200" w:name="_Ref459150372"/>
      <w:bookmarkStart w:id="1201" w:name="_Toc459332381"/>
      <w:r w:rsidRPr="004448D4">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23</w:t>
      </w:r>
      <w:r w:rsidR="00C62884">
        <w:fldChar w:fldCharType="end"/>
      </w:r>
      <w:bookmarkEnd w:id="1200"/>
      <w:r w:rsidRPr="004448D4">
        <w:t xml:space="preserve">:  Combined discharge for the North and South Johnstone, Russell and Mulgrave </w:t>
      </w:r>
      <w:r w:rsidR="00C4661A">
        <w:t>R</w:t>
      </w:r>
      <w:r w:rsidRPr="004448D4">
        <w:t>ivers</w:t>
      </w:r>
      <w:r w:rsidRPr="00A03137">
        <w:t>.</w:t>
      </w:r>
      <w:r w:rsidRPr="00202A68">
        <w:rPr>
          <w:rStyle w:val="IntenseReference"/>
        </w:rPr>
        <w:t xml:space="preserve"> Daily (blue) and annual (October to September, red symbols) discharge shown. Red dashed line represents the long-term median of the combined annual discharge.</w:t>
      </w:r>
      <w:bookmarkEnd w:id="1201"/>
    </w:p>
    <w:p w14:paraId="394425AA" w14:textId="18B58602" w:rsidR="009C102D" w:rsidRPr="004A5BF7" w:rsidRDefault="009C102D" w:rsidP="002A7F39">
      <w:pPr>
        <w:rPr>
          <w:lang w:val="en-US"/>
        </w:rPr>
      </w:pPr>
      <w:r>
        <w:rPr>
          <w:szCs w:val="22"/>
          <w:lang w:val="en-AU"/>
        </w:rPr>
        <w:t xml:space="preserve">The estimated zone of influence for the Russell-Mulgrave River is shown in </w:t>
      </w:r>
      <w:r>
        <w:rPr>
          <w:szCs w:val="22"/>
          <w:lang w:val="en-AU"/>
        </w:rPr>
        <w:fldChar w:fldCharType="begin"/>
      </w:r>
      <w:r>
        <w:rPr>
          <w:szCs w:val="22"/>
          <w:lang w:val="en-AU"/>
        </w:rPr>
        <w:instrText xml:space="preserve"> REF _Ref452304748 \h </w:instrText>
      </w:r>
      <w:r>
        <w:rPr>
          <w:szCs w:val="22"/>
          <w:lang w:val="en-AU"/>
        </w:rPr>
      </w:r>
      <w:r>
        <w:rPr>
          <w:szCs w:val="22"/>
          <w:lang w:val="en-AU"/>
        </w:rPr>
        <w:fldChar w:fldCharType="separate"/>
      </w:r>
      <w:r w:rsidR="007F5336" w:rsidRPr="0023661F">
        <w:t xml:space="preserve">Figure </w:t>
      </w:r>
      <w:r w:rsidR="007F5336">
        <w:rPr>
          <w:noProof/>
        </w:rPr>
        <w:t>5</w:t>
      </w:r>
      <w:r w:rsidR="007F5336">
        <w:noBreakHyphen/>
      </w:r>
      <w:r w:rsidR="007F5336">
        <w:rPr>
          <w:noProof/>
        </w:rPr>
        <w:t>24</w:t>
      </w:r>
      <w:r>
        <w:rPr>
          <w:szCs w:val="22"/>
          <w:lang w:val="en-AU"/>
        </w:rPr>
        <w:fldChar w:fldCharType="end"/>
      </w:r>
      <w:r>
        <w:rPr>
          <w:szCs w:val="22"/>
          <w:lang w:val="en-AU"/>
        </w:rPr>
        <w:t xml:space="preserve">, </w:t>
      </w:r>
      <w:r w:rsidR="00613D17">
        <w:rPr>
          <w:szCs w:val="22"/>
          <w:lang w:val="en-AU"/>
        </w:rPr>
        <w:t>showing a much more constrained zone of influence in 2014-15 compared to the large events of 2010-11</w:t>
      </w:r>
      <w:r>
        <w:rPr>
          <w:szCs w:val="22"/>
          <w:lang w:val="en-AU"/>
        </w:rPr>
        <w:t>.</w:t>
      </w:r>
    </w:p>
    <w:p w14:paraId="601CC907" w14:textId="77777777" w:rsidR="009C102D" w:rsidRPr="007A1A6E" w:rsidRDefault="009C102D" w:rsidP="009C102D">
      <w:pPr>
        <w:jc w:val="center"/>
        <w:rPr>
          <w:rStyle w:val="IntenseReference"/>
          <w:lang w:val="en-AU"/>
        </w:rPr>
      </w:pPr>
      <w:r w:rsidRPr="004A5BF7">
        <w:rPr>
          <w:bCs/>
          <w:noProof/>
          <w:color w:val="000000" w:themeColor="text1"/>
          <w:sz w:val="16"/>
          <w:lang w:val="en-AU" w:eastAsia="en-AU"/>
        </w:rPr>
        <w:drawing>
          <wp:inline distT="0" distB="0" distL="0" distR="0" wp14:anchorId="474A4CD2" wp14:editId="011BEC5E">
            <wp:extent cx="2808000" cy="2660400"/>
            <wp:effectExtent l="0" t="0" r="0" b="6985"/>
            <wp:docPr id="47" name="Picture 47" descr="Map showing cumulative exposure index for the Russell-Mulgrave River in 2014-15.  The colour bar indicates the calculated cumulative exposure (concentration x days) above 1% of the incoming concentration. The colour bar is capped at 20 Conc.Days. Contours show 0.1, 1.0 and 10.0 Conc.Days exposure levels. " title="Figure 5 24: Cumulative exposure index for the Russell-Mulgrave River in 2014-1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rbrinkma\Desktop\MMP\GBR_tracers_mul_0_01psu_20141101-20150331.gif"/>
                    <pic:cNvPicPr>
                      <a:picLocks noChangeAspect="1" noChangeArrowheads="1"/>
                    </pic:cNvPicPr>
                  </pic:nvPicPr>
                  <pic:blipFill>
                    <a:blip r:embed="rId337" cstate="print">
                      <a:extLst>
                        <a:ext uri="{28A0092B-C50C-407E-A947-70E740481C1C}">
                          <a14:useLocalDpi xmlns:a14="http://schemas.microsoft.com/office/drawing/2010/main" val="0"/>
                        </a:ext>
                      </a:extLst>
                    </a:blip>
                    <a:srcRect/>
                    <a:stretch>
                      <a:fillRect/>
                    </a:stretch>
                  </pic:blipFill>
                  <pic:spPr bwMode="auto">
                    <a:xfrm>
                      <a:off x="0" y="0"/>
                      <a:ext cx="2808000" cy="2660400"/>
                    </a:xfrm>
                    <a:prstGeom prst="rect">
                      <a:avLst/>
                    </a:prstGeom>
                    <a:noFill/>
                    <a:ln>
                      <a:noFill/>
                    </a:ln>
                  </pic:spPr>
                </pic:pic>
              </a:graphicData>
            </a:graphic>
          </wp:inline>
        </w:drawing>
      </w:r>
      <w:r w:rsidRPr="004A5BF7">
        <w:rPr>
          <w:b/>
          <w:bCs/>
          <w:i/>
          <w:iCs/>
          <w:noProof/>
          <w:color w:val="4F81BD" w:themeColor="accent1"/>
          <w:lang w:val="en-AU" w:eastAsia="en-AU"/>
        </w:rPr>
        <w:drawing>
          <wp:inline distT="0" distB="0" distL="0" distR="0" wp14:anchorId="15B23AB3" wp14:editId="196AC4AD">
            <wp:extent cx="2700000" cy="2660400"/>
            <wp:effectExtent l="0" t="0" r="5715" b="6985"/>
            <wp:docPr id="50" name="Picture 50" descr="Map showing cumulative exposure index for the Russell-Mulgrave River in 2010-11.  The colour bar indicates the calculated cumulative exposure (concentration x days) above 1% of the incoming concentration. The colour bar is capped at 20 Conc.Days. Contours show 0.1, 1.0 and 10.0 Conc.Days exposure levels. " title="Figure 5 24: Cumulative exposure index for the Russell-Mulgrave River in 201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Richard\eReefs\Terrain\2014-Analysis\Exp_RM2011.gif"/>
                    <pic:cNvPicPr>
                      <a:picLocks noChangeAspect="1" noChangeArrowheads="1"/>
                    </pic:cNvPicPr>
                  </pic:nvPicPr>
                  <pic:blipFill rotWithShape="1">
                    <a:blip r:embed="rId338" cstate="print">
                      <a:extLst>
                        <a:ext uri="{28A0092B-C50C-407E-A947-70E740481C1C}">
                          <a14:useLocalDpi xmlns:a14="http://schemas.microsoft.com/office/drawing/2010/main" val="0"/>
                        </a:ext>
                      </a:extLst>
                    </a:blip>
                    <a:srcRect l="1" r="29100"/>
                    <a:stretch/>
                  </pic:blipFill>
                  <pic:spPr bwMode="auto">
                    <a:xfrm>
                      <a:off x="0" y="0"/>
                      <a:ext cx="2700000" cy="2660400"/>
                    </a:xfrm>
                    <a:prstGeom prst="rect">
                      <a:avLst/>
                    </a:prstGeom>
                    <a:noFill/>
                    <a:ln>
                      <a:noFill/>
                    </a:ln>
                    <a:extLst>
                      <a:ext uri="{53640926-AAD7-44D8-BBD7-CCE9431645EC}">
                        <a14:shadowObscured xmlns:a14="http://schemas.microsoft.com/office/drawing/2010/main"/>
                      </a:ext>
                    </a:extLst>
                  </pic:spPr>
                </pic:pic>
              </a:graphicData>
            </a:graphic>
          </wp:inline>
        </w:drawing>
      </w:r>
    </w:p>
    <w:p w14:paraId="3238C780" w14:textId="37631A52" w:rsidR="009C102D" w:rsidRPr="0023661F" w:rsidRDefault="009C102D" w:rsidP="00164E5E">
      <w:pPr>
        <w:pStyle w:val="Caption"/>
        <w:rPr>
          <w:rStyle w:val="IntenseReference"/>
        </w:rPr>
      </w:pPr>
      <w:bookmarkStart w:id="1202" w:name="_Ref452304748"/>
      <w:bookmarkStart w:id="1203" w:name="_Toc459332382"/>
      <w:r w:rsidRPr="0023661F">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24</w:t>
      </w:r>
      <w:r w:rsidR="00C62884">
        <w:fldChar w:fldCharType="end"/>
      </w:r>
      <w:bookmarkEnd w:id="1202"/>
      <w:r w:rsidRPr="0023661F">
        <w:t xml:space="preserve">: Cumulative exposure index for the Russell-Mulgrave River </w:t>
      </w:r>
      <w:r w:rsidR="00C4661A">
        <w:t>in</w:t>
      </w:r>
      <w:r w:rsidRPr="0023661F">
        <w:t xml:space="preserve"> 2014-15</w:t>
      </w:r>
      <w:r w:rsidRPr="007A1A6E">
        <w:t xml:space="preserve"> </w:t>
      </w:r>
      <w:r w:rsidRPr="0023661F">
        <w:rPr>
          <w:rStyle w:val="IntenseReference"/>
        </w:rPr>
        <w:t>(left). Results for 2010-11 (right) are shown for context.  The colour bar indicates the calculated cumulative exposure (concentration x days) above 1% of the incoming concentration. The colour bar is capped at 20 Conc.Days. Contours show 0.1, 1.0 and 10.0 Conc.Days exposure levels.</w:t>
      </w:r>
      <w:bookmarkEnd w:id="1203"/>
      <w:r w:rsidRPr="0023661F">
        <w:rPr>
          <w:rStyle w:val="IntenseReference"/>
        </w:rPr>
        <w:t xml:space="preserve"> </w:t>
      </w:r>
    </w:p>
    <w:p w14:paraId="2CA49B4E" w14:textId="77777777" w:rsidR="009C102D" w:rsidRDefault="009C102D" w:rsidP="002A7F39">
      <w:pPr>
        <w:rPr>
          <w:lang w:val="en-US"/>
        </w:rPr>
      </w:pPr>
    </w:p>
    <w:p w14:paraId="0CDE25AA" w14:textId="4C1F1B10" w:rsidR="00003E1C" w:rsidRDefault="00C4661A" w:rsidP="00003E1C">
      <w:r>
        <w:rPr>
          <w:rStyle w:val="IntenseReference"/>
          <w:sz w:val="22"/>
          <w:szCs w:val="22"/>
          <w:lang w:val="en-AU"/>
        </w:rPr>
        <w:t>Within</w:t>
      </w:r>
      <w:r w:rsidR="00003E1C">
        <w:t xml:space="preserve"> the Russell/Mulgrave and Johnstone Basins, only the Johnstone River (at the Tung Oil (North Johnstone) and Central Mill (South Johnstone) gauge) has been routinely monitored and results here are presented for the discharge and loads from both sites added together (total).  It is noted that the Russell-Mulgrave monitoring site was also established in 2014-15, although these loads are not reported here due to the low discharge year and lack of comparison with previous years.  </w:t>
      </w:r>
    </w:p>
    <w:p w14:paraId="29C60D8E" w14:textId="35E4930F" w:rsidR="00003E1C" w:rsidRDefault="00003E1C" w:rsidP="00003E1C">
      <w:r>
        <w:t>Overall, the Johnstone River is a relatively large contributor of discharge, sediments and nutrients in the Wet Tropics region as it has a relatively large and wet catchment area with areas of cropping on high slopes. The 2014-15 season had relatively lower discharge and constituent loads relative to previous years of monitoring over the 2006-07 to 2014-15 period (</w:t>
      </w:r>
      <w:r w:rsidR="00C4661A">
        <w:rPr>
          <w:highlight w:val="yellow"/>
        </w:rPr>
        <w:fldChar w:fldCharType="begin"/>
      </w:r>
      <w:r w:rsidR="00C4661A">
        <w:rPr>
          <w:highlight w:val="yellow"/>
        </w:rPr>
        <w:instrText xml:space="preserve"> REF _Ref459150458 \h </w:instrText>
      </w:r>
      <w:r w:rsidR="00C4661A">
        <w:rPr>
          <w:highlight w:val="yellow"/>
        </w:rPr>
      </w:r>
      <w:r w:rsidR="00C4661A">
        <w:rPr>
          <w:highlight w:val="yellow"/>
        </w:rPr>
        <w:fldChar w:fldCharType="separate"/>
      </w:r>
      <w:r w:rsidR="007F5336">
        <w:t xml:space="preserve">Figure </w:t>
      </w:r>
      <w:r w:rsidR="007F5336">
        <w:rPr>
          <w:noProof/>
        </w:rPr>
        <w:t>5</w:t>
      </w:r>
      <w:r w:rsidR="007F5336">
        <w:noBreakHyphen/>
      </w:r>
      <w:r w:rsidR="007F5336">
        <w:rPr>
          <w:noProof/>
        </w:rPr>
        <w:t>25</w:t>
      </w:r>
      <w:r w:rsidR="00C4661A">
        <w:rPr>
          <w:highlight w:val="yellow"/>
        </w:rPr>
        <w:fldChar w:fldCharType="end"/>
      </w:r>
      <w:r>
        <w:t>). In 2014-15 loads of TSS, DIN, PN and PP delivered from the Johnstone River were much higher than the other monitored sites in the Wet Tropics. In the larger wet seasons the Johnstone is among the larger contributors of constituent loads from the Wet Tropics, although the Herbert River has higher TSS and nutrient loads, and the Tully River has higher loads of DIN.  However, it should be noted that these measurements are taken at the gauging stations and in the case of the Johnstone Basin, the vast majority of the fertilised cropping is below the gauged area and hence the loads of DIN (and possibly particulate nutrients) would be underestimated for this basin.</w:t>
      </w:r>
    </w:p>
    <w:p w14:paraId="4FC6E143" w14:textId="77777777" w:rsidR="008C0E65" w:rsidRDefault="008C0E65" w:rsidP="008C0E65">
      <w:r>
        <w:rPr>
          <w:noProof/>
          <w:lang w:val="en-AU" w:eastAsia="en-AU"/>
        </w:rPr>
        <w:drawing>
          <wp:inline distT="0" distB="0" distL="0" distR="0" wp14:anchorId="2D4121BD" wp14:editId="39B877F4">
            <wp:extent cx="5731510" cy="2591435"/>
            <wp:effectExtent l="0" t="0" r="2540" b="0"/>
            <wp:docPr id="7211" name="Picture 7211" descr="Panel of graphs showing measured Johnstone River discharge and loads (combined from the North Johnstone at Tung Oil and South Johnstone at Central Mill monitoring sites) for (A) total suspended solids (sediment), (B) dissolved inorganic nitrogen (DIN), (C) particulate nitrogen (PN) and (D) particulate phosphorus (PP) from 2006-07 to 2014-15. Data from the Department of Science Information Technology and Innovation’s Great Barrier Reef Catchment Loads Monitoring Program (compiled from: Joo et al., 2012; Turner et al., 2012, 2013; Wallace et al., 2014, 2015, in press; Garzon-Garcia et al., 2015)." title="Figure 5 25: Measured Johnstone River discharge and loads (combined from the North Johnstone at Tung Oil and South Johnstone at Central Mill monitoring sites) for (A) total suspended solids (sediment), (B) dissolved inorganic nitrogen (DIN), (C) particulate nitrogen (PN) and (D) particulate phosphorus (PP) from 2006-07 to 20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Johnstone loads.JPG"/>
                    <pic:cNvPicPr/>
                  </pic:nvPicPr>
                  <pic:blipFill>
                    <a:blip r:embed="rId339" cstate="print">
                      <a:extLst>
                        <a:ext uri="{28A0092B-C50C-407E-A947-70E740481C1C}">
                          <a14:useLocalDpi xmlns:a14="http://schemas.microsoft.com/office/drawing/2010/main" val="0"/>
                        </a:ext>
                      </a:extLst>
                    </a:blip>
                    <a:stretch>
                      <a:fillRect/>
                    </a:stretch>
                  </pic:blipFill>
                  <pic:spPr>
                    <a:xfrm>
                      <a:off x="0" y="0"/>
                      <a:ext cx="5731510" cy="2591435"/>
                    </a:xfrm>
                    <a:prstGeom prst="rect">
                      <a:avLst/>
                    </a:prstGeom>
                  </pic:spPr>
                </pic:pic>
              </a:graphicData>
            </a:graphic>
          </wp:inline>
        </w:drawing>
      </w:r>
    </w:p>
    <w:p w14:paraId="1BBC98DD" w14:textId="598C418A" w:rsidR="008C0E65" w:rsidRDefault="008C0E65" w:rsidP="004A5BF7">
      <w:pPr>
        <w:pStyle w:val="Caption"/>
      </w:pPr>
      <w:bookmarkStart w:id="1204" w:name="_Ref459150458"/>
      <w:bookmarkStart w:id="1205" w:name="_Toc459332383"/>
      <w:r>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25</w:t>
      </w:r>
      <w:r w:rsidR="00C62884">
        <w:fldChar w:fldCharType="end"/>
      </w:r>
      <w:bookmarkEnd w:id="1204"/>
      <w:r w:rsidR="00D26C13">
        <w:t>:</w:t>
      </w:r>
      <w:r>
        <w:t xml:space="preserve"> Measured Johnstone River discharge and loads (combined from the North Johnstone at Tung Oil and South Johnstone at Central Mill monitoring sites) for (A) total suspended solids (sediment), (B) dissolved inorganic nitrogen (DIN), (C) particulate nitrogen (PN) and (D) particulate phosphorus (PP) from 2006-07 to 2014-15. Data from the Department of Science Information Technology and Innovation’s Great Barrier Reef Catchment Loads Monitoring Program (compiled from: Joo et al., 2012; Turner et al., 2012, 2013; Wallace et al., 2014, 2015, in press; Garzon-Garcia et al., 2015).</w:t>
      </w:r>
      <w:bookmarkEnd w:id="1205"/>
    </w:p>
    <w:p w14:paraId="5F22F256" w14:textId="01A6620F" w:rsidR="00FD19F4" w:rsidRPr="00A03137" w:rsidRDefault="001A0A62" w:rsidP="00164E5E">
      <w:pPr>
        <w:pStyle w:val="Heading4"/>
      </w:pPr>
      <w:r>
        <w:t>A</w:t>
      </w:r>
      <w:r w:rsidR="00694440" w:rsidRPr="00A03137">
        <w:t>mbient</w:t>
      </w:r>
      <w:r>
        <w:t xml:space="preserve"> water quality</w:t>
      </w:r>
    </w:p>
    <w:p w14:paraId="5F22F257" w14:textId="42B46629" w:rsidR="008645FA" w:rsidRPr="00A03137" w:rsidRDefault="008645FA" w:rsidP="008645FA">
      <w:pPr>
        <w:rPr>
          <w:lang w:val="en-AU"/>
        </w:rPr>
      </w:pPr>
      <w:r w:rsidRPr="00A03137">
        <w:rPr>
          <w:lang w:val="en-AU"/>
        </w:rPr>
        <w:t xml:space="preserve">When analysing the water quality trend in this region it should be noted that </w:t>
      </w:r>
      <w:r w:rsidR="00F351A1">
        <w:rPr>
          <w:lang w:val="en-AU"/>
        </w:rPr>
        <w:t>one logger station h</w:t>
      </w:r>
      <w:r w:rsidRPr="00A03137">
        <w:rPr>
          <w:lang w:val="en-AU"/>
        </w:rPr>
        <w:t>a</w:t>
      </w:r>
      <w:r w:rsidR="00821855">
        <w:rPr>
          <w:lang w:val="en-AU"/>
        </w:rPr>
        <w:t>s</w:t>
      </w:r>
      <w:r w:rsidRPr="00A03137">
        <w:rPr>
          <w:lang w:val="en-AU"/>
        </w:rPr>
        <w:t xml:space="preserve"> changed</w:t>
      </w:r>
      <w:r w:rsidR="00F351A1">
        <w:rPr>
          <w:lang w:val="en-AU"/>
        </w:rPr>
        <w:t xml:space="preserve"> location</w:t>
      </w:r>
      <w:r w:rsidRPr="00A03137">
        <w:rPr>
          <w:lang w:val="en-AU"/>
        </w:rPr>
        <w:t xml:space="preserve">, and that the number of water sampling sites and frequency of sampling has increased </w:t>
      </w:r>
      <w:r w:rsidR="001A0A62">
        <w:rPr>
          <w:lang w:val="en-AU"/>
        </w:rPr>
        <w:t>from</w:t>
      </w:r>
      <w:r w:rsidR="001A0A62" w:rsidRPr="00A03137">
        <w:rPr>
          <w:lang w:val="en-AU"/>
        </w:rPr>
        <w:t xml:space="preserve"> </w:t>
      </w:r>
      <w:r w:rsidRPr="00A03137">
        <w:rPr>
          <w:lang w:val="en-AU"/>
        </w:rPr>
        <w:t xml:space="preserve">2015. Some of these new sites are placed further inshore and they are therefore affected by </w:t>
      </w:r>
      <w:r w:rsidR="00C978E8">
        <w:rPr>
          <w:lang w:val="en-AU"/>
        </w:rPr>
        <w:t>P</w:t>
      </w:r>
      <w:r w:rsidR="00C978E8" w:rsidRPr="00A03137">
        <w:rPr>
          <w:lang w:val="en-AU"/>
        </w:rPr>
        <w:t xml:space="preserve">rimary </w:t>
      </w:r>
      <w:r w:rsidRPr="00A03137">
        <w:rPr>
          <w:lang w:val="en-AU"/>
        </w:rPr>
        <w:t xml:space="preserve">and </w:t>
      </w:r>
      <w:r w:rsidR="00C978E8">
        <w:rPr>
          <w:lang w:val="en-AU"/>
        </w:rPr>
        <w:t>S</w:t>
      </w:r>
      <w:r w:rsidR="00C978E8" w:rsidRPr="00A03137">
        <w:rPr>
          <w:lang w:val="en-AU"/>
        </w:rPr>
        <w:t xml:space="preserve">econdary </w:t>
      </w:r>
      <w:r w:rsidRPr="00A03137">
        <w:rPr>
          <w:lang w:val="en-AU"/>
        </w:rPr>
        <w:t>plume waters</w:t>
      </w:r>
      <w:r w:rsidR="00C978E8">
        <w:rPr>
          <w:lang w:val="en-AU"/>
        </w:rPr>
        <w:t xml:space="preserve"> which may influence the results.</w:t>
      </w:r>
    </w:p>
    <w:p w14:paraId="5F22F25B" w14:textId="1EE46AA1" w:rsidR="005E376A" w:rsidRPr="00482828" w:rsidRDefault="008645FA" w:rsidP="008645FA">
      <w:pPr>
        <w:rPr>
          <w:color w:val="000000" w:themeColor="text1"/>
          <w:lang w:val="en-AU"/>
        </w:rPr>
      </w:pPr>
      <w:r w:rsidRPr="00A03137">
        <w:rPr>
          <w:lang w:val="en-AU"/>
        </w:rPr>
        <w:t xml:space="preserve">The </w:t>
      </w:r>
      <w:r w:rsidR="00D26C13">
        <w:rPr>
          <w:lang w:val="en-AU"/>
        </w:rPr>
        <w:t>W</w:t>
      </w:r>
      <w:r w:rsidR="00D26C13" w:rsidRPr="00A03137">
        <w:rPr>
          <w:lang w:val="en-AU"/>
        </w:rPr>
        <w:t xml:space="preserve">ater </w:t>
      </w:r>
      <w:r w:rsidR="00D26C13">
        <w:rPr>
          <w:lang w:val="en-AU"/>
        </w:rPr>
        <w:t>Q</w:t>
      </w:r>
      <w:r w:rsidRPr="00A03137">
        <w:rPr>
          <w:lang w:val="en-AU"/>
        </w:rPr>
        <w:t xml:space="preserve">uality </w:t>
      </w:r>
      <w:r w:rsidR="00D26C13">
        <w:rPr>
          <w:lang w:val="en-AU"/>
        </w:rPr>
        <w:t>I</w:t>
      </w:r>
      <w:r w:rsidRPr="00A03137">
        <w:rPr>
          <w:lang w:val="en-AU"/>
        </w:rPr>
        <w:t xml:space="preserve">ndex in this </w:t>
      </w:r>
      <w:r w:rsidR="00D26C13">
        <w:rPr>
          <w:lang w:val="en-AU"/>
        </w:rPr>
        <w:t>focus area</w:t>
      </w:r>
      <w:r w:rsidRPr="00A03137">
        <w:rPr>
          <w:lang w:val="en-AU"/>
        </w:rPr>
        <w:t xml:space="preserve"> remained relatively stable maintaining scores of ‘good’ (</w:t>
      </w:r>
      <w:r w:rsidR="00D26C13">
        <w:rPr>
          <w:lang w:val="en-AU"/>
        </w:rPr>
        <w:fldChar w:fldCharType="begin"/>
      </w:r>
      <w:r w:rsidR="00D26C13">
        <w:rPr>
          <w:lang w:val="en-AU"/>
        </w:rPr>
        <w:instrText xml:space="preserve"> REF _Ref459150552 \h </w:instrText>
      </w:r>
      <w:r w:rsidR="00D26C13">
        <w:rPr>
          <w:lang w:val="en-AU"/>
        </w:rPr>
      </w:r>
      <w:r w:rsidR="00D26C13">
        <w:rPr>
          <w:lang w:val="en-AU"/>
        </w:rPr>
        <w:fldChar w:fldCharType="separate"/>
      </w:r>
      <w:r w:rsidR="007F5336" w:rsidRPr="00A03137">
        <w:t xml:space="preserve">Figure </w:t>
      </w:r>
      <w:r w:rsidR="007F5336">
        <w:rPr>
          <w:noProof/>
        </w:rPr>
        <w:t>5</w:t>
      </w:r>
      <w:r w:rsidR="007F5336">
        <w:noBreakHyphen/>
      </w:r>
      <w:r w:rsidR="007F5336">
        <w:rPr>
          <w:noProof/>
        </w:rPr>
        <w:t>26</w:t>
      </w:r>
      <w:r w:rsidR="00D26C13">
        <w:rPr>
          <w:lang w:val="en-AU"/>
        </w:rPr>
        <w:fldChar w:fldCharType="end"/>
      </w:r>
      <w:r w:rsidRPr="00A03137">
        <w:rPr>
          <w:lang w:val="en-AU"/>
        </w:rPr>
        <w:t xml:space="preserve">a). Concentrations of </w:t>
      </w:r>
      <w:r w:rsidR="00D26C13">
        <w:rPr>
          <w:lang w:val="en-AU"/>
        </w:rPr>
        <w:t>C</w:t>
      </w:r>
      <w:r w:rsidRPr="00A03137">
        <w:rPr>
          <w:lang w:val="en-AU"/>
        </w:rPr>
        <w:t>hl</w:t>
      </w:r>
      <w:r w:rsidR="00D26C13">
        <w:rPr>
          <w:lang w:val="en-AU"/>
        </w:rPr>
        <w:t>-</w:t>
      </w:r>
      <w:r w:rsidRPr="00A03137">
        <w:rPr>
          <w:lang w:val="en-AU"/>
        </w:rPr>
        <w:t xml:space="preserve">a), TSS, PN and PP were close to </w:t>
      </w:r>
      <w:r w:rsidR="00C978E8">
        <w:rPr>
          <w:lang w:val="en-AU"/>
        </w:rPr>
        <w:t xml:space="preserve">or below </w:t>
      </w:r>
      <w:r w:rsidRPr="00A03137">
        <w:rPr>
          <w:lang w:val="en-AU"/>
        </w:rPr>
        <w:t>guideline levels at the beginning of the MMP sampling in 2005-06, then declined, prior to slight increases during the major flood period in 2011 with more or less stable levels until 2015 (</w:t>
      </w:r>
      <w:r w:rsidR="00D26C13">
        <w:rPr>
          <w:lang w:val="en-AU"/>
        </w:rPr>
        <w:fldChar w:fldCharType="begin"/>
      </w:r>
      <w:r w:rsidR="00D26C13">
        <w:rPr>
          <w:lang w:val="en-AU"/>
        </w:rPr>
        <w:instrText xml:space="preserve"> REF _Ref459150552 \h </w:instrText>
      </w:r>
      <w:r w:rsidR="00D26C13">
        <w:rPr>
          <w:lang w:val="en-AU"/>
        </w:rPr>
      </w:r>
      <w:r w:rsidR="00D26C13">
        <w:rPr>
          <w:lang w:val="en-AU"/>
        </w:rPr>
        <w:fldChar w:fldCharType="separate"/>
      </w:r>
      <w:r w:rsidR="007F5336" w:rsidRPr="00A03137">
        <w:t xml:space="preserve">Figure </w:t>
      </w:r>
      <w:r w:rsidR="007F5336">
        <w:rPr>
          <w:noProof/>
        </w:rPr>
        <w:t>5</w:t>
      </w:r>
      <w:r w:rsidR="007F5336">
        <w:noBreakHyphen/>
      </w:r>
      <w:r w:rsidR="007F5336">
        <w:rPr>
          <w:noProof/>
        </w:rPr>
        <w:t>26</w:t>
      </w:r>
      <w:r w:rsidR="00D26C13">
        <w:rPr>
          <w:lang w:val="en-AU"/>
        </w:rPr>
        <w:fldChar w:fldCharType="end"/>
      </w:r>
      <w:r w:rsidRPr="00A03137">
        <w:rPr>
          <w:lang w:val="en-AU"/>
        </w:rPr>
        <w:t xml:space="preserve">,c,f,h). The predicted overall trendline for </w:t>
      </w:r>
      <w:r w:rsidR="00D26C13">
        <w:rPr>
          <w:lang w:val="en-AU"/>
        </w:rPr>
        <w:t>Chl-</w:t>
      </w:r>
      <w:r w:rsidRPr="004A5BF7">
        <w:rPr>
          <w:lang w:val="en-AU"/>
        </w:rPr>
        <w:t>a</w:t>
      </w:r>
      <w:r w:rsidRPr="00D26C13">
        <w:rPr>
          <w:lang w:val="en-AU"/>
        </w:rPr>
        <w:t xml:space="preserve"> was at or above the guideline from 2011 onwards; the trendlines for TSS and PP appro</w:t>
      </w:r>
      <w:r w:rsidRPr="00A03137">
        <w:rPr>
          <w:lang w:val="en-AU"/>
        </w:rPr>
        <w:t>ach</w:t>
      </w:r>
      <w:r w:rsidR="001A0A62">
        <w:rPr>
          <w:lang w:val="en-AU"/>
        </w:rPr>
        <w:t>ed</w:t>
      </w:r>
      <w:r w:rsidRPr="00A03137">
        <w:rPr>
          <w:lang w:val="en-AU"/>
        </w:rPr>
        <w:t xml:space="preserve"> the guideline in 2014, while PN was below (</w:t>
      </w:r>
      <w:r w:rsidR="00D26C13">
        <w:rPr>
          <w:lang w:val="en-AU"/>
        </w:rPr>
        <w:fldChar w:fldCharType="begin"/>
      </w:r>
      <w:r w:rsidR="00D26C13">
        <w:rPr>
          <w:lang w:val="en-AU"/>
        </w:rPr>
        <w:instrText xml:space="preserve"> REF _Ref459150552 \h </w:instrText>
      </w:r>
      <w:r w:rsidR="00D26C13">
        <w:rPr>
          <w:lang w:val="en-AU"/>
        </w:rPr>
      </w:r>
      <w:r w:rsidR="00D26C13">
        <w:rPr>
          <w:lang w:val="en-AU"/>
        </w:rPr>
        <w:fldChar w:fldCharType="separate"/>
      </w:r>
      <w:r w:rsidR="007F5336" w:rsidRPr="00A03137">
        <w:t xml:space="preserve">Figure </w:t>
      </w:r>
      <w:r w:rsidR="007F5336">
        <w:rPr>
          <w:noProof/>
        </w:rPr>
        <w:t>5</w:t>
      </w:r>
      <w:r w:rsidR="007F5336">
        <w:noBreakHyphen/>
      </w:r>
      <w:r w:rsidR="007F5336">
        <w:rPr>
          <w:noProof/>
        </w:rPr>
        <w:t>26</w:t>
      </w:r>
      <w:r w:rsidR="00D26C13">
        <w:rPr>
          <w:lang w:val="en-AU"/>
        </w:rPr>
        <w:fldChar w:fldCharType="end"/>
      </w:r>
      <w:r w:rsidRPr="00A03137">
        <w:rPr>
          <w:lang w:val="en-AU"/>
        </w:rPr>
        <w:t>). The concentrations of dissolved oxidised nitrogen (NO</w:t>
      </w:r>
      <w:r w:rsidRPr="00A03137">
        <w:rPr>
          <w:vertAlign w:val="subscript"/>
          <w:lang w:val="en-AU"/>
        </w:rPr>
        <w:t>x</w:t>
      </w:r>
      <w:r w:rsidRPr="00A03137">
        <w:rPr>
          <w:lang w:val="en-AU"/>
        </w:rPr>
        <w:t>) steadily increased over time</w:t>
      </w:r>
      <w:r w:rsidR="001A0A62">
        <w:rPr>
          <w:lang w:val="en-AU"/>
        </w:rPr>
        <w:t>,</w:t>
      </w:r>
      <w:r w:rsidRPr="00A03137">
        <w:rPr>
          <w:lang w:val="en-AU"/>
        </w:rPr>
        <w:t xml:space="preserve"> approaching the </w:t>
      </w:r>
      <w:r w:rsidR="00D26C13">
        <w:rPr>
          <w:lang w:val="en-AU"/>
        </w:rPr>
        <w:t>Queensland</w:t>
      </w:r>
      <w:r w:rsidR="00D26C13" w:rsidRPr="00A03137">
        <w:rPr>
          <w:lang w:val="en-AU"/>
        </w:rPr>
        <w:t xml:space="preserve"> </w:t>
      </w:r>
      <w:r w:rsidRPr="00A03137">
        <w:rPr>
          <w:lang w:val="en-AU"/>
        </w:rPr>
        <w:t>guideline in 2012 where it has remained since (</w:t>
      </w:r>
      <w:r w:rsidR="00D26C13">
        <w:rPr>
          <w:lang w:val="en-AU"/>
        </w:rPr>
        <w:fldChar w:fldCharType="begin"/>
      </w:r>
      <w:r w:rsidR="00D26C13">
        <w:rPr>
          <w:lang w:val="en-AU"/>
        </w:rPr>
        <w:instrText xml:space="preserve"> REF _Ref459150552 \h </w:instrText>
      </w:r>
      <w:r w:rsidR="00D26C13">
        <w:rPr>
          <w:lang w:val="en-AU"/>
        </w:rPr>
      </w:r>
      <w:r w:rsidR="00D26C13">
        <w:rPr>
          <w:lang w:val="en-AU"/>
        </w:rPr>
        <w:fldChar w:fldCharType="separate"/>
      </w:r>
      <w:r w:rsidR="007F5336" w:rsidRPr="00A03137">
        <w:t xml:space="preserve">Figure </w:t>
      </w:r>
      <w:r w:rsidR="007F5336">
        <w:rPr>
          <w:noProof/>
        </w:rPr>
        <w:t>5</w:t>
      </w:r>
      <w:r w:rsidR="007F5336">
        <w:noBreakHyphen/>
      </w:r>
      <w:r w:rsidR="007F5336">
        <w:rPr>
          <w:noProof/>
        </w:rPr>
        <w:t>26</w:t>
      </w:r>
      <w:r w:rsidR="00D26C13">
        <w:rPr>
          <w:lang w:val="en-AU"/>
        </w:rPr>
        <w:fldChar w:fldCharType="end"/>
      </w:r>
      <w:r w:rsidR="001A0A62" w:rsidRPr="00A03137">
        <w:rPr>
          <w:lang w:val="en-AU"/>
        </w:rPr>
        <w:t>d</w:t>
      </w:r>
      <w:r w:rsidRPr="00A03137">
        <w:rPr>
          <w:lang w:val="en-AU"/>
        </w:rPr>
        <w:t xml:space="preserve">). Secchi depth </w:t>
      </w:r>
      <w:r w:rsidR="001A0A62">
        <w:rPr>
          <w:lang w:val="en-AU"/>
        </w:rPr>
        <w:t>showed</w:t>
      </w:r>
      <w:r w:rsidRPr="00A03137">
        <w:rPr>
          <w:lang w:val="en-AU"/>
        </w:rPr>
        <w:t xml:space="preserve"> a slight decline since the </w:t>
      </w:r>
      <w:r w:rsidR="00092619">
        <w:rPr>
          <w:noProof/>
          <w:lang w:val="en-AU" w:eastAsia="en-AU"/>
        </w:rPr>
        <w:drawing>
          <wp:anchor distT="0" distB="0" distL="114300" distR="114300" simplePos="0" relativeHeight="251660800" behindDoc="0" locked="0" layoutInCell="1" allowOverlap="1" wp14:anchorId="5CEFDFBB" wp14:editId="7CEB2D84">
            <wp:simplePos x="0" y="0"/>
            <wp:positionH relativeFrom="column">
              <wp:posOffset>-47625</wp:posOffset>
            </wp:positionH>
            <wp:positionV relativeFrom="paragraph">
              <wp:posOffset>558165</wp:posOffset>
            </wp:positionV>
            <wp:extent cx="5731510" cy="5731510"/>
            <wp:effectExtent l="0" t="0" r="2540" b="2540"/>
            <wp:wrapTopAndBottom/>
            <wp:docPr id="237" name="Picture 237" descr="Panel of graphs showing temporal trends in water quality for the Russell-Mulgrave sub-region.  a) water quality index, b) chlorophyll a, c) total suspended solids, d) nitrate/nitrite, e) Secchi depth, f) particulate nitrogen, g) particulate phosphorus, h) particulate organic carbon and i) dissolved organic carbon. Water quality index colour coding: dark green- ‘very good’; light green-‘good’; yellow – ‘moderate; orange – ‘poor’; red – ‘very poor’. The Water Quality Index is the aggregate of variables plotted in b - h and calculated as described in Appendix 1.2.3. Trends in POC and DOC values are plotted here (i, j); threshold levels have yet to be established.  Trends in manually sampled water quality variables are represented by blue lines with blue shaded areas defining 95% confidence intervals of those trends accounting for the effects of wind, waves and tides, black dots represent observed data. Trends of records from ECO FLNTUSB instruments are represented in red, individual records are not displayed. Dashed reference lines indicate " title="Figure 5 26: Temporal trends in water quality for the Russell-Mulgrave sub-region.  a) water quality index, b) chlorophyll a, c) total suspended solids, d) nitrate/nitrite, e) Secchi depth, f) particulate nitrogen, g) particulate phosphorus, h) particulate organic carbon and i) dissolved organic carb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clonborg\Desktop\MMP report 2014-15\Final graphs 2015\EcosystemHealth\ecosystemHealth_WQ_niskin.all.reef.av_Johnstone_Russell_Mulgrave.png"/>
                    <pic:cNvPicPr>
                      <a:picLocks noChangeAspect="1" noChangeArrowheads="1"/>
                    </pic:cNvPicPr>
                  </pic:nvPicPr>
                  <pic:blipFill>
                    <a:blip r:embed="rId340">
                      <a:extLst>
                        <a:ext uri="{28A0092B-C50C-407E-A947-70E740481C1C}">
                          <a14:useLocalDpi xmlns:a14="http://schemas.microsoft.com/office/drawing/2010/main" val="0"/>
                        </a:ext>
                      </a:extLst>
                    </a:blip>
                    <a:srcRect/>
                    <a:stretch>
                      <a:fillRect/>
                    </a:stretch>
                  </pic:blipFill>
                  <pic:spPr bwMode="auto">
                    <a:xfrm>
                      <a:off x="0" y="0"/>
                      <a:ext cx="5731510" cy="57315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03137">
        <w:rPr>
          <w:lang w:val="en-AU"/>
        </w:rPr>
        <w:t>beginning of the monitoring program</w:t>
      </w:r>
      <w:r w:rsidR="001A0A62">
        <w:rPr>
          <w:lang w:val="en-AU"/>
        </w:rPr>
        <w:t xml:space="preserve"> to</w:t>
      </w:r>
      <w:r w:rsidRPr="00A03137">
        <w:rPr>
          <w:lang w:val="en-AU"/>
        </w:rPr>
        <w:t xml:space="preserve"> levels </w:t>
      </w:r>
      <w:r w:rsidR="00041BC7">
        <w:rPr>
          <w:lang w:val="en-AU"/>
        </w:rPr>
        <w:t xml:space="preserve">now </w:t>
      </w:r>
      <w:r w:rsidR="00C978E8">
        <w:rPr>
          <w:lang w:val="en-AU"/>
        </w:rPr>
        <w:t>exceeding</w:t>
      </w:r>
      <w:r w:rsidR="00315B2F">
        <w:rPr>
          <w:lang w:val="en-AU"/>
        </w:rPr>
        <w:t xml:space="preserve"> the guideline (</w:t>
      </w:r>
      <w:r w:rsidR="00D26C13">
        <w:rPr>
          <w:lang w:val="en-AU"/>
        </w:rPr>
        <w:fldChar w:fldCharType="begin"/>
      </w:r>
      <w:r w:rsidR="00D26C13">
        <w:rPr>
          <w:lang w:val="en-AU"/>
        </w:rPr>
        <w:instrText xml:space="preserve"> REF _Ref459150552 \h </w:instrText>
      </w:r>
      <w:r w:rsidR="00D26C13">
        <w:rPr>
          <w:lang w:val="en-AU"/>
        </w:rPr>
      </w:r>
      <w:r w:rsidR="00D26C13">
        <w:rPr>
          <w:lang w:val="en-AU"/>
        </w:rPr>
        <w:fldChar w:fldCharType="separate"/>
      </w:r>
      <w:r w:rsidR="007F5336" w:rsidRPr="00A03137">
        <w:t xml:space="preserve">Figure </w:t>
      </w:r>
      <w:r w:rsidR="007F5336">
        <w:rPr>
          <w:noProof/>
        </w:rPr>
        <w:t>5</w:t>
      </w:r>
      <w:r w:rsidR="007F5336">
        <w:noBreakHyphen/>
      </w:r>
      <w:r w:rsidR="007F5336">
        <w:rPr>
          <w:noProof/>
        </w:rPr>
        <w:t>26</w:t>
      </w:r>
      <w:r w:rsidR="00D26C13">
        <w:rPr>
          <w:lang w:val="en-AU"/>
        </w:rPr>
        <w:fldChar w:fldCharType="end"/>
      </w:r>
      <w:r w:rsidR="00315B2F">
        <w:rPr>
          <w:lang w:val="en-AU"/>
        </w:rPr>
        <w:t>2</w:t>
      </w:r>
      <w:r w:rsidRPr="00A03137">
        <w:rPr>
          <w:lang w:val="en-AU"/>
        </w:rPr>
        <w:t>e).</w:t>
      </w:r>
    </w:p>
    <w:p w14:paraId="5F22F25E" w14:textId="253289FD" w:rsidR="00702B17" w:rsidRPr="000627A9" w:rsidRDefault="00694440" w:rsidP="009574D7">
      <w:pPr>
        <w:pStyle w:val="Caption"/>
        <w:rPr>
          <w:rStyle w:val="IntenseReference"/>
        </w:rPr>
      </w:pPr>
      <w:bookmarkStart w:id="1206" w:name="_Ref459150552"/>
      <w:bookmarkStart w:id="1207" w:name="_Ref438136316"/>
      <w:bookmarkStart w:id="1208" w:name="_Toc459332384"/>
      <w:bookmarkStart w:id="1209" w:name="_Toc436913479"/>
      <w:r w:rsidRPr="00A03137">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26</w:t>
      </w:r>
      <w:r w:rsidR="00C62884">
        <w:fldChar w:fldCharType="end"/>
      </w:r>
      <w:bookmarkEnd w:id="1206"/>
      <w:bookmarkEnd w:id="1207"/>
      <w:r w:rsidRPr="00A03137">
        <w:t xml:space="preserve">: </w:t>
      </w:r>
      <w:r w:rsidR="008645FA" w:rsidRPr="00A03137">
        <w:t xml:space="preserve">Temporal trends in </w:t>
      </w:r>
      <w:r w:rsidR="00DC03EF">
        <w:t>w</w:t>
      </w:r>
      <w:r w:rsidR="00DC03EF" w:rsidRPr="00A03137">
        <w:t xml:space="preserve">ater </w:t>
      </w:r>
      <w:r w:rsidR="00DC03EF">
        <w:t>q</w:t>
      </w:r>
      <w:r w:rsidR="00DC03EF" w:rsidRPr="00A03137">
        <w:t xml:space="preserve">uality </w:t>
      </w:r>
      <w:r w:rsidR="008645FA" w:rsidRPr="00A03137">
        <w:t xml:space="preserve">for the Russell-Mulgrave </w:t>
      </w:r>
      <w:r w:rsidR="00DC03EF">
        <w:t>sub</w:t>
      </w:r>
      <w:r w:rsidR="008645FA" w:rsidRPr="00A03137">
        <w:t>-region.</w:t>
      </w:r>
      <w:r w:rsidR="008645FA" w:rsidRPr="000627A9">
        <w:rPr>
          <w:rStyle w:val="IntenseReference"/>
        </w:rPr>
        <w:t xml:space="preserve"> </w:t>
      </w:r>
      <w:r w:rsidR="00702B17" w:rsidRPr="000627A9">
        <w:rPr>
          <w:rStyle w:val="IntenseReference"/>
        </w:rPr>
        <w:t xml:space="preserve"> a) water quality index, b) chlorophyll a, c) total suspended solids, d) nitrate/nitrite, e) Secchi depth, f) particulate nitrogen, g) particulate phosphorus, h) particulate organic carbon and i) dissolved organic carbon. Water quality index colour coding: dark green- ‘very good’; light green-‘good’; yellow – ‘moderate; orange – ‘poor’; red – ‘very poor’. The </w:t>
      </w:r>
      <w:r w:rsidR="00D26C13">
        <w:rPr>
          <w:rStyle w:val="IntenseReference"/>
        </w:rPr>
        <w:t>W</w:t>
      </w:r>
      <w:r w:rsidR="00D26C13" w:rsidRPr="000627A9">
        <w:rPr>
          <w:rStyle w:val="IntenseReference"/>
        </w:rPr>
        <w:t xml:space="preserve">ater </w:t>
      </w:r>
      <w:r w:rsidR="00D26C13">
        <w:rPr>
          <w:rStyle w:val="IntenseReference"/>
        </w:rPr>
        <w:t>Q</w:t>
      </w:r>
      <w:r w:rsidR="00702B17" w:rsidRPr="000627A9">
        <w:rPr>
          <w:rStyle w:val="IntenseReference"/>
        </w:rPr>
        <w:t xml:space="preserve">uality </w:t>
      </w:r>
      <w:r w:rsidR="00D26C13">
        <w:rPr>
          <w:rStyle w:val="IntenseReference"/>
        </w:rPr>
        <w:t>I</w:t>
      </w:r>
      <w:r w:rsidR="00702B17" w:rsidRPr="000627A9">
        <w:rPr>
          <w:rStyle w:val="IntenseReference"/>
        </w:rPr>
        <w:t>ndex is the aggregate of variables plotted in b - h and calculated as described in Appendix 1.2.3. Trends in POC and DOC values are plotted here (i, j); threshold levels have yet to be established.  Trends in manually sampled water quality variables are represented by blue lines with blue shaded areas defining 95% confidence intervals of those trends</w:t>
      </w:r>
      <w:r w:rsidR="00E25252" w:rsidRPr="00E25252">
        <w:rPr>
          <w:color w:val="000000"/>
        </w:rPr>
        <w:t xml:space="preserve"> </w:t>
      </w:r>
      <w:r w:rsidR="00E25252" w:rsidRPr="00C52985">
        <w:rPr>
          <w:color w:val="000000"/>
        </w:rPr>
        <w:t xml:space="preserve">accounting for the effects of </w:t>
      </w:r>
      <w:r w:rsidR="00E25252" w:rsidRPr="00C52985">
        <w:t>wind, waves and tides</w:t>
      </w:r>
      <w:r w:rsidR="00702B17" w:rsidRPr="000627A9">
        <w:rPr>
          <w:rStyle w:val="IntenseReference"/>
        </w:rPr>
        <w:t>, black dots represent observed data. Trends of records from ECO FLNTUSB instruments are represented in red, individual records are not displayed. Dashed reference lines indicate guideline values.</w:t>
      </w:r>
      <w:bookmarkEnd w:id="1208"/>
      <w:bookmarkEnd w:id="1209"/>
    </w:p>
    <w:p w14:paraId="1757A073" w14:textId="77777777" w:rsidR="00D26C13" w:rsidRDefault="00D26C13" w:rsidP="00D26C13">
      <w:pPr>
        <w:rPr>
          <w:lang w:val="en-AU"/>
        </w:rPr>
      </w:pPr>
    </w:p>
    <w:p w14:paraId="0B6405CE" w14:textId="3A0AEEB2" w:rsidR="00D26C13" w:rsidRPr="00A03137" w:rsidRDefault="00D26C13" w:rsidP="00D26C13">
      <w:pPr>
        <w:rPr>
          <w:lang w:val="en-AU"/>
        </w:rPr>
      </w:pPr>
      <w:r w:rsidRPr="00A03137">
        <w:rPr>
          <w:lang w:val="en-AU"/>
        </w:rPr>
        <w:t xml:space="preserve">The concentrations of particulate organic carbon (POC) remained stable over the monitoring period, while the dissolved organic carbon (DOC) </w:t>
      </w:r>
      <w:r w:rsidRPr="001A0A62">
        <w:rPr>
          <w:lang w:val="en-AU"/>
        </w:rPr>
        <w:t>concentrations</w:t>
      </w:r>
      <w:r w:rsidRPr="00A03137">
        <w:rPr>
          <w:lang w:val="en-AU"/>
        </w:rPr>
        <w:t xml:space="preserve"> </w:t>
      </w:r>
      <w:r>
        <w:rPr>
          <w:lang w:val="en-AU"/>
        </w:rPr>
        <w:t>showed</w:t>
      </w:r>
      <w:r w:rsidRPr="00A03137">
        <w:rPr>
          <w:lang w:val="en-AU"/>
        </w:rPr>
        <w:t xml:space="preserve"> a steep continued increase over the same period (</w:t>
      </w:r>
      <w:r>
        <w:rPr>
          <w:lang w:val="en-AU"/>
        </w:rPr>
        <w:fldChar w:fldCharType="begin"/>
      </w:r>
      <w:r>
        <w:rPr>
          <w:lang w:val="en-AU"/>
        </w:rPr>
        <w:instrText xml:space="preserve"> REF _Ref459150552 \h </w:instrText>
      </w:r>
      <w:r>
        <w:rPr>
          <w:lang w:val="en-AU"/>
        </w:rPr>
      </w:r>
      <w:r>
        <w:rPr>
          <w:lang w:val="en-AU"/>
        </w:rPr>
        <w:fldChar w:fldCharType="separate"/>
      </w:r>
      <w:r w:rsidR="007F5336" w:rsidRPr="00A03137">
        <w:t xml:space="preserve">Figure </w:t>
      </w:r>
      <w:r w:rsidR="007F5336">
        <w:rPr>
          <w:noProof/>
        </w:rPr>
        <w:t>5</w:t>
      </w:r>
      <w:r w:rsidR="007F5336">
        <w:noBreakHyphen/>
      </w:r>
      <w:r w:rsidR="007F5336">
        <w:rPr>
          <w:noProof/>
        </w:rPr>
        <w:t>26</w:t>
      </w:r>
      <w:r>
        <w:rPr>
          <w:lang w:val="en-AU"/>
        </w:rPr>
        <w:fldChar w:fldCharType="end"/>
      </w:r>
      <w:r w:rsidRPr="00A03137">
        <w:rPr>
          <w:lang w:val="en-AU"/>
        </w:rPr>
        <w:t>j).</w:t>
      </w:r>
    </w:p>
    <w:p w14:paraId="173F71A0" w14:textId="3FAA7855" w:rsidR="00D26C13" w:rsidRPr="00A03137" w:rsidRDefault="00D26C13" w:rsidP="00D26C13">
      <w:pPr>
        <w:rPr>
          <w:lang w:val="en-AU"/>
        </w:rPr>
      </w:pPr>
      <w:r w:rsidRPr="00A03137">
        <w:rPr>
          <w:lang w:val="en-AU"/>
        </w:rPr>
        <w:t>Instrumental chlorophyll (chl) and turbidity records show more pronounced fluctuations than the manual sampling data (</w:t>
      </w:r>
      <w:r>
        <w:rPr>
          <w:lang w:val="en-AU"/>
        </w:rPr>
        <w:fldChar w:fldCharType="begin"/>
      </w:r>
      <w:r>
        <w:rPr>
          <w:lang w:val="en-AU"/>
        </w:rPr>
        <w:instrText xml:space="preserve"> REF _Ref438136316 \h </w:instrText>
      </w:r>
      <w:r>
        <w:rPr>
          <w:lang w:val="en-AU"/>
        </w:rPr>
      </w:r>
      <w:r>
        <w:rPr>
          <w:lang w:val="en-AU"/>
        </w:rPr>
        <w:fldChar w:fldCharType="separate"/>
      </w:r>
      <w:r w:rsidR="007F5336" w:rsidRPr="00A03137">
        <w:t xml:space="preserve">Figure </w:t>
      </w:r>
      <w:r w:rsidR="007F5336">
        <w:rPr>
          <w:noProof/>
        </w:rPr>
        <w:t>5</w:t>
      </w:r>
      <w:r w:rsidR="007F5336">
        <w:noBreakHyphen/>
      </w:r>
      <w:r w:rsidR="007F5336">
        <w:rPr>
          <w:noProof/>
        </w:rPr>
        <w:t>26</w:t>
      </w:r>
      <w:r>
        <w:rPr>
          <w:lang w:val="en-AU"/>
        </w:rPr>
        <w:fldChar w:fldCharType="end"/>
      </w:r>
      <w:r w:rsidRPr="00A03137">
        <w:rPr>
          <w:lang w:val="en-AU"/>
        </w:rPr>
        <w:t>b,g). The chl trendline exceed</w:t>
      </w:r>
      <w:r>
        <w:rPr>
          <w:lang w:val="en-AU"/>
        </w:rPr>
        <w:t>ed</w:t>
      </w:r>
      <w:r w:rsidRPr="00A03137">
        <w:rPr>
          <w:lang w:val="en-AU"/>
        </w:rPr>
        <w:t xml:space="preserve"> the </w:t>
      </w:r>
      <w:r>
        <w:rPr>
          <w:lang w:val="en-AU"/>
        </w:rPr>
        <w:t xml:space="preserve">annual </w:t>
      </w:r>
      <w:r w:rsidRPr="00A03137">
        <w:rPr>
          <w:lang w:val="en-AU"/>
        </w:rPr>
        <w:t>guideline during the wet season 2011-12 and again in 2013-2014 (</w:t>
      </w:r>
      <w:r>
        <w:rPr>
          <w:lang w:val="en-AU"/>
        </w:rPr>
        <w:fldChar w:fldCharType="begin"/>
      </w:r>
      <w:r>
        <w:rPr>
          <w:lang w:val="en-AU"/>
        </w:rPr>
        <w:instrText xml:space="preserve"> REF _Ref459150552 \h </w:instrText>
      </w:r>
      <w:r>
        <w:rPr>
          <w:lang w:val="en-AU"/>
        </w:rPr>
      </w:r>
      <w:r>
        <w:rPr>
          <w:lang w:val="en-AU"/>
        </w:rPr>
        <w:fldChar w:fldCharType="separate"/>
      </w:r>
      <w:r w:rsidR="007F5336" w:rsidRPr="00A03137">
        <w:t xml:space="preserve">Figure </w:t>
      </w:r>
      <w:r w:rsidR="007F5336">
        <w:rPr>
          <w:noProof/>
        </w:rPr>
        <w:t>5</w:t>
      </w:r>
      <w:r w:rsidR="007F5336">
        <w:noBreakHyphen/>
      </w:r>
      <w:r w:rsidR="007F5336">
        <w:rPr>
          <w:noProof/>
        </w:rPr>
        <w:t>26</w:t>
      </w:r>
      <w:r>
        <w:rPr>
          <w:lang w:val="en-AU"/>
        </w:rPr>
        <w:fldChar w:fldCharType="end"/>
      </w:r>
      <w:r w:rsidRPr="00A03137">
        <w:rPr>
          <w:lang w:val="en-AU"/>
        </w:rPr>
        <w:t xml:space="preserve">b).The turbidity </w:t>
      </w:r>
      <w:r>
        <w:rPr>
          <w:lang w:val="en-AU"/>
        </w:rPr>
        <w:t xml:space="preserve">values </w:t>
      </w:r>
      <w:r w:rsidRPr="00A03137">
        <w:rPr>
          <w:lang w:val="en-AU"/>
        </w:rPr>
        <w:t>showed increasing level which are now exceeding the guideline values.</w:t>
      </w:r>
      <w:r>
        <w:rPr>
          <w:lang w:val="en-AU"/>
        </w:rPr>
        <w:t xml:space="preserve"> </w:t>
      </w:r>
      <w:r w:rsidRPr="00A03137">
        <w:rPr>
          <w:lang w:val="en-AU"/>
        </w:rPr>
        <w:t xml:space="preserve">The small “kick” seen in the turbidity trend during the 2014-15 season is most likely due to </w:t>
      </w:r>
      <w:r>
        <w:rPr>
          <w:lang w:val="en-AU"/>
        </w:rPr>
        <w:t>an additional</w:t>
      </w:r>
      <w:r w:rsidRPr="00A03137">
        <w:rPr>
          <w:lang w:val="en-AU"/>
        </w:rPr>
        <w:t xml:space="preserve"> sensor </w:t>
      </w:r>
      <w:r>
        <w:rPr>
          <w:lang w:val="en-AU"/>
        </w:rPr>
        <w:t xml:space="preserve">that </w:t>
      </w:r>
      <w:r w:rsidRPr="00A03137">
        <w:rPr>
          <w:lang w:val="en-AU"/>
        </w:rPr>
        <w:t>is now placed close to the Russell-Mulgrave river mouths, which have higher turbidity levels (</w:t>
      </w:r>
      <w:r>
        <w:rPr>
          <w:lang w:val="en-AU"/>
        </w:rPr>
        <w:fldChar w:fldCharType="begin"/>
      </w:r>
      <w:r>
        <w:rPr>
          <w:lang w:val="en-AU"/>
        </w:rPr>
        <w:instrText xml:space="preserve"> REF _Ref438136316 \h </w:instrText>
      </w:r>
      <w:r>
        <w:rPr>
          <w:lang w:val="en-AU"/>
        </w:rPr>
      </w:r>
      <w:r>
        <w:rPr>
          <w:lang w:val="en-AU"/>
        </w:rPr>
        <w:fldChar w:fldCharType="separate"/>
      </w:r>
      <w:r w:rsidR="007F5336" w:rsidRPr="00A03137">
        <w:t xml:space="preserve">Figure </w:t>
      </w:r>
      <w:r w:rsidR="007F5336">
        <w:rPr>
          <w:noProof/>
        </w:rPr>
        <w:t>5</w:t>
      </w:r>
      <w:r w:rsidR="007F5336">
        <w:noBreakHyphen/>
      </w:r>
      <w:r w:rsidR="007F5336">
        <w:rPr>
          <w:noProof/>
        </w:rPr>
        <w:t>26</w:t>
      </w:r>
      <w:r>
        <w:rPr>
          <w:lang w:val="en-AU"/>
        </w:rPr>
        <w:fldChar w:fldCharType="end"/>
      </w:r>
      <w:r w:rsidRPr="00A03137">
        <w:rPr>
          <w:lang w:val="en-AU"/>
        </w:rPr>
        <w:t>g).</w:t>
      </w:r>
    </w:p>
    <w:p w14:paraId="5F22F260" w14:textId="0D1190A8" w:rsidR="00403971" w:rsidRDefault="00403971" w:rsidP="00403971">
      <w:pPr>
        <w:rPr>
          <w:rFonts w:cs="Arial"/>
          <w:color w:val="000000" w:themeColor="text1"/>
          <w:lang w:val="en-AU"/>
        </w:rPr>
      </w:pPr>
      <w:r w:rsidRPr="00A03137">
        <w:rPr>
          <w:rFonts w:cs="Arial"/>
          <w:color w:val="000000" w:themeColor="text1"/>
          <w:lang w:val="en-AU"/>
        </w:rPr>
        <w:t>The TSS and turbidity in this region showed different temporal trends (</w:t>
      </w:r>
      <w:r w:rsidR="00EB33A6">
        <w:rPr>
          <w:color w:val="000000" w:themeColor="text1"/>
          <w:lang w:val="en-AU"/>
        </w:rPr>
        <w:fldChar w:fldCharType="begin"/>
      </w:r>
      <w:r w:rsidR="00F64881">
        <w:rPr>
          <w:rFonts w:cs="Arial"/>
          <w:color w:val="000000" w:themeColor="text1"/>
          <w:lang w:val="en-AU"/>
        </w:rPr>
        <w:instrText xml:space="preserve"> REF _Ref438136316 \h </w:instrText>
      </w:r>
      <w:r w:rsidR="00EB33A6">
        <w:rPr>
          <w:color w:val="000000" w:themeColor="text1"/>
          <w:lang w:val="en-AU"/>
        </w:rPr>
      </w:r>
      <w:r w:rsidR="00EB33A6">
        <w:rPr>
          <w:color w:val="000000" w:themeColor="text1"/>
          <w:lang w:val="en-AU"/>
        </w:rPr>
        <w:fldChar w:fldCharType="separate"/>
      </w:r>
      <w:r w:rsidR="007F5336" w:rsidRPr="00A03137">
        <w:t xml:space="preserve">Figure </w:t>
      </w:r>
      <w:r w:rsidR="007F5336">
        <w:rPr>
          <w:noProof/>
        </w:rPr>
        <w:t>5</w:t>
      </w:r>
      <w:r w:rsidR="007F5336">
        <w:noBreakHyphen/>
      </w:r>
      <w:r w:rsidR="007F5336">
        <w:rPr>
          <w:noProof/>
        </w:rPr>
        <w:t>26</w:t>
      </w:r>
      <w:r w:rsidR="00EB33A6">
        <w:rPr>
          <w:color w:val="000000" w:themeColor="text1"/>
          <w:lang w:val="en-AU"/>
        </w:rPr>
        <w:fldChar w:fldCharType="end"/>
      </w:r>
      <w:r w:rsidRPr="00A03137">
        <w:rPr>
          <w:color w:val="000000" w:themeColor="text1"/>
          <w:lang w:val="en-AU"/>
        </w:rPr>
        <w:t xml:space="preserve">c and g). </w:t>
      </w:r>
      <w:r w:rsidRPr="00A03137">
        <w:rPr>
          <w:rFonts w:cs="Arial"/>
          <w:color w:val="000000" w:themeColor="text1"/>
          <w:lang w:val="en-AU"/>
        </w:rPr>
        <w:t xml:space="preserve">While </w:t>
      </w:r>
      <w:r>
        <w:rPr>
          <w:rFonts w:cs="Arial"/>
          <w:color w:val="000000" w:themeColor="text1"/>
          <w:lang w:val="en-AU"/>
        </w:rPr>
        <w:t>T</w:t>
      </w:r>
      <w:r w:rsidRPr="00A03137">
        <w:rPr>
          <w:rFonts w:cs="Arial"/>
          <w:color w:val="000000" w:themeColor="text1"/>
          <w:lang w:val="en-AU"/>
        </w:rPr>
        <w:t xml:space="preserve">SS is measured as dry mass on a filter (0.4 µm poresize), turbidity is measured by the loggers as total light absorption and scattering. The </w:t>
      </w:r>
      <w:r w:rsidR="00C978E8">
        <w:rPr>
          <w:rFonts w:cs="Arial"/>
          <w:color w:val="000000" w:themeColor="text1"/>
          <w:lang w:val="en-AU"/>
        </w:rPr>
        <w:t>T</w:t>
      </w:r>
      <w:r w:rsidRPr="00A03137">
        <w:rPr>
          <w:rFonts w:cs="Arial"/>
          <w:color w:val="000000" w:themeColor="text1"/>
          <w:lang w:val="en-AU"/>
        </w:rPr>
        <w:t xml:space="preserve">SS does therefore </w:t>
      </w:r>
      <w:r>
        <w:rPr>
          <w:rFonts w:cs="Arial"/>
          <w:color w:val="000000" w:themeColor="text1"/>
          <w:lang w:val="en-AU"/>
        </w:rPr>
        <w:t>neither</w:t>
      </w:r>
      <w:r w:rsidRPr="00A03137">
        <w:rPr>
          <w:rFonts w:cs="Arial"/>
          <w:color w:val="000000" w:themeColor="text1"/>
          <w:lang w:val="en-AU"/>
        </w:rPr>
        <w:t xml:space="preserve"> account for material passing the filter </w:t>
      </w:r>
      <w:r>
        <w:rPr>
          <w:rFonts w:cs="Arial"/>
          <w:color w:val="000000" w:themeColor="text1"/>
          <w:lang w:val="en-AU"/>
        </w:rPr>
        <w:t>nor for</w:t>
      </w:r>
      <w:r w:rsidRPr="00A03137">
        <w:rPr>
          <w:rFonts w:cs="Arial"/>
          <w:color w:val="000000" w:themeColor="text1"/>
          <w:lang w:val="en-AU"/>
        </w:rPr>
        <w:t xml:space="preserve"> the optical properties</w:t>
      </w:r>
      <w:r w:rsidRPr="005E376A">
        <w:rPr>
          <w:rFonts w:cs="Arial"/>
          <w:color w:val="000000" w:themeColor="text1"/>
          <w:lang w:val="en-AU"/>
        </w:rPr>
        <w:t xml:space="preserve"> </w:t>
      </w:r>
      <w:r>
        <w:rPr>
          <w:rFonts w:cs="Arial"/>
          <w:color w:val="000000" w:themeColor="text1"/>
          <w:lang w:val="en-AU"/>
        </w:rPr>
        <w:t xml:space="preserve">of </w:t>
      </w:r>
      <w:r w:rsidRPr="008846E6">
        <w:rPr>
          <w:rFonts w:cs="Arial"/>
          <w:color w:val="000000" w:themeColor="text1"/>
          <w:lang w:val="en-AU"/>
        </w:rPr>
        <w:t>particle</w:t>
      </w:r>
      <w:r>
        <w:rPr>
          <w:rFonts w:cs="Arial"/>
          <w:color w:val="000000" w:themeColor="text1"/>
          <w:lang w:val="en-AU"/>
        </w:rPr>
        <w:t>s</w:t>
      </w:r>
      <w:r w:rsidRPr="00A03137">
        <w:rPr>
          <w:rFonts w:cs="Arial"/>
          <w:color w:val="000000" w:themeColor="text1"/>
          <w:lang w:val="en-AU"/>
        </w:rPr>
        <w:t xml:space="preserve">; </w:t>
      </w:r>
      <w:r>
        <w:rPr>
          <w:rFonts w:cs="Arial"/>
          <w:color w:val="000000" w:themeColor="text1"/>
          <w:lang w:val="en-AU"/>
        </w:rPr>
        <w:t>therefore</w:t>
      </w:r>
      <w:r w:rsidRPr="00A03137">
        <w:rPr>
          <w:rFonts w:cs="Arial"/>
          <w:color w:val="000000" w:themeColor="text1"/>
          <w:lang w:val="en-AU"/>
        </w:rPr>
        <w:t xml:space="preserve"> the nature of the measurements</w:t>
      </w:r>
      <w:r w:rsidRPr="006A0196">
        <w:rPr>
          <w:rFonts w:cs="Arial"/>
          <w:color w:val="000000" w:themeColor="text1"/>
          <w:lang w:val="en-AU"/>
        </w:rPr>
        <w:t xml:space="preserve"> </w:t>
      </w:r>
      <w:r w:rsidRPr="00A03137">
        <w:rPr>
          <w:rFonts w:cs="Arial"/>
          <w:color w:val="000000" w:themeColor="text1"/>
          <w:lang w:val="en-AU"/>
        </w:rPr>
        <w:t xml:space="preserve">different (Bowers </w:t>
      </w:r>
      <w:r w:rsidRPr="00315B2F">
        <w:rPr>
          <w:rFonts w:cs="Arial"/>
          <w:color w:val="000000" w:themeColor="text1"/>
          <w:lang w:val="en-AU"/>
        </w:rPr>
        <w:t>et al.</w:t>
      </w:r>
      <w:r w:rsidR="00315B2F">
        <w:rPr>
          <w:rFonts w:cs="Arial"/>
          <w:color w:val="000000" w:themeColor="text1"/>
          <w:lang w:val="en-AU"/>
        </w:rPr>
        <w:t>,</w:t>
      </w:r>
      <w:r w:rsidRPr="00A03137">
        <w:rPr>
          <w:rFonts w:cs="Arial"/>
          <w:color w:val="000000" w:themeColor="text1"/>
          <w:lang w:val="en-AU"/>
        </w:rPr>
        <w:t xml:space="preserve"> 2011). The difference in trends between these measures indicates that the size spectrum/composition of the optical active particle fraction </w:t>
      </w:r>
      <w:r>
        <w:rPr>
          <w:rFonts w:cs="Arial"/>
          <w:color w:val="000000" w:themeColor="text1"/>
          <w:lang w:val="en-AU"/>
        </w:rPr>
        <w:t>may have</w:t>
      </w:r>
      <w:r w:rsidRPr="00A03137">
        <w:rPr>
          <w:rFonts w:cs="Arial"/>
          <w:color w:val="000000" w:themeColor="text1"/>
          <w:lang w:val="en-AU"/>
        </w:rPr>
        <w:t xml:space="preserve"> changed over the monitoring period.</w:t>
      </w:r>
    </w:p>
    <w:p w14:paraId="5F22F262" w14:textId="0C939A75" w:rsidR="00694440" w:rsidRPr="00EE5D45" w:rsidRDefault="005E376A" w:rsidP="00164E5E">
      <w:pPr>
        <w:pStyle w:val="Heading4"/>
        <w:numPr>
          <w:ilvl w:val="3"/>
          <w:numId w:val="59"/>
        </w:numPr>
      </w:pPr>
      <w:r>
        <w:t>W</w:t>
      </w:r>
      <w:r w:rsidR="00694440" w:rsidRPr="00EE5D45">
        <w:t>et season</w:t>
      </w:r>
      <w:r>
        <w:t xml:space="preserve"> water quality</w:t>
      </w:r>
    </w:p>
    <w:p w14:paraId="5477A0F6" w14:textId="00562BA4" w:rsidR="00DC03EF" w:rsidRDefault="00DC03EF" w:rsidP="009574D7">
      <w:pPr>
        <w:rPr>
          <w:lang w:val="en-AU"/>
        </w:rPr>
      </w:pPr>
      <w:r>
        <w:rPr>
          <w:lang w:val="en-AU"/>
        </w:rPr>
        <w:t>A</w:t>
      </w:r>
      <w:r w:rsidRPr="002B7512">
        <w:rPr>
          <w:lang w:val="en-AU"/>
        </w:rPr>
        <w:t xml:space="preserve">lmost </w:t>
      </w:r>
      <w:r>
        <w:rPr>
          <w:lang w:val="en-AU"/>
        </w:rPr>
        <w:t>all</w:t>
      </w:r>
      <w:r w:rsidRPr="002B7512">
        <w:rPr>
          <w:lang w:val="en-AU"/>
        </w:rPr>
        <w:t xml:space="preserve"> input of materials discharged</w:t>
      </w:r>
      <w:r>
        <w:rPr>
          <w:lang w:val="en-AU"/>
        </w:rPr>
        <w:t xml:space="preserve"> by rivers</w:t>
      </w:r>
      <w:r w:rsidRPr="002B7512">
        <w:rPr>
          <w:lang w:val="en-AU"/>
        </w:rPr>
        <w:t xml:space="preserve"> takes </w:t>
      </w:r>
      <w:r>
        <w:rPr>
          <w:lang w:val="en-AU"/>
        </w:rPr>
        <w:t>place in the wet season and</w:t>
      </w:r>
      <w:r w:rsidRPr="002B7512">
        <w:rPr>
          <w:lang w:val="en-AU"/>
        </w:rPr>
        <w:t xml:space="preserve"> leads to strong gradients</w:t>
      </w:r>
      <w:r>
        <w:rPr>
          <w:lang w:val="en-AU"/>
        </w:rPr>
        <w:t xml:space="preserve"> </w:t>
      </w:r>
      <w:r w:rsidRPr="002B7512">
        <w:rPr>
          <w:lang w:val="en-AU"/>
        </w:rPr>
        <w:t>in concentrations of, and transformations among,</w:t>
      </w:r>
      <w:r>
        <w:rPr>
          <w:lang w:val="en-AU"/>
        </w:rPr>
        <w:t xml:space="preserve"> water quality parameters</w:t>
      </w:r>
      <w:r w:rsidRPr="002B7512">
        <w:rPr>
          <w:lang w:val="en-AU"/>
        </w:rPr>
        <w:t xml:space="preserve"> in plume environments</w:t>
      </w:r>
      <w:r>
        <w:rPr>
          <w:lang w:val="en-AU"/>
        </w:rPr>
        <w:t xml:space="preserve"> </w:t>
      </w:r>
      <w:r w:rsidRPr="002B7512">
        <w:rPr>
          <w:lang w:val="en-AU"/>
        </w:rPr>
        <w:t>(</w:t>
      </w:r>
      <w:r>
        <w:rPr>
          <w:lang w:val="en-AU"/>
        </w:rPr>
        <w:t>Devlin and Brodie 2005)</w:t>
      </w:r>
      <w:r w:rsidRPr="002B7512">
        <w:rPr>
          <w:lang w:val="en-AU"/>
        </w:rPr>
        <w:t>. In general,</w:t>
      </w:r>
      <w:r>
        <w:rPr>
          <w:lang w:val="en-AU"/>
        </w:rPr>
        <w:t xml:space="preserve"> </w:t>
      </w:r>
      <w:r w:rsidRPr="002B7512">
        <w:rPr>
          <w:lang w:val="en-AU"/>
        </w:rPr>
        <w:t>the fate of the organic matter and its constituent</w:t>
      </w:r>
      <w:r>
        <w:rPr>
          <w:lang w:val="en-AU"/>
        </w:rPr>
        <w:t xml:space="preserve"> </w:t>
      </w:r>
      <w:r w:rsidRPr="002B7512">
        <w:rPr>
          <w:lang w:val="en-AU"/>
        </w:rPr>
        <w:t>nitrogen, phosphorus and carbon, is mineralisation, uptake,</w:t>
      </w:r>
      <w:r>
        <w:rPr>
          <w:lang w:val="en-AU"/>
        </w:rPr>
        <w:t xml:space="preserve"> sinking and dilution. If </w:t>
      </w:r>
      <w:r w:rsidRPr="002B7512">
        <w:rPr>
          <w:lang w:val="en-AU"/>
        </w:rPr>
        <w:t xml:space="preserve">changes in </w:t>
      </w:r>
      <w:r>
        <w:rPr>
          <w:lang w:val="en-AU"/>
        </w:rPr>
        <w:t xml:space="preserve">the water quality parameters concentration </w:t>
      </w:r>
      <w:r w:rsidRPr="002B7512">
        <w:rPr>
          <w:lang w:val="en-AU"/>
        </w:rPr>
        <w:t>result</w:t>
      </w:r>
      <w:r>
        <w:rPr>
          <w:lang w:val="en-AU"/>
        </w:rPr>
        <w:t xml:space="preserve"> </w:t>
      </w:r>
      <w:r w:rsidRPr="002B7512">
        <w:rPr>
          <w:lang w:val="en-AU"/>
        </w:rPr>
        <w:t>only from the dilution associated with mixing, the</w:t>
      </w:r>
      <w:r>
        <w:rPr>
          <w:lang w:val="en-AU"/>
        </w:rPr>
        <w:t xml:space="preserve"> </w:t>
      </w:r>
      <w:r w:rsidRPr="002B7512">
        <w:rPr>
          <w:lang w:val="en-AU"/>
        </w:rPr>
        <w:t>constituents are said to behave conservatively</w:t>
      </w:r>
      <w:r>
        <w:rPr>
          <w:lang w:val="en-AU"/>
        </w:rPr>
        <w:t>. N</w:t>
      </w:r>
      <w:r w:rsidRPr="002B7512">
        <w:rPr>
          <w:lang w:val="en-AU"/>
        </w:rPr>
        <w:t>on-conservative behaviour can include the biological</w:t>
      </w:r>
      <w:r>
        <w:rPr>
          <w:lang w:val="en-AU"/>
        </w:rPr>
        <w:t xml:space="preserve"> </w:t>
      </w:r>
      <w:r w:rsidRPr="002B7512">
        <w:rPr>
          <w:lang w:val="en-AU"/>
        </w:rPr>
        <w:t>uptake from dissolved to a particulate stage, sedimentation</w:t>
      </w:r>
      <w:r>
        <w:rPr>
          <w:lang w:val="en-AU"/>
        </w:rPr>
        <w:t xml:space="preserve"> </w:t>
      </w:r>
      <w:r w:rsidRPr="002B7512">
        <w:rPr>
          <w:lang w:val="en-AU"/>
        </w:rPr>
        <w:t>of particulate matter and the mineralisation</w:t>
      </w:r>
      <w:r>
        <w:rPr>
          <w:lang w:val="en-AU"/>
        </w:rPr>
        <w:t xml:space="preserve"> </w:t>
      </w:r>
      <w:r w:rsidRPr="002B7512">
        <w:rPr>
          <w:lang w:val="en-AU"/>
        </w:rPr>
        <w:t>or desorption of particulate to dissolved species (</w:t>
      </w:r>
      <w:r>
        <w:rPr>
          <w:lang w:val="en-AU"/>
        </w:rPr>
        <w:t>Devlin and Brodie 2005</w:t>
      </w:r>
      <w:r w:rsidRPr="002B7512">
        <w:rPr>
          <w:lang w:val="en-AU"/>
        </w:rPr>
        <w:t>).</w:t>
      </w:r>
      <w:r>
        <w:rPr>
          <w:lang w:val="en-AU"/>
        </w:rPr>
        <w:t xml:space="preserve"> Conservative or non-conservative behaviour can be observed on mixing plot</w:t>
      </w:r>
      <w:r w:rsidRPr="00A13B8E">
        <w:rPr>
          <w:lang w:val="en-AU"/>
        </w:rPr>
        <w:t xml:space="preserve"> by testing the linearity of the relationship between the concentration of the water quality parameter and an index of conservative mixing, usually salinity (Devlin et al., 2001).</w:t>
      </w:r>
      <w:r w:rsidRPr="002B7512">
        <w:rPr>
          <w:lang w:val="en-AU"/>
        </w:rPr>
        <w:t xml:space="preserve"> </w:t>
      </w:r>
      <w:r>
        <w:rPr>
          <w:lang w:val="en-AU"/>
        </w:rPr>
        <w:t>Conservative mixing presents a straight line from high values at the river mouth and low values at the edge of the river plume</w:t>
      </w:r>
      <w:r w:rsidRPr="00A13B8E">
        <w:rPr>
          <w:lang w:val="en-AU"/>
        </w:rPr>
        <w:t>.</w:t>
      </w:r>
    </w:p>
    <w:p w14:paraId="0C66D496" w14:textId="4F060A1C" w:rsidR="00DC03EF" w:rsidRDefault="00DC03EF" w:rsidP="009574D7">
      <w:pPr>
        <w:rPr>
          <w:lang w:val="en-AU"/>
        </w:rPr>
      </w:pPr>
      <w:r>
        <w:rPr>
          <w:lang w:val="en-AU"/>
        </w:rPr>
        <w:t xml:space="preserve">Besides river discharge, wind is another environmental parameter that not only affects the fate of the plume constituents by changing its direction of propagation, but also causing resuspension in shallow waters that brings sediment and associated material into the water column. </w:t>
      </w:r>
      <w:r w:rsidRPr="002B7512">
        <w:rPr>
          <w:lang w:val="en-AU"/>
        </w:rPr>
        <w:t>In the absence of wind stress</w:t>
      </w:r>
      <w:r>
        <w:rPr>
          <w:lang w:val="en-AU"/>
        </w:rPr>
        <w:t>,</w:t>
      </w:r>
      <w:r w:rsidRPr="002B7512">
        <w:rPr>
          <w:lang w:val="en-AU"/>
        </w:rPr>
        <w:t xml:space="preserve"> plumes move in a</w:t>
      </w:r>
      <w:r>
        <w:rPr>
          <w:lang w:val="en-AU"/>
        </w:rPr>
        <w:t xml:space="preserve"> </w:t>
      </w:r>
      <w:r w:rsidRPr="002B7512">
        <w:rPr>
          <w:lang w:val="en-AU"/>
        </w:rPr>
        <w:t>northerly direction from the river mouth in accordance</w:t>
      </w:r>
      <w:r>
        <w:rPr>
          <w:lang w:val="en-AU"/>
        </w:rPr>
        <w:t xml:space="preserve"> </w:t>
      </w:r>
      <w:r w:rsidRPr="002B7512">
        <w:rPr>
          <w:lang w:val="en-AU"/>
        </w:rPr>
        <w:t>with Coriolis forcing. In times of low wind stress the</w:t>
      </w:r>
      <w:r>
        <w:rPr>
          <w:lang w:val="en-AU"/>
        </w:rPr>
        <w:t xml:space="preserve"> </w:t>
      </w:r>
      <w:r w:rsidRPr="002B7512">
        <w:rPr>
          <w:lang w:val="en-AU"/>
        </w:rPr>
        <w:t xml:space="preserve">plumes </w:t>
      </w:r>
      <w:r>
        <w:rPr>
          <w:lang w:val="en-AU"/>
        </w:rPr>
        <w:t>disperse</w:t>
      </w:r>
      <w:r w:rsidRPr="002B7512">
        <w:rPr>
          <w:lang w:val="en-AU"/>
        </w:rPr>
        <w:t xml:space="preserve"> well offshore and can reach beyond the</w:t>
      </w:r>
      <w:r>
        <w:rPr>
          <w:lang w:val="en-AU"/>
        </w:rPr>
        <w:t xml:space="preserve"> </w:t>
      </w:r>
      <w:r w:rsidRPr="002B7512">
        <w:rPr>
          <w:lang w:val="en-AU"/>
        </w:rPr>
        <w:t>main barrier reefs on the outer shelf into the Coral</w:t>
      </w:r>
      <w:r>
        <w:rPr>
          <w:lang w:val="en-AU"/>
        </w:rPr>
        <w:t xml:space="preserve"> </w:t>
      </w:r>
      <w:r w:rsidRPr="002B7512">
        <w:rPr>
          <w:lang w:val="en-AU"/>
        </w:rPr>
        <w:t>Sea (</w:t>
      </w:r>
      <w:r>
        <w:rPr>
          <w:lang w:val="en-AU"/>
        </w:rPr>
        <w:t>Devlin and Brodie, 2005</w:t>
      </w:r>
      <w:r w:rsidRPr="002B7512">
        <w:rPr>
          <w:lang w:val="en-AU"/>
        </w:rPr>
        <w:t>).</w:t>
      </w:r>
    </w:p>
    <w:p w14:paraId="5FF64273" w14:textId="1B207D9E" w:rsidR="00DC03EF" w:rsidRDefault="00DC03EF" w:rsidP="009574D7">
      <w:pPr>
        <w:rPr>
          <w:lang w:val="en-AU"/>
        </w:rPr>
      </w:pPr>
      <w:r>
        <w:rPr>
          <w:lang w:val="en-AU"/>
        </w:rPr>
        <w:t>As a general behaviour presented in</w:t>
      </w:r>
      <w:r w:rsidRPr="002B7512">
        <w:t xml:space="preserve"> </w:t>
      </w:r>
      <w:r w:rsidRPr="002B7512">
        <w:rPr>
          <w:lang w:val="en-AU"/>
        </w:rPr>
        <w:t>Devlin and Brodie</w:t>
      </w:r>
      <w:r>
        <w:rPr>
          <w:lang w:val="en-AU"/>
        </w:rPr>
        <w:t xml:space="preserve"> (2005), m</w:t>
      </w:r>
      <w:r w:rsidRPr="002B7512">
        <w:rPr>
          <w:lang w:val="en-AU"/>
        </w:rPr>
        <w:t xml:space="preserve">ost </w:t>
      </w:r>
      <w:r>
        <w:rPr>
          <w:lang w:val="en-AU"/>
        </w:rPr>
        <w:t>TSS</w:t>
      </w:r>
      <w:r w:rsidRPr="002B7512">
        <w:rPr>
          <w:lang w:val="en-AU"/>
        </w:rPr>
        <w:t xml:space="preserve"> deposits from the plume close to the river</w:t>
      </w:r>
      <w:r>
        <w:rPr>
          <w:lang w:val="en-AU"/>
        </w:rPr>
        <w:t xml:space="preserve"> </w:t>
      </w:r>
      <w:r w:rsidRPr="002B7512">
        <w:rPr>
          <w:lang w:val="en-AU"/>
        </w:rPr>
        <w:t>mouth, often within a few kilometres of the mouth.</w:t>
      </w:r>
      <w:r>
        <w:rPr>
          <w:lang w:val="en-AU"/>
        </w:rPr>
        <w:t xml:space="preserve"> </w:t>
      </w:r>
      <w:r w:rsidRPr="002B7512">
        <w:rPr>
          <w:lang w:val="en-AU"/>
        </w:rPr>
        <w:t>Thus most of the particulate nutrient material will also</w:t>
      </w:r>
      <w:r>
        <w:rPr>
          <w:lang w:val="en-AU"/>
        </w:rPr>
        <w:t xml:space="preserve"> </w:t>
      </w:r>
      <w:r w:rsidRPr="002B7512">
        <w:rPr>
          <w:lang w:val="en-AU"/>
        </w:rPr>
        <w:t>be lost from the water column in this zone. In contrast</w:t>
      </w:r>
      <w:r>
        <w:rPr>
          <w:lang w:val="en-AU"/>
        </w:rPr>
        <w:t xml:space="preserve"> </w:t>
      </w:r>
      <w:r w:rsidRPr="002B7512">
        <w:rPr>
          <w:lang w:val="en-AU"/>
        </w:rPr>
        <w:t>there is almost no loss of dissolved nutrients, except</w:t>
      </w:r>
      <w:r>
        <w:rPr>
          <w:lang w:val="en-AU"/>
        </w:rPr>
        <w:t xml:space="preserve"> </w:t>
      </w:r>
      <w:r w:rsidRPr="002B7512">
        <w:rPr>
          <w:lang w:val="en-AU"/>
        </w:rPr>
        <w:t>by dilution, in the plumes until salinities rise to above</w:t>
      </w:r>
      <w:r>
        <w:rPr>
          <w:lang w:val="en-AU"/>
        </w:rPr>
        <w:t xml:space="preserve"> </w:t>
      </w:r>
      <w:r w:rsidRPr="002B7512">
        <w:rPr>
          <w:lang w:val="en-AU"/>
        </w:rPr>
        <w:t>25</w:t>
      </w:r>
      <w:r w:rsidR="00425369">
        <w:rPr>
          <w:lang w:val="en-AU"/>
        </w:rPr>
        <w:t xml:space="preserve"> ppt</w:t>
      </w:r>
      <w:r w:rsidRPr="002B7512">
        <w:rPr>
          <w:lang w:val="en-AU"/>
        </w:rPr>
        <w:t>.</w:t>
      </w:r>
      <w:r>
        <w:rPr>
          <w:lang w:val="en-AU"/>
        </w:rPr>
        <w:t xml:space="preserve"> </w:t>
      </w:r>
      <w:r w:rsidRPr="002B7512">
        <w:rPr>
          <w:lang w:val="en-AU"/>
        </w:rPr>
        <w:t>The main reason for lack of biological uptake and phytoplankton</w:t>
      </w:r>
      <w:r>
        <w:rPr>
          <w:lang w:val="en-AU"/>
        </w:rPr>
        <w:t xml:space="preserve"> </w:t>
      </w:r>
      <w:r w:rsidRPr="002B7512">
        <w:rPr>
          <w:lang w:val="en-AU"/>
        </w:rPr>
        <w:t>growth appears to be the elevated turbidity</w:t>
      </w:r>
      <w:r>
        <w:rPr>
          <w:lang w:val="en-AU"/>
        </w:rPr>
        <w:t xml:space="preserve"> </w:t>
      </w:r>
      <w:r w:rsidRPr="002B7512">
        <w:rPr>
          <w:lang w:val="en-AU"/>
        </w:rPr>
        <w:t>in the early stages of the plume and the consequent light</w:t>
      </w:r>
      <w:r>
        <w:rPr>
          <w:lang w:val="en-AU"/>
        </w:rPr>
        <w:t xml:space="preserve"> </w:t>
      </w:r>
      <w:r w:rsidRPr="002B7512">
        <w:rPr>
          <w:lang w:val="en-AU"/>
        </w:rPr>
        <w:t>limitation. The implications of the contrasting behaviour</w:t>
      </w:r>
      <w:r>
        <w:rPr>
          <w:lang w:val="en-AU"/>
        </w:rPr>
        <w:t xml:space="preserve"> </w:t>
      </w:r>
      <w:r w:rsidRPr="002B7512">
        <w:rPr>
          <w:lang w:val="en-AU"/>
        </w:rPr>
        <w:t>of particulate nutrients and dissolved nutrients</w:t>
      </w:r>
      <w:r>
        <w:rPr>
          <w:lang w:val="en-AU"/>
        </w:rPr>
        <w:t xml:space="preserve"> </w:t>
      </w:r>
      <w:r w:rsidRPr="002B7512">
        <w:rPr>
          <w:lang w:val="en-AU"/>
        </w:rPr>
        <w:t>are that nutrients discharged from rivers in dissolved</w:t>
      </w:r>
      <w:r>
        <w:rPr>
          <w:lang w:val="en-AU"/>
        </w:rPr>
        <w:t xml:space="preserve"> </w:t>
      </w:r>
      <w:r w:rsidRPr="002B7512">
        <w:rPr>
          <w:lang w:val="en-AU"/>
        </w:rPr>
        <w:t>form are transported great distances in the plume. They</w:t>
      </w:r>
      <w:r>
        <w:rPr>
          <w:lang w:val="en-AU"/>
        </w:rPr>
        <w:t xml:space="preserve"> </w:t>
      </w:r>
      <w:r w:rsidRPr="002B7512">
        <w:rPr>
          <w:lang w:val="en-AU"/>
        </w:rPr>
        <w:t>thus have the ability to influence biological activity on</w:t>
      </w:r>
      <w:r>
        <w:rPr>
          <w:lang w:val="en-AU"/>
        </w:rPr>
        <w:t xml:space="preserve"> </w:t>
      </w:r>
      <w:r w:rsidRPr="002B7512">
        <w:rPr>
          <w:lang w:val="en-AU"/>
        </w:rPr>
        <w:t>much of the inner-shelf of the GBR. Nutrients discharged</w:t>
      </w:r>
      <w:r>
        <w:rPr>
          <w:lang w:val="en-AU"/>
        </w:rPr>
        <w:t xml:space="preserve"> </w:t>
      </w:r>
      <w:r w:rsidRPr="002B7512">
        <w:rPr>
          <w:lang w:val="en-AU"/>
        </w:rPr>
        <w:t>in a particulate form are trapped near the coast</w:t>
      </w:r>
      <w:r>
        <w:rPr>
          <w:lang w:val="en-AU"/>
        </w:rPr>
        <w:t xml:space="preserve"> </w:t>
      </w:r>
      <w:r w:rsidRPr="002B7512">
        <w:rPr>
          <w:lang w:val="en-AU"/>
        </w:rPr>
        <w:t>and probably do not have a major influence on, for</w:t>
      </w:r>
      <w:r>
        <w:rPr>
          <w:lang w:val="en-AU"/>
        </w:rPr>
        <w:t xml:space="preserve"> </w:t>
      </w:r>
      <w:r w:rsidRPr="002B7512">
        <w:rPr>
          <w:lang w:val="en-AU"/>
        </w:rPr>
        <w:t xml:space="preserve">example, most </w:t>
      </w:r>
      <w:r>
        <w:rPr>
          <w:lang w:val="en-AU"/>
        </w:rPr>
        <w:t>of the inner-shelf coral reefs.</w:t>
      </w:r>
    </w:p>
    <w:p w14:paraId="5F22F263" w14:textId="2A69D0F4" w:rsidR="00FD19F4" w:rsidRPr="008467AA" w:rsidRDefault="00FD19F4" w:rsidP="009574D7">
      <w:pPr>
        <w:rPr>
          <w:lang w:val="en-AU"/>
        </w:rPr>
      </w:pPr>
      <w:r w:rsidRPr="008467AA">
        <w:rPr>
          <w:lang w:val="en-AU"/>
        </w:rPr>
        <w:t xml:space="preserve">Data collected in the wet season has also contributed to the understanding of the variability </w:t>
      </w:r>
      <w:r w:rsidR="005E376A" w:rsidRPr="005E376A">
        <w:rPr>
          <w:lang w:val="en-AU"/>
        </w:rPr>
        <w:t>associated</w:t>
      </w:r>
      <w:r w:rsidRPr="008467AA">
        <w:rPr>
          <w:lang w:val="en-AU"/>
        </w:rPr>
        <w:t xml:space="preserve"> with the period of elevated flow and cyclonic activity. The Russell-Mulgrave </w:t>
      </w:r>
      <w:r w:rsidR="00D26C13">
        <w:rPr>
          <w:lang w:val="en-AU"/>
        </w:rPr>
        <w:t>focus area</w:t>
      </w:r>
      <w:r w:rsidR="00EE6F82">
        <w:rPr>
          <w:lang w:val="en-AU"/>
        </w:rPr>
        <w:t xml:space="preserve"> </w:t>
      </w:r>
      <w:r w:rsidRPr="008467AA">
        <w:rPr>
          <w:lang w:val="en-AU"/>
        </w:rPr>
        <w:t>has been sampled every year</w:t>
      </w:r>
      <w:r w:rsidR="00CA6171" w:rsidRPr="008467AA">
        <w:rPr>
          <w:lang w:val="en-AU"/>
        </w:rPr>
        <w:t xml:space="preserve"> </w:t>
      </w:r>
      <w:r w:rsidR="00D26C13">
        <w:rPr>
          <w:lang w:val="en-AU"/>
        </w:rPr>
        <w:t xml:space="preserve">since </w:t>
      </w:r>
      <w:r w:rsidRPr="008467AA">
        <w:rPr>
          <w:lang w:val="en-AU"/>
        </w:rPr>
        <w:t>2010</w:t>
      </w:r>
      <w:r w:rsidR="00425369">
        <w:rPr>
          <w:lang w:val="en-AU"/>
        </w:rPr>
        <w:t>.</w:t>
      </w:r>
    </w:p>
    <w:p w14:paraId="5F22F265" w14:textId="20F433C0" w:rsidR="00F4614B" w:rsidRPr="008467AA" w:rsidRDefault="00425369" w:rsidP="009574D7">
      <w:pPr>
        <w:rPr>
          <w:lang w:val="en-AU"/>
        </w:rPr>
      </w:pPr>
      <w:r>
        <w:rPr>
          <w:lang w:val="en-AU"/>
        </w:rPr>
        <w:t>C</w:t>
      </w:r>
      <w:r w:rsidR="00F4614B" w:rsidRPr="008467AA">
        <w:rPr>
          <w:lang w:val="en-AU"/>
        </w:rPr>
        <w:t>ompar</w:t>
      </w:r>
      <w:r>
        <w:rPr>
          <w:lang w:val="en-AU"/>
        </w:rPr>
        <w:t>ing</w:t>
      </w:r>
      <w:r w:rsidR="00F4614B" w:rsidRPr="008467AA">
        <w:rPr>
          <w:lang w:val="en-AU"/>
        </w:rPr>
        <w:t xml:space="preserve"> and contrast</w:t>
      </w:r>
      <w:r>
        <w:rPr>
          <w:lang w:val="en-AU"/>
        </w:rPr>
        <w:t>ing</w:t>
      </w:r>
      <w:r w:rsidR="00F4614B" w:rsidRPr="008467AA">
        <w:rPr>
          <w:lang w:val="en-AU"/>
        </w:rPr>
        <w:t xml:space="preserve"> data across sampling period</w:t>
      </w:r>
      <w:r>
        <w:rPr>
          <w:lang w:val="en-AU"/>
        </w:rPr>
        <w:t>s</w:t>
      </w:r>
      <w:r w:rsidR="00F4614B" w:rsidRPr="008467AA">
        <w:rPr>
          <w:lang w:val="en-AU"/>
        </w:rPr>
        <w:t xml:space="preserve"> in wet season conditions</w:t>
      </w:r>
      <w:r>
        <w:rPr>
          <w:lang w:val="en-AU"/>
        </w:rPr>
        <w:t xml:space="preserve"> is difficult</w:t>
      </w:r>
      <w:r w:rsidR="00F4614B" w:rsidRPr="008467AA">
        <w:rPr>
          <w:lang w:val="en-AU"/>
        </w:rPr>
        <w:t xml:space="preserve"> due to the high variability of the water quality data in response to river flow and prevailing weather conditions. </w:t>
      </w:r>
      <w:r>
        <w:rPr>
          <w:lang w:val="en-AU"/>
        </w:rPr>
        <w:t xml:space="preserve">Therefore, in-situ data sampled in flood plumes were compared within the 2014-15 wet season only, by using mixing plots. </w:t>
      </w:r>
      <w:r w:rsidR="00F4614B" w:rsidRPr="008467AA">
        <w:rPr>
          <w:lang w:val="en-AU"/>
        </w:rPr>
        <w:t xml:space="preserve">The concentrations of </w:t>
      </w:r>
      <w:r w:rsidR="00846E94">
        <w:rPr>
          <w:lang w:val="en-AU"/>
        </w:rPr>
        <w:t xml:space="preserve">some </w:t>
      </w:r>
      <w:r w:rsidR="00F4614B" w:rsidRPr="008467AA">
        <w:rPr>
          <w:lang w:val="en-AU"/>
        </w:rPr>
        <w:t xml:space="preserve">water quality parameters in plumes are directly related to the degree of mixing between the fresh and salt water. Salinity mixing plots for the data collected in the 2014-15 wet season </w:t>
      </w:r>
      <w:r w:rsidR="00D26C13">
        <w:rPr>
          <w:lang w:val="en-AU"/>
        </w:rPr>
        <w:t>for</w:t>
      </w:r>
      <w:r w:rsidR="00D26C13" w:rsidRPr="008467AA">
        <w:rPr>
          <w:lang w:val="en-AU"/>
        </w:rPr>
        <w:t xml:space="preserve"> each sampling event </w:t>
      </w:r>
      <w:r w:rsidR="00D26C13">
        <w:rPr>
          <w:lang w:val="en-AU"/>
        </w:rPr>
        <w:t xml:space="preserve">at </w:t>
      </w:r>
      <w:r w:rsidR="00F4614B" w:rsidRPr="008467AA">
        <w:rPr>
          <w:lang w:val="en-AU"/>
        </w:rPr>
        <w:t xml:space="preserve">the Tully, Russell-Mulgrave and Burdekin sites </w:t>
      </w:r>
      <w:r w:rsidR="00DD643E" w:rsidRPr="008467AA">
        <w:rPr>
          <w:lang w:val="en-AU"/>
        </w:rPr>
        <w:t>are presented for DIN, DIP, K</w:t>
      </w:r>
      <w:r w:rsidR="00DD643E" w:rsidRPr="008A2DCB">
        <w:rPr>
          <w:lang w:val="en-AU"/>
        </w:rPr>
        <w:t>d</w:t>
      </w:r>
      <w:r w:rsidR="00DD643E" w:rsidRPr="008467AA">
        <w:rPr>
          <w:lang w:val="en-AU"/>
        </w:rPr>
        <w:t xml:space="preserve">(PAR), TSS, </w:t>
      </w:r>
      <w:r w:rsidR="00F4614B" w:rsidRPr="008467AA">
        <w:rPr>
          <w:lang w:val="en-AU"/>
        </w:rPr>
        <w:t>C</w:t>
      </w:r>
      <w:r w:rsidR="00DD643E" w:rsidRPr="008467AA">
        <w:rPr>
          <w:lang w:val="en-AU"/>
        </w:rPr>
        <w:t>hl-a</w:t>
      </w:r>
      <w:r>
        <w:rPr>
          <w:lang w:val="en-AU"/>
        </w:rPr>
        <w:t>, PN, PP</w:t>
      </w:r>
      <w:r w:rsidR="00F4614B" w:rsidRPr="008467AA">
        <w:rPr>
          <w:lang w:val="en-AU"/>
        </w:rPr>
        <w:t xml:space="preserve"> and CDOM </w:t>
      </w:r>
      <w:r w:rsidR="00F4614B" w:rsidRPr="0065371E">
        <w:rPr>
          <w:lang w:val="en-AU"/>
        </w:rPr>
        <w:t>(</w:t>
      </w:r>
      <w:r w:rsidR="00FC079A" w:rsidRPr="0065371E">
        <w:rPr>
          <w:lang w:val="en-AU"/>
        </w:rPr>
        <w:t>Figures A2-15 to A2-20</w:t>
      </w:r>
      <w:r w:rsidR="00F4614B" w:rsidRPr="0065371E">
        <w:rPr>
          <w:lang w:val="en-AU"/>
        </w:rPr>
        <w:t>).</w:t>
      </w:r>
    </w:p>
    <w:p w14:paraId="5F22F266" w14:textId="098ECCD9" w:rsidR="00F4614B" w:rsidRPr="008467AA" w:rsidRDefault="00D26C13" w:rsidP="009574D7">
      <w:pPr>
        <w:rPr>
          <w:lang w:val="en-AU"/>
        </w:rPr>
      </w:pPr>
      <w:r>
        <w:rPr>
          <w:lang w:val="en-AU"/>
        </w:rPr>
        <w:t>T</w:t>
      </w:r>
      <w:r w:rsidR="00425369">
        <w:rPr>
          <w:lang w:val="en-AU"/>
        </w:rPr>
        <w:t xml:space="preserve">he corresponding end-of–catchment water quality concentrations for each sampling date are not available to produce a proper mixing plot. Average values, calculated from long-term data (since 2006) where salinity was below 5 ppt were used instead. </w:t>
      </w:r>
      <w:r>
        <w:rPr>
          <w:lang w:val="en-AU"/>
        </w:rPr>
        <w:t xml:space="preserve">The </w:t>
      </w:r>
      <w:r w:rsidR="00F4614B" w:rsidRPr="008467AA">
        <w:rPr>
          <w:lang w:val="en-AU"/>
        </w:rPr>
        <w:t xml:space="preserve">Russell-Mulgrave </w:t>
      </w:r>
      <w:r>
        <w:rPr>
          <w:lang w:val="en-AU"/>
        </w:rPr>
        <w:t xml:space="preserve">focus area </w:t>
      </w:r>
      <w:r w:rsidR="00F4614B" w:rsidRPr="008467AA">
        <w:rPr>
          <w:lang w:val="en-AU"/>
        </w:rPr>
        <w:t xml:space="preserve">exhibited some typical mixing plots with reduction of </w:t>
      </w:r>
      <w:r w:rsidR="005475A2">
        <w:rPr>
          <w:lang w:val="en-AU"/>
        </w:rPr>
        <w:t>water quality</w:t>
      </w:r>
      <w:r w:rsidR="005475A2" w:rsidRPr="008467AA">
        <w:rPr>
          <w:lang w:val="en-AU"/>
        </w:rPr>
        <w:t xml:space="preserve"> </w:t>
      </w:r>
      <w:r w:rsidR="00F4614B" w:rsidRPr="008467AA">
        <w:rPr>
          <w:lang w:val="en-AU"/>
        </w:rPr>
        <w:t>parameters moving away from the river mouth</w:t>
      </w:r>
      <w:r w:rsidR="00425369">
        <w:rPr>
          <w:lang w:val="en-AU"/>
        </w:rPr>
        <w:t>, when enough data points, covering the range of salinity (i.e., from 0 to 35 ppt), were sampled</w:t>
      </w:r>
      <w:r w:rsidR="00F4614B" w:rsidRPr="008467AA">
        <w:rPr>
          <w:lang w:val="en-AU"/>
        </w:rPr>
        <w:t xml:space="preserve">. </w:t>
      </w:r>
      <w:r w:rsidR="003F7A36">
        <w:rPr>
          <w:lang w:val="en-AU"/>
        </w:rPr>
        <w:t>T</w:t>
      </w:r>
      <w:r w:rsidR="00820928">
        <w:rPr>
          <w:lang w:val="en-AU"/>
        </w:rPr>
        <w:t>ypical conservative dilution</w:t>
      </w:r>
      <w:r w:rsidR="00820928" w:rsidRPr="008467AA">
        <w:rPr>
          <w:lang w:val="en-AU"/>
        </w:rPr>
        <w:t xml:space="preserve"> </w:t>
      </w:r>
      <w:r w:rsidR="00F4614B" w:rsidRPr="008467AA">
        <w:rPr>
          <w:lang w:val="en-AU"/>
        </w:rPr>
        <w:t>patterns</w:t>
      </w:r>
      <w:r w:rsidR="00315B2F">
        <w:rPr>
          <w:lang w:val="en-AU"/>
        </w:rPr>
        <w:t xml:space="preserve"> (see Devlin and Brodie</w:t>
      </w:r>
      <w:r w:rsidR="005475A2">
        <w:rPr>
          <w:lang w:val="en-AU"/>
        </w:rPr>
        <w:t>,</w:t>
      </w:r>
      <w:r w:rsidR="00B10E2E">
        <w:rPr>
          <w:lang w:val="en-AU"/>
        </w:rPr>
        <w:t xml:space="preserve"> 2005)</w:t>
      </w:r>
      <w:r w:rsidR="00F4614B" w:rsidRPr="008467AA">
        <w:rPr>
          <w:lang w:val="en-AU"/>
        </w:rPr>
        <w:t xml:space="preserve"> were observed for </w:t>
      </w:r>
      <w:r w:rsidR="00276B9C">
        <w:rPr>
          <w:lang w:val="en-AU"/>
        </w:rPr>
        <w:t xml:space="preserve">DIN and for CDOM to some degree (restricted to the sampling done </w:t>
      </w:r>
      <w:r w:rsidR="00F4614B" w:rsidRPr="008467AA">
        <w:rPr>
          <w:lang w:val="en-AU"/>
        </w:rPr>
        <w:t>on 7 January 2015</w:t>
      </w:r>
      <w:r w:rsidR="00276B9C">
        <w:rPr>
          <w:lang w:val="en-AU"/>
        </w:rPr>
        <w:t xml:space="preserve">). Interesting to note that CDOM is used as proxy for salinity, but the data collected this wet season in the Russell-Mulgrave </w:t>
      </w:r>
      <w:r>
        <w:rPr>
          <w:lang w:val="en-AU"/>
        </w:rPr>
        <w:t>focus area</w:t>
      </w:r>
      <w:r w:rsidR="00276B9C">
        <w:rPr>
          <w:lang w:val="en-AU"/>
        </w:rPr>
        <w:t xml:space="preserve"> did not show such a relationship.</w:t>
      </w:r>
    </w:p>
    <w:p w14:paraId="7E74D6D7" w14:textId="1D260065" w:rsidR="00B139FB" w:rsidRDefault="00B139FB" w:rsidP="00B139FB">
      <w:pPr>
        <w:rPr>
          <w:lang w:val="en-AU"/>
        </w:rPr>
      </w:pPr>
      <w:r>
        <w:rPr>
          <w:lang w:val="en-AU"/>
        </w:rPr>
        <w:t xml:space="preserve">Dissolved inorganic phosphorus and Kd(PAR) also showed </w:t>
      </w:r>
      <w:r w:rsidRPr="00A13B8E">
        <w:rPr>
          <w:lang w:val="en-AU"/>
        </w:rPr>
        <w:t>reduction</w:t>
      </w:r>
      <w:r>
        <w:rPr>
          <w:lang w:val="en-AU"/>
        </w:rPr>
        <w:t>s</w:t>
      </w:r>
      <w:r w:rsidRPr="00A13B8E">
        <w:rPr>
          <w:lang w:val="en-AU"/>
        </w:rPr>
        <w:t xml:space="preserve"> </w:t>
      </w:r>
      <w:r>
        <w:rPr>
          <w:lang w:val="en-AU"/>
        </w:rPr>
        <w:t xml:space="preserve">in concentrations </w:t>
      </w:r>
      <w:r w:rsidRPr="00A13B8E">
        <w:rPr>
          <w:lang w:val="en-AU"/>
        </w:rPr>
        <w:t>moving away from the river mouth</w:t>
      </w:r>
      <w:r>
        <w:rPr>
          <w:lang w:val="en-AU"/>
        </w:rPr>
        <w:t xml:space="preserve"> (Figure A2-16 and A2-17), but concentrations showed a non-conservative behaviour. DIP showed rapid reductions, possibly associated with biological uptake, and Kd(PAR) presented a two-step reduction probably associated with sediment settling out of the river mouth (Figure A2-18) and a posterior drop associated with reduction in </w:t>
      </w:r>
      <w:r w:rsidR="00D26C13">
        <w:rPr>
          <w:lang w:val="en-AU"/>
        </w:rPr>
        <w:t>C</w:t>
      </w:r>
      <w:r>
        <w:rPr>
          <w:lang w:val="en-AU"/>
        </w:rPr>
        <w:t>hl-a concentrations at salinity &gt; 30 ppt (Figure A2-19).</w:t>
      </w:r>
    </w:p>
    <w:p w14:paraId="1A59B4AB" w14:textId="7E20D52A" w:rsidR="00B139FB" w:rsidRDefault="00B139FB" w:rsidP="00B139FB">
      <w:pPr>
        <w:rPr>
          <w:lang w:val="en-AU"/>
        </w:rPr>
      </w:pPr>
      <w:r>
        <w:rPr>
          <w:lang w:val="en-AU"/>
        </w:rPr>
        <w:t xml:space="preserve">As expected, </w:t>
      </w:r>
      <w:r w:rsidR="00D26C13">
        <w:rPr>
          <w:lang w:val="en-AU"/>
        </w:rPr>
        <w:t>C</w:t>
      </w:r>
      <w:r>
        <w:rPr>
          <w:lang w:val="en-AU"/>
        </w:rPr>
        <w:t xml:space="preserve">hl-a and TSS did not present conservative behaviour. TSS dropped quickly out of the river mouth due to particles settling, remaining constant after that (Figure A2-18). Chl-a had a more variable pattern compared to the other water quality parameters, presenting slight increase in </w:t>
      </w:r>
      <w:r w:rsidR="00C76ADF">
        <w:rPr>
          <w:lang w:val="en-AU"/>
        </w:rPr>
        <w:t>concentrations</w:t>
      </w:r>
      <w:r>
        <w:rPr>
          <w:lang w:val="en-AU"/>
        </w:rPr>
        <w:t xml:space="preserve"> at low salinity (approx. 10 ppt) and reduction at salinity &gt; 30 ppt (Figure A2-19). PN and PP had similar pattern to TSS, as solids they showed rapid reduction just after the river mouth.</w:t>
      </w:r>
    </w:p>
    <w:p w14:paraId="5E18E5F6" w14:textId="77777777" w:rsidR="007F5336" w:rsidRDefault="006C75E4" w:rsidP="004A5BF7">
      <w:bookmarkStart w:id="1210" w:name="_Toc310948840"/>
      <w:r>
        <w:rPr>
          <w:lang w:val="en-AU"/>
        </w:rPr>
        <w:t xml:space="preserve">To investigate the </w:t>
      </w:r>
      <w:r w:rsidR="0032538A">
        <w:rPr>
          <w:lang w:val="en-AU"/>
        </w:rPr>
        <w:t xml:space="preserve">potential </w:t>
      </w:r>
      <w:r>
        <w:rPr>
          <w:lang w:val="en-AU"/>
        </w:rPr>
        <w:t>control of discharge and wind on the parameters, a Spearman correlation coefficient was determined (</w:t>
      </w:r>
      <w:r>
        <w:rPr>
          <w:lang w:val="en-AU"/>
        </w:rPr>
        <w:fldChar w:fldCharType="begin"/>
      </w:r>
      <w:r>
        <w:rPr>
          <w:lang w:val="en-AU"/>
        </w:rPr>
        <w:instrText xml:space="preserve"> REF _Ref453707656 \h </w:instrText>
      </w:r>
      <w:r w:rsidR="004F75D4">
        <w:rPr>
          <w:lang w:val="en-AU"/>
        </w:rPr>
        <w:instrText xml:space="preserve"> \* MERGEFORMAT </w:instrText>
      </w:r>
      <w:r>
        <w:rPr>
          <w:lang w:val="en-AU"/>
        </w:rPr>
      </w:r>
      <w:r>
        <w:rPr>
          <w:lang w:val="en-AU"/>
        </w:rPr>
        <w:fldChar w:fldCharType="separate"/>
      </w:r>
      <w:r w:rsidR="007F5336">
        <w:br w:type="page"/>
      </w:r>
    </w:p>
    <w:p w14:paraId="57D87102" w14:textId="4B4DE62F" w:rsidR="006C75E4" w:rsidRDefault="007F5336" w:rsidP="004F75D4">
      <w:pPr>
        <w:rPr>
          <w:lang w:val="en-AU"/>
        </w:rPr>
      </w:pPr>
      <w:r>
        <w:rPr>
          <w:noProof/>
        </w:rPr>
        <w:t>Table</w:t>
      </w:r>
      <w:r>
        <w:t xml:space="preserve"> </w:t>
      </w:r>
      <w:r>
        <w:rPr>
          <w:noProof/>
        </w:rPr>
        <w:t>5</w:t>
      </w:r>
      <w:r>
        <w:rPr>
          <w:noProof/>
        </w:rPr>
        <w:noBreakHyphen/>
        <w:t>5</w:t>
      </w:r>
      <w:r w:rsidR="006C75E4">
        <w:rPr>
          <w:lang w:val="en-AU"/>
        </w:rPr>
        <w:fldChar w:fldCharType="end"/>
      </w:r>
      <w:r w:rsidR="006C75E4">
        <w:rPr>
          <w:lang w:val="en-AU"/>
        </w:rPr>
        <w:t>). In this analysis</w:t>
      </w:r>
      <w:r w:rsidR="0032538A">
        <w:rPr>
          <w:lang w:val="en-AU"/>
        </w:rPr>
        <w:t>,</w:t>
      </w:r>
      <w:r w:rsidR="006C75E4">
        <w:rPr>
          <w:lang w:val="en-AU"/>
        </w:rPr>
        <w:t xml:space="preserve"> mean</w:t>
      </w:r>
      <w:r w:rsidR="0032538A">
        <w:rPr>
          <w:lang w:val="en-AU"/>
        </w:rPr>
        <w:t xml:space="preserve"> parameter</w:t>
      </w:r>
      <w:r w:rsidR="006C75E4">
        <w:rPr>
          <w:lang w:val="en-AU"/>
        </w:rPr>
        <w:t xml:space="preserve"> values per transect/day sampled since </w:t>
      </w:r>
      <w:r w:rsidR="0032538A">
        <w:rPr>
          <w:lang w:val="en-AU"/>
        </w:rPr>
        <w:t xml:space="preserve">the </w:t>
      </w:r>
      <w:r w:rsidR="006C75E4">
        <w:rPr>
          <w:lang w:val="en-AU"/>
        </w:rPr>
        <w:t xml:space="preserve">2005-06 wet season were used to reduce data variability </w:t>
      </w:r>
      <w:r w:rsidR="0032538A">
        <w:rPr>
          <w:lang w:val="en-AU"/>
        </w:rPr>
        <w:t xml:space="preserve">associated with </w:t>
      </w:r>
      <w:r w:rsidR="006C75E4">
        <w:rPr>
          <w:lang w:val="en-AU"/>
        </w:rPr>
        <w:t xml:space="preserve">changes in site location and site number. Overall river discharge </w:t>
      </w:r>
      <w:r w:rsidR="0032538A">
        <w:rPr>
          <w:lang w:val="en-AU"/>
        </w:rPr>
        <w:t>showed</w:t>
      </w:r>
      <w:r w:rsidR="006C75E4">
        <w:rPr>
          <w:lang w:val="en-AU"/>
        </w:rPr>
        <w:t xml:space="preserve"> positive correlation with DIN, PN, PP and Si, suggesting the higher the river discharge, the higher the concentrations. Wind components, and therefore eventual resuspension events or currents, advecting the superficial water mass, did not correlate with any of the analysed parameters, suggesting eventual resuspension events or currents, advecting the superficial water mass, do not exert linear control on these parameters.</w:t>
      </w:r>
    </w:p>
    <w:p w14:paraId="515ECE88" w14:textId="55E9DC3B" w:rsidR="006C75E4" w:rsidRDefault="006C75E4" w:rsidP="006C75E4">
      <w:pPr>
        <w:rPr>
          <w:lang w:val="en-AU"/>
        </w:rPr>
      </w:pPr>
      <w:r>
        <w:rPr>
          <w:lang w:val="en-AU"/>
        </w:rPr>
        <w:t>Salinity was included in this analysis to investigate its correlation against CDOM. The test result suggests the greater the salinity the lower the CDOM concentration, as expected (</w:t>
      </w:r>
      <w:r w:rsidRPr="00205DFF">
        <w:rPr>
          <w:lang w:val="en-AU"/>
        </w:rPr>
        <w:t>Schroeder</w:t>
      </w:r>
      <w:r>
        <w:rPr>
          <w:lang w:val="en-AU"/>
        </w:rPr>
        <w:t xml:space="preserve">, 2012). When satellite algorithms can cope with the complexity of coastal waters, it can be a good way to </w:t>
      </w:r>
      <w:r w:rsidR="00D26C13">
        <w:rPr>
          <w:lang w:val="en-AU"/>
        </w:rPr>
        <w:t>delineate</w:t>
      </w:r>
      <w:r>
        <w:rPr>
          <w:lang w:val="en-AU"/>
        </w:rPr>
        <w:t xml:space="preserve"> plume extent. Chl-a correlated with DIN, PP and Si, being the greater the concentration of these </w:t>
      </w:r>
      <w:r w:rsidR="00D26C13">
        <w:rPr>
          <w:lang w:val="en-AU"/>
        </w:rPr>
        <w:t>water quality</w:t>
      </w:r>
      <w:r>
        <w:rPr>
          <w:lang w:val="en-AU"/>
        </w:rPr>
        <w:t xml:space="preserve"> constituents, the greater the </w:t>
      </w:r>
      <w:r w:rsidR="00D26C13">
        <w:rPr>
          <w:lang w:val="en-AU"/>
        </w:rPr>
        <w:t>C</w:t>
      </w:r>
      <w:r>
        <w:rPr>
          <w:lang w:val="en-AU"/>
        </w:rPr>
        <w:t xml:space="preserve">hl-a concentration. Dissolved inorganic nitrogen and Si are essential nutrients for phytoplankton growth, and PP is more likely to be related to the incorporation of phosphorus in the pool of new organic matter due to phytoplankton production </w:t>
      </w:r>
      <w:r>
        <w:rPr>
          <w:lang w:val="en-AU"/>
        </w:rPr>
        <w:fldChar w:fldCharType="begin"/>
      </w:r>
      <w:r>
        <w:rPr>
          <w:lang w:val="en-AU"/>
        </w:rPr>
        <w:instrText xml:space="preserve"> ADDIN ZOTERO_ITEM CSL_CITATION {"citationID":"1ncnl41lb8","properties":{"formattedCitation":"(Bainbridge et al., 2012)","plainCitation":"(Bainbridge et al., 2012)"},"citationItems":[{"id":4,"uris":["http://zotero.org/users/2324349/items/5SVF9VK9"],"uri":["http://zotero.org/users/2324349/items/5SVF9VK9"],"itemData":{"id":4,"type":"article-journal","title":"Fine sediment and nutrient dynamics related to particle size and floc formation in a Burdekin River flood plume, Australia","container-title":"Marine Pollution Bulletin","collection-title":"The Catchment to Reef Continuum: Case studies from the Great Barrier Reef","page":"236-248","volume":"65","issue":"4–9","source":"ScienceDirect","abstract":"The extreme 2010–2011 wet season resulted in highly elevated Burdekin River discharge into the Great Barrier Reef lagoon for a period of 200 days, resulting in a large flood plume extending &amp;gt;50 km offshore and &amp;gt;100 km north during peak conditions. Export of suspended sediment was dominated by clay and fine silt fractions and most sediment initially settled within </w:instrText>
      </w:r>
      <w:r>
        <w:rPr>
          <w:rFonts w:ascii="Cambria Math" w:hAnsi="Cambria Math" w:cs="Cambria Math"/>
          <w:lang w:val="en-AU"/>
        </w:rPr>
        <w:instrText>∼</w:instrText>
      </w:r>
      <w:r>
        <w:rPr>
          <w:lang w:val="en-AU"/>
        </w:rPr>
        <w:instrText xml:space="preserve">10 km of the river mouth. Biologically-mediated flocculation of these particles enhanced deposition in the initial low salinity zone. Fine silt and clay particles and nutrients remaining in suspension, were carried as far as 100 km northward from the mouth, binding with planktonic and transparent exopolymer particulate matter to form large floc aggregates (muddy marine snow). These aggregates, due to their sticky nature, likely pose a risk to benthic organisms e.g. coral and seagrass through smothering, and also by contributing to increased turbidity during wind-induced resuspension events.","DOI":"10.1016/j.marpolbul.2012.01.043","ISSN":"0025-326X","journalAbbreviation":"Marine Pollution Bulletin","author":[{"family":"Bainbridge","given":"Zoe T."},{"family":"Wolanski","given":"Eric"},{"family":"Álvarez-Romero","given":"Jorge G."},{"family":"Lewis","given":"Stephen E."},{"family":"Brodie","given":"Jon E."}],"issued":{"date-parts":[["2012"]]}}}],"schema":"https://github.com/citation-style-language/schema/raw/master/csl-citation.json"} </w:instrText>
      </w:r>
      <w:r>
        <w:rPr>
          <w:lang w:val="en-AU"/>
        </w:rPr>
        <w:fldChar w:fldCharType="separate"/>
      </w:r>
      <w:r w:rsidRPr="00E0404B">
        <w:rPr>
          <w:rFonts w:cs="Arial"/>
        </w:rPr>
        <w:t>(Bainbridge et al., 2012)</w:t>
      </w:r>
      <w:r>
        <w:rPr>
          <w:lang w:val="en-AU"/>
        </w:rPr>
        <w:fldChar w:fldCharType="end"/>
      </w:r>
      <w:r>
        <w:rPr>
          <w:lang w:val="en-AU"/>
        </w:rPr>
        <w:t xml:space="preserve">. </w:t>
      </w:r>
    </w:p>
    <w:p w14:paraId="69720D86" w14:textId="77777777" w:rsidR="00D26C13" w:rsidRDefault="00D26C13" w:rsidP="004F75D4">
      <w:pPr>
        <w:rPr>
          <w:lang w:val="en-AU"/>
        </w:rPr>
      </w:pPr>
    </w:p>
    <w:p w14:paraId="62152D6B" w14:textId="77777777" w:rsidR="00D26C13" w:rsidRDefault="00D26C13" w:rsidP="004A5BF7">
      <w:bookmarkStart w:id="1211" w:name="_Ref453707656"/>
      <w:r>
        <w:br w:type="page"/>
      </w:r>
    </w:p>
    <w:p w14:paraId="77B5DACE" w14:textId="13CD65FB" w:rsidR="006C75E4" w:rsidRDefault="006C75E4" w:rsidP="004A5BF7">
      <w:pPr>
        <w:pStyle w:val="Caption"/>
      </w:pPr>
      <w:bookmarkStart w:id="1212" w:name="_Ref459151166"/>
      <w:bookmarkStart w:id="1213" w:name="_Ref459322835"/>
      <w:bookmarkStart w:id="1214" w:name="_Toc459332159"/>
      <w:r>
        <w:t xml:space="preserve">Table </w:t>
      </w:r>
      <w:r w:rsidR="00124249">
        <w:fldChar w:fldCharType="begin"/>
      </w:r>
      <w:r w:rsidR="00124249">
        <w:instrText xml:space="preserve"> STYLEREF 1 \s </w:instrText>
      </w:r>
      <w:r w:rsidR="00124249">
        <w:fldChar w:fldCharType="separate"/>
      </w:r>
      <w:r w:rsidR="007F5336">
        <w:rPr>
          <w:noProof/>
        </w:rPr>
        <w:t>5</w:t>
      </w:r>
      <w:r w:rsidR="00124249">
        <w:fldChar w:fldCharType="end"/>
      </w:r>
      <w:r w:rsidR="00124249">
        <w:noBreakHyphen/>
      </w:r>
      <w:r w:rsidR="00124249">
        <w:fldChar w:fldCharType="begin"/>
      </w:r>
      <w:r w:rsidR="00124249">
        <w:instrText xml:space="preserve"> SEQ Table \* ARABIC \s 1 </w:instrText>
      </w:r>
      <w:r w:rsidR="00124249">
        <w:fldChar w:fldCharType="separate"/>
      </w:r>
      <w:r w:rsidR="007F5336">
        <w:rPr>
          <w:noProof/>
        </w:rPr>
        <w:t>5</w:t>
      </w:r>
      <w:r w:rsidR="00124249">
        <w:fldChar w:fldCharType="end"/>
      </w:r>
      <w:bookmarkEnd w:id="1211"/>
      <w:bookmarkEnd w:id="1212"/>
      <w:bookmarkEnd w:id="1213"/>
      <w:r>
        <w:t xml:space="preserve">: Russell-Mulgrave sites: Spearman Correlation Coefficient calculated using the mean value of each WQ parameter sampled per transect when all sites sampled since 2005-06 wet season are combined. Water Quality parameters tested were: light attenuation (Kd(PAR)), coloured dissolved organic matter (CDOM), dissolved inorganic nitrogen (DIN), dissolved inorganic </w:t>
      </w:r>
      <w:r w:rsidR="004F75D4">
        <w:t>phosphorus</w:t>
      </w:r>
      <w:r>
        <w:t xml:space="preserve"> (DIP), particulate nitrogen (PN), particulate </w:t>
      </w:r>
      <w:r w:rsidR="004F75D4">
        <w:t>phosphorus</w:t>
      </w:r>
      <w:r>
        <w:t xml:space="preserve"> (PP), reactive silica (Si) and chlorophyll-a (Chl-a), and they were tested against river discharge, W-E wind component, N-S wind component, surface salinity and chlorophyll-a. Significant (p&lt;0.05) correlation coefficients &gt;0.6 or &lt;-0.6 are highlighted.</w:t>
      </w:r>
      <w:bookmarkEnd w:id="1214"/>
    </w:p>
    <w:tbl>
      <w:tblPr>
        <w:tblW w:w="0" w:type="auto"/>
        <w:jc w:val="center"/>
        <w:tblLook w:val="04A0" w:firstRow="1" w:lastRow="0" w:firstColumn="1" w:lastColumn="0" w:noHBand="0" w:noVBand="1"/>
        <w:tblCaption w:val="Table 5 5: Russell-Mulgrave sites: Spearman Correlation Coefficient calculated using the mean value of each WQ parameter sampled per transect when all sites sampled since 2005-06 wet season are combined. "/>
        <w:tblDescription w:val="Table showing Russell-Mulgrave sites: Spearman Correlation Coefficient calculated using the mean value of each WQ parameter sampled per transect when all sites sampled since 2005-06 wet season are combined. Water Quality parameters tested were: light attenuation (Kd(PAR)), coloured dissolved organic matter (CDOM), dissolved inorganic nitrogen (DIN), dissolved inorganic phosphorus (DIP), particulate nitrogen (PN), particulate phosphorus (PP), reactive silica (Si) and chlorophyll-a (Chl-a), and they were tested against river discharge, W-E wind component, N-S wind component, surface salinity and chlorophyll-a. Significant (p&lt;0.05) correlation coefficients &gt;0.6 or &lt;-0.6 are highlighted."/>
      </w:tblPr>
      <w:tblGrid>
        <w:gridCol w:w="2046"/>
        <w:gridCol w:w="956"/>
        <w:gridCol w:w="766"/>
        <w:gridCol w:w="627"/>
        <w:gridCol w:w="627"/>
        <w:gridCol w:w="627"/>
        <w:gridCol w:w="627"/>
        <w:gridCol w:w="627"/>
        <w:gridCol w:w="627"/>
        <w:gridCol w:w="666"/>
      </w:tblGrid>
      <w:tr w:rsidR="00080687" w:rsidRPr="009574D7" w14:paraId="359D0B53" w14:textId="77777777" w:rsidTr="00092619">
        <w:trPr>
          <w:trHeight w:val="330"/>
          <w:tblHeader/>
          <w:jc w:val="center"/>
        </w:trPr>
        <w:tc>
          <w:tcPr>
            <w:tcW w:w="0" w:type="auto"/>
            <w:tcBorders>
              <w:top w:val="single" w:sz="4" w:space="0" w:color="auto"/>
              <w:left w:val="nil"/>
              <w:bottom w:val="single" w:sz="4" w:space="0" w:color="auto"/>
              <w:right w:val="nil"/>
            </w:tcBorders>
            <w:shd w:val="clear" w:color="auto" w:fill="auto"/>
            <w:noWrap/>
            <w:vAlign w:val="bottom"/>
            <w:hideMark/>
          </w:tcPr>
          <w:p w14:paraId="169804AE" w14:textId="77777777" w:rsidR="006C75E4" w:rsidRPr="004A5BF7" w:rsidRDefault="006C75E4" w:rsidP="00836C92">
            <w:pPr>
              <w:spacing w:before="0" w:after="0"/>
              <w:jc w:val="left"/>
              <w:rPr>
                <w:rFonts w:cs="Arial"/>
                <w:b/>
                <w:bCs/>
                <w:color w:val="000000"/>
                <w:sz w:val="18"/>
                <w:szCs w:val="18"/>
                <w:lang w:val="en-AU" w:eastAsia="en-AU"/>
              </w:rPr>
            </w:pPr>
            <w:r w:rsidRPr="004A5BF7">
              <w:rPr>
                <w:rFonts w:cs="Arial"/>
                <w:b/>
                <w:bCs/>
                <w:color w:val="000000"/>
                <w:sz w:val="18"/>
                <w:szCs w:val="18"/>
                <w:lang w:val="en-AU" w:eastAsia="en-AU"/>
              </w:rPr>
              <w:t> </w:t>
            </w:r>
          </w:p>
        </w:tc>
        <w:tc>
          <w:tcPr>
            <w:tcW w:w="0" w:type="auto"/>
            <w:tcBorders>
              <w:top w:val="single" w:sz="4" w:space="0" w:color="auto"/>
              <w:left w:val="nil"/>
              <w:bottom w:val="single" w:sz="4" w:space="0" w:color="auto"/>
              <w:right w:val="nil"/>
            </w:tcBorders>
            <w:shd w:val="clear" w:color="auto" w:fill="auto"/>
            <w:noWrap/>
            <w:vAlign w:val="bottom"/>
            <w:hideMark/>
          </w:tcPr>
          <w:p w14:paraId="60F833CB" w14:textId="77777777" w:rsidR="006C75E4" w:rsidRPr="004A5BF7" w:rsidRDefault="006C75E4" w:rsidP="00836C92">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Kd(PAR)</w:t>
            </w:r>
          </w:p>
        </w:tc>
        <w:tc>
          <w:tcPr>
            <w:tcW w:w="0" w:type="auto"/>
            <w:tcBorders>
              <w:top w:val="single" w:sz="4" w:space="0" w:color="auto"/>
              <w:left w:val="nil"/>
              <w:bottom w:val="single" w:sz="4" w:space="0" w:color="auto"/>
              <w:right w:val="nil"/>
            </w:tcBorders>
            <w:shd w:val="clear" w:color="auto" w:fill="auto"/>
            <w:noWrap/>
            <w:vAlign w:val="bottom"/>
            <w:hideMark/>
          </w:tcPr>
          <w:p w14:paraId="2CE7CF82" w14:textId="77777777" w:rsidR="006C75E4" w:rsidRPr="004A5BF7" w:rsidRDefault="006C75E4" w:rsidP="00836C92">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CDOM</w:t>
            </w:r>
          </w:p>
        </w:tc>
        <w:tc>
          <w:tcPr>
            <w:tcW w:w="0" w:type="auto"/>
            <w:tcBorders>
              <w:top w:val="single" w:sz="4" w:space="0" w:color="auto"/>
              <w:left w:val="nil"/>
              <w:bottom w:val="single" w:sz="4" w:space="0" w:color="auto"/>
              <w:right w:val="nil"/>
            </w:tcBorders>
            <w:shd w:val="clear" w:color="auto" w:fill="auto"/>
            <w:noWrap/>
            <w:vAlign w:val="bottom"/>
            <w:hideMark/>
          </w:tcPr>
          <w:p w14:paraId="5410831F" w14:textId="77777777" w:rsidR="006C75E4" w:rsidRPr="004A5BF7" w:rsidRDefault="006C75E4" w:rsidP="00836C92">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TSS</w:t>
            </w:r>
          </w:p>
        </w:tc>
        <w:tc>
          <w:tcPr>
            <w:tcW w:w="0" w:type="auto"/>
            <w:tcBorders>
              <w:top w:val="single" w:sz="4" w:space="0" w:color="auto"/>
              <w:left w:val="nil"/>
              <w:bottom w:val="single" w:sz="4" w:space="0" w:color="auto"/>
              <w:right w:val="nil"/>
            </w:tcBorders>
            <w:shd w:val="clear" w:color="auto" w:fill="auto"/>
            <w:noWrap/>
            <w:vAlign w:val="bottom"/>
            <w:hideMark/>
          </w:tcPr>
          <w:p w14:paraId="18830E63" w14:textId="77777777" w:rsidR="006C75E4" w:rsidRPr="004A5BF7" w:rsidRDefault="006C75E4" w:rsidP="00836C92">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DIN</w:t>
            </w:r>
          </w:p>
        </w:tc>
        <w:tc>
          <w:tcPr>
            <w:tcW w:w="0" w:type="auto"/>
            <w:tcBorders>
              <w:top w:val="single" w:sz="4" w:space="0" w:color="auto"/>
              <w:left w:val="nil"/>
              <w:bottom w:val="single" w:sz="4" w:space="0" w:color="auto"/>
              <w:right w:val="nil"/>
            </w:tcBorders>
            <w:shd w:val="clear" w:color="auto" w:fill="auto"/>
            <w:noWrap/>
            <w:vAlign w:val="bottom"/>
            <w:hideMark/>
          </w:tcPr>
          <w:p w14:paraId="76CBA26F" w14:textId="77777777" w:rsidR="006C75E4" w:rsidRPr="004A5BF7" w:rsidRDefault="006C75E4" w:rsidP="00836C92">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DIP</w:t>
            </w:r>
          </w:p>
        </w:tc>
        <w:tc>
          <w:tcPr>
            <w:tcW w:w="0" w:type="auto"/>
            <w:tcBorders>
              <w:top w:val="single" w:sz="4" w:space="0" w:color="auto"/>
              <w:left w:val="nil"/>
              <w:bottom w:val="single" w:sz="4" w:space="0" w:color="auto"/>
              <w:right w:val="nil"/>
            </w:tcBorders>
            <w:shd w:val="clear" w:color="auto" w:fill="auto"/>
            <w:noWrap/>
            <w:vAlign w:val="bottom"/>
            <w:hideMark/>
          </w:tcPr>
          <w:p w14:paraId="7D237E8C" w14:textId="77777777" w:rsidR="006C75E4" w:rsidRPr="004A5BF7" w:rsidRDefault="006C75E4" w:rsidP="00836C92">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PN</w:t>
            </w:r>
          </w:p>
        </w:tc>
        <w:tc>
          <w:tcPr>
            <w:tcW w:w="0" w:type="auto"/>
            <w:tcBorders>
              <w:top w:val="single" w:sz="4" w:space="0" w:color="auto"/>
              <w:left w:val="nil"/>
              <w:bottom w:val="single" w:sz="4" w:space="0" w:color="auto"/>
              <w:right w:val="nil"/>
            </w:tcBorders>
            <w:shd w:val="clear" w:color="auto" w:fill="auto"/>
            <w:noWrap/>
            <w:vAlign w:val="bottom"/>
            <w:hideMark/>
          </w:tcPr>
          <w:p w14:paraId="55BAB55F" w14:textId="77777777" w:rsidR="006C75E4" w:rsidRPr="004A5BF7" w:rsidRDefault="006C75E4" w:rsidP="00836C92">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PP</w:t>
            </w:r>
          </w:p>
        </w:tc>
        <w:tc>
          <w:tcPr>
            <w:tcW w:w="0" w:type="auto"/>
            <w:tcBorders>
              <w:top w:val="single" w:sz="4" w:space="0" w:color="auto"/>
              <w:left w:val="nil"/>
              <w:bottom w:val="single" w:sz="4" w:space="0" w:color="auto"/>
              <w:right w:val="nil"/>
            </w:tcBorders>
            <w:shd w:val="clear" w:color="auto" w:fill="auto"/>
            <w:noWrap/>
            <w:vAlign w:val="bottom"/>
            <w:hideMark/>
          </w:tcPr>
          <w:p w14:paraId="76CCE8BB" w14:textId="77777777" w:rsidR="006C75E4" w:rsidRPr="004A5BF7" w:rsidRDefault="006C75E4" w:rsidP="00836C92">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Si</w:t>
            </w:r>
          </w:p>
        </w:tc>
        <w:tc>
          <w:tcPr>
            <w:tcW w:w="0" w:type="auto"/>
            <w:tcBorders>
              <w:top w:val="single" w:sz="4" w:space="0" w:color="auto"/>
              <w:left w:val="nil"/>
              <w:bottom w:val="single" w:sz="4" w:space="0" w:color="auto"/>
              <w:right w:val="nil"/>
            </w:tcBorders>
            <w:shd w:val="clear" w:color="auto" w:fill="auto"/>
            <w:noWrap/>
            <w:vAlign w:val="bottom"/>
            <w:hideMark/>
          </w:tcPr>
          <w:p w14:paraId="2E094B5D" w14:textId="77777777" w:rsidR="006C75E4" w:rsidRPr="004A5BF7" w:rsidRDefault="006C75E4" w:rsidP="00836C92">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Chl-a</w:t>
            </w:r>
          </w:p>
        </w:tc>
      </w:tr>
      <w:tr w:rsidR="006C75E4" w:rsidRPr="009574D7" w14:paraId="6B531922" w14:textId="77777777" w:rsidTr="00836C92">
        <w:trPr>
          <w:trHeight w:val="330"/>
          <w:jc w:val="center"/>
        </w:trPr>
        <w:tc>
          <w:tcPr>
            <w:tcW w:w="0" w:type="auto"/>
            <w:tcBorders>
              <w:top w:val="nil"/>
              <w:left w:val="nil"/>
              <w:bottom w:val="nil"/>
              <w:right w:val="nil"/>
            </w:tcBorders>
            <w:shd w:val="clear" w:color="auto" w:fill="auto"/>
            <w:noWrap/>
            <w:vAlign w:val="bottom"/>
            <w:hideMark/>
          </w:tcPr>
          <w:p w14:paraId="64C82F24" w14:textId="77777777" w:rsidR="006C75E4" w:rsidRPr="004A5BF7" w:rsidRDefault="006C75E4" w:rsidP="00836C92">
            <w:pPr>
              <w:spacing w:before="0" w:after="0"/>
              <w:jc w:val="left"/>
              <w:rPr>
                <w:rFonts w:cs="Arial"/>
                <w:b/>
                <w:bCs/>
                <w:color w:val="000000"/>
                <w:sz w:val="18"/>
                <w:szCs w:val="18"/>
                <w:lang w:val="en-AU" w:eastAsia="en-AU"/>
              </w:rPr>
            </w:pPr>
            <w:r w:rsidRPr="004A5BF7">
              <w:rPr>
                <w:rFonts w:cs="Arial"/>
                <w:b/>
                <w:bCs/>
                <w:color w:val="000000"/>
                <w:sz w:val="18"/>
                <w:szCs w:val="18"/>
                <w:lang w:val="en-AU" w:eastAsia="en-AU"/>
              </w:rPr>
              <w:t>Discharge</w:t>
            </w:r>
          </w:p>
        </w:tc>
        <w:tc>
          <w:tcPr>
            <w:tcW w:w="0" w:type="auto"/>
            <w:tcBorders>
              <w:top w:val="nil"/>
              <w:left w:val="nil"/>
              <w:bottom w:val="nil"/>
              <w:right w:val="nil"/>
            </w:tcBorders>
            <w:shd w:val="clear" w:color="auto" w:fill="auto"/>
            <w:noWrap/>
            <w:vAlign w:val="bottom"/>
            <w:hideMark/>
          </w:tcPr>
          <w:p w14:paraId="6EC5568F"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0.38</w:t>
            </w:r>
          </w:p>
        </w:tc>
        <w:tc>
          <w:tcPr>
            <w:tcW w:w="0" w:type="auto"/>
            <w:tcBorders>
              <w:top w:val="nil"/>
              <w:left w:val="nil"/>
              <w:bottom w:val="nil"/>
              <w:right w:val="nil"/>
            </w:tcBorders>
            <w:shd w:val="clear" w:color="auto" w:fill="auto"/>
            <w:noWrap/>
            <w:vAlign w:val="bottom"/>
            <w:hideMark/>
          </w:tcPr>
          <w:p w14:paraId="2396AE07"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0.42</w:t>
            </w:r>
          </w:p>
        </w:tc>
        <w:tc>
          <w:tcPr>
            <w:tcW w:w="0" w:type="auto"/>
            <w:tcBorders>
              <w:top w:val="nil"/>
              <w:left w:val="nil"/>
              <w:bottom w:val="nil"/>
              <w:right w:val="nil"/>
            </w:tcBorders>
            <w:shd w:val="clear" w:color="auto" w:fill="auto"/>
            <w:noWrap/>
            <w:vAlign w:val="bottom"/>
            <w:hideMark/>
          </w:tcPr>
          <w:p w14:paraId="669F029B"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-0.29</w:t>
            </w:r>
          </w:p>
        </w:tc>
        <w:tc>
          <w:tcPr>
            <w:tcW w:w="0" w:type="auto"/>
            <w:tcBorders>
              <w:top w:val="nil"/>
              <w:left w:val="nil"/>
              <w:bottom w:val="nil"/>
              <w:right w:val="nil"/>
            </w:tcBorders>
            <w:shd w:val="clear" w:color="000000" w:fill="FFC7CE"/>
            <w:noWrap/>
            <w:vAlign w:val="bottom"/>
            <w:hideMark/>
          </w:tcPr>
          <w:p w14:paraId="7D33D9C2" w14:textId="77777777" w:rsidR="006C75E4" w:rsidRPr="004A5BF7" w:rsidRDefault="006C75E4" w:rsidP="00836C92">
            <w:pPr>
              <w:spacing w:before="0" w:after="0"/>
              <w:jc w:val="center"/>
              <w:rPr>
                <w:rFonts w:cs="Arial"/>
                <w:color w:val="9C0006"/>
                <w:sz w:val="18"/>
                <w:szCs w:val="18"/>
                <w:lang w:val="en-AU" w:eastAsia="en-AU"/>
              </w:rPr>
            </w:pPr>
            <w:r w:rsidRPr="004A5BF7">
              <w:rPr>
                <w:rFonts w:cs="Arial"/>
                <w:color w:val="9C0006"/>
                <w:sz w:val="18"/>
                <w:szCs w:val="18"/>
                <w:lang w:val="en-AU" w:eastAsia="en-AU"/>
              </w:rPr>
              <w:t>0.66</w:t>
            </w:r>
          </w:p>
        </w:tc>
        <w:tc>
          <w:tcPr>
            <w:tcW w:w="0" w:type="auto"/>
            <w:tcBorders>
              <w:top w:val="nil"/>
              <w:left w:val="nil"/>
              <w:bottom w:val="nil"/>
              <w:right w:val="nil"/>
            </w:tcBorders>
            <w:shd w:val="clear" w:color="auto" w:fill="auto"/>
            <w:noWrap/>
            <w:vAlign w:val="bottom"/>
            <w:hideMark/>
          </w:tcPr>
          <w:p w14:paraId="4935E56E"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0.37</w:t>
            </w:r>
          </w:p>
        </w:tc>
        <w:tc>
          <w:tcPr>
            <w:tcW w:w="0" w:type="auto"/>
            <w:tcBorders>
              <w:top w:val="nil"/>
              <w:left w:val="nil"/>
              <w:bottom w:val="nil"/>
              <w:right w:val="nil"/>
            </w:tcBorders>
            <w:shd w:val="clear" w:color="000000" w:fill="FFC7CE"/>
            <w:noWrap/>
            <w:vAlign w:val="bottom"/>
            <w:hideMark/>
          </w:tcPr>
          <w:p w14:paraId="33AF93D7" w14:textId="77777777" w:rsidR="006C75E4" w:rsidRPr="004A5BF7" w:rsidRDefault="006C75E4" w:rsidP="00836C92">
            <w:pPr>
              <w:spacing w:before="0" w:after="0"/>
              <w:jc w:val="center"/>
              <w:rPr>
                <w:rFonts w:cs="Arial"/>
                <w:color w:val="9C0006"/>
                <w:sz w:val="18"/>
                <w:szCs w:val="18"/>
                <w:lang w:val="en-AU" w:eastAsia="en-AU"/>
              </w:rPr>
            </w:pPr>
            <w:r w:rsidRPr="004A5BF7">
              <w:rPr>
                <w:rFonts w:cs="Arial"/>
                <w:color w:val="9C0006"/>
                <w:sz w:val="18"/>
                <w:szCs w:val="18"/>
                <w:lang w:val="en-AU" w:eastAsia="en-AU"/>
              </w:rPr>
              <w:t>0.67</w:t>
            </w:r>
          </w:p>
        </w:tc>
        <w:tc>
          <w:tcPr>
            <w:tcW w:w="0" w:type="auto"/>
            <w:tcBorders>
              <w:top w:val="nil"/>
              <w:left w:val="nil"/>
              <w:bottom w:val="nil"/>
              <w:right w:val="nil"/>
            </w:tcBorders>
            <w:shd w:val="clear" w:color="000000" w:fill="FFC7CE"/>
            <w:noWrap/>
            <w:vAlign w:val="bottom"/>
            <w:hideMark/>
          </w:tcPr>
          <w:p w14:paraId="71C761A4" w14:textId="77777777" w:rsidR="006C75E4" w:rsidRPr="004A5BF7" w:rsidRDefault="006C75E4" w:rsidP="00836C92">
            <w:pPr>
              <w:spacing w:before="0" w:after="0"/>
              <w:jc w:val="center"/>
              <w:rPr>
                <w:rFonts w:cs="Arial"/>
                <w:color w:val="9C0006"/>
                <w:sz w:val="18"/>
                <w:szCs w:val="18"/>
                <w:lang w:val="en-AU" w:eastAsia="en-AU"/>
              </w:rPr>
            </w:pPr>
            <w:r w:rsidRPr="004A5BF7">
              <w:rPr>
                <w:rFonts w:cs="Arial"/>
                <w:color w:val="9C0006"/>
                <w:sz w:val="18"/>
                <w:szCs w:val="18"/>
                <w:lang w:val="en-AU" w:eastAsia="en-AU"/>
              </w:rPr>
              <w:t>0.68</w:t>
            </w:r>
          </w:p>
        </w:tc>
        <w:tc>
          <w:tcPr>
            <w:tcW w:w="0" w:type="auto"/>
            <w:tcBorders>
              <w:top w:val="nil"/>
              <w:left w:val="nil"/>
              <w:bottom w:val="nil"/>
              <w:right w:val="nil"/>
            </w:tcBorders>
            <w:shd w:val="clear" w:color="000000" w:fill="FFC7CE"/>
            <w:noWrap/>
            <w:vAlign w:val="bottom"/>
            <w:hideMark/>
          </w:tcPr>
          <w:p w14:paraId="08F9B5CF" w14:textId="77777777" w:rsidR="006C75E4" w:rsidRPr="004A5BF7" w:rsidRDefault="006C75E4" w:rsidP="00836C92">
            <w:pPr>
              <w:spacing w:before="0" w:after="0"/>
              <w:jc w:val="center"/>
              <w:rPr>
                <w:rFonts w:cs="Arial"/>
                <w:color w:val="9C0006"/>
                <w:sz w:val="18"/>
                <w:szCs w:val="18"/>
                <w:lang w:val="en-AU" w:eastAsia="en-AU"/>
              </w:rPr>
            </w:pPr>
            <w:r w:rsidRPr="004A5BF7">
              <w:rPr>
                <w:rFonts w:cs="Arial"/>
                <w:color w:val="9C0006"/>
                <w:sz w:val="18"/>
                <w:szCs w:val="18"/>
                <w:lang w:val="en-AU" w:eastAsia="en-AU"/>
              </w:rPr>
              <w:t>0.88</w:t>
            </w:r>
          </w:p>
        </w:tc>
        <w:tc>
          <w:tcPr>
            <w:tcW w:w="0" w:type="auto"/>
            <w:tcBorders>
              <w:top w:val="nil"/>
              <w:left w:val="nil"/>
              <w:bottom w:val="nil"/>
              <w:right w:val="nil"/>
            </w:tcBorders>
            <w:shd w:val="clear" w:color="auto" w:fill="auto"/>
            <w:noWrap/>
            <w:vAlign w:val="bottom"/>
            <w:hideMark/>
          </w:tcPr>
          <w:p w14:paraId="6EC088F5"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0.51</w:t>
            </w:r>
          </w:p>
        </w:tc>
      </w:tr>
      <w:tr w:rsidR="006C75E4" w:rsidRPr="009574D7" w14:paraId="51CA1240" w14:textId="77777777" w:rsidTr="00836C92">
        <w:trPr>
          <w:trHeight w:val="330"/>
          <w:jc w:val="center"/>
        </w:trPr>
        <w:tc>
          <w:tcPr>
            <w:tcW w:w="0" w:type="auto"/>
            <w:tcBorders>
              <w:top w:val="nil"/>
              <w:left w:val="nil"/>
              <w:bottom w:val="nil"/>
              <w:right w:val="nil"/>
            </w:tcBorders>
            <w:shd w:val="clear" w:color="auto" w:fill="auto"/>
            <w:noWrap/>
            <w:vAlign w:val="bottom"/>
            <w:hideMark/>
          </w:tcPr>
          <w:p w14:paraId="6DF8308C" w14:textId="24C05A9B" w:rsidR="006C75E4" w:rsidRPr="004A5BF7" w:rsidRDefault="006C75E4" w:rsidP="00836C92">
            <w:pPr>
              <w:spacing w:before="0" w:after="0"/>
              <w:jc w:val="left"/>
              <w:rPr>
                <w:rFonts w:cs="Arial"/>
                <w:b/>
                <w:bCs/>
                <w:color w:val="000000"/>
                <w:sz w:val="18"/>
                <w:szCs w:val="18"/>
                <w:lang w:val="en-AU" w:eastAsia="en-AU"/>
              </w:rPr>
            </w:pPr>
            <w:r w:rsidRPr="004A5BF7">
              <w:rPr>
                <w:rFonts w:cs="Arial"/>
                <w:b/>
                <w:bCs/>
                <w:color w:val="000000"/>
                <w:sz w:val="18"/>
                <w:szCs w:val="18"/>
                <w:lang w:val="en-AU" w:eastAsia="en-AU"/>
              </w:rPr>
              <w:t>W-E wind component</w:t>
            </w:r>
          </w:p>
        </w:tc>
        <w:tc>
          <w:tcPr>
            <w:tcW w:w="0" w:type="auto"/>
            <w:tcBorders>
              <w:top w:val="nil"/>
              <w:left w:val="nil"/>
              <w:bottom w:val="nil"/>
              <w:right w:val="nil"/>
            </w:tcBorders>
            <w:shd w:val="clear" w:color="auto" w:fill="auto"/>
            <w:noWrap/>
            <w:vAlign w:val="bottom"/>
            <w:hideMark/>
          </w:tcPr>
          <w:p w14:paraId="656B6D28"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-0.58</w:t>
            </w:r>
          </w:p>
        </w:tc>
        <w:tc>
          <w:tcPr>
            <w:tcW w:w="0" w:type="auto"/>
            <w:tcBorders>
              <w:top w:val="nil"/>
              <w:left w:val="nil"/>
              <w:bottom w:val="nil"/>
              <w:right w:val="nil"/>
            </w:tcBorders>
            <w:shd w:val="clear" w:color="auto" w:fill="auto"/>
            <w:noWrap/>
            <w:vAlign w:val="bottom"/>
            <w:hideMark/>
          </w:tcPr>
          <w:p w14:paraId="654792F0"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0.11</w:t>
            </w:r>
          </w:p>
        </w:tc>
        <w:tc>
          <w:tcPr>
            <w:tcW w:w="0" w:type="auto"/>
            <w:tcBorders>
              <w:top w:val="nil"/>
              <w:left w:val="nil"/>
              <w:bottom w:val="nil"/>
              <w:right w:val="nil"/>
            </w:tcBorders>
            <w:shd w:val="clear" w:color="auto" w:fill="auto"/>
            <w:noWrap/>
            <w:vAlign w:val="bottom"/>
            <w:hideMark/>
          </w:tcPr>
          <w:p w14:paraId="05DCE140"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-0.40</w:t>
            </w:r>
          </w:p>
        </w:tc>
        <w:tc>
          <w:tcPr>
            <w:tcW w:w="0" w:type="auto"/>
            <w:tcBorders>
              <w:top w:val="nil"/>
              <w:left w:val="nil"/>
              <w:bottom w:val="nil"/>
              <w:right w:val="nil"/>
            </w:tcBorders>
            <w:shd w:val="clear" w:color="auto" w:fill="auto"/>
            <w:noWrap/>
            <w:vAlign w:val="bottom"/>
            <w:hideMark/>
          </w:tcPr>
          <w:p w14:paraId="05BA027C"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-0.15</w:t>
            </w:r>
          </w:p>
        </w:tc>
        <w:tc>
          <w:tcPr>
            <w:tcW w:w="0" w:type="auto"/>
            <w:tcBorders>
              <w:top w:val="nil"/>
              <w:left w:val="nil"/>
              <w:bottom w:val="nil"/>
              <w:right w:val="nil"/>
            </w:tcBorders>
            <w:shd w:val="clear" w:color="auto" w:fill="auto"/>
            <w:noWrap/>
            <w:vAlign w:val="bottom"/>
            <w:hideMark/>
          </w:tcPr>
          <w:p w14:paraId="4BFE054B"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0.12</w:t>
            </w:r>
          </w:p>
        </w:tc>
        <w:tc>
          <w:tcPr>
            <w:tcW w:w="0" w:type="auto"/>
            <w:tcBorders>
              <w:top w:val="nil"/>
              <w:left w:val="nil"/>
              <w:bottom w:val="nil"/>
              <w:right w:val="nil"/>
            </w:tcBorders>
            <w:shd w:val="clear" w:color="auto" w:fill="auto"/>
            <w:noWrap/>
            <w:vAlign w:val="bottom"/>
            <w:hideMark/>
          </w:tcPr>
          <w:p w14:paraId="6B1DFB90"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0.42</w:t>
            </w:r>
          </w:p>
        </w:tc>
        <w:tc>
          <w:tcPr>
            <w:tcW w:w="0" w:type="auto"/>
            <w:tcBorders>
              <w:top w:val="nil"/>
              <w:left w:val="nil"/>
              <w:bottom w:val="nil"/>
              <w:right w:val="nil"/>
            </w:tcBorders>
            <w:shd w:val="clear" w:color="auto" w:fill="auto"/>
            <w:noWrap/>
            <w:vAlign w:val="bottom"/>
            <w:hideMark/>
          </w:tcPr>
          <w:p w14:paraId="7848C409"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-0.09</w:t>
            </w:r>
          </w:p>
        </w:tc>
        <w:tc>
          <w:tcPr>
            <w:tcW w:w="0" w:type="auto"/>
            <w:tcBorders>
              <w:top w:val="nil"/>
              <w:left w:val="nil"/>
              <w:bottom w:val="nil"/>
              <w:right w:val="nil"/>
            </w:tcBorders>
            <w:shd w:val="clear" w:color="auto" w:fill="auto"/>
            <w:noWrap/>
            <w:vAlign w:val="bottom"/>
            <w:hideMark/>
          </w:tcPr>
          <w:p w14:paraId="1A958FDF"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-0.27</w:t>
            </w:r>
          </w:p>
        </w:tc>
        <w:tc>
          <w:tcPr>
            <w:tcW w:w="0" w:type="auto"/>
            <w:tcBorders>
              <w:top w:val="nil"/>
              <w:left w:val="nil"/>
              <w:bottom w:val="nil"/>
              <w:right w:val="nil"/>
            </w:tcBorders>
            <w:shd w:val="clear" w:color="auto" w:fill="auto"/>
            <w:noWrap/>
            <w:vAlign w:val="bottom"/>
            <w:hideMark/>
          </w:tcPr>
          <w:p w14:paraId="76BD2890"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0.16</w:t>
            </w:r>
          </w:p>
        </w:tc>
      </w:tr>
      <w:tr w:rsidR="006C75E4" w:rsidRPr="009574D7" w14:paraId="37A26BFA" w14:textId="77777777" w:rsidTr="00836C92">
        <w:trPr>
          <w:trHeight w:val="330"/>
          <w:jc w:val="center"/>
        </w:trPr>
        <w:tc>
          <w:tcPr>
            <w:tcW w:w="0" w:type="auto"/>
            <w:tcBorders>
              <w:top w:val="nil"/>
              <w:left w:val="nil"/>
              <w:bottom w:val="nil"/>
              <w:right w:val="nil"/>
            </w:tcBorders>
            <w:shd w:val="clear" w:color="auto" w:fill="auto"/>
            <w:noWrap/>
            <w:vAlign w:val="bottom"/>
            <w:hideMark/>
          </w:tcPr>
          <w:p w14:paraId="502AF77E" w14:textId="5165A21A" w:rsidR="006C75E4" w:rsidRPr="004A5BF7" w:rsidRDefault="006C75E4" w:rsidP="00836C92">
            <w:pPr>
              <w:spacing w:before="0" w:after="0"/>
              <w:jc w:val="left"/>
              <w:rPr>
                <w:rFonts w:cs="Arial"/>
                <w:b/>
                <w:bCs/>
                <w:color w:val="000000"/>
                <w:sz w:val="18"/>
                <w:szCs w:val="18"/>
                <w:lang w:val="en-AU" w:eastAsia="en-AU"/>
              </w:rPr>
            </w:pPr>
            <w:r w:rsidRPr="004A5BF7">
              <w:rPr>
                <w:rFonts w:cs="Arial"/>
                <w:b/>
                <w:bCs/>
                <w:color w:val="000000"/>
                <w:sz w:val="18"/>
                <w:szCs w:val="18"/>
                <w:lang w:val="en-AU" w:eastAsia="en-AU"/>
              </w:rPr>
              <w:t>N-S wind component</w:t>
            </w:r>
          </w:p>
        </w:tc>
        <w:tc>
          <w:tcPr>
            <w:tcW w:w="0" w:type="auto"/>
            <w:tcBorders>
              <w:top w:val="nil"/>
              <w:left w:val="nil"/>
              <w:bottom w:val="nil"/>
              <w:right w:val="nil"/>
            </w:tcBorders>
            <w:shd w:val="clear" w:color="auto" w:fill="auto"/>
            <w:noWrap/>
            <w:vAlign w:val="bottom"/>
            <w:hideMark/>
          </w:tcPr>
          <w:p w14:paraId="1B65793D"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0.55</w:t>
            </w:r>
          </w:p>
        </w:tc>
        <w:tc>
          <w:tcPr>
            <w:tcW w:w="0" w:type="auto"/>
            <w:tcBorders>
              <w:top w:val="nil"/>
              <w:left w:val="nil"/>
              <w:bottom w:val="nil"/>
              <w:right w:val="nil"/>
            </w:tcBorders>
            <w:shd w:val="clear" w:color="auto" w:fill="auto"/>
            <w:noWrap/>
            <w:vAlign w:val="bottom"/>
            <w:hideMark/>
          </w:tcPr>
          <w:p w14:paraId="1EE8D22F"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-0.16</w:t>
            </w:r>
          </w:p>
        </w:tc>
        <w:tc>
          <w:tcPr>
            <w:tcW w:w="0" w:type="auto"/>
            <w:tcBorders>
              <w:top w:val="nil"/>
              <w:left w:val="nil"/>
              <w:bottom w:val="nil"/>
              <w:right w:val="nil"/>
            </w:tcBorders>
            <w:shd w:val="clear" w:color="auto" w:fill="auto"/>
            <w:noWrap/>
            <w:vAlign w:val="bottom"/>
            <w:hideMark/>
          </w:tcPr>
          <w:p w14:paraId="64D41151"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0.38</w:t>
            </w:r>
          </w:p>
        </w:tc>
        <w:tc>
          <w:tcPr>
            <w:tcW w:w="0" w:type="auto"/>
            <w:tcBorders>
              <w:top w:val="nil"/>
              <w:left w:val="nil"/>
              <w:bottom w:val="nil"/>
              <w:right w:val="nil"/>
            </w:tcBorders>
            <w:shd w:val="clear" w:color="auto" w:fill="auto"/>
            <w:noWrap/>
            <w:vAlign w:val="bottom"/>
            <w:hideMark/>
          </w:tcPr>
          <w:p w14:paraId="36A92BC4"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0.15</w:t>
            </w:r>
          </w:p>
        </w:tc>
        <w:tc>
          <w:tcPr>
            <w:tcW w:w="0" w:type="auto"/>
            <w:tcBorders>
              <w:top w:val="nil"/>
              <w:left w:val="nil"/>
              <w:bottom w:val="nil"/>
              <w:right w:val="nil"/>
            </w:tcBorders>
            <w:shd w:val="clear" w:color="auto" w:fill="auto"/>
            <w:noWrap/>
            <w:vAlign w:val="bottom"/>
            <w:hideMark/>
          </w:tcPr>
          <w:p w14:paraId="1300C1CB"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-0.10</w:t>
            </w:r>
          </w:p>
        </w:tc>
        <w:tc>
          <w:tcPr>
            <w:tcW w:w="0" w:type="auto"/>
            <w:tcBorders>
              <w:top w:val="nil"/>
              <w:left w:val="nil"/>
              <w:bottom w:val="nil"/>
              <w:right w:val="nil"/>
            </w:tcBorders>
            <w:shd w:val="clear" w:color="auto" w:fill="auto"/>
            <w:noWrap/>
            <w:vAlign w:val="bottom"/>
            <w:hideMark/>
          </w:tcPr>
          <w:p w14:paraId="1F173614"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-0.46</w:t>
            </w:r>
          </w:p>
        </w:tc>
        <w:tc>
          <w:tcPr>
            <w:tcW w:w="0" w:type="auto"/>
            <w:tcBorders>
              <w:top w:val="nil"/>
              <w:left w:val="nil"/>
              <w:bottom w:val="nil"/>
              <w:right w:val="nil"/>
            </w:tcBorders>
            <w:shd w:val="clear" w:color="auto" w:fill="auto"/>
            <w:noWrap/>
            <w:vAlign w:val="bottom"/>
            <w:hideMark/>
          </w:tcPr>
          <w:p w14:paraId="588272FB"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-0.03</w:t>
            </w:r>
          </w:p>
        </w:tc>
        <w:tc>
          <w:tcPr>
            <w:tcW w:w="0" w:type="auto"/>
            <w:tcBorders>
              <w:top w:val="nil"/>
              <w:left w:val="nil"/>
              <w:bottom w:val="nil"/>
              <w:right w:val="nil"/>
            </w:tcBorders>
            <w:shd w:val="clear" w:color="auto" w:fill="auto"/>
            <w:noWrap/>
            <w:vAlign w:val="bottom"/>
            <w:hideMark/>
          </w:tcPr>
          <w:p w14:paraId="1F81FF98"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-0.06</w:t>
            </w:r>
          </w:p>
        </w:tc>
        <w:tc>
          <w:tcPr>
            <w:tcW w:w="0" w:type="auto"/>
            <w:tcBorders>
              <w:top w:val="nil"/>
              <w:left w:val="nil"/>
              <w:bottom w:val="nil"/>
              <w:right w:val="nil"/>
            </w:tcBorders>
            <w:shd w:val="clear" w:color="auto" w:fill="auto"/>
            <w:noWrap/>
            <w:vAlign w:val="bottom"/>
            <w:hideMark/>
          </w:tcPr>
          <w:p w14:paraId="59374016"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-0.12</w:t>
            </w:r>
          </w:p>
        </w:tc>
      </w:tr>
      <w:tr w:rsidR="006C75E4" w:rsidRPr="009574D7" w14:paraId="74947BF2" w14:textId="77777777" w:rsidTr="00836C92">
        <w:trPr>
          <w:trHeight w:val="330"/>
          <w:jc w:val="center"/>
        </w:trPr>
        <w:tc>
          <w:tcPr>
            <w:tcW w:w="0" w:type="auto"/>
            <w:tcBorders>
              <w:top w:val="nil"/>
              <w:left w:val="nil"/>
              <w:bottom w:val="nil"/>
              <w:right w:val="nil"/>
            </w:tcBorders>
            <w:shd w:val="clear" w:color="auto" w:fill="auto"/>
            <w:noWrap/>
            <w:vAlign w:val="bottom"/>
            <w:hideMark/>
          </w:tcPr>
          <w:p w14:paraId="6D152372" w14:textId="77777777" w:rsidR="006C75E4" w:rsidRPr="004A5BF7" w:rsidRDefault="006C75E4" w:rsidP="00836C92">
            <w:pPr>
              <w:spacing w:before="0" w:after="0"/>
              <w:jc w:val="left"/>
              <w:rPr>
                <w:rFonts w:cs="Arial"/>
                <w:b/>
                <w:bCs/>
                <w:color w:val="000000"/>
                <w:sz w:val="18"/>
                <w:szCs w:val="18"/>
                <w:lang w:val="en-AU" w:eastAsia="en-AU"/>
              </w:rPr>
            </w:pPr>
            <w:r w:rsidRPr="004A5BF7">
              <w:rPr>
                <w:rFonts w:cs="Arial"/>
                <w:b/>
                <w:bCs/>
                <w:color w:val="000000"/>
                <w:sz w:val="18"/>
                <w:szCs w:val="18"/>
                <w:lang w:val="en-AU" w:eastAsia="en-AU"/>
              </w:rPr>
              <w:t>Salinity</w:t>
            </w:r>
          </w:p>
        </w:tc>
        <w:tc>
          <w:tcPr>
            <w:tcW w:w="0" w:type="auto"/>
            <w:tcBorders>
              <w:top w:val="nil"/>
              <w:left w:val="nil"/>
              <w:bottom w:val="nil"/>
              <w:right w:val="nil"/>
            </w:tcBorders>
            <w:shd w:val="clear" w:color="auto" w:fill="auto"/>
            <w:noWrap/>
            <w:vAlign w:val="bottom"/>
            <w:hideMark/>
          </w:tcPr>
          <w:p w14:paraId="5EFDAD25"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-0.20</w:t>
            </w:r>
          </w:p>
        </w:tc>
        <w:tc>
          <w:tcPr>
            <w:tcW w:w="0" w:type="auto"/>
            <w:tcBorders>
              <w:top w:val="nil"/>
              <w:left w:val="nil"/>
              <w:bottom w:val="nil"/>
              <w:right w:val="nil"/>
            </w:tcBorders>
            <w:shd w:val="clear" w:color="000000" w:fill="FFC7CE"/>
            <w:noWrap/>
            <w:vAlign w:val="bottom"/>
            <w:hideMark/>
          </w:tcPr>
          <w:p w14:paraId="44E85176" w14:textId="77777777" w:rsidR="006C75E4" w:rsidRPr="004A5BF7" w:rsidRDefault="006C75E4" w:rsidP="00836C92">
            <w:pPr>
              <w:spacing w:before="0" w:after="0"/>
              <w:jc w:val="center"/>
              <w:rPr>
                <w:rFonts w:cs="Arial"/>
                <w:color w:val="9C0006"/>
                <w:sz w:val="18"/>
                <w:szCs w:val="18"/>
                <w:lang w:val="en-AU" w:eastAsia="en-AU"/>
              </w:rPr>
            </w:pPr>
            <w:r w:rsidRPr="004A5BF7">
              <w:rPr>
                <w:rFonts w:cs="Arial"/>
                <w:color w:val="9C0006"/>
                <w:sz w:val="18"/>
                <w:szCs w:val="18"/>
                <w:lang w:val="en-AU" w:eastAsia="en-AU"/>
              </w:rPr>
              <w:t>-0.78</w:t>
            </w:r>
          </w:p>
        </w:tc>
        <w:tc>
          <w:tcPr>
            <w:tcW w:w="0" w:type="auto"/>
            <w:tcBorders>
              <w:top w:val="nil"/>
              <w:left w:val="nil"/>
              <w:bottom w:val="nil"/>
              <w:right w:val="nil"/>
            </w:tcBorders>
            <w:shd w:val="clear" w:color="auto" w:fill="auto"/>
            <w:noWrap/>
            <w:vAlign w:val="bottom"/>
            <w:hideMark/>
          </w:tcPr>
          <w:p w14:paraId="1F8A00B9"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-0.24</w:t>
            </w:r>
          </w:p>
        </w:tc>
        <w:tc>
          <w:tcPr>
            <w:tcW w:w="0" w:type="auto"/>
            <w:tcBorders>
              <w:top w:val="nil"/>
              <w:left w:val="nil"/>
              <w:bottom w:val="nil"/>
              <w:right w:val="nil"/>
            </w:tcBorders>
            <w:shd w:val="clear" w:color="000000" w:fill="FFC7CE"/>
            <w:noWrap/>
            <w:vAlign w:val="bottom"/>
            <w:hideMark/>
          </w:tcPr>
          <w:p w14:paraId="0C4A7F6B" w14:textId="77777777" w:rsidR="006C75E4" w:rsidRPr="004A5BF7" w:rsidRDefault="006C75E4" w:rsidP="00836C92">
            <w:pPr>
              <w:spacing w:before="0" w:after="0"/>
              <w:jc w:val="center"/>
              <w:rPr>
                <w:rFonts w:cs="Arial"/>
                <w:color w:val="9C0006"/>
                <w:sz w:val="18"/>
                <w:szCs w:val="18"/>
                <w:lang w:val="en-AU" w:eastAsia="en-AU"/>
              </w:rPr>
            </w:pPr>
            <w:r w:rsidRPr="004A5BF7">
              <w:rPr>
                <w:rFonts w:cs="Arial"/>
                <w:color w:val="9C0006"/>
                <w:sz w:val="18"/>
                <w:szCs w:val="18"/>
                <w:lang w:val="en-AU" w:eastAsia="en-AU"/>
              </w:rPr>
              <w:t>-0.84</w:t>
            </w:r>
          </w:p>
        </w:tc>
        <w:tc>
          <w:tcPr>
            <w:tcW w:w="0" w:type="auto"/>
            <w:tcBorders>
              <w:top w:val="nil"/>
              <w:left w:val="nil"/>
              <w:bottom w:val="nil"/>
              <w:right w:val="nil"/>
            </w:tcBorders>
            <w:shd w:val="clear" w:color="auto" w:fill="auto"/>
            <w:noWrap/>
            <w:vAlign w:val="bottom"/>
            <w:hideMark/>
          </w:tcPr>
          <w:p w14:paraId="2106E6EB"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-0.28</w:t>
            </w:r>
          </w:p>
        </w:tc>
        <w:tc>
          <w:tcPr>
            <w:tcW w:w="0" w:type="auto"/>
            <w:tcBorders>
              <w:top w:val="nil"/>
              <w:left w:val="nil"/>
              <w:bottom w:val="nil"/>
              <w:right w:val="nil"/>
            </w:tcBorders>
            <w:shd w:val="clear" w:color="auto" w:fill="auto"/>
            <w:noWrap/>
            <w:vAlign w:val="bottom"/>
            <w:hideMark/>
          </w:tcPr>
          <w:p w14:paraId="20D57DF2"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-0.14</w:t>
            </w:r>
          </w:p>
        </w:tc>
        <w:tc>
          <w:tcPr>
            <w:tcW w:w="0" w:type="auto"/>
            <w:tcBorders>
              <w:top w:val="nil"/>
              <w:left w:val="nil"/>
              <w:bottom w:val="nil"/>
              <w:right w:val="nil"/>
            </w:tcBorders>
            <w:shd w:val="clear" w:color="auto" w:fill="auto"/>
            <w:noWrap/>
            <w:vAlign w:val="bottom"/>
            <w:hideMark/>
          </w:tcPr>
          <w:p w14:paraId="394D65B6"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-0.54</w:t>
            </w:r>
          </w:p>
        </w:tc>
        <w:tc>
          <w:tcPr>
            <w:tcW w:w="0" w:type="auto"/>
            <w:tcBorders>
              <w:top w:val="nil"/>
              <w:left w:val="nil"/>
              <w:bottom w:val="nil"/>
              <w:right w:val="nil"/>
            </w:tcBorders>
            <w:shd w:val="clear" w:color="000000" w:fill="FFC7CE"/>
            <w:noWrap/>
            <w:vAlign w:val="bottom"/>
            <w:hideMark/>
          </w:tcPr>
          <w:p w14:paraId="6943C4D1" w14:textId="77777777" w:rsidR="006C75E4" w:rsidRPr="004A5BF7" w:rsidRDefault="006C75E4" w:rsidP="00836C92">
            <w:pPr>
              <w:spacing w:before="0" w:after="0"/>
              <w:jc w:val="center"/>
              <w:rPr>
                <w:rFonts w:cs="Arial"/>
                <w:color w:val="9C0006"/>
                <w:sz w:val="18"/>
                <w:szCs w:val="18"/>
                <w:lang w:val="en-AU" w:eastAsia="en-AU"/>
              </w:rPr>
            </w:pPr>
            <w:r w:rsidRPr="004A5BF7">
              <w:rPr>
                <w:rFonts w:cs="Arial"/>
                <w:color w:val="9C0006"/>
                <w:sz w:val="18"/>
                <w:szCs w:val="18"/>
                <w:lang w:val="en-AU" w:eastAsia="en-AU"/>
              </w:rPr>
              <w:t>-0.94</w:t>
            </w:r>
          </w:p>
        </w:tc>
        <w:tc>
          <w:tcPr>
            <w:tcW w:w="0" w:type="auto"/>
            <w:tcBorders>
              <w:top w:val="nil"/>
              <w:left w:val="nil"/>
              <w:bottom w:val="nil"/>
              <w:right w:val="nil"/>
            </w:tcBorders>
            <w:shd w:val="clear" w:color="auto" w:fill="auto"/>
            <w:noWrap/>
            <w:vAlign w:val="bottom"/>
            <w:hideMark/>
          </w:tcPr>
          <w:p w14:paraId="67E26DA0"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-0.42</w:t>
            </w:r>
          </w:p>
        </w:tc>
      </w:tr>
      <w:tr w:rsidR="006C75E4" w:rsidRPr="009574D7" w14:paraId="0DAE5209" w14:textId="77777777" w:rsidTr="00836C92">
        <w:trPr>
          <w:trHeight w:val="330"/>
          <w:jc w:val="center"/>
        </w:trPr>
        <w:tc>
          <w:tcPr>
            <w:tcW w:w="0" w:type="auto"/>
            <w:tcBorders>
              <w:top w:val="nil"/>
              <w:left w:val="nil"/>
              <w:bottom w:val="single" w:sz="4" w:space="0" w:color="auto"/>
              <w:right w:val="nil"/>
            </w:tcBorders>
            <w:shd w:val="clear" w:color="auto" w:fill="auto"/>
            <w:noWrap/>
            <w:vAlign w:val="bottom"/>
            <w:hideMark/>
          </w:tcPr>
          <w:p w14:paraId="7F63F789" w14:textId="77777777" w:rsidR="006C75E4" w:rsidRPr="004A5BF7" w:rsidRDefault="006C75E4" w:rsidP="00836C92">
            <w:pPr>
              <w:spacing w:before="0" w:after="0"/>
              <w:jc w:val="left"/>
              <w:rPr>
                <w:rFonts w:cs="Arial"/>
                <w:b/>
                <w:bCs/>
                <w:color w:val="000000"/>
                <w:sz w:val="18"/>
                <w:szCs w:val="18"/>
                <w:lang w:val="en-AU" w:eastAsia="en-AU"/>
              </w:rPr>
            </w:pPr>
            <w:r w:rsidRPr="004A5BF7">
              <w:rPr>
                <w:rFonts w:cs="Arial"/>
                <w:b/>
                <w:bCs/>
                <w:color w:val="000000"/>
                <w:sz w:val="18"/>
                <w:szCs w:val="18"/>
                <w:lang w:val="en-AU" w:eastAsia="en-AU"/>
              </w:rPr>
              <w:t>Chl-a</w:t>
            </w:r>
          </w:p>
        </w:tc>
        <w:tc>
          <w:tcPr>
            <w:tcW w:w="0" w:type="auto"/>
            <w:tcBorders>
              <w:top w:val="nil"/>
              <w:left w:val="nil"/>
              <w:bottom w:val="single" w:sz="4" w:space="0" w:color="auto"/>
              <w:right w:val="nil"/>
            </w:tcBorders>
            <w:shd w:val="clear" w:color="auto" w:fill="auto"/>
            <w:noWrap/>
            <w:vAlign w:val="bottom"/>
            <w:hideMark/>
          </w:tcPr>
          <w:p w14:paraId="391C3017"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0.37</w:t>
            </w:r>
          </w:p>
        </w:tc>
        <w:tc>
          <w:tcPr>
            <w:tcW w:w="0" w:type="auto"/>
            <w:tcBorders>
              <w:top w:val="nil"/>
              <w:left w:val="nil"/>
              <w:bottom w:val="single" w:sz="4" w:space="0" w:color="auto"/>
              <w:right w:val="nil"/>
            </w:tcBorders>
            <w:shd w:val="clear" w:color="auto" w:fill="auto"/>
            <w:noWrap/>
            <w:vAlign w:val="bottom"/>
            <w:hideMark/>
          </w:tcPr>
          <w:p w14:paraId="096DBCCC"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0.27</w:t>
            </w:r>
          </w:p>
        </w:tc>
        <w:tc>
          <w:tcPr>
            <w:tcW w:w="0" w:type="auto"/>
            <w:tcBorders>
              <w:top w:val="nil"/>
              <w:left w:val="nil"/>
              <w:bottom w:val="single" w:sz="4" w:space="0" w:color="auto"/>
              <w:right w:val="nil"/>
            </w:tcBorders>
            <w:shd w:val="clear" w:color="auto" w:fill="auto"/>
            <w:noWrap/>
            <w:vAlign w:val="bottom"/>
            <w:hideMark/>
          </w:tcPr>
          <w:p w14:paraId="51F09ACD"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0.18</w:t>
            </w:r>
          </w:p>
        </w:tc>
        <w:tc>
          <w:tcPr>
            <w:tcW w:w="0" w:type="auto"/>
            <w:tcBorders>
              <w:top w:val="nil"/>
              <w:left w:val="nil"/>
              <w:bottom w:val="single" w:sz="4" w:space="0" w:color="auto"/>
              <w:right w:val="nil"/>
            </w:tcBorders>
            <w:shd w:val="clear" w:color="000000" w:fill="FFC7CE"/>
            <w:noWrap/>
            <w:vAlign w:val="bottom"/>
            <w:hideMark/>
          </w:tcPr>
          <w:p w14:paraId="166F8943" w14:textId="77777777" w:rsidR="006C75E4" w:rsidRPr="004A5BF7" w:rsidRDefault="006C75E4" w:rsidP="00836C92">
            <w:pPr>
              <w:spacing w:before="0" w:after="0"/>
              <w:jc w:val="center"/>
              <w:rPr>
                <w:rFonts w:cs="Arial"/>
                <w:color w:val="9C0006"/>
                <w:sz w:val="18"/>
                <w:szCs w:val="18"/>
                <w:lang w:val="en-AU" w:eastAsia="en-AU"/>
              </w:rPr>
            </w:pPr>
            <w:r w:rsidRPr="004A5BF7">
              <w:rPr>
                <w:rFonts w:cs="Arial"/>
                <w:color w:val="9C0006"/>
                <w:sz w:val="18"/>
                <w:szCs w:val="18"/>
                <w:lang w:val="en-AU" w:eastAsia="en-AU"/>
              </w:rPr>
              <w:t>0.68</w:t>
            </w:r>
          </w:p>
        </w:tc>
        <w:tc>
          <w:tcPr>
            <w:tcW w:w="0" w:type="auto"/>
            <w:tcBorders>
              <w:top w:val="nil"/>
              <w:left w:val="nil"/>
              <w:bottom w:val="single" w:sz="4" w:space="0" w:color="auto"/>
              <w:right w:val="nil"/>
            </w:tcBorders>
            <w:shd w:val="clear" w:color="auto" w:fill="auto"/>
            <w:noWrap/>
            <w:vAlign w:val="bottom"/>
            <w:hideMark/>
          </w:tcPr>
          <w:p w14:paraId="4FF17A33"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0.53</w:t>
            </w:r>
          </w:p>
        </w:tc>
        <w:tc>
          <w:tcPr>
            <w:tcW w:w="0" w:type="auto"/>
            <w:tcBorders>
              <w:top w:val="nil"/>
              <w:left w:val="nil"/>
              <w:bottom w:val="single" w:sz="4" w:space="0" w:color="auto"/>
              <w:right w:val="nil"/>
            </w:tcBorders>
            <w:shd w:val="clear" w:color="auto" w:fill="auto"/>
            <w:noWrap/>
            <w:vAlign w:val="bottom"/>
            <w:hideMark/>
          </w:tcPr>
          <w:p w14:paraId="7DE9CC77"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0.15</w:t>
            </w:r>
          </w:p>
        </w:tc>
        <w:tc>
          <w:tcPr>
            <w:tcW w:w="0" w:type="auto"/>
            <w:tcBorders>
              <w:top w:val="nil"/>
              <w:left w:val="nil"/>
              <w:bottom w:val="single" w:sz="4" w:space="0" w:color="auto"/>
              <w:right w:val="nil"/>
            </w:tcBorders>
            <w:shd w:val="clear" w:color="000000" w:fill="FFC7CE"/>
            <w:noWrap/>
            <w:vAlign w:val="bottom"/>
            <w:hideMark/>
          </w:tcPr>
          <w:p w14:paraId="0D55FE8C" w14:textId="77777777" w:rsidR="006C75E4" w:rsidRPr="004A5BF7" w:rsidRDefault="006C75E4" w:rsidP="00836C92">
            <w:pPr>
              <w:spacing w:before="0" w:after="0"/>
              <w:jc w:val="center"/>
              <w:rPr>
                <w:rFonts w:cs="Arial"/>
                <w:color w:val="9C0006"/>
                <w:sz w:val="18"/>
                <w:szCs w:val="18"/>
                <w:lang w:val="en-AU" w:eastAsia="en-AU"/>
              </w:rPr>
            </w:pPr>
            <w:r w:rsidRPr="004A5BF7">
              <w:rPr>
                <w:rFonts w:cs="Arial"/>
                <w:color w:val="9C0006"/>
                <w:sz w:val="18"/>
                <w:szCs w:val="18"/>
                <w:lang w:val="en-AU" w:eastAsia="en-AU"/>
              </w:rPr>
              <w:t>0.74</w:t>
            </w:r>
          </w:p>
        </w:tc>
        <w:tc>
          <w:tcPr>
            <w:tcW w:w="0" w:type="auto"/>
            <w:tcBorders>
              <w:top w:val="nil"/>
              <w:left w:val="nil"/>
              <w:bottom w:val="single" w:sz="4" w:space="0" w:color="auto"/>
              <w:right w:val="nil"/>
            </w:tcBorders>
            <w:shd w:val="clear" w:color="000000" w:fill="FFC7CE"/>
            <w:noWrap/>
            <w:vAlign w:val="bottom"/>
            <w:hideMark/>
          </w:tcPr>
          <w:p w14:paraId="37130A84" w14:textId="77777777" w:rsidR="006C75E4" w:rsidRPr="004A5BF7" w:rsidRDefault="006C75E4" w:rsidP="00836C92">
            <w:pPr>
              <w:spacing w:before="0" w:after="0"/>
              <w:jc w:val="center"/>
              <w:rPr>
                <w:rFonts w:cs="Arial"/>
                <w:color w:val="9C0006"/>
                <w:sz w:val="18"/>
                <w:szCs w:val="18"/>
                <w:lang w:val="en-AU" w:eastAsia="en-AU"/>
              </w:rPr>
            </w:pPr>
            <w:r w:rsidRPr="004A5BF7">
              <w:rPr>
                <w:rFonts w:cs="Arial"/>
                <w:color w:val="9C0006"/>
                <w:sz w:val="18"/>
                <w:szCs w:val="18"/>
                <w:lang w:val="en-AU" w:eastAsia="en-AU"/>
              </w:rPr>
              <w:t>0.71</w:t>
            </w:r>
          </w:p>
        </w:tc>
        <w:tc>
          <w:tcPr>
            <w:tcW w:w="0" w:type="auto"/>
            <w:tcBorders>
              <w:top w:val="nil"/>
              <w:left w:val="nil"/>
              <w:bottom w:val="single" w:sz="4" w:space="0" w:color="auto"/>
              <w:right w:val="nil"/>
            </w:tcBorders>
            <w:shd w:val="clear" w:color="auto" w:fill="auto"/>
            <w:noWrap/>
            <w:vAlign w:val="bottom"/>
            <w:hideMark/>
          </w:tcPr>
          <w:p w14:paraId="708732A2" w14:textId="77777777" w:rsidR="006C75E4" w:rsidRPr="004A5BF7" w:rsidRDefault="006C75E4" w:rsidP="00836C92">
            <w:pPr>
              <w:spacing w:before="0" w:after="0"/>
              <w:jc w:val="center"/>
              <w:rPr>
                <w:rFonts w:cs="Arial"/>
                <w:color w:val="000000"/>
                <w:sz w:val="18"/>
                <w:szCs w:val="18"/>
                <w:lang w:val="en-AU" w:eastAsia="en-AU"/>
              </w:rPr>
            </w:pPr>
            <w:r w:rsidRPr="004A5BF7">
              <w:rPr>
                <w:rFonts w:cs="Arial"/>
                <w:color w:val="000000"/>
                <w:sz w:val="18"/>
                <w:szCs w:val="18"/>
                <w:lang w:val="en-AU" w:eastAsia="en-AU"/>
              </w:rPr>
              <w:t>1.00</w:t>
            </w:r>
          </w:p>
        </w:tc>
      </w:tr>
    </w:tbl>
    <w:p w14:paraId="22DFF964" w14:textId="77777777" w:rsidR="004F75D4" w:rsidRDefault="004F75D4" w:rsidP="0046312F">
      <w:pPr>
        <w:rPr>
          <w:lang w:val="en-AU"/>
        </w:rPr>
      </w:pPr>
    </w:p>
    <w:p w14:paraId="738DED5F" w14:textId="6670A954" w:rsidR="006C75E4" w:rsidRDefault="006C75E4" w:rsidP="0046312F">
      <w:pPr>
        <w:rPr>
          <w:lang w:val="en-AU"/>
        </w:rPr>
      </w:pPr>
      <w:r w:rsidRPr="00E0404B">
        <w:rPr>
          <w:lang w:val="en-AU"/>
        </w:rPr>
        <w:t xml:space="preserve">One of the key </w:t>
      </w:r>
      <w:r w:rsidR="00EB7704">
        <w:rPr>
          <w:lang w:val="en-AU"/>
        </w:rPr>
        <w:t>applications</w:t>
      </w:r>
      <w:r w:rsidRPr="00E0404B">
        <w:rPr>
          <w:lang w:val="en-AU"/>
        </w:rPr>
        <w:t xml:space="preserve"> of the </w:t>
      </w:r>
      <w:r>
        <w:rPr>
          <w:lang w:val="en-AU"/>
        </w:rPr>
        <w:t>water quality</w:t>
      </w:r>
      <w:r w:rsidRPr="00E0404B">
        <w:rPr>
          <w:lang w:val="en-AU"/>
        </w:rPr>
        <w:t xml:space="preserve"> parameters sampled in plume waters is to determine how far and at what concentrations land-sourced nutrients and sediment are likely to be observed in the GBR lagoon. This information can be used in dispersion models like the loading maps presented in </w:t>
      </w:r>
      <w:r w:rsidR="00EB7704">
        <w:rPr>
          <w:lang w:val="en-AU"/>
        </w:rPr>
        <w:t>S</w:t>
      </w:r>
      <w:r w:rsidRPr="00E0404B">
        <w:rPr>
          <w:lang w:val="en-AU"/>
        </w:rPr>
        <w:t>ection 5.3.4.</w:t>
      </w:r>
    </w:p>
    <w:p w14:paraId="26D84801" w14:textId="290F1AF9" w:rsidR="006C75E4" w:rsidRDefault="006C75E4" w:rsidP="0046312F">
      <w:pPr>
        <w:rPr>
          <w:lang w:val="en-AU"/>
        </w:rPr>
      </w:pPr>
      <w:r>
        <w:rPr>
          <w:lang w:val="en-AU"/>
        </w:rPr>
        <w:t xml:space="preserve">Box-plots were used to describe the transport of water quality parameters across plume waters. Box-plots were produced by aggregating in-situ values measured within each plume water type (i.e., Primary, Secondary and Tertiary, see data extraction in </w:t>
      </w:r>
      <w:r w:rsidR="00EB7704">
        <w:rPr>
          <w:lang w:val="en-AU"/>
        </w:rPr>
        <w:t>S</w:t>
      </w:r>
      <w:r>
        <w:rPr>
          <w:lang w:val="en-AU"/>
        </w:rPr>
        <w:t xml:space="preserve">ection 4.8). Data is summarised by the median and quantiles within each plume water type. Also a comparison against the guidelines and the result of a </w:t>
      </w:r>
      <w:r w:rsidRPr="009F5ABF">
        <w:rPr>
          <w:lang w:val="en-AU"/>
        </w:rPr>
        <w:t xml:space="preserve">Kruskal-Wallis Rank Sum </w:t>
      </w:r>
      <w:r>
        <w:rPr>
          <w:lang w:val="en-AU"/>
        </w:rPr>
        <w:t>test (as p-value) are provided (</w:t>
      </w:r>
      <w:r>
        <w:rPr>
          <w:lang w:val="en-AU"/>
        </w:rPr>
        <w:fldChar w:fldCharType="begin"/>
      </w:r>
      <w:r>
        <w:rPr>
          <w:lang w:val="en-AU"/>
        </w:rPr>
        <w:instrText xml:space="preserve"> REF _Ref453836154 \h  \* MERGEFORMAT </w:instrText>
      </w:r>
      <w:r>
        <w:rPr>
          <w:lang w:val="en-AU"/>
        </w:rPr>
      </w:r>
      <w:r>
        <w:rPr>
          <w:lang w:val="en-AU"/>
        </w:rPr>
        <w:fldChar w:fldCharType="separate"/>
      </w:r>
      <w:r w:rsidR="007F5336" w:rsidRPr="00BF71A8">
        <w:rPr>
          <w:lang w:val="en-AU"/>
        </w:rPr>
        <w:t xml:space="preserve">Figure </w:t>
      </w:r>
      <w:r w:rsidR="007F5336">
        <w:rPr>
          <w:noProof/>
          <w:lang w:val="en-AU"/>
        </w:rPr>
        <w:t>5</w:t>
      </w:r>
      <w:r w:rsidR="007F5336">
        <w:rPr>
          <w:noProof/>
          <w:lang w:val="en-AU"/>
        </w:rPr>
        <w:noBreakHyphen/>
        <w:t>27</w:t>
      </w:r>
      <w:r>
        <w:rPr>
          <w:lang w:val="en-AU"/>
        </w:rPr>
        <w:fldChar w:fldCharType="end"/>
      </w:r>
      <w:r>
        <w:rPr>
          <w:lang w:val="en-AU"/>
        </w:rPr>
        <w:t>).</w:t>
      </w:r>
    </w:p>
    <w:p w14:paraId="524F16D1" w14:textId="66A71F0A" w:rsidR="006C75E4" w:rsidRDefault="006C75E4" w:rsidP="0046312F">
      <w:pPr>
        <w:rPr>
          <w:lang w:val="en-AU"/>
        </w:rPr>
      </w:pPr>
      <w:r>
        <w:rPr>
          <w:lang w:val="en-AU"/>
        </w:rPr>
        <w:t>Plume water types work as a proxy for terrestrial discharge influence. Primary waters are for river plume</w:t>
      </w:r>
      <w:r w:rsidR="008A2DCB">
        <w:rPr>
          <w:lang w:val="en-AU"/>
        </w:rPr>
        <w:t>s</w:t>
      </w:r>
      <w:r>
        <w:rPr>
          <w:lang w:val="en-AU"/>
        </w:rPr>
        <w:t xml:space="preserve"> in </w:t>
      </w:r>
      <w:r w:rsidR="008A2DCB">
        <w:rPr>
          <w:lang w:val="en-AU"/>
        </w:rPr>
        <w:t>the</w:t>
      </w:r>
      <w:r>
        <w:rPr>
          <w:lang w:val="en-AU"/>
        </w:rPr>
        <w:t xml:space="preserve"> initial stage of development when less mixing has occurred between freshwater and sea water</w:t>
      </w:r>
      <w:r w:rsidR="008A2DCB">
        <w:rPr>
          <w:lang w:val="en-AU"/>
        </w:rPr>
        <w:t>,</w:t>
      </w:r>
      <w:r>
        <w:rPr>
          <w:lang w:val="en-AU"/>
        </w:rPr>
        <w:t xml:space="preserve"> and Tertiary </w:t>
      </w:r>
      <w:r w:rsidR="008A2DCB">
        <w:rPr>
          <w:lang w:val="en-AU"/>
        </w:rPr>
        <w:t xml:space="preserve">plume </w:t>
      </w:r>
      <w:r>
        <w:rPr>
          <w:lang w:val="en-AU"/>
        </w:rPr>
        <w:t xml:space="preserve">waters are characterised by a greater presence of sea water. Therefore it is expected that water constituents discharged into the GBR may </w:t>
      </w:r>
      <w:r w:rsidR="008A2DCB">
        <w:rPr>
          <w:lang w:val="en-AU"/>
        </w:rPr>
        <w:t>have</w:t>
      </w:r>
      <w:r>
        <w:rPr>
          <w:lang w:val="en-AU"/>
        </w:rPr>
        <w:t xml:space="preserve"> higher concentration</w:t>
      </w:r>
      <w:r w:rsidR="008A2DCB">
        <w:rPr>
          <w:lang w:val="en-AU"/>
        </w:rPr>
        <w:t>s</w:t>
      </w:r>
      <w:r>
        <w:rPr>
          <w:lang w:val="en-AU"/>
        </w:rPr>
        <w:t xml:space="preserve"> in Primary waters than in Tertiary waters.</w:t>
      </w:r>
    </w:p>
    <w:p w14:paraId="3F2B4291" w14:textId="1BA8EAB5" w:rsidR="006C75E4" w:rsidRDefault="006C75E4" w:rsidP="0046312F">
      <w:pPr>
        <w:rPr>
          <w:lang w:val="en-AU"/>
        </w:rPr>
      </w:pPr>
      <w:r>
        <w:rPr>
          <w:lang w:val="en-AU"/>
        </w:rPr>
        <w:t>For a wet season with reduced river discharge as occurred in 2014-15, a reduced contribution form land-based contaminants would be expected. Indeed, only one parameter</w:t>
      </w:r>
      <w:r w:rsidRPr="006C75E4">
        <w:rPr>
          <w:lang w:val="en-AU"/>
        </w:rPr>
        <w:t xml:space="preserve"> </w:t>
      </w:r>
      <w:r>
        <w:rPr>
          <w:lang w:val="en-AU"/>
        </w:rPr>
        <w:t>sampled in this wet season, DIN, presented significant difference among the plume</w:t>
      </w:r>
      <w:r w:rsidR="004F75D4">
        <w:rPr>
          <w:lang w:val="en-AU"/>
        </w:rPr>
        <w:t xml:space="preserve"> types</w:t>
      </w:r>
      <w:r>
        <w:rPr>
          <w:lang w:val="en-AU"/>
        </w:rPr>
        <w:t xml:space="preserve"> (</w:t>
      </w:r>
      <w:r>
        <w:rPr>
          <w:lang w:val="en-AU"/>
        </w:rPr>
        <w:fldChar w:fldCharType="begin"/>
      </w:r>
      <w:r>
        <w:rPr>
          <w:lang w:val="en-AU"/>
        </w:rPr>
        <w:instrText xml:space="preserve"> REF _Ref453836154 \h  \* MERGEFORMAT </w:instrText>
      </w:r>
      <w:r>
        <w:rPr>
          <w:lang w:val="en-AU"/>
        </w:rPr>
      </w:r>
      <w:r>
        <w:rPr>
          <w:lang w:val="en-AU"/>
        </w:rPr>
        <w:fldChar w:fldCharType="separate"/>
      </w:r>
      <w:r w:rsidR="007F5336" w:rsidRPr="00BF71A8">
        <w:rPr>
          <w:lang w:val="en-AU"/>
        </w:rPr>
        <w:t xml:space="preserve">Figure </w:t>
      </w:r>
      <w:r w:rsidR="007F5336">
        <w:rPr>
          <w:noProof/>
          <w:lang w:val="en-AU"/>
        </w:rPr>
        <w:t>5</w:t>
      </w:r>
      <w:r w:rsidR="007F5336">
        <w:rPr>
          <w:noProof/>
          <w:lang w:val="en-AU"/>
        </w:rPr>
        <w:noBreakHyphen/>
        <w:t>27</w:t>
      </w:r>
      <w:r>
        <w:rPr>
          <w:lang w:val="en-AU"/>
        </w:rPr>
        <w:fldChar w:fldCharType="end"/>
      </w:r>
      <w:r>
        <w:rPr>
          <w:lang w:val="en-AU"/>
        </w:rPr>
        <w:t xml:space="preserve">g). All the other parameters sampled in 2014-15 wet season </w:t>
      </w:r>
      <w:r w:rsidR="004F75D4">
        <w:rPr>
          <w:lang w:val="en-AU"/>
        </w:rPr>
        <w:t>showed</w:t>
      </w:r>
      <w:r>
        <w:rPr>
          <w:lang w:val="en-AU"/>
        </w:rPr>
        <w:t xml:space="preserve"> no significant difference among water types. It is important to account for this when assessing relationships between water quality parameters and plume types because most of these parameters do not give 'colour' to the water, so plume types do not necessarily represent differences in water quality parameters. There is also great data variability due to environmental conditions on the sampling dates, mainly due to river discharge and wind. However, wind did not influence the water quality parameters investigated in the Russell-Mulgrave </w:t>
      </w:r>
      <w:r w:rsidR="004F75D4">
        <w:rPr>
          <w:lang w:val="en-AU"/>
        </w:rPr>
        <w:t>focus area</w:t>
      </w:r>
      <w:r>
        <w:rPr>
          <w:lang w:val="en-AU"/>
        </w:rPr>
        <w:t xml:space="preserve"> (</w:t>
      </w:r>
      <w:r w:rsidR="004F75D4">
        <w:rPr>
          <w:lang w:val="en-AU"/>
        </w:rPr>
        <w:fldChar w:fldCharType="begin"/>
      </w:r>
      <w:r w:rsidR="004F75D4">
        <w:rPr>
          <w:lang w:val="en-AU"/>
        </w:rPr>
        <w:instrText xml:space="preserve"> REF _Ref459322835 \h </w:instrText>
      </w:r>
      <w:r w:rsidR="004F75D4">
        <w:rPr>
          <w:lang w:val="en-AU"/>
        </w:rPr>
      </w:r>
      <w:r w:rsidR="004F75D4">
        <w:rPr>
          <w:lang w:val="en-AU"/>
        </w:rPr>
        <w:fldChar w:fldCharType="separate"/>
      </w:r>
      <w:r w:rsidR="007F5336">
        <w:t xml:space="preserve">Table </w:t>
      </w:r>
      <w:r w:rsidR="007F5336">
        <w:rPr>
          <w:noProof/>
        </w:rPr>
        <w:t>5</w:t>
      </w:r>
      <w:r w:rsidR="007F5336">
        <w:noBreakHyphen/>
      </w:r>
      <w:r w:rsidR="007F5336">
        <w:rPr>
          <w:noProof/>
        </w:rPr>
        <w:t>5</w:t>
      </w:r>
      <w:r w:rsidR="004F75D4">
        <w:rPr>
          <w:lang w:val="en-AU"/>
        </w:rPr>
        <w:fldChar w:fldCharType="end"/>
      </w:r>
      <w:r>
        <w:rPr>
          <w:lang w:val="en-AU"/>
        </w:rPr>
        <w:t>). Therefore, models using a relationship between water quality parameters and plume types must constrain data comparison to that sampled under flood events (e.g., when river discharge is greater than 75</w:t>
      </w:r>
      <w:r w:rsidRPr="004A5BF7">
        <w:rPr>
          <w:vertAlign w:val="superscript"/>
          <w:lang w:val="en-AU"/>
        </w:rPr>
        <w:t>th</w:t>
      </w:r>
      <w:r>
        <w:rPr>
          <w:lang w:val="en-AU"/>
        </w:rPr>
        <w:t xml:space="preserve"> percentile, which was the threshold used in the load mapping, see </w:t>
      </w:r>
      <w:r w:rsidR="00EB7704">
        <w:rPr>
          <w:lang w:val="en-AU"/>
        </w:rPr>
        <w:t>S</w:t>
      </w:r>
      <w:r>
        <w:rPr>
          <w:lang w:val="en-AU"/>
        </w:rPr>
        <w:t>ection 4.8).</w:t>
      </w:r>
    </w:p>
    <w:p w14:paraId="79A58B11" w14:textId="3874844C" w:rsidR="006C75E4" w:rsidRDefault="006C75E4" w:rsidP="006C75E4">
      <w:pPr>
        <w:rPr>
          <w:lang w:val="en-AU"/>
        </w:rPr>
      </w:pPr>
      <w:r>
        <w:rPr>
          <w:lang w:val="en-AU"/>
        </w:rPr>
        <w:t>For long-term data comparison, the Russell-Mulgrave sites show</w:t>
      </w:r>
      <w:r w:rsidR="004F75D4">
        <w:rPr>
          <w:lang w:val="en-AU"/>
        </w:rPr>
        <w:t>ed</w:t>
      </w:r>
      <w:r>
        <w:rPr>
          <w:lang w:val="en-AU"/>
        </w:rPr>
        <w:t xml:space="preserve"> </w:t>
      </w:r>
      <w:r w:rsidR="004F75D4">
        <w:rPr>
          <w:lang w:val="en-AU"/>
        </w:rPr>
        <w:t>some</w:t>
      </w:r>
      <w:r>
        <w:rPr>
          <w:lang w:val="en-AU"/>
        </w:rPr>
        <w:t xml:space="preserve"> parameters with significant differences in concentrations among the plume water types, such as Kd(PAR) for the long-term comparison (data set from 2005</w:t>
      </w:r>
      <w:r w:rsidR="00EB7704">
        <w:rPr>
          <w:lang w:val="en-AU"/>
        </w:rPr>
        <w:t xml:space="preserve"> to </w:t>
      </w:r>
      <w:r>
        <w:rPr>
          <w:lang w:val="en-AU"/>
        </w:rPr>
        <w:t xml:space="preserve">2015, </w:t>
      </w:r>
      <w:r>
        <w:rPr>
          <w:lang w:val="en-AU"/>
        </w:rPr>
        <w:fldChar w:fldCharType="begin"/>
      </w:r>
      <w:r>
        <w:rPr>
          <w:lang w:val="en-AU"/>
        </w:rPr>
        <w:instrText xml:space="preserve"> REF _Ref453836154 \h </w:instrText>
      </w:r>
      <w:r>
        <w:rPr>
          <w:lang w:val="en-AU"/>
        </w:rPr>
      </w:r>
      <w:r>
        <w:rPr>
          <w:lang w:val="en-AU"/>
        </w:rPr>
        <w:fldChar w:fldCharType="separate"/>
      </w:r>
      <w:r w:rsidR="007F5336" w:rsidRPr="00BF71A8">
        <w:rPr>
          <w:lang w:val="en-AU"/>
        </w:rPr>
        <w:t xml:space="preserve">Figure </w:t>
      </w:r>
      <w:r w:rsidR="007F5336">
        <w:rPr>
          <w:noProof/>
          <w:lang w:val="en-AU"/>
        </w:rPr>
        <w:t>5</w:t>
      </w:r>
      <w:r w:rsidR="007F5336">
        <w:rPr>
          <w:lang w:val="en-AU"/>
        </w:rPr>
        <w:noBreakHyphen/>
      </w:r>
      <w:r w:rsidR="007F5336">
        <w:rPr>
          <w:noProof/>
          <w:lang w:val="en-AU"/>
        </w:rPr>
        <w:t>27</w:t>
      </w:r>
      <w:r>
        <w:rPr>
          <w:lang w:val="en-AU"/>
        </w:rPr>
        <w:fldChar w:fldCharType="end"/>
      </w:r>
      <w:r>
        <w:rPr>
          <w:lang w:val="en-AU"/>
        </w:rPr>
        <w:t>b), DIN for both comparisons (i.e., only 2014-15 data set and 2005</w:t>
      </w:r>
      <w:r w:rsidR="00EB7704">
        <w:rPr>
          <w:lang w:val="en-AU"/>
        </w:rPr>
        <w:t xml:space="preserve"> to </w:t>
      </w:r>
      <w:r>
        <w:rPr>
          <w:lang w:val="en-AU"/>
        </w:rPr>
        <w:t xml:space="preserve">2015 data set, </w:t>
      </w:r>
      <w:r>
        <w:rPr>
          <w:lang w:val="en-AU"/>
        </w:rPr>
        <w:fldChar w:fldCharType="begin"/>
      </w:r>
      <w:r>
        <w:rPr>
          <w:lang w:val="en-AU"/>
        </w:rPr>
        <w:instrText xml:space="preserve"> REF _Ref453836154 \h </w:instrText>
      </w:r>
      <w:r>
        <w:rPr>
          <w:lang w:val="en-AU"/>
        </w:rPr>
      </w:r>
      <w:r>
        <w:rPr>
          <w:lang w:val="en-AU"/>
        </w:rPr>
        <w:fldChar w:fldCharType="separate"/>
      </w:r>
      <w:r w:rsidR="007F5336" w:rsidRPr="00BF71A8">
        <w:rPr>
          <w:lang w:val="en-AU"/>
        </w:rPr>
        <w:t xml:space="preserve">Figure </w:t>
      </w:r>
      <w:r w:rsidR="007F5336">
        <w:rPr>
          <w:noProof/>
          <w:lang w:val="en-AU"/>
        </w:rPr>
        <w:t>5</w:t>
      </w:r>
      <w:r w:rsidR="007F5336">
        <w:rPr>
          <w:lang w:val="en-AU"/>
        </w:rPr>
        <w:noBreakHyphen/>
      </w:r>
      <w:r w:rsidR="007F5336">
        <w:rPr>
          <w:noProof/>
          <w:lang w:val="en-AU"/>
        </w:rPr>
        <w:t>27</w:t>
      </w:r>
      <w:r>
        <w:rPr>
          <w:lang w:val="en-AU"/>
        </w:rPr>
        <w:fldChar w:fldCharType="end"/>
      </w:r>
      <w:r>
        <w:rPr>
          <w:lang w:val="en-AU"/>
        </w:rPr>
        <w:t>g, h) and PP for 2005</w:t>
      </w:r>
      <w:r w:rsidR="00EB7704">
        <w:rPr>
          <w:lang w:val="en-AU"/>
        </w:rPr>
        <w:t xml:space="preserve"> to </w:t>
      </w:r>
      <w:r>
        <w:rPr>
          <w:lang w:val="en-AU"/>
        </w:rPr>
        <w:t>2015 data set (</w:t>
      </w:r>
      <w:r>
        <w:rPr>
          <w:lang w:val="en-AU"/>
        </w:rPr>
        <w:fldChar w:fldCharType="begin"/>
      </w:r>
      <w:r>
        <w:rPr>
          <w:lang w:val="en-AU"/>
        </w:rPr>
        <w:instrText xml:space="preserve"> REF _Ref453836154 \h </w:instrText>
      </w:r>
      <w:r>
        <w:rPr>
          <w:lang w:val="en-AU"/>
        </w:rPr>
      </w:r>
      <w:r>
        <w:rPr>
          <w:lang w:val="en-AU"/>
        </w:rPr>
        <w:fldChar w:fldCharType="separate"/>
      </w:r>
      <w:r w:rsidR="007F5336" w:rsidRPr="00BF71A8">
        <w:rPr>
          <w:lang w:val="en-AU"/>
        </w:rPr>
        <w:t xml:space="preserve">Figure </w:t>
      </w:r>
      <w:r w:rsidR="007F5336">
        <w:rPr>
          <w:noProof/>
          <w:lang w:val="en-AU"/>
        </w:rPr>
        <w:t>5</w:t>
      </w:r>
      <w:r w:rsidR="007F5336">
        <w:rPr>
          <w:lang w:val="en-AU"/>
        </w:rPr>
        <w:noBreakHyphen/>
      </w:r>
      <w:r w:rsidR="007F5336">
        <w:rPr>
          <w:noProof/>
          <w:lang w:val="en-AU"/>
        </w:rPr>
        <w:t>27</w:t>
      </w:r>
      <w:r>
        <w:rPr>
          <w:lang w:val="en-AU"/>
        </w:rPr>
        <w:fldChar w:fldCharType="end"/>
      </w:r>
      <w:r>
        <w:rPr>
          <w:lang w:val="en-AU"/>
        </w:rPr>
        <w:t>n). For the other parameters no significant difference was observed in concentrations among the plume water types, suggesting these parameters do not undergo much transformation and remain stable for long distances. In terms of the median in-situ measurement compared against guideline values, for those water constituents with guidelines, TSS, DIN, and Chl-a were constantly above the thresholds in any plume water type in both comparisons (i.e., 2014-15 data set and 2005</w:t>
      </w:r>
      <w:r w:rsidR="00EB7704">
        <w:rPr>
          <w:lang w:val="en-AU"/>
        </w:rPr>
        <w:t xml:space="preserve"> to </w:t>
      </w:r>
      <w:r>
        <w:rPr>
          <w:lang w:val="en-AU"/>
        </w:rPr>
        <w:t>2015 data set).</w:t>
      </w:r>
    </w:p>
    <w:p w14:paraId="5ED4F593" w14:textId="77777777" w:rsidR="006C75E4" w:rsidRDefault="006C75E4" w:rsidP="006C75E4">
      <w:pPr>
        <w:rPr>
          <w:lang w:val="en-AU"/>
        </w:rPr>
      </w:pPr>
    </w:p>
    <w:p w14:paraId="2ADDDF8C" w14:textId="64B9B2B5" w:rsidR="006C75E4" w:rsidRDefault="006C75E4" w:rsidP="004A5BF7">
      <w:pPr>
        <w:rPr>
          <w:lang w:val="en-AU"/>
        </w:rPr>
      </w:pPr>
      <w:r>
        <w:rPr>
          <w:noProof/>
          <w:lang w:val="en-AU" w:eastAsia="en-AU"/>
        </w:rPr>
        <w:drawing>
          <wp:anchor distT="0" distB="0" distL="114300" distR="114300" simplePos="0" relativeHeight="251661824" behindDoc="0" locked="0" layoutInCell="1" allowOverlap="1" wp14:anchorId="4784630C" wp14:editId="4624A65A">
            <wp:simplePos x="0" y="0"/>
            <wp:positionH relativeFrom="column">
              <wp:posOffset>0</wp:posOffset>
            </wp:positionH>
            <wp:positionV relativeFrom="paragraph">
              <wp:posOffset>0</wp:posOffset>
            </wp:positionV>
            <wp:extent cx="5759450" cy="5759450"/>
            <wp:effectExtent l="0" t="0" r="0" b="0"/>
            <wp:wrapTopAndBottom/>
            <wp:docPr id="7212" name="Picture 7212" descr="Panel of boxplots for the water quality parameters sampled at the Russell-Mulgrave sites in the current wet season compared to all data sampled since 2005-06 wet season. In the boxplot bold line stands for median, rectangles are for the 25th and 75th percentiles and vertical line for 5th and 95th percentile. The p-value is from a Kruskal-Wallis Rank Sum test among plume water types. Dots stand for data points (nudge was added for data visualization) and red dashed line stands for the water quality guidelines for open coastal waters. Plume water type 1, 2 and 3 stands for Primary, Secondary " title="Figure 5 27: Boxplot for the water quality parameters sampled at the Russell-Mulgrave sites in the current wet season compared to all data sampled since 2005-06 wet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1">
                      <a:extLst>
                        <a:ext uri="{28A0092B-C50C-407E-A947-70E740481C1C}">
                          <a14:useLocalDpi xmlns:a14="http://schemas.microsoft.com/office/drawing/2010/main" val="0"/>
                        </a:ext>
                      </a:extLst>
                    </a:blip>
                    <a:stretch>
                      <a:fillRect/>
                    </a:stretch>
                  </pic:blipFill>
                  <pic:spPr>
                    <a:xfrm>
                      <a:off x="0" y="0"/>
                      <a:ext cx="5759450" cy="5759450"/>
                    </a:xfrm>
                    <a:prstGeom prst="rect">
                      <a:avLst/>
                    </a:prstGeom>
                  </pic:spPr>
                </pic:pic>
              </a:graphicData>
            </a:graphic>
            <wp14:sizeRelH relativeFrom="page">
              <wp14:pctWidth>0</wp14:pctWidth>
            </wp14:sizeRelH>
            <wp14:sizeRelV relativeFrom="page">
              <wp14:pctHeight>0</wp14:pctHeight>
            </wp14:sizeRelV>
          </wp:anchor>
        </w:drawing>
      </w:r>
    </w:p>
    <w:p w14:paraId="1CD5BADA" w14:textId="6833EF94" w:rsidR="006C75E4" w:rsidRPr="00BF71A8" w:rsidRDefault="006C75E4" w:rsidP="006C75E4">
      <w:pPr>
        <w:pStyle w:val="Caption"/>
        <w:rPr>
          <w:rStyle w:val="IntenseReference"/>
          <w:lang w:val="en-AU"/>
        </w:rPr>
      </w:pPr>
      <w:bookmarkStart w:id="1215" w:name="_Ref453836154"/>
      <w:bookmarkStart w:id="1216" w:name="_Toc459332385"/>
      <w:r w:rsidRPr="00BF71A8">
        <w:rPr>
          <w:lang w:val="en-AU"/>
        </w:rPr>
        <w:t xml:space="preserve">Figure </w:t>
      </w:r>
      <w:r w:rsidR="00C62884">
        <w:rPr>
          <w:lang w:val="en-AU"/>
        </w:rPr>
        <w:fldChar w:fldCharType="begin"/>
      </w:r>
      <w:r w:rsidR="00C62884">
        <w:rPr>
          <w:lang w:val="en-AU"/>
        </w:rPr>
        <w:instrText xml:space="preserve"> STYLEREF 1 \s </w:instrText>
      </w:r>
      <w:r w:rsidR="00C62884">
        <w:rPr>
          <w:lang w:val="en-AU"/>
        </w:rPr>
        <w:fldChar w:fldCharType="separate"/>
      </w:r>
      <w:r w:rsidR="007F5336">
        <w:rPr>
          <w:noProof/>
          <w:lang w:val="en-AU"/>
        </w:rPr>
        <w:t>5</w:t>
      </w:r>
      <w:r w:rsidR="00C62884">
        <w:rPr>
          <w:lang w:val="en-AU"/>
        </w:rPr>
        <w:fldChar w:fldCharType="end"/>
      </w:r>
      <w:r w:rsidR="00C62884">
        <w:rPr>
          <w:lang w:val="en-AU"/>
        </w:rPr>
        <w:noBreakHyphen/>
      </w:r>
      <w:r w:rsidR="00C62884">
        <w:rPr>
          <w:lang w:val="en-AU"/>
        </w:rPr>
        <w:fldChar w:fldCharType="begin"/>
      </w:r>
      <w:r w:rsidR="00C62884">
        <w:rPr>
          <w:lang w:val="en-AU"/>
        </w:rPr>
        <w:instrText xml:space="preserve"> SEQ Figure \* ARABIC \s 1 </w:instrText>
      </w:r>
      <w:r w:rsidR="00C62884">
        <w:rPr>
          <w:lang w:val="en-AU"/>
        </w:rPr>
        <w:fldChar w:fldCharType="separate"/>
      </w:r>
      <w:r w:rsidR="007F5336">
        <w:rPr>
          <w:noProof/>
          <w:lang w:val="en-AU"/>
        </w:rPr>
        <w:t>27</w:t>
      </w:r>
      <w:r w:rsidR="00C62884">
        <w:rPr>
          <w:lang w:val="en-AU"/>
        </w:rPr>
        <w:fldChar w:fldCharType="end"/>
      </w:r>
      <w:bookmarkEnd w:id="1215"/>
      <w:r w:rsidRPr="00BF71A8">
        <w:rPr>
          <w:lang w:val="en-AU"/>
        </w:rPr>
        <w:t xml:space="preserve">: </w:t>
      </w:r>
      <w:r>
        <w:rPr>
          <w:lang w:val="en-AU"/>
        </w:rPr>
        <w:t>Boxplot for the water quality parameters sampled at the Russell-Mulgrave sites in the current wet season compared to all data sampled since 2005-06 wet season. In the boxplot bold line stands for median, rectangles are for the 25</w:t>
      </w:r>
      <w:r w:rsidRPr="00883BEF">
        <w:rPr>
          <w:vertAlign w:val="superscript"/>
          <w:lang w:val="en-AU"/>
        </w:rPr>
        <w:t>th</w:t>
      </w:r>
      <w:r>
        <w:rPr>
          <w:lang w:val="en-AU"/>
        </w:rPr>
        <w:t xml:space="preserve"> and 75</w:t>
      </w:r>
      <w:r w:rsidRPr="00883BEF">
        <w:rPr>
          <w:vertAlign w:val="superscript"/>
          <w:lang w:val="en-AU"/>
        </w:rPr>
        <w:t>th</w:t>
      </w:r>
      <w:r>
        <w:rPr>
          <w:lang w:val="en-AU"/>
        </w:rPr>
        <w:t xml:space="preserve"> percentiles and vertical line for 5</w:t>
      </w:r>
      <w:r w:rsidRPr="00883BEF">
        <w:rPr>
          <w:vertAlign w:val="superscript"/>
          <w:lang w:val="en-AU"/>
        </w:rPr>
        <w:t>th</w:t>
      </w:r>
      <w:r>
        <w:rPr>
          <w:lang w:val="en-AU"/>
        </w:rPr>
        <w:t xml:space="preserve"> and 95</w:t>
      </w:r>
      <w:r w:rsidRPr="00883BEF">
        <w:rPr>
          <w:vertAlign w:val="superscript"/>
          <w:lang w:val="en-AU"/>
        </w:rPr>
        <w:t>th</w:t>
      </w:r>
      <w:r>
        <w:rPr>
          <w:lang w:val="en-AU"/>
        </w:rPr>
        <w:t xml:space="preserve"> percentile. The p-value is from a </w:t>
      </w:r>
      <w:r w:rsidRPr="009F5ABF">
        <w:rPr>
          <w:lang w:val="en-AU"/>
        </w:rPr>
        <w:t xml:space="preserve">Kruskal-Wallis Rank Sum </w:t>
      </w:r>
      <w:r>
        <w:rPr>
          <w:lang w:val="en-AU"/>
        </w:rPr>
        <w:t>test among plume water types. Dots stand for data points (nudge was added for data visualization) and red dashed line stands for the water quality guidelines for open coastal waters. Plume water type 1, 2 and 3 stands for Primary, Secondary and Tertiary, respectively.</w:t>
      </w:r>
      <w:bookmarkEnd w:id="1216"/>
    </w:p>
    <w:p w14:paraId="5F22F275" w14:textId="77777777" w:rsidR="00F4614B" w:rsidRPr="008467AA" w:rsidRDefault="00F4614B" w:rsidP="008A708D">
      <w:pPr>
        <w:rPr>
          <w:lang w:val="en-AU"/>
        </w:rPr>
      </w:pPr>
    </w:p>
    <w:p w14:paraId="5F22F276" w14:textId="77777777" w:rsidR="003574C5" w:rsidRPr="008467AA" w:rsidRDefault="003574C5">
      <w:pPr>
        <w:spacing w:before="0" w:after="0"/>
        <w:jc w:val="left"/>
        <w:rPr>
          <w:rFonts w:eastAsia="SimSun"/>
          <w:b/>
          <w:sz w:val="24"/>
          <w:lang w:val="en-AU"/>
        </w:rPr>
      </w:pPr>
      <w:bookmarkStart w:id="1217" w:name="_Toc167192443"/>
      <w:bookmarkEnd w:id="1210"/>
      <w:r w:rsidRPr="008467AA">
        <w:rPr>
          <w:lang w:val="en-AU"/>
        </w:rPr>
        <w:br w:type="page"/>
      </w:r>
    </w:p>
    <w:p w14:paraId="5F22F277" w14:textId="35E997A7" w:rsidR="00C003C1" w:rsidRPr="008617A0" w:rsidRDefault="008617A0" w:rsidP="004A5BF7">
      <w:pPr>
        <w:pStyle w:val="Heading30"/>
        <w:numPr>
          <w:ilvl w:val="2"/>
          <w:numId w:val="42"/>
        </w:numPr>
        <w:rPr>
          <w:rStyle w:val="Heading20"/>
          <w:rFonts w:cs="Times New Roman"/>
          <w:b w:val="0"/>
          <w:i w:val="0"/>
          <w:sz w:val="22"/>
          <w:szCs w:val="20"/>
        </w:rPr>
      </w:pPr>
      <w:r w:rsidRPr="008617A0">
        <w:rPr>
          <w:rStyle w:val="Heading20"/>
        </w:rPr>
        <w:tab/>
      </w:r>
      <w:bookmarkStart w:id="1218" w:name="_Toc462307453"/>
      <w:r w:rsidR="00057454" w:rsidRPr="008617A0">
        <w:rPr>
          <w:rStyle w:val="Heading20"/>
        </w:rPr>
        <w:t xml:space="preserve">Wet Tropics Region: Tully </w:t>
      </w:r>
      <w:r w:rsidR="00EE2F27" w:rsidRPr="008617A0">
        <w:rPr>
          <w:rStyle w:val="Heading20"/>
        </w:rPr>
        <w:t>focus</w:t>
      </w:r>
      <w:r w:rsidR="00F526F3">
        <w:rPr>
          <w:rStyle w:val="Heading20"/>
        </w:rPr>
        <w:t xml:space="preserve"> area</w:t>
      </w:r>
      <w:bookmarkStart w:id="1219" w:name="_Toc167192444"/>
      <w:bookmarkEnd w:id="1217"/>
      <w:bookmarkEnd w:id="1218"/>
    </w:p>
    <w:p w14:paraId="5F22F279" w14:textId="77777777" w:rsidR="000B3C54" w:rsidRPr="00FF2B4C" w:rsidRDefault="000B3C54" w:rsidP="00164E5E">
      <w:pPr>
        <w:pStyle w:val="Heading4"/>
      </w:pPr>
      <w:bookmarkStart w:id="1220" w:name="_Toc437512644"/>
      <w:bookmarkEnd w:id="1220"/>
      <w:r w:rsidRPr="00FF2B4C">
        <w:t>Overview</w:t>
      </w:r>
    </w:p>
    <w:p w14:paraId="735CC4EC" w14:textId="7D43A5BA" w:rsidR="00E62642" w:rsidRPr="0076343A" w:rsidRDefault="00E62642" w:rsidP="00E62642">
      <w:pPr>
        <w:rPr>
          <w:rFonts w:ascii="Calibri" w:hAnsi="Calibri"/>
          <w:sz w:val="20"/>
        </w:rPr>
      </w:pPr>
      <w:r w:rsidRPr="000304E3">
        <w:rPr>
          <w:rFonts w:cs="Arial"/>
          <w:szCs w:val="22"/>
          <w:lang w:val="en-AU"/>
        </w:rPr>
        <w:t xml:space="preserve">The </w:t>
      </w:r>
      <w:r>
        <w:rPr>
          <w:rFonts w:cs="Arial"/>
          <w:szCs w:val="22"/>
          <w:lang w:val="en-AU"/>
        </w:rPr>
        <w:t>Tully</w:t>
      </w:r>
      <w:r w:rsidRPr="000304E3">
        <w:rPr>
          <w:rFonts w:cs="Arial"/>
          <w:szCs w:val="22"/>
          <w:lang w:val="en-AU"/>
        </w:rPr>
        <w:t xml:space="preserve"> </w:t>
      </w:r>
      <w:r w:rsidR="00F526F3">
        <w:rPr>
          <w:rFonts w:cs="Arial"/>
          <w:szCs w:val="22"/>
          <w:lang w:val="en-AU"/>
        </w:rPr>
        <w:t>focus area</w:t>
      </w:r>
      <w:r>
        <w:rPr>
          <w:rFonts w:cs="Arial"/>
          <w:szCs w:val="22"/>
          <w:lang w:val="en-AU"/>
        </w:rPr>
        <w:t xml:space="preserve"> is primarily influenced by discharge from the Tully, Murray and Herbert Rivers, </w:t>
      </w:r>
      <w:r w:rsidRPr="000304E3">
        <w:rPr>
          <w:rFonts w:cs="Arial"/>
          <w:szCs w:val="22"/>
          <w:lang w:val="en-AU"/>
        </w:rPr>
        <w:t xml:space="preserve">and to a lesser extent, by </w:t>
      </w:r>
      <w:r>
        <w:rPr>
          <w:rFonts w:cs="Arial"/>
          <w:szCs w:val="22"/>
          <w:lang w:val="en-AU"/>
        </w:rPr>
        <w:t>the Burdekin River in large flow years</w:t>
      </w:r>
      <w:r w:rsidRPr="000304E3">
        <w:rPr>
          <w:rFonts w:cs="Arial"/>
          <w:szCs w:val="22"/>
          <w:lang w:val="en-AU"/>
        </w:rPr>
        <w:t xml:space="preserve"> (</w:t>
      </w:r>
      <w:r>
        <w:rPr>
          <w:rFonts w:cs="Arial"/>
          <w:szCs w:val="22"/>
          <w:lang w:val="en-AU"/>
        </w:rPr>
        <w:t>Brodie</w:t>
      </w:r>
      <w:r w:rsidRPr="000304E3">
        <w:rPr>
          <w:rFonts w:cs="Arial"/>
          <w:szCs w:val="22"/>
          <w:lang w:val="en-AU"/>
        </w:rPr>
        <w:t xml:space="preserve"> </w:t>
      </w:r>
      <w:r w:rsidRPr="005128DC">
        <w:rPr>
          <w:rFonts w:cs="Arial"/>
          <w:szCs w:val="22"/>
          <w:lang w:val="en-AU"/>
        </w:rPr>
        <w:t>et al.</w:t>
      </w:r>
      <w:r>
        <w:rPr>
          <w:rFonts w:cs="Arial"/>
          <w:szCs w:val="22"/>
          <w:lang w:val="en-AU"/>
        </w:rPr>
        <w:t>,</w:t>
      </w:r>
      <w:r w:rsidRPr="000304E3">
        <w:rPr>
          <w:rFonts w:cs="Arial"/>
          <w:szCs w:val="22"/>
          <w:lang w:val="en-AU"/>
        </w:rPr>
        <w:t xml:space="preserve"> 2013).</w:t>
      </w:r>
      <w:r>
        <w:rPr>
          <w:rFonts w:cs="Arial"/>
          <w:szCs w:val="22"/>
          <w:lang w:val="en-AU"/>
        </w:rPr>
        <w:t xml:space="preserve"> </w:t>
      </w:r>
      <w:r w:rsidRPr="004A5BF7">
        <w:rPr>
          <w:rFonts w:cs="Arial"/>
          <w:szCs w:val="22"/>
          <w:lang w:val="en-AU"/>
        </w:rPr>
        <w:t xml:space="preserve">The Tully </w:t>
      </w:r>
      <w:r w:rsidR="00F526F3">
        <w:rPr>
          <w:rFonts w:cs="Arial"/>
          <w:szCs w:val="22"/>
          <w:lang w:val="en-AU"/>
        </w:rPr>
        <w:t>River Basin</w:t>
      </w:r>
      <w:r w:rsidRPr="004A5BF7">
        <w:rPr>
          <w:rFonts w:cs="Arial"/>
          <w:szCs w:val="22"/>
          <w:lang w:val="en-AU"/>
        </w:rPr>
        <w:t xml:space="preserve"> has an area of 1,685 km</w:t>
      </w:r>
      <w:r w:rsidRPr="004A5BF7">
        <w:rPr>
          <w:rFonts w:cs="Arial"/>
          <w:szCs w:val="22"/>
          <w:vertAlign w:val="superscript"/>
          <w:lang w:val="en-AU"/>
        </w:rPr>
        <w:t>2</w:t>
      </w:r>
      <w:r w:rsidRPr="004A5BF7">
        <w:rPr>
          <w:rFonts w:cs="Arial"/>
          <w:szCs w:val="22"/>
          <w:lang w:val="en-AU"/>
        </w:rPr>
        <w:t xml:space="preserve"> and has a high proportion of natural/minimal use lands (75%). The remaining area is comprised of 12% sugarcane, 4% bananas, 5% grazing, </w:t>
      </w:r>
      <w:r>
        <w:rPr>
          <w:rFonts w:cs="Arial"/>
          <w:szCs w:val="22"/>
          <w:lang w:val="en-AU"/>
        </w:rPr>
        <w:t>and smaller areas of</w:t>
      </w:r>
      <w:r w:rsidRPr="004A5BF7">
        <w:rPr>
          <w:rFonts w:cs="Arial"/>
          <w:szCs w:val="22"/>
          <w:lang w:val="en-AU"/>
        </w:rPr>
        <w:t xml:space="preserve"> forestry, other crops </w:t>
      </w:r>
      <w:r w:rsidRPr="00313B2A">
        <w:rPr>
          <w:rFonts w:cs="Arial"/>
          <w:szCs w:val="22"/>
          <w:lang w:val="en-AU"/>
        </w:rPr>
        <w:t xml:space="preserve">and </w:t>
      </w:r>
      <w:r w:rsidRPr="004A5BF7">
        <w:rPr>
          <w:rFonts w:cs="Arial"/>
          <w:szCs w:val="22"/>
          <w:lang w:val="en-AU"/>
        </w:rPr>
        <w:t>urban land uses.</w:t>
      </w:r>
      <w:r>
        <w:rPr>
          <w:rFonts w:cs="Arial"/>
          <w:szCs w:val="22"/>
          <w:lang w:val="en-AU"/>
        </w:rPr>
        <w:t xml:space="preserve"> </w:t>
      </w:r>
      <w:r w:rsidRPr="004A5BF7">
        <w:rPr>
          <w:rFonts w:cs="Arial"/>
          <w:szCs w:val="22"/>
          <w:lang w:val="en-AU"/>
        </w:rPr>
        <w:t xml:space="preserve">The Murray </w:t>
      </w:r>
      <w:r w:rsidR="00F526F3">
        <w:rPr>
          <w:rFonts w:cs="Arial"/>
          <w:szCs w:val="22"/>
          <w:lang w:val="en-AU"/>
        </w:rPr>
        <w:t>River Basin</w:t>
      </w:r>
      <w:r w:rsidRPr="004A5BF7">
        <w:rPr>
          <w:rFonts w:cs="Arial"/>
          <w:szCs w:val="22"/>
          <w:lang w:val="en-AU"/>
        </w:rPr>
        <w:t xml:space="preserve"> has an area of 1,115 km</w:t>
      </w:r>
      <w:r w:rsidRPr="004A5BF7">
        <w:rPr>
          <w:rFonts w:cs="Arial"/>
          <w:szCs w:val="22"/>
          <w:vertAlign w:val="superscript"/>
          <w:lang w:val="en-AU"/>
        </w:rPr>
        <w:t>2</w:t>
      </w:r>
      <w:r w:rsidRPr="004A5BF7">
        <w:rPr>
          <w:rFonts w:cs="Arial"/>
          <w:szCs w:val="22"/>
          <w:lang w:val="en-AU"/>
        </w:rPr>
        <w:t xml:space="preserve"> and also has a high proportion of natural/minimal use lands (64%). The remaining area is comprised of 14% sugarcane, 10% forestry, 6% grazing</w:t>
      </w:r>
      <w:r>
        <w:rPr>
          <w:rFonts w:cs="Arial"/>
          <w:szCs w:val="22"/>
          <w:lang w:val="en-AU"/>
        </w:rPr>
        <w:t xml:space="preserve"> and smaller areas of </w:t>
      </w:r>
      <w:r w:rsidRPr="004A5BF7">
        <w:rPr>
          <w:rFonts w:cs="Arial"/>
          <w:szCs w:val="22"/>
          <w:lang w:val="en-AU"/>
        </w:rPr>
        <w:t xml:space="preserve">bananas, other crops, </w:t>
      </w:r>
      <w:r>
        <w:rPr>
          <w:rFonts w:cs="Arial"/>
          <w:szCs w:val="22"/>
          <w:lang w:val="en-AU"/>
        </w:rPr>
        <w:t>and</w:t>
      </w:r>
      <w:r w:rsidRPr="004A5BF7">
        <w:rPr>
          <w:rFonts w:cs="Arial"/>
          <w:szCs w:val="22"/>
          <w:lang w:val="en-AU"/>
        </w:rPr>
        <w:t xml:space="preserve"> urban land uses.</w:t>
      </w:r>
      <w:r>
        <w:rPr>
          <w:rFonts w:cs="Arial"/>
          <w:szCs w:val="22"/>
          <w:lang w:val="en-AU"/>
        </w:rPr>
        <w:t xml:space="preserve"> </w:t>
      </w:r>
      <w:r w:rsidRPr="004A5BF7">
        <w:rPr>
          <w:rFonts w:cs="Arial"/>
          <w:szCs w:val="22"/>
          <w:lang w:val="en-AU"/>
        </w:rPr>
        <w:t xml:space="preserve">The Herbert </w:t>
      </w:r>
      <w:r w:rsidR="00B437C6">
        <w:rPr>
          <w:rFonts w:cs="Arial"/>
          <w:szCs w:val="22"/>
          <w:lang w:val="en-AU"/>
        </w:rPr>
        <w:t>River Basin</w:t>
      </w:r>
      <w:r>
        <w:rPr>
          <w:rFonts w:cs="Arial"/>
          <w:szCs w:val="22"/>
          <w:lang w:val="en-AU"/>
        </w:rPr>
        <w:t xml:space="preserve"> </w:t>
      </w:r>
      <w:r w:rsidRPr="004A5BF7">
        <w:rPr>
          <w:rFonts w:cs="Arial"/>
          <w:szCs w:val="22"/>
          <w:lang w:val="en-AU"/>
        </w:rPr>
        <w:t>has an area of 9,842 km</w:t>
      </w:r>
      <w:r w:rsidRPr="004A5BF7">
        <w:rPr>
          <w:rFonts w:cs="Arial"/>
          <w:szCs w:val="22"/>
          <w:vertAlign w:val="superscript"/>
          <w:lang w:val="en-AU"/>
        </w:rPr>
        <w:t>2</w:t>
      </w:r>
      <w:r w:rsidRPr="004A5BF7">
        <w:rPr>
          <w:rFonts w:cs="Arial"/>
          <w:szCs w:val="22"/>
          <w:lang w:val="en-AU"/>
        </w:rPr>
        <w:t xml:space="preserve"> and consists of 27% natural/minimal use lands, 56% grazing, 8% sugarcane</w:t>
      </w:r>
      <w:r>
        <w:rPr>
          <w:rFonts w:cs="Arial"/>
          <w:szCs w:val="22"/>
          <w:lang w:val="en-AU"/>
        </w:rPr>
        <w:t xml:space="preserve"> and smaller areas of</w:t>
      </w:r>
      <w:r w:rsidRPr="004A5BF7">
        <w:rPr>
          <w:rFonts w:cs="Arial"/>
          <w:szCs w:val="22"/>
          <w:lang w:val="en-AU"/>
        </w:rPr>
        <w:t xml:space="preserve"> forestry.</w:t>
      </w:r>
    </w:p>
    <w:p w14:paraId="5F22F27C" w14:textId="53D9BAC0" w:rsidR="008645FA" w:rsidRPr="008467AA" w:rsidRDefault="008645FA" w:rsidP="008645FA">
      <w:pPr>
        <w:rPr>
          <w:rFonts w:cs="Arial"/>
          <w:szCs w:val="22"/>
          <w:lang w:val="en-AU"/>
        </w:rPr>
      </w:pPr>
      <w:r w:rsidRPr="008467AA">
        <w:rPr>
          <w:szCs w:val="22"/>
          <w:lang w:val="en-AU"/>
        </w:rPr>
        <w:t xml:space="preserve">One station </w:t>
      </w:r>
      <w:r w:rsidR="003F7A36">
        <w:rPr>
          <w:szCs w:val="22"/>
          <w:lang w:val="en-AU"/>
        </w:rPr>
        <w:t>was</w:t>
      </w:r>
      <w:r w:rsidR="003F7A36" w:rsidRPr="008467AA">
        <w:rPr>
          <w:szCs w:val="22"/>
          <w:lang w:val="en-AU"/>
        </w:rPr>
        <w:t xml:space="preserve"> </w:t>
      </w:r>
      <w:r w:rsidRPr="008467AA">
        <w:rPr>
          <w:szCs w:val="22"/>
          <w:lang w:val="en-AU"/>
        </w:rPr>
        <w:t xml:space="preserve">sampled </w:t>
      </w:r>
      <w:r w:rsidR="004448D4">
        <w:rPr>
          <w:szCs w:val="22"/>
          <w:lang w:val="en-AU"/>
        </w:rPr>
        <w:t xml:space="preserve">in this </w:t>
      </w:r>
      <w:r w:rsidR="00B437C6">
        <w:rPr>
          <w:szCs w:val="22"/>
          <w:lang w:val="en-AU"/>
        </w:rPr>
        <w:t xml:space="preserve">focus area </w:t>
      </w:r>
      <w:r w:rsidRPr="008467AA">
        <w:rPr>
          <w:szCs w:val="22"/>
          <w:lang w:val="en-AU"/>
        </w:rPr>
        <w:t>three times per year until the end of 2014</w:t>
      </w:r>
      <w:r w:rsidRPr="008467AA">
        <w:rPr>
          <w:rFonts w:cs="Arial"/>
          <w:szCs w:val="22"/>
          <w:lang w:val="en-AU"/>
        </w:rPr>
        <w:t xml:space="preserve">. After the implementation of the new </w:t>
      </w:r>
      <w:r w:rsidRPr="008467AA">
        <w:rPr>
          <w:szCs w:val="22"/>
          <w:lang w:val="en-AU"/>
        </w:rPr>
        <w:t xml:space="preserve">MMP water quality sampling </w:t>
      </w:r>
      <w:r w:rsidR="00416C81" w:rsidRPr="00416C81">
        <w:rPr>
          <w:szCs w:val="22"/>
          <w:lang w:val="en-AU"/>
        </w:rPr>
        <w:t>design</w:t>
      </w:r>
      <w:r w:rsidR="00416C81" w:rsidRPr="00B80126">
        <w:rPr>
          <w:rFonts w:cs="Arial"/>
          <w:szCs w:val="22"/>
          <w:lang w:val="en-AU"/>
        </w:rPr>
        <w:t xml:space="preserve"> in</w:t>
      </w:r>
      <w:r w:rsidRPr="008467AA">
        <w:rPr>
          <w:rFonts w:cs="Arial"/>
          <w:szCs w:val="22"/>
          <w:lang w:val="en-AU"/>
        </w:rPr>
        <w:t xml:space="preserve"> 2015, </w:t>
      </w:r>
      <w:r w:rsidR="00E62642">
        <w:rPr>
          <w:rFonts w:cs="Arial"/>
          <w:szCs w:val="22"/>
          <w:lang w:val="en-AU"/>
        </w:rPr>
        <w:t>the Tully</w:t>
      </w:r>
      <w:r w:rsidR="00E62642" w:rsidRPr="008467AA">
        <w:rPr>
          <w:rFonts w:cs="Arial"/>
          <w:szCs w:val="22"/>
          <w:lang w:val="en-AU"/>
        </w:rPr>
        <w:t xml:space="preserve"> </w:t>
      </w:r>
      <w:r w:rsidR="00B437C6">
        <w:rPr>
          <w:rFonts w:cs="Arial"/>
          <w:szCs w:val="22"/>
          <w:lang w:val="en-AU"/>
        </w:rPr>
        <w:t>focus area</w:t>
      </w:r>
      <w:r w:rsidR="00E62642" w:rsidRPr="008467AA">
        <w:rPr>
          <w:rFonts w:cs="Arial"/>
          <w:szCs w:val="22"/>
          <w:lang w:val="en-AU"/>
        </w:rPr>
        <w:t xml:space="preserve"> </w:t>
      </w:r>
      <w:r w:rsidR="00E62642">
        <w:rPr>
          <w:rFonts w:cs="Arial"/>
          <w:szCs w:val="22"/>
          <w:lang w:val="en-AU"/>
        </w:rPr>
        <w:t xml:space="preserve">includes </w:t>
      </w:r>
      <w:r w:rsidRPr="008467AA">
        <w:rPr>
          <w:rFonts w:cs="Arial"/>
          <w:szCs w:val="22"/>
          <w:lang w:val="en-AU"/>
        </w:rPr>
        <w:t xml:space="preserve">11 sampling stations which are sampled up to 10 times per year, with six stations during both the dry and wet season and five only during the wet season (Table </w:t>
      </w:r>
      <w:r w:rsidR="00315B2F">
        <w:rPr>
          <w:rFonts w:cs="Arial"/>
          <w:szCs w:val="22"/>
          <w:lang w:val="en-AU"/>
        </w:rPr>
        <w:t>4-</w:t>
      </w:r>
      <w:r w:rsidRPr="008467AA">
        <w:rPr>
          <w:rFonts w:cs="Arial"/>
          <w:szCs w:val="22"/>
          <w:lang w:val="en-AU"/>
        </w:rPr>
        <w:t xml:space="preserve">1). The sampling locations in this new design are </w:t>
      </w:r>
      <w:r w:rsidR="00E62642">
        <w:rPr>
          <w:rFonts w:cs="Arial"/>
          <w:szCs w:val="22"/>
          <w:lang w:val="en-AU"/>
        </w:rPr>
        <w:t>located</w:t>
      </w:r>
      <w:r w:rsidR="00E62642" w:rsidRPr="008467AA">
        <w:rPr>
          <w:rFonts w:cs="Arial"/>
          <w:szCs w:val="22"/>
          <w:lang w:val="en-AU"/>
        </w:rPr>
        <w:t xml:space="preserve"> </w:t>
      </w:r>
      <w:r w:rsidRPr="008467AA">
        <w:rPr>
          <w:rFonts w:cs="Arial"/>
          <w:szCs w:val="22"/>
          <w:lang w:val="en-AU"/>
        </w:rPr>
        <w:t xml:space="preserve">in a river </w:t>
      </w:r>
      <w:r w:rsidR="00E62642">
        <w:rPr>
          <w:rFonts w:cs="Arial"/>
          <w:szCs w:val="22"/>
          <w:lang w:val="en-AU"/>
        </w:rPr>
        <w:t xml:space="preserve">mouth </w:t>
      </w:r>
      <w:r w:rsidRPr="008467AA">
        <w:rPr>
          <w:rFonts w:cs="Arial"/>
          <w:szCs w:val="22"/>
          <w:lang w:val="en-AU"/>
        </w:rPr>
        <w:t>to open coastal water transect representing a gradient in water quality</w:t>
      </w:r>
      <w:r w:rsidR="00E62642">
        <w:rPr>
          <w:rFonts w:cs="Arial"/>
          <w:szCs w:val="22"/>
          <w:lang w:val="en-AU"/>
        </w:rPr>
        <w:t xml:space="preserve">. </w:t>
      </w:r>
      <w:r w:rsidR="0046181F">
        <w:rPr>
          <w:rFonts w:cs="Arial"/>
          <w:szCs w:val="22"/>
          <w:lang w:val="en-AU"/>
        </w:rPr>
        <w:t>Nine of the</w:t>
      </w:r>
      <w:r w:rsidRPr="008467AA">
        <w:rPr>
          <w:rFonts w:cs="Arial"/>
          <w:szCs w:val="22"/>
          <w:lang w:val="en-AU"/>
        </w:rPr>
        <w:t xml:space="preserve"> stations </w:t>
      </w:r>
      <w:r w:rsidR="00E62642">
        <w:rPr>
          <w:rFonts w:cs="Arial"/>
          <w:szCs w:val="22"/>
          <w:lang w:val="en-AU"/>
        </w:rPr>
        <w:t>are</w:t>
      </w:r>
      <w:r w:rsidR="00E62642" w:rsidRPr="008467AA">
        <w:rPr>
          <w:rFonts w:cs="Arial"/>
          <w:szCs w:val="22"/>
          <w:lang w:val="en-AU"/>
        </w:rPr>
        <w:t xml:space="preserve"> </w:t>
      </w:r>
      <w:r w:rsidR="0046181F">
        <w:rPr>
          <w:rFonts w:cs="Arial"/>
          <w:szCs w:val="22"/>
          <w:lang w:val="en-AU"/>
        </w:rPr>
        <w:t>dominantly influenced by</w:t>
      </w:r>
      <w:r w:rsidRPr="008467AA">
        <w:rPr>
          <w:rFonts w:cs="Arial"/>
          <w:szCs w:val="22"/>
          <w:lang w:val="en-AU"/>
        </w:rPr>
        <w:t xml:space="preserve"> </w:t>
      </w:r>
      <w:r w:rsidR="00E62642">
        <w:rPr>
          <w:lang w:val="en-AU"/>
        </w:rPr>
        <w:t>P</w:t>
      </w:r>
      <w:r w:rsidR="00E62642" w:rsidRPr="008467AA">
        <w:rPr>
          <w:lang w:val="en-AU"/>
        </w:rPr>
        <w:t xml:space="preserve">rimary </w:t>
      </w:r>
      <w:r w:rsidRPr="008467AA">
        <w:rPr>
          <w:lang w:val="en-AU"/>
        </w:rPr>
        <w:t xml:space="preserve">and </w:t>
      </w:r>
      <w:r w:rsidR="00E62642">
        <w:rPr>
          <w:lang w:val="en-AU"/>
        </w:rPr>
        <w:t>S</w:t>
      </w:r>
      <w:r w:rsidR="00E62642" w:rsidRPr="008467AA">
        <w:rPr>
          <w:lang w:val="en-AU"/>
        </w:rPr>
        <w:t xml:space="preserve">econdary </w:t>
      </w:r>
      <w:r w:rsidRPr="008467AA">
        <w:rPr>
          <w:lang w:val="en-AU"/>
        </w:rPr>
        <w:t>plume</w:t>
      </w:r>
      <w:r w:rsidR="00E62642">
        <w:rPr>
          <w:lang w:val="en-AU"/>
        </w:rPr>
        <w:t xml:space="preserve"> water </w:t>
      </w:r>
      <w:r w:rsidRPr="008467AA">
        <w:rPr>
          <w:lang w:val="en-AU"/>
        </w:rPr>
        <w:t xml:space="preserve">types, </w:t>
      </w:r>
      <w:r w:rsidR="0046181F">
        <w:rPr>
          <w:lang w:val="en-AU"/>
        </w:rPr>
        <w:t>with only two stations located outside of the typical influence of Primary and Secondary plume water types</w:t>
      </w:r>
      <w:r w:rsidR="00315B2F">
        <w:rPr>
          <w:rFonts w:cs="Arial"/>
          <w:szCs w:val="22"/>
          <w:lang w:val="en-AU"/>
        </w:rPr>
        <w:t xml:space="preserve"> (</w:t>
      </w:r>
      <w:r w:rsidR="00B437C6">
        <w:rPr>
          <w:rFonts w:cs="Arial"/>
          <w:szCs w:val="22"/>
          <w:lang w:val="en-AU"/>
        </w:rPr>
        <w:fldChar w:fldCharType="begin"/>
      </w:r>
      <w:r w:rsidR="00B437C6">
        <w:rPr>
          <w:rFonts w:cs="Arial"/>
          <w:szCs w:val="22"/>
          <w:lang w:val="en-AU"/>
        </w:rPr>
        <w:instrText xml:space="preserve"> REF _Ref459151345 \h </w:instrText>
      </w:r>
      <w:r w:rsidR="00B437C6">
        <w:rPr>
          <w:rFonts w:cs="Arial"/>
          <w:szCs w:val="22"/>
          <w:lang w:val="en-AU"/>
        </w:rPr>
      </w:r>
      <w:r w:rsidR="00B437C6">
        <w:rPr>
          <w:rFonts w:cs="Arial"/>
          <w:szCs w:val="22"/>
          <w:lang w:val="en-AU"/>
        </w:rPr>
        <w:fldChar w:fldCharType="separate"/>
      </w:r>
      <w:r w:rsidR="007F5336" w:rsidRPr="004448D4">
        <w:t xml:space="preserve">Figure </w:t>
      </w:r>
      <w:r w:rsidR="007F5336">
        <w:rPr>
          <w:noProof/>
        </w:rPr>
        <w:t>5</w:t>
      </w:r>
      <w:r w:rsidR="007F5336">
        <w:noBreakHyphen/>
      </w:r>
      <w:r w:rsidR="007F5336">
        <w:rPr>
          <w:noProof/>
        </w:rPr>
        <w:t>28</w:t>
      </w:r>
      <w:r w:rsidR="00B437C6">
        <w:rPr>
          <w:rFonts w:cs="Arial"/>
          <w:szCs w:val="22"/>
          <w:lang w:val="en-AU"/>
        </w:rPr>
        <w:fldChar w:fldCharType="end"/>
      </w:r>
      <w:r w:rsidRPr="008467AA">
        <w:rPr>
          <w:rFonts w:cs="Arial"/>
          <w:szCs w:val="22"/>
          <w:lang w:val="en-AU"/>
        </w:rPr>
        <w:t xml:space="preserve">). </w:t>
      </w:r>
    </w:p>
    <w:p w14:paraId="5F22F27D" w14:textId="25EB4BB7" w:rsidR="00E279AD" w:rsidRPr="008467AA" w:rsidRDefault="00E279AD" w:rsidP="00E279AD">
      <w:pPr>
        <w:spacing w:before="5" w:after="5"/>
        <w:ind w:left="5" w:right="5"/>
        <w:jc w:val="center"/>
        <w:rPr>
          <w:color w:val="0070C0"/>
          <w:lang w:val="en-AU"/>
        </w:rPr>
      </w:pPr>
    </w:p>
    <w:p w14:paraId="09679CED" w14:textId="680013F4" w:rsidR="004D05A5" w:rsidRDefault="004D05A5" w:rsidP="00164E5E">
      <w:pPr>
        <w:pStyle w:val="Caption"/>
      </w:pPr>
      <w:bookmarkStart w:id="1221" w:name="_Toc436913484"/>
      <w:r>
        <w:rPr>
          <w:noProof/>
          <w:lang w:val="en-AU" w:eastAsia="en-AU"/>
        </w:rPr>
        <w:drawing>
          <wp:anchor distT="0" distB="0" distL="114300" distR="114300" simplePos="0" relativeHeight="251655680" behindDoc="0" locked="0" layoutInCell="1" allowOverlap="1" wp14:anchorId="4AB0FDF0" wp14:editId="371C1287">
            <wp:simplePos x="0" y="0"/>
            <wp:positionH relativeFrom="column">
              <wp:posOffset>0</wp:posOffset>
            </wp:positionH>
            <wp:positionV relativeFrom="paragraph">
              <wp:posOffset>68580</wp:posOffset>
            </wp:positionV>
            <wp:extent cx="5731510" cy="4053840"/>
            <wp:effectExtent l="0" t="0" r="2540" b="3810"/>
            <wp:wrapTopAndBottom/>
            <wp:docPr id="7205" name="Picture 7205" descr="Panel of 2 maps showing  MMP sampling sites in the Tully focus area, shown with (left) wet season plume frequency 2003 to 2015 (Primary + Secondary; where 1.0 represents 22 weeks, December to March) and (right) the water body boundaries." title="Figure 5 28: MMP sampling sites in the Tully focus area, shown with (left) wet season plume frequency 2003 to 2015 (Primary + Secondary; where 1.0 represents 22 weeks, December to March) and (right) the water body bounda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_Site_maps_Tully_v2.jpg"/>
                    <pic:cNvPicPr/>
                  </pic:nvPicPr>
                  <pic:blipFill>
                    <a:blip r:embed="rId342">
                      <a:extLst>
                        <a:ext uri="{28A0092B-C50C-407E-A947-70E740481C1C}">
                          <a14:useLocalDpi xmlns:a14="http://schemas.microsoft.com/office/drawing/2010/main" val="0"/>
                        </a:ext>
                      </a:extLst>
                    </a:blip>
                    <a:stretch>
                      <a:fillRect/>
                    </a:stretch>
                  </pic:blipFill>
                  <pic:spPr>
                    <a:xfrm>
                      <a:off x="0" y="0"/>
                      <a:ext cx="5731510" cy="4053840"/>
                    </a:xfrm>
                    <a:prstGeom prst="rect">
                      <a:avLst/>
                    </a:prstGeom>
                  </pic:spPr>
                </pic:pic>
              </a:graphicData>
            </a:graphic>
            <wp14:sizeRelH relativeFrom="page">
              <wp14:pctWidth>0</wp14:pctWidth>
            </wp14:sizeRelH>
            <wp14:sizeRelV relativeFrom="page">
              <wp14:pctHeight>0</wp14:pctHeight>
            </wp14:sizeRelV>
          </wp:anchor>
        </w:drawing>
      </w:r>
    </w:p>
    <w:p w14:paraId="5F22F280" w14:textId="5F6B93DF" w:rsidR="00E279AD" w:rsidRPr="007A1A6E" w:rsidRDefault="00E279AD" w:rsidP="00164E5E">
      <w:pPr>
        <w:pStyle w:val="Caption"/>
      </w:pPr>
      <w:bookmarkStart w:id="1222" w:name="_Ref459151345"/>
      <w:bookmarkStart w:id="1223" w:name="_Toc459332386"/>
      <w:r w:rsidRPr="004448D4">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28</w:t>
      </w:r>
      <w:r w:rsidR="00C62884">
        <w:fldChar w:fldCharType="end"/>
      </w:r>
      <w:bookmarkEnd w:id="1222"/>
      <w:r w:rsidR="004448D4" w:rsidRPr="004448D4">
        <w:t>:</w:t>
      </w:r>
      <w:r w:rsidR="007A1A6E" w:rsidRPr="004448D4">
        <w:t xml:space="preserve"> </w:t>
      </w:r>
      <w:r w:rsidRPr="004448D4">
        <w:t xml:space="preserve">MMP sampling sites </w:t>
      </w:r>
      <w:r w:rsidR="007A1A6E" w:rsidRPr="004448D4">
        <w:t>in the Tully focus</w:t>
      </w:r>
      <w:r w:rsidR="00B437C6">
        <w:t xml:space="preserve"> area</w:t>
      </w:r>
      <w:r w:rsidR="007A1A6E" w:rsidRPr="004448D4">
        <w:t>,</w:t>
      </w:r>
      <w:r w:rsidRPr="004448D4">
        <w:t xml:space="preserve"> </w:t>
      </w:r>
      <w:r w:rsidR="007A1A6E" w:rsidRPr="00053716">
        <w:t>shown with</w:t>
      </w:r>
      <w:r w:rsidR="004D05A5">
        <w:t xml:space="preserve"> </w:t>
      </w:r>
      <w:r w:rsidR="004D05A5" w:rsidRPr="00883BEF">
        <w:t>(left) wet season plume frequency 2003</w:t>
      </w:r>
      <w:r w:rsidR="00B437C6">
        <w:t xml:space="preserve"> to </w:t>
      </w:r>
      <w:r w:rsidR="004D05A5" w:rsidRPr="00883BEF">
        <w:t>2015 (Primary + Secondary; where 1.0 represents 22 weeks, December to March) and (right)</w:t>
      </w:r>
      <w:r w:rsidR="007A1A6E" w:rsidRPr="00053716">
        <w:t xml:space="preserve"> the water body boundaries.</w:t>
      </w:r>
      <w:bookmarkEnd w:id="1221"/>
      <w:bookmarkEnd w:id="1223"/>
    </w:p>
    <w:p w14:paraId="5F22F282" w14:textId="3FC464FE" w:rsidR="00E279AD" w:rsidRPr="008467AA" w:rsidRDefault="00B437C6" w:rsidP="00B437C6">
      <w:pPr>
        <w:rPr>
          <w:lang w:val="en-AU"/>
        </w:rPr>
      </w:pPr>
      <w:r w:rsidRPr="008467AA">
        <w:rPr>
          <w:lang w:val="en-AU"/>
        </w:rPr>
        <w:t xml:space="preserve">Over the period 2006 to 2012, annual </w:t>
      </w:r>
      <w:r w:rsidR="004E5061">
        <w:rPr>
          <w:szCs w:val="22"/>
          <w:lang w:val="en-AU"/>
        </w:rPr>
        <w:t>combined</w:t>
      </w:r>
      <w:r w:rsidR="004E5061" w:rsidRPr="008467AA">
        <w:rPr>
          <w:lang w:val="en-AU"/>
        </w:rPr>
        <w:t xml:space="preserve"> </w:t>
      </w:r>
      <w:r w:rsidRPr="008467AA">
        <w:rPr>
          <w:lang w:val="en-AU"/>
        </w:rPr>
        <w:t xml:space="preserve">discharge for both the Tully and Herbert </w:t>
      </w:r>
      <w:r>
        <w:rPr>
          <w:lang w:val="en-AU"/>
        </w:rPr>
        <w:t>R</w:t>
      </w:r>
      <w:r w:rsidRPr="008467AA">
        <w:rPr>
          <w:lang w:val="en-AU"/>
        </w:rPr>
        <w:t>ivers (</w:t>
      </w:r>
      <w:r>
        <w:rPr>
          <w:lang w:val="en-AU"/>
        </w:rPr>
        <w:fldChar w:fldCharType="begin"/>
      </w:r>
      <w:r>
        <w:rPr>
          <w:lang w:val="en-AU"/>
        </w:rPr>
        <w:instrText xml:space="preserve"> REF _Ref459151470 \h </w:instrText>
      </w:r>
      <w:r>
        <w:rPr>
          <w:lang w:val="en-AU"/>
        </w:rPr>
      </w:r>
      <w:r>
        <w:rPr>
          <w:lang w:val="en-AU"/>
        </w:rPr>
        <w:fldChar w:fldCharType="separate"/>
      </w:r>
      <w:r w:rsidR="007F5336" w:rsidRPr="00E261A3">
        <w:t xml:space="preserve">Figure </w:t>
      </w:r>
      <w:r w:rsidR="007F5336">
        <w:rPr>
          <w:noProof/>
        </w:rPr>
        <w:t>5</w:t>
      </w:r>
      <w:r w:rsidR="007F5336">
        <w:noBreakHyphen/>
      </w:r>
      <w:r w:rsidR="007F5336">
        <w:rPr>
          <w:noProof/>
        </w:rPr>
        <w:t>29</w:t>
      </w:r>
      <w:r>
        <w:rPr>
          <w:lang w:val="en-AU"/>
        </w:rPr>
        <w:fldChar w:fldCharType="end"/>
      </w:r>
      <w:r w:rsidRPr="008467AA">
        <w:rPr>
          <w:lang w:val="en-AU"/>
        </w:rPr>
        <w:t xml:space="preserve">) has been at, or slightly above, median levels in 2 years, due to the major floods of the Tully River in 2011 and of the Herbert River in 2009 and 2011 (Table A2-1). </w:t>
      </w:r>
      <w:r w:rsidR="00E62642" w:rsidRPr="008467AA">
        <w:rPr>
          <w:rFonts w:eastAsia="Calibri"/>
          <w:lang w:val="en-AU"/>
        </w:rPr>
        <w:t xml:space="preserve">The </w:t>
      </w:r>
      <w:r w:rsidRPr="008467AA">
        <w:rPr>
          <w:rFonts w:eastAsia="Calibri"/>
          <w:lang w:val="en-AU"/>
        </w:rPr>
        <w:t>2014-1</w:t>
      </w:r>
      <w:r>
        <w:rPr>
          <w:rFonts w:eastAsia="Calibri"/>
          <w:lang w:val="en-AU"/>
        </w:rPr>
        <w:t>5</w:t>
      </w:r>
      <w:r w:rsidRPr="008467AA">
        <w:rPr>
          <w:rFonts w:eastAsia="Calibri"/>
          <w:lang w:val="en-AU"/>
        </w:rPr>
        <w:t xml:space="preserve"> </w:t>
      </w:r>
      <w:r w:rsidR="00E62642" w:rsidRPr="008467AA">
        <w:rPr>
          <w:rFonts w:eastAsia="Calibri"/>
          <w:lang w:val="en-AU"/>
        </w:rPr>
        <w:t>wet season was characterised by many smaller episodic flows but no extended large flow. Heavy and consistent rain also continued in the Wet Tropics region later in the wet season, peaking in late March. The Tully</w:t>
      </w:r>
      <w:r>
        <w:rPr>
          <w:rFonts w:eastAsia="Calibri"/>
          <w:lang w:val="en-AU"/>
        </w:rPr>
        <w:t xml:space="preserve"> and Herbert</w:t>
      </w:r>
      <w:r w:rsidR="00E62642" w:rsidRPr="008467AA">
        <w:rPr>
          <w:rFonts w:eastAsia="Calibri"/>
          <w:lang w:val="en-AU"/>
        </w:rPr>
        <w:t xml:space="preserve"> </w:t>
      </w:r>
      <w:r>
        <w:rPr>
          <w:rFonts w:eastAsia="Calibri"/>
          <w:lang w:val="en-AU"/>
        </w:rPr>
        <w:t>R</w:t>
      </w:r>
      <w:r w:rsidR="00E62642" w:rsidRPr="008467AA">
        <w:rPr>
          <w:rFonts w:eastAsia="Calibri"/>
          <w:lang w:val="en-AU"/>
        </w:rPr>
        <w:t>ivers had substan</w:t>
      </w:r>
      <w:r w:rsidR="00041BC7">
        <w:rPr>
          <w:rFonts w:eastAsia="Calibri"/>
          <w:lang w:val="en-AU"/>
        </w:rPr>
        <w:t>tially</w:t>
      </w:r>
      <w:r w:rsidR="00E62642" w:rsidRPr="008467AA">
        <w:rPr>
          <w:rFonts w:eastAsia="Calibri"/>
          <w:lang w:val="en-AU"/>
        </w:rPr>
        <w:t xml:space="preserve"> lower flow than the long term median (Figure 5-</w:t>
      </w:r>
      <w:r w:rsidR="00E62642">
        <w:rPr>
          <w:rFonts w:eastAsia="Calibri"/>
          <w:lang w:val="en-AU"/>
        </w:rPr>
        <w:t>25</w:t>
      </w:r>
      <w:r w:rsidR="00E62642" w:rsidRPr="008467AA">
        <w:rPr>
          <w:rFonts w:eastAsia="Calibri"/>
          <w:lang w:val="en-AU"/>
        </w:rPr>
        <w:t xml:space="preserve">) with a </w:t>
      </w:r>
      <w:r w:rsidR="00E62642" w:rsidRPr="00482828">
        <w:rPr>
          <w:rFonts w:eastAsia="Calibri"/>
          <w:lang w:val="en-AU"/>
        </w:rPr>
        <w:t>total</w:t>
      </w:r>
      <w:r w:rsidR="00E62642" w:rsidRPr="008467AA">
        <w:rPr>
          <w:rFonts w:eastAsia="Calibri"/>
          <w:lang w:val="en-AU"/>
        </w:rPr>
        <w:t xml:space="preserve"> </w:t>
      </w:r>
      <w:r w:rsidR="00E62642" w:rsidRPr="00482828">
        <w:rPr>
          <w:rFonts w:eastAsia="Calibri"/>
          <w:lang w:val="en-AU"/>
        </w:rPr>
        <w:t>discharge</w:t>
      </w:r>
      <w:r w:rsidR="00E62642" w:rsidRPr="008467AA">
        <w:rPr>
          <w:rFonts w:eastAsia="Calibri"/>
          <w:lang w:val="en-AU"/>
        </w:rPr>
        <w:t xml:space="preserve"> of just over 1,000,000</w:t>
      </w:r>
      <w:r w:rsidR="00E62642">
        <w:rPr>
          <w:rFonts w:eastAsia="Calibri"/>
          <w:lang w:val="en-AU"/>
        </w:rPr>
        <w:t xml:space="preserve"> ML</w:t>
      </w:r>
      <w:r w:rsidR="00E62642" w:rsidRPr="008467AA">
        <w:rPr>
          <w:rFonts w:eastAsia="Calibri"/>
          <w:lang w:val="en-AU"/>
        </w:rPr>
        <w:t xml:space="preserve"> over the total wet season.</w:t>
      </w:r>
      <w:r>
        <w:rPr>
          <w:rFonts w:eastAsia="Calibri"/>
          <w:lang w:val="en-AU"/>
        </w:rPr>
        <w:t xml:space="preserve"> </w:t>
      </w:r>
    </w:p>
    <w:p w14:paraId="5F22F283" w14:textId="77777777" w:rsidR="00E279AD" w:rsidRPr="008467AA" w:rsidRDefault="00E279AD" w:rsidP="00E279AD">
      <w:pPr>
        <w:rPr>
          <w:lang w:val="en-AU"/>
        </w:rPr>
      </w:pPr>
    </w:p>
    <w:p w14:paraId="5F22F284" w14:textId="77777777" w:rsidR="00E279AD" w:rsidRPr="008467AA" w:rsidRDefault="00E279AD" w:rsidP="00E279AD">
      <w:pPr>
        <w:spacing w:before="5" w:after="5"/>
        <w:ind w:left="5" w:right="5"/>
        <w:jc w:val="center"/>
        <w:rPr>
          <w:color w:val="0070C0"/>
          <w:lang w:val="en-AU"/>
        </w:rPr>
      </w:pPr>
      <w:r w:rsidRPr="0026385A">
        <w:rPr>
          <w:noProof/>
          <w:color w:val="0070C0"/>
          <w:lang w:val="en-AU" w:eastAsia="en-AU"/>
        </w:rPr>
        <w:drawing>
          <wp:inline distT="0" distB="0" distL="0" distR="0" wp14:anchorId="5F2323EB" wp14:editId="2F64311E">
            <wp:extent cx="5943600" cy="2286000"/>
            <wp:effectExtent l="0" t="0" r="0" b="0"/>
            <wp:docPr id="6" name="Picture 6" descr="Graph showing combined discharge for Tully and Herbert Rivers. Daily (blue) and annual (October to September, red) discharge shown. Red dashed line represents the long-term median of the combined annual discharge." title="Figure 5 29: Combined discharge for Tully and Herbert Rivers. Daily (blue) and annual (October to September, red) discharg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lonborg\Desktop\MMP report 2014-15\Graphs 2014-2015\thDischarge_Nosublabels.png"/>
                    <pic:cNvPicPr>
                      <a:picLocks noChangeAspect="1" noChangeArrowheads="1"/>
                    </pic:cNvPicPr>
                  </pic:nvPicPr>
                  <pic:blipFill>
                    <a:blip r:embed="rId343">
                      <a:extLst>
                        <a:ext uri="{28A0092B-C50C-407E-A947-70E740481C1C}">
                          <a14:useLocalDpi xmlns:a14="http://schemas.microsoft.com/office/drawing/2010/main" val="0"/>
                        </a:ext>
                      </a:extLst>
                    </a:blip>
                    <a:srcRect/>
                    <a:stretch>
                      <a:fillRect/>
                    </a:stretch>
                  </pic:blipFill>
                  <pic:spPr bwMode="auto">
                    <a:xfrm>
                      <a:off x="0" y="0"/>
                      <a:ext cx="5943600" cy="2286000"/>
                    </a:xfrm>
                    <a:prstGeom prst="rect">
                      <a:avLst/>
                    </a:prstGeom>
                    <a:noFill/>
                    <a:ln>
                      <a:noFill/>
                    </a:ln>
                  </pic:spPr>
                </pic:pic>
              </a:graphicData>
            </a:graphic>
          </wp:inline>
        </w:drawing>
      </w:r>
    </w:p>
    <w:p w14:paraId="5F22F286" w14:textId="2E1379B0" w:rsidR="00E279AD" w:rsidRPr="00E261A3" w:rsidRDefault="00E279AD" w:rsidP="00164E5E">
      <w:pPr>
        <w:pStyle w:val="Caption"/>
        <w:rPr>
          <w:rStyle w:val="IntenseReference"/>
        </w:rPr>
      </w:pPr>
      <w:bookmarkStart w:id="1224" w:name="_Ref459151470"/>
      <w:bookmarkStart w:id="1225" w:name="_Toc436913485"/>
      <w:bookmarkStart w:id="1226" w:name="_Toc459332387"/>
      <w:r w:rsidRPr="00E261A3">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29</w:t>
      </w:r>
      <w:r w:rsidR="00C62884">
        <w:fldChar w:fldCharType="end"/>
      </w:r>
      <w:bookmarkEnd w:id="1224"/>
      <w:r w:rsidR="00B437C6">
        <w:t>:</w:t>
      </w:r>
      <w:r w:rsidRPr="00E261A3">
        <w:t xml:space="preserve"> Combined dischar</w:t>
      </w:r>
      <w:r w:rsidR="00E261A3">
        <w:t>ge for Tully and Herbert Rivers</w:t>
      </w:r>
      <w:r w:rsidR="0046181F">
        <w:t>.</w:t>
      </w:r>
      <w:r w:rsidRPr="008467AA">
        <w:t xml:space="preserve"> </w:t>
      </w:r>
      <w:r w:rsidRPr="00E261A3">
        <w:rPr>
          <w:rStyle w:val="IntenseReference"/>
        </w:rPr>
        <w:t>Daily (blue) and annual (October to September, red) discharge shown. Red dashed line represents the long-term median of the combined annual discharge.</w:t>
      </w:r>
      <w:bookmarkEnd w:id="1225"/>
      <w:bookmarkEnd w:id="1226"/>
    </w:p>
    <w:p w14:paraId="5F22F287" w14:textId="328329C3" w:rsidR="000B3C54" w:rsidRDefault="006955CC" w:rsidP="006955CC">
      <w:pPr>
        <w:rPr>
          <w:lang w:val="en-AU"/>
        </w:rPr>
      </w:pPr>
      <w:r>
        <w:rPr>
          <w:lang w:val="en-AU"/>
        </w:rPr>
        <w:t>The estimated zone of influence for the Tully River is shown in</w:t>
      </w:r>
      <w:r w:rsidR="00B437C6">
        <w:rPr>
          <w:lang w:val="en-AU"/>
        </w:rPr>
        <w:t xml:space="preserve"> </w:t>
      </w:r>
      <w:r w:rsidR="00B437C6">
        <w:rPr>
          <w:lang w:val="en-AU"/>
        </w:rPr>
        <w:fldChar w:fldCharType="begin"/>
      </w:r>
      <w:r w:rsidR="00B437C6">
        <w:rPr>
          <w:lang w:val="en-AU"/>
        </w:rPr>
        <w:instrText xml:space="preserve"> REF _Ref459151620 \h </w:instrText>
      </w:r>
      <w:r w:rsidR="00B437C6">
        <w:rPr>
          <w:lang w:val="en-AU"/>
        </w:rPr>
      </w:r>
      <w:r w:rsidR="00B437C6">
        <w:rPr>
          <w:lang w:val="en-AU"/>
        </w:rPr>
        <w:fldChar w:fldCharType="separate"/>
      </w:r>
      <w:r w:rsidR="007F5336" w:rsidRPr="007A1A6E">
        <w:t xml:space="preserve">Figure </w:t>
      </w:r>
      <w:r w:rsidR="007F5336">
        <w:rPr>
          <w:noProof/>
        </w:rPr>
        <w:t>5</w:t>
      </w:r>
      <w:r w:rsidR="007F5336">
        <w:noBreakHyphen/>
      </w:r>
      <w:r w:rsidR="007F5336">
        <w:rPr>
          <w:noProof/>
        </w:rPr>
        <w:t>30</w:t>
      </w:r>
      <w:r w:rsidR="00B437C6">
        <w:rPr>
          <w:lang w:val="en-AU"/>
        </w:rPr>
        <w:fldChar w:fldCharType="end"/>
      </w:r>
      <w:r>
        <w:rPr>
          <w:lang w:val="en-AU"/>
        </w:rPr>
        <w:t>, showing a much more constrained zone of influence in 2014-15 compared to the large events of 2010-2011.</w:t>
      </w:r>
    </w:p>
    <w:p w14:paraId="1B865810" w14:textId="77777777" w:rsidR="006955CC" w:rsidRPr="007A1A6E" w:rsidRDefault="006955CC" w:rsidP="00B437C6">
      <w:pPr>
        <w:jc w:val="center"/>
        <w:rPr>
          <w:rStyle w:val="IntenseReference"/>
          <w:lang w:val="en-AU"/>
        </w:rPr>
      </w:pPr>
      <w:r w:rsidRPr="00B437C6">
        <w:rPr>
          <w:noProof/>
          <w:lang w:val="en-AU" w:eastAsia="en-AU"/>
        </w:rPr>
        <w:drawing>
          <wp:inline distT="0" distB="0" distL="0" distR="0" wp14:anchorId="065C01B3" wp14:editId="4084247B">
            <wp:extent cx="2437200" cy="2660400"/>
            <wp:effectExtent l="0" t="0" r="1270" b="6985"/>
            <wp:docPr id="51" name="Picture 51" descr="Map showing cumulative exposure index for the Tully River in 2014-15.  The colour bar indicates the calculated cumulative exposure (concentration x days) above 1% of the incoming concentration. The colour bar is capped at 20 Conc.Days. Contours show 0.1, 1.0 and 10.0 Conc.Days exposure levels. " title="Figure 5 30: Cumulative exposure index for the Tully River in 2014-15 (lef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rbrinkma\Desktop\MMP\GBR_tracers_tul_0_01psu_20141101-20150331_zoom.gif"/>
                    <pic:cNvPicPr>
                      <a:picLocks noChangeAspect="1" noChangeArrowheads="1"/>
                    </pic:cNvPicPr>
                  </pic:nvPicPr>
                  <pic:blipFill>
                    <a:blip r:embed="rId344" cstate="print">
                      <a:extLst>
                        <a:ext uri="{28A0092B-C50C-407E-A947-70E740481C1C}">
                          <a14:useLocalDpi xmlns:a14="http://schemas.microsoft.com/office/drawing/2010/main" val="0"/>
                        </a:ext>
                      </a:extLst>
                    </a:blip>
                    <a:srcRect/>
                    <a:stretch>
                      <a:fillRect/>
                    </a:stretch>
                  </pic:blipFill>
                  <pic:spPr bwMode="auto">
                    <a:xfrm>
                      <a:off x="0" y="0"/>
                      <a:ext cx="2437200" cy="2660400"/>
                    </a:xfrm>
                    <a:prstGeom prst="rect">
                      <a:avLst/>
                    </a:prstGeom>
                    <a:noFill/>
                    <a:ln>
                      <a:noFill/>
                    </a:ln>
                  </pic:spPr>
                </pic:pic>
              </a:graphicData>
            </a:graphic>
          </wp:inline>
        </w:drawing>
      </w:r>
      <w:r w:rsidRPr="00B437C6">
        <w:rPr>
          <w:noProof/>
          <w:lang w:val="en-AU" w:eastAsia="en-AU"/>
        </w:rPr>
        <w:drawing>
          <wp:inline distT="0" distB="0" distL="0" distR="0" wp14:anchorId="00B2B988" wp14:editId="482CC714">
            <wp:extent cx="2246400" cy="2660400"/>
            <wp:effectExtent l="0" t="0" r="1905" b="6985"/>
            <wp:docPr id="52" name="Picture 52" descr="Map showing cumulative exposure index for the Tully River in 2010-11.  The colour bar indicates the calculated cumulative exposure (concentration x days) above 1% of the incoming concentration. The colour bar is capped at 20 Conc.Days. Contours show 0.1, 1.0 and 10.0 Conc.Days exposure levels. " title="Figure 5 30: Cumulative exposure index for the Tully River in 201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Richard\eReefs\Terrain\2014-Analysis\Exp_Tul2011.gif"/>
                    <pic:cNvPicPr>
                      <a:picLocks noChangeAspect="1" noChangeArrowheads="1"/>
                    </pic:cNvPicPr>
                  </pic:nvPicPr>
                  <pic:blipFill rotWithShape="1">
                    <a:blip r:embed="rId345" cstate="print">
                      <a:extLst>
                        <a:ext uri="{28A0092B-C50C-407E-A947-70E740481C1C}">
                          <a14:useLocalDpi xmlns:a14="http://schemas.microsoft.com/office/drawing/2010/main" val="0"/>
                        </a:ext>
                      </a:extLst>
                    </a:blip>
                    <a:srcRect r="39753"/>
                    <a:stretch/>
                  </pic:blipFill>
                  <pic:spPr bwMode="auto">
                    <a:xfrm>
                      <a:off x="0" y="0"/>
                      <a:ext cx="2246400" cy="2660400"/>
                    </a:xfrm>
                    <a:prstGeom prst="rect">
                      <a:avLst/>
                    </a:prstGeom>
                    <a:noFill/>
                    <a:ln>
                      <a:noFill/>
                    </a:ln>
                    <a:extLst>
                      <a:ext uri="{53640926-AAD7-44D8-BBD7-CCE9431645EC}">
                        <a14:shadowObscured xmlns:a14="http://schemas.microsoft.com/office/drawing/2010/main"/>
                      </a:ext>
                    </a:extLst>
                  </pic:spPr>
                </pic:pic>
              </a:graphicData>
            </a:graphic>
          </wp:inline>
        </w:drawing>
      </w:r>
    </w:p>
    <w:p w14:paraId="4B93F648" w14:textId="67E7A7FA" w:rsidR="006955CC" w:rsidRPr="007A1A6E" w:rsidRDefault="006955CC" w:rsidP="004A5BF7">
      <w:pPr>
        <w:pStyle w:val="Caption"/>
        <w:rPr>
          <w:rStyle w:val="IntenseReference"/>
          <w:lang w:val="en-AU"/>
        </w:rPr>
      </w:pPr>
      <w:bookmarkStart w:id="1227" w:name="_Ref459151620"/>
      <w:bookmarkStart w:id="1228" w:name="_Toc459332388"/>
      <w:r w:rsidRPr="007A1A6E">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30</w:t>
      </w:r>
      <w:r w:rsidR="00C62884">
        <w:fldChar w:fldCharType="end"/>
      </w:r>
      <w:bookmarkEnd w:id="1227"/>
      <w:r w:rsidRPr="007A1A6E">
        <w:t xml:space="preserve">: Cumulative exposure index for the Tully River </w:t>
      </w:r>
      <w:r w:rsidR="00B437C6">
        <w:t>in</w:t>
      </w:r>
      <w:r w:rsidRPr="007A1A6E">
        <w:t xml:space="preserve"> 2014-15</w:t>
      </w:r>
      <w:r w:rsidRPr="0023661F">
        <w:rPr>
          <w:rStyle w:val="IntenseReference"/>
        </w:rPr>
        <w:t xml:space="preserve"> (left). Results for 2010-11 (right) are shown for context.  The colour bar indicates the calculated cumulative exposure (concentration x days) above 1% of the incoming concentration. The colour bar is capped at 20 Conc.Days. Contours show 0.1, 1.0 and 10.0 Conc.Days exposure levels.</w:t>
      </w:r>
      <w:bookmarkEnd w:id="1228"/>
      <w:r w:rsidRPr="0023661F">
        <w:rPr>
          <w:rStyle w:val="IntenseReference"/>
        </w:rPr>
        <w:t xml:space="preserve"> </w:t>
      </w:r>
    </w:p>
    <w:p w14:paraId="65127888" w14:textId="1C328C78" w:rsidR="0077122F" w:rsidRDefault="0077122F" w:rsidP="0077122F">
      <w:r>
        <w:t xml:space="preserve">The Tully River (Euramo gauge) and Herbert River (Ingham gauge) are the two routinely monitored sites in the Tully, Murray and Herbert Basins.  The Herbert River is a relatively large contributor of discharge, TSS and nutrients while the Tully River is a large contributor of DIN in the Wet Tropics region.  In particular, the Herbert River has a large grazing area in the upper part of the catchment which is situated in a relatively drier area which contributes a high proportion of TSS and particulate nutrients.  The sugarcane lands in the Herbert and Tully regions contribute large amounts of DIN to the loads from the </w:t>
      </w:r>
      <w:r w:rsidR="00B437C6">
        <w:t>r</w:t>
      </w:r>
      <w:r>
        <w:t>ivers.  Both rivers contain a sizable area of cropping land below the gauging stations where these measurements were taken and it would be expected that the loads from the basins would be considerable higher.  In the 2014-15 season both rivers had their lowest discharge over the 9 years of record and hence the constituent loads were also lower compared to previous years of monitoring over the 2006-07 to 2014-15 period (</w:t>
      </w:r>
      <w:r w:rsidR="00B437C6">
        <w:rPr>
          <w:highlight w:val="yellow"/>
        </w:rPr>
        <w:fldChar w:fldCharType="begin"/>
      </w:r>
      <w:r w:rsidR="00B437C6">
        <w:rPr>
          <w:highlight w:val="yellow"/>
        </w:rPr>
        <w:instrText xml:space="preserve"> REF _Ref459151701 \h </w:instrText>
      </w:r>
      <w:r w:rsidR="00B437C6">
        <w:rPr>
          <w:highlight w:val="yellow"/>
        </w:rPr>
      </w:r>
      <w:r w:rsidR="00B437C6">
        <w:rPr>
          <w:highlight w:val="yellow"/>
        </w:rPr>
        <w:fldChar w:fldCharType="separate"/>
      </w:r>
      <w:r w:rsidR="007F5336">
        <w:t xml:space="preserve">Figure </w:t>
      </w:r>
      <w:r w:rsidR="007F5336">
        <w:rPr>
          <w:noProof/>
        </w:rPr>
        <w:t>5</w:t>
      </w:r>
      <w:r w:rsidR="007F5336">
        <w:noBreakHyphen/>
      </w:r>
      <w:r w:rsidR="007F5336">
        <w:rPr>
          <w:noProof/>
        </w:rPr>
        <w:t>31</w:t>
      </w:r>
      <w:r w:rsidR="00B437C6">
        <w:rPr>
          <w:highlight w:val="yellow"/>
        </w:rPr>
        <w:fldChar w:fldCharType="end"/>
      </w:r>
      <w:r w:rsidR="00B437C6">
        <w:t xml:space="preserve"> and </w:t>
      </w:r>
      <w:r w:rsidR="00B437C6">
        <w:rPr>
          <w:highlight w:val="yellow"/>
        </w:rPr>
        <w:fldChar w:fldCharType="begin"/>
      </w:r>
      <w:r w:rsidR="00B437C6">
        <w:instrText xml:space="preserve"> REF _Ref459151709 \h </w:instrText>
      </w:r>
      <w:r w:rsidR="00B437C6">
        <w:rPr>
          <w:highlight w:val="yellow"/>
        </w:rPr>
      </w:r>
      <w:r w:rsidR="00B437C6">
        <w:rPr>
          <w:highlight w:val="yellow"/>
        </w:rPr>
        <w:fldChar w:fldCharType="separate"/>
      </w:r>
      <w:r w:rsidR="007F5336">
        <w:t xml:space="preserve">Figure </w:t>
      </w:r>
      <w:r w:rsidR="007F5336">
        <w:rPr>
          <w:noProof/>
        </w:rPr>
        <w:t>5</w:t>
      </w:r>
      <w:r w:rsidR="007F5336">
        <w:noBreakHyphen/>
      </w:r>
      <w:r w:rsidR="007F5336">
        <w:rPr>
          <w:noProof/>
        </w:rPr>
        <w:t>32</w:t>
      </w:r>
      <w:r w:rsidR="00B437C6">
        <w:rPr>
          <w:highlight w:val="yellow"/>
        </w:rPr>
        <w:fldChar w:fldCharType="end"/>
      </w:r>
      <w:r>
        <w:t>).</w:t>
      </w:r>
    </w:p>
    <w:p w14:paraId="5F9A231B" w14:textId="77777777" w:rsidR="00080687" w:rsidRDefault="00080687" w:rsidP="00080687">
      <w:r>
        <w:rPr>
          <w:noProof/>
          <w:lang w:val="en-AU" w:eastAsia="en-AU"/>
        </w:rPr>
        <w:drawing>
          <wp:inline distT="0" distB="0" distL="0" distR="0" wp14:anchorId="1DC46BE8" wp14:editId="475CBD3F">
            <wp:extent cx="5731510" cy="2589530"/>
            <wp:effectExtent l="0" t="0" r="2540" b="1270"/>
            <wp:docPr id="7214" name="Picture 7214" descr="Panel of graphs showing measured Tully River (at Euramo gauge) discharge and loads for (A) total suspended solids (sediment), (B) dissolved inorganic nitrogen (DIN), (C) particulate nitrogen (PN) and (D) particulate phosphorus (PP) from 2006/07 to 2014/15. Data from the Department of Science Information Technology and Innovation’s Great Barrier Reef Catchment Loads Monitoring Program (compiled from: Joo et al., 2012; Turner et al., 2012, 2013; Wallace et al., 2014, 2015, in press; Garzon-Garcia et al., 2015)." title="Figure 5 31: Measured Tully River (at Euramo gauge) discharge and loads for (A) total suspended solids (sediment), (B) dissolved inorganic nitrogen (DIN), (C) particulate nitrogen (PN) and (D) particulate phosphorus (PP) from 2006/07 to 20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ully loads.JPG"/>
                    <pic:cNvPicPr/>
                  </pic:nvPicPr>
                  <pic:blipFill>
                    <a:blip r:embed="rId346" cstate="print">
                      <a:extLst>
                        <a:ext uri="{28A0092B-C50C-407E-A947-70E740481C1C}">
                          <a14:useLocalDpi xmlns:a14="http://schemas.microsoft.com/office/drawing/2010/main" val="0"/>
                        </a:ext>
                      </a:extLst>
                    </a:blip>
                    <a:stretch>
                      <a:fillRect/>
                    </a:stretch>
                  </pic:blipFill>
                  <pic:spPr>
                    <a:xfrm>
                      <a:off x="0" y="0"/>
                      <a:ext cx="5731510" cy="2589530"/>
                    </a:xfrm>
                    <a:prstGeom prst="rect">
                      <a:avLst/>
                    </a:prstGeom>
                  </pic:spPr>
                </pic:pic>
              </a:graphicData>
            </a:graphic>
          </wp:inline>
        </w:drawing>
      </w:r>
    </w:p>
    <w:p w14:paraId="3741BB12" w14:textId="28590113" w:rsidR="00080687" w:rsidRDefault="00080687" w:rsidP="004A5BF7">
      <w:pPr>
        <w:pStyle w:val="Caption"/>
      </w:pPr>
      <w:bookmarkStart w:id="1229" w:name="_Ref459151701"/>
      <w:bookmarkStart w:id="1230" w:name="_Toc459332389"/>
      <w:r>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31</w:t>
      </w:r>
      <w:r w:rsidR="00C62884">
        <w:fldChar w:fldCharType="end"/>
      </w:r>
      <w:bookmarkEnd w:id="1229"/>
      <w:r w:rsidR="00B437C6">
        <w:t>:</w:t>
      </w:r>
      <w:r>
        <w:t xml:space="preserve"> Measured Tully River (at Euramo gauge) discharge and loads for (A) total suspended solids (sediment), (B) dissolved inorganic nitrogen (DIN), (C) particulate nitrogen (PN) and (D) particulate phosphorus (PP) from 2006/07 to 2014/15. Data from the Department of Science Information Technology and Innovation’s Great Barrier Reef Catchment Loads Monitoring Program (compiled from: Joo et al., 2012; Turner et al., 2012, 2013; Wallace et al., 2014, 2015, in press; Garzon-Garcia et al., 2015).</w:t>
      </w:r>
      <w:bookmarkEnd w:id="1230"/>
    </w:p>
    <w:p w14:paraId="6FB26978" w14:textId="77777777" w:rsidR="00080687" w:rsidRDefault="00080687" w:rsidP="00080687"/>
    <w:p w14:paraId="2A8508D2" w14:textId="77777777" w:rsidR="00080687" w:rsidRDefault="00080687" w:rsidP="00080687">
      <w:r>
        <w:rPr>
          <w:noProof/>
          <w:lang w:val="en-AU" w:eastAsia="en-AU"/>
        </w:rPr>
        <w:drawing>
          <wp:inline distT="0" distB="0" distL="0" distR="0" wp14:anchorId="40F5435E" wp14:editId="7F6AEFF8">
            <wp:extent cx="5731510" cy="2597150"/>
            <wp:effectExtent l="0" t="0" r="2540" b="0"/>
            <wp:docPr id="7215" name="Picture 7215" descr="Panel of maps showing measured Herbert River discharge (at the Ingham gauge) and loads for (A) total suspended solids (sediment), (B) dissolved inorganic nitrogen (DIN), (C) particulate nitrogen (PN) and (D) particulate phosphorus (PP) from 2006/07 to 2014/15. Data from the Department of Science Information Technology and Innovation’s Great Barrier Reef Catchment Loads Monitoring Program (compiled from: Joo et al., 2012; Turner et al., 2012, 2013; Wallace et al., 2014, 2015, in press; Garzon-Garcia et al., 2015)." title="Figure 5 32: Measured Herbert River discharge (at the Ingham gauge) and loads for (A) total suspended solids (sediment), (B) dissolved inorganic nitrogen (DIN), (C) particulate nitrogen (PN) and (D) particulate phosphorus (PP) from 2006/07 to 2014/1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Herbert loads.JPG"/>
                    <pic:cNvPicPr/>
                  </pic:nvPicPr>
                  <pic:blipFill>
                    <a:blip r:embed="rId347" cstate="print">
                      <a:extLst>
                        <a:ext uri="{28A0092B-C50C-407E-A947-70E740481C1C}">
                          <a14:useLocalDpi xmlns:a14="http://schemas.microsoft.com/office/drawing/2010/main" val="0"/>
                        </a:ext>
                      </a:extLst>
                    </a:blip>
                    <a:stretch>
                      <a:fillRect/>
                    </a:stretch>
                  </pic:blipFill>
                  <pic:spPr>
                    <a:xfrm>
                      <a:off x="0" y="0"/>
                      <a:ext cx="5731510" cy="2597150"/>
                    </a:xfrm>
                    <a:prstGeom prst="rect">
                      <a:avLst/>
                    </a:prstGeom>
                  </pic:spPr>
                </pic:pic>
              </a:graphicData>
            </a:graphic>
          </wp:inline>
        </w:drawing>
      </w:r>
    </w:p>
    <w:p w14:paraId="4CB02D3D" w14:textId="0E8F1D59" w:rsidR="00080687" w:rsidRDefault="00080687" w:rsidP="004A5BF7">
      <w:pPr>
        <w:pStyle w:val="Caption"/>
      </w:pPr>
      <w:bookmarkStart w:id="1231" w:name="_Ref459151709"/>
      <w:bookmarkStart w:id="1232" w:name="_Toc459332390"/>
      <w:r>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32</w:t>
      </w:r>
      <w:r w:rsidR="00C62884">
        <w:fldChar w:fldCharType="end"/>
      </w:r>
      <w:bookmarkEnd w:id="1231"/>
      <w:r w:rsidR="00B437C6">
        <w:t>:</w:t>
      </w:r>
      <w:r>
        <w:t xml:space="preserve"> Measured Herbert River discharge (at the Ingham gauge) and loads for (A) total suspended solids (sediment), (B) dissolved inorganic nitrogen (DIN), (C) particulate nitrogen (PN) and (D) particulate phosphorus (PP) from 2006/07 to 2014/15. Data from the Department of Science Information Technology and Innovation’s Great Barrier Reef Catchment Loads Monitoring Program (compiled from: Joo et al., 2012; Turner et al., 2012, 2013; Wallace et al., 2014, 2015, in press; Garzon-Garcia et al., 2015).</w:t>
      </w:r>
      <w:bookmarkEnd w:id="1232"/>
    </w:p>
    <w:p w14:paraId="25BD74D7" w14:textId="77777777" w:rsidR="006955CC" w:rsidRDefault="006955CC" w:rsidP="000B3C54">
      <w:pPr>
        <w:rPr>
          <w:lang w:val="en-AU"/>
        </w:rPr>
      </w:pPr>
    </w:p>
    <w:p w14:paraId="4423FD37" w14:textId="77777777" w:rsidR="00B437C6" w:rsidRPr="008467AA" w:rsidRDefault="00B437C6" w:rsidP="000B3C54">
      <w:pPr>
        <w:rPr>
          <w:lang w:val="en-AU"/>
        </w:rPr>
      </w:pPr>
    </w:p>
    <w:p w14:paraId="5F22F288" w14:textId="77777777" w:rsidR="00446EA5" w:rsidRPr="00A03137" w:rsidRDefault="00446EA5" w:rsidP="00164E5E">
      <w:pPr>
        <w:pStyle w:val="Heading4"/>
      </w:pPr>
      <w:r>
        <w:t>A</w:t>
      </w:r>
      <w:r w:rsidRPr="00A03137">
        <w:t>mbient</w:t>
      </w:r>
      <w:r>
        <w:t xml:space="preserve"> water quality</w:t>
      </w:r>
    </w:p>
    <w:p w14:paraId="5F22F289" w14:textId="7CF5B3D6" w:rsidR="008645FA" w:rsidRPr="008467AA" w:rsidRDefault="008645FA" w:rsidP="008645FA">
      <w:pPr>
        <w:rPr>
          <w:lang w:val="en-AU"/>
        </w:rPr>
      </w:pPr>
      <w:r w:rsidRPr="008467AA">
        <w:rPr>
          <w:lang w:val="en-AU"/>
        </w:rPr>
        <w:t>When analysing the water quality trend in this region it should be noted that the location of some of the loggers have changed</w:t>
      </w:r>
      <w:r w:rsidR="00DA7E49">
        <w:rPr>
          <w:lang w:val="en-AU"/>
        </w:rPr>
        <w:t xml:space="preserve"> (TUL 3 and 6)</w:t>
      </w:r>
      <w:r w:rsidRPr="008467AA">
        <w:rPr>
          <w:lang w:val="en-AU"/>
        </w:rPr>
        <w:t>, and that the number of water sampling sites and frequency of sampling has increased during 2015. Some of these new sites are placed further inshore and they are therefore affected by primary and secondary plume-type waters.</w:t>
      </w:r>
    </w:p>
    <w:p w14:paraId="5F22F28A" w14:textId="43F94830" w:rsidR="008645FA" w:rsidRPr="008467AA" w:rsidRDefault="008645FA" w:rsidP="008645FA">
      <w:pPr>
        <w:rPr>
          <w:lang w:val="en-AU"/>
        </w:rPr>
      </w:pPr>
      <w:r w:rsidRPr="008467AA">
        <w:rPr>
          <w:lang w:val="en-AU"/>
        </w:rPr>
        <w:t>The</w:t>
      </w:r>
      <w:r w:rsidR="004F75D4">
        <w:rPr>
          <w:lang w:val="en-AU"/>
        </w:rPr>
        <w:t xml:space="preserve"> site-specific</w:t>
      </w:r>
      <w:r w:rsidRPr="008467AA">
        <w:rPr>
          <w:lang w:val="en-AU"/>
        </w:rPr>
        <w:t xml:space="preserve"> </w:t>
      </w:r>
      <w:r w:rsidR="00B437C6">
        <w:rPr>
          <w:lang w:val="en-AU"/>
        </w:rPr>
        <w:t>W</w:t>
      </w:r>
      <w:r w:rsidRPr="008467AA">
        <w:rPr>
          <w:lang w:val="en-AU"/>
        </w:rPr>
        <w:t xml:space="preserve">ater </w:t>
      </w:r>
      <w:r w:rsidR="00B437C6">
        <w:rPr>
          <w:lang w:val="en-AU"/>
        </w:rPr>
        <w:t>Q</w:t>
      </w:r>
      <w:r w:rsidRPr="008467AA">
        <w:rPr>
          <w:lang w:val="en-AU"/>
        </w:rPr>
        <w:t xml:space="preserve">uality </w:t>
      </w:r>
      <w:r w:rsidR="00B437C6">
        <w:rPr>
          <w:lang w:val="en-AU"/>
        </w:rPr>
        <w:t>I</w:t>
      </w:r>
      <w:r w:rsidRPr="008467AA">
        <w:rPr>
          <w:lang w:val="en-AU"/>
        </w:rPr>
        <w:t>ndex has been stable over the past seven years, maintaining a ‘moderate’ rating (</w:t>
      </w:r>
      <w:r w:rsidR="00EB33A6">
        <w:rPr>
          <w:lang w:val="en-AU"/>
        </w:rPr>
        <w:fldChar w:fldCharType="begin"/>
      </w:r>
      <w:r w:rsidR="00673CF4">
        <w:rPr>
          <w:lang w:val="en-AU"/>
        </w:rPr>
        <w:instrText xml:space="preserve"> REF _Ref438135268 \h </w:instrText>
      </w:r>
      <w:r w:rsidR="00EB33A6">
        <w:rPr>
          <w:lang w:val="en-AU"/>
        </w:rPr>
      </w:r>
      <w:r w:rsidR="00EB33A6">
        <w:rPr>
          <w:lang w:val="en-AU"/>
        </w:rPr>
        <w:fldChar w:fldCharType="separate"/>
      </w:r>
      <w:r w:rsidR="007F5336" w:rsidRPr="00416C81">
        <w:t xml:space="preserve">Figure </w:t>
      </w:r>
      <w:r w:rsidR="007F5336">
        <w:rPr>
          <w:noProof/>
        </w:rPr>
        <w:t>5</w:t>
      </w:r>
      <w:r w:rsidR="007F5336">
        <w:noBreakHyphen/>
      </w:r>
      <w:r w:rsidR="007F5336">
        <w:rPr>
          <w:noProof/>
        </w:rPr>
        <w:t>33</w:t>
      </w:r>
      <w:r w:rsidR="007F5336">
        <w:t>:</w:t>
      </w:r>
      <w:r w:rsidR="00EB33A6">
        <w:rPr>
          <w:lang w:val="en-AU"/>
        </w:rPr>
        <w:fldChar w:fldCharType="end"/>
      </w:r>
      <w:r w:rsidRPr="008467AA">
        <w:rPr>
          <w:lang w:val="en-AU"/>
        </w:rPr>
        <w:t xml:space="preserve">a). Trends in concentrations of </w:t>
      </w:r>
      <w:r w:rsidR="00FC079A">
        <w:rPr>
          <w:lang w:val="en-AU"/>
        </w:rPr>
        <w:t>C</w:t>
      </w:r>
      <w:r w:rsidRPr="008467AA">
        <w:rPr>
          <w:lang w:val="en-AU"/>
        </w:rPr>
        <w:t>hl</w:t>
      </w:r>
      <w:r w:rsidR="00FC079A">
        <w:rPr>
          <w:lang w:val="en-AU"/>
        </w:rPr>
        <w:t>-</w:t>
      </w:r>
      <w:r w:rsidRPr="008467AA">
        <w:rPr>
          <w:lang w:val="en-AU"/>
        </w:rPr>
        <w:t>a, PN and PP showed distinct cycles, with periods of high values in 2006-07, 2011-12 and 2013-14 (</w:t>
      </w:r>
      <w:r w:rsidR="00EB33A6">
        <w:rPr>
          <w:lang w:val="en-AU"/>
        </w:rPr>
        <w:fldChar w:fldCharType="begin"/>
      </w:r>
      <w:r w:rsidR="00673CF4">
        <w:rPr>
          <w:lang w:val="en-AU"/>
        </w:rPr>
        <w:instrText xml:space="preserve"> REF _Ref438135268 \h </w:instrText>
      </w:r>
      <w:r w:rsidR="00EB33A6">
        <w:rPr>
          <w:lang w:val="en-AU"/>
        </w:rPr>
      </w:r>
      <w:r w:rsidR="00EB33A6">
        <w:rPr>
          <w:lang w:val="en-AU"/>
        </w:rPr>
        <w:fldChar w:fldCharType="separate"/>
      </w:r>
      <w:r w:rsidR="007F5336" w:rsidRPr="00416C81">
        <w:t xml:space="preserve">Figure </w:t>
      </w:r>
      <w:r w:rsidR="007F5336">
        <w:rPr>
          <w:noProof/>
        </w:rPr>
        <w:t>5</w:t>
      </w:r>
      <w:r w:rsidR="007F5336">
        <w:noBreakHyphen/>
      </w:r>
      <w:r w:rsidR="007F5336">
        <w:rPr>
          <w:noProof/>
        </w:rPr>
        <w:t>33</w:t>
      </w:r>
      <w:r w:rsidR="007F5336">
        <w:t>:</w:t>
      </w:r>
      <w:r w:rsidR="00EB33A6">
        <w:rPr>
          <w:lang w:val="en-AU"/>
        </w:rPr>
        <w:fldChar w:fldCharType="end"/>
      </w:r>
      <w:r w:rsidRPr="008467AA">
        <w:rPr>
          <w:lang w:val="en-AU"/>
        </w:rPr>
        <w:t xml:space="preserve">b,f,h). Trend-lines for PP were almost entirely above water quality guidelines (guideline) until 2015, while </w:t>
      </w:r>
      <w:r w:rsidR="00FC079A">
        <w:rPr>
          <w:lang w:val="en-AU"/>
        </w:rPr>
        <w:t>C</w:t>
      </w:r>
      <w:r w:rsidRPr="008467AA">
        <w:rPr>
          <w:lang w:val="en-AU"/>
        </w:rPr>
        <w:t>hl</w:t>
      </w:r>
      <w:r w:rsidR="00FC079A">
        <w:rPr>
          <w:lang w:val="en-AU"/>
        </w:rPr>
        <w:t>-</w:t>
      </w:r>
      <w:r w:rsidRPr="008467AA">
        <w:rPr>
          <w:lang w:val="en-AU"/>
        </w:rPr>
        <w:t>a trend-lines exceeded or was near or above the guideline since the beginning of the monitoring program (</w:t>
      </w:r>
      <w:r w:rsidR="00B437C6">
        <w:rPr>
          <w:lang w:val="en-AU"/>
        </w:rPr>
        <w:fldChar w:fldCharType="begin"/>
      </w:r>
      <w:r w:rsidR="00B437C6">
        <w:rPr>
          <w:lang w:val="en-AU"/>
        </w:rPr>
        <w:instrText xml:space="preserve"> REF _Ref438135268 \h </w:instrText>
      </w:r>
      <w:r w:rsidR="00B437C6">
        <w:rPr>
          <w:lang w:val="en-AU"/>
        </w:rPr>
      </w:r>
      <w:r w:rsidR="00B437C6">
        <w:rPr>
          <w:lang w:val="en-AU"/>
        </w:rPr>
        <w:fldChar w:fldCharType="separate"/>
      </w:r>
      <w:r w:rsidR="007F5336" w:rsidRPr="00416C81">
        <w:t xml:space="preserve">Figure </w:t>
      </w:r>
      <w:r w:rsidR="007F5336">
        <w:rPr>
          <w:noProof/>
        </w:rPr>
        <w:t>5</w:t>
      </w:r>
      <w:r w:rsidR="007F5336">
        <w:noBreakHyphen/>
      </w:r>
      <w:r w:rsidR="007F5336">
        <w:rPr>
          <w:noProof/>
        </w:rPr>
        <w:t>33</w:t>
      </w:r>
      <w:r w:rsidR="007F5336">
        <w:t>:</w:t>
      </w:r>
      <w:r w:rsidR="00B437C6">
        <w:rPr>
          <w:lang w:val="en-AU"/>
        </w:rPr>
        <w:fldChar w:fldCharType="end"/>
      </w:r>
      <w:r w:rsidRPr="008467AA">
        <w:rPr>
          <w:lang w:val="en-AU"/>
        </w:rPr>
        <w:t xml:space="preserve">b, h). Concentrations of TSS were generally above guideline values </w:t>
      </w:r>
      <w:r w:rsidR="00836C92" w:rsidRPr="000465E9">
        <w:rPr>
          <w:rStyle w:val="CommentReference"/>
          <w:rFonts w:cs="Arial"/>
          <w:sz w:val="22"/>
          <w:szCs w:val="22"/>
          <w:lang w:val="en-AU" w:eastAsia="en-AU"/>
        </w:rPr>
        <w:t xml:space="preserve">(around 1 ug/L) </w:t>
      </w:r>
      <w:r w:rsidRPr="008467AA">
        <w:rPr>
          <w:lang w:val="en-AU"/>
        </w:rPr>
        <w:t>throughout the program, decreasing until 2013 but with an upward trend in 2014-2015 (</w:t>
      </w:r>
      <w:r w:rsidR="00B437C6">
        <w:rPr>
          <w:lang w:val="en-AU"/>
        </w:rPr>
        <w:fldChar w:fldCharType="begin"/>
      </w:r>
      <w:r w:rsidR="00B437C6">
        <w:rPr>
          <w:lang w:val="en-AU"/>
        </w:rPr>
        <w:instrText xml:space="preserve"> REF _Ref438135268 \h </w:instrText>
      </w:r>
      <w:r w:rsidR="00B437C6">
        <w:rPr>
          <w:lang w:val="en-AU"/>
        </w:rPr>
      </w:r>
      <w:r w:rsidR="00B437C6">
        <w:rPr>
          <w:lang w:val="en-AU"/>
        </w:rPr>
        <w:fldChar w:fldCharType="separate"/>
      </w:r>
      <w:r w:rsidR="007F5336" w:rsidRPr="00416C81">
        <w:t xml:space="preserve">Figure </w:t>
      </w:r>
      <w:r w:rsidR="007F5336">
        <w:rPr>
          <w:noProof/>
        </w:rPr>
        <w:t>5</w:t>
      </w:r>
      <w:r w:rsidR="007F5336">
        <w:noBreakHyphen/>
      </w:r>
      <w:r w:rsidR="007F5336">
        <w:rPr>
          <w:noProof/>
        </w:rPr>
        <w:t>33</w:t>
      </w:r>
      <w:r w:rsidR="007F5336">
        <w:t>:</w:t>
      </w:r>
      <w:r w:rsidR="00B437C6">
        <w:rPr>
          <w:lang w:val="en-AU"/>
        </w:rPr>
        <w:fldChar w:fldCharType="end"/>
      </w:r>
      <w:r w:rsidRPr="008467AA">
        <w:rPr>
          <w:lang w:val="en-AU"/>
        </w:rPr>
        <w:t>c). The concentrations of NO</w:t>
      </w:r>
      <w:r w:rsidRPr="008467AA">
        <w:rPr>
          <w:vertAlign w:val="subscript"/>
          <w:lang w:val="en-AU"/>
        </w:rPr>
        <w:t>x</w:t>
      </w:r>
      <w:r w:rsidRPr="008467AA">
        <w:rPr>
          <w:lang w:val="en-AU"/>
        </w:rPr>
        <w:t xml:space="preserve"> showed increasing concentrations that exceeded the guideline from 2011 to 2014 (</w:t>
      </w:r>
      <w:r w:rsidR="00B437C6">
        <w:rPr>
          <w:lang w:val="en-AU"/>
        </w:rPr>
        <w:fldChar w:fldCharType="begin"/>
      </w:r>
      <w:r w:rsidR="00B437C6">
        <w:rPr>
          <w:lang w:val="en-AU"/>
        </w:rPr>
        <w:instrText xml:space="preserve"> REF _Ref438135268 \h </w:instrText>
      </w:r>
      <w:r w:rsidR="00B437C6">
        <w:rPr>
          <w:lang w:val="en-AU"/>
        </w:rPr>
      </w:r>
      <w:r w:rsidR="00B437C6">
        <w:rPr>
          <w:lang w:val="en-AU"/>
        </w:rPr>
        <w:fldChar w:fldCharType="separate"/>
      </w:r>
      <w:r w:rsidR="007F5336" w:rsidRPr="00416C81">
        <w:t xml:space="preserve">Figure </w:t>
      </w:r>
      <w:r w:rsidR="007F5336">
        <w:rPr>
          <w:noProof/>
        </w:rPr>
        <w:t>5</w:t>
      </w:r>
      <w:r w:rsidR="007F5336">
        <w:noBreakHyphen/>
      </w:r>
      <w:r w:rsidR="007F5336">
        <w:rPr>
          <w:noProof/>
        </w:rPr>
        <w:t>33</w:t>
      </w:r>
      <w:r w:rsidR="007F5336">
        <w:t>:</w:t>
      </w:r>
      <w:r w:rsidR="00B437C6">
        <w:rPr>
          <w:lang w:val="en-AU"/>
        </w:rPr>
        <w:fldChar w:fldCharType="end"/>
      </w:r>
      <w:r w:rsidRPr="008467AA">
        <w:rPr>
          <w:lang w:val="en-AU"/>
        </w:rPr>
        <w:t xml:space="preserve">d). Secchi depth remained relatively stable with a long-term average of about 5m, which </w:t>
      </w:r>
      <w:r w:rsidR="0046181F">
        <w:rPr>
          <w:lang w:val="en-AU"/>
        </w:rPr>
        <w:t>exceeds</w:t>
      </w:r>
      <w:r w:rsidRPr="008467AA">
        <w:rPr>
          <w:lang w:val="en-AU"/>
        </w:rPr>
        <w:t xml:space="preserve"> the guideline (</w:t>
      </w:r>
      <w:r w:rsidR="00B437C6">
        <w:rPr>
          <w:lang w:val="en-AU"/>
        </w:rPr>
        <w:fldChar w:fldCharType="begin"/>
      </w:r>
      <w:r w:rsidR="00B437C6">
        <w:rPr>
          <w:lang w:val="en-AU"/>
        </w:rPr>
        <w:instrText xml:space="preserve"> REF _Ref438135268 \h </w:instrText>
      </w:r>
      <w:r w:rsidR="00B437C6">
        <w:rPr>
          <w:lang w:val="en-AU"/>
        </w:rPr>
      </w:r>
      <w:r w:rsidR="00B437C6">
        <w:rPr>
          <w:lang w:val="en-AU"/>
        </w:rPr>
        <w:fldChar w:fldCharType="separate"/>
      </w:r>
      <w:r w:rsidR="007F5336" w:rsidRPr="00416C81">
        <w:t xml:space="preserve">Figure </w:t>
      </w:r>
      <w:r w:rsidR="007F5336">
        <w:rPr>
          <w:noProof/>
        </w:rPr>
        <w:t>5</w:t>
      </w:r>
      <w:r w:rsidR="007F5336">
        <w:noBreakHyphen/>
      </w:r>
      <w:r w:rsidR="007F5336">
        <w:rPr>
          <w:noProof/>
        </w:rPr>
        <w:t>33</w:t>
      </w:r>
      <w:r w:rsidR="007F5336">
        <w:t>:</w:t>
      </w:r>
      <w:r w:rsidR="00B437C6">
        <w:rPr>
          <w:lang w:val="en-AU"/>
        </w:rPr>
        <w:fldChar w:fldCharType="end"/>
      </w:r>
      <w:r w:rsidRPr="008467AA">
        <w:rPr>
          <w:lang w:val="en-AU"/>
        </w:rPr>
        <w:t>e).</w:t>
      </w:r>
    </w:p>
    <w:p w14:paraId="5F22F28B" w14:textId="5D355961" w:rsidR="008645FA" w:rsidRPr="008467AA" w:rsidRDefault="008645FA" w:rsidP="008645FA">
      <w:pPr>
        <w:rPr>
          <w:lang w:val="en-AU"/>
        </w:rPr>
      </w:pPr>
      <w:r w:rsidRPr="008467AA">
        <w:rPr>
          <w:lang w:val="en-AU"/>
        </w:rPr>
        <w:t>The concentrations of POC have remained more or less stable over the monitoring period, while the DOC concentrations have shown a</w:t>
      </w:r>
      <w:r w:rsidR="003F7A36">
        <w:rPr>
          <w:lang w:val="en-AU"/>
        </w:rPr>
        <w:t>n</w:t>
      </w:r>
      <w:r w:rsidRPr="008467AA">
        <w:rPr>
          <w:lang w:val="en-AU"/>
        </w:rPr>
        <w:t xml:space="preserve"> increase until 2012 </w:t>
      </w:r>
      <w:r w:rsidR="005A55C3" w:rsidRPr="008467AA">
        <w:rPr>
          <w:lang w:val="en-AU"/>
        </w:rPr>
        <w:t>where after</w:t>
      </w:r>
      <w:r w:rsidRPr="008467AA">
        <w:rPr>
          <w:lang w:val="en-AU"/>
        </w:rPr>
        <w:t xml:space="preserve"> it has remained relatively stable (</w:t>
      </w:r>
      <w:r w:rsidR="00B437C6">
        <w:rPr>
          <w:lang w:val="en-AU"/>
        </w:rPr>
        <w:fldChar w:fldCharType="begin"/>
      </w:r>
      <w:r w:rsidR="00B437C6">
        <w:rPr>
          <w:lang w:val="en-AU"/>
        </w:rPr>
        <w:instrText xml:space="preserve"> REF _Ref438135268 \h </w:instrText>
      </w:r>
      <w:r w:rsidR="00B437C6">
        <w:rPr>
          <w:lang w:val="en-AU"/>
        </w:rPr>
      </w:r>
      <w:r w:rsidR="00B437C6">
        <w:rPr>
          <w:lang w:val="en-AU"/>
        </w:rPr>
        <w:fldChar w:fldCharType="separate"/>
      </w:r>
      <w:r w:rsidR="007F5336" w:rsidRPr="00416C81">
        <w:t xml:space="preserve">Figure </w:t>
      </w:r>
      <w:r w:rsidR="007F5336">
        <w:rPr>
          <w:noProof/>
        </w:rPr>
        <w:t>5</w:t>
      </w:r>
      <w:r w:rsidR="007F5336">
        <w:noBreakHyphen/>
      </w:r>
      <w:r w:rsidR="007F5336">
        <w:rPr>
          <w:noProof/>
        </w:rPr>
        <w:t>33</w:t>
      </w:r>
      <w:r w:rsidR="007F5336">
        <w:t>:</w:t>
      </w:r>
      <w:r w:rsidR="00B437C6">
        <w:rPr>
          <w:lang w:val="en-AU"/>
        </w:rPr>
        <w:fldChar w:fldCharType="end"/>
      </w:r>
      <w:r w:rsidRPr="008467AA">
        <w:rPr>
          <w:lang w:val="en-AU"/>
        </w:rPr>
        <w:t>i,j).</w:t>
      </w:r>
    </w:p>
    <w:p w14:paraId="5F22F28C" w14:textId="219347CF" w:rsidR="008645FA" w:rsidRPr="008467AA" w:rsidRDefault="00315B2F" w:rsidP="008645FA">
      <w:pPr>
        <w:rPr>
          <w:lang w:val="en-AU"/>
        </w:rPr>
      </w:pPr>
      <w:r>
        <w:rPr>
          <w:lang w:val="en-AU"/>
        </w:rPr>
        <w:t xml:space="preserve">The instrumental </w:t>
      </w:r>
      <w:r w:rsidR="00B437C6">
        <w:rPr>
          <w:lang w:val="en-AU"/>
        </w:rPr>
        <w:t>Chl-a</w:t>
      </w:r>
      <w:r w:rsidR="0046181F" w:rsidRPr="008467AA">
        <w:rPr>
          <w:lang w:val="en-AU"/>
        </w:rPr>
        <w:t xml:space="preserve"> </w:t>
      </w:r>
      <w:r>
        <w:rPr>
          <w:lang w:val="en-AU"/>
        </w:rPr>
        <w:t xml:space="preserve">and turbidity </w:t>
      </w:r>
      <w:r w:rsidR="008645FA" w:rsidRPr="008467AA">
        <w:rPr>
          <w:lang w:val="en-AU"/>
        </w:rPr>
        <w:t xml:space="preserve">records showed more pronounced fluctuations than the manual sampling data (Figure </w:t>
      </w:r>
      <w:r>
        <w:rPr>
          <w:lang w:val="en-AU"/>
        </w:rPr>
        <w:t>5-26</w:t>
      </w:r>
      <w:r w:rsidR="008645FA" w:rsidRPr="008467AA">
        <w:rPr>
          <w:lang w:val="en-AU"/>
        </w:rPr>
        <w:t xml:space="preserve">b,g). The trend-lines of </w:t>
      </w:r>
      <w:r w:rsidR="00FC079A">
        <w:rPr>
          <w:lang w:val="en-AU"/>
        </w:rPr>
        <w:t>C</w:t>
      </w:r>
      <w:r w:rsidR="00FC079A" w:rsidRPr="008467AA">
        <w:rPr>
          <w:lang w:val="en-AU"/>
        </w:rPr>
        <w:t>hl</w:t>
      </w:r>
      <w:r w:rsidR="00FC079A">
        <w:rPr>
          <w:lang w:val="en-AU"/>
        </w:rPr>
        <w:t>-a</w:t>
      </w:r>
      <w:r w:rsidR="00FC079A" w:rsidRPr="008467AA">
        <w:rPr>
          <w:lang w:val="en-AU"/>
        </w:rPr>
        <w:t xml:space="preserve"> </w:t>
      </w:r>
      <w:r w:rsidR="008645FA" w:rsidRPr="008467AA">
        <w:rPr>
          <w:lang w:val="en-AU"/>
        </w:rPr>
        <w:t>showed distinct maxima above the guideline during the wet seasons of 2011 and 2014 (</w:t>
      </w:r>
      <w:r w:rsidR="00B437C6">
        <w:rPr>
          <w:lang w:val="en-AU"/>
        </w:rPr>
        <w:fldChar w:fldCharType="begin"/>
      </w:r>
      <w:r w:rsidR="00B437C6">
        <w:rPr>
          <w:lang w:val="en-AU"/>
        </w:rPr>
        <w:instrText xml:space="preserve"> REF _Ref438135268 \h </w:instrText>
      </w:r>
      <w:r w:rsidR="00B437C6">
        <w:rPr>
          <w:lang w:val="en-AU"/>
        </w:rPr>
      </w:r>
      <w:r w:rsidR="00B437C6">
        <w:rPr>
          <w:lang w:val="en-AU"/>
        </w:rPr>
        <w:fldChar w:fldCharType="separate"/>
      </w:r>
      <w:r w:rsidR="007F5336" w:rsidRPr="00416C81">
        <w:t xml:space="preserve">Figure </w:t>
      </w:r>
      <w:r w:rsidR="007F5336">
        <w:rPr>
          <w:noProof/>
        </w:rPr>
        <w:t>5</w:t>
      </w:r>
      <w:r w:rsidR="007F5336">
        <w:noBreakHyphen/>
      </w:r>
      <w:r w:rsidR="007F5336">
        <w:rPr>
          <w:noProof/>
        </w:rPr>
        <w:t>33</w:t>
      </w:r>
      <w:r w:rsidR="007F5336">
        <w:t>:</w:t>
      </w:r>
      <w:r w:rsidR="00B437C6">
        <w:rPr>
          <w:lang w:val="en-AU"/>
        </w:rPr>
        <w:fldChar w:fldCharType="end"/>
      </w:r>
      <w:r w:rsidR="008645FA" w:rsidRPr="008467AA">
        <w:rPr>
          <w:lang w:val="en-AU"/>
        </w:rPr>
        <w:t>b). The turbidity showed overall levels around twice the guideline levels, steadily increasing over the course of the monitoring period with peak levels in 2011-2012 and 2014 (</w:t>
      </w:r>
      <w:r w:rsidR="00B437C6">
        <w:rPr>
          <w:lang w:val="en-AU"/>
        </w:rPr>
        <w:fldChar w:fldCharType="begin"/>
      </w:r>
      <w:r w:rsidR="00B437C6">
        <w:rPr>
          <w:lang w:val="en-AU"/>
        </w:rPr>
        <w:instrText xml:space="preserve"> REF _Ref438135268 \h </w:instrText>
      </w:r>
      <w:r w:rsidR="00B437C6">
        <w:rPr>
          <w:lang w:val="en-AU"/>
        </w:rPr>
      </w:r>
      <w:r w:rsidR="00B437C6">
        <w:rPr>
          <w:lang w:val="en-AU"/>
        </w:rPr>
        <w:fldChar w:fldCharType="separate"/>
      </w:r>
      <w:r w:rsidR="007F5336" w:rsidRPr="00416C81">
        <w:t xml:space="preserve">Figure </w:t>
      </w:r>
      <w:r w:rsidR="007F5336">
        <w:rPr>
          <w:noProof/>
        </w:rPr>
        <w:t>5</w:t>
      </w:r>
      <w:r w:rsidR="007F5336">
        <w:noBreakHyphen/>
      </w:r>
      <w:r w:rsidR="007F5336">
        <w:rPr>
          <w:noProof/>
        </w:rPr>
        <w:t>33</w:t>
      </w:r>
      <w:r w:rsidR="007F5336">
        <w:t>:</w:t>
      </w:r>
      <w:r w:rsidR="00B437C6">
        <w:rPr>
          <w:lang w:val="en-AU"/>
        </w:rPr>
        <w:fldChar w:fldCharType="end"/>
      </w:r>
      <w:r w:rsidR="008645FA" w:rsidRPr="008467AA">
        <w:rPr>
          <w:lang w:val="en-AU"/>
        </w:rPr>
        <w:t xml:space="preserve">g). </w:t>
      </w:r>
    </w:p>
    <w:p w14:paraId="5F22F28D" w14:textId="7E429323" w:rsidR="008645FA" w:rsidRPr="008467AA" w:rsidRDefault="008645FA" w:rsidP="008645FA">
      <w:pPr>
        <w:rPr>
          <w:rFonts w:cs="Arial"/>
          <w:color w:val="000000" w:themeColor="text1"/>
          <w:lang w:val="en-AU"/>
        </w:rPr>
      </w:pPr>
      <w:r w:rsidRPr="008467AA">
        <w:rPr>
          <w:rFonts w:cs="Arial"/>
          <w:color w:val="000000" w:themeColor="text1"/>
          <w:lang w:val="en-AU"/>
        </w:rPr>
        <w:t>The TSS and turbidity (NTU) showed different temporal trends (</w:t>
      </w:r>
      <w:r w:rsidR="00B437C6">
        <w:rPr>
          <w:lang w:val="en-AU"/>
        </w:rPr>
        <w:fldChar w:fldCharType="begin"/>
      </w:r>
      <w:r w:rsidR="00B437C6">
        <w:rPr>
          <w:lang w:val="en-AU"/>
        </w:rPr>
        <w:instrText xml:space="preserve"> REF _Ref438135268 \h </w:instrText>
      </w:r>
      <w:r w:rsidR="00B437C6">
        <w:rPr>
          <w:lang w:val="en-AU"/>
        </w:rPr>
      </w:r>
      <w:r w:rsidR="00B437C6">
        <w:rPr>
          <w:lang w:val="en-AU"/>
        </w:rPr>
        <w:fldChar w:fldCharType="separate"/>
      </w:r>
      <w:r w:rsidR="007F5336" w:rsidRPr="00416C81">
        <w:t xml:space="preserve">Figure </w:t>
      </w:r>
      <w:r w:rsidR="007F5336">
        <w:rPr>
          <w:noProof/>
        </w:rPr>
        <w:t>5</w:t>
      </w:r>
      <w:r w:rsidR="007F5336">
        <w:noBreakHyphen/>
      </w:r>
      <w:r w:rsidR="007F5336">
        <w:rPr>
          <w:noProof/>
        </w:rPr>
        <w:t>33</w:t>
      </w:r>
      <w:r w:rsidR="007F5336">
        <w:t>:</w:t>
      </w:r>
      <w:r w:rsidR="00B437C6">
        <w:rPr>
          <w:lang w:val="en-AU"/>
        </w:rPr>
        <w:fldChar w:fldCharType="end"/>
      </w:r>
      <w:r w:rsidRPr="008467AA">
        <w:rPr>
          <w:color w:val="000000" w:themeColor="text1"/>
          <w:lang w:val="en-AU"/>
        </w:rPr>
        <w:t xml:space="preserve">c and g), which is mainly due to that they measure different properties, as described above (see Russell-Mulgrave </w:t>
      </w:r>
      <w:r w:rsidR="00B437C6">
        <w:rPr>
          <w:color w:val="000000" w:themeColor="text1"/>
          <w:lang w:val="en-AU"/>
        </w:rPr>
        <w:t>focus area</w:t>
      </w:r>
      <w:r w:rsidRPr="008467AA">
        <w:rPr>
          <w:color w:val="000000" w:themeColor="text1"/>
          <w:lang w:val="en-AU"/>
        </w:rPr>
        <w:t xml:space="preserve">). This </w:t>
      </w:r>
      <w:r w:rsidRPr="008467AA">
        <w:rPr>
          <w:rFonts w:cs="Arial"/>
          <w:color w:val="000000" w:themeColor="text1"/>
          <w:lang w:val="en-AU"/>
        </w:rPr>
        <w:t xml:space="preserve">difference in trends indicates that the size spectrum/composition of the optical active particle fraction has changed over the monitoring period. </w:t>
      </w:r>
    </w:p>
    <w:p w14:paraId="5F22F28E" w14:textId="77777777" w:rsidR="00E279AD" w:rsidRPr="00416C81" w:rsidRDefault="007A1A6E" w:rsidP="00092619">
      <w:pPr>
        <w:rPr>
          <w:lang w:val="en-AU"/>
        </w:rPr>
      </w:pPr>
      <w:r>
        <w:rPr>
          <w:noProof/>
          <w:lang w:val="en-AU" w:eastAsia="en-AU"/>
        </w:rPr>
        <w:drawing>
          <wp:inline distT="0" distB="0" distL="0" distR="0" wp14:anchorId="5F2323ED" wp14:editId="724115FF">
            <wp:extent cx="5731510" cy="5731510"/>
            <wp:effectExtent l="0" t="0" r="2540" b="2540"/>
            <wp:docPr id="241" name="Picture 241" descr="Panel of plots showing temporal trends in water quality for the Tully sub-region.  a) water quality index, b) chlorophyll a, c) total suspended solids, d) nitrate/nitrite, e) Secchi depth, f) particulate nitrogen, g) particulate phosphorus, h) particulate organic carbon and i) dissolved organic carbon. Water quality index colour coding: dark green- ‘very good’; light green-‘good’; yellow – ‘moderate; orange – ‘poor’; red – ‘very poor’. The water quality index is the aggregate of variables plotted in b - h and calculated as described in Appendix 1.2.3. Trends in POC and DOC values are plotted here (i, j); threshold levels have yet to be established.  Trends in manually sampled water quality variables are represented by blue lines with blue shaded areas defining 95% confidence intervals of those trends accounting for the effects of wind, waves and tides, black dots represent observed data. Trends of records from ECO FLNTUSB instruments are represented in red, individual records are not displayed. Dashed reference lines indicate guideline values." title="Figure 5 33: Temporal trends in water quality for the Tully sub-region.  a) water quality index, b) chlorophyll a, c) total suspended solids, d) nitrate/nitrite, e) Secchi depth, f) particulate nitrogen, g) particulate phosphorus, h) particulate organic carbon and i) dissolved organic carb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clonborg\Desktop\MMP report 2014-15\Final graphs 2015\EcosystemHealth\ecosystemHealth_WQ_niskin.all.reef.av_Tully_Herbert.png"/>
                    <pic:cNvPicPr>
                      <a:picLocks noChangeAspect="1" noChangeArrowheads="1"/>
                    </pic:cNvPicPr>
                  </pic:nvPicPr>
                  <pic:blipFill>
                    <a:blip r:embed="rId348">
                      <a:extLst>
                        <a:ext uri="{28A0092B-C50C-407E-A947-70E740481C1C}">
                          <a14:useLocalDpi xmlns:a14="http://schemas.microsoft.com/office/drawing/2010/main" val="0"/>
                        </a:ext>
                      </a:extLst>
                    </a:blip>
                    <a:srcRect/>
                    <a:stretch>
                      <a:fillRect/>
                    </a:stretch>
                  </pic:blipFill>
                  <pic:spPr bwMode="auto">
                    <a:xfrm>
                      <a:off x="0" y="0"/>
                      <a:ext cx="5731510" cy="5731510"/>
                    </a:xfrm>
                    <a:prstGeom prst="rect">
                      <a:avLst/>
                    </a:prstGeom>
                    <a:noFill/>
                    <a:ln>
                      <a:noFill/>
                    </a:ln>
                  </pic:spPr>
                </pic:pic>
              </a:graphicData>
            </a:graphic>
          </wp:inline>
        </w:drawing>
      </w:r>
    </w:p>
    <w:p w14:paraId="5F22F290" w14:textId="29794122" w:rsidR="00702B17" w:rsidRPr="00E261A3" w:rsidRDefault="00E279AD" w:rsidP="00164E5E">
      <w:pPr>
        <w:pStyle w:val="Caption"/>
        <w:rPr>
          <w:rStyle w:val="IntenseReference"/>
        </w:rPr>
      </w:pPr>
      <w:bookmarkStart w:id="1233" w:name="_Ref438135268"/>
      <w:bookmarkStart w:id="1234" w:name="_Toc436913486"/>
      <w:bookmarkStart w:id="1235" w:name="_Toc459332391"/>
      <w:r w:rsidRPr="00416C81">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33</w:t>
      </w:r>
      <w:r w:rsidR="00C62884">
        <w:fldChar w:fldCharType="end"/>
      </w:r>
      <w:r w:rsidR="00B437C6">
        <w:t>:</w:t>
      </w:r>
      <w:bookmarkEnd w:id="1233"/>
      <w:r w:rsidR="008645FA" w:rsidRPr="00416C81">
        <w:t xml:space="preserve"> Temporal trends in water quality for the Tully </w:t>
      </w:r>
      <w:r w:rsidR="003B089A">
        <w:t>sub</w:t>
      </w:r>
      <w:r w:rsidR="008645FA" w:rsidRPr="00416C81">
        <w:t>-region</w:t>
      </w:r>
      <w:r w:rsidR="00B43F3B">
        <w:t xml:space="preserve">. </w:t>
      </w:r>
      <w:r w:rsidR="008645FA" w:rsidRPr="00E261A3">
        <w:rPr>
          <w:rStyle w:val="IntenseReference"/>
        </w:rPr>
        <w:t xml:space="preserve"> </w:t>
      </w:r>
      <w:r w:rsidR="00702B17" w:rsidRPr="00E261A3">
        <w:rPr>
          <w:rStyle w:val="IntenseReference"/>
        </w:rPr>
        <w:t>a) water quality index, b) chlorophyll a, c) total suspended solids, d) nitrate/nitrite, e) Secchi depth, f) particulate nitrogen, g) particulate phosphorus, h) particulate organic carbon and i) dissolved organic carbon. Water quality index colour coding: dark green- ‘very good’; light green-‘good’; yellow – ‘moderate; orange – ‘poor’; red – ‘very poor’. The water quality index is the aggregate of variables plotted in b - h and calculated as described in Appendix 1.2.3. Trends in POC and DOC values are plotted here (i, j); threshold levels have yet to be established.  Trends in manually sampled water quality variables are represented by blue lines with blue shaded areas defining 95% confidence intervals of those trends</w:t>
      </w:r>
      <w:r w:rsidR="00E25252" w:rsidRPr="00E25252">
        <w:rPr>
          <w:color w:val="000000"/>
        </w:rPr>
        <w:t xml:space="preserve"> </w:t>
      </w:r>
      <w:r w:rsidR="00E25252" w:rsidRPr="00C52985">
        <w:rPr>
          <w:color w:val="000000"/>
        </w:rPr>
        <w:t xml:space="preserve">accounting for the effects of </w:t>
      </w:r>
      <w:r w:rsidR="00E25252" w:rsidRPr="00C52985">
        <w:t>wind, waves and tides</w:t>
      </w:r>
      <w:r w:rsidR="00702B17" w:rsidRPr="00E261A3">
        <w:rPr>
          <w:rStyle w:val="IntenseReference"/>
        </w:rPr>
        <w:t>, black dots represent observed data. Trends of records from ECO FLNTUSB instruments are represented in red, individual records are not displayed. Dashed reference lines indicate guideline values.</w:t>
      </w:r>
      <w:bookmarkEnd w:id="1234"/>
      <w:bookmarkEnd w:id="1235"/>
    </w:p>
    <w:p w14:paraId="5F22F291" w14:textId="77777777" w:rsidR="008645FA" w:rsidRPr="008467AA" w:rsidRDefault="008645FA" w:rsidP="00164E5E">
      <w:pPr>
        <w:pStyle w:val="Caption"/>
        <w:rPr>
          <w:rStyle w:val="IntenseReference"/>
          <w:lang w:val="en-AU"/>
        </w:rPr>
      </w:pPr>
    </w:p>
    <w:p w14:paraId="5F22F293" w14:textId="77777777" w:rsidR="00446EA5" w:rsidRPr="00EE5D45" w:rsidRDefault="00446EA5" w:rsidP="00164E5E">
      <w:pPr>
        <w:pStyle w:val="Heading4"/>
      </w:pPr>
      <w:r>
        <w:t>W</w:t>
      </w:r>
      <w:r w:rsidRPr="00EE5D45">
        <w:t>et season</w:t>
      </w:r>
      <w:r>
        <w:t xml:space="preserve"> water quality</w:t>
      </w:r>
    </w:p>
    <w:p w14:paraId="5F22F294" w14:textId="3BA92733" w:rsidR="00E279AD" w:rsidRPr="008467AA" w:rsidRDefault="00E279AD" w:rsidP="00E279AD">
      <w:pPr>
        <w:rPr>
          <w:rFonts w:cs="Arial"/>
          <w:color w:val="000000" w:themeColor="text1"/>
          <w:lang w:val="en-AU"/>
        </w:rPr>
      </w:pPr>
      <w:r w:rsidRPr="008467AA">
        <w:rPr>
          <w:rFonts w:cs="Arial"/>
          <w:color w:val="000000" w:themeColor="text1"/>
          <w:lang w:val="en-AU"/>
        </w:rPr>
        <w:t xml:space="preserve">Data collected in the wet season has also contributed to the understanding of the variability </w:t>
      </w:r>
      <w:r w:rsidR="003F7A36" w:rsidRPr="008467AA">
        <w:rPr>
          <w:rFonts w:cs="Arial"/>
          <w:color w:val="000000" w:themeColor="text1"/>
          <w:lang w:val="en-AU"/>
        </w:rPr>
        <w:t>associated</w:t>
      </w:r>
      <w:r w:rsidRPr="008467AA">
        <w:rPr>
          <w:rFonts w:cs="Arial"/>
          <w:color w:val="000000" w:themeColor="text1"/>
          <w:lang w:val="en-AU"/>
        </w:rPr>
        <w:t xml:space="preserve"> with the period of elevated flow. The Tully</w:t>
      </w:r>
      <w:r w:rsidR="006955CC">
        <w:rPr>
          <w:rFonts w:cs="Arial"/>
          <w:color w:val="000000" w:themeColor="text1"/>
          <w:lang w:val="en-AU"/>
        </w:rPr>
        <w:t xml:space="preserve"> and </w:t>
      </w:r>
      <w:r w:rsidRPr="008467AA">
        <w:rPr>
          <w:rFonts w:cs="Arial"/>
          <w:color w:val="000000" w:themeColor="text1"/>
          <w:lang w:val="en-AU"/>
        </w:rPr>
        <w:t xml:space="preserve">Murray </w:t>
      </w:r>
      <w:r w:rsidR="006955CC">
        <w:rPr>
          <w:rFonts w:cs="Arial"/>
          <w:color w:val="000000" w:themeColor="text1"/>
          <w:lang w:val="en-AU"/>
        </w:rPr>
        <w:t>R</w:t>
      </w:r>
      <w:r w:rsidRPr="008467AA">
        <w:rPr>
          <w:rFonts w:cs="Arial"/>
          <w:color w:val="000000" w:themeColor="text1"/>
          <w:lang w:val="en-AU"/>
        </w:rPr>
        <w:t>iver</w:t>
      </w:r>
      <w:r w:rsidR="006955CC">
        <w:rPr>
          <w:rFonts w:cs="Arial"/>
          <w:color w:val="000000" w:themeColor="text1"/>
          <w:lang w:val="en-AU"/>
        </w:rPr>
        <w:t>s</w:t>
      </w:r>
      <w:r w:rsidRPr="008467AA">
        <w:rPr>
          <w:rFonts w:cs="Arial"/>
          <w:color w:val="000000" w:themeColor="text1"/>
          <w:lang w:val="en-AU"/>
        </w:rPr>
        <w:t xml:space="preserve"> </w:t>
      </w:r>
      <w:r w:rsidR="006955CC" w:rsidRPr="008467AA">
        <w:rPr>
          <w:rFonts w:cs="Arial"/>
          <w:color w:val="000000" w:themeColor="text1"/>
          <w:lang w:val="en-AU"/>
        </w:rPr>
        <w:t>ha</w:t>
      </w:r>
      <w:r w:rsidR="006955CC">
        <w:rPr>
          <w:rFonts w:cs="Arial"/>
          <w:color w:val="000000" w:themeColor="text1"/>
          <w:lang w:val="en-AU"/>
        </w:rPr>
        <w:t>ve</w:t>
      </w:r>
      <w:r w:rsidR="006955CC" w:rsidRPr="008467AA">
        <w:rPr>
          <w:rFonts w:cs="Arial"/>
          <w:color w:val="000000" w:themeColor="text1"/>
          <w:lang w:val="en-AU"/>
        </w:rPr>
        <w:t xml:space="preserve"> </w:t>
      </w:r>
      <w:r w:rsidRPr="008467AA">
        <w:rPr>
          <w:rFonts w:cs="Arial"/>
          <w:color w:val="000000" w:themeColor="text1"/>
          <w:lang w:val="en-AU"/>
        </w:rPr>
        <w:t>now been sampled e</w:t>
      </w:r>
      <w:r w:rsidR="00381329" w:rsidRPr="008467AA">
        <w:rPr>
          <w:rFonts w:cs="Arial"/>
          <w:color w:val="000000" w:themeColor="text1"/>
          <w:lang w:val="en-AU"/>
        </w:rPr>
        <w:t>very year from 2006 (</w:t>
      </w:r>
      <w:r w:rsidR="003B089A">
        <w:rPr>
          <w:rFonts w:cs="Arial"/>
          <w:color w:val="000000" w:themeColor="text1"/>
          <w:lang w:val="en-AU"/>
        </w:rPr>
        <w:t xml:space="preserve">i.e., 2005-2006 wet season, </w:t>
      </w:r>
      <w:r w:rsidR="00315B2F">
        <w:rPr>
          <w:rFonts w:cs="Arial"/>
          <w:color w:val="000000" w:themeColor="text1"/>
          <w:lang w:val="en-AU"/>
        </w:rPr>
        <w:t>Table</w:t>
      </w:r>
      <w:r w:rsidR="00BD0873">
        <w:rPr>
          <w:rFonts w:cs="Arial"/>
          <w:color w:val="000000" w:themeColor="text1"/>
          <w:lang w:val="en-AU"/>
        </w:rPr>
        <w:t xml:space="preserve"> A2-2</w:t>
      </w:r>
      <w:r w:rsidRPr="008467AA">
        <w:rPr>
          <w:rFonts w:cs="Arial"/>
          <w:color w:val="000000" w:themeColor="text1"/>
          <w:lang w:val="en-AU"/>
        </w:rPr>
        <w:t>)</w:t>
      </w:r>
      <w:r w:rsidR="000B3C54" w:rsidRPr="008467AA">
        <w:rPr>
          <w:rFonts w:cs="Arial"/>
          <w:color w:val="000000" w:themeColor="text1"/>
          <w:lang w:val="en-AU"/>
        </w:rPr>
        <w:t xml:space="preserve"> adding to a significantly valuable </w:t>
      </w:r>
      <w:r w:rsidR="005A55C3" w:rsidRPr="008467AA">
        <w:rPr>
          <w:rFonts w:cs="Arial"/>
          <w:color w:val="000000" w:themeColor="text1"/>
          <w:lang w:val="en-AU"/>
        </w:rPr>
        <w:t>long-term</w:t>
      </w:r>
      <w:r w:rsidR="000B3C54" w:rsidRPr="008467AA">
        <w:rPr>
          <w:rFonts w:cs="Arial"/>
          <w:color w:val="000000" w:themeColor="text1"/>
          <w:lang w:val="en-AU"/>
        </w:rPr>
        <w:t xml:space="preserve"> data set for the Tully </w:t>
      </w:r>
      <w:r w:rsidR="00B437C6">
        <w:rPr>
          <w:rFonts w:cs="Arial"/>
          <w:color w:val="000000" w:themeColor="text1"/>
          <w:lang w:val="en-AU"/>
        </w:rPr>
        <w:t>focus area</w:t>
      </w:r>
      <w:r w:rsidR="000B3C54" w:rsidRPr="008467AA">
        <w:rPr>
          <w:rFonts w:cs="Arial"/>
          <w:color w:val="000000" w:themeColor="text1"/>
          <w:lang w:val="en-AU"/>
        </w:rPr>
        <w:t xml:space="preserve"> (1994 – 2015)</w:t>
      </w:r>
      <w:r w:rsidRPr="008467AA">
        <w:rPr>
          <w:rFonts w:cs="Arial"/>
          <w:color w:val="000000" w:themeColor="text1"/>
          <w:lang w:val="en-AU"/>
        </w:rPr>
        <w:t>.</w:t>
      </w:r>
    </w:p>
    <w:p w14:paraId="5F22F295" w14:textId="2C97A545" w:rsidR="00E279AD" w:rsidRPr="008467AA" w:rsidRDefault="00E279AD" w:rsidP="00E279AD">
      <w:pPr>
        <w:rPr>
          <w:lang w:val="en-AU"/>
        </w:rPr>
      </w:pPr>
      <w:r w:rsidRPr="008467AA">
        <w:rPr>
          <w:lang w:val="en-AU"/>
        </w:rPr>
        <w:t xml:space="preserve">Details of samples collected in the wet season can be found in </w:t>
      </w:r>
      <w:r w:rsidR="00FC079A">
        <w:rPr>
          <w:lang w:val="en-AU"/>
        </w:rPr>
        <w:t>A</w:t>
      </w:r>
      <w:r w:rsidRPr="008467AA">
        <w:rPr>
          <w:lang w:val="en-AU"/>
        </w:rPr>
        <w:t>ppendix A2-</w:t>
      </w:r>
      <w:r w:rsidR="00BD0873">
        <w:rPr>
          <w:lang w:val="en-AU"/>
        </w:rPr>
        <w:t>6</w:t>
      </w:r>
      <w:r w:rsidRPr="008467AA">
        <w:rPr>
          <w:lang w:val="en-AU"/>
        </w:rPr>
        <w:t xml:space="preserve">, which details statistical summary of the water quality parameters collected </w:t>
      </w:r>
      <w:r w:rsidR="003F7A36">
        <w:rPr>
          <w:lang w:val="en-AU"/>
        </w:rPr>
        <w:t xml:space="preserve">at </w:t>
      </w:r>
      <w:r w:rsidRPr="008467AA">
        <w:rPr>
          <w:lang w:val="en-AU"/>
        </w:rPr>
        <w:t xml:space="preserve">each focus </w:t>
      </w:r>
      <w:r w:rsidR="00B437C6">
        <w:rPr>
          <w:lang w:val="en-AU"/>
        </w:rPr>
        <w:t>area</w:t>
      </w:r>
      <w:r w:rsidRPr="008467AA">
        <w:rPr>
          <w:lang w:val="en-AU"/>
        </w:rPr>
        <w:t xml:space="preserve">, over the 2014-15 wet season. </w:t>
      </w:r>
    </w:p>
    <w:p w14:paraId="5F22F296" w14:textId="2CB0A600" w:rsidR="00E279AD" w:rsidRDefault="00E279AD" w:rsidP="00E279AD">
      <w:pPr>
        <w:rPr>
          <w:lang w:val="en-AU"/>
        </w:rPr>
      </w:pPr>
      <w:r w:rsidRPr="008467AA">
        <w:rPr>
          <w:lang w:val="en-AU"/>
        </w:rPr>
        <w:t>Salinity mixing plots for the data collected in the 2014-15 wet season at the Tully sites at each sampling event are presented for DIN, DIP, K</w:t>
      </w:r>
      <w:r w:rsidRPr="004A5BF7">
        <w:rPr>
          <w:vertAlign w:val="subscript"/>
          <w:lang w:val="en-AU"/>
        </w:rPr>
        <w:t>d</w:t>
      </w:r>
      <w:r w:rsidRPr="008467AA">
        <w:rPr>
          <w:lang w:val="en-AU"/>
        </w:rPr>
        <w:t xml:space="preserve">(PAR), TSS, Chl-a and CDOM </w:t>
      </w:r>
      <w:r w:rsidRPr="003704F8">
        <w:rPr>
          <w:lang w:val="en-AU"/>
        </w:rPr>
        <w:t>(</w:t>
      </w:r>
      <w:r w:rsidR="00FC079A" w:rsidRPr="003704F8">
        <w:rPr>
          <w:lang w:val="en-AU"/>
        </w:rPr>
        <w:t>Figures A2-15 to A2-20</w:t>
      </w:r>
      <w:r w:rsidRPr="003704F8">
        <w:rPr>
          <w:lang w:val="en-AU"/>
        </w:rPr>
        <w:t>).</w:t>
      </w:r>
    </w:p>
    <w:p w14:paraId="5F22F297" w14:textId="7FFF1296" w:rsidR="00E279AD" w:rsidRPr="008467AA" w:rsidRDefault="00B437C6" w:rsidP="00E279AD">
      <w:pPr>
        <w:rPr>
          <w:lang w:val="en-AU"/>
        </w:rPr>
      </w:pPr>
      <w:r>
        <w:rPr>
          <w:lang w:val="en-AU"/>
        </w:rPr>
        <w:t>T</w:t>
      </w:r>
      <w:r w:rsidR="007D470E">
        <w:rPr>
          <w:lang w:val="en-AU"/>
        </w:rPr>
        <w:t xml:space="preserve">he corresponding end-of–catchment water quality concentrations at each sampling date </w:t>
      </w:r>
      <w:r>
        <w:rPr>
          <w:lang w:val="en-AU"/>
        </w:rPr>
        <w:t>are</w:t>
      </w:r>
      <w:r w:rsidR="007D470E">
        <w:rPr>
          <w:lang w:val="en-AU"/>
        </w:rPr>
        <w:t xml:space="preserve"> not available to produce proper mixing plots for the Tully </w:t>
      </w:r>
      <w:r>
        <w:rPr>
          <w:lang w:val="en-AU"/>
        </w:rPr>
        <w:t>focus area</w:t>
      </w:r>
      <w:r w:rsidR="007D470E">
        <w:rPr>
          <w:lang w:val="en-AU"/>
        </w:rPr>
        <w:t xml:space="preserve">. Average values, calculated from long-term data (since 2006) where salinity was below 5 </w:t>
      </w:r>
      <w:r>
        <w:rPr>
          <w:lang w:val="en-AU"/>
        </w:rPr>
        <w:t xml:space="preserve">ppt </w:t>
      </w:r>
      <w:r w:rsidR="007D470E">
        <w:rPr>
          <w:lang w:val="en-AU"/>
        </w:rPr>
        <w:t xml:space="preserve">were used instead. </w:t>
      </w:r>
      <w:r w:rsidR="0032538A">
        <w:rPr>
          <w:lang w:val="en-AU"/>
        </w:rPr>
        <w:t xml:space="preserve">The </w:t>
      </w:r>
      <w:r w:rsidR="00E279AD" w:rsidRPr="008467AA">
        <w:rPr>
          <w:lang w:val="en-AU"/>
        </w:rPr>
        <w:t xml:space="preserve">Tully </w:t>
      </w:r>
      <w:r w:rsidR="007D470E">
        <w:rPr>
          <w:lang w:val="en-AU"/>
        </w:rPr>
        <w:t xml:space="preserve">data </w:t>
      </w:r>
      <w:r w:rsidR="00E279AD" w:rsidRPr="008467AA">
        <w:rPr>
          <w:lang w:val="en-AU"/>
        </w:rPr>
        <w:t xml:space="preserve">exhibited </w:t>
      </w:r>
      <w:r w:rsidR="00CE70E8">
        <w:rPr>
          <w:lang w:val="en-AU"/>
        </w:rPr>
        <w:t>variable mixing</w:t>
      </w:r>
      <w:r w:rsidR="00E279AD" w:rsidRPr="008467AA">
        <w:rPr>
          <w:lang w:val="en-AU"/>
        </w:rPr>
        <w:t xml:space="preserve"> pat</w:t>
      </w:r>
      <w:r w:rsidR="00381329" w:rsidRPr="008467AA">
        <w:rPr>
          <w:lang w:val="en-AU"/>
        </w:rPr>
        <w:t>terns</w:t>
      </w:r>
      <w:r w:rsidR="00D60413">
        <w:rPr>
          <w:lang w:val="en-AU"/>
        </w:rPr>
        <w:t xml:space="preserve"> in</w:t>
      </w:r>
      <w:r w:rsidR="00381329" w:rsidRPr="008467AA">
        <w:rPr>
          <w:lang w:val="en-AU"/>
        </w:rPr>
        <w:t xml:space="preserve"> </w:t>
      </w:r>
      <w:r w:rsidR="007D470E">
        <w:rPr>
          <w:lang w:val="en-AU"/>
        </w:rPr>
        <w:t>water quality</w:t>
      </w:r>
      <w:r w:rsidR="00E279AD" w:rsidRPr="008467AA">
        <w:rPr>
          <w:lang w:val="en-AU"/>
        </w:rPr>
        <w:t xml:space="preserve"> concentrations</w:t>
      </w:r>
      <w:r w:rsidR="00CE70E8">
        <w:rPr>
          <w:lang w:val="en-AU"/>
        </w:rPr>
        <w:t>,</w:t>
      </w:r>
      <w:r w:rsidR="00D60413">
        <w:rPr>
          <w:lang w:val="en-AU"/>
        </w:rPr>
        <w:t xml:space="preserve"> which</w:t>
      </w:r>
      <w:r w:rsidR="00CE70E8">
        <w:rPr>
          <w:lang w:val="en-AU"/>
        </w:rPr>
        <w:t xml:space="preserve"> typically </w:t>
      </w:r>
      <w:r w:rsidR="00E279AD" w:rsidRPr="008467AA">
        <w:rPr>
          <w:lang w:val="en-AU"/>
        </w:rPr>
        <w:t xml:space="preserve">decreased from low to high salinity. </w:t>
      </w:r>
      <w:r w:rsidR="00381329" w:rsidRPr="008467AA">
        <w:rPr>
          <w:lang w:val="en-AU"/>
        </w:rPr>
        <w:t>Sampling can</w:t>
      </w:r>
      <w:r w:rsidR="00E279AD" w:rsidRPr="008467AA">
        <w:rPr>
          <w:lang w:val="en-AU"/>
        </w:rPr>
        <w:t xml:space="preserve"> target the flow peaks, </w:t>
      </w:r>
      <w:r w:rsidR="00381329" w:rsidRPr="008467AA">
        <w:rPr>
          <w:lang w:val="en-AU"/>
        </w:rPr>
        <w:t>however many of the</w:t>
      </w:r>
      <w:r w:rsidR="00E279AD" w:rsidRPr="008467AA">
        <w:rPr>
          <w:lang w:val="en-AU"/>
        </w:rPr>
        <w:t xml:space="preserve"> sites </w:t>
      </w:r>
      <w:r w:rsidR="006955CC">
        <w:rPr>
          <w:lang w:val="en-AU"/>
        </w:rPr>
        <w:t>had</w:t>
      </w:r>
      <w:r w:rsidR="00E279AD" w:rsidRPr="008467AA">
        <w:rPr>
          <w:lang w:val="en-AU"/>
        </w:rPr>
        <w:t xml:space="preserve"> salinity &gt; 30</w:t>
      </w:r>
      <w:r w:rsidR="007D470E">
        <w:rPr>
          <w:lang w:val="en-AU"/>
        </w:rPr>
        <w:t xml:space="preserve"> </w:t>
      </w:r>
      <w:r w:rsidR="006955CC">
        <w:rPr>
          <w:lang w:val="en-AU"/>
        </w:rPr>
        <w:t>ppt</w:t>
      </w:r>
      <w:r w:rsidR="00E279AD" w:rsidRPr="008467AA">
        <w:rPr>
          <w:lang w:val="en-AU"/>
        </w:rPr>
        <w:t xml:space="preserve">, </w:t>
      </w:r>
      <w:r w:rsidR="007D470E">
        <w:rPr>
          <w:lang w:val="en-AU"/>
        </w:rPr>
        <w:t xml:space="preserve">thus </w:t>
      </w:r>
      <w:r w:rsidR="00381329" w:rsidRPr="008467AA">
        <w:rPr>
          <w:lang w:val="en-AU"/>
        </w:rPr>
        <w:t xml:space="preserve">limiting the </w:t>
      </w:r>
      <w:r w:rsidR="007D470E">
        <w:rPr>
          <w:lang w:val="en-AU"/>
        </w:rPr>
        <w:t>ability to determine</w:t>
      </w:r>
      <w:r w:rsidR="00381329" w:rsidRPr="008467AA">
        <w:rPr>
          <w:lang w:val="en-AU"/>
        </w:rPr>
        <w:t xml:space="preserve"> the</w:t>
      </w:r>
      <w:r w:rsidR="00E279AD" w:rsidRPr="008467AA">
        <w:rPr>
          <w:lang w:val="en-AU"/>
        </w:rPr>
        <w:t xml:space="preserve"> dilution mixing process</w:t>
      </w:r>
      <w:r w:rsidR="00CE70E8">
        <w:rPr>
          <w:lang w:val="en-AU"/>
        </w:rPr>
        <w:t xml:space="preserve"> across the salinity gradient</w:t>
      </w:r>
      <w:r w:rsidR="00381329" w:rsidRPr="008467AA">
        <w:rPr>
          <w:lang w:val="en-AU"/>
        </w:rPr>
        <w:t>.</w:t>
      </w:r>
      <w:r w:rsidR="00CE70E8">
        <w:rPr>
          <w:lang w:val="en-AU"/>
        </w:rPr>
        <w:t xml:space="preserve"> Linear di</w:t>
      </w:r>
      <w:r w:rsidR="00E279AD" w:rsidRPr="008467AA">
        <w:rPr>
          <w:lang w:val="en-AU"/>
        </w:rPr>
        <w:t xml:space="preserve">lution patterns were observed </w:t>
      </w:r>
      <w:r w:rsidR="007D470E">
        <w:rPr>
          <w:lang w:val="en-AU"/>
        </w:rPr>
        <w:t>in some events</w:t>
      </w:r>
      <w:r w:rsidR="007D470E" w:rsidRPr="00A13B8E">
        <w:rPr>
          <w:lang w:val="en-AU"/>
        </w:rPr>
        <w:t xml:space="preserve"> </w:t>
      </w:r>
      <w:r w:rsidR="00E279AD" w:rsidRPr="008467AA">
        <w:rPr>
          <w:lang w:val="en-AU"/>
        </w:rPr>
        <w:t>for DIN and CDOM</w:t>
      </w:r>
      <w:r w:rsidR="007D470E">
        <w:rPr>
          <w:lang w:val="en-AU"/>
        </w:rPr>
        <w:t>, indicating their conservative behaviour in plume waters. However this has to be interpreted with caution due to the reduced number of events sampled and the weak coverage of the full salinity gradient</w:t>
      </w:r>
      <w:r w:rsidR="00E279AD" w:rsidRPr="008467AA">
        <w:rPr>
          <w:lang w:val="en-AU"/>
        </w:rPr>
        <w:t>.</w:t>
      </w:r>
    </w:p>
    <w:p w14:paraId="76C423F1" w14:textId="7778F3AF" w:rsidR="00476253" w:rsidRDefault="00476253" w:rsidP="00476253">
      <w:pPr>
        <w:rPr>
          <w:lang w:val="en-AU"/>
        </w:rPr>
      </w:pPr>
      <w:r>
        <w:rPr>
          <w:lang w:val="en-AU"/>
        </w:rPr>
        <w:t xml:space="preserve">Dissolved inorganic phosphorus and Kd(PAR) also showed </w:t>
      </w:r>
      <w:r w:rsidRPr="00A13B8E">
        <w:rPr>
          <w:lang w:val="en-AU"/>
        </w:rPr>
        <w:t>reduction</w:t>
      </w:r>
      <w:r>
        <w:rPr>
          <w:lang w:val="en-AU"/>
        </w:rPr>
        <w:t>s</w:t>
      </w:r>
      <w:r w:rsidRPr="00A13B8E">
        <w:rPr>
          <w:lang w:val="en-AU"/>
        </w:rPr>
        <w:t xml:space="preserve"> </w:t>
      </w:r>
      <w:r>
        <w:rPr>
          <w:lang w:val="en-AU"/>
        </w:rPr>
        <w:t xml:space="preserve">in concentrations </w:t>
      </w:r>
      <w:r w:rsidRPr="00A13B8E">
        <w:rPr>
          <w:lang w:val="en-AU"/>
        </w:rPr>
        <w:t>moving away from the river mouth</w:t>
      </w:r>
      <w:r>
        <w:rPr>
          <w:lang w:val="en-AU"/>
        </w:rPr>
        <w:t xml:space="preserve"> (Figure A2-16 and A2-17), but followed a non-conservative behaviour. DIP showed rapid reduction, possibly associated with biological uptake, and posterior stabilisation. Kd(PAR) showed a two-step reduction probably associated to sediment settling out of the river mouth (Figure A2-18) and a posterior drop associated to reduction in Chl-a concentrations at salinity &gt; 30 ppt (Figure A2-19), thus presenting a similar pattern to the Russell-Mulgrave </w:t>
      </w:r>
      <w:r w:rsidR="00B437C6">
        <w:rPr>
          <w:lang w:val="en-AU"/>
        </w:rPr>
        <w:t>focus area</w:t>
      </w:r>
      <w:r>
        <w:rPr>
          <w:lang w:val="en-AU"/>
        </w:rPr>
        <w:t>.</w:t>
      </w:r>
    </w:p>
    <w:p w14:paraId="064F520D" w14:textId="1C2A7EED" w:rsidR="00007966" w:rsidRDefault="00476253" w:rsidP="00476253">
      <w:pPr>
        <w:rPr>
          <w:lang w:val="en-AU"/>
        </w:rPr>
      </w:pPr>
      <w:r>
        <w:rPr>
          <w:lang w:val="en-AU"/>
        </w:rPr>
        <w:t xml:space="preserve">As expected, </w:t>
      </w:r>
      <w:r w:rsidR="007A1800">
        <w:rPr>
          <w:lang w:val="en-AU"/>
        </w:rPr>
        <w:t>Ch</w:t>
      </w:r>
      <w:r>
        <w:rPr>
          <w:lang w:val="en-AU"/>
        </w:rPr>
        <w:t xml:space="preserve">l-a and TSS did not present conservative behaviour. TSS dropped </w:t>
      </w:r>
      <w:r w:rsidR="00007966">
        <w:rPr>
          <w:lang w:val="en-AU"/>
        </w:rPr>
        <w:t xml:space="preserve">out </w:t>
      </w:r>
      <w:r>
        <w:rPr>
          <w:lang w:val="en-AU"/>
        </w:rPr>
        <w:t xml:space="preserve">quickly </w:t>
      </w:r>
      <w:r w:rsidR="00007966">
        <w:rPr>
          <w:lang w:val="en-AU"/>
        </w:rPr>
        <w:t>from</w:t>
      </w:r>
      <w:r>
        <w:rPr>
          <w:lang w:val="en-AU"/>
        </w:rPr>
        <w:t xml:space="preserve"> the river mouth due to particles settling, </w:t>
      </w:r>
      <w:r w:rsidR="00007966">
        <w:rPr>
          <w:lang w:val="en-AU"/>
        </w:rPr>
        <w:t xml:space="preserve">and </w:t>
      </w:r>
      <w:r>
        <w:rPr>
          <w:lang w:val="en-AU"/>
        </w:rPr>
        <w:t>remain</w:t>
      </w:r>
      <w:r w:rsidR="00007966">
        <w:rPr>
          <w:lang w:val="en-AU"/>
        </w:rPr>
        <w:t>ed</w:t>
      </w:r>
      <w:r w:rsidR="00B437C6">
        <w:rPr>
          <w:lang w:val="en-AU"/>
        </w:rPr>
        <w:t xml:space="preserve"> </w:t>
      </w:r>
      <w:r>
        <w:rPr>
          <w:lang w:val="en-AU"/>
        </w:rPr>
        <w:t xml:space="preserve">constant after that (Figure A2-18). Chl-a had a more variable pattern compared to the other </w:t>
      </w:r>
      <w:r w:rsidR="00007966">
        <w:rPr>
          <w:lang w:val="en-AU"/>
        </w:rPr>
        <w:t>water quality</w:t>
      </w:r>
      <w:r>
        <w:rPr>
          <w:lang w:val="en-AU"/>
        </w:rPr>
        <w:t xml:space="preserve"> parameters, </w:t>
      </w:r>
      <w:r w:rsidR="00007966">
        <w:rPr>
          <w:lang w:val="en-AU"/>
        </w:rPr>
        <w:t>showing a</w:t>
      </w:r>
      <w:r>
        <w:rPr>
          <w:lang w:val="en-AU"/>
        </w:rPr>
        <w:t xml:space="preserve"> slight increase at low salinity (approx. 10</w:t>
      </w:r>
      <w:r w:rsidR="00007966">
        <w:rPr>
          <w:lang w:val="en-AU"/>
        </w:rPr>
        <w:t xml:space="preserve"> ppt</w:t>
      </w:r>
      <w:r>
        <w:rPr>
          <w:lang w:val="en-AU"/>
        </w:rPr>
        <w:t>) and wide variability at salinity &gt; 30</w:t>
      </w:r>
      <w:r w:rsidR="00007966">
        <w:rPr>
          <w:lang w:val="en-AU"/>
        </w:rPr>
        <w:t xml:space="preserve"> ppt</w:t>
      </w:r>
      <w:r w:rsidR="00144D7D">
        <w:rPr>
          <w:lang w:val="en-AU"/>
        </w:rPr>
        <w:t xml:space="preserve"> </w:t>
      </w:r>
      <w:r>
        <w:rPr>
          <w:lang w:val="en-AU"/>
        </w:rPr>
        <w:t>(Figure A2-19).</w:t>
      </w:r>
      <w:r w:rsidR="00007966">
        <w:rPr>
          <w:lang w:val="en-AU"/>
        </w:rPr>
        <w:t xml:space="preserve"> PN and PP had similar pattern to TSS, </w:t>
      </w:r>
      <w:r w:rsidR="00144D7D">
        <w:rPr>
          <w:lang w:val="en-AU"/>
        </w:rPr>
        <w:t>showing rapid</w:t>
      </w:r>
      <w:r w:rsidR="00007966">
        <w:rPr>
          <w:lang w:val="en-AU"/>
        </w:rPr>
        <w:t xml:space="preserve"> reduction just after the river mouth. Again these patterns must be interpreted with caution due to the reduced number of events sampled and the weak coverage of the full salinity gradient.</w:t>
      </w:r>
    </w:p>
    <w:p w14:paraId="3D6CEFBD" w14:textId="3B26621F" w:rsidR="00960A5A" w:rsidRDefault="00960A5A" w:rsidP="00960A5A">
      <w:pPr>
        <w:rPr>
          <w:lang w:val="en-AU"/>
        </w:rPr>
      </w:pPr>
      <w:r>
        <w:rPr>
          <w:lang w:val="en-AU"/>
        </w:rPr>
        <w:t xml:space="preserve">To investigate </w:t>
      </w:r>
      <w:r w:rsidR="0032538A">
        <w:rPr>
          <w:lang w:val="en-AU"/>
        </w:rPr>
        <w:t xml:space="preserve">the </w:t>
      </w:r>
      <w:r>
        <w:rPr>
          <w:lang w:val="en-AU"/>
        </w:rPr>
        <w:t xml:space="preserve">potential control of discharge and wind on the parameters sampled </w:t>
      </w:r>
      <w:r w:rsidR="0032538A">
        <w:rPr>
          <w:lang w:val="en-AU"/>
        </w:rPr>
        <w:t>in</w:t>
      </w:r>
      <w:r>
        <w:rPr>
          <w:lang w:val="en-AU"/>
        </w:rPr>
        <w:t xml:space="preserve"> the Tully </w:t>
      </w:r>
      <w:r w:rsidR="00B437C6">
        <w:rPr>
          <w:lang w:val="en-AU"/>
        </w:rPr>
        <w:t>focus area</w:t>
      </w:r>
      <w:r>
        <w:rPr>
          <w:lang w:val="en-AU"/>
        </w:rPr>
        <w:t>, a Spearman correlation coefficient was determined (</w:t>
      </w:r>
      <w:r>
        <w:rPr>
          <w:lang w:val="en-AU"/>
        </w:rPr>
        <w:fldChar w:fldCharType="begin"/>
      </w:r>
      <w:r>
        <w:rPr>
          <w:lang w:val="en-AU"/>
        </w:rPr>
        <w:instrText xml:space="preserve"> REF _Ref453883155 \h </w:instrText>
      </w:r>
      <w:r>
        <w:rPr>
          <w:lang w:val="en-AU"/>
        </w:rPr>
      </w:r>
      <w:r>
        <w:rPr>
          <w:lang w:val="en-AU"/>
        </w:rPr>
        <w:fldChar w:fldCharType="separate"/>
      </w:r>
      <w:r w:rsidR="007F5336">
        <w:t xml:space="preserve">Table </w:t>
      </w:r>
      <w:r w:rsidR="007F5336">
        <w:rPr>
          <w:noProof/>
        </w:rPr>
        <w:t>5</w:t>
      </w:r>
      <w:r w:rsidR="007F5336">
        <w:noBreakHyphen/>
      </w:r>
      <w:r w:rsidR="007F5336">
        <w:rPr>
          <w:noProof/>
        </w:rPr>
        <w:t>6</w:t>
      </w:r>
      <w:r w:rsidR="007F5336">
        <w:t xml:space="preserve">: </w:t>
      </w:r>
      <w:r>
        <w:rPr>
          <w:lang w:val="en-AU"/>
        </w:rPr>
        <w:fldChar w:fldCharType="end"/>
      </w:r>
      <w:r>
        <w:rPr>
          <w:lang w:val="en-AU"/>
        </w:rPr>
        <w:t>). In this analysis</w:t>
      </w:r>
      <w:r w:rsidR="0032538A">
        <w:rPr>
          <w:lang w:val="en-AU"/>
        </w:rPr>
        <w:t>,</w:t>
      </w:r>
      <w:r>
        <w:rPr>
          <w:lang w:val="en-AU"/>
        </w:rPr>
        <w:t xml:space="preserve"> </w:t>
      </w:r>
      <w:r w:rsidR="0032538A">
        <w:rPr>
          <w:lang w:val="en-AU"/>
        </w:rPr>
        <w:t xml:space="preserve">the </w:t>
      </w:r>
      <w:r>
        <w:rPr>
          <w:lang w:val="en-AU"/>
        </w:rPr>
        <w:t xml:space="preserve">mean </w:t>
      </w:r>
      <w:r w:rsidR="0032538A">
        <w:rPr>
          <w:lang w:val="en-AU"/>
        </w:rPr>
        <w:t xml:space="preserve">parameter </w:t>
      </w:r>
      <w:r>
        <w:rPr>
          <w:lang w:val="en-AU"/>
        </w:rPr>
        <w:t xml:space="preserve">values per transect/day sampled since </w:t>
      </w:r>
      <w:r w:rsidR="0032538A">
        <w:rPr>
          <w:lang w:val="en-AU"/>
        </w:rPr>
        <w:t xml:space="preserve">the </w:t>
      </w:r>
      <w:r>
        <w:rPr>
          <w:lang w:val="en-AU"/>
        </w:rPr>
        <w:t xml:space="preserve">2005-06 wet season were used to reduce data variability </w:t>
      </w:r>
      <w:r w:rsidR="0032538A">
        <w:rPr>
          <w:lang w:val="en-AU"/>
        </w:rPr>
        <w:t xml:space="preserve">that may be associated with </w:t>
      </w:r>
      <w:r>
        <w:rPr>
          <w:lang w:val="en-AU"/>
        </w:rPr>
        <w:t xml:space="preserve">changes in site location and site number. Overall river discharge </w:t>
      </w:r>
      <w:r w:rsidR="0032538A">
        <w:rPr>
          <w:lang w:val="en-AU"/>
        </w:rPr>
        <w:t>showed</w:t>
      </w:r>
      <w:r>
        <w:rPr>
          <w:lang w:val="en-AU"/>
        </w:rPr>
        <w:t xml:space="preserve"> </w:t>
      </w:r>
      <w:r w:rsidR="0032538A">
        <w:rPr>
          <w:lang w:val="en-AU"/>
        </w:rPr>
        <w:t xml:space="preserve">a </w:t>
      </w:r>
      <w:r>
        <w:rPr>
          <w:lang w:val="en-AU"/>
        </w:rPr>
        <w:t>positive correlation with CDOM, DIN, and Si, suggesting the higher the river discharge, the higher the concentrations. Wind components, and therefore eventual resuspension events or currents, advecting the superficial water mass, did not correlate with any of the analysed parameters.</w:t>
      </w:r>
    </w:p>
    <w:p w14:paraId="1735F29E" w14:textId="4F48ACF2" w:rsidR="00960A5A" w:rsidRDefault="00960A5A" w:rsidP="00960A5A">
      <w:pPr>
        <w:rPr>
          <w:lang w:val="en-AU"/>
        </w:rPr>
      </w:pPr>
      <w:r>
        <w:rPr>
          <w:lang w:val="en-AU"/>
        </w:rPr>
        <w:t>Salinity was included in this analysis to investigate its correlation against CDOM. The test result suggests the greater the salinity</w:t>
      </w:r>
      <w:r w:rsidR="0044664A">
        <w:rPr>
          <w:lang w:val="en-AU"/>
        </w:rPr>
        <w:t>,</w:t>
      </w:r>
      <w:r>
        <w:rPr>
          <w:lang w:val="en-AU"/>
        </w:rPr>
        <w:t xml:space="preserve"> the lower the CDOM concentration, as expected (</w:t>
      </w:r>
      <w:r w:rsidRPr="00205DFF">
        <w:rPr>
          <w:lang w:val="en-AU"/>
        </w:rPr>
        <w:t>Schroeder</w:t>
      </w:r>
      <w:r>
        <w:rPr>
          <w:lang w:val="en-AU"/>
        </w:rPr>
        <w:t xml:space="preserve">, 2012). Chl-a </w:t>
      </w:r>
      <w:r w:rsidR="0044664A">
        <w:rPr>
          <w:lang w:val="en-AU"/>
        </w:rPr>
        <w:t>did</w:t>
      </w:r>
      <w:r>
        <w:rPr>
          <w:lang w:val="en-AU"/>
        </w:rPr>
        <w:t xml:space="preserve"> not </w:t>
      </w:r>
      <w:r w:rsidR="0044664A">
        <w:rPr>
          <w:lang w:val="en-AU"/>
        </w:rPr>
        <w:t>show</w:t>
      </w:r>
      <w:r>
        <w:rPr>
          <w:lang w:val="en-AU"/>
        </w:rPr>
        <w:t xml:space="preserve"> correlation with any of the major macro nutrients, but only against CDOM</w:t>
      </w:r>
      <w:r w:rsidR="0044664A">
        <w:rPr>
          <w:lang w:val="en-AU"/>
        </w:rPr>
        <w:t>. This result is difficult to explain and requires further investigation</w:t>
      </w:r>
      <w:r>
        <w:rPr>
          <w:lang w:val="en-AU"/>
        </w:rPr>
        <w:t xml:space="preserve">. </w:t>
      </w:r>
    </w:p>
    <w:p w14:paraId="0BA9506C" w14:textId="373CB71A" w:rsidR="00B437C6" w:rsidRDefault="00B437C6" w:rsidP="00960A5A">
      <w:pPr>
        <w:pStyle w:val="Caption"/>
        <w:keepNext/>
        <w:rPr>
          <w:lang w:val="en-AU"/>
        </w:rPr>
      </w:pPr>
      <w:r>
        <w:rPr>
          <w:lang w:val="en-AU"/>
        </w:rPr>
        <w:br w:type="page"/>
      </w:r>
    </w:p>
    <w:p w14:paraId="797EFB79" w14:textId="43C59450" w:rsidR="00960A5A" w:rsidRDefault="00B437C6" w:rsidP="00960A5A">
      <w:pPr>
        <w:pStyle w:val="Caption"/>
        <w:keepNext/>
        <w:rPr>
          <w:lang w:val="en-AU"/>
        </w:rPr>
      </w:pPr>
      <w:bookmarkStart w:id="1236" w:name="_Ref453883155"/>
      <w:bookmarkStart w:id="1237" w:name="_Toc459332160"/>
      <w:r>
        <w:t xml:space="preserve">Table </w:t>
      </w:r>
      <w:r w:rsidR="00124249">
        <w:fldChar w:fldCharType="begin"/>
      </w:r>
      <w:r w:rsidR="00124249">
        <w:instrText xml:space="preserve"> STYLEREF 1 \s </w:instrText>
      </w:r>
      <w:r w:rsidR="00124249">
        <w:fldChar w:fldCharType="separate"/>
      </w:r>
      <w:r w:rsidR="007F5336">
        <w:rPr>
          <w:noProof/>
        </w:rPr>
        <w:t>5</w:t>
      </w:r>
      <w:r w:rsidR="00124249">
        <w:fldChar w:fldCharType="end"/>
      </w:r>
      <w:r w:rsidR="00124249">
        <w:noBreakHyphen/>
      </w:r>
      <w:r w:rsidR="00124249">
        <w:fldChar w:fldCharType="begin"/>
      </w:r>
      <w:r w:rsidR="00124249">
        <w:instrText xml:space="preserve"> SEQ Table \* ARABIC \s 1 </w:instrText>
      </w:r>
      <w:r w:rsidR="00124249">
        <w:fldChar w:fldCharType="separate"/>
      </w:r>
      <w:r w:rsidR="007F5336">
        <w:rPr>
          <w:noProof/>
        </w:rPr>
        <w:t>6</w:t>
      </w:r>
      <w:r w:rsidR="00124249">
        <w:fldChar w:fldCharType="end"/>
      </w:r>
      <w:r>
        <w:t xml:space="preserve">: </w:t>
      </w:r>
      <w:bookmarkEnd w:id="1236"/>
      <w:r w:rsidR="00960A5A">
        <w:rPr>
          <w:lang w:val="en-AU"/>
        </w:rPr>
        <w:t xml:space="preserve">Tully sites: Spearman Correlation Coefficient calculated using the mean value of each parameter sampled per transect when all sites sampled since 2005-06 wet season are combined. Water </w:t>
      </w:r>
      <w:r w:rsidR="0044664A">
        <w:rPr>
          <w:lang w:val="en-AU"/>
        </w:rPr>
        <w:t>q</w:t>
      </w:r>
      <w:r w:rsidR="00960A5A">
        <w:rPr>
          <w:lang w:val="en-AU"/>
        </w:rPr>
        <w:t xml:space="preserve">uality parameters tested were: light attenuation (Kd(PAR)), coloured dissolved organic matter (CDOM), dissolved inorganic nitrogen (DIN), dissolved inorganic </w:t>
      </w:r>
      <w:r w:rsidR="004F75D4">
        <w:rPr>
          <w:lang w:val="en-AU"/>
        </w:rPr>
        <w:t>phosphorus</w:t>
      </w:r>
      <w:r w:rsidR="00960A5A">
        <w:rPr>
          <w:lang w:val="en-AU"/>
        </w:rPr>
        <w:t xml:space="preserve"> (DIP), particulate nitrogen (PN), particulate </w:t>
      </w:r>
      <w:r w:rsidR="004F75D4">
        <w:rPr>
          <w:lang w:val="en-AU"/>
        </w:rPr>
        <w:t>phosphorus</w:t>
      </w:r>
      <w:r w:rsidR="00960A5A">
        <w:rPr>
          <w:lang w:val="en-AU"/>
        </w:rPr>
        <w:t xml:space="preserve"> (PP), reactive silica (Si) and chlorophyll-a (Chl-a), and they were tested against river discharge, W-E wind component , N-S wind component, surface salinity and chlorophyll-a. Significant (p&lt;0.05) correlation coefficients &gt;0.6 or &lt;-0.6 are highlighted.</w:t>
      </w:r>
      <w:bookmarkEnd w:id="1237"/>
    </w:p>
    <w:tbl>
      <w:tblPr>
        <w:tblW w:w="0" w:type="auto"/>
        <w:jc w:val="center"/>
        <w:tblLook w:val="04A0" w:firstRow="1" w:lastRow="0" w:firstColumn="1" w:lastColumn="0" w:noHBand="0" w:noVBand="1"/>
        <w:tblCaption w:val="Table 5 6: Tully sites: Spearman Correlation Coefficient calculated using the mean value of each parameter sampled per transect when all sites sampled since 2005-06 wet season are combined"/>
        <w:tblDescription w:val="Table showing Tully sites: Spearman Correlation Coefficient calculated using the mean value of each parameter sampled per transect when all sites sampled since 2005-06 wet season are combined. Water quality parameters tested were: light attenuation (Kd(PAR)), coloured dissolved organic matter (CDOM), dissolved inorganic nitrogen (DIN), dissolved inorganic phosphorus (DIP), particulate nitrogen (PN), particulate phosphorus (PP), reactive silica (Si) and chlorophyll-a (Chl-a), and they were tested against river discharge, W-E wind component , N-S wind component, surface salinity and chlorophyll-a. Significant (p&lt;0.05) correlation coefficients &gt;0.6 or &lt;-0.6 are highlighted."/>
      </w:tblPr>
      <w:tblGrid>
        <w:gridCol w:w="2046"/>
        <w:gridCol w:w="956"/>
        <w:gridCol w:w="766"/>
        <w:gridCol w:w="627"/>
        <w:gridCol w:w="627"/>
        <w:gridCol w:w="627"/>
        <w:gridCol w:w="627"/>
        <w:gridCol w:w="627"/>
        <w:gridCol w:w="627"/>
        <w:gridCol w:w="666"/>
      </w:tblGrid>
      <w:tr w:rsidR="00960A5A" w:rsidRPr="00B43F3B" w14:paraId="7BD7AA74" w14:textId="77777777" w:rsidTr="00092619">
        <w:trPr>
          <w:trHeight w:val="330"/>
          <w:tblHeader/>
          <w:jc w:val="center"/>
        </w:trPr>
        <w:tc>
          <w:tcPr>
            <w:tcW w:w="0" w:type="auto"/>
            <w:tcBorders>
              <w:top w:val="single" w:sz="4" w:space="0" w:color="auto"/>
              <w:left w:val="nil"/>
              <w:bottom w:val="single" w:sz="4" w:space="0" w:color="auto"/>
              <w:right w:val="nil"/>
            </w:tcBorders>
            <w:shd w:val="clear" w:color="auto" w:fill="auto"/>
            <w:noWrap/>
            <w:vAlign w:val="bottom"/>
            <w:hideMark/>
          </w:tcPr>
          <w:p w14:paraId="178252A9" w14:textId="77777777" w:rsidR="00960A5A" w:rsidRPr="004A5BF7" w:rsidRDefault="00960A5A" w:rsidP="0043300D">
            <w:pPr>
              <w:spacing w:before="0" w:after="0"/>
              <w:jc w:val="left"/>
              <w:rPr>
                <w:rFonts w:cs="Arial"/>
                <w:b/>
                <w:bCs/>
                <w:color w:val="000000"/>
                <w:sz w:val="18"/>
                <w:szCs w:val="18"/>
                <w:lang w:val="en-AU" w:eastAsia="en-AU"/>
              </w:rPr>
            </w:pPr>
            <w:r w:rsidRPr="004A5BF7">
              <w:rPr>
                <w:rFonts w:cs="Arial"/>
                <w:b/>
                <w:bCs/>
                <w:color w:val="000000"/>
                <w:sz w:val="18"/>
                <w:szCs w:val="18"/>
                <w:lang w:val="en-AU" w:eastAsia="en-AU"/>
              </w:rPr>
              <w:t> </w:t>
            </w:r>
          </w:p>
        </w:tc>
        <w:tc>
          <w:tcPr>
            <w:tcW w:w="0" w:type="auto"/>
            <w:tcBorders>
              <w:top w:val="single" w:sz="4" w:space="0" w:color="auto"/>
              <w:left w:val="nil"/>
              <w:bottom w:val="single" w:sz="4" w:space="0" w:color="auto"/>
              <w:right w:val="nil"/>
            </w:tcBorders>
            <w:shd w:val="clear" w:color="auto" w:fill="auto"/>
            <w:noWrap/>
            <w:vAlign w:val="bottom"/>
            <w:hideMark/>
          </w:tcPr>
          <w:p w14:paraId="7DA9E10D" w14:textId="77777777" w:rsidR="00960A5A" w:rsidRPr="004A5BF7" w:rsidRDefault="00960A5A" w:rsidP="0043300D">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Kd(PAR)</w:t>
            </w:r>
          </w:p>
        </w:tc>
        <w:tc>
          <w:tcPr>
            <w:tcW w:w="0" w:type="auto"/>
            <w:tcBorders>
              <w:top w:val="single" w:sz="4" w:space="0" w:color="auto"/>
              <w:left w:val="nil"/>
              <w:bottom w:val="single" w:sz="4" w:space="0" w:color="auto"/>
              <w:right w:val="nil"/>
            </w:tcBorders>
            <w:shd w:val="clear" w:color="auto" w:fill="auto"/>
            <w:noWrap/>
            <w:vAlign w:val="bottom"/>
            <w:hideMark/>
          </w:tcPr>
          <w:p w14:paraId="792BB0BF" w14:textId="77777777" w:rsidR="00960A5A" w:rsidRPr="004A5BF7" w:rsidRDefault="00960A5A" w:rsidP="0043300D">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CDOM</w:t>
            </w:r>
          </w:p>
        </w:tc>
        <w:tc>
          <w:tcPr>
            <w:tcW w:w="0" w:type="auto"/>
            <w:tcBorders>
              <w:top w:val="single" w:sz="4" w:space="0" w:color="auto"/>
              <w:left w:val="nil"/>
              <w:bottom w:val="single" w:sz="4" w:space="0" w:color="auto"/>
              <w:right w:val="nil"/>
            </w:tcBorders>
            <w:shd w:val="clear" w:color="auto" w:fill="auto"/>
            <w:noWrap/>
            <w:vAlign w:val="bottom"/>
            <w:hideMark/>
          </w:tcPr>
          <w:p w14:paraId="1C288780" w14:textId="77777777" w:rsidR="00960A5A" w:rsidRPr="004A5BF7" w:rsidRDefault="00960A5A" w:rsidP="0043300D">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TSS</w:t>
            </w:r>
          </w:p>
        </w:tc>
        <w:tc>
          <w:tcPr>
            <w:tcW w:w="0" w:type="auto"/>
            <w:tcBorders>
              <w:top w:val="single" w:sz="4" w:space="0" w:color="auto"/>
              <w:left w:val="nil"/>
              <w:bottom w:val="single" w:sz="4" w:space="0" w:color="auto"/>
              <w:right w:val="nil"/>
            </w:tcBorders>
            <w:shd w:val="clear" w:color="auto" w:fill="auto"/>
            <w:noWrap/>
            <w:vAlign w:val="bottom"/>
            <w:hideMark/>
          </w:tcPr>
          <w:p w14:paraId="59E2F391" w14:textId="77777777" w:rsidR="00960A5A" w:rsidRPr="004A5BF7" w:rsidRDefault="00960A5A" w:rsidP="0043300D">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DIN</w:t>
            </w:r>
          </w:p>
        </w:tc>
        <w:tc>
          <w:tcPr>
            <w:tcW w:w="0" w:type="auto"/>
            <w:tcBorders>
              <w:top w:val="single" w:sz="4" w:space="0" w:color="auto"/>
              <w:left w:val="nil"/>
              <w:bottom w:val="single" w:sz="4" w:space="0" w:color="auto"/>
              <w:right w:val="nil"/>
            </w:tcBorders>
            <w:shd w:val="clear" w:color="auto" w:fill="auto"/>
            <w:noWrap/>
            <w:vAlign w:val="bottom"/>
            <w:hideMark/>
          </w:tcPr>
          <w:p w14:paraId="72A6F91C" w14:textId="77777777" w:rsidR="00960A5A" w:rsidRPr="004A5BF7" w:rsidRDefault="00960A5A" w:rsidP="0043300D">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DIP</w:t>
            </w:r>
          </w:p>
        </w:tc>
        <w:tc>
          <w:tcPr>
            <w:tcW w:w="0" w:type="auto"/>
            <w:tcBorders>
              <w:top w:val="single" w:sz="4" w:space="0" w:color="auto"/>
              <w:left w:val="nil"/>
              <w:bottom w:val="single" w:sz="4" w:space="0" w:color="auto"/>
              <w:right w:val="nil"/>
            </w:tcBorders>
            <w:shd w:val="clear" w:color="auto" w:fill="auto"/>
            <w:noWrap/>
            <w:vAlign w:val="bottom"/>
            <w:hideMark/>
          </w:tcPr>
          <w:p w14:paraId="0AAF958B" w14:textId="77777777" w:rsidR="00960A5A" w:rsidRPr="004A5BF7" w:rsidRDefault="00960A5A" w:rsidP="0043300D">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PN</w:t>
            </w:r>
          </w:p>
        </w:tc>
        <w:tc>
          <w:tcPr>
            <w:tcW w:w="0" w:type="auto"/>
            <w:tcBorders>
              <w:top w:val="single" w:sz="4" w:space="0" w:color="auto"/>
              <w:left w:val="nil"/>
              <w:bottom w:val="single" w:sz="4" w:space="0" w:color="auto"/>
              <w:right w:val="nil"/>
            </w:tcBorders>
            <w:shd w:val="clear" w:color="auto" w:fill="auto"/>
            <w:noWrap/>
            <w:vAlign w:val="bottom"/>
            <w:hideMark/>
          </w:tcPr>
          <w:p w14:paraId="0D08BE68" w14:textId="77777777" w:rsidR="00960A5A" w:rsidRPr="004A5BF7" w:rsidRDefault="00960A5A" w:rsidP="0043300D">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PP</w:t>
            </w:r>
          </w:p>
        </w:tc>
        <w:tc>
          <w:tcPr>
            <w:tcW w:w="0" w:type="auto"/>
            <w:tcBorders>
              <w:top w:val="single" w:sz="4" w:space="0" w:color="auto"/>
              <w:left w:val="nil"/>
              <w:bottom w:val="single" w:sz="4" w:space="0" w:color="auto"/>
              <w:right w:val="nil"/>
            </w:tcBorders>
            <w:shd w:val="clear" w:color="auto" w:fill="auto"/>
            <w:noWrap/>
            <w:vAlign w:val="bottom"/>
            <w:hideMark/>
          </w:tcPr>
          <w:p w14:paraId="237D4525" w14:textId="77777777" w:rsidR="00960A5A" w:rsidRPr="004A5BF7" w:rsidRDefault="00960A5A" w:rsidP="0043300D">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Si</w:t>
            </w:r>
          </w:p>
        </w:tc>
        <w:tc>
          <w:tcPr>
            <w:tcW w:w="0" w:type="auto"/>
            <w:tcBorders>
              <w:top w:val="single" w:sz="4" w:space="0" w:color="auto"/>
              <w:left w:val="nil"/>
              <w:bottom w:val="single" w:sz="4" w:space="0" w:color="auto"/>
              <w:right w:val="nil"/>
            </w:tcBorders>
            <w:shd w:val="clear" w:color="auto" w:fill="auto"/>
            <w:noWrap/>
            <w:vAlign w:val="bottom"/>
            <w:hideMark/>
          </w:tcPr>
          <w:p w14:paraId="17D25A1C" w14:textId="77777777" w:rsidR="00960A5A" w:rsidRPr="004A5BF7" w:rsidRDefault="00960A5A" w:rsidP="0043300D">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Chl-a</w:t>
            </w:r>
          </w:p>
        </w:tc>
      </w:tr>
      <w:tr w:rsidR="00960A5A" w:rsidRPr="00B43F3B" w14:paraId="32EFF774" w14:textId="77777777" w:rsidTr="0043300D">
        <w:trPr>
          <w:trHeight w:val="330"/>
          <w:jc w:val="center"/>
        </w:trPr>
        <w:tc>
          <w:tcPr>
            <w:tcW w:w="0" w:type="auto"/>
            <w:tcBorders>
              <w:top w:val="nil"/>
              <w:left w:val="nil"/>
              <w:bottom w:val="nil"/>
              <w:right w:val="nil"/>
            </w:tcBorders>
            <w:shd w:val="clear" w:color="auto" w:fill="auto"/>
            <w:noWrap/>
            <w:vAlign w:val="bottom"/>
            <w:hideMark/>
          </w:tcPr>
          <w:p w14:paraId="1BB30C85" w14:textId="77777777" w:rsidR="00960A5A" w:rsidRPr="004A5BF7" w:rsidRDefault="00960A5A" w:rsidP="0043300D">
            <w:pPr>
              <w:spacing w:before="0" w:after="0"/>
              <w:jc w:val="left"/>
              <w:rPr>
                <w:rFonts w:cs="Arial"/>
                <w:b/>
                <w:bCs/>
                <w:color w:val="000000"/>
                <w:sz w:val="18"/>
                <w:szCs w:val="18"/>
                <w:lang w:val="en-AU" w:eastAsia="en-AU"/>
              </w:rPr>
            </w:pPr>
            <w:r w:rsidRPr="004A5BF7">
              <w:rPr>
                <w:rFonts w:cs="Arial"/>
                <w:b/>
                <w:bCs/>
                <w:color w:val="000000"/>
                <w:sz w:val="18"/>
                <w:szCs w:val="18"/>
                <w:lang w:val="en-AU" w:eastAsia="en-AU"/>
              </w:rPr>
              <w:t>Discharge</w:t>
            </w:r>
          </w:p>
        </w:tc>
        <w:tc>
          <w:tcPr>
            <w:tcW w:w="0" w:type="auto"/>
            <w:tcBorders>
              <w:top w:val="nil"/>
              <w:left w:val="nil"/>
              <w:bottom w:val="nil"/>
              <w:right w:val="nil"/>
            </w:tcBorders>
            <w:shd w:val="clear" w:color="auto" w:fill="auto"/>
            <w:noWrap/>
            <w:vAlign w:val="bottom"/>
            <w:hideMark/>
          </w:tcPr>
          <w:p w14:paraId="3EF3FED7"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0.16</w:t>
            </w:r>
          </w:p>
        </w:tc>
        <w:tc>
          <w:tcPr>
            <w:tcW w:w="0" w:type="auto"/>
            <w:tcBorders>
              <w:top w:val="nil"/>
              <w:left w:val="nil"/>
              <w:bottom w:val="nil"/>
              <w:right w:val="nil"/>
            </w:tcBorders>
            <w:shd w:val="clear" w:color="000000" w:fill="FFC7CE"/>
            <w:noWrap/>
            <w:vAlign w:val="bottom"/>
            <w:hideMark/>
          </w:tcPr>
          <w:p w14:paraId="3184649C" w14:textId="77777777" w:rsidR="00960A5A" w:rsidRPr="004A5BF7" w:rsidRDefault="00960A5A" w:rsidP="0043300D">
            <w:pPr>
              <w:spacing w:before="0" w:after="0"/>
              <w:jc w:val="center"/>
              <w:rPr>
                <w:rFonts w:cs="Arial"/>
                <w:color w:val="9C0006"/>
                <w:sz w:val="18"/>
                <w:szCs w:val="18"/>
                <w:lang w:val="en-AU" w:eastAsia="en-AU"/>
              </w:rPr>
            </w:pPr>
            <w:r w:rsidRPr="004A5BF7">
              <w:rPr>
                <w:rFonts w:cs="Arial"/>
                <w:color w:val="9C0006"/>
                <w:sz w:val="18"/>
                <w:szCs w:val="18"/>
                <w:lang w:val="en-AU" w:eastAsia="en-AU"/>
              </w:rPr>
              <w:t>0.79</w:t>
            </w:r>
          </w:p>
        </w:tc>
        <w:tc>
          <w:tcPr>
            <w:tcW w:w="0" w:type="auto"/>
            <w:tcBorders>
              <w:top w:val="nil"/>
              <w:left w:val="nil"/>
              <w:bottom w:val="nil"/>
              <w:right w:val="nil"/>
            </w:tcBorders>
            <w:shd w:val="clear" w:color="auto" w:fill="auto"/>
            <w:noWrap/>
            <w:vAlign w:val="bottom"/>
            <w:hideMark/>
          </w:tcPr>
          <w:p w14:paraId="3F147ABB"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-0.13</w:t>
            </w:r>
          </w:p>
        </w:tc>
        <w:tc>
          <w:tcPr>
            <w:tcW w:w="0" w:type="auto"/>
            <w:tcBorders>
              <w:top w:val="nil"/>
              <w:left w:val="nil"/>
              <w:bottom w:val="nil"/>
              <w:right w:val="nil"/>
            </w:tcBorders>
            <w:shd w:val="clear" w:color="000000" w:fill="FFC7CE"/>
            <w:noWrap/>
            <w:vAlign w:val="bottom"/>
            <w:hideMark/>
          </w:tcPr>
          <w:p w14:paraId="0FB52B68" w14:textId="77777777" w:rsidR="00960A5A" w:rsidRPr="004A5BF7" w:rsidRDefault="00960A5A" w:rsidP="0043300D">
            <w:pPr>
              <w:spacing w:before="0" w:after="0"/>
              <w:jc w:val="center"/>
              <w:rPr>
                <w:rFonts w:cs="Arial"/>
                <w:color w:val="9C0006"/>
                <w:sz w:val="18"/>
                <w:szCs w:val="18"/>
                <w:lang w:val="en-AU" w:eastAsia="en-AU"/>
              </w:rPr>
            </w:pPr>
            <w:r w:rsidRPr="004A5BF7">
              <w:rPr>
                <w:rFonts w:cs="Arial"/>
                <w:color w:val="9C0006"/>
                <w:sz w:val="18"/>
                <w:szCs w:val="18"/>
                <w:lang w:val="en-AU" w:eastAsia="en-AU"/>
              </w:rPr>
              <w:t>0.63</w:t>
            </w:r>
          </w:p>
        </w:tc>
        <w:tc>
          <w:tcPr>
            <w:tcW w:w="0" w:type="auto"/>
            <w:tcBorders>
              <w:top w:val="nil"/>
              <w:left w:val="nil"/>
              <w:bottom w:val="nil"/>
              <w:right w:val="nil"/>
            </w:tcBorders>
            <w:shd w:val="clear" w:color="auto" w:fill="auto"/>
            <w:noWrap/>
            <w:vAlign w:val="bottom"/>
            <w:hideMark/>
          </w:tcPr>
          <w:p w14:paraId="344EF598"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0.24</w:t>
            </w:r>
          </w:p>
        </w:tc>
        <w:tc>
          <w:tcPr>
            <w:tcW w:w="0" w:type="auto"/>
            <w:tcBorders>
              <w:top w:val="nil"/>
              <w:left w:val="nil"/>
              <w:bottom w:val="nil"/>
              <w:right w:val="nil"/>
            </w:tcBorders>
            <w:shd w:val="clear" w:color="auto" w:fill="auto"/>
            <w:noWrap/>
            <w:vAlign w:val="bottom"/>
            <w:hideMark/>
          </w:tcPr>
          <w:p w14:paraId="5430A6A1"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0.05</w:t>
            </w:r>
          </w:p>
        </w:tc>
        <w:tc>
          <w:tcPr>
            <w:tcW w:w="0" w:type="auto"/>
            <w:tcBorders>
              <w:top w:val="nil"/>
              <w:left w:val="nil"/>
              <w:bottom w:val="nil"/>
              <w:right w:val="nil"/>
            </w:tcBorders>
            <w:shd w:val="clear" w:color="auto" w:fill="auto"/>
            <w:noWrap/>
            <w:vAlign w:val="bottom"/>
            <w:hideMark/>
          </w:tcPr>
          <w:p w14:paraId="6975433B"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0.47</w:t>
            </w:r>
          </w:p>
        </w:tc>
        <w:tc>
          <w:tcPr>
            <w:tcW w:w="0" w:type="auto"/>
            <w:tcBorders>
              <w:top w:val="nil"/>
              <w:left w:val="nil"/>
              <w:bottom w:val="nil"/>
              <w:right w:val="nil"/>
            </w:tcBorders>
            <w:shd w:val="clear" w:color="000000" w:fill="FFC7CE"/>
            <w:noWrap/>
            <w:vAlign w:val="bottom"/>
            <w:hideMark/>
          </w:tcPr>
          <w:p w14:paraId="52A118FB" w14:textId="77777777" w:rsidR="00960A5A" w:rsidRPr="004A5BF7" w:rsidRDefault="00960A5A" w:rsidP="0043300D">
            <w:pPr>
              <w:spacing w:before="0" w:after="0"/>
              <w:jc w:val="center"/>
              <w:rPr>
                <w:rFonts w:cs="Arial"/>
                <w:color w:val="9C0006"/>
                <w:sz w:val="18"/>
                <w:szCs w:val="18"/>
                <w:lang w:val="en-AU" w:eastAsia="en-AU"/>
              </w:rPr>
            </w:pPr>
            <w:r w:rsidRPr="004A5BF7">
              <w:rPr>
                <w:rFonts w:cs="Arial"/>
                <w:color w:val="9C0006"/>
                <w:sz w:val="18"/>
                <w:szCs w:val="18"/>
                <w:lang w:val="en-AU" w:eastAsia="en-AU"/>
              </w:rPr>
              <w:t>0.84</w:t>
            </w:r>
          </w:p>
        </w:tc>
        <w:tc>
          <w:tcPr>
            <w:tcW w:w="0" w:type="auto"/>
            <w:tcBorders>
              <w:top w:val="nil"/>
              <w:left w:val="nil"/>
              <w:bottom w:val="nil"/>
              <w:right w:val="nil"/>
            </w:tcBorders>
            <w:shd w:val="clear" w:color="auto" w:fill="auto"/>
            <w:noWrap/>
            <w:vAlign w:val="bottom"/>
            <w:hideMark/>
          </w:tcPr>
          <w:p w14:paraId="09483A44"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0.51</w:t>
            </w:r>
          </w:p>
        </w:tc>
      </w:tr>
      <w:tr w:rsidR="00960A5A" w:rsidRPr="00B43F3B" w14:paraId="56BE9864" w14:textId="77777777" w:rsidTr="0043300D">
        <w:trPr>
          <w:trHeight w:val="330"/>
          <w:jc w:val="center"/>
        </w:trPr>
        <w:tc>
          <w:tcPr>
            <w:tcW w:w="0" w:type="auto"/>
            <w:tcBorders>
              <w:top w:val="nil"/>
              <w:left w:val="nil"/>
              <w:bottom w:val="nil"/>
              <w:right w:val="nil"/>
            </w:tcBorders>
            <w:shd w:val="clear" w:color="auto" w:fill="auto"/>
            <w:noWrap/>
            <w:vAlign w:val="bottom"/>
            <w:hideMark/>
          </w:tcPr>
          <w:p w14:paraId="3AF4F22F" w14:textId="0EB654AF" w:rsidR="00960A5A" w:rsidRPr="004A5BF7" w:rsidRDefault="0044664A" w:rsidP="0043300D">
            <w:pPr>
              <w:spacing w:before="0" w:after="0"/>
              <w:jc w:val="left"/>
              <w:rPr>
                <w:rFonts w:cs="Arial"/>
                <w:b/>
                <w:bCs/>
                <w:color w:val="000000"/>
                <w:sz w:val="18"/>
                <w:szCs w:val="18"/>
                <w:lang w:val="en-AU" w:eastAsia="en-AU"/>
              </w:rPr>
            </w:pPr>
            <w:r w:rsidRPr="004A5BF7">
              <w:rPr>
                <w:rFonts w:cs="Arial"/>
                <w:b/>
                <w:bCs/>
                <w:color w:val="000000"/>
                <w:sz w:val="18"/>
                <w:szCs w:val="18"/>
                <w:lang w:val="en-AU" w:eastAsia="en-AU"/>
              </w:rPr>
              <w:t>W-E wind component</w:t>
            </w:r>
          </w:p>
        </w:tc>
        <w:tc>
          <w:tcPr>
            <w:tcW w:w="0" w:type="auto"/>
            <w:tcBorders>
              <w:top w:val="nil"/>
              <w:left w:val="nil"/>
              <w:bottom w:val="nil"/>
              <w:right w:val="nil"/>
            </w:tcBorders>
            <w:shd w:val="clear" w:color="auto" w:fill="auto"/>
            <w:noWrap/>
            <w:vAlign w:val="bottom"/>
            <w:hideMark/>
          </w:tcPr>
          <w:p w14:paraId="61FBD521"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-0.24</w:t>
            </w:r>
          </w:p>
        </w:tc>
        <w:tc>
          <w:tcPr>
            <w:tcW w:w="0" w:type="auto"/>
            <w:tcBorders>
              <w:top w:val="nil"/>
              <w:left w:val="nil"/>
              <w:bottom w:val="nil"/>
              <w:right w:val="nil"/>
            </w:tcBorders>
            <w:shd w:val="clear" w:color="auto" w:fill="auto"/>
            <w:noWrap/>
            <w:vAlign w:val="bottom"/>
            <w:hideMark/>
          </w:tcPr>
          <w:p w14:paraId="152C4DF3"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-0.18</w:t>
            </w:r>
          </w:p>
        </w:tc>
        <w:tc>
          <w:tcPr>
            <w:tcW w:w="0" w:type="auto"/>
            <w:tcBorders>
              <w:top w:val="nil"/>
              <w:left w:val="nil"/>
              <w:bottom w:val="nil"/>
              <w:right w:val="nil"/>
            </w:tcBorders>
            <w:shd w:val="clear" w:color="auto" w:fill="auto"/>
            <w:noWrap/>
            <w:vAlign w:val="bottom"/>
            <w:hideMark/>
          </w:tcPr>
          <w:p w14:paraId="5FB71986"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0.04</w:t>
            </w:r>
          </w:p>
        </w:tc>
        <w:tc>
          <w:tcPr>
            <w:tcW w:w="0" w:type="auto"/>
            <w:tcBorders>
              <w:top w:val="nil"/>
              <w:left w:val="nil"/>
              <w:bottom w:val="nil"/>
              <w:right w:val="nil"/>
            </w:tcBorders>
            <w:shd w:val="clear" w:color="auto" w:fill="auto"/>
            <w:noWrap/>
            <w:vAlign w:val="bottom"/>
            <w:hideMark/>
          </w:tcPr>
          <w:p w14:paraId="0E5B1701"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-0.13</w:t>
            </w:r>
          </w:p>
        </w:tc>
        <w:tc>
          <w:tcPr>
            <w:tcW w:w="0" w:type="auto"/>
            <w:tcBorders>
              <w:top w:val="nil"/>
              <w:left w:val="nil"/>
              <w:bottom w:val="nil"/>
              <w:right w:val="nil"/>
            </w:tcBorders>
            <w:shd w:val="clear" w:color="auto" w:fill="auto"/>
            <w:noWrap/>
            <w:vAlign w:val="bottom"/>
            <w:hideMark/>
          </w:tcPr>
          <w:p w14:paraId="578E355D"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-0.02</w:t>
            </w:r>
          </w:p>
        </w:tc>
        <w:tc>
          <w:tcPr>
            <w:tcW w:w="0" w:type="auto"/>
            <w:tcBorders>
              <w:top w:val="nil"/>
              <w:left w:val="nil"/>
              <w:bottom w:val="nil"/>
              <w:right w:val="nil"/>
            </w:tcBorders>
            <w:shd w:val="clear" w:color="auto" w:fill="auto"/>
            <w:noWrap/>
            <w:vAlign w:val="bottom"/>
            <w:hideMark/>
          </w:tcPr>
          <w:p w14:paraId="05A20CE0"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-0.19</w:t>
            </w:r>
          </w:p>
        </w:tc>
        <w:tc>
          <w:tcPr>
            <w:tcW w:w="0" w:type="auto"/>
            <w:tcBorders>
              <w:top w:val="nil"/>
              <w:left w:val="nil"/>
              <w:bottom w:val="nil"/>
              <w:right w:val="nil"/>
            </w:tcBorders>
            <w:shd w:val="clear" w:color="auto" w:fill="auto"/>
            <w:noWrap/>
            <w:vAlign w:val="bottom"/>
            <w:hideMark/>
          </w:tcPr>
          <w:p w14:paraId="34D4A9EB"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-0.55</w:t>
            </w:r>
          </w:p>
        </w:tc>
        <w:tc>
          <w:tcPr>
            <w:tcW w:w="0" w:type="auto"/>
            <w:tcBorders>
              <w:top w:val="nil"/>
              <w:left w:val="nil"/>
              <w:bottom w:val="nil"/>
              <w:right w:val="nil"/>
            </w:tcBorders>
            <w:shd w:val="clear" w:color="auto" w:fill="auto"/>
            <w:noWrap/>
            <w:vAlign w:val="bottom"/>
            <w:hideMark/>
          </w:tcPr>
          <w:p w14:paraId="5D876D38"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-0.51</w:t>
            </w:r>
          </w:p>
        </w:tc>
        <w:tc>
          <w:tcPr>
            <w:tcW w:w="0" w:type="auto"/>
            <w:tcBorders>
              <w:top w:val="nil"/>
              <w:left w:val="nil"/>
              <w:bottom w:val="nil"/>
              <w:right w:val="nil"/>
            </w:tcBorders>
            <w:shd w:val="clear" w:color="auto" w:fill="auto"/>
            <w:noWrap/>
            <w:vAlign w:val="bottom"/>
            <w:hideMark/>
          </w:tcPr>
          <w:p w14:paraId="2F75D6CF"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-0.03</w:t>
            </w:r>
          </w:p>
        </w:tc>
      </w:tr>
      <w:tr w:rsidR="00960A5A" w:rsidRPr="00B43F3B" w14:paraId="7429721F" w14:textId="77777777" w:rsidTr="0043300D">
        <w:trPr>
          <w:trHeight w:val="330"/>
          <w:jc w:val="center"/>
        </w:trPr>
        <w:tc>
          <w:tcPr>
            <w:tcW w:w="0" w:type="auto"/>
            <w:tcBorders>
              <w:top w:val="nil"/>
              <w:left w:val="nil"/>
              <w:bottom w:val="nil"/>
              <w:right w:val="nil"/>
            </w:tcBorders>
            <w:shd w:val="clear" w:color="auto" w:fill="auto"/>
            <w:noWrap/>
            <w:vAlign w:val="bottom"/>
            <w:hideMark/>
          </w:tcPr>
          <w:p w14:paraId="68E92252" w14:textId="169F388E" w:rsidR="00960A5A" w:rsidRPr="004A5BF7" w:rsidRDefault="00B43F3B" w:rsidP="0043300D">
            <w:pPr>
              <w:spacing w:before="0" w:after="0"/>
              <w:jc w:val="left"/>
              <w:rPr>
                <w:rFonts w:cs="Arial"/>
                <w:b/>
                <w:bCs/>
                <w:color w:val="000000"/>
                <w:sz w:val="18"/>
                <w:szCs w:val="18"/>
                <w:lang w:val="en-AU" w:eastAsia="en-AU"/>
              </w:rPr>
            </w:pPr>
            <w:r w:rsidRPr="00B43F3B">
              <w:rPr>
                <w:rFonts w:cs="Arial"/>
                <w:b/>
                <w:bCs/>
                <w:color w:val="000000"/>
                <w:sz w:val="18"/>
                <w:szCs w:val="18"/>
                <w:lang w:val="en-AU" w:eastAsia="en-AU"/>
              </w:rPr>
              <w:t>N</w:t>
            </w:r>
            <w:r w:rsidR="0044664A" w:rsidRPr="004A5BF7">
              <w:rPr>
                <w:rFonts w:cs="Arial"/>
                <w:b/>
                <w:bCs/>
                <w:color w:val="000000"/>
                <w:sz w:val="18"/>
                <w:szCs w:val="18"/>
                <w:lang w:val="en-AU" w:eastAsia="en-AU"/>
              </w:rPr>
              <w:t>-S wind component</w:t>
            </w:r>
          </w:p>
        </w:tc>
        <w:tc>
          <w:tcPr>
            <w:tcW w:w="0" w:type="auto"/>
            <w:tcBorders>
              <w:top w:val="nil"/>
              <w:left w:val="nil"/>
              <w:bottom w:val="nil"/>
              <w:right w:val="nil"/>
            </w:tcBorders>
            <w:shd w:val="clear" w:color="auto" w:fill="auto"/>
            <w:noWrap/>
            <w:vAlign w:val="bottom"/>
            <w:hideMark/>
          </w:tcPr>
          <w:p w14:paraId="52D69681"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-0.14</w:t>
            </w:r>
          </w:p>
        </w:tc>
        <w:tc>
          <w:tcPr>
            <w:tcW w:w="0" w:type="auto"/>
            <w:tcBorders>
              <w:top w:val="nil"/>
              <w:left w:val="nil"/>
              <w:bottom w:val="nil"/>
              <w:right w:val="nil"/>
            </w:tcBorders>
            <w:shd w:val="clear" w:color="auto" w:fill="auto"/>
            <w:noWrap/>
            <w:vAlign w:val="bottom"/>
            <w:hideMark/>
          </w:tcPr>
          <w:p w14:paraId="0D58B03A"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-0.20</w:t>
            </w:r>
          </w:p>
        </w:tc>
        <w:tc>
          <w:tcPr>
            <w:tcW w:w="0" w:type="auto"/>
            <w:tcBorders>
              <w:top w:val="nil"/>
              <w:left w:val="nil"/>
              <w:bottom w:val="nil"/>
              <w:right w:val="nil"/>
            </w:tcBorders>
            <w:shd w:val="clear" w:color="auto" w:fill="auto"/>
            <w:noWrap/>
            <w:vAlign w:val="bottom"/>
            <w:hideMark/>
          </w:tcPr>
          <w:p w14:paraId="1E6D60FD"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0.11</w:t>
            </w:r>
          </w:p>
        </w:tc>
        <w:tc>
          <w:tcPr>
            <w:tcW w:w="0" w:type="auto"/>
            <w:tcBorders>
              <w:top w:val="nil"/>
              <w:left w:val="nil"/>
              <w:bottom w:val="nil"/>
              <w:right w:val="nil"/>
            </w:tcBorders>
            <w:shd w:val="clear" w:color="auto" w:fill="auto"/>
            <w:noWrap/>
            <w:vAlign w:val="bottom"/>
            <w:hideMark/>
          </w:tcPr>
          <w:p w14:paraId="652E7B10"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-0.40</w:t>
            </w:r>
          </w:p>
        </w:tc>
        <w:tc>
          <w:tcPr>
            <w:tcW w:w="0" w:type="auto"/>
            <w:tcBorders>
              <w:top w:val="nil"/>
              <w:left w:val="nil"/>
              <w:bottom w:val="nil"/>
              <w:right w:val="nil"/>
            </w:tcBorders>
            <w:shd w:val="clear" w:color="auto" w:fill="auto"/>
            <w:noWrap/>
            <w:vAlign w:val="bottom"/>
            <w:hideMark/>
          </w:tcPr>
          <w:p w14:paraId="4333F4A5"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-0.05</w:t>
            </w:r>
          </w:p>
        </w:tc>
        <w:tc>
          <w:tcPr>
            <w:tcW w:w="0" w:type="auto"/>
            <w:tcBorders>
              <w:top w:val="nil"/>
              <w:left w:val="nil"/>
              <w:bottom w:val="nil"/>
              <w:right w:val="nil"/>
            </w:tcBorders>
            <w:shd w:val="clear" w:color="auto" w:fill="auto"/>
            <w:noWrap/>
            <w:vAlign w:val="bottom"/>
            <w:hideMark/>
          </w:tcPr>
          <w:p w14:paraId="3B3D43FF"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0.24</w:t>
            </w:r>
          </w:p>
        </w:tc>
        <w:tc>
          <w:tcPr>
            <w:tcW w:w="0" w:type="auto"/>
            <w:tcBorders>
              <w:top w:val="nil"/>
              <w:left w:val="nil"/>
              <w:bottom w:val="nil"/>
              <w:right w:val="nil"/>
            </w:tcBorders>
            <w:shd w:val="clear" w:color="auto" w:fill="auto"/>
            <w:noWrap/>
            <w:vAlign w:val="bottom"/>
            <w:hideMark/>
          </w:tcPr>
          <w:p w14:paraId="38665040"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-0.18</w:t>
            </w:r>
          </w:p>
        </w:tc>
        <w:tc>
          <w:tcPr>
            <w:tcW w:w="0" w:type="auto"/>
            <w:tcBorders>
              <w:top w:val="nil"/>
              <w:left w:val="nil"/>
              <w:bottom w:val="nil"/>
              <w:right w:val="nil"/>
            </w:tcBorders>
            <w:shd w:val="clear" w:color="auto" w:fill="auto"/>
            <w:noWrap/>
            <w:vAlign w:val="bottom"/>
            <w:hideMark/>
          </w:tcPr>
          <w:p w14:paraId="48216D15"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-0.56</w:t>
            </w:r>
          </w:p>
        </w:tc>
        <w:tc>
          <w:tcPr>
            <w:tcW w:w="0" w:type="auto"/>
            <w:tcBorders>
              <w:top w:val="nil"/>
              <w:left w:val="nil"/>
              <w:bottom w:val="nil"/>
              <w:right w:val="nil"/>
            </w:tcBorders>
            <w:shd w:val="clear" w:color="auto" w:fill="auto"/>
            <w:noWrap/>
            <w:vAlign w:val="bottom"/>
            <w:hideMark/>
          </w:tcPr>
          <w:p w14:paraId="4562A38F"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-0.06</w:t>
            </w:r>
          </w:p>
        </w:tc>
      </w:tr>
      <w:tr w:rsidR="00960A5A" w:rsidRPr="00B43F3B" w14:paraId="2A0ECC7F" w14:textId="77777777" w:rsidTr="0043300D">
        <w:trPr>
          <w:trHeight w:val="330"/>
          <w:jc w:val="center"/>
        </w:trPr>
        <w:tc>
          <w:tcPr>
            <w:tcW w:w="0" w:type="auto"/>
            <w:tcBorders>
              <w:top w:val="nil"/>
              <w:left w:val="nil"/>
              <w:bottom w:val="nil"/>
              <w:right w:val="nil"/>
            </w:tcBorders>
            <w:shd w:val="clear" w:color="auto" w:fill="auto"/>
            <w:noWrap/>
            <w:vAlign w:val="bottom"/>
            <w:hideMark/>
          </w:tcPr>
          <w:p w14:paraId="750C12E8" w14:textId="77777777" w:rsidR="00960A5A" w:rsidRPr="004A5BF7" w:rsidRDefault="00960A5A" w:rsidP="0043300D">
            <w:pPr>
              <w:spacing w:before="0" w:after="0"/>
              <w:jc w:val="left"/>
              <w:rPr>
                <w:rFonts w:cs="Arial"/>
                <w:b/>
                <w:bCs/>
                <w:color w:val="000000"/>
                <w:sz w:val="18"/>
                <w:szCs w:val="18"/>
                <w:lang w:val="en-AU" w:eastAsia="en-AU"/>
              </w:rPr>
            </w:pPr>
            <w:r w:rsidRPr="004A5BF7">
              <w:rPr>
                <w:rFonts w:cs="Arial"/>
                <w:b/>
                <w:bCs/>
                <w:color w:val="000000"/>
                <w:sz w:val="18"/>
                <w:szCs w:val="18"/>
                <w:lang w:val="en-AU" w:eastAsia="en-AU"/>
              </w:rPr>
              <w:t>Salinity</w:t>
            </w:r>
          </w:p>
        </w:tc>
        <w:tc>
          <w:tcPr>
            <w:tcW w:w="0" w:type="auto"/>
            <w:tcBorders>
              <w:top w:val="nil"/>
              <w:left w:val="nil"/>
              <w:bottom w:val="nil"/>
              <w:right w:val="nil"/>
            </w:tcBorders>
            <w:shd w:val="clear" w:color="auto" w:fill="auto"/>
            <w:noWrap/>
            <w:vAlign w:val="bottom"/>
            <w:hideMark/>
          </w:tcPr>
          <w:p w14:paraId="6B3E5407"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-0.32</w:t>
            </w:r>
          </w:p>
        </w:tc>
        <w:tc>
          <w:tcPr>
            <w:tcW w:w="0" w:type="auto"/>
            <w:tcBorders>
              <w:top w:val="nil"/>
              <w:left w:val="nil"/>
              <w:bottom w:val="nil"/>
              <w:right w:val="nil"/>
            </w:tcBorders>
            <w:shd w:val="clear" w:color="000000" w:fill="FFC7CE"/>
            <w:noWrap/>
            <w:vAlign w:val="bottom"/>
            <w:hideMark/>
          </w:tcPr>
          <w:p w14:paraId="512A7339" w14:textId="77777777" w:rsidR="00960A5A" w:rsidRPr="004A5BF7" w:rsidRDefault="00960A5A" w:rsidP="0043300D">
            <w:pPr>
              <w:spacing w:before="0" w:after="0"/>
              <w:jc w:val="center"/>
              <w:rPr>
                <w:rFonts w:cs="Arial"/>
                <w:color w:val="9C0006"/>
                <w:sz w:val="18"/>
                <w:szCs w:val="18"/>
                <w:lang w:val="en-AU" w:eastAsia="en-AU"/>
              </w:rPr>
            </w:pPr>
            <w:r w:rsidRPr="004A5BF7">
              <w:rPr>
                <w:rFonts w:cs="Arial"/>
                <w:color w:val="9C0006"/>
                <w:sz w:val="18"/>
                <w:szCs w:val="18"/>
                <w:lang w:val="en-AU" w:eastAsia="en-AU"/>
              </w:rPr>
              <w:t>-0.66</w:t>
            </w:r>
          </w:p>
        </w:tc>
        <w:tc>
          <w:tcPr>
            <w:tcW w:w="0" w:type="auto"/>
            <w:tcBorders>
              <w:top w:val="nil"/>
              <w:left w:val="nil"/>
              <w:bottom w:val="nil"/>
              <w:right w:val="nil"/>
            </w:tcBorders>
            <w:shd w:val="clear" w:color="auto" w:fill="auto"/>
            <w:noWrap/>
            <w:vAlign w:val="bottom"/>
            <w:hideMark/>
          </w:tcPr>
          <w:p w14:paraId="64933416"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-0.04</w:t>
            </w:r>
          </w:p>
        </w:tc>
        <w:tc>
          <w:tcPr>
            <w:tcW w:w="0" w:type="auto"/>
            <w:tcBorders>
              <w:top w:val="nil"/>
              <w:left w:val="nil"/>
              <w:bottom w:val="nil"/>
              <w:right w:val="nil"/>
            </w:tcBorders>
            <w:shd w:val="clear" w:color="000000" w:fill="FFC7CE"/>
            <w:noWrap/>
            <w:vAlign w:val="bottom"/>
            <w:hideMark/>
          </w:tcPr>
          <w:p w14:paraId="7E421CC9" w14:textId="77777777" w:rsidR="00960A5A" w:rsidRPr="004A5BF7" w:rsidRDefault="00960A5A" w:rsidP="0043300D">
            <w:pPr>
              <w:spacing w:before="0" w:after="0"/>
              <w:jc w:val="center"/>
              <w:rPr>
                <w:rFonts w:cs="Arial"/>
                <w:color w:val="9C0006"/>
                <w:sz w:val="18"/>
                <w:szCs w:val="18"/>
                <w:lang w:val="en-AU" w:eastAsia="en-AU"/>
              </w:rPr>
            </w:pPr>
            <w:r w:rsidRPr="004A5BF7">
              <w:rPr>
                <w:rFonts w:cs="Arial"/>
                <w:color w:val="9C0006"/>
                <w:sz w:val="18"/>
                <w:szCs w:val="18"/>
                <w:lang w:val="en-AU" w:eastAsia="en-AU"/>
              </w:rPr>
              <w:t>-0.65</w:t>
            </w:r>
          </w:p>
        </w:tc>
        <w:tc>
          <w:tcPr>
            <w:tcW w:w="0" w:type="auto"/>
            <w:tcBorders>
              <w:top w:val="nil"/>
              <w:left w:val="nil"/>
              <w:bottom w:val="nil"/>
              <w:right w:val="nil"/>
            </w:tcBorders>
            <w:shd w:val="clear" w:color="auto" w:fill="auto"/>
            <w:noWrap/>
            <w:vAlign w:val="bottom"/>
            <w:hideMark/>
          </w:tcPr>
          <w:p w14:paraId="49574155"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-0.44</w:t>
            </w:r>
          </w:p>
        </w:tc>
        <w:tc>
          <w:tcPr>
            <w:tcW w:w="0" w:type="auto"/>
            <w:tcBorders>
              <w:top w:val="nil"/>
              <w:left w:val="nil"/>
              <w:bottom w:val="nil"/>
              <w:right w:val="nil"/>
            </w:tcBorders>
            <w:shd w:val="clear" w:color="auto" w:fill="auto"/>
            <w:noWrap/>
            <w:vAlign w:val="bottom"/>
            <w:hideMark/>
          </w:tcPr>
          <w:p w14:paraId="33722C87"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0.20</w:t>
            </w:r>
          </w:p>
        </w:tc>
        <w:tc>
          <w:tcPr>
            <w:tcW w:w="0" w:type="auto"/>
            <w:tcBorders>
              <w:top w:val="nil"/>
              <w:left w:val="nil"/>
              <w:bottom w:val="nil"/>
              <w:right w:val="nil"/>
            </w:tcBorders>
            <w:shd w:val="clear" w:color="auto" w:fill="auto"/>
            <w:noWrap/>
            <w:vAlign w:val="bottom"/>
            <w:hideMark/>
          </w:tcPr>
          <w:p w14:paraId="3E22F7EE"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-0.36</w:t>
            </w:r>
          </w:p>
        </w:tc>
        <w:tc>
          <w:tcPr>
            <w:tcW w:w="0" w:type="auto"/>
            <w:tcBorders>
              <w:top w:val="nil"/>
              <w:left w:val="nil"/>
              <w:bottom w:val="nil"/>
              <w:right w:val="nil"/>
            </w:tcBorders>
            <w:shd w:val="clear" w:color="000000" w:fill="FFC7CE"/>
            <w:noWrap/>
            <w:vAlign w:val="bottom"/>
            <w:hideMark/>
          </w:tcPr>
          <w:p w14:paraId="5E8E4AD6" w14:textId="77777777" w:rsidR="00960A5A" w:rsidRPr="004A5BF7" w:rsidRDefault="00960A5A" w:rsidP="0043300D">
            <w:pPr>
              <w:spacing w:before="0" w:after="0"/>
              <w:jc w:val="center"/>
              <w:rPr>
                <w:rFonts w:cs="Arial"/>
                <w:color w:val="9C0006"/>
                <w:sz w:val="18"/>
                <w:szCs w:val="18"/>
                <w:lang w:val="en-AU" w:eastAsia="en-AU"/>
              </w:rPr>
            </w:pPr>
            <w:r w:rsidRPr="004A5BF7">
              <w:rPr>
                <w:rFonts w:cs="Arial"/>
                <w:color w:val="9C0006"/>
                <w:sz w:val="18"/>
                <w:szCs w:val="18"/>
                <w:lang w:val="en-AU" w:eastAsia="en-AU"/>
              </w:rPr>
              <w:t>-0.95</w:t>
            </w:r>
          </w:p>
        </w:tc>
        <w:tc>
          <w:tcPr>
            <w:tcW w:w="0" w:type="auto"/>
            <w:tcBorders>
              <w:top w:val="nil"/>
              <w:left w:val="nil"/>
              <w:bottom w:val="nil"/>
              <w:right w:val="nil"/>
            </w:tcBorders>
            <w:shd w:val="clear" w:color="auto" w:fill="auto"/>
            <w:noWrap/>
            <w:vAlign w:val="bottom"/>
            <w:hideMark/>
          </w:tcPr>
          <w:p w14:paraId="13D9EABB"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-0.31</w:t>
            </w:r>
          </w:p>
        </w:tc>
      </w:tr>
      <w:tr w:rsidR="00960A5A" w:rsidRPr="00B43F3B" w14:paraId="153A5105" w14:textId="77777777" w:rsidTr="0043300D">
        <w:trPr>
          <w:trHeight w:val="330"/>
          <w:jc w:val="center"/>
        </w:trPr>
        <w:tc>
          <w:tcPr>
            <w:tcW w:w="0" w:type="auto"/>
            <w:tcBorders>
              <w:top w:val="nil"/>
              <w:left w:val="nil"/>
              <w:bottom w:val="single" w:sz="4" w:space="0" w:color="auto"/>
              <w:right w:val="nil"/>
            </w:tcBorders>
            <w:shd w:val="clear" w:color="auto" w:fill="auto"/>
            <w:noWrap/>
            <w:vAlign w:val="bottom"/>
            <w:hideMark/>
          </w:tcPr>
          <w:p w14:paraId="14C7DF55" w14:textId="77777777" w:rsidR="00960A5A" w:rsidRPr="004A5BF7" w:rsidRDefault="00960A5A" w:rsidP="0043300D">
            <w:pPr>
              <w:spacing w:before="0" w:after="0"/>
              <w:jc w:val="left"/>
              <w:rPr>
                <w:rFonts w:cs="Arial"/>
                <w:b/>
                <w:bCs/>
                <w:color w:val="000000"/>
                <w:sz w:val="18"/>
                <w:szCs w:val="18"/>
                <w:lang w:val="en-AU" w:eastAsia="en-AU"/>
              </w:rPr>
            </w:pPr>
            <w:r w:rsidRPr="004A5BF7">
              <w:rPr>
                <w:rFonts w:cs="Arial"/>
                <w:b/>
                <w:bCs/>
                <w:color w:val="000000"/>
                <w:sz w:val="18"/>
                <w:szCs w:val="18"/>
                <w:lang w:val="en-AU" w:eastAsia="en-AU"/>
              </w:rPr>
              <w:t>Chl-a</w:t>
            </w:r>
          </w:p>
        </w:tc>
        <w:tc>
          <w:tcPr>
            <w:tcW w:w="0" w:type="auto"/>
            <w:tcBorders>
              <w:top w:val="nil"/>
              <w:left w:val="nil"/>
              <w:bottom w:val="single" w:sz="4" w:space="0" w:color="auto"/>
              <w:right w:val="nil"/>
            </w:tcBorders>
            <w:shd w:val="clear" w:color="auto" w:fill="auto"/>
            <w:noWrap/>
            <w:vAlign w:val="bottom"/>
            <w:hideMark/>
          </w:tcPr>
          <w:p w14:paraId="52CF8663"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0.50</w:t>
            </w:r>
          </w:p>
        </w:tc>
        <w:tc>
          <w:tcPr>
            <w:tcW w:w="0" w:type="auto"/>
            <w:tcBorders>
              <w:top w:val="nil"/>
              <w:left w:val="nil"/>
              <w:bottom w:val="single" w:sz="4" w:space="0" w:color="auto"/>
              <w:right w:val="nil"/>
            </w:tcBorders>
            <w:shd w:val="clear" w:color="000000" w:fill="FFC7CE"/>
            <w:noWrap/>
            <w:vAlign w:val="bottom"/>
            <w:hideMark/>
          </w:tcPr>
          <w:p w14:paraId="7E635AE1" w14:textId="77777777" w:rsidR="00960A5A" w:rsidRPr="004A5BF7" w:rsidRDefault="00960A5A" w:rsidP="0043300D">
            <w:pPr>
              <w:spacing w:before="0" w:after="0"/>
              <w:jc w:val="center"/>
              <w:rPr>
                <w:rFonts w:cs="Arial"/>
                <w:color w:val="9C0006"/>
                <w:sz w:val="18"/>
                <w:szCs w:val="18"/>
                <w:lang w:val="en-AU" w:eastAsia="en-AU"/>
              </w:rPr>
            </w:pPr>
            <w:r w:rsidRPr="004A5BF7">
              <w:rPr>
                <w:rFonts w:cs="Arial"/>
                <w:color w:val="9C0006"/>
                <w:sz w:val="18"/>
                <w:szCs w:val="18"/>
                <w:lang w:val="en-AU" w:eastAsia="en-AU"/>
              </w:rPr>
              <w:t>0.65</w:t>
            </w:r>
          </w:p>
        </w:tc>
        <w:tc>
          <w:tcPr>
            <w:tcW w:w="0" w:type="auto"/>
            <w:tcBorders>
              <w:top w:val="nil"/>
              <w:left w:val="nil"/>
              <w:bottom w:val="single" w:sz="4" w:space="0" w:color="auto"/>
              <w:right w:val="nil"/>
            </w:tcBorders>
            <w:shd w:val="clear" w:color="auto" w:fill="auto"/>
            <w:noWrap/>
            <w:vAlign w:val="bottom"/>
            <w:hideMark/>
          </w:tcPr>
          <w:p w14:paraId="44A25E8D"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0.13</w:t>
            </w:r>
          </w:p>
        </w:tc>
        <w:tc>
          <w:tcPr>
            <w:tcW w:w="0" w:type="auto"/>
            <w:tcBorders>
              <w:top w:val="nil"/>
              <w:left w:val="nil"/>
              <w:bottom w:val="single" w:sz="4" w:space="0" w:color="auto"/>
              <w:right w:val="nil"/>
            </w:tcBorders>
            <w:shd w:val="clear" w:color="auto" w:fill="auto"/>
            <w:noWrap/>
            <w:vAlign w:val="bottom"/>
            <w:hideMark/>
          </w:tcPr>
          <w:p w14:paraId="241227F5"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0.38</w:t>
            </w:r>
          </w:p>
        </w:tc>
        <w:tc>
          <w:tcPr>
            <w:tcW w:w="0" w:type="auto"/>
            <w:tcBorders>
              <w:top w:val="nil"/>
              <w:left w:val="nil"/>
              <w:bottom w:val="single" w:sz="4" w:space="0" w:color="auto"/>
              <w:right w:val="nil"/>
            </w:tcBorders>
            <w:shd w:val="clear" w:color="auto" w:fill="auto"/>
            <w:noWrap/>
            <w:vAlign w:val="bottom"/>
            <w:hideMark/>
          </w:tcPr>
          <w:p w14:paraId="6793A896"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-0.05</w:t>
            </w:r>
          </w:p>
        </w:tc>
        <w:tc>
          <w:tcPr>
            <w:tcW w:w="0" w:type="auto"/>
            <w:tcBorders>
              <w:top w:val="nil"/>
              <w:left w:val="nil"/>
              <w:bottom w:val="single" w:sz="4" w:space="0" w:color="auto"/>
              <w:right w:val="nil"/>
            </w:tcBorders>
            <w:shd w:val="clear" w:color="auto" w:fill="auto"/>
            <w:noWrap/>
            <w:vAlign w:val="bottom"/>
            <w:hideMark/>
          </w:tcPr>
          <w:p w14:paraId="26B76061"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0.45</w:t>
            </w:r>
          </w:p>
        </w:tc>
        <w:tc>
          <w:tcPr>
            <w:tcW w:w="0" w:type="auto"/>
            <w:tcBorders>
              <w:top w:val="nil"/>
              <w:left w:val="nil"/>
              <w:bottom w:val="single" w:sz="4" w:space="0" w:color="auto"/>
              <w:right w:val="nil"/>
            </w:tcBorders>
            <w:shd w:val="clear" w:color="auto" w:fill="auto"/>
            <w:noWrap/>
            <w:vAlign w:val="bottom"/>
            <w:hideMark/>
          </w:tcPr>
          <w:p w14:paraId="63F93391"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0.27</w:t>
            </w:r>
          </w:p>
        </w:tc>
        <w:tc>
          <w:tcPr>
            <w:tcW w:w="0" w:type="auto"/>
            <w:tcBorders>
              <w:top w:val="nil"/>
              <w:left w:val="nil"/>
              <w:bottom w:val="single" w:sz="4" w:space="0" w:color="auto"/>
              <w:right w:val="nil"/>
            </w:tcBorders>
            <w:shd w:val="clear" w:color="auto" w:fill="auto"/>
            <w:noWrap/>
            <w:vAlign w:val="bottom"/>
            <w:hideMark/>
          </w:tcPr>
          <w:p w14:paraId="6A3C22B5"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-0.03</w:t>
            </w:r>
          </w:p>
        </w:tc>
        <w:tc>
          <w:tcPr>
            <w:tcW w:w="0" w:type="auto"/>
            <w:tcBorders>
              <w:top w:val="nil"/>
              <w:left w:val="nil"/>
              <w:bottom w:val="single" w:sz="4" w:space="0" w:color="auto"/>
              <w:right w:val="nil"/>
            </w:tcBorders>
            <w:shd w:val="clear" w:color="auto" w:fill="auto"/>
            <w:noWrap/>
            <w:vAlign w:val="bottom"/>
            <w:hideMark/>
          </w:tcPr>
          <w:p w14:paraId="200C5C36" w14:textId="77777777" w:rsidR="00960A5A" w:rsidRPr="004A5BF7" w:rsidRDefault="00960A5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1</w:t>
            </w:r>
          </w:p>
        </w:tc>
      </w:tr>
    </w:tbl>
    <w:p w14:paraId="7942F8A4" w14:textId="77777777" w:rsidR="00960A5A" w:rsidRDefault="00960A5A" w:rsidP="00960A5A">
      <w:pPr>
        <w:rPr>
          <w:lang w:val="en-AU"/>
        </w:rPr>
      </w:pPr>
    </w:p>
    <w:p w14:paraId="3947754D" w14:textId="38816FF2" w:rsidR="00960A5A" w:rsidRDefault="00960A5A" w:rsidP="00960A5A">
      <w:pPr>
        <w:rPr>
          <w:lang w:val="en-AU"/>
        </w:rPr>
      </w:pPr>
      <w:r>
        <w:rPr>
          <w:lang w:val="en-AU"/>
        </w:rPr>
        <w:t xml:space="preserve">The same set of box-plots used in the Russell-Mulgrave </w:t>
      </w:r>
      <w:r w:rsidR="00B437C6">
        <w:rPr>
          <w:lang w:val="en-AU"/>
        </w:rPr>
        <w:t>focus area</w:t>
      </w:r>
      <w:r>
        <w:rPr>
          <w:lang w:val="en-AU"/>
        </w:rPr>
        <w:t xml:space="preserve"> were produced for </w:t>
      </w:r>
      <w:r w:rsidR="0090046D">
        <w:rPr>
          <w:lang w:val="en-AU"/>
        </w:rPr>
        <w:t xml:space="preserve">the </w:t>
      </w:r>
      <w:r>
        <w:rPr>
          <w:lang w:val="en-AU"/>
        </w:rPr>
        <w:t>Tully</w:t>
      </w:r>
      <w:r w:rsidR="0090046D">
        <w:rPr>
          <w:lang w:val="en-AU"/>
        </w:rPr>
        <w:t xml:space="preserve"> </w:t>
      </w:r>
      <w:r w:rsidR="00B437C6">
        <w:rPr>
          <w:lang w:val="en-AU"/>
        </w:rPr>
        <w:t>focus area</w:t>
      </w:r>
      <w:r>
        <w:rPr>
          <w:lang w:val="en-AU"/>
        </w:rPr>
        <w:t xml:space="preserve">, aiming to describe the transport of </w:t>
      </w:r>
      <w:r w:rsidR="0090046D">
        <w:rPr>
          <w:lang w:val="en-AU"/>
        </w:rPr>
        <w:t>water quality</w:t>
      </w:r>
      <w:r>
        <w:rPr>
          <w:lang w:val="en-AU"/>
        </w:rPr>
        <w:t xml:space="preserve"> parameters across plume waters. Box-plots were produced by aggregating in-situ values measured within each plume water type (i.e., Primary, Secondary and Tertiary</w:t>
      </w:r>
      <w:r w:rsidR="0090046D">
        <w:rPr>
          <w:lang w:val="en-AU"/>
        </w:rPr>
        <w:t>)</w:t>
      </w:r>
      <w:r>
        <w:rPr>
          <w:lang w:val="en-AU"/>
        </w:rPr>
        <w:t>. Data is summari</w:t>
      </w:r>
      <w:r w:rsidR="0090046D">
        <w:rPr>
          <w:lang w:val="en-AU"/>
        </w:rPr>
        <w:t>s</w:t>
      </w:r>
      <w:r>
        <w:rPr>
          <w:lang w:val="en-AU"/>
        </w:rPr>
        <w:t xml:space="preserve">ed by the median and quantiles within each plume water type. </w:t>
      </w:r>
      <w:r w:rsidR="0090046D">
        <w:rPr>
          <w:lang w:val="en-AU"/>
        </w:rPr>
        <w:t>A</w:t>
      </w:r>
      <w:r>
        <w:rPr>
          <w:lang w:val="en-AU"/>
        </w:rPr>
        <w:t xml:space="preserve"> comparison against the guidelines and the result of a </w:t>
      </w:r>
      <w:r w:rsidRPr="009F5ABF">
        <w:rPr>
          <w:lang w:val="en-AU"/>
        </w:rPr>
        <w:t xml:space="preserve">Kruskal-Wallis Rank Sum </w:t>
      </w:r>
      <w:r>
        <w:rPr>
          <w:lang w:val="en-AU"/>
        </w:rPr>
        <w:t>test (as p-value) are provided (</w:t>
      </w:r>
      <w:r w:rsidR="00AB2398">
        <w:rPr>
          <w:lang w:val="en-AU"/>
        </w:rPr>
        <w:fldChar w:fldCharType="begin"/>
      </w:r>
      <w:r w:rsidR="00AB2398">
        <w:rPr>
          <w:lang w:val="en-AU"/>
        </w:rPr>
        <w:instrText xml:space="preserve"> REF _Ref461194668 \h </w:instrText>
      </w:r>
      <w:r w:rsidR="00AB2398">
        <w:rPr>
          <w:lang w:val="en-AU"/>
        </w:rPr>
      </w:r>
      <w:r w:rsidR="00AB2398">
        <w:rPr>
          <w:lang w:val="en-AU"/>
        </w:rPr>
        <w:fldChar w:fldCharType="separate"/>
      </w:r>
      <w:r w:rsidR="007F5336" w:rsidRPr="00BF71A8">
        <w:rPr>
          <w:lang w:val="en-AU"/>
        </w:rPr>
        <w:t xml:space="preserve">Figure </w:t>
      </w:r>
      <w:r w:rsidR="007F5336">
        <w:rPr>
          <w:noProof/>
          <w:lang w:val="en-AU"/>
        </w:rPr>
        <w:t>5</w:t>
      </w:r>
      <w:r w:rsidR="007F5336">
        <w:rPr>
          <w:lang w:val="en-AU"/>
        </w:rPr>
        <w:noBreakHyphen/>
      </w:r>
      <w:r w:rsidR="007F5336">
        <w:rPr>
          <w:noProof/>
          <w:lang w:val="en-AU"/>
        </w:rPr>
        <w:t>34</w:t>
      </w:r>
      <w:r w:rsidR="00AB2398">
        <w:rPr>
          <w:lang w:val="en-AU"/>
        </w:rPr>
        <w:fldChar w:fldCharType="end"/>
      </w:r>
      <w:r>
        <w:rPr>
          <w:lang w:val="en-AU"/>
        </w:rPr>
        <w:t>).</w:t>
      </w:r>
    </w:p>
    <w:p w14:paraId="2B70837A" w14:textId="502E6E98" w:rsidR="00960A5A" w:rsidRDefault="0090046D" w:rsidP="00960A5A">
      <w:pPr>
        <w:rPr>
          <w:lang w:val="en-AU"/>
        </w:rPr>
      </w:pPr>
      <w:r>
        <w:rPr>
          <w:lang w:val="en-AU"/>
        </w:rPr>
        <w:t>S</w:t>
      </w:r>
      <w:r w:rsidR="00960A5A">
        <w:rPr>
          <w:lang w:val="en-AU"/>
        </w:rPr>
        <w:t>ignificant difference</w:t>
      </w:r>
      <w:r>
        <w:rPr>
          <w:lang w:val="en-AU"/>
        </w:rPr>
        <w:t>s</w:t>
      </w:r>
      <w:r w:rsidR="00960A5A">
        <w:rPr>
          <w:lang w:val="en-AU"/>
        </w:rPr>
        <w:t xml:space="preserve"> in concentrations among the plume water types </w:t>
      </w:r>
      <w:r>
        <w:rPr>
          <w:lang w:val="en-AU"/>
        </w:rPr>
        <w:t>were evident for</w:t>
      </w:r>
      <w:r w:rsidR="00960A5A">
        <w:rPr>
          <w:lang w:val="en-AU"/>
        </w:rPr>
        <w:t xml:space="preserve"> Kd(PAR) (</w:t>
      </w:r>
      <w:r w:rsidR="00AB2398">
        <w:rPr>
          <w:lang w:val="en-AU"/>
        </w:rPr>
        <w:fldChar w:fldCharType="begin"/>
      </w:r>
      <w:r w:rsidR="00AB2398">
        <w:rPr>
          <w:lang w:val="en-AU"/>
        </w:rPr>
        <w:instrText xml:space="preserve"> REF _Ref461194668 \h </w:instrText>
      </w:r>
      <w:r w:rsidR="00AB2398">
        <w:rPr>
          <w:lang w:val="en-AU"/>
        </w:rPr>
      </w:r>
      <w:r w:rsidR="00AB2398">
        <w:rPr>
          <w:lang w:val="en-AU"/>
        </w:rPr>
        <w:fldChar w:fldCharType="separate"/>
      </w:r>
      <w:r w:rsidR="007F5336" w:rsidRPr="00BF71A8">
        <w:rPr>
          <w:lang w:val="en-AU"/>
        </w:rPr>
        <w:t xml:space="preserve">Figure </w:t>
      </w:r>
      <w:r w:rsidR="007F5336">
        <w:rPr>
          <w:noProof/>
          <w:lang w:val="en-AU"/>
        </w:rPr>
        <w:t>5</w:t>
      </w:r>
      <w:r w:rsidR="007F5336">
        <w:rPr>
          <w:lang w:val="en-AU"/>
        </w:rPr>
        <w:noBreakHyphen/>
      </w:r>
      <w:r w:rsidR="007F5336">
        <w:rPr>
          <w:noProof/>
          <w:lang w:val="en-AU"/>
        </w:rPr>
        <w:t>34</w:t>
      </w:r>
      <w:r w:rsidR="00AB2398">
        <w:rPr>
          <w:lang w:val="en-AU"/>
        </w:rPr>
        <w:fldChar w:fldCharType="end"/>
      </w:r>
      <w:r w:rsidR="00960A5A">
        <w:rPr>
          <w:lang w:val="en-AU"/>
        </w:rPr>
        <w:t>a), TSS (</w:t>
      </w:r>
      <w:r w:rsidR="00AB2398">
        <w:rPr>
          <w:lang w:val="en-AU"/>
        </w:rPr>
        <w:fldChar w:fldCharType="begin"/>
      </w:r>
      <w:r w:rsidR="00AB2398">
        <w:rPr>
          <w:lang w:val="en-AU"/>
        </w:rPr>
        <w:instrText xml:space="preserve"> REF _Ref461194668 \h </w:instrText>
      </w:r>
      <w:r w:rsidR="00AB2398">
        <w:rPr>
          <w:lang w:val="en-AU"/>
        </w:rPr>
      </w:r>
      <w:r w:rsidR="00AB2398">
        <w:rPr>
          <w:lang w:val="en-AU"/>
        </w:rPr>
        <w:fldChar w:fldCharType="separate"/>
      </w:r>
      <w:r w:rsidR="007F5336" w:rsidRPr="00BF71A8">
        <w:rPr>
          <w:lang w:val="en-AU"/>
        </w:rPr>
        <w:t xml:space="preserve">Figure </w:t>
      </w:r>
      <w:r w:rsidR="007F5336">
        <w:rPr>
          <w:noProof/>
          <w:lang w:val="en-AU"/>
        </w:rPr>
        <w:t>5</w:t>
      </w:r>
      <w:r w:rsidR="007F5336">
        <w:rPr>
          <w:lang w:val="en-AU"/>
        </w:rPr>
        <w:noBreakHyphen/>
      </w:r>
      <w:r w:rsidR="007F5336">
        <w:rPr>
          <w:noProof/>
          <w:lang w:val="en-AU"/>
        </w:rPr>
        <w:t>34</w:t>
      </w:r>
      <w:r w:rsidR="00AB2398">
        <w:rPr>
          <w:lang w:val="en-AU"/>
        </w:rPr>
        <w:fldChar w:fldCharType="end"/>
      </w:r>
      <w:r w:rsidR="00960A5A">
        <w:rPr>
          <w:lang w:val="en-AU"/>
        </w:rPr>
        <w:t>e) and PP (</w:t>
      </w:r>
      <w:r w:rsidR="00AB2398">
        <w:rPr>
          <w:lang w:val="en-AU"/>
        </w:rPr>
        <w:fldChar w:fldCharType="begin"/>
      </w:r>
      <w:r w:rsidR="00AB2398">
        <w:rPr>
          <w:lang w:val="en-AU"/>
        </w:rPr>
        <w:instrText xml:space="preserve"> REF _Ref461194668 \h </w:instrText>
      </w:r>
      <w:r w:rsidR="00AB2398">
        <w:rPr>
          <w:lang w:val="en-AU"/>
        </w:rPr>
      </w:r>
      <w:r w:rsidR="00AB2398">
        <w:rPr>
          <w:lang w:val="en-AU"/>
        </w:rPr>
        <w:fldChar w:fldCharType="separate"/>
      </w:r>
      <w:r w:rsidR="007F5336" w:rsidRPr="00BF71A8">
        <w:rPr>
          <w:lang w:val="en-AU"/>
        </w:rPr>
        <w:t xml:space="preserve">Figure </w:t>
      </w:r>
      <w:r w:rsidR="007F5336">
        <w:rPr>
          <w:noProof/>
          <w:lang w:val="en-AU"/>
        </w:rPr>
        <w:t>5</w:t>
      </w:r>
      <w:r w:rsidR="007F5336">
        <w:rPr>
          <w:lang w:val="en-AU"/>
        </w:rPr>
        <w:noBreakHyphen/>
      </w:r>
      <w:r w:rsidR="007F5336">
        <w:rPr>
          <w:noProof/>
          <w:lang w:val="en-AU"/>
        </w:rPr>
        <w:t>34</w:t>
      </w:r>
      <w:r w:rsidR="00AB2398">
        <w:rPr>
          <w:lang w:val="en-AU"/>
        </w:rPr>
        <w:fldChar w:fldCharType="end"/>
      </w:r>
      <w:r w:rsidR="00960A5A">
        <w:rPr>
          <w:lang w:val="en-AU"/>
        </w:rPr>
        <w:t>m), with higher values in Primary waters and lower in Tertiary waters. In the long-term comparison,</w:t>
      </w:r>
      <w:r>
        <w:rPr>
          <w:lang w:val="en-AU"/>
        </w:rPr>
        <w:t xml:space="preserve"> these parameters plus</w:t>
      </w:r>
      <w:r w:rsidR="00960A5A">
        <w:rPr>
          <w:lang w:val="en-AU"/>
        </w:rPr>
        <w:t xml:space="preserve"> DIP, CDOM and PP presented significant differences among water types, suggesting most of the parameters (6 in 8) </w:t>
      </w:r>
      <w:r>
        <w:rPr>
          <w:lang w:val="en-AU"/>
        </w:rPr>
        <w:t>exhibit</w:t>
      </w:r>
      <w:r w:rsidR="00960A5A">
        <w:rPr>
          <w:lang w:val="en-AU"/>
        </w:rPr>
        <w:t xml:space="preserve"> some kind of transformation </w:t>
      </w:r>
      <w:r>
        <w:rPr>
          <w:lang w:val="en-AU"/>
        </w:rPr>
        <w:t xml:space="preserve">in the long-term, </w:t>
      </w:r>
      <w:r w:rsidR="00960A5A">
        <w:rPr>
          <w:lang w:val="en-AU"/>
        </w:rPr>
        <w:t>resulting in a significant gradient across plume water. In terms of the median in-situ measurement compared against guideline values, for those water constituents with guidelines, DIN, and PN were constantly above the thresholds in any plume water type in both comparisons (i.e., 2014-15 data set and 2005-2015 data set).</w:t>
      </w:r>
    </w:p>
    <w:p w14:paraId="16709832" w14:textId="69D2FD0A" w:rsidR="00960A5A" w:rsidRDefault="00960A5A" w:rsidP="00960A5A">
      <w:pPr>
        <w:rPr>
          <w:lang w:val="en-AU"/>
        </w:rPr>
      </w:pPr>
      <w:r>
        <w:rPr>
          <w:lang w:val="en-AU"/>
        </w:rPr>
        <w:t xml:space="preserve">In </w:t>
      </w:r>
      <w:r w:rsidR="00AB2398">
        <w:rPr>
          <w:lang w:val="en-AU"/>
        </w:rPr>
        <w:t>general,</w:t>
      </w:r>
      <w:r>
        <w:rPr>
          <w:lang w:val="en-AU"/>
        </w:rPr>
        <w:t xml:space="preserve"> the median concentration</w:t>
      </w:r>
      <w:r w:rsidR="0090046D">
        <w:rPr>
          <w:lang w:val="en-AU"/>
        </w:rPr>
        <w:t>s</w:t>
      </w:r>
      <w:r>
        <w:rPr>
          <w:lang w:val="en-AU"/>
        </w:rPr>
        <w:t xml:space="preserve"> of the parameters were lower in 2014-15 compared to those calculated for the 2005-2015 wet season</w:t>
      </w:r>
      <w:r w:rsidR="0090046D">
        <w:rPr>
          <w:lang w:val="en-AU"/>
        </w:rPr>
        <w:t>s</w:t>
      </w:r>
      <w:r>
        <w:rPr>
          <w:lang w:val="en-AU"/>
        </w:rPr>
        <w:t xml:space="preserve">. This result suggests </w:t>
      </w:r>
      <w:r w:rsidR="0090046D">
        <w:rPr>
          <w:lang w:val="en-AU"/>
        </w:rPr>
        <w:t xml:space="preserve">that </w:t>
      </w:r>
      <w:r>
        <w:rPr>
          <w:lang w:val="en-AU"/>
        </w:rPr>
        <w:t>the below long-term median total GBR discharge observed in the 2014-15 wet season (</w:t>
      </w:r>
      <w:r>
        <w:rPr>
          <w:lang w:val="en-AU"/>
        </w:rPr>
        <w:fldChar w:fldCharType="begin"/>
      </w:r>
      <w:r>
        <w:rPr>
          <w:lang w:val="en-AU"/>
        </w:rPr>
        <w:instrText xml:space="preserve"> REF _Ref436903124 \h </w:instrText>
      </w:r>
      <w:r>
        <w:rPr>
          <w:lang w:val="en-AU"/>
        </w:rPr>
      </w:r>
      <w:r>
        <w:rPr>
          <w:lang w:val="en-AU"/>
        </w:rPr>
        <w:fldChar w:fldCharType="separate"/>
      </w:r>
      <w:r w:rsidR="007F5336" w:rsidRPr="00B46260">
        <w:t xml:space="preserve">Figure </w:t>
      </w:r>
      <w:r w:rsidR="007F5336">
        <w:rPr>
          <w:noProof/>
        </w:rPr>
        <w:t>5</w:t>
      </w:r>
      <w:r w:rsidR="007F5336">
        <w:noBreakHyphen/>
      </w:r>
      <w:r w:rsidR="007F5336">
        <w:rPr>
          <w:noProof/>
        </w:rPr>
        <w:t>5</w:t>
      </w:r>
      <w:r>
        <w:rPr>
          <w:lang w:val="en-AU"/>
        </w:rPr>
        <w:fldChar w:fldCharType="end"/>
      </w:r>
      <w:r>
        <w:rPr>
          <w:lang w:val="en-AU"/>
        </w:rPr>
        <w:t xml:space="preserve">), resulted in less </w:t>
      </w:r>
      <w:r w:rsidR="0090046D">
        <w:rPr>
          <w:lang w:val="en-AU"/>
        </w:rPr>
        <w:t>terrestrial</w:t>
      </w:r>
      <w:r>
        <w:rPr>
          <w:lang w:val="en-AU"/>
        </w:rPr>
        <w:t xml:space="preserve"> input, which was mainly observed in the Primary waters. The Secondary and </w:t>
      </w:r>
      <w:r w:rsidR="0090046D">
        <w:rPr>
          <w:lang w:val="en-AU"/>
        </w:rPr>
        <w:t>e</w:t>
      </w:r>
      <w:r>
        <w:rPr>
          <w:lang w:val="en-AU"/>
        </w:rPr>
        <w:t>specially the Tertiary waters did not vary much between the two period</w:t>
      </w:r>
      <w:r w:rsidR="0090046D">
        <w:rPr>
          <w:lang w:val="en-AU"/>
        </w:rPr>
        <w:t>s</w:t>
      </w:r>
      <w:r>
        <w:rPr>
          <w:lang w:val="en-AU"/>
        </w:rPr>
        <w:t xml:space="preserve"> compared. This is a result of the mixing process that increases the sea water contribution to the plume waters, and therefore the water constituents are more representative of the sea water. A similar comparison was not performed to the Russell-Mulgrave data set due to the low representation of samples in Primary water in the 2014-15 wet season.</w:t>
      </w:r>
    </w:p>
    <w:p w14:paraId="56436D68" w14:textId="77777777" w:rsidR="00B437C6" w:rsidRDefault="00B437C6" w:rsidP="00B437C6">
      <w:pPr>
        <w:tabs>
          <w:tab w:val="left" w:pos="5535"/>
        </w:tabs>
        <w:jc w:val="center"/>
        <w:rPr>
          <w:lang w:val="en-AU"/>
        </w:rPr>
      </w:pPr>
      <w:r>
        <w:rPr>
          <w:noProof/>
          <w:lang w:val="en-AU" w:eastAsia="en-AU"/>
        </w:rPr>
        <w:drawing>
          <wp:inline distT="0" distB="0" distL="0" distR="0" wp14:anchorId="013A3A80" wp14:editId="33D2529C">
            <wp:extent cx="5760000" cy="5760000"/>
            <wp:effectExtent l="0" t="0" r="0" b="0"/>
            <wp:docPr id="7225" name="Picture 7225" descr="Panel of boxplots for the  parameters sampled at the Tully sites in the current wet season compared to all data sampled since 2005-06 wet season. In the boxplot bold line stands for median, rectangles are for the 25th and 75th percentiles and vertical line for 5th and 95th percentile. The p-value is from a Kruskal-Wallis Rank Sum test among plume water types. Dots represent data points (nudge was added for data visualisation) and red dashed line stands for the water quality guidelines for open coastal waters. Plume water type 1, 2 and 3 stands for Primary, Secondary and Tertiary, respectively." title="Figure 5 34: Boxplot for the  parameters sampled at the Tully sites in the current wet season compared to all data sampled since 2005-06 wet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9"/>
                    <a:stretch>
                      <a:fillRect/>
                    </a:stretch>
                  </pic:blipFill>
                  <pic:spPr>
                    <a:xfrm>
                      <a:off x="0" y="0"/>
                      <a:ext cx="5760000" cy="5760000"/>
                    </a:xfrm>
                    <a:prstGeom prst="rect">
                      <a:avLst/>
                    </a:prstGeom>
                  </pic:spPr>
                </pic:pic>
              </a:graphicData>
            </a:graphic>
          </wp:inline>
        </w:drawing>
      </w:r>
    </w:p>
    <w:p w14:paraId="2784333D" w14:textId="7F4E1B01" w:rsidR="00B437C6" w:rsidRDefault="00B437C6" w:rsidP="004A5BF7">
      <w:pPr>
        <w:pStyle w:val="Caption"/>
        <w:rPr>
          <w:lang w:val="en-AU"/>
        </w:rPr>
      </w:pPr>
      <w:bookmarkStart w:id="1238" w:name="_Ref461194668"/>
      <w:bookmarkStart w:id="1239" w:name="_Toc459332392"/>
      <w:r w:rsidRPr="00BF71A8">
        <w:rPr>
          <w:lang w:val="en-AU"/>
        </w:rPr>
        <w:t xml:space="preserve">Figure </w:t>
      </w:r>
      <w:r w:rsidR="00C62884">
        <w:rPr>
          <w:lang w:val="en-AU"/>
        </w:rPr>
        <w:fldChar w:fldCharType="begin"/>
      </w:r>
      <w:r w:rsidR="00C62884">
        <w:rPr>
          <w:lang w:val="en-AU"/>
        </w:rPr>
        <w:instrText xml:space="preserve"> STYLEREF 1 \s </w:instrText>
      </w:r>
      <w:r w:rsidR="00C62884">
        <w:rPr>
          <w:lang w:val="en-AU"/>
        </w:rPr>
        <w:fldChar w:fldCharType="separate"/>
      </w:r>
      <w:r w:rsidR="007F5336">
        <w:rPr>
          <w:noProof/>
          <w:lang w:val="en-AU"/>
        </w:rPr>
        <w:t>5</w:t>
      </w:r>
      <w:r w:rsidR="00C62884">
        <w:rPr>
          <w:lang w:val="en-AU"/>
        </w:rPr>
        <w:fldChar w:fldCharType="end"/>
      </w:r>
      <w:r w:rsidR="00C62884">
        <w:rPr>
          <w:lang w:val="en-AU"/>
        </w:rPr>
        <w:noBreakHyphen/>
      </w:r>
      <w:r w:rsidR="00C62884">
        <w:rPr>
          <w:lang w:val="en-AU"/>
        </w:rPr>
        <w:fldChar w:fldCharType="begin"/>
      </w:r>
      <w:r w:rsidR="00C62884">
        <w:rPr>
          <w:lang w:val="en-AU"/>
        </w:rPr>
        <w:instrText xml:space="preserve"> SEQ Figure \* ARABIC \s 1 </w:instrText>
      </w:r>
      <w:r w:rsidR="00C62884">
        <w:rPr>
          <w:lang w:val="en-AU"/>
        </w:rPr>
        <w:fldChar w:fldCharType="separate"/>
      </w:r>
      <w:r w:rsidR="007F5336">
        <w:rPr>
          <w:noProof/>
          <w:lang w:val="en-AU"/>
        </w:rPr>
        <w:t>34</w:t>
      </w:r>
      <w:r w:rsidR="00C62884">
        <w:rPr>
          <w:lang w:val="en-AU"/>
        </w:rPr>
        <w:fldChar w:fldCharType="end"/>
      </w:r>
      <w:bookmarkEnd w:id="1238"/>
      <w:r w:rsidRPr="00BF71A8">
        <w:rPr>
          <w:lang w:val="en-AU"/>
        </w:rPr>
        <w:t xml:space="preserve">: </w:t>
      </w:r>
      <w:r>
        <w:rPr>
          <w:lang w:val="en-AU"/>
        </w:rPr>
        <w:t>Boxplot for the  parameters sampled at the Tully sites in the current wet season compared to all data sampled since 2005-06 wet season. In the boxplot bold line stands for median, rectangles are for the 25</w:t>
      </w:r>
      <w:r w:rsidRPr="009C3D19">
        <w:rPr>
          <w:vertAlign w:val="superscript"/>
          <w:lang w:val="en-AU"/>
        </w:rPr>
        <w:t>th</w:t>
      </w:r>
      <w:r>
        <w:rPr>
          <w:lang w:val="en-AU"/>
        </w:rPr>
        <w:t xml:space="preserve"> and 75</w:t>
      </w:r>
      <w:r w:rsidRPr="009C3D19">
        <w:rPr>
          <w:vertAlign w:val="superscript"/>
          <w:lang w:val="en-AU"/>
        </w:rPr>
        <w:t>th</w:t>
      </w:r>
      <w:r>
        <w:rPr>
          <w:lang w:val="en-AU"/>
        </w:rPr>
        <w:t xml:space="preserve"> percentiles and vertical line for 5</w:t>
      </w:r>
      <w:r w:rsidRPr="009C3D19">
        <w:rPr>
          <w:vertAlign w:val="superscript"/>
          <w:lang w:val="en-AU"/>
        </w:rPr>
        <w:t>th</w:t>
      </w:r>
      <w:r>
        <w:rPr>
          <w:lang w:val="en-AU"/>
        </w:rPr>
        <w:t xml:space="preserve"> and 95</w:t>
      </w:r>
      <w:r w:rsidRPr="009C3D19">
        <w:rPr>
          <w:vertAlign w:val="superscript"/>
          <w:lang w:val="en-AU"/>
        </w:rPr>
        <w:t>th</w:t>
      </w:r>
      <w:r>
        <w:rPr>
          <w:lang w:val="en-AU"/>
        </w:rPr>
        <w:t xml:space="preserve"> percentile. The p-value is from a </w:t>
      </w:r>
      <w:r w:rsidRPr="009F5ABF">
        <w:rPr>
          <w:lang w:val="en-AU"/>
        </w:rPr>
        <w:t xml:space="preserve">Kruskal-Wallis Rank Sum </w:t>
      </w:r>
      <w:r>
        <w:rPr>
          <w:lang w:val="en-AU"/>
        </w:rPr>
        <w:t>test among plume water types. Dots represent data points (nudge was added for data visualisation) and red dashed line stands for the water quality guidelines for open coastal waters. Plume water type 1, 2 and 3 stands for Primary, Secondary and Tertiary, respectively.</w:t>
      </w:r>
      <w:bookmarkEnd w:id="1239"/>
    </w:p>
    <w:bookmarkEnd w:id="1219"/>
    <w:p w14:paraId="5F22F2A5" w14:textId="03E4C594" w:rsidR="00B10B99" w:rsidRDefault="00B10B99" w:rsidP="004A5BF7">
      <w:pPr>
        <w:rPr>
          <w:rFonts w:eastAsia="SimSun" w:cs="Arial"/>
          <w:b/>
          <w:sz w:val="24"/>
          <w:szCs w:val="24"/>
          <w:lang w:val="en-AU"/>
        </w:rPr>
      </w:pPr>
    </w:p>
    <w:p w14:paraId="5F22F2A6" w14:textId="15CF8853" w:rsidR="004A6A2C" w:rsidRPr="004A5BF7" w:rsidRDefault="008617A0" w:rsidP="004A5BF7">
      <w:pPr>
        <w:pStyle w:val="Heading30"/>
        <w:numPr>
          <w:ilvl w:val="2"/>
          <w:numId w:val="42"/>
        </w:numPr>
        <w:rPr>
          <w:rStyle w:val="Heading20"/>
        </w:rPr>
      </w:pPr>
      <w:r w:rsidRPr="004A5BF7">
        <w:rPr>
          <w:rStyle w:val="Heading20"/>
        </w:rPr>
        <w:tab/>
      </w:r>
      <w:bookmarkStart w:id="1240" w:name="_Toc462307454"/>
      <w:r w:rsidR="004A6A2C" w:rsidRPr="004A5BF7">
        <w:rPr>
          <w:rStyle w:val="Heading20"/>
        </w:rPr>
        <w:t xml:space="preserve">Burdekin </w:t>
      </w:r>
      <w:r w:rsidR="00EE2F27" w:rsidRPr="004A5BF7">
        <w:rPr>
          <w:rStyle w:val="Heading20"/>
        </w:rPr>
        <w:t>focus</w:t>
      </w:r>
      <w:r w:rsidR="00B437C6">
        <w:rPr>
          <w:rStyle w:val="Heading20"/>
        </w:rPr>
        <w:t xml:space="preserve"> area</w:t>
      </w:r>
      <w:bookmarkEnd w:id="1240"/>
    </w:p>
    <w:p w14:paraId="5F22F2A7" w14:textId="77777777" w:rsidR="00DA2814" w:rsidRPr="00A145B6" w:rsidRDefault="00DA2814" w:rsidP="00164E5E">
      <w:pPr>
        <w:pStyle w:val="Heading4"/>
      </w:pPr>
      <w:r w:rsidRPr="00A145B6">
        <w:t>Overview</w:t>
      </w:r>
    </w:p>
    <w:p w14:paraId="5F22F2AB" w14:textId="088B9D45" w:rsidR="00717139" w:rsidRPr="007A1A6E" w:rsidRDefault="001D5D20" w:rsidP="008645FA">
      <w:pPr>
        <w:rPr>
          <w:rFonts w:cs="Arial"/>
          <w:szCs w:val="22"/>
          <w:lang w:val="en-AU"/>
        </w:rPr>
      </w:pPr>
      <w:r w:rsidRPr="00A145B6">
        <w:rPr>
          <w:lang w:val="en-AU"/>
        </w:rPr>
        <w:t xml:space="preserve">The Burdekin </w:t>
      </w:r>
      <w:r w:rsidR="00B437C6">
        <w:rPr>
          <w:lang w:val="en-AU"/>
        </w:rPr>
        <w:t>region</w:t>
      </w:r>
      <w:r w:rsidRPr="00A145B6">
        <w:rPr>
          <w:lang w:val="en-AU"/>
        </w:rPr>
        <w:t xml:space="preserve"> is one of the two large dry tropical catchment regions adjacent to the GBR, with cattle grazing as the primary land use on over 95% of the catchment area (</w:t>
      </w:r>
      <w:r>
        <w:rPr>
          <w:lang w:val="en-AU"/>
        </w:rPr>
        <w:t>NQDT, 2016</w:t>
      </w:r>
      <w:r w:rsidRPr="00A145B6">
        <w:rPr>
          <w:lang w:val="en-AU"/>
        </w:rPr>
        <w:t xml:space="preserve">). There is also </w:t>
      </w:r>
      <w:r>
        <w:rPr>
          <w:lang w:val="en-AU"/>
        </w:rPr>
        <w:t>intensive</w:t>
      </w:r>
      <w:r w:rsidRPr="00A145B6">
        <w:rPr>
          <w:lang w:val="en-AU"/>
        </w:rPr>
        <w:t xml:space="preserve"> irrigated sugarcane on the floodplains of the Burdekin and Haughton </w:t>
      </w:r>
      <w:r>
        <w:rPr>
          <w:lang w:val="en-AU"/>
        </w:rPr>
        <w:t>R</w:t>
      </w:r>
      <w:r w:rsidRPr="00A145B6">
        <w:rPr>
          <w:lang w:val="en-AU"/>
        </w:rPr>
        <w:t xml:space="preserve">ivers. Fluctuations in climate and cattle numbers greatly affect the state and nature of vegetation cover, and, therefore, the susceptibility of soils to erosion and off-site transport of suspended sediments and associated nutrients. </w:t>
      </w:r>
      <w:r w:rsidR="008645FA" w:rsidRPr="00416C81">
        <w:rPr>
          <w:rFonts w:cs="Arial"/>
          <w:szCs w:val="22"/>
          <w:lang w:val="en-AU"/>
        </w:rPr>
        <w:t>Three</w:t>
      </w:r>
      <w:r w:rsidR="008645FA" w:rsidRPr="00416C81">
        <w:rPr>
          <w:szCs w:val="22"/>
          <w:lang w:val="en-AU"/>
        </w:rPr>
        <w:t xml:space="preserve"> stations were sampled</w:t>
      </w:r>
      <w:r>
        <w:rPr>
          <w:szCs w:val="22"/>
          <w:lang w:val="en-AU"/>
        </w:rPr>
        <w:t xml:space="preserve"> in the Burdekin </w:t>
      </w:r>
      <w:r w:rsidR="00B437C6">
        <w:rPr>
          <w:szCs w:val="22"/>
          <w:lang w:val="en-AU"/>
        </w:rPr>
        <w:t>focus area</w:t>
      </w:r>
      <w:r w:rsidR="008645FA" w:rsidRPr="00416C81">
        <w:rPr>
          <w:szCs w:val="22"/>
          <w:lang w:val="en-AU"/>
        </w:rPr>
        <w:t xml:space="preserve"> three times per year until the end of 2014</w:t>
      </w:r>
      <w:r w:rsidR="008645FA" w:rsidRPr="00416C81">
        <w:rPr>
          <w:rFonts w:cs="Arial"/>
          <w:szCs w:val="22"/>
          <w:lang w:val="en-AU"/>
        </w:rPr>
        <w:t xml:space="preserve">. </w:t>
      </w:r>
      <w:r w:rsidR="00B437C6">
        <w:rPr>
          <w:rFonts w:cs="Arial"/>
          <w:szCs w:val="22"/>
          <w:lang w:val="en-AU"/>
        </w:rPr>
        <w:t>T</w:t>
      </w:r>
      <w:r w:rsidR="008645FA" w:rsidRPr="00416C81">
        <w:rPr>
          <w:rFonts w:cs="Arial"/>
          <w:szCs w:val="22"/>
          <w:lang w:val="en-AU"/>
        </w:rPr>
        <w:t xml:space="preserve">he new </w:t>
      </w:r>
      <w:r w:rsidR="008645FA" w:rsidRPr="00416C81">
        <w:rPr>
          <w:szCs w:val="22"/>
          <w:lang w:val="en-AU"/>
        </w:rPr>
        <w:t xml:space="preserve">MMP water quality sampling </w:t>
      </w:r>
      <w:r w:rsidR="00416C81" w:rsidRPr="00416C81">
        <w:rPr>
          <w:szCs w:val="22"/>
          <w:lang w:val="en-AU"/>
        </w:rPr>
        <w:t>design</w:t>
      </w:r>
      <w:r w:rsidR="00416C81" w:rsidRPr="00416C81">
        <w:rPr>
          <w:rFonts w:cs="Arial"/>
          <w:szCs w:val="22"/>
          <w:lang w:val="en-AU"/>
        </w:rPr>
        <w:t xml:space="preserve"> in</w:t>
      </w:r>
      <w:r w:rsidR="008645FA" w:rsidRPr="00416C81">
        <w:rPr>
          <w:rFonts w:cs="Arial"/>
          <w:szCs w:val="22"/>
          <w:lang w:val="en-AU"/>
        </w:rPr>
        <w:t xml:space="preserve"> 2015</w:t>
      </w:r>
      <w:r w:rsidR="00D60413">
        <w:rPr>
          <w:rFonts w:cs="Arial"/>
          <w:szCs w:val="22"/>
          <w:lang w:val="en-AU"/>
        </w:rPr>
        <w:t xml:space="preserve"> now</w:t>
      </w:r>
      <w:r w:rsidR="008645FA" w:rsidRPr="00416C81">
        <w:rPr>
          <w:rFonts w:cs="Arial"/>
          <w:szCs w:val="22"/>
          <w:lang w:val="en-AU"/>
        </w:rPr>
        <w:t xml:space="preserve"> </w:t>
      </w:r>
      <w:r w:rsidR="00B437C6">
        <w:rPr>
          <w:rFonts w:cs="Arial"/>
          <w:szCs w:val="22"/>
          <w:lang w:val="en-AU"/>
        </w:rPr>
        <w:t xml:space="preserve">includes </w:t>
      </w:r>
      <w:r w:rsidR="008645FA" w:rsidRPr="00416C81">
        <w:rPr>
          <w:rFonts w:cs="Arial"/>
          <w:szCs w:val="22"/>
          <w:lang w:val="en-AU"/>
        </w:rPr>
        <w:t xml:space="preserve">15 stations </w:t>
      </w:r>
      <w:r w:rsidR="00D60413">
        <w:rPr>
          <w:rFonts w:cs="Arial"/>
          <w:szCs w:val="22"/>
          <w:lang w:val="en-AU"/>
        </w:rPr>
        <w:t>that</w:t>
      </w:r>
      <w:r w:rsidR="00D60413" w:rsidRPr="00416C81">
        <w:rPr>
          <w:rFonts w:cs="Arial"/>
          <w:szCs w:val="22"/>
          <w:lang w:val="en-AU"/>
        </w:rPr>
        <w:t xml:space="preserve"> </w:t>
      </w:r>
      <w:r w:rsidR="008645FA" w:rsidRPr="00416C81">
        <w:rPr>
          <w:rFonts w:cs="Arial"/>
          <w:szCs w:val="22"/>
          <w:lang w:val="en-AU"/>
        </w:rPr>
        <w:t>are sampled up to nine times per year, with six stations sampled during both the dry and wet season and nine only during the wet season (</w:t>
      </w:r>
      <w:r w:rsidR="00B437C6">
        <w:rPr>
          <w:rFonts w:cs="Arial"/>
          <w:szCs w:val="22"/>
          <w:lang w:val="en-AU"/>
        </w:rPr>
        <w:fldChar w:fldCharType="begin"/>
      </w:r>
      <w:r w:rsidR="00B437C6">
        <w:rPr>
          <w:rFonts w:cs="Arial"/>
          <w:szCs w:val="22"/>
          <w:lang w:val="en-AU"/>
        </w:rPr>
        <w:instrText xml:space="preserve"> REF _Ref459146094 \h </w:instrText>
      </w:r>
      <w:r w:rsidR="00B437C6">
        <w:rPr>
          <w:rFonts w:cs="Arial"/>
          <w:szCs w:val="22"/>
          <w:lang w:val="en-AU"/>
        </w:rPr>
      </w:r>
      <w:r w:rsidR="00B437C6">
        <w:rPr>
          <w:rFonts w:cs="Arial"/>
          <w:szCs w:val="22"/>
          <w:lang w:val="en-AU"/>
        </w:rPr>
        <w:fldChar w:fldCharType="separate"/>
      </w:r>
      <w:r w:rsidR="007F5336" w:rsidRPr="00EC46B4">
        <w:t xml:space="preserve">Table </w:t>
      </w:r>
      <w:r w:rsidR="007F5336">
        <w:rPr>
          <w:noProof/>
        </w:rPr>
        <w:t>4</w:t>
      </w:r>
      <w:r w:rsidR="007F5336">
        <w:noBreakHyphen/>
      </w:r>
      <w:r w:rsidR="007F5336">
        <w:rPr>
          <w:noProof/>
        </w:rPr>
        <w:t>1</w:t>
      </w:r>
      <w:r w:rsidR="00B437C6">
        <w:rPr>
          <w:rFonts w:cs="Arial"/>
          <w:szCs w:val="22"/>
          <w:lang w:val="en-AU"/>
        </w:rPr>
        <w:fldChar w:fldCharType="end"/>
      </w:r>
      <w:r w:rsidR="008645FA" w:rsidRPr="00416C81">
        <w:rPr>
          <w:rFonts w:cs="Arial"/>
          <w:szCs w:val="22"/>
          <w:lang w:val="en-AU"/>
        </w:rPr>
        <w:t xml:space="preserve">). The sampling locations in this new design are </w:t>
      </w:r>
      <w:r>
        <w:rPr>
          <w:rFonts w:cs="Arial"/>
          <w:szCs w:val="22"/>
          <w:lang w:val="en-AU"/>
        </w:rPr>
        <w:t>located</w:t>
      </w:r>
      <w:r w:rsidRPr="00416C81">
        <w:rPr>
          <w:rFonts w:cs="Arial"/>
          <w:szCs w:val="22"/>
          <w:lang w:val="en-AU"/>
        </w:rPr>
        <w:t xml:space="preserve"> </w:t>
      </w:r>
      <w:r w:rsidR="008645FA" w:rsidRPr="00416C81">
        <w:rPr>
          <w:rFonts w:cs="Arial"/>
          <w:szCs w:val="22"/>
          <w:lang w:val="en-AU"/>
        </w:rPr>
        <w:t xml:space="preserve">in a river </w:t>
      </w:r>
      <w:r>
        <w:rPr>
          <w:rFonts w:cs="Arial"/>
          <w:szCs w:val="22"/>
          <w:lang w:val="en-AU"/>
        </w:rPr>
        <w:t xml:space="preserve">mouth </w:t>
      </w:r>
      <w:r w:rsidR="008645FA" w:rsidRPr="00416C81">
        <w:rPr>
          <w:rFonts w:cs="Arial"/>
          <w:szCs w:val="22"/>
          <w:lang w:val="en-AU"/>
        </w:rPr>
        <w:t xml:space="preserve">to open coastal water transect representing a gradient in water quality, with </w:t>
      </w:r>
      <w:r>
        <w:rPr>
          <w:rFonts w:cs="Arial"/>
          <w:szCs w:val="22"/>
          <w:lang w:val="en-AU"/>
        </w:rPr>
        <w:t xml:space="preserve">ten </w:t>
      </w:r>
      <w:r w:rsidR="008645FA" w:rsidRPr="00416C81">
        <w:rPr>
          <w:rFonts w:cs="Arial"/>
          <w:szCs w:val="22"/>
          <w:lang w:val="en-AU"/>
        </w:rPr>
        <w:t xml:space="preserve">stations </w:t>
      </w:r>
      <w:r>
        <w:rPr>
          <w:rFonts w:cs="Arial"/>
          <w:szCs w:val="22"/>
          <w:lang w:val="en-AU"/>
        </w:rPr>
        <w:t>dominantly</w:t>
      </w:r>
      <w:r w:rsidRPr="00416C81">
        <w:rPr>
          <w:rFonts w:cs="Arial"/>
          <w:szCs w:val="22"/>
          <w:lang w:val="en-AU"/>
        </w:rPr>
        <w:t xml:space="preserve"> </w:t>
      </w:r>
      <w:r w:rsidR="008645FA" w:rsidRPr="00416C81">
        <w:rPr>
          <w:rFonts w:cs="Arial"/>
          <w:szCs w:val="22"/>
          <w:lang w:val="en-AU"/>
        </w:rPr>
        <w:t xml:space="preserve">affected </w:t>
      </w:r>
      <w:r>
        <w:rPr>
          <w:rFonts w:cs="Arial"/>
          <w:szCs w:val="22"/>
          <w:lang w:val="en-AU"/>
        </w:rPr>
        <w:t>by P</w:t>
      </w:r>
      <w:r w:rsidR="008645FA" w:rsidRPr="00416C81">
        <w:rPr>
          <w:lang w:val="en-AU"/>
        </w:rPr>
        <w:t xml:space="preserve">rimary and </w:t>
      </w:r>
      <w:r>
        <w:rPr>
          <w:lang w:val="en-AU"/>
        </w:rPr>
        <w:t>S</w:t>
      </w:r>
      <w:r w:rsidR="008645FA" w:rsidRPr="00416C81">
        <w:rPr>
          <w:lang w:val="en-AU"/>
        </w:rPr>
        <w:t>econdary plume</w:t>
      </w:r>
      <w:r>
        <w:rPr>
          <w:lang w:val="en-AU"/>
        </w:rPr>
        <w:t xml:space="preserve"> water </w:t>
      </w:r>
      <w:r w:rsidR="008645FA" w:rsidRPr="00416C81">
        <w:rPr>
          <w:lang w:val="en-AU"/>
        </w:rPr>
        <w:t>type</w:t>
      </w:r>
      <w:r>
        <w:rPr>
          <w:lang w:val="en-AU"/>
        </w:rPr>
        <w:t>s</w:t>
      </w:r>
      <w:r w:rsidR="008645FA" w:rsidRPr="00416C81">
        <w:rPr>
          <w:lang w:val="en-AU"/>
        </w:rPr>
        <w:t xml:space="preserve">, </w:t>
      </w:r>
      <w:r>
        <w:rPr>
          <w:lang w:val="en-AU"/>
        </w:rPr>
        <w:t>and five stations</w:t>
      </w:r>
      <w:r w:rsidRPr="00416C81">
        <w:rPr>
          <w:lang w:val="en-AU"/>
        </w:rPr>
        <w:t xml:space="preserve"> </w:t>
      </w:r>
      <w:r w:rsidR="008645FA" w:rsidRPr="00416C81">
        <w:rPr>
          <w:rFonts w:cs="Arial"/>
          <w:szCs w:val="22"/>
          <w:lang w:val="en-AU"/>
        </w:rPr>
        <w:t>located in the mid</w:t>
      </w:r>
      <w:r w:rsidR="00416C81">
        <w:rPr>
          <w:rFonts w:cs="Arial"/>
          <w:szCs w:val="22"/>
          <w:lang w:val="en-AU"/>
        </w:rPr>
        <w:t>-</w:t>
      </w:r>
      <w:r w:rsidR="008645FA" w:rsidRPr="00416C81">
        <w:rPr>
          <w:rFonts w:cs="Arial"/>
          <w:szCs w:val="22"/>
          <w:lang w:val="en-AU"/>
        </w:rPr>
        <w:t xml:space="preserve">shelf water body which is </w:t>
      </w:r>
      <w:r>
        <w:rPr>
          <w:rFonts w:cs="Arial"/>
          <w:szCs w:val="22"/>
          <w:lang w:val="en-AU"/>
        </w:rPr>
        <w:t>less likely to be</w:t>
      </w:r>
      <w:r w:rsidRPr="00416C81">
        <w:rPr>
          <w:rFonts w:cs="Arial"/>
          <w:szCs w:val="22"/>
          <w:lang w:val="en-AU"/>
        </w:rPr>
        <w:t xml:space="preserve"> </w:t>
      </w:r>
      <w:r w:rsidR="008645FA" w:rsidRPr="00416C81">
        <w:rPr>
          <w:rFonts w:cs="Arial"/>
          <w:szCs w:val="22"/>
          <w:lang w:val="en-AU"/>
        </w:rPr>
        <w:t xml:space="preserve">exposed to </w:t>
      </w:r>
      <w:r>
        <w:rPr>
          <w:rFonts w:cs="Arial"/>
          <w:szCs w:val="22"/>
          <w:lang w:val="en-AU"/>
        </w:rPr>
        <w:t>the S</w:t>
      </w:r>
      <w:r w:rsidRPr="00416C81">
        <w:rPr>
          <w:rFonts w:cs="Arial"/>
          <w:szCs w:val="22"/>
          <w:lang w:val="en-AU"/>
        </w:rPr>
        <w:t xml:space="preserve">econdary </w:t>
      </w:r>
      <w:r w:rsidR="008645FA" w:rsidRPr="00416C81">
        <w:rPr>
          <w:rFonts w:cs="Arial"/>
          <w:szCs w:val="22"/>
          <w:lang w:val="en-AU"/>
        </w:rPr>
        <w:t>plume</w:t>
      </w:r>
      <w:r w:rsidR="0086463D">
        <w:rPr>
          <w:rFonts w:cs="Arial"/>
          <w:szCs w:val="22"/>
          <w:lang w:val="en-AU"/>
        </w:rPr>
        <w:t xml:space="preserve"> </w:t>
      </w:r>
      <w:r w:rsidR="008645FA" w:rsidRPr="00416C81">
        <w:rPr>
          <w:rFonts w:cs="Arial"/>
          <w:szCs w:val="22"/>
          <w:lang w:val="en-AU"/>
        </w:rPr>
        <w:t xml:space="preserve">water </w:t>
      </w:r>
      <w:r>
        <w:rPr>
          <w:rFonts w:cs="Arial"/>
          <w:szCs w:val="22"/>
          <w:lang w:val="en-AU"/>
        </w:rPr>
        <w:t xml:space="preserve">type </w:t>
      </w:r>
      <w:r w:rsidR="008645FA" w:rsidRPr="00416C81">
        <w:rPr>
          <w:rFonts w:cs="Arial"/>
          <w:szCs w:val="22"/>
          <w:lang w:val="en-AU"/>
        </w:rPr>
        <w:t>(</w:t>
      </w:r>
      <w:r w:rsidR="0086463D">
        <w:rPr>
          <w:rFonts w:cs="Arial"/>
          <w:szCs w:val="22"/>
          <w:lang w:val="en-AU"/>
        </w:rPr>
        <w:fldChar w:fldCharType="begin"/>
      </w:r>
      <w:r w:rsidR="0086463D">
        <w:rPr>
          <w:rFonts w:cs="Arial"/>
          <w:szCs w:val="22"/>
          <w:lang w:val="en-AU"/>
        </w:rPr>
        <w:instrText xml:space="preserve"> REF _Ref459152329 \h </w:instrText>
      </w:r>
      <w:r w:rsidR="0086463D">
        <w:rPr>
          <w:rFonts w:cs="Arial"/>
          <w:szCs w:val="22"/>
          <w:lang w:val="en-AU"/>
        </w:rPr>
      </w:r>
      <w:r w:rsidR="0086463D">
        <w:rPr>
          <w:rFonts w:cs="Arial"/>
          <w:szCs w:val="22"/>
          <w:lang w:val="en-AU"/>
        </w:rPr>
        <w:fldChar w:fldCharType="separate"/>
      </w:r>
      <w:r w:rsidR="007F5336" w:rsidRPr="007A1A6E">
        <w:t xml:space="preserve">Figure </w:t>
      </w:r>
      <w:r w:rsidR="007F5336">
        <w:rPr>
          <w:noProof/>
        </w:rPr>
        <w:t>5</w:t>
      </w:r>
      <w:r w:rsidR="007F5336">
        <w:noBreakHyphen/>
      </w:r>
      <w:r w:rsidR="007F5336">
        <w:rPr>
          <w:noProof/>
        </w:rPr>
        <w:t>35</w:t>
      </w:r>
      <w:r w:rsidR="0086463D">
        <w:rPr>
          <w:rFonts w:cs="Arial"/>
          <w:szCs w:val="22"/>
          <w:lang w:val="en-AU"/>
        </w:rPr>
        <w:fldChar w:fldCharType="end"/>
      </w:r>
      <w:r w:rsidR="008645FA" w:rsidRPr="00A145B6">
        <w:rPr>
          <w:rFonts w:cs="Arial"/>
          <w:szCs w:val="22"/>
          <w:lang w:val="en-AU"/>
        </w:rPr>
        <w:t>)</w:t>
      </w:r>
      <w:r w:rsidR="008645FA" w:rsidRPr="007A1A6E">
        <w:rPr>
          <w:rFonts w:cs="Arial"/>
          <w:szCs w:val="22"/>
          <w:lang w:val="en-AU"/>
        </w:rPr>
        <w:t>.</w:t>
      </w:r>
    </w:p>
    <w:p w14:paraId="5F22F2AC" w14:textId="72EF7DF9" w:rsidR="00290C63" w:rsidRPr="007A1A6E" w:rsidRDefault="00290C63" w:rsidP="00290C63">
      <w:pPr>
        <w:spacing w:before="5" w:after="5"/>
        <w:ind w:left="5" w:right="5"/>
        <w:jc w:val="center"/>
        <w:rPr>
          <w:color w:val="0070C0"/>
          <w:lang w:val="en-AU"/>
        </w:rPr>
      </w:pPr>
    </w:p>
    <w:p w14:paraId="5F22F2AE" w14:textId="7A8B8832" w:rsidR="00540044" w:rsidRPr="00544893" w:rsidRDefault="008D7AEE" w:rsidP="0046312F">
      <w:pPr>
        <w:pStyle w:val="Caption"/>
        <w:rPr>
          <w:rStyle w:val="IntenseReference"/>
        </w:rPr>
      </w:pPr>
      <w:bookmarkStart w:id="1241" w:name="_Toc459332393"/>
      <w:bookmarkStart w:id="1242" w:name="_Toc436913489"/>
      <w:r>
        <w:rPr>
          <w:noProof/>
          <w:lang w:val="en-AU" w:eastAsia="en-AU"/>
        </w:rPr>
        <w:drawing>
          <wp:anchor distT="0" distB="0" distL="114300" distR="114300" simplePos="0" relativeHeight="251656704" behindDoc="0" locked="0" layoutInCell="1" allowOverlap="1" wp14:anchorId="4C556008" wp14:editId="0D613828">
            <wp:simplePos x="0" y="0"/>
            <wp:positionH relativeFrom="column">
              <wp:posOffset>0</wp:posOffset>
            </wp:positionH>
            <wp:positionV relativeFrom="paragraph">
              <wp:posOffset>73025</wp:posOffset>
            </wp:positionV>
            <wp:extent cx="5731510" cy="4053840"/>
            <wp:effectExtent l="0" t="0" r="2540" b="3810"/>
            <wp:wrapTopAndBottom/>
            <wp:docPr id="7206" name="Picture 7206" descr="Panel of 2 maps  showing MMP sampling sites in the Burdekin focus area shown with (left) wet season plume frequency 2003 to 2015 (Primary + Secondary; where 1.0 represents 22 weeks, December to March) and (right) the water body boundaries" title="Figure 5 35: MMP sampling sites in the Burdekin focus area shown with (left) wet season plume frequency 2003 to 2015 (Primary + Secondary; where 1.0 represents 22 weeks, December to March) and (right) the water body bounda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_Site_maps_Burdekin_v2.jpg"/>
                    <pic:cNvPicPr/>
                  </pic:nvPicPr>
                  <pic:blipFill>
                    <a:blip r:embed="rId350">
                      <a:extLst>
                        <a:ext uri="{28A0092B-C50C-407E-A947-70E740481C1C}">
                          <a14:useLocalDpi xmlns:a14="http://schemas.microsoft.com/office/drawing/2010/main" val="0"/>
                        </a:ext>
                      </a:extLst>
                    </a:blip>
                    <a:stretch>
                      <a:fillRect/>
                    </a:stretch>
                  </pic:blipFill>
                  <pic:spPr>
                    <a:xfrm>
                      <a:off x="0" y="0"/>
                      <a:ext cx="5731510" cy="4053840"/>
                    </a:xfrm>
                    <a:prstGeom prst="rect">
                      <a:avLst/>
                    </a:prstGeom>
                  </pic:spPr>
                </pic:pic>
              </a:graphicData>
            </a:graphic>
            <wp14:sizeRelH relativeFrom="page">
              <wp14:pctWidth>0</wp14:pctWidth>
            </wp14:sizeRelH>
            <wp14:sizeRelV relativeFrom="page">
              <wp14:pctHeight>0</wp14:pctHeight>
            </wp14:sizeRelV>
          </wp:anchor>
        </w:drawing>
      </w:r>
      <w:bookmarkStart w:id="1243" w:name="_Ref459152329"/>
      <w:r w:rsidR="005A6D5D" w:rsidRPr="007A1A6E">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35</w:t>
      </w:r>
      <w:r w:rsidR="00C62884">
        <w:fldChar w:fldCharType="end"/>
      </w:r>
      <w:bookmarkEnd w:id="1243"/>
      <w:r w:rsidR="00B43F3B">
        <w:t>:</w:t>
      </w:r>
      <w:r w:rsidR="00C6362A" w:rsidRPr="007A1A6E">
        <w:t xml:space="preserve"> </w:t>
      </w:r>
      <w:r w:rsidR="0004130F" w:rsidRPr="007A1A6E">
        <w:t>MMP sa</w:t>
      </w:r>
      <w:r w:rsidR="007A1A6E">
        <w:t>mpling sites in the Burdekin focus</w:t>
      </w:r>
      <w:r w:rsidR="0086463D">
        <w:t xml:space="preserve"> area</w:t>
      </w:r>
      <w:r w:rsidR="007A1A6E" w:rsidRPr="007A1A6E">
        <w:t xml:space="preserve"> shown with </w:t>
      </w:r>
      <w:r w:rsidRPr="00883BEF">
        <w:t>(left) wet season plume frequency 2003</w:t>
      </w:r>
      <w:r w:rsidR="0086463D">
        <w:t xml:space="preserve"> to </w:t>
      </w:r>
      <w:r w:rsidRPr="00883BEF">
        <w:t>2015 (Primary + Secondary; where 1.0 represents 22 weeks, December to March) and (right)</w:t>
      </w:r>
      <w:r>
        <w:t xml:space="preserve"> </w:t>
      </w:r>
      <w:r w:rsidR="007A1A6E" w:rsidRPr="007A1A6E">
        <w:t>the water body boundaries</w:t>
      </w:r>
      <w:r w:rsidR="001D5D20">
        <w:t>.</w:t>
      </w:r>
      <w:bookmarkEnd w:id="1241"/>
      <w:r w:rsidR="001D5D20">
        <w:t xml:space="preserve"> </w:t>
      </w:r>
      <w:bookmarkEnd w:id="1242"/>
    </w:p>
    <w:p w14:paraId="5F22F2AF" w14:textId="21D94A3F" w:rsidR="0043088B" w:rsidRPr="008467AA" w:rsidRDefault="001D5D20" w:rsidP="0043088B">
      <w:pPr>
        <w:rPr>
          <w:lang w:val="en-AU"/>
        </w:rPr>
      </w:pPr>
      <w:r w:rsidRPr="00416C81">
        <w:rPr>
          <w:rFonts w:eastAsia="Calibri"/>
          <w:lang w:val="en-AU"/>
        </w:rPr>
        <w:t xml:space="preserve">Rainfall for the Burdekin </w:t>
      </w:r>
      <w:r w:rsidR="0086463D">
        <w:rPr>
          <w:rFonts w:eastAsia="Calibri"/>
          <w:lang w:val="en-AU"/>
        </w:rPr>
        <w:t>Basin</w:t>
      </w:r>
      <w:r w:rsidRPr="00416C81">
        <w:rPr>
          <w:rFonts w:eastAsia="Calibri"/>
          <w:lang w:val="en-AU"/>
        </w:rPr>
        <w:t xml:space="preserve"> was very low </w:t>
      </w:r>
      <w:r w:rsidR="0086463D">
        <w:rPr>
          <w:rFonts w:eastAsia="Calibri"/>
          <w:lang w:val="en-AU"/>
        </w:rPr>
        <w:t xml:space="preserve">in 2014-15 </w:t>
      </w:r>
      <w:r w:rsidRPr="00416C81">
        <w:rPr>
          <w:rFonts w:eastAsia="Calibri"/>
          <w:lang w:val="en-AU"/>
        </w:rPr>
        <w:t>and below the long term average in all catchments. This is reflected in the substantively lower flow than the long term median in the Burdekin</w:t>
      </w:r>
      <w:r w:rsidR="0086463D">
        <w:rPr>
          <w:rFonts w:eastAsia="Calibri"/>
          <w:lang w:val="en-AU"/>
        </w:rPr>
        <w:t xml:space="preserve"> River</w:t>
      </w:r>
      <w:r w:rsidRPr="00416C81">
        <w:rPr>
          <w:rFonts w:eastAsia="Calibri"/>
          <w:lang w:val="en-AU"/>
        </w:rPr>
        <w:t xml:space="preserve"> (</w:t>
      </w:r>
      <w:r w:rsidR="0086463D">
        <w:rPr>
          <w:rFonts w:eastAsia="Calibri"/>
          <w:lang w:val="en-AU"/>
        </w:rPr>
        <w:fldChar w:fldCharType="begin"/>
      </w:r>
      <w:r w:rsidR="0086463D">
        <w:rPr>
          <w:rFonts w:eastAsia="Calibri"/>
          <w:lang w:val="en-AU"/>
        </w:rPr>
        <w:instrText xml:space="preserve"> REF _Ref459152412 \h </w:instrText>
      </w:r>
      <w:r w:rsidR="0086463D">
        <w:rPr>
          <w:rFonts w:eastAsia="Calibri"/>
          <w:lang w:val="en-AU"/>
        </w:rPr>
      </w:r>
      <w:r w:rsidR="0086463D">
        <w:rPr>
          <w:rFonts w:eastAsia="Calibri"/>
          <w:lang w:val="en-AU"/>
        </w:rPr>
        <w:fldChar w:fldCharType="separate"/>
      </w:r>
      <w:r w:rsidR="007F5336" w:rsidRPr="008467AA">
        <w:t xml:space="preserve">Figure </w:t>
      </w:r>
      <w:r w:rsidR="007F5336">
        <w:rPr>
          <w:noProof/>
        </w:rPr>
        <w:t>5</w:t>
      </w:r>
      <w:r w:rsidR="007F5336">
        <w:noBreakHyphen/>
      </w:r>
      <w:r w:rsidR="007F5336">
        <w:rPr>
          <w:noProof/>
        </w:rPr>
        <w:t>36</w:t>
      </w:r>
      <w:r w:rsidR="0086463D">
        <w:rPr>
          <w:rFonts w:eastAsia="Calibri"/>
          <w:lang w:val="en-AU"/>
        </w:rPr>
        <w:fldChar w:fldCharType="end"/>
      </w:r>
      <w:r w:rsidRPr="00416C81">
        <w:rPr>
          <w:rFonts w:eastAsia="Calibri"/>
          <w:lang w:val="en-AU"/>
        </w:rPr>
        <w:t>) with a total discharge of just under 1,000,000</w:t>
      </w:r>
      <w:r>
        <w:rPr>
          <w:rFonts w:eastAsia="Calibri"/>
          <w:lang w:val="en-AU"/>
        </w:rPr>
        <w:t xml:space="preserve"> ML</w:t>
      </w:r>
      <w:r w:rsidRPr="00416C81">
        <w:rPr>
          <w:rFonts w:eastAsia="Calibri"/>
          <w:lang w:val="en-AU"/>
        </w:rPr>
        <w:t xml:space="preserve"> over the total wet season.</w:t>
      </w:r>
      <w:r>
        <w:rPr>
          <w:rFonts w:eastAsia="Calibri"/>
          <w:lang w:val="en-AU"/>
        </w:rPr>
        <w:t xml:space="preserve"> </w:t>
      </w:r>
      <w:r w:rsidRPr="00416C81">
        <w:rPr>
          <w:rFonts w:eastAsia="Calibri"/>
          <w:lang w:val="en-AU"/>
        </w:rPr>
        <w:t>This contrasts substantively with the flow conditions between</w:t>
      </w:r>
      <w:r>
        <w:rPr>
          <w:rFonts w:eastAsia="Calibri"/>
          <w:lang w:val="en-AU"/>
        </w:rPr>
        <w:t xml:space="preserve"> </w:t>
      </w:r>
      <w:r w:rsidRPr="00416C81">
        <w:rPr>
          <w:rFonts w:eastAsia="Calibri"/>
          <w:lang w:val="en-AU"/>
        </w:rPr>
        <w:t>200</w:t>
      </w:r>
      <w:r>
        <w:rPr>
          <w:rFonts w:eastAsia="Calibri"/>
          <w:lang w:val="en-AU"/>
        </w:rPr>
        <w:t>7</w:t>
      </w:r>
      <w:r w:rsidRPr="00416C81">
        <w:rPr>
          <w:rFonts w:eastAsia="Calibri"/>
          <w:lang w:val="en-AU"/>
        </w:rPr>
        <w:t xml:space="preserve"> to 2012 (</w:t>
      </w:r>
      <w:r>
        <w:rPr>
          <w:rFonts w:eastAsia="Calibri"/>
          <w:lang w:val="en-AU"/>
        </w:rPr>
        <w:t>Table A2-1</w:t>
      </w:r>
      <w:r w:rsidRPr="00416C81">
        <w:rPr>
          <w:rFonts w:eastAsia="Calibri"/>
          <w:lang w:val="en-AU"/>
        </w:rPr>
        <w:t>)</w:t>
      </w:r>
      <w:r>
        <w:rPr>
          <w:rFonts w:eastAsia="Calibri"/>
          <w:lang w:val="en-AU"/>
        </w:rPr>
        <w:t xml:space="preserve"> when</w:t>
      </w:r>
      <w:r w:rsidR="008645FA" w:rsidRPr="008467AA">
        <w:rPr>
          <w:lang w:val="en-AU"/>
        </w:rPr>
        <w:t xml:space="preserve"> annual discharge from the Burdekin River was above median levels</w:t>
      </w:r>
      <w:r>
        <w:rPr>
          <w:lang w:val="en-AU"/>
        </w:rPr>
        <w:t>. B</w:t>
      </w:r>
      <w:r w:rsidR="008645FA" w:rsidRPr="008467AA">
        <w:rPr>
          <w:lang w:val="en-AU"/>
        </w:rPr>
        <w:t>elow the long-term median discharges were found in the later years (2013, 2014 and 2015) (</w:t>
      </w:r>
      <w:r w:rsidR="0086463D">
        <w:rPr>
          <w:lang w:val="en-AU"/>
        </w:rPr>
        <w:fldChar w:fldCharType="begin"/>
      </w:r>
      <w:r w:rsidR="0086463D">
        <w:rPr>
          <w:lang w:val="en-AU"/>
        </w:rPr>
        <w:instrText xml:space="preserve"> REF _Ref459152412 \h </w:instrText>
      </w:r>
      <w:r w:rsidR="0086463D">
        <w:rPr>
          <w:lang w:val="en-AU"/>
        </w:rPr>
      </w:r>
      <w:r w:rsidR="0086463D">
        <w:rPr>
          <w:lang w:val="en-AU"/>
        </w:rPr>
        <w:fldChar w:fldCharType="separate"/>
      </w:r>
      <w:r w:rsidR="007F5336" w:rsidRPr="008467AA">
        <w:t xml:space="preserve">Figure </w:t>
      </w:r>
      <w:r w:rsidR="007F5336">
        <w:rPr>
          <w:noProof/>
        </w:rPr>
        <w:t>5</w:t>
      </w:r>
      <w:r w:rsidR="007F5336">
        <w:noBreakHyphen/>
      </w:r>
      <w:r w:rsidR="007F5336">
        <w:rPr>
          <w:noProof/>
        </w:rPr>
        <w:t>36</w:t>
      </w:r>
      <w:r w:rsidR="0086463D">
        <w:rPr>
          <w:lang w:val="en-AU"/>
        </w:rPr>
        <w:fldChar w:fldCharType="end"/>
      </w:r>
      <w:r w:rsidR="008645FA" w:rsidRPr="008467AA">
        <w:rPr>
          <w:lang w:val="en-AU"/>
        </w:rPr>
        <w:t>). The 2011 flood was the third largest on record, at almost six times the long-term median discharge (Table A2-1).</w:t>
      </w:r>
    </w:p>
    <w:p w14:paraId="5F22F2B0" w14:textId="77777777" w:rsidR="0043088B" w:rsidRPr="008467AA" w:rsidRDefault="0043088B" w:rsidP="00AC55C9">
      <w:pPr>
        <w:rPr>
          <w:lang w:val="en-AU"/>
        </w:rPr>
      </w:pPr>
    </w:p>
    <w:p w14:paraId="5F22F2B1" w14:textId="77777777" w:rsidR="00290C63" w:rsidRPr="008467AA" w:rsidRDefault="00351938" w:rsidP="00290C63">
      <w:pPr>
        <w:spacing w:before="5" w:after="5"/>
        <w:ind w:left="5" w:right="5"/>
        <w:jc w:val="center"/>
        <w:rPr>
          <w:color w:val="0070C0"/>
          <w:lang w:val="en-AU"/>
        </w:rPr>
      </w:pPr>
      <w:r w:rsidRPr="0026385A">
        <w:rPr>
          <w:noProof/>
          <w:color w:val="0070C0"/>
          <w:lang w:val="en-AU" w:eastAsia="en-AU"/>
        </w:rPr>
        <w:drawing>
          <wp:inline distT="0" distB="0" distL="0" distR="0" wp14:anchorId="5F2323F3" wp14:editId="0EDD6E01">
            <wp:extent cx="5943600" cy="2286000"/>
            <wp:effectExtent l="0" t="0" r="0" b="0"/>
            <wp:docPr id="8" name="Picture 8" descr="Graph showing discharge for the Burdekin River.  Daily (blue) and annual (October to September, red) discharge shown. Red dashed line represents the long-term median annual discharge." title="Figure 5 36: Discharge for the Burdekin River.  Daily (blue) and annual (October to September, red) discharge show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lonborg\Desktop\MMP report 2014-15\Graphs 2014-2015\bkDischarge_Nosublabels.png"/>
                    <pic:cNvPicPr>
                      <a:picLocks noChangeAspect="1" noChangeArrowheads="1"/>
                    </pic:cNvPicPr>
                  </pic:nvPicPr>
                  <pic:blipFill>
                    <a:blip r:embed="rId351">
                      <a:extLst>
                        <a:ext uri="{28A0092B-C50C-407E-A947-70E740481C1C}">
                          <a14:useLocalDpi xmlns:a14="http://schemas.microsoft.com/office/drawing/2010/main" val="0"/>
                        </a:ext>
                      </a:extLst>
                    </a:blip>
                    <a:srcRect/>
                    <a:stretch>
                      <a:fillRect/>
                    </a:stretch>
                  </pic:blipFill>
                  <pic:spPr bwMode="auto">
                    <a:xfrm>
                      <a:off x="0" y="0"/>
                      <a:ext cx="5943600" cy="2286000"/>
                    </a:xfrm>
                    <a:prstGeom prst="rect">
                      <a:avLst/>
                    </a:prstGeom>
                    <a:noFill/>
                    <a:ln>
                      <a:noFill/>
                    </a:ln>
                  </pic:spPr>
                </pic:pic>
              </a:graphicData>
            </a:graphic>
          </wp:inline>
        </w:drawing>
      </w:r>
    </w:p>
    <w:p w14:paraId="5F22F2B3" w14:textId="5A811746" w:rsidR="00290C63" w:rsidRPr="00544893" w:rsidRDefault="005A6D5D" w:rsidP="00164E5E">
      <w:pPr>
        <w:pStyle w:val="Caption"/>
        <w:rPr>
          <w:rStyle w:val="IntenseReference"/>
        </w:rPr>
      </w:pPr>
      <w:bookmarkStart w:id="1244" w:name="_Ref459152412"/>
      <w:bookmarkStart w:id="1245" w:name="_Toc436913490"/>
      <w:bookmarkStart w:id="1246" w:name="_Toc459332394"/>
      <w:r w:rsidRPr="008467AA">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36</w:t>
      </w:r>
      <w:r w:rsidR="00C62884">
        <w:fldChar w:fldCharType="end"/>
      </w:r>
      <w:bookmarkEnd w:id="1244"/>
      <w:r w:rsidR="00B43F3B">
        <w:t>:</w:t>
      </w:r>
      <w:r w:rsidR="0043088B" w:rsidRPr="008467AA">
        <w:rPr>
          <w:szCs w:val="16"/>
        </w:rPr>
        <w:t xml:space="preserve"> </w:t>
      </w:r>
      <w:r w:rsidR="00CD689B" w:rsidRPr="008467AA">
        <w:t>Discharge for the Burdekin River.</w:t>
      </w:r>
      <w:r w:rsidR="001D5D20">
        <w:t xml:space="preserve"> </w:t>
      </w:r>
      <w:r w:rsidR="00CD689B" w:rsidRPr="008467AA">
        <w:t xml:space="preserve"> </w:t>
      </w:r>
      <w:r w:rsidR="00D82C30" w:rsidRPr="00544893">
        <w:rPr>
          <w:rStyle w:val="IntenseReference"/>
        </w:rPr>
        <w:t xml:space="preserve">Daily (blue) and annual (October to September, red) </w:t>
      </w:r>
      <w:r w:rsidR="00CD689B" w:rsidRPr="00544893">
        <w:rPr>
          <w:rStyle w:val="IntenseReference"/>
        </w:rPr>
        <w:t xml:space="preserve">discharge shown. </w:t>
      </w:r>
      <w:r w:rsidR="00D82C30" w:rsidRPr="00544893">
        <w:rPr>
          <w:rStyle w:val="IntenseReference"/>
        </w:rPr>
        <w:t>Red dashed line represents the long-term median annual discharge.</w:t>
      </w:r>
      <w:bookmarkEnd w:id="1245"/>
      <w:bookmarkEnd w:id="1246"/>
    </w:p>
    <w:p w14:paraId="54098490" w14:textId="36295394" w:rsidR="00E279D8" w:rsidRDefault="00E279D8" w:rsidP="00E279D8">
      <w:pPr>
        <w:rPr>
          <w:lang w:val="en-AU"/>
        </w:rPr>
      </w:pPr>
      <w:r>
        <w:rPr>
          <w:lang w:val="en-AU"/>
        </w:rPr>
        <w:t xml:space="preserve">The estimated zone of influence for the Burdekin River is </w:t>
      </w:r>
      <w:r w:rsidR="0086463D">
        <w:rPr>
          <w:lang w:val="en-AU"/>
        </w:rPr>
        <w:t>presented</w:t>
      </w:r>
      <w:r>
        <w:rPr>
          <w:lang w:val="en-AU"/>
        </w:rPr>
        <w:t xml:space="preserve"> in</w:t>
      </w:r>
      <w:r w:rsidR="0086463D">
        <w:rPr>
          <w:lang w:val="en-AU"/>
        </w:rPr>
        <w:t xml:space="preserve"> </w:t>
      </w:r>
      <w:r w:rsidR="0086463D">
        <w:rPr>
          <w:lang w:val="en-AU"/>
        </w:rPr>
        <w:fldChar w:fldCharType="begin"/>
      </w:r>
      <w:r w:rsidR="0086463D">
        <w:rPr>
          <w:lang w:val="en-AU"/>
        </w:rPr>
        <w:instrText xml:space="preserve"> REF _Ref459152470 \h </w:instrText>
      </w:r>
      <w:r w:rsidR="0086463D">
        <w:rPr>
          <w:lang w:val="en-AU"/>
        </w:rPr>
      </w:r>
      <w:r w:rsidR="0086463D">
        <w:rPr>
          <w:lang w:val="en-AU"/>
        </w:rPr>
        <w:fldChar w:fldCharType="separate"/>
      </w:r>
      <w:r w:rsidR="007F5336" w:rsidRPr="007A1A6E">
        <w:t xml:space="preserve">Figure </w:t>
      </w:r>
      <w:r w:rsidR="007F5336">
        <w:rPr>
          <w:noProof/>
        </w:rPr>
        <w:t>5</w:t>
      </w:r>
      <w:r w:rsidR="007F5336">
        <w:noBreakHyphen/>
      </w:r>
      <w:r w:rsidR="007F5336">
        <w:rPr>
          <w:noProof/>
        </w:rPr>
        <w:t>37</w:t>
      </w:r>
      <w:r w:rsidR="0086463D">
        <w:rPr>
          <w:lang w:val="en-AU"/>
        </w:rPr>
        <w:fldChar w:fldCharType="end"/>
      </w:r>
      <w:r>
        <w:rPr>
          <w:lang w:val="en-AU"/>
        </w:rPr>
        <w:t>, showing a substantially constrained zone of influence in 2014-15 compared to the large events of 2010-11, and correlated with below long term median discharge.</w:t>
      </w:r>
    </w:p>
    <w:p w14:paraId="5F22F2B4" w14:textId="77777777" w:rsidR="007E05CB" w:rsidRDefault="007E05CB" w:rsidP="004A5BF7">
      <w:pPr>
        <w:rPr>
          <w:lang w:val="en-AU" w:eastAsia="en-AU"/>
        </w:rPr>
      </w:pPr>
    </w:p>
    <w:p w14:paraId="2A61B0FB" w14:textId="77777777" w:rsidR="00E279D8" w:rsidRPr="007A1A6E" w:rsidRDefault="00E279D8" w:rsidP="00E279D8">
      <w:pPr>
        <w:jc w:val="center"/>
        <w:rPr>
          <w:rStyle w:val="IntenseReference"/>
          <w:sz w:val="22"/>
          <w:szCs w:val="22"/>
          <w:lang w:val="en-AU"/>
        </w:rPr>
      </w:pPr>
      <w:r w:rsidRPr="004A5BF7">
        <w:rPr>
          <w:bCs/>
          <w:noProof/>
          <w:color w:val="000000" w:themeColor="text1"/>
          <w:szCs w:val="22"/>
          <w:lang w:val="en-AU" w:eastAsia="en-AU"/>
        </w:rPr>
        <w:drawing>
          <wp:inline distT="0" distB="0" distL="0" distR="0" wp14:anchorId="05884AD2" wp14:editId="0C7E6585">
            <wp:extent cx="2437200" cy="2660400"/>
            <wp:effectExtent l="0" t="0" r="1270" b="6985"/>
            <wp:docPr id="53" name="Picture 53" descr="Map showing cumulative exposure index for the Burdekin River in 2014-15.  The colour bar indicates the calculated cumulative exposure (concentration x days) above 1% of the incoming concentration. The colour bar is capped at 20 Conc.Days. Contours show 0.1, 1.0 and 10.0 Conc.Days exposure levels." title="Figure 5 37: Cumulative exposure index for the Burdekin River in 20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rbrinkma\Desktop\MMP\GBR_tracers_bur_0_01psu_20141101-20150331.gif"/>
                    <pic:cNvPicPr>
                      <a:picLocks noChangeAspect="1" noChangeArrowheads="1"/>
                    </pic:cNvPicPr>
                  </pic:nvPicPr>
                  <pic:blipFill>
                    <a:blip r:embed="rId352" cstate="print">
                      <a:extLst>
                        <a:ext uri="{28A0092B-C50C-407E-A947-70E740481C1C}">
                          <a14:useLocalDpi xmlns:a14="http://schemas.microsoft.com/office/drawing/2010/main" val="0"/>
                        </a:ext>
                      </a:extLst>
                    </a:blip>
                    <a:srcRect/>
                    <a:stretch>
                      <a:fillRect/>
                    </a:stretch>
                  </pic:blipFill>
                  <pic:spPr bwMode="auto">
                    <a:xfrm>
                      <a:off x="0" y="0"/>
                      <a:ext cx="2437200" cy="2660400"/>
                    </a:xfrm>
                    <a:prstGeom prst="rect">
                      <a:avLst/>
                    </a:prstGeom>
                    <a:noFill/>
                    <a:ln>
                      <a:noFill/>
                    </a:ln>
                  </pic:spPr>
                </pic:pic>
              </a:graphicData>
            </a:graphic>
          </wp:inline>
        </w:drawing>
      </w:r>
      <w:r w:rsidRPr="004A5BF7">
        <w:rPr>
          <w:b/>
          <w:bCs/>
          <w:i/>
          <w:iCs/>
          <w:noProof/>
          <w:color w:val="4F81BD" w:themeColor="accent1"/>
          <w:lang w:val="en-AU" w:eastAsia="en-AU"/>
        </w:rPr>
        <w:drawing>
          <wp:inline distT="0" distB="0" distL="0" distR="0" wp14:anchorId="37C41CB6" wp14:editId="7B1BCB23">
            <wp:extent cx="2383200" cy="2660400"/>
            <wp:effectExtent l="0" t="0" r="0" b="6985"/>
            <wp:docPr id="54" name="Picture 54" descr="Map showing cumulative exposure index for the Burdekin River in  2010-11. The colour bar indicates the calculated cumulative exposure (concentration x days) above 1% of the incoming concentration. The colour bar is capped at 20 Conc.Days. Contours show 0.1, 1.0 and 10.0 Conc.Days exposure levels." title="Figure 5 37: Cumulative exposure index for the Burdekin River in  201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Richard\eReefs\Terrain\2014-Analysis\Exp_Bur2011.gif"/>
                    <pic:cNvPicPr>
                      <a:picLocks noChangeAspect="1" noChangeArrowheads="1"/>
                    </pic:cNvPicPr>
                  </pic:nvPicPr>
                  <pic:blipFill rotWithShape="1">
                    <a:blip r:embed="rId353" cstate="print">
                      <a:extLst>
                        <a:ext uri="{28A0092B-C50C-407E-A947-70E740481C1C}">
                          <a14:useLocalDpi xmlns:a14="http://schemas.microsoft.com/office/drawing/2010/main" val="0"/>
                        </a:ext>
                      </a:extLst>
                    </a:blip>
                    <a:srcRect r="40130"/>
                    <a:stretch/>
                  </pic:blipFill>
                  <pic:spPr bwMode="auto">
                    <a:xfrm>
                      <a:off x="0" y="0"/>
                      <a:ext cx="2383200" cy="2660400"/>
                    </a:xfrm>
                    <a:prstGeom prst="rect">
                      <a:avLst/>
                    </a:prstGeom>
                    <a:noFill/>
                    <a:ln>
                      <a:noFill/>
                    </a:ln>
                    <a:extLst>
                      <a:ext uri="{53640926-AAD7-44D8-BBD7-CCE9431645EC}">
                        <a14:shadowObscured xmlns:a14="http://schemas.microsoft.com/office/drawing/2010/main"/>
                      </a:ext>
                    </a:extLst>
                  </pic:spPr>
                </pic:pic>
              </a:graphicData>
            </a:graphic>
          </wp:inline>
        </w:drawing>
      </w:r>
    </w:p>
    <w:p w14:paraId="2BFC5E03" w14:textId="6F21D483" w:rsidR="00E279D8" w:rsidRDefault="00E279D8" w:rsidP="004A5BF7">
      <w:pPr>
        <w:pStyle w:val="Caption"/>
        <w:rPr>
          <w:rStyle w:val="IntenseReference"/>
        </w:rPr>
      </w:pPr>
      <w:bookmarkStart w:id="1247" w:name="_Ref459152470"/>
      <w:bookmarkStart w:id="1248" w:name="_Toc459332395"/>
      <w:r w:rsidRPr="007A1A6E">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37</w:t>
      </w:r>
      <w:r w:rsidR="00C62884">
        <w:fldChar w:fldCharType="end"/>
      </w:r>
      <w:bookmarkEnd w:id="1247"/>
      <w:r w:rsidRPr="007A1A6E">
        <w:t xml:space="preserve">: Cumulative exposure index for the </w:t>
      </w:r>
      <w:r>
        <w:t xml:space="preserve">Burdekin River </w:t>
      </w:r>
      <w:r w:rsidR="0086463D">
        <w:t>in</w:t>
      </w:r>
      <w:r w:rsidRPr="007A1A6E">
        <w:t xml:space="preserve"> 2014-15</w:t>
      </w:r>
      <w:r w:rsidRPr="00202A68">
        <w:rPr>
          <w:rStyle w:val="IntenseReference"/>
        </w:rPr>
        <w:t xml:space="preserve"> (left)</w:t>
      </w:r>
      <w:r w:rsidR="0086463D">
        <w:rPr>
          <w:rStyle w:val="IntenseReference"/>
        </w:rPr>
        <w:t>, r</w:t>
      </w:r>
      <w:r w:rsidRPr="00202A68">
        <w:rPr>
          <w:rStyle w:val="IntenseReference"/>
        </w:rPr>
        <w:t>esults for 2010-11 (right) are shown for context.  The colour bar indicates the calculated cumulative exposure (concentration x days) above 1% of the incoming concentration. The colour bar is capped at 20 Conc.Days. Contours show 0.1, 1.0 and 10.0 Conc.Days exposure levels.</w:t>
      </w:r>
      <w:bookmarkEnd w:id="1248"/>
    </w:p>
    <w:p w14:paraId="698478B9" w14:textId="28026BC5" w:rsidR="00B57D41" w:rsidRDefault="00B57D41" w:rsidP="00B57D41">
      <w:r>
        <w:t>The Burdekin River (Clare gauge) and Barratta Creek (Northcote gauge) are the two routinely monitored sites in the Burdekin and Haughton Basins, although the Haughton River at Powerline gauge has also recently been established. The Burdekin River is a major contributor of discharge, TSS and nutrients to the region while Barratta Creek is a very small catchment but has relatively high concentrations of DIN and herbicides (due to the relative large area of cropping in the catchment) albeit much lower constituent loads.  In the 2014-15 season both streams had their lowest discharge over the 9 years of record and hence the constituent loads were also generally lower compared to previous years of monitoring over the 2006-07 to 2014-15 period (</w:t>
      </w:r>
      <w:r w:rsidR="0086463D" w:rsidRPr="004A5BF7">
        <w:fldChar w:fldCharType="begin"/>
      </w:r>
      <w:r w:rsidR="0086463D" w:rsidRPr="004A5BF7">
        <w:instrText xml:space="preserve"> REF _Ref459152542 \h </w:instrText>
      </w:r>
      <w:r w:rsidR="0086463D">
        <w:instrText xml:space="preserve"> \* MERGEFORMAT </w:instrText>
      </w:r>
      <w:r w:rsidR="0086463D" w:rsidRPr="004A5BF7">
        <w:fldChar w:fldCharType="separate"/>
      </w:r>
      <w:r w:rsidR="007F5336">
        <w:t xml:space="preserve">Figure </w:t>
      </w:r>
      <w:r w:rsidR="007F5336">
        <w:rPr>
          <w:noProof/>
        </w:rPr>
        <w:t>5</w:t>
      </w:r>
      <w:r w:rsidR="007F5336">
        <w:rPr>
          <w:noProof/>
        </w:rPr>
        <w:noBreakHyphen/>
        <w:t>38</w:t>
      </w:r>
      <w:r w:rsidR="0086463D" w:rsidRPr="004A5BF7">
        <w:fldChar w:fldCharType="end"/>
      </w:r>
      <w:r w:rsidR="0086463D" w:rsidRPr="004A5BF7">
        <w:t xml:space="preserve"> and </w:t>
      </w:r>
      <w:r w:rsidR="0086463D" w:rsidRPr="004A5BF7">
        <w:fldChar w:fldCharType="begin"/>
      </w:r>
      <w:r w:rsidR="0086463D" w:rsidRPr="004A5BF7">
        <w:instrText xml:space="preserve"> REF _Ref459152544 \h </w:instrText>
      </w:r>
      <w:r w:rsidR="0086463D">
        <w:instrText xml:space="preserve"> \* MERGEFORMAT </w:instrText>
      </w:r>
      <w:r w:rsidR="0086463D" w:rsidRPr="004A5BF7">
        <w:fldChar w:fldCharType="separate"/>
      </w:r>
      <w:r w:rsidR="007F5336">
        <w:t xml:space="preserve">Figure </w:t>
      </w:r>
      <w:r w:rsidR="007F5336">
        <w:rPr>
          <w:noProof/>
        </w:rPr>
        <w:t>5</w:t>
      </w:r>
      <w:r w:rsidR="007F5336">
        <w:rPr>
          <w:noProof/>
        </w:rPr>
        <w:noBreakHyphen/>
        <w:t>39</w:t>
      </w:r>
      <w:r w:rsidR="0086463D" w:rsidRPr="004A5BF7">
        <w:fldChar w:fldCharType="end"/>
      </w:r>
      <w:r w:rsidRPr="0086463D">
        <w:t>). The exception is the DIN loads in Barratta Creek which is influenced by relatively large</w:t>
      </w:r>
      <w:r>
        <w:t xml:space="preserve"> volumes of irrigation tailwater runoff and hence the loads remain similar despite variability in discharge.</w:t>
      </w:r>
    </w:p>
    <w:p w14:paraId="4992F748" w14:textId="77777777" w:rsidR="00B57D41" w:rsidRPr="004A5BF7" w:rsidRDefault="00B57D41" w:rsidP="004A5BF7"/>
    <w:p w14:paraId="24AAB407" w14:textId="77777777" w:rsidR="002E623E" w:rsidRDefault="002E623E" w:rsidP="002E623E">
      <w:r>
        <w:rPr>
          <w:noProof/>
          <w:lang w:val="en-AU" w:eastAsia="en-AU"/>
        </w:rPr>
        <w:drawing>
          <wp:inline distT="0" distB="0" distL="0" distR="0" wp14:anchorId="7475684D" wp14:editId="072156D9">
            <wp:extent cx="5731510" cy="2594610"/>
            <wp:effectExtent l="0" t="0" r="2540" b="0"/>
            <wp:docPr id="7220" name="Picture 7220" descr="Panel of graphs showing measured Barratta Creek discharge and loads (at Northcote gauge) for (A) total suspended solids (sediment), (B) dissolved inorganic nitrogen (DIN), (C) particulate nitrogen (PN) and (D) particulate phosphorus (PP) from 2006-07 to 2014-15. Data from the Department of Science Information Technology and Innovation’s Great Barrier Reef Catchment Loads Monitoring Program (compiled from: Turner et al., 2012, 2013; Wallace et al., 2014, 2015, in press; Garzon-Garcia et al., 2015) and TropWATER (Bainbridge et al., 2007, 2008; unpublished data)." title="Figure 5 38. Measured Barratta Creek discharge and loads (at Northcote gauge) for (A) total suspended solids (sediment), (B) dissolved inorganic nitrogen (DIN), (C) particulate nitrogen (PN) and (D) particulate phosphorus (PP) from 2006-07 to 20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arratta loads.JPG"/>
                    <pic:cNvPicPr/>
                  </pic:nvPicPr>
                  <pic:blipFill>
                    <a:blip r:embed="rId354" cstate="print">
                      <a:extLst>
                        <a:ext uri="{28A0092B-C50C-407E-A947-70E740481C1C}">
                          <a14:useLocalDpi xmlns:a14="http://schemas.microsoft.com/office/drawing/2010/main" val="0"/>
                        </a:ext>
                      </a:extLst>
                    </a:blip>
                    <a:stretch>
                      <a:fillRect/>
                    </a:stretch>
                  </pic:blipFill>
                  <pic:spPr>
                    <a:xfrm>
                      <a:off x="0" y="0"/>
                      <a:ext cx="5731510" cy="2594610"/>
                    </a:xfrm>
                    <a:prstGeom prst="rect">
                      <a:avLst/>
                    </a:prstGeom>
                  </pic:spPr>
                </pic:pic>
              </a:graphicData>
            </a:graphic>
          </wp:inline>
        </w:drawing>
      </w:r>
    </w:p>
    <w:p w14:paraId="43C935C7" w14:textId="5BB43ABA" w:rsidR="002E623E" w:rsidRDefault="002E623E" w:rsidP="004A5BF7">
      <w:pPr>
        <w:pStyle w:val="Caption"/>
      </w:pPr>
      <w:bookmarkStart w:id="1249" w:name="_Ref459152542"/>
      <w:bookmarkStart w:id="1250" w:name="_Toc459332396"/>
      <w:r>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38</w:t>
      </w:r>
      <w:r w:rsidR="00C62884">
        <w:fldChar w:fldCharType="end"/>
      </w:r>
      <w:bookmarkEnd w:id="1249"/>
      <w:r>
        <w:t>. Measured Barratta Creek discharge and loads (at Northcote gauge) for (A) total suspended solids (sediment), (B) dissolved inorganic nitrogen (DIN), (C) particulate nitrogen (PN) and (D) particulate phosphorus (PP) from 2006</w:t>
      </w:r>
      <w:r w:rsidR="007C1ED1">
        <w:t>-</w:t>
      </w:r>
      <w:r>
        <w:t>07 to 2014</w:t>
      </w:r>
      <w:r w:rsidR="007C1ED1">
        <w:t>-</w:t>
      </w:r>
      <w:r>
        <w:t>15. Data from the Department of Science Information Technology and Innovation’s Great Barrier Reef Catchment Loads Monitoring Program (compiled from: Turner et al., 2012, 2013; Wallace et al., 2014, 2015, in press; Garzon-Garcia et al., 2015) and TropWATER (Bainbridge et al., 2007, 2008; unpublished data).</w:t>
      </w:r>
      <w:bookmarkEnd w:id="1250"/>
    </w:p>
    <w:p w14:paraId="1920F258" w14:textId="77777777" w:rsidR="002E623E" w:rsidRDefault="002E623E" w:rsidP="002E623E"/>
    <w:p w14:paraId="1FFDCA13" w14:textId="77777777" w:rsidR="002E623E" w:rsidRDefault="002E623E" w:rsidP="002E623E">
      <w:r>
        <w:rPr>
          <w:noProof/>
          <w:lang w:val="en-AU" w:eastAsia="en-AU"/>
        </w:rPr>
        <w:drawing>
          <wp:inline distT="0" distB="0" distL="0" distR="0" wp14:anchorId="492C0B3D" wp14:editId="050AACFB">
            <wp:extent cx="5731510" cy="2554605"/>
            <wp:effectExtent l="0" t="0" r="2540" b="0"/>
            <wp:docPr id="7221" name="Picture 7221" descr="Panel of graphs showing measured Burdekin River discharge (at the Clare gauge) and loads for (A) total suspended solids (sediment), (B) dissolved inorganic nitrogen (DIN), (C) particulate nitrogen (PN) and (D) particulate phosphorus (PP) from 2006-07 to 2014-15. Data from the Department of Science Information Technology and Innovation’s Great Barrier Reef Catchment Loads Monitoring Program (compiled from: Joo et al., 2012; Turner et al., 2012, 2013; Wallace et al., 2014, 2015, in press; Garzon-Garcia et al., 2015)." title="Figure 5 39. Measured Burdekin River discharge (at the Clare gauge) and loads for (A) total suspended solids (sediment), (B) dissolved inorganic nitrogen (DIN), (C) particulate nitrogen (PN) and (D) particulate phosphorus (PP) from 2006-07 to 20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urdekin loads.JPG"/>
                    <pic:cNvPicPr/>
                  </pic:nvPicPr>
                  <pic:blipFill>
                    <a:blip r:embed="rId355" cstate="print">
                      <a:extLst>
                        <a:ext uri="{28A0092B-C50C-407E-A947-70E740481C1C}">
                          <a14:useLocalDpi xmlns:a14="http://schemas.microsoft.com/office/drawing/2010/main" val="0"/>
                        </a:ext>
                      </a:extLst>
                    </a:blip>
                    <a:stretch>
                      <a:fillRect/>
                    </a:stretch>
                  </pic:blipFill>
                  <pic:spPr>
                    <a:xfrm>
                      <a:off x="0" y="0"/>
                      <a:ext cx="5731510" cy="2554605"/>
                    </a:xfrm>
                    <a:prstGeom prst="rect">
                      <a:avLst/>
                    </a:prstGeom>
                  </pic:spPr>
                </pic:pic>
              </a:graphicData>
            </a:graphic>
          </wp:inline>
        </w:drawing>
      </w:r>
    </w:p>
    <w:p w14:paraId="33A93D48" w14:textId="0B021A99" w:rsidR="002E623E" w:rsidRPr="008467AA" w:rsidRDefault="002E623E" w:rsidP="004A5BF7">
      <w:pPr>
        <w:pStyle w:val="Caption"/>
        <w:rPr>
          <w:lang w:val="en-AU" w:eastAsia="en-AU"/>
        </w:rPr>
      </w:pPr>
      <w:bookmarkStart w:id="1251" w:name="_Ref459152544"/>
      <w:bookmarkStart w:id="1252" w:name="_Toc459332397"/>
      <w:r>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39</w:t>
      </w:r>
      <w:r w:rsidR="00C62884">
        <w:fldChar w:fldCharType="end"/>
      </w:r>
      <w:bookmarkEnd w:id="1251"/>
      <w:r>
        <w:t>. Measured Burdekin River discharge (at the Clare gauge) and loads for (A) total suspended solids (sediment), (B) dissolved inorganic nitrogen (DIN), (C) particulate nitrogen (PN) and (D) particulate phosphorus (PP) from 2006</w:t>
      </w:r>
      <w:r w:rsidR="007C1ED1">
        <w:t>-</w:t>
      </w:r>
      <w:r>
        <w:t>07 to 2014</w:t>
      </w:r>
      <w:r w:rsidR="007C1ED1">
        <w:t>-</w:t>
      </w:r>
      <w:r>
        <w:t>15. Data from the Department of Science Information Technology and Innovation’s Great Barrier Reef Catchment Loads Monitoring Program (compiled from: Joo et al., 2012; Turner et al., 2012, 2013; Wallace et al., 2014, 2015, in press; Garzon-Garcia et al., 2015).</w:t>
      </w:r>
      <w:bookmarkEnd w:id="1252"/>
    </w:p>
    <w:p w14:paraId="5F22F2B5" w14:textId="77777777" w:rsidR="00446EA5" w:rsidRPr="00A03137" w:rsidRDefault="00446EA5" w:rsidP="00164E5E">
      <w:pPr>
        <w:pStyle w:val="Heading4"/>
      </w:pPr>
      <w:r>
        <w:t>A</w:t>
      </w:r>
      <w:r w:rsidRPr="00A03137">
        <w:t>mbient</w:t>
      </w:r>
      <w:r>
        <w:t xml:space="preserve"> water quality</w:t>
      </w:r>
    </w:p>
    <w:p w14:paraId="5F22F2B6" w14:textId="694B4E3E" w:rsidR="008645FA" w:rsidRPr="008467AA" w:rsidRDefault="00242663" w:rsidP="008645FA">
      <w:pPr>
        <w:rPr>
          <w:lang w:val="en-AU"/>
        </w:rPr>
      </w:pPr>
      <w:r>
        <w:rPr>
          <w:lang w:val="en-AU"/>
        </w:rPr>
        <w:t>T</w:t>
      </w:r>
      <w:r w:rsidR="008645FA" w:rsidRPr="008467AA">
        <w:rPr>
          <w:lang w:val="en-AU"/>
        </w:rPr>
        <w:t>he location of some of the loggers have changed</w:t>
      </w:r>
      <w:r w:rsidR="00DA7E49">
        <w:rPr>
          <w:lang w:val="en-AU"/>
        </w:rPr>
        <w:t xml:space="preserve"> </w:t>
      </w:r>
      <w:r>
        <w:rPr>
          <w:lang w:val="en-AU"/>
        </w:rPr>
        <w:t xml:space="preserve">in this region </w:t>
      </w:r>
      <w:r w:rsidR="00DA7E49">
        <w:rPr>
          <w:lang w:val="en-AU"/>
        </w:rPr>
        <w:t>(BUR13)</w:t>
      </w:r>
      <w:r w:rsidR="008645FA" w:rsidRPr="008467AA">
        <w:rPr>
          <w:lang w:val="en-AU"/>
        </w:rPr>
        <w:t xml:space="preserve">, and the number of water sampling sites and frequency of sampling increased during 2015. Some of the new sites are placed further inshore and they are therefore affected by </w:t>
      </w:r>
      <w:r w:rsidR="00791911">
        <w:rPr>
          <w:lang w:val="en-AU"/>
        </w:rPr>
        <w:t>P</w:t>
      </w:r>
      <w:r w:rsidR="00791911" w:rsidRPr="008467AA">
        <w:rPr>
          <w:lang w:val="en-AU"/>
        </w:rPr>
        <w:t xml:space="preserve">rimary </w:t>
      </w:r>
      <w:r w:rsidR="008645FA" w:rsidRPr="008467AA">
        <w:rPr>
          <w:lang w:val="en-AU"/>
        </w:rPr>
        <w:t xml:space="preserve">and </w:t>
      </w:r>
      <w:r w:rsidR="00791911">
        <w:rPr>
          <w:lang w:val="en-AU"/>
        </w:rPr>
        <w:t>S</w:t>
      </w:r>
      <w:r w:rsidR="00791911" w:rsidRPr="008467AA">
        <w:rPr>
          <w:lang w:val="en-AU"/>
        </w:rPr>
        <w:t xml:space="preserve">econdary </w:t>
      </w:r>
      <w:r w:rsidR="008645FA" w:rsidRPr="008467AA">
        <w:rPr>
          <w:lang w:val="en-AU"/>
        </w:rPr>
        <w:t>plume waters</w:t>
      </w:r>
      <w:r>
        <w:rPr>
          <w:lang w:val="en-AU"/>
        </w:rPr>
        <w:t xml:space="preserve"> which will influence assessment of longer term trends</w:t>
      </w:r>
      <w:r w:rsidR="008645FA" w:rsidRPr="008467AA">
        <w:rPr>
          <w:lang w:val="en-AU"/>
        </w:rPr>
        <w:t>.</w:t>
      </w:r>
    </w:p>
    <w:p w14:paraId="5F22F2B7" w14:textId="4FC71D6C" w:rsidR="008645FA" w:rsidRPr="008467AA" w:rsidRDefault="008645FA" w:rsidP="008645FA">
      <w:pPr>
        <w:rPr>
          <w:lang w:val="en-AU"/>
        </w:rPr>
      </w:pPr>
      <w:r w:rsidRPr="008467AA">
        <w:rPr>
          <w:lang w:val="en-AU"/>
        </w:rPr>
        <w:t xml:space="preserve">The </w:t>
      </w:r>
      <w:r w:rsidR="004F75D4">
        <w:rPr>
          <w:lang w:val="en-AU"/>
        </w:rPr>
        <w:t xml:space="preserve">site-specific </w:t>
      </w:r>
      <w:r w:rsidR="002E623E">
        <w:rPr>
          <w:lang w:val="en-AU"/>
        </w:rPr>
        <w:t>W</w:t>
      </w:r>
      <w:r w:rsidRPr="008467AA">
        <w:rPr>
          <w:lang w:val="en-AU"/>
        </w:rPr>
        <w:t xml:space="preserve">ater </w:t>
      </w:r>
      <w:r w:rsidR="002E623E">
        <w:rPr>
          <w:lang w:val="en-AU"/>
        </w:rPr>
        <w:t>Q</w:t>
      </w:r>
      <w:r w:rsidRPr="008467AA">
        <w:rPr>
          <w:lang w:val="en-AU"/>
        </w:rPr>
        <w:t xml:space="preserve">uality </w:t>
      </w:r>
      <w:r w:rsidR="002E623E">
        <w:rPr>
          <w:lang w:val="en-AU"/>
        </w:rPr>
        <w:t>I</w:t>
      </w:r>
      <w:r w:rsidRPr="008467AA">
        <w:rPr>
          <w:lang w:val="en-AU"/>
        </w:rPr>
        <w:t>ndex in this region has been relatively stable over the monitoring period, oscillating between ‘good’ and ‘very good’ ratings (</w:t>
      </w:r>
      <w:r w:rsidR="00EB33A6">
        <w:rPr>
          <w:lang w:val="en-AU"/>
        </w:rPr>
        <w:fldChar w:fldCharType="begin"/>
      </w:r>
      <w:r w:rsidR="00673CF4">
        <w:rPr>
          <w:lang w:val="en-AU"/>
        </w:rPr>
        <w:instrText xml:space="preserve"> REF _Ref438134496 \h </w:instrText>
      </w:r>
      <w:r w:rsidR="00EB33A6">
        <w:rPr>
          <w:lang w:val="en-AU"/>
        </w:rPr>
      </w:r>
      <w:r w:rsidR="00EB33A6">
        <w:rPr>
          <w:lang w:val="en-AU"/>
        </w:rPr>
        <w:fldChar w:fldCharType="separate"/>
      </w:r>
      <w:r w:rsidR="007F5336" w:rsidRPr="007A1A6E">
        <w:t xml:space="preserve">Figure </w:t>
      </w:r>
      <w:r w:rsidR="007F5336">
        <w:rPr>
          <w:noProof/>
        </w:rPr>
        <w:t>5</w:t>
      </w:r>
      <w:r w:rsidR="007F5336">
        <w:noBreakHyphen/>
      </w:r>
      <w:r w:rsidR="007F5336">
        <w:rPr>
          <w:noProof/>
        </w:rPr>
        <w:t>40</w:t>
      </w:r>
      <w:r w:rsidR="00EB33A6">
        <w:rPr>
          <w:lang w:val="en-AU"/>
        </w:rPr>
        <w:fldChar w:fldCharType="end"/>
      </w:r>
      <w:r w:rsidR="003F7A36" w:rsidRPr="008467AA">
        <w:rPr>
          <w:lang w:val="en-AU"/>
        </w:rPr>
        <w:t>a</w:t>
      </w:r>
      <w:r w:rsidRPr="008467AA">
        <w:rPr>
          <w:lang w:val="en-AU"/>
        </w:rPr>
        <w:t xml:space="preserve">). Trends in concentrations of </w:t>
      </w:r>
      <w:r w:rsidR="00FC079A">
        <w:rPr>
          <w:lang w:val="en-AU"/>
        </w:rPr>
        <w:t>C</w:t>
      </w:r>
      <w:r w:rsidR="00FC079A" w:rsidRPr="008467AA">
        <w:rPr>
          <w:lang w:val="en-AU"/>
        </w:rPr>
        <w:t>hl</w:t>
      </w:r>
      <w:r w:rsidR="00FC079A">
        <w:rPr>
          <w:lang w:val="en-AU"/>
        </w:rPr>
        <w:t>-a</w:t>
      </w:r>
      <w:r w:rsidRPr="008467AA">
        <w:rPr>
          <w:lang w:val="en-AU"/>
        </w:rPr>
        <w:t xml:space="preserve"> declined </w:t>
      </w:r>
      <w:r w:rsidR="008D3E31">
        <w:rPr>
          <w:lang w:val="en-AU"/>
        </w:rPr>
        <w:t xml:space="preserve">at the </w:t>
      </w:r>
      <w:r w:rsidRPr="008467AA">
        <w:rPr>
          <w:lang w:val="en-AU"/>
        </w:rPr>
        <w:t xml:space="preserve"> beginning of the sampli</w:t>
      </w:r>
      <w:r w:rsidR="00D035F6">
        <w:rPr>
          <w:lang w:val="en-AU"/>
        </w:rPr>
        <w:t xml:space="preserve">ng program </w:t>
      </w:r>
      <w:r w:rsidR="008D3E31">
        <w:rPr>
          <w:lang w:val="en-AU"/>
        </w:rPr>
        <w:t xml:space="preserve">and thereafter remained stable </w:t>
      </w:r>
      <w:r w:rsidR="00D035F6">
        <w:rPr>
          <w:lang w:val="en-AU"/>
        </w:rPr>
        <w:t xml:space="preserve">until 2015 when the </w:t>
      </w:r>
      <w:r w:rsidRPr="008467AA">
        <w:rPr>
          <w:lang w:val="en-AU"/>
        </w:rPr>
        <w:t>trend-line r was near or above the guideline. The trends in TSS, PN and PP declined slightly over the course of the program, with a period of slightly increased values in the latter three variables around 2011-12 (</w:t>
      </w:r>
      <w:r w:rsidR="00EB33A6">
        <w:rPr>
          <w:lang w:val="en-AU"/>
        </w:rPr>
        <w:fldChar w:fldCharType="begin"/>
      </w:r>
      <w:r w:rsidR="00673CF4">
        <w:rPr>
          <w:lang w:val="en-AU"/>
        </w:rPr>
        <w:instrText xml:space="preserve"> REF _Ref438134496 \h </w:instrText>
      </w:r>
      <w:r w:rsidR="00EB33A6">
        <w:rPr>
          <w:lang w:val="en-AU"/>
        </w:rPr>
      </w:r>
      <w:r w:rsidR="00EB33A6">
        <w:rPr>
          <w:lang w:val="en-AU"/>
        </w:rPr>
        <w:fldChar w:fldCharType="separate"/>
      </w:r>
      <w:r w:rsidR="007F5336" w:rsidRPr="007A1A6E">
        <w:t xml:space="preserve">Figure </w:t>
      </w:r>
      <w:r w:rsidR="007F5336">
        <w:rPr>
          <w:noProof/>
        </w:rPr>
        <w:t>5</w:t>
      </w:r>
      <w:r w:rsidR="007F5336">
        <w:noBreakHyphen/>
      </w:r>
      <w:r w:rsidR="007F5336">
        <w:rPr>
          <w:noProof/>
        </w:rPr>
        <w:t>40</w:t>
      </w:r>
      <w:r w:rsidR="00EB33A6">
        <w:rPr>
          <w:lang w:val="en-AU"/>
        </w:rPr>
        <w:fldChar w:fldCharType="end"/>
      </w:r>
      <w:r w:rsidR="003F7A36" w:rsidRPr="008467AA">
        <w:rPr>
          <w:lang w:val="en-AU"/>
        </w:rPr>
        <w:t>b</w:t>
      </w:r>
      <w:r w:rsidR="00D035F6">
        <w:rPr>
          <w:lang w:val="en-AU"/>
        </w:rPr>
        <w:t xml:space="preserve">, c, f, </w:t>
      </w:r>
      <w:r w:rsidRPr="008467AA">
        <w:rPr>
          <w:lang w:val="en-AU"/>
        </w:rPr>
        <w:t>h), likely influenced by Cyclone Yasi and extreme flooding of the Burdekin and local rivers in 2011 (</w:t>
      </w:r>
      <w:r w:rsidR="00EB33A6">
        <w:rPr>
          <w:lang w:val="en-AU"/>
        </w:rPr>
        <w:fldChar w:fldCharType="begin"/>
      </w:r>
      <w:r w:rsidR="00673CF4">
        <w:rPr>
          <w:lang w:val="en-AU"/>
        </w:rPr>
        <w:instrText xml:space="preserve"> REF _Ref438134496 \h </w:instrText>
      </w:r>
      <w:r w:rsidR="00EB33A6">
        <w:rPr>
          <w:lang w:val="en-AU"/>
        </w:rPr>
      </w:r>
      <w:r w:rsidR="00EB33A6">
        <w:rPr>
          <w:lang w:val="en-AU"/>
        </w:rPr>
        <w:fldChar w:fldCharType="separate"/>
      </w:r>
      <w:r w:rsidR="007F5336" w:rsidRPr="007A1A6E">
        <w:t xml:space="preserve">Figure </w:t>
      </w:r>
      <w:r w:rsidR="007F5336">
        <w:rPr>
          <w:noProof/>
        </w:rPr>
        <w:t>5</w:t>
      </w:r>
      <w:r w:rsidR="007F5336">
        <w:noBreakHyphen/>
      </w:r>
      <w:r w:rsidR="007F5336">
        <w:rPr>
          <w:noProof/>
        </w:rPr>
        <w:t>40</w:t>
      </w:r>
      <w:r w:rsidR="00EB33A6">
        <w:rPr>
          <w:lang w:val="en-AU"/>
        </w:rPr>
        <w:fldChar w:fldCharType="end"/>
      </w:r>
      <w:r w:rsidR="00673CF4">
        <w:rPr>
          <w:lang w:val="en-AU"/>
        </w:rPr>
        <w:t xml:space="preserve"> </w:t>
      </w:r>
      <w:r w:rsidRPr="008467AA">
        <w:rPr>
          <w:lang w:val="en-AU"/>
        </w:rPr>
        <w:t>and Table A2-1). From 2007 onwards, the overall trend-lines for TSS, PN and PP were below water quality guidelines (GBRMPA 2010). The concentrations of NO</w:t>
      </w:r>
      <w:r w:rsidRPr="008467AA">
        <w:rPr>
          <w:vertAlign w:val="subscript"/>
          <w:lang w:val="en-AU"/>
        </w:rPr>
        <w:t>x</w:t>
      </w:r>
      <w:r w:rsidRPr="008467AA">
        <w:rPr>
          <w:lang w:val="en-AU"/>
        </w:rPr>
        <w:t xml:space="preserve"> increased sharply after the first major flood event in 2008 and have since remained at levels close to or above the </w:t>
      </w:r>
      <w:r w:rsidR="0086463D">
        <w:rPr>
          <w:lang w:val="en-AU"/>
        </w:rPr>
        <w:t>Queensland</w:t>
      </w:r>
      <w:r w:rsidR="0086463D" w:rsidRPr="008467AA">
        <w:rPr>
          <w:lang w:val="en-AU"/>
        </w:rPr>
        <w:t xml:space="preserve"> </w:t>
      </w:r>
      <w:r w:rsidRPr="008467AA">
        <w:rPr>
          <w:lang w:val="en-AU"/>
        </w:rPr>
        <w:t xml:space="preserve">guideline </w:t>
      </w:r>
      <w:r w:rsidR="00603E70">
        <w:rPr>
          <w:lang w:val="en-AU"/>
        </w:rPr>
        <w:t>(3 ug/L)</w:t>
      </w:r>
      <w:r w:rsidRPr="008467AA">
        <w:rPr>
          <w:lang w:val="en-AU"/>
        </w:rPr>
        <w:t xml:space="preserve"> (</w:t>
      </w:r>
      <w:r w:rsidR="00EB33A6">
        <w:rPr>
          <w:lang w:val="en-AU"/>
        </w:rPr>
        <w:fldChar w:fldCharType="begin"/>
      </w:r>
      <w:r w:rsidR="00673CF4">
        <w:rPr>
          <w:lang w:val="en-AU"/>
        </w:rPr>
        <w:instrText xml:space="preserve"> REF _Ref438134496 \h </w:instrText>
      </w:r>
      <w:r w:rsidR="00EB33A6">
        <w:rPr>
          <w:lang w:val="en-AU"/>
        </w:rPr>
      </w:r>
      <w:r w:rsidR="00EB33A6">
        <w:rPr>
          <w:lang w:val="en-AU"/>
        </w:rPr>
        <w:fldChar w:fldCharType="separate"/>
      </w:r>
      <w:r w:rsidR="007F5336" w:rsidRPr="007A1A6E">
        <w:t xml:space="preserve">Figure </w:t>
      </w:r>
      <w:r w:rsidR="007F5336">
        <w:rPr>
          <w:noProof/>
        </w:rPr>
        <w:t>5</w:t>
      </w:r>
      <w:r w:rsidR="007F5336">
        <w:noBreakHyphen/>
      </w:r>
      <w:r w:rsidR="007F5336">
        <w:rPr>
          <w:noProof/>
        </w:rPr>
        <w:t>40</w:t>
      </w:r>
      <w:r w:rsidR="00EB33A6">
        <w:rPr>
          <w:lang w:val="en-AU"/>
        </w:rPr>
        <w:fldChar w:fldCharType="end"/>
      </w:r>
      <w:r w:rsidR="003F7A36" w:rsidRPr="008467AA">
        <w:rPr>
          <w:lang w:val="en-AU"/>
        </w:rPr>
        <w:t>d</w:t>
      </w:r>
      <w:r w:rsidRPr="008467AA">
        <w:rPr>
          <w:lang w:val="en-AU"/>
        </w:rPr>
        <w:t xml:space="preserve">). Secchi depth has remained non-compliant with the guideline values over the whole sampling period, with a </w:t>
      </w:r>
      <w:r w:rsidR="00603E70">
        <w:rPr>
          <w:lang w:val="en-AU"/>
        </w:rPr>
        <w:t>decreasing trend since 2014</w:t>
      </w:r>
      <w:r w:rsidRPr="008467AA">
        <w:rPr>
          <w:lang w:val="en-AU"/>
        </w:rPr>
        <w:t xml:space="preserve">, which is most likely due to the increased amount of stations close to the Burdekin </w:t>
      </w:r>
      <w:r w:rsidR="00791911">
        <w:rPr>
          <w:lang w:val="en-AU"/>
        </w:rPr>
        <w:t>R</w:t>
      </w:r>
      <w:r w:rsidRPr="008467AA">
        <w:rPr>
          <w:lang w:val="en-AU"/>
        </w:rPr>
        <w:t xml:space="preserve">iver mouth as part of the new sampling program </w:t>
      </w:r>
      <w:r w:rsidR="00805C15" w:rsidRPr="008467AA">
        <w:rPr>
          <w:lang w:val="en-AU"/>
        </w:rPr>
        <w:t>(</w:t>
      </w:r>
      <w:r w:rsidR="00EB33A6">
        <w:rPr>
          <w:lang w:val="en-AU"/>
        </w:rPr>
        <w:fldChar w:fldCharType="begin"/>
      </w:r>
      <w:r w:rsidR="00673CF4">
        <w:rPr>
          <w:lang w:val="en-AU"/>
        </w:rPr>
        <w:instrText xml:space="preserve"> REF _Ref438134496 \h </w:instrText>
      </w:r>
      <w:r w:rsidR="00EB33A6">
        <w:rPr>
          <w:lang w:val="en-AU"/>
        </w:rPr>
      </w:r>
      <w:r w:rsidR="00EB33A6">
        <w:rPr>
          <w:lang w:val="en-AU"/>
        </w:rPr>
        <w:fldChar w:fldCharType="separate"/>
      </w:r>
      <w:r w:rsidR="007F5336" w:rsidRPr="007A1A6E">
        <w:t xml:space="preserve">Figure </w:t>
      </w:r>
      <w:r w:rsidR="007F5336">
        <w:rPr>
          <w:noProof/>
        </w:rPr>
        <w:t>5</w:t>
      </w:r>
      <w:r w:rsidR="007F5336">
        <w:noBreakHyphen/>
      </w:r>
      <w:r w:rsidR="007F5336">
        <w:rPr>
          <w:noProof/>
        </w:rPr>
        <w:t>40</w:t>
      </w:r>
      <w:r w:rsidR="00EB33A6">
        <w:rPr>
          <w:lang w:val="en-AU"/>
        </w:rPr>
        <w:fldChar w:fldCharType="end"/>
      </w:r>
      <w:r w:rsidR="003F7A36" w:rsidRPr="008467AA">
        <w:rPr>
          <w:lang w:val="en-AU"/>
        </w:rPr>
        <w:t>e</w:t>
      </w:r>
      <w:r w:rsidRPr="008467AA">
        <w:rPr>
          <w:lang w:val="en-AU"/>
        </w:rPr>
        <w:t>).</w:t>
      </w:r>
    </w:p>
    <w:p w14:paraId="5F22F2B8" w14:textId="3E2B486D" w:rsidR="008645FA" w:rsidRPr="008467AA" w:rsidRDefault="008645FA" w:rsidP="008645FA">
      <w:pPr>
        <w:rPr>
          <w:lang w:val="en-AU"/>
        </w:rPr>
      </w:pPr>
      <w:r w:rsidRPr="008467AA">
        <w:rPr>
          <w:lang w:val="en-AU"/>
        </w:rPr>
        <w:t>The concentrations of particulate organic carbon (POC) have remained relatively stable over the monitoring period, while the dissolved organic carbon (DOC) concentrations increased until 2011, and there</w:t>
      </w:r>
      <w:r w:rsidR="00805C15" w:rsidRPr="008467AA">
        <w:rPr>
          <w:lang w:val="en-AU"/>
        </w:rPr>
        <w:t>after remained stable (</w:t>
      </w:r>
      <w:r w:rsidR="00EB33A6">
        <w:rPr>
          <w:lang w:val="en-AU"/>
        </w:rPr>
        <w:fldChar w:fldCharType="begin"/>
      </w:r>
      <w:r w:rsidR="00673CF4">
        <w:rPr>
          <w:lang w:val="en-AU"/>
        </w:rPr>
        <w:instrText xml:space="preserve"> REF _Ref438134496 \h </w:instrText>
      </w:r>
      <w:r w:rsidR="00EB33A6">
        <w:rPr>
          <w:lang w:val="en-AU"/>
        </w:rPr>
      </w:r>
      <w:r w:rsidR="00EB33A6">
        <w:rPr>
          <w:lang w:val="en-AU"/>
        </w:rPr>
        <w:fldChar w:fldCharType="separate"/>
      </w:r>
      <w:r w:rsidR="007F5336" w:rsidRPr="007A1A6E">
        <w:t xml:space="preserve">Figure </w:t>
      </w:r>
      <w:r w:rsidR="007F5336">
        <w:rPr>
          <w:noProof/>
        </w:rPr>
        <w:t>5</w:t>
      </w:r>
      <w:r w:rsidR="007F5336">
        <w:noBreakHyphen/>
      </w:r>
      <w:r w:rsidR="007F5336">
        <w:rPr>
          <w:noProof/>
        </w:rPr>
        <w:t>40</w:t>
      </w:r>
      <w:r w:rsidR="00EB33A6">
        <w:rPr>
          <w:lang w:val="en-AU"/>
        </w:rPr>
        <w:fldChar w:fldCharType="end"/>
      </w:r>
      <w:r w:rsidR="00673CF4">
        <w:rPr>
          <w:lang w:val="en-AU"/>
        </w:rPr>
        <w:t>i</w:t>
      </w:r>
      <w:r w:rsidRPr="008467AA">
        <w:rPr>
          <w:lang w:val="en-AU"/>
        </w:rPr>
        <w:t>,</w:t>
      </w:r>
      <w:r w:rsidR="00D035F6">
        <w:rPr>
          <w:lang w:val="en-AU"/>
        </w:rPr>
        <w:t xml:space="preserve"> </w:t>
      </w:r>
      <w:r w:rsidRPr="008467AA">
        <w:rPr>
          <w:lang w:val="en-AU"/>
        </w:rPr>
        <w:t xml:space="preserve">j). </w:t>
      </w:r>
    </w:p>
    <w:p w14:paraId="5F22F2B9" w14:textId="6AAB9321" w:rsidR="008645FA" w:rsidRDefault="008645FA" w:rsidP="008645FA">
      <w:pPr>
        <w:rPr>
          <w:rFonts w:cs="Arial"/>
          <w:lang w:val="en-AU"/>
        </w:rPr>
      </w:pPr>
      <w:r w:rsidRPr="008467AA">
        <w:rPr>
          <w:lang w:val="en-AU"/>
        </w:rPr>
        <w:t xml:space="preserve">Instrumental </w:t>
      </w:r>
      <w:r w:rsidR="00D035F6">
        <w:rPr>
          <w:lang w:val="en-AU"/>
        </w:rPr>
        <w:t>c</w:t>
      </w:r>
      <w:r w:rsidR="00FC079A" w:rsidRPr="008467AA">
        <w:rPr>
          <w:lang w:val="en-AU"/>
        </w:rPr>
        <w:t>hl</w:t>
      </w:r>
      <w:r w:rsidRPr="008467AA">
        <w:rPr>
          <w:lang w:val="en-AU"/>
        </w:rPr>
        <w:t xml:space="preserve"> and turbidity records showed more pronounced fluctuations than the manual sampling data (</w:t>
      </w:r>
      <w:r w:rsidR="00EB33A6">
        <w:rPr>
          <w:lang w:val="en-AU"/>
        </w:rPr>
        <w:fldChar w:fldCharType="begin"/>
      </w:r>
      <w:r w:rsidR="00673CF4">
        <w:rPr>
          <w:lang w:val="en-AU"/>
        </w:rPr>
        <w:instrText xml:space="preserve"> REF _Ref438134496 \h </w:instrText>
      </w:r>
      <w:r w:rsidR="00EB33A6">
        <w:rPr>
          <w:lang w:val="en-AU"/>
        </w:rPr>
      </w:r>
      <w:r w:rsidR="00EB33A6">
        <w:rPr>
          <w:lang w:val="en-AU"/>
        </w:rPr>
        <w:fldChar w:fldCharType="separate"/>
      </w:r>
      <w:r w:rsidR="007F5336" w:rsidRPr="007A1A6E">
        <w:t xml:space="preserve">Figure </w:t>
      </w:r>
      <w:r w:rsidR="007F5336">
        <w:rPr>
          <w:noProof/>
        </w:rPr>
        <w:t>5</w:t>
      </w:r>
      <w:r w:rsidR="007F5336">
        <w:noBreakHyphen/>
      </w:r>
      <w:r w:rsidR="007F5336">
        <w:rPr>
          <w:noProof/>
        </w:rPr>
        <w:t>40</w:t>
      </w:r>
      <w:r w:rsidR="00EB33A6">
        <w:rPr>
          <w:lang w:val="en-AU"/>
        </w:rPr>
        <w:fldChar w:fldCharType="end"/>
      </w:r>
      <w:r w:rsidR="003F7A36" w:rsidRPr="008467AA">
        <w:rPr>
          <w:lang w:val="en-AU"/>
        </w:rPr>
        <w:t>b</w:t>
      </w:r>
      <w:r w:rsidRPr="008467AA">
        <w:rPr>
          <w:lang w:val="en-AU"/>
        </w:rPr>
        <w:t xml:space="preserve">, g). The trend-lines of </w:t>
      </w:r>
      <w:r w:rsidR="00FC079A">
        <w:rPr>
          <w:lang w:val="en-AU"/>
        </w:rPr>
        <w:t>C</w:t>
      </w:r>
      <w:r w:rsidR="00FC079A" w:rsidRPr="008467AA">
        <w:rPr>
          <w:lang w:val="en-AU"/>
        </w:rPr>
        <w:t>hl</w:t>
      </w:r>
      <w:r w:rsidR="00FC079A">
        <w:rPr>
          <w:lang w:val="en-AU"/>
        </w:rPr>
        <w:t>-a</w:t>
      </w:r>
      <w:r w:rsidR="00FC079A" w:rsidRPr="008467AA">
        <w:rPr>
          <w:lang w:val="en-AU"/>
        </w:rPr>
        <w:t xml:space="preserve"> </w:t>
      </w:r>
      <w:r w:rsidRPr="008467AA">
        <w:rPr>
          <w:lang w:val="en-AU"/>
        </w:rPr>
        <w:t>showed distinct maxima above the guideline during the wet seasons of 2008-09, 2011-12 and 2013-14</w:t>
      </w:r>
      <w:r w:rsidR="00805C15" w:rsidRPr="008467AA">
        <w:rPr>
          <w:lang w:val="en-AU"/>
        </w:rPr>
        <w:t xml:space="preserve"> (</w:t>
      </w:r>
      <w:r w:rsidR="00EB33A6">
        <w:rPr>
          <w:lang w:val="en-AU"/>
        </w:rPr>
        <w:fldChar w:fldCharType="begin"/>
      </w:r>
      <w:r w:rsidR="00673CF4">
        <w:rPr>
          <w:lang w:val="en-AU"/>
        </w:rPr>
        <w:instrText xml:space="preserve"> REF _Ref438134496 \h </w:instrText>
      </w:r>
      <w:r w:rsidR="00EB33A6">
        <w:rPr>
          <w:lang w:val="en-AU"/>
        </w:rPr>
      </w:r>
      <w:r w:rsidR="00EB33A6">
        <w:rPr>
          <w:lang w:val="en-AU"/>
        </w:rPr>
        <w:fldChar w:fldCharType="separate"/>
      </w:r>
      <w:r w:rsidR="007F5336" w:rsidRPr="007A1A6E">
        <w:t xml:space="preserve">Figure </w:t>
      </w:r>
      <w:r w:rsidR="007F5336">
        <w:rPr>
          <w:noProof/>
        </w:rPr>
        <w:t>5</w:t>
      </w:r>
      <w:r w:rsidR="007F5336">
        <w:noBreakHyphen/>
      </w:r>
      <w:r w:rsidR="007F5336">
        <w:rPr>
          <w:noProof/>
        </w:rPr>
        <w:t>40</w:t>
      </w:r>
      <w:r w:rsidR="00EB33A6">
        <w:rPr>
          <w:lang w:val="en-AU"/>
        </w:rPr>
        <w:fldChar w:fldCharType="end"/>
      </w:r>
      <w:r w:rsidR="003F7A36" w:rsidRPr="008467AA">
        <w:rPr>
          <w:lang w:val="en-AU"/>
        </w:rPr>
        <w:t>b</w:t>
      </w:r>
      <w:r w:rsidRPr="008467AA">
        <w:rPr>
          <w:lang w:val="en-AU"/>
        </w:rPr>
        <w:t>). The turbidity record increased over the monitoring period with maxima above the guideline in 2011, 2013, 2014</w:t>
      </w:r>
      <w:r w:rsidR="00805C15" w:rsidRPr="008467AA">
        <w:rPr>
          <w:lang w:val="en-AU"/>
        </w:rPr>
        <w:t xml:space="preserve"> and 2015 (</w:t>
      </w:r>
      <w:r w:rsidR="00EB33A6">
        <w:rPr>
          <w:lang w:val="en-AU"/>
        </w:rPr>
        <w:fldChar w:fldCharType="begin"/>
      </w:r>
      <w:r w:rsidR="00673CF4">
        <w:rPr>
          <w:lang w:val="en-AU"/>
        </w:rPr>
        <w:instrText xml:space="preserve"> REF _Ref438134496 \h </w:instrText>
      </w:r>
      <w:r w:rsidR="00EB33A6">
        <w:rPr>
          <w:lang w:val="en-AU"/>
        </w:rPr>
      </w:r>
      <w:r w:rsidR="00EB33A6">
        <w:rPr>
          <w:lang w:val="en-AU"/>
        </w:rPr>
        <w:fldChar w:fldCharType="separate"/>
      </w:r>
      <w:r w:rsidR="007F5336" w:rsidRPr="007A1A6E">
        <w:t xml:space="preserve">Figure </w:t>
      </w:r>
      <w:r w:rsidR="007F5336">
        <w:rPr>
          <w:noProof/>
        </w:rPr>
        <w:t>5</w:t>
      </w:r>
      <w:r w:rsidR="007F5336">
        <w:noBreakHyphen/>
      </w:r>
      <w:r w:rsidR="007F5336">
        <w:rPr>
          <w:noProof/>
        </w:rPr>
        <w:t>40</w:t>
      </w:r>
      <w:r w:rsidR="00EB33A6">
        <w:rPr>
          <w:lang w:val="en-AU"/>
        </w:rPr>
        <w:fldChar w:fldCharType="end"/>
      </w:r>
      <w:r w:rsidR="003F7A36" w:rsidRPr="008467AA">
        <w:rPr>
          <w:lang w:val="en-AU"/>
        </w:rPr>
        <w:t>g</w:t>
      </w:r>
      <w:r w:rsidRPr="008467AA">
        <w:rPr>
          <w:lang w:val="en-AU"/>
        </w:rPr>
        <w:t>).</w:t>
      </w:r>
      <w:r w:rsidRPr="008467AA">
        <w:rPr>
          <w:rFonts w:cs="Arial"/>
          <w:lang w:val="en-AU"/>
        </w:rPr>
        <w:t xml:space="preserve"> The TSS and turbidity data showed different temporal trends, with </w:t>
      </w:r>
      <w:r w:rsidR="0086463D">
        <w:rPr>
          <w:rFonts w:cs="Arial"/>
          <w:lang w:val="en-AU"/>
        </w:rPr>
        <w:t>T</w:t>
      </w:r>
      <w:r w:rsidRPr="008467AA">
        <w:rPr>
          <w:rFonts w:cs="Arial"/>
          <w:lang w:val="en-AU"/>
        </w:rPr>
        <w:t xml:space="preserve">SS decreasing and turbidity increasing, indicating that the size spectrum/composition of the optical active particle fraction has changed over the monitoring period.  </w:t>
      </w:r>
    </w:p>
    <w:p w14:paraId="5F22F2BA" w14:textId="77777777" w:rsidR="00886E1D" w:rsidRPr="007A1A6E" w:rsidRDefault="00886E1D" w:rsidP="008645FA">
      <w:pPr>
        <w:rPr>
          <w:rFonts w:cs="Arial"/>
          <w:lang w:val="en-AU"/>
        </w:rPr>
      </w:pPr>
    </w:p>
    <w:p w14:paraId="5F22F2BB" w14:textId="77777777" w:rsidR="00E227AF" w:rsidRPr="007A1A6E" w:rsidRDefault="007A1A6E" w:rsidP="00E227AF">
      <w:pPr>
        <w:rPr>
          <w:color w:val="0070C0"/>
          <w:lang w:val="en-AU"/>
        </w:rPr>
      </w:pPr>
      <w:r>
        <w:rPr>
          <w:noProof/>
          <w:color w:val="0070C0"/>
          <w:lang w:val="en-AU" w:eastAsia="en-AU"/>
        </w:rPr>
        <w:drawing>
          <wp:inline distT="0" distB="0" distL="0" distR="0" wp14:anchorId="5F2323F5" wp14:editId="145C6C59">
            <wp:extent cx="5731510" cy="5731510"/>
            <wp:effectExtent l="0" t="0" r="2540" b="2540"/>
            <wp:docPr id="243" name="Picture 243" descr="Panel of plots showing temporal trends in water quality for the Burdekin focus area.  a) Water Quality Index, b) chlorophyll a, c) total suspended solids, d) nitrate/nitrite, e) Secchi depth, f) particulate nitrogen, g) particulate phosphorus, h) particulate organic carbon and i) dissolved organic carbon. Water quality index colour coding: dark green- ‘very good’; light green-‘good’; yellow – ‘moderate; orange – ‘poor’; red – ‘very poor’. The water quality index is the aggregate of variables plotted in b - h and calculated as described in Appendix 1.2.3. Trends in POC and DOC values are plotted here (i, j); threshold levels have yet to be established.  Trends in manually sampled water quality variables are represented by blue lines with blue shaded areas defining 95% confidence intervals of those trends accounting for the effects of wind, waves and tides, black dots represent observed data. Trends of records from ECO FLNTUSB instruments are represented in red, individual records are not displayed. Dashed reference lines indicate guideline values." title="Figure 5 40: Temporal trends in water quality for the Burdekin focus area.  a) Water Quality Index, b) chlorophyll a, c) total suspended solids, d) nitrate/nitrite, e) Secchi depth, f) particulate nitrogen, g) particulate phosphorus, h) particulate organic carbon and i) dissolved organic carb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clonborg\Desktop\MMP report 2014-15\Final graphs 2015\EcosystemHealth\ecosystemHealth_WQ_niskin.all.reef.av_Burdekin.png"/>
                    <pic:cNvPicPr>
                      <a:picLocks noChangeAspect="1" noChangeArrowheads="1"/>
                    </pic:cNvPicPr>
                  </pic:nvPicPr>
                  <pic:blipFill>
                    <a:blip r:embed="rId356">
                      <a:extLst>
                        <a:ext uri="{28A0092B-C50C-407E-A947-70E740481C1C}">
                          <a14:useLocalDpi xmlns:a14="http://schemas.microsoft.com/office/drawing/2010/main" val="0"/>
                        </a:ext>
                      </a:extLst>
                    </a:blip>
                    <a:srcRect/>
                    <a:stretch>
                      <a:fillRect/>
                    </a:stretch>
                  </pic:blipFill>
                  <pic:spPr bwMode="auto">
                    <a:xfrm>
                      <a:off x="0" y="0"/>
                      <a:ext cx="5731510" cy="5731510"/>
                    </a:xfrm>
                    <a:prstGeom prst="rect">
                      <a:avLst/>
                    </a:prstGeom>
                    <a:noFill/>
                    <a:ln>
                      <a:noFill/>
                    </a:ln>
                  </pic:spPr>
                </pic:pic>
              </a:graphicData>
            </a:graphic>
          </wp:inline>
        </w:drawing>
      </w:r>
    </w:p>
    <w:p w14:paraId="5F22F2BD" w14:textId="40CAF65D" w:rsidR="005A6D5D" w:rsidRPr="007A1A6E" w:rsidRDefault="005A6D5D" w:rsidP="00164E5E">
      <w:pPr>
        <w:pStyle w:val="Caption"/>
      </w:pPr>
      <w:bookmarkStart w:id="1253" w:name="_Ref438134496"/>
      <w:bookmarkStart w:id="1254" w:name="_Toc436913491"/>
      <w:bookmarkStart w:id="1255" w:name="_Toc459332398"/>
      <w:r w:rsidRPr="007A1A6E">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40</w:t>
      </w:r>
      <w:r w:rsidR="00C62884">
        <w:fldChar w:fldCharType="end"/>
      </w:r>
      <w:bookmarkEnd w:id="1253"/>
      <w:r w:rsidRPr="007A1A6E">
        <w:t xml:space="preserve">: </w:t>
      </w:r>
      <w:r w:rsidR="008645FA" w:rsidRPr="007A1A6E">
        <w:t xml:space="preserve">Temporal trends in water quality for the Burdekin </w:t>
      </w:r>
      <w:r w:rsidR="0086463D">
        <w:t>focus area</w:t>
      </w:r>
      <w:r w:rsidR="008645FA" w:rsidRPr="007A1A6E">
        <w:t>.</w:t>
      </w:r>
      <w:r w:rsidR="00B43F3B">
        <w:t xml:space="preserve"> </w:t>
      </w:r>
      <w:r w:rsidR="008645FA" w:rsidRPr="00544893">
        <w:rPr>
          <w:rStyle w:val="IntenseReference"/>
        </w:rPr>
        <w:t xml:space="preserve"> </w:t>
      </w:r>
      <w:r w:rsidR="00702B17" w:rsidRPr="00544893">
        <w:rPr>
          <w:rStyle w:val="IntenseReference"/>
        </w:rPr>
        <w:t xml:space="preserve">a) </w:t>
      </w:r>
      <w:r w:rsidR="0086463D">
        <w:rPr>
          <w:rStyle w:val="IntenseReference"/>
        </w:rPr>
        <w:t>W</w:t>
      </w:r>
      <w:r w:rsidR="00702B17" w:rsidRPr="00544893">
        <w:rPr>
          <w:rStyle w:val="IntenseReference"/>
        </w:rPr>
        <w:t xml:space="preserve">ater </w:t>
      </w:r>
      <w:r w:rsidR="0086463D">
        <w:rPr>
          <w:rStyle w:val="IntenseReference"/>
        </w:rPr>
        <w:t>Q</w:t>
      </w:r>
      <w:r w:rsidR="00702B17" w:rsidRPr="00544893">
        <w:rPr>
          <w:rStyle w:val="IntenseReference"/>
        </w:rPr>
        <w:t xml:space="preserve">uality </w:t>
      </w:r>
      <w:r w:rsidR="0086463D">
        <w:rPr>
          <w:rStyle w:val="IntenseReference"/>
        </w:rPr>
        <w:t>I</w:t>
      </w:r>
      <w:r w:rsidR="00702B17" w:rsidRPr="00544893">
        <w:rPr>
          <w:rStyle w:val="IntenseReference"/>
        </w:rPr>
        <w:t>ndex, b) chlorophyll a, c) total suspended solids, d) nitrate/nitrite, e) Secchi depth, f) particulate nitrogen, g) particulate phosphorus, h) particulate organic carbon and i) dissolved organic carbon. Water quality index colour coding: dark green- ‘very good’; light green-‘good’; yellow – ‘moderate; orange – ‘poor’; red – ‘very poor’. The water quality index is the aggregate of variables plotted in b - h and calculated as described in Appendix 1.2.3. Trends in POC and DOC values are plotted here (i, j); threshold levels have yet to be established.  Trends in manually sampled water quality variables are represented by blue lines with blue shaded areas defining 95% confidence intervals of those trends</w:t>
      </w:r>
      <w:r w:rsidR="00E25252" w:rsidRPr="00E25252">
        <w:rPr>
          <w:color w:val="000000"/>
        </w:rPr>
        <w:t xml:space="preserve"> </w:t>
      </w:r>
      <w:r w:rsidR="00E25252" w:rsidRPr="00C52985">
        <w:rPr>
          <w:color w:val="000000"/>
        </w:rPr>
        <w:t xml:space="preserve">accounting for the effects of </w:t>
      </w:r>
      <w:r w:rsidR="00E25252" w:rsidRPr="00C52985">
        <w:t>wind, waves and tides</w:t>
      </w:r>
      <w:r w:rsidR="00702B17" w:rsidRPr="00544893">
        <w:rPr>
          <w:rStyle w:val="IntenseReference"/>
        </w:rPr>
        <w:t>, black dots represent observed data. Trends of records from ECO FLNTUSB instruments are represented in red, individual records are not displayed. Dashed reference lines indicate guideline values</w:t>
      </w:r>
      <w:r w:rsidR="00702B17">
        <w:rPr>
          <w:rStyle w:val="IntenseReference"/>
        </w:rPr>
        <w:t>.</w:t>
      </w:r>
      <w:bookmarkEnd w:id="1254"/>
      <w:bookmarkEnd w:id="1255"/>
    </w:p>
    <w:p w14:paraId="5F22F2BF" w14:textId="15D1F696" w:rsidR="00B930DE" w:rsidRDefault="00B930DE">
      <w:pPr>
        <w:spacing w:before="0" w:after="0"/>
        <w:jc w:val="left"/>
        <w:rPr>
          <w:rFonts w:eastAsia="SimSun"/>
          <w:i/>
          <w:szCs w:val="24"/>
          <w:lang w:val="en-AU"/>
        </w:rPr>
      </w:pPr>
    </w:p>
    <w:p w14:paraId="5F22F2C0" w14:textId="77777777" w:rsidR="00446EA5" w:rsidRPr="00EE5D45" w:rsidRDefault="00446EA5" w:rsidP="00164E5E">
      <w:pPr>
        <w:pStyle w:val="Heading4"/>
      </w:pPr>
      <w:r>
        <w:t>W</w:t>
      </w:r>
      <w:r w:rsidRPr="00EE5D45">
        <w:t>et season</w:t>
      </w:r>
      <w:r>
        <w:t xml:space="preserve"> water quality</w:t>
      </w:r>
    </w:p>
    <w:p w14:paraId="5F22F2C1" w14:textId="33DDD869" w:rsidR="00716C55" w:rsidRPr="007A1A6E" w:rsidRDefault="00716C55" w:rsidP="00716C55">
      <w:pPr>
        <w:rPr>
          <w:rFonts w:cs="Arial"/>
          <w:color w:val="000000" w:themeColor="text1"/>
          <w:lang w:val="en-AU"/>
        </w:rPr>
      </w:pPr>
      <w:r w:rsidRPr="007A1A6E">
        <w:rPr>
          <w:rFonts w:cs="Arial"/>
          <w:color w:val="000000" w:themeColor="text1"/>
          <w:lang w:val="en-AU"/>
        </w:rPr>
        <w:t xml:space="preserve">Data collected in the wet season has also contributed to the understanding of the variability </w:t>
      </w:r>
      <w:r w:rsidR="003F7A36" w:rsidRPr="007A1A6E">
        <w:rPr>
          <w:rFonts w:cs="Arial"/>
          <w:color w:val="000000" w:themeColor="text1"/>
          <w:lang w:val="en-AU"/>
        </w:rPr>
        <w:t>associated</w:t>
      </w:r>
      <w:r w:rsidRPr="007A1A6E">
        <w:rPr>
          <w:rFonts w:cs="Arial"/>
          <w:color w:val="000000" w:themeColor="text1"/>
          <w:lang w:val="en-AU"/>
        </w:rPr>
        <w:t xml:space="preserve"> with the period of elevated flow and cyclonic activity. The Burdekin</w:t>
      </w:r>
      <w:r w:rsidR="003F7A36">
        <w:rPr>
          <w:rFonts w:cs="Arial"/>
          <w:color w:val="000000" w:themeColor="text1"/>
          <w:lang w:val="en-AU"/>
        </w:rPr>
        <w:t xml:space="preserve"> R</w:t>
      </w:r>
      <w:r w:rsidRPr="007A1A6E">
        <w:rPr>
          <w:rFonts w:cs="Arial"/>
          <w:color w:val="000000" w:themeColor="text1"/>
          <w:lang w:val="en-AU"/>
        </w:rPr>
        <w:t xml:space="preserve">iver </w:t>
      </w:r>
      <w:r w:rsidR="00791911">
        <w:rPr>
          <w:rFonts w:cs="Arial"/>
          <w:color w:val="000000" w:themeColor="text1"/>
          <w:lang w:val="en-AU"/>
        </w:rPr>
        <w:t>was</w:t>
      </w:r>
      <w:r w:rsidRPr="007A1A6E">
        <w:rPr>
          <w:rFonts w:cs="Arial"/>
          <w:color w:val="000000" w:themeColor="text1"/>
          <w:lang w:val="en-AU"/>
        </w:rPr>
        <w:t xml:space="preserve"> </w:t>
      </w:r>
      <w:r w:rsidR="00094D4A">
        <w:rPr>
          <w:rFonts w:cs="Arial"/>
          <w:color w:val="000000" w:themeColor="text1"/>
          <w:lang w:val="en-AU"/>
        </w:rPr>
        <w:t xml:space="preserve">previously </w:t>
      </w:r>
      <w:r w:rsidRPr="007A1A6E">
        <w:rPr>
          <w:rFonts w:cs="Arial"/>
          <w:color w:val="000000" w:themeColor="text1"/>
          <w:lang w:val="en-AU"/>
        </w:rPr>
        <w:t xml:space="preserve">sampled </w:t>
      </w:r>
      <w:r w:rsidR="00791911">
        <w:rPr>
          <w:rFonts w:cs="Arial"/>
          <w:color w:val="000000" w:themeColor="text1"/>
          <w:lang w:val="en-AU"/>
        </w:rPr>
        <w:t xml:space="preserve">in </w:t>
      </w:r>
      <w:r w:rsidRPr="007A1A6E">
        <w:rPr>
          <w:rFonts w:cs="Arial"/>
          <w:color w:val="000000" w:themeColor="text1"/>
          <w:lang w:val="en-AU"/>
        </w:rPr>
        <w:t>2010</w:t>
      </w:r>
      <w:r w:rsidR="003F7A36">
        <w:rPr>
          <w:rFonts w:cs="Arial"/>
          <w:color w:val="000000" w:themeColor="text1"/>
          <w:lang w:val="en-AU"/>
        </w:rPr>
        <w:t xml:space="preserve">, </w:t>
      </w:r>
      <w:r w:rsidR="00791911">
        <w:rPr>
          <w:rFonts w:cs="Arial"/>
          <w:color w:val="000000" w:themeColor="text1"/>
          <w:lang w:val="en-AU"/>
        </w:rPr>
        <w:t xml:space="preserve">2011 and 2013 </w:t>
      </w:r>
      <w:r w:rsidRPr="007A1A6E">
        <w:rPr>
          <w:rFonts w:cs="Arial"/>
          <w:color w:val="000000" w:themeColor="text1"/>
          <w:lang w:val="en-AU"/>
        </w:rPr>
        <w:t>(</w:t>
      </w:r>
      <w:r w:rsidR="00D035F6">
        <w:rPr>
          <w:rFonts w:cs="Arial"/>
          <w:color w:val="000000" w:themeColor="text1"/>
          <w:lang w:val="en-AU"/>
        </w:rPr>
        <w:t>Table A2-6</w:t>
      </w:r>
      <w:r w:rsidRPr="007A1A6E">
        <w:rPr>
          <w:rFonts w:cs="Arial"/>
          <w:color w:val="000000" w:themeColor="text1"/>
          <w:lang w:val="en-AU"/>
        </w:rPr>
        <w:t>).</w:t>
      </w:r>
    </w:p>
    <w:p w14:paraId="7AED9656" w14:textId="00970A77" w:rsidR="00094D4A" w:rsidRDefault="00094D4A" w:rsidP="00094D4A">
      <w:pPr>
        <w:rPr>
          <w:lang w:val="en-AU"/>
        </w:rPr>
      </w:pPr>
      <w:r w:rsidRPr="00A13B8E">
        <w:rPr>
          <w:lang w:val="en-AU"/>
        </w:rPr>
        <w:t xml:space="preserve">Details of samples collected in the wet season can be found in Appendix A2-6, </w:t>
      </w:r>
      <w:r w:rsidR="0086463D">
        <w:rPr>
          <w:lang w:val="en-AU"/>
        </w:rPr>
        <w:t>including</w:t>
      </w:r>
      <w:r w:rsidRPr="00A13B8E">
        <w:rPr>
          <w:lang w:val="en-AU"/>
        </w:rPr>
        <w:t xml:space="preserve"> </w:t>
      </w:r>
      <w:r>
        <w:rPr>
          <w:lang w:val="en-AU"/>
        </w:rPr>
        <w:t xml:space="preserve">a </w:t>
      </w:r>
      <w:r w:rsidRPr="00A13B8E">
        <w:rPr>
          <w:lang w:val="en-AU"/>
        </w:rPr>
        <w:t xml:space="preserve">statistical summary of the water quality parameters collected over the 2014-15 wet season. Salinity mixing plots for the data collected </w:t>
      </w:r>
      <w:r w:rsidR="006D2CEE">
        <w:rPr>
          <w:lang w:val="en-AU"/>
        </w:rPr>
        <w:t>at Burdekin</w:t>
      </w:r>
      <w:r w:rsidR="006D2CEE" w:rsidRPr="00A13B8E">
        <w:rPr>
          <w:lang w:val="en-AU"/>
        </w:rPr>
        <w:t xml:space="preserve"> sites </w:t>
      </w:r>
      <w:r w:rsidRPr="00A13B8E">
        <w:rPr>
          <w:lang w:val="en-AU"/>
        </w:rPr>
        <w:t xml:space="preserve">in the 2014-15 wet season </w:t>
      </w:r>
      <w:r w:rsidR="006D2CEE">
        <w:rPr>
          <w:lang w:val="en-AU"/>
        </w:rPr>
        <w:t>for</w:t>
      </w:r>
      <w:r w:rsidRPr="00A13B8E">
        <w:rPr>
          <w:lang w:val="en-AU"/>
        </w:rPr>
        <w:t xml:space="preserve"> each sampling event are presented for DIN, DIP, K</w:t>
      </w:r>
      <w:r w:rsidRPr="00A13B8E">
        <w:rPr>
          <w:vertAlign w:val="subscript"/>
          <w:lang w:val="en-AU"/>
        </w:rPr>
        <w:t>d</w:t>
      </w:r>
      <w:r w:rsidRPr="00A13B8E">
        <w:rPr>
          <w:lang w:val="en-AU"/>
        </w:rPr>
        <w:t>(PAR), TSS, Chl-a</w:t>
      </w:r>
      <w:r>
        <w:rPr>
          <w:lang w:val="en-AU"/>
        </w:rPr>
        <w:t>, PN, PP</w:t>
      </w:r>
      <w:r w:rsidRPr="00A13B8E">
        <w:rPr>
          <w:lang w:val="en-AU"/>
        </w:rPr>
        <w:t xml:space="preserve"> and CDOM (Figures A2-15 to A2-20).</w:t>
      </w:r>
    </w:p>
    <w:p w14:paraId="37F53CF2" w14:textId="55F041C7" w:rsidR="00094D4A" w:rsidRDefault="00094D4A" w:rsidP="005A6D5D">
      <w:pPr>
        <w:rPr>
          <w:lang w:val="en-AU"/>
        </w:rPr>
      </w:pPr>
      <w:r>
        <w:rPr>
          <w:lang w:val="en-AU"/>
        </w:rPr>
        <w:t xml:space="preserve">As </w:t>
      </w:r>
      <w:r w:rsidR="006C24E1">
        <w:rPr>
          <w:lang w:val="en-AU"/>
        </w:rPr>
        <w:t>for</w:t>
      </w:r>
      <w:r>
        <w:rPr>
          <w:lang w:val="en-AU"/>
        </w:rPr>
        <w:t xml:space="preserve"> the other </w:t>
      </w:r>
      <w:r w:rsidR="006D2CEE">
        <w:rPr>
          <w:lang w:val="en-AU"/>
        </w:rPr>
        <w:t>focus areas</w:t>
      </w:r>
      <w:r>
        <w:rPr>
          <w:lang w:val="en-AU"/>
        </w:rPr>
        <w:t xml:space="preserve">, end-of–catchment parameter concentrations at each sampling date </w:t>
      </w:r>
      <w:r w:rsidR="006D2CEE">
        <w:rPr>
          <w:lang w:val="en-AU"/>
        </w:rPr>
        <w:t>were</w:t>
      </w:r>
      <w:r>
        <w:rPr>
          <w:lang w:val="en-AU"/>
        </w:rPr>
        <w:t xml:space="preserve"> not available to produce proper mixing plots for the Burdekin </w:t>
      </w:r>
      <w:r w:rsidR="006D2CEE">
        <w:rPr>
          <w:lang w:val="en-AU"/>
        </w:rPr>
        <w:t>focus area</w:t>
      </w:r>
      <w:r>
        <w:rPr>
          <w:lang w:val="en-AU"/>
        </w:rPr>
        <w:t xml:space="preserve">. Average values, calculated from long-term data (since 2006) where salinity was below 5 </w:t>
      </w:r>
      <w:r w:rsidR="006D2CEE">
        <w:rPr>
          <w:lang w:val="en-AU"/>
        </w:rPr>
        <w:t xml:space="preserve">ppt </w:t>
      </w:r>
      <w:r>
        <w:rPr>
          <w:lang w:val="en-AU"/>
        </w:rPr>
        <w:t xml:space="preserve">were used instead. The Burdekin sites were sampled in two events, mid-February and end of March, and they did not capture any flood event. As a result, sites were not exposed to freshwater, with salinity </w:t>
      </w:r>
      <w:r w:rsidRPr="00A13B8E">
        <w:rPr>
          <w:lang w:val="en-AU"/>
        </w:rPr>
        <w:t>&gt; 30</w:t>
      </w:r>
      <w:r>
        <w:rPr>
          <w:lang w:val="en-AU"/>
        </w:rPr>
        <w:t xml:space="preserve"> </w:t>
      </w:r>
      <w:r w:rsidRPr="00A13B8E">
        <w:rPr>
          <w:lang w:val="en-AU"/>
        </w:rPr>
        <w:t xml:space="preserve">ppt, </w:t>
      </w:r>
      <w:r>
        <w:rPr>
          <w:lang w:val="en-AU"/>
        </w:rPr>
        <w:t xml:space="preserve">thus </w:t>
      </w:r>
      <w:r w:rsidRPr="00A13B8E">
        <w:rPr>
          <w:lang w:val="en-AU"/>
        </w:rPr>
        <w:t xml:space="preserve">limiting the description of the dilution mixing process across the salinity gradient. </w:t>
      </w:r>
      <w:r>
        <w:rPr>
          <w:lang w:val="en-AU"/>
        </w:rPr>
        <w:t>The only observation from these mixing plots is that all parameters, except CDOM and Chl-a, were relatively constant over the sampled sites.</w:t>
      </w:r>
    </w:p>
    <w:p w14:paraId="4F044F49" w14:textId="2734BCA6" w:rsidR="00094D4A" w:rsidRDefault="00094D4A" w:rsidP="00094D4A">
      <w:pPr>
        <w:rPr>
          <w:lang w:val="en-AU"/>
        </w:rPr>
      </w:pPr>
      <w:r>
        <w:rPr>
          <w:lang w:val="en-AU"/>
        </w:rPr>
        <w:t xml:space="preserve">To investigate potential the control of discharge and wind on the </w:t>
      </w:r>
      <w:r w:rsidR="006D2CEE">
        <w:rPr>
          <w:lang w:val="en-AU"/>
        </w:rPr>
        <w:t>water quality</w:t>
      </w:r>
      <w:r>
        <w:rPr>
          <w:lang w:val="en-AU"/>
        </w:rPr>
        <w:t xml:space="preserve"> parameters sampled </w:t>
      </w:r>
      <w:r w:rsidR="006D2CEE">
        <w:rPr>
          <w:lang w:val="en-AU"/>
        </w:rPr>
        <w:t>in</w:t>
      </w:r>
      <w:r>
        <w:rPr>
          <w:lang w:val="en-AU"/>
        </w:rPr>
        <w:t xml:space="preserve"> the Burdekin </w:t>
      </w:r>
      <w:r w:rsidR="006D2CEE">
        <w:rPr>
          <w:lang w:val="en-AU"/>
        </w:rPr>
        <w:t>focus area</w:t>
      </w:r>
      <w:r>
        <w:rPr>
          <w:lang w:val="en-AU"/>
        </w:rPr>
        <w:t>, a Spearman correlation coefficient was determined (</w:t>
      </w:r>
      <w:r>
        <w:rPr>
          <w:lang w:val="en-AU"/>
        </w:rPr>
        <w:fldChar w:fldCharType="begin"/>
      </w:r>
      <w:r>
        <w:rPr>
          <w:lang w:val="en-AU"/>
        </w:rPr>
        <w:instrText xml:space="preserve"> REF _Ref453972894 \h </w:instrText>
      </w:r>
      <w:r>
        <w:rPr>
          <w:lang w:val="en-AU"/>
        </w:rPr>
      </w:r>
      <w:r>
        <w:rPr>
          <w:lang w:val="en-AU"/>
        </w:rPr>
        <w:fldChar w:fldCharType="separate"/>
      </w:r>
      <w:r w:rsidR="007F5336">
        <w:t xml:space="preserve">Table </w:t>
      </w:r>
      <w:r w:rsidR="007F5336">
        <w:rPr>
          <w:noProof/>
        </w:rPr>
        <w:t>5</w:t>
      </w:r>
      <w:r w:rsidR="007F5336">
        <w:noBreakHyphen/>
      </w:r>
      <w:r w:rsidR="007F5336">
        <w:rPr>
          <w:noProof/>
        </w:rPr>
        <w:t>7</w:t>
      </w:r>
      <w:r w:rsidR="007F5336">
        <w:t xml:space="preserve">: </w:t>
      </w:r>
      <w:r>
        <w:rPr>
          <w:lang w:val="en-AU"/>
        </w:rPr>
        <w:fldChar w:fldCharType="end"/>
      </w:r>
      <w:r>
        <w:rPr>
          <w:lang w:val="en-AU"/>
        </w:rPr>
        <w:t>). In this analysis</w:t>
      </w:r>
      <w:r w:rsidR="0043300D">
        <w:rPr>
          <w:lang w:val="en-AU"/>
        </w:rPr>
        <w:t>,</w:t>
      </w:r>
      <w:r>
        <w:rPr>
          <w:lang w:val="en-AU"/>
        </w:rPr>
        <w:t xml:space="preserve"> mean </w:t>
      </w:r>
      <w:r w:rsidR="0043300D">
        <w:rPr>
          <w:lang w:val="en-AU"/>
        </w:rPr>
        <w:t xml:space="preserve">parameter </w:t>
      </w:r>
      <w:r>
        <w:rPr>
          <w:lang w:val="en-AU"/>
        </w:rPr>
        <w:t xml:space="preserve">values per transect/day sampled since </w:t>
      </w:r>
      <w:r w:rsidR="0043300D">
        <w:rPr>
          <w:lang w:val="en-AU"/>
        </w:rPr>
        <w:t xml:space="preserve">the </w:t>
      </w:r>
      <w:r>
        <w:rPr>
          <w:lang w:val="en-AU"/>
        </w:rPr>
        <w:t xml:space="preserve">2005-06 wet season were used to reduce data variability </w:t>
      </w:r>
      <w:r w:rsidR="0043300D">
        <w:rPr>
          <w:lang w:val="en-AU"/>
        </w:rPr>
        <w:t>associated with</w:t>
      </w:r>
      <w:r w:rsidR="006D2CEE">
        <w:rPr>
          <w:lang w:val="en-AU"/>
        </w:rPr>
        <w:t xml:space="preserve"> </w:t>
      </w:r>
      <w:r>
        <w:rPr>
          <w:lang w:val="en-AU"/>
        </w:rPr>
        <w:t>changes in site location and site number. Overall</w:t>
      </w:r>
      <w:r w:rsidR="0043300D">
        <w:rPr>
          <w:lang w:val="en-AU"/>
        </w:rPr>
        <w:t>,</w:t>
      </w:r>
      <w:r>
        <w:rPr>
          <w:lang w:val="en-AU"/>
        </w:rPr>
        <w:t xml:space="preserve"> river discharge present</w:t>
      </w:r>
      <w:r w:rsidR="0043300D">
        <w:rPr>
          <w:lang w:val="en-AU"/>
        </w:rPr>
        <w:t>ed</w:t>
      </w:r>
      <w:r>
        <w:rPr>
          <w:lang w:val="en-AU"/>
        </w:rPr>
        <w:t xml:space="preserve"> </w:t>
      </w:r>
      <w:r w:rsidR="0043300D">
        <w:rPr>
          <w:lang w:val="en-AU"/>
        </w:rPr>
        <w:t xml:space="preserve">a </w:t>
      </w:r>
      <w:r>
        <w:rPr>
          <w:lang w:val="en-AU"/>
        </w:rPr>
        <w:t xml:space="preserve">negative correlation with Kd(PAR) and Si, suggesting the higher the river discharge, the lower the </w:t>
      </w:r>
      <w:r w:rsidR="0043300D">
        <w:rPr>
          <w:lang w:val="en-US"/>
        </w:rPr>
        <w:t>concentrations</w:t>
      </w:r>
      <w:r>
        <w:rPr>
          <w:lang w:val="en-AU"/>
        </w:rPr>
        <w:t xml:space="preserve">. </w:t>
      </w:r>
      <w:r w:rsidR="0043300D">
        <w:rPr>
          <w:lang w:val="en-AU"/>
        </w:rPr>
        <w:t xml:space="preserve">The </w:t>
      </w:r>
      <w:r>
        <w:rPr>
          <w:lang w:val="en-AU"/>
        </w:rPr>
        <w:t xml:space="preserve">N-S wind component, and therefore eventual resuspension events or currents, advecting the superficial water mass, correlated negatively with CDOM and PP, suggesting that the stronger the southerly winds, the lower </w:t>
      </w:r>
      <w:r w:rsidR="0043300D">
        <w:rPr>
          <w:lang w:val="en-AU"/>
        </w:rPr>
        <w:t xml:space="preserve">the concentration of </w:t>
      </w:r>
      <w:r>
        <w:rPr>
          <w:lang w:val="en-AU"/>
        </w:rPr>
        <w:t>these parameters.</w:t>
      </w:r>
    </w:p>
    <w:p w14:paraId="73627304" w14:textId="7628DA16" w:rsidR="00094D4A" w:rsidRDefault="00094D4A" w:rsidP="00094D4A">
      <w:pPr>
        <w:rPr>
          <w:lang w:val="en-AU"/>
        </w:rPr>
      </w:pPr>
      <w:r>
        <w:rPr>
          <w:lang w:val="en-AU"/>
        </w:rPr>
        <w:t>Salinity was included in this analysis to investigate its correlation against CDOM. The result</w:t>
      </w:r>
      <w:r w:rsidR="0043300D">
        <w:rPr>
          <w:lang w:val="en-AU"/>
        </w:rPr>
        <w:t>s</w:t>
      </w:r>
      <w:r>
        <w:rPr>
          <w:lang w:val="en-AU"/>
        </w:rPr>
        <w:t xml:space="preserve"> suggest the greater the salinity</w:t>
      </w:r>
      <w:r w:rsidR="0043300D">
        <w:rPr>
          <w:lang w:val="en-AU"/>
        </w:rPr>
        <w:t>,</w:t>
      </w:r>
      <w:r>
        <w:rPr>
          <w:lang w:val="en-AU"/>
        </w:rPr>
        <w:t xml:space="preserve"> the lower the CDOM concentration, as expected (</w:t>
      </w:r>
      <w:r w:rsidRPr="00205DFF">
        <w:rPr>
          <w:lang w:val="en-AU"/>
        </w:rPr>
        <w:t>Schroeder</w:t>
      </w:r>
      <w:r>
        <w:rPr>
          <w:lang w:val="en-AU"/>
        </w:rPr>
        <w:t xml:space="preserve">, 2012). Chl-a </w:t>
      </w:r>
      <w:r w:rsidR="0043300D">
        <w:rPr>
          <w:lang w:val="en-AU"/>
        </w:rPr>
        <w:t>did</w:t>
      </w:r>
      <w:r>
        <w:rPr>
          <w:lang w:val="en-AU"/>
        </w:rPr>
        <w:t xml:space="preserve"> not present </w:t>
      </w:r>
      <w:r w:rsidR="0043300D">
        <w:rPr>
          <w:lang w:val="en-AU"/>
        </w:rPr>
        <w:t xml:space="preserve">a </w:t>
      </w:r>
      <w:r>
        <w:rPr>
          <w:lang w:val="en-AU"/>
        </w:rPr>
        <w:t xml:space="preserve">correlation with any of the major macro nutrients, but </w:t>
      </w:r>
      <w:r w:rsidR="0043300D">
        <w:rPr>
          <w:lang w:val="en-AU"/>
        </w:rPr>
        <w:t>did</w:t>
      </w:r>
      <w:r>
        <w:rPr>
          <w:lang w:val="en-AU"/>
        </w:rPr>
        <w:t xml:space="preserve"> against CDOM. </w:t>
      </w:r>
    </w:p>
    <w:p w14:paraId="0664D133" w14:textId="57389B16" w:rsidR="00094D4A" w:rsidRDefault="006D2CEE" w:rsidP="00094D4A">
      <w:pPr>
        <w:pStyle w:val="Caption"/>
        <w:keepNext/>
        <w:rPr>
          <w:lang w:val="en-AU"/>
        </w:rPr>
      </w:pPr>
      <w:bookmarkStart w:id="1256" w:name="_Ref453972894"/>
      <w:bookmarkStart w:id="1257" w:name="_Toc459332161"/>
      <w:r>
        <w:t xml:space="preserve">Table </w:t>
      </w:r>
      <w:r w:rsidR="00124249">
        <w:fldChar w:fldCharType="begin"/>
      </w:r>
      <w:r w:rsidR="00124249">
        <w:instrText xml:space="preserve"> STYLEREF 1 \s </w:instrText>
      </w:r>
      <w:r w:rsidR="00124249">
        <w:fldChar w:fldCharType="separate"/>
      </w:r>
      <w:r w:rsidR="007F5336">
        <w:rPr>
          <w:noProof/>
        </w:rPr>
        <w:t>5</w:t>
      </w:r>
      <w:r w:rsidR="00124249">
        <w:fldChar w:fldCharType="end"/>
      </w:r>
      <w:r w:rsidR="00124249">
        <w:noBreakHyphen/>
      </w:r>
      <w:r w:rsidR="00124249">
        <w:fldChar w:fldCharType="begin"/>
      </w:r>
      <w:r w:rsidR="00124249">
        <w:instrText xml:space="preserve"> SEQ Table \* ARABIC \s 1 </w:instrText>
      </w:r>
      <w:r w:rsidR="00124249">
        <w:fldChar w:fldCharType="separate"/>
      </w:r>
      <w:r w:rsidR="007F5336">
        <w:rPr>
          <w:noProof/>
        </w:rPr>
        <w:t>7</w:t>
      </w:r>
      <w:r w:rsidR="00124249">
        <w:fldChar w:fldCharType="end"/>
      </w:r>
      <w:r>
        <w:t xml:space="preserve">: </w:t>
      </w:r>
      <w:bookmarkEnd w:id="1256"/>
      <w:r w:rsidR="00094D4A">
        <w:rPr>
          <w:lang w:val="en-AU"/>
        </w:rPr>
        <w:t xml:space="preserve">Burdekin sites: Spearman Correlation Coefficient calculated using the mean value of each parameter sampled per transect when all sites sampled since 2005-06 wet season are combined. Water </w:t>
      </w:r>
      <w:r w:rsidR="0043300D">
        <w:rPr>
          <w:lang w:val="en-AU"/>
        </w:rPr>
        <w:t>q</w:t>
      </w:r>
      <w:r w:rsidR="00094D4A">
        <w:rPr>
          <w:lang w:val="en-AU"/>
        </w:rPr>
        <w:t>uality parameters tested were: light attenuation (Kd(PAR)), coloured dissolved organic matter (CDOM), dissolved inorganic nitrogen (DIN), dissolved inorganic phosphorus (DIP), particulate nitrogen (PN), particulate phosphorus (PP), reactive silica (Si) and chlorophyll-a (Chl-a), and they were tested against river discharge, W-E wind component, N-S wind component , surface salinity and chlorophyll-a. Significant (p&lt;0.05) correlation coefficients &gt;0.6 or &lt;-0.6 are highlighted.</w:t>
      </w:r>
      <w:bookmarkEnd w:id="1257"/>
    </w:p>
    <w:tbl>
      <w:tblPr>
        <w:tblW w:w="0" w:type="auto"/>
        <w:jc w:val="center"/>
        <w:tblLook w:val="04A0" w:firstRow="1" w:lastRow="0" w:firstColumn="1" w:lastColumn="0" w:noHBand="0" w:noVBand="1"/>
        <w:tblCaption w:val="Table 5 7: Burdekin sites: Spearman Correlation Coefficient calculated using the mean value of each parameter sampled per transect when all sites sampled since 2005-06 wet season are combined"/>
        <w:tblDescription w:val="Table showing Burdekin sites: Spearman Correlation Coefficient calculated using the mean value of each parameter sampled per transect when all sites sampled since 2005-06 wet season are combined. Water quality parameters tested were: light attenuation (Kd(PAR)), coloured dissolved organic matter (CDOM), dissolved inorganic nitrogen (DIN), dissolved inorganic phosphorus (DIP), particulate nitrogen (PN), particulate phosphorus (PP), reactive silica (Si) and chlorophyll-a (Chl-a), and they were tested against river discharge, W-E wind component, N-S wind component , surface salinity and chlorophyll-a. Significant (p&lt;0.05) correlation coefficients &gt;0.6 or &lt;-0.6 are highlighted."/>
      </w:tblPr>
      <w:tblGrid>
        <w:gridCol w:w="2046"/>
        <w:gridCol w:w="956"/>
        <w:gridCol w:w="766"/>
        <w:gridCol w:w="627"/>
        <w:gridCol w:w="627"/>
        <w:gridCol w:w="627"/>
        <w:gridCol w:w="627"/>
        <w:gridCol w:w="627"/>
        <w:gridCol w:w="627"/>
        <w:gridCol w:w="666"/>
      </w:tblGrid>
      <w:tr w:rsidR="00094D4A" w:rsidRPr="00B43F3B" w14:paraId="1508C759" w14:textId="77777777" w:rsidTr="00D93FAE">
        <w:trPr>
          <w:trHeight w:val="330"/>
          <w:tblHeader/>
          <w:jc w:val="center"/>
        </w:trPr>
        <w:tc>
          <w:tcPr>
            <w:tcW w:w="0" w:type="auto"/>
            <w:tcBorders>
              <w:top w:val="single" w:sz="4" w:space="0" w:color="auto"/>
              <w:left w:val="nil"/>
              <w:bottom w:val="single" w:sz="4" w:space="0" w:color="auto"/>
              <w:right w:val="nil"/>
            </w:tcBorders>
            <w:shd w:val="clear" w:color="auto" w:fill="auto"/>
            <w:noWrap/>
            <w:vAlign w:val="bottom"/>
            <w:hideMark/>
          </w:tcPr>
          <w:p w14:paraId="64BA526A" w14:textId="77777777" w:rsidR="00094D4A" w:rsidRPr="004A5BF7" w:rsidRDefault="00094D4A" w:rsidP="0043300D">
            <w:pPr>
              <w:spacing w:before="0" w:after="0"/>
              <w:jc w:val="left"/>
              <w:rPr>
                <w:rFonts w:cs="Arial"/>
                <w:b/>
                <w:bCs/>
                <w:color w:val="000000"/>
                <w:sz w:val="18"/>
                <w:szCs w:val="18"/>
                <w:lang w:val="en-AU" w:eastAsia="en-AU"/>
              </w:rPr>
            </w:pPr>
            <w:r w:rsidRPr="004A5BF7">
              <w:rPr>
                <w:rFonts w:cs="Arial"/>
                <w:b/>
                <w:bCs/>
                <w:color w:val="000000"/>
                <w:sz w:val="18"/>
                <w:szCs w:val="18"/>
                <w:lang w:val="en-AU" w:eastAsia="en-AU"/>
              </w:rPr>
              <w:t> </w:t>
            </w:r>
          </w:p>
        </w:tc>
        <w:tc>
          <w:tcPr>
            <w:tcW w:w="0" w:type="auto"/>
            <w:tcBorders>
              <w:top w:val="single" w:sz="4" w:space="0" w:color="auto"/>
              <w:left w:val="nil"/>
              <w:bottom w:val="single" w:sz="4" w:space="0" w:color="auto"/>
              <w:right w:val="nil"/>
            </w:tcBorders>
            <w:shd w:val="clear" w:color="auto" w:fill="auto"/>
            <w:noWrap/>
            <w:vAlign w:val="bottom"/>
            <w:hideMark/>
          </w:tcPr>
          <w:p w14:paraId="5AF891E2" w14:textId="77777777" w:rsidR="00094D4A" w:rsidRPr="004A5BF7" w:rsidRDefault="00094D4A" w:rsidP="0043300D">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Kd(PAR)</w:t>
            </w:r>
          </w:p>
        </w:tc>
        <w:tc>
          <w:tcPr>
            <w:tcW w:w="0" w:type="auto"/>
            <w:tcBorders>
              <w:top w:val="single" w:sz="4" w:space="0" w:color="auto"/>
              <w:left w:val="nil"/>
              <w:bottom w:val="single" w:sz="4" w:space="0" w:color="auto"/>
              <w:right w:val="nil"/>
            </w:tcBorders>
            <w:shd w:val="clear" w:color="auto" w:fill="auto"/>
            <w:noWrap/>
            <w:vAlign w:val="bottom"/>
            <w:hideMark/>
          </w:tcPr>
          <w:p w14:paraId="0D018217" w14:textId="77777777" w:rsidR="00094D4A" w:rsidRPr="004A5BF7" w:rsidRDefault="00094D4A" w:rsidP="0043300D">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CDOM</w:t>
            </w:r>
          </w:p>
        </w:tc>
        <w:tc>
          <w:tcPr>
            <w:tcW w:w="0" w:type="auto"/>
            <w:tcBorders>
              <w:top w:val="single" w:sz="4" w:space="0" w:color="auto"/>
              <w:left w:val="nil"/>
              <w:bottom w:val="single" w:sz="4" w:space="0" w:color="auto"/>
              <w:right w:val="nil"/>
            </w:tcBorders>
            <w:shd w:val="clear" w:color="auto" w:fill="auto"/>
            <w:noWrap/>
            <w:vAlign w:val="bottom"/>
            <w:hideMark/>
          </w:tcPr>
          <w:p w14:paraId="0DE870EB" w14:textId="77777777" w:rsidR="00094D4A" w:rsidRPr="004A5BF7" w:rsidRDefault="00094D4A" w:rsidP="0043300D">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TSS</w:t>
            </w:r>
          </w:p>
        </w:tc>
        <w:tc>
          <w:tcPr>
            <w:tcW w:w="0" w:type="auto"/>
            <w:tcBorders>
              <w:top w:val="single" w:sz="4" w:space="0" w:color="auto"/>
              <w:left w:val="nil"/>
              <w:bottom w:val="single" w:sz="4" w:space="0" w:color="auto"/>
              <w:right w:val="nil"/>
            </w:tcBorders>
            <w:shd w:val="clear" w:color="auto" w:fill="auto"/>
            <w:noWrap/>
            <w:vAlign w:val="bottom"/>
            <w:hideMark/>
          </w:tcPr>
          <w:p w14:paraId="2940A291" w14:textId="77777777" w:rsidR="00094D4A" w:rsidRPr="004A5BF7" w:rsidRDefault="00094D4A" w:rsidP="0043300D">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DIN</w:t>
            </w:r>
          </w:p>
        </w:tc>
        <w:tc>
          <w:tcPr>
            <w:tcW w:w="0" w:type="auto"/>
            <w:tcBorders>
              <w:top w:val="single" w:sz="4" w:space="0" w:color="auto"/>
              <w:left w:val="nil"/>
              <w:bottom w:val="single" w:sz="4" w:space="0" w:color="auto"/>
              <w:right w:val="nil"/>
            </w:tcBorders>
            <w:shd w:val="clear" w:color="auto" w:fill="auto"/>
            <w:noWrap/>
            <w:vAlign w:val="bottom"/>
            <w:hideMark/>
          </w:tcPr>
          <w:p w14:paraId="2FA95B2F" w14:textId="77777777" w:rsidR="00094D4A" w:rsidRPr="004A5BF7" w:rsidRDefault="00094D4A" w:rsidP="0043300D">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DIP</w:t>
            </w:r>
          </w:p>
        </w:tc>
        <w:tc>
          <w:tcPr>
            <w:tcW w:w="0" w:type="auto"/>
            <w:tcBorders>
              <w:top w:val="single" w:sz="4" w:space="0" w:color="auto"/>
              <w:left w:val="nil"/>
              <w:bottom w:val="single" w:sz="4" w:space="0" w:color="auto"/>
              <w:right w:val="nil"/>
            </w:tcBorders>
            <w:shd w:val="clear" w:color="auto" w:fill="auto"/>
            <w:noWrap/>
            <w:vAlign w:val="bottom"/>
            <w:hideMark/>
          </w:tcPr>
          <w:p w14:paraId="0F1BF0FF" w14:textId="77777777" w:rsidR="00094D4A" w:rsidRPr="004A5BF7" w:rsidRDefault="00094D4A" w:rsidP="0043300D">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PN</w:t>
            </w:r>
          </w:p>
        </w:tc>
        <w:tc>
          <w:tcPr>
            <w:tcW w:w="0" w:type="auto"/>
            <w:tcBorders>
              <w:top w:val="single" w:sz="4" w:space="0" w:color="auto"/>
              <w:left w:val="nil"/>
              <w:bottom w:val="single" w:sz="4" w:space="0" w:color="auto"/>
              <w:right w:val="nil"/>
            </w:tcBorders>
            <w:shd w:val="clear" w:color="auto" w:fill="auto"/>
            <w:noWrap/>
            <w:vAlign w:val="bottom"/>
            <w:hideMark/>
          </w:tcPr>
          <w:p w14:paraId="3DF90EB9" w14:textId="77777777" w:rsidR="00094D4A" w:rsidRPr="004A5BF7" w:rsidRDefault="00094D4A" w:rsidP="0043300D">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PP</w:t>
            </w:r>
          </w:p>
        </w:tc>
        <w:tc>
          <w:tcPr>
            <w:tcW w:w="0" w:type="auto"/>
            <w:tcBorders>
              <w:top w:val="single" w:sz="4" w:space="0" w:color="auto"/>
              <w:left w:val="nil"/>
              <w:bottom w:val="single" w:sz="4" w:space="0" w:color="auto"/>
              <w:right w:val="nil"/>
            </w:tcBorders>
            <w:shd w:val="clear" w:color="auto" w:fill="auto"/>
            <w:noWrap/>
            <w:vAlign w:val="bottom"/>
            <w:hideMark/>
          </w:tcPr>
          <w:p w14:paraId="16B6AFDE" w14:textId="77777777" w:rsidR="00094D4A" w:rsidRPr="004A5BF7" w:rsidRDefault="00094D4A" w:rsidP="0043300D">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Si</w:t>
            </w:r>
          </w:p>
        </w:tc>
        <w:tc>
          <w:tcPr>
            <w:tcW w:w="0" w:type="auto"/>
            <w:tcBorders>
              <w:top w:val="single" w:sz="4" w:space="0" w:color="auto"/>
              <w:left w:val="nil"/>
              <w:bottom w:val="single" w:sz="4" w:space="0" w:color="auto"/>
              <w:right w:val="nil"/>
            </w:tcBorders>
            <w:shd w:val="clear" w:color="auto" w:fill="auto"/>
            <w:noWrap/>
            <w:vAlign w:val="bottom"/>
            <w:hideMark/>
          </w:tcPr>
          <w:p w14:paraId="79859742" w14:textId="77777777" w:rsidR="00094D4A" w:rsidRPr="004A5BF7" w:rsidRDefault="00094D4A" w:rsidP="0043300D">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Chl-a</w:t>
            </w:r>
          </w:p>
        </w:tc>
      </w:tr>
      <w:tr w:rsidR="00094D4A" w:rsidRPr="00B43F3B" w14:paraId="38B5217D" w14:textId="77777777" w:rsidTr="0043300D">
        <w:trPr>
          <w:trHeight w:val="330"/>
          <w:jc w:val="center"/>
        </w:trPr>
        <w:tc>
          <w:tcPr>
            <w:tcW w:w="0" w:type="auto"/>
            <w:tcBorders>
              <w:top w:val="nil"/>
              <w:left w:val="nil"/>
              <w:bottom w:val="nil"/>
              <w:right w:val="nil"/>
            </w:tcBorders>
            <w:shd w:val="clear" w:color="auto" w:fill="auto"/>
            <w:noWrap/>
            <w:vAlign w:val="bottom"/>
            <w:hideMark/>
          </w:tcPr>
          <w:p w14:paraId="0CD46B4A" w14:textId="77777777" w:rsidR="00094D4A" w:rsidRPr="004A5BF7" w:rsidRDefault="00094D4A" w:rsidP="0043300D">
            <w:pPr>
              <w:spacing w:before="0" w:after="0"/>
              <w:jc w:val="left"/>
              <w:rPr>
                <w:rFonts w:cs="Arial"/>
                <w:b/>
                <w:bCs/>
                <w:color w:val="000000"/>
                <w:sz w:val="18"/>
                <w:szCs w:val="18"/>
                <w:lang w:val="en-AU" w:eastAsia="en-AU"/>
              </w:rPr>
            </w:pPr>
            <w:r w:rsidRPr="004A5BF7">
              <w:rPr>
                <w:rFonts w:cs="Arial"/>
                <w:b/>
                <w:bCs/>
                <w:color w:val="000000"/>
                <w:sz w:val="18"/>
                <w:szCs w:val="18"/>
                <w:lang w:val="en-AU" w:eastAsia="en-AU"/>
              </w:rPr>
              <w:t>Discharge</w:t>
            </w:r>
          </w:p>
        </w:tc>
        <w:tc>
          <w:tcPr>
            <w:tcW w:w="0" w:type="auto"/>
            <w:tcBorders>
              <w:top w:val="nil"/>
              <w:left w:val="nil"/>
              <w:bottom w:val="nil"/>
              <w:right w:val="nil"/>
            </w:tcBorders>
            <w:shd w:val="clear" w:color="000000" w:fill="FFC7CE"/>
            <w:noWrap/>
            <w:vAlign w:val="bottom"/>
            <w:hideMark/>
          </w:tcPr>
          <w:p w14:paraId="4C24B413" w14:textId="77777777" w:rsidR="00094D4A" w:rsidRPr="004A5BF7" w:rsidRDefault="00094D4A" w:rsidP="0043300D">
            <w:pPr>
              <w:spacing w:before="0" w:after="0"/>
              <w:jc w:val="center"/>
              <w:rPr>
                <w:rFonts w:cs="Arial"/>
                <w:color w:val="9C0006"/>
                <w:sz w:val="18"/>
                <w:szCs w:val="18"/>
                <w:lang w:val="en-AU" w:eastAsia="en-AU"/>
              </w:rPr>
            </w:pPr>
            <w:r w:rsidRPr="004A5BF7">
              <w:rPr>
                <w:rFonts w:cs="Arial"/>
                <w:color w:val="9C0006"/>
                <w:sz w:val="18"/>
                <w:szCs w:val="18"/>
                <w:lang w:val="en-AU" w:eastAsia="en-AU"/>
              </w:rPr>
              <w:t>-0.66</w:t>
            </w:r>
          </w:p>
        </w:tc>
        <w:tc>
          <w:tcPr>
            <w:tcW w:w="0" w:type="auto"/>
            <w:tcBorders>
              <w:top w:val="nil"/>
              <w:left w:val="nil"/>
              <w:bottom w:val="nil"/>
              <w:right w:val="nil"/>
            </w:tcBorders>
            <w:shd w:val="clear" w:color="auto" w:fill="auto"/>
            <w:noWrap/>
            <w:vAlign w:val="bottom"/>
            <w:hideMark/>
          </w:tcPr>
          <w:p w14:paraId="371D0D9A"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0.55</w:t>
            </w:r>
          </w:p>
        </w:tc>
        <w:tc>
          <w:tcPr>
            <w:tcW w:w="0" w:type="auto"/>
            <w:tcBorders>
              <w:top w:val="nil"/>
              <w:left w:val="nil"/>
              <w:bottom w:val="nil"/>
              <w:right w:val="nil"/>
            </w:tcBorders>
            <w:shd w:val="clear" w:color="auto" w:fill="auto"/>
            <w:noWrap/>
            <w:vAlign w:val="bottom"/>
            <w:hideMark/>
          </w:tcPr>
          <w:p w14:paraId="709F9878"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-0.19</w:t>
            </w:r>
          </w:p>
        </w:tc>
        <w:tc>
          <w:tcPr>
            <w:tcW w:w="0" w:type="auto"/>
            <w:tcBorders>
              <w:top w:val="nil"/>
              <w:left w:val="nil"/>
              <w:bottom w:val="nil"/>
              <w:right w:val="nil"/>
            </w:tcBorders>
            <w:shd w:val="clear" w:color="auto" w:fill="auto"/>
            <w:noWrap/>
            <w:vAlign w:val="bottom"/>
            <w:hideMark/>
          </w:tcPr>
          <w:p w14:paraId="35A93765"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0.41</w:t>
            </w:r>
          </w:p>
        </w:tc>
        <w:tc>
          <w:tcPr>
            <w:tcW w:w="0" w:type="auto"/>
            <w:tcBorders>
              <w:top w:val="nil"/>
              <w:left w:val="nil"/>
              <w:bottom w:val="nil"/>
              <w:right w:val="nil"/>
            </w:tcBorders>
            <w:shd w:val="clear" w:color="auto" w:fill="auto"/>
            <w:noWrap/>
            <w:vAlign w:val="bottom"/>
            <w:hideMark/>
          </w:tcPr>
          <w:p w14:paraId="37BEE4A6"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0.15</w:t>
            </w:r>
          </w:p>
        </w:tc>
        <w:tc>
          <w:tcPr>
            <w:tcW w:w="0" w:type="auto"/>
            <w:tcBorders>
              <w:top w:val="nil"/>
              <w:left w:val="nil"/>
              <w:bottom w:val="nil"/>
              <w:right w:val="nil"/>
            </w:tcBorders>
            <w:shd w:val="clear" w:color="auto" w:fill="auto"/>
            <w:noWrap/>
            <w:vAlign w:val="bottom"/>
            <w:hideMark/>
          </w:tcPr>
          <w:p w14:paraId="31568EAB"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-0.19</w:t>
            </w:r>
          </w:p>
        </w:tc>
        <w:tc>
          <w:tcPr>
            <w:tcW w:w="0" w:type="auto"/>
            <w:tcBorders>
              <w:top w:val="nil"/>
              <w:left w:val="nil"/>
              <w:bottom w:val="nil"/>
              <w:right w:val="nil"/>
            </w:tcBorders>
            <w:shd w:val="clear" w:color="auto" w:fill="auto"/>
            <w:noWrap/>
            <w:vAlign w:val="bottom"/>
            <w:hideMark/>
          </w:tcPr>
          <w:p w14:paraId="60AC1235"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0.59</w:t>
            </w:r>
          </w:p>
        </w:tc>
        <w:tc>
          <w:tcPr>
            <w:tcW w:w="0" w:type="auto"/>
            <w:tcBorders>
              <w:top w:val="nil"/>
              <w:left w:val="nil"/>
              <w:bottom w:val="nil"/>
              <w:right w:val="nil"/>
            </w:tcBorders>
            <w:shd w:val="clear" w:color="000000" w:fill="FFC7CE"/>
            <w:noWrap/>
            <w:vAlign w:val="bottom"/>
            <w:hideMark/>
          </w:tcPr>
          <w:p w14:paraId="44435E29" w14:textId="77777777" w:rsidR="00094D4A" w:rsidRPr="004A5BF7" w:rsidRDefault="00094D4A" w:rsidP="0043300D">
            <w:pPr>
              <w:spacing w:before="0" w:after="0"/>
              <w:jc w:val="center"/>
              <w:rPr>
                <w:rFonts w:cs="Arial"/>
                <w:color w:val="9C0006"/>
                <w:sz w:val="18"/>
                <w:szCs w:val="18"/>
                <w:lang w:val="en-AU" w:eastAsia="en-AU"/>
              </w:rPr>
            </w:pPr>
            <w:r w:rsidRPr="004A5BF7">
              <w:rPr>
                <w:rFonts w:cs="Arial"/>
                <w:color w:val="9C0006"/>
                <w:sz w:val="18"/>
                <w:szCs w:val="18"/>
                <w:lang w:val="en-AU" w:eastAsia="en-AU"/>
              </w:rPr>
              <w:t>-0.60</w:t>
            </w:r>
          </w:p>
        </w:tc>
        <w:tc>
          <w:tcPr>
            <w:tcW w:w="0" w:type="auto"/>
            <w:tcBorders>
              <w:top w:val="nil"/>
              <w:left w:val="nil"/>
              <w:bottom w:val="nil"/>
              <w:right w:val="nil"/>
            </w:tcBorders>
            <w:shd w:val="clear" w:color="auto" w:fill="auto"/>
            <w:noWrap/>
            <w:vAlign w:val="bottom"/>
            <w:hideMark/>
          </w:tcPr>
          <w:p w14:paraId="67801BBD"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-0.23</w:t>
            </w:r>
          </w:p>
        </w:tc>
      </w:tr>
      <w:tr w:rsidR="00094D4A" w:rsidRPr="00B43F3B" w14:paraId="1A675894" w14:textId="77777777" w:rsidTr="0043300D">
        <w:trPr>
          <w:trHeight w:val="330"/>
          <w:jc w:val="center"/>
        </w:trPr>
        <w:tc>
          <w:tcPr>
            <w:tcW w:w="0" w:type="auto"/>
            <w:tcBorders>
              <w:top w:val="nil"/>
              <w:left w:val="nil"/>
              <w:bottom w:val="nil"/>
              <w:right w:val="nil"/>
            </w:tcBorders>
            <w:shd w:val="clear" w:color="auto" w:fill="auto"/>
            <w:noWrap/>
            <w:vAlign w:val="bottom"/>
            <w:hideMark/>
          </w:tcPr>
          <w:p w14:paraId="17D28D9B" w14:textId="28B85D2E" w:rsidR="00094D4A" w:rsidRPr="004A5BF7" w:rsidRDefault="0043300D" w:rsidP="0043300D">
            <w:pPr>
              <w:spacing w:before="0" w:after="0"/>
              <w:jc w:val="left"/>
              <w:rPr>
                <w:rFonts w:cs="Arial"/>
                <w:b/>
                <w:bCs/>
                <w:color w:val="000000"/>
                <w:sz w:val="18"/>
                <w:szCs w:val="18"/>
                <w:lang w:val="en-AU" w:eastAsia="en-AU"/>
              </w:rPr>
            </w:pPr>
            <w:r w:rsidRPr="004A5BF7">
              <w:rPr>
                <w:rFonts w:cs="Arial"/>
                <w:b/>
                <w:bCs/>
                <w:color w:val="000000"/>
                <w:sz w:val="18"/>
                <w:szCs w:val="18"/>
                <w:lang w:val="en-AU" w:eastAsia="en-AU"/>
              </w:rPr>
              <w:t>W-E wind component</w:t>
            </w:r>
          </w:p>
        </w:tc>
        <w:tc>
          <w:tcPr>
            <w:tcW w:w="0" w:type="auto"/>
            <w:tcBorders>
              <w:top w:val="nil"/>
              <w:left w:val="nil"/>
              <w:bottom w:val="nil"/>
              <w:right w:val="nil"/>
            </w:tcBorders>
            <w:shd w:val="clear" w:color="auto" w:fill="auto"/>
            <w:noWrap/>
            <w:vAlign w:val="bottom"/>
            <w:hideMark/>
          </w:tcPr>
          <w:p w14:paraId="038F3AF2"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-0.50</w:t>
            </w:r>
          </w:p>
        </w:tc>
        <w:tc>
          <w:tcPr>
            <w:tcW w:w="0" w:type="auto"/>
            <w:tcBorders>
              <w:top w:val="nil"/>
              <w:left w:val="nil"/>
              <w:bottom w:val="nil"/>
              <w:right w:val="nil"/>
            </w:tcBorders>
            <w:shd w:val="clear" w:color="auto" w:fill="auto"/>
            <w:noWrap/>
            <w:vAlign w:val="bottom"/>
            <w:hideMark/>
          </w:tcPr>
          <w:p w14:paraId="28D4FBE8"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0.60</w:t>
            </w:r>
          </w:p>
        </w:tc>
        <w:tc>
          <w:tcPr>
            <w:tcW w:w="0" w:type="auto"/>
            <w:tcBorders>
              <w:top w:val="nil"/>
              <w:left w:val="nil"/>
              <w:bottom w:val="nil"/>
              <w:right w:val="nil"/>
            </w:tcBorders>
            <w:shd w:val="clear" w:color="auto" w:fill="auto"/>
            <w:noWrap/>
            <w:vAlign w:val="bottom"/>
            <w:hideMark/>
          </w:tcPr>
          <w:p w14:paraId="0DD0AA48"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-0.10</w:t>
            </w:r>
          </w:p>
        </w:tc>
        <w:tc>
          <w:tcPr>
            <w:tcW w:w="0" w:type="auto"/>
            <w:tcBorders>
              <w:top w:val="nil"/>
              <w:left w:val="nil"/>
              <w:bottom w:val="nil"/>
              <w:right w:val="nil"/>
            </w:tcBorders>
            <w:shd w:val="clear" w:color="auto" w:fill="auto"/>
            <w:noWrap/>
            <w:vAlign w:val="bottom"/>
            <w:hideMark/>
          </w:tcPr>
          <w:p w14:paraId="19214C13"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0.47</w:t>
            </w:r>
          </w:p>
        </w:tc>
        <w:tc>
          <w:tcPr>
            <w:tcW w:w="0" w:type="auto"/>
            <w:tcBorders>
              <w:top w:val="nil"/>
              <w:left w:val="nil"/>
              <w:bottom w:val="nil"/>
              <w:right w:val="nil"/>
            </w:tcBorders>
            <w:shd w:val="clear" w:color="auto" w:fill="auto"/>
            <w:noWrap/>
            <w:vAlign w:val="bottom"/>
            <w:hideMark/>
          </w:tcPr>
          <w:p w14:paraId="2D70260F"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0.04</w:t>
            </w:r>
          </w:p>
        </w:tc>
        <w:tc>
          <w:tcPr>
            <w:tcW w:w="0" w:type="auto"/>
            <w:tcBorders>
              <w:top w:val="nil"/>
              <w:left w:val="nil"/>
              <w:bottom w:val="nil"/>
              <w:right w:val="nil"/>
            </w:tcBorders>
            <w:shd w:val="clear" w:color="auto" w:fill="auto"/>
            <w:noWrap/>
            <w:vAlign w:val="bottom"/>
            <w:hideMark/>
          </w:tcPr>
          <w:p w14:paraId="4270C6EB"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-0.57</w:t>
            </w:r>
          </w:p>
        </w:tc>
        <w:tc>
          <w:tcPr>
            <w:tcW w:w="0" w:type="auto"/>
            <w:tcBorders>
              <w:top w:val="nil"/>
              <w:left w:val="nil"/>
              <w:bottom w:val="nil"/>
              <w:right w:val="nil"/>
            </w:tcBorders>
            <w:shd w:val="clear" w:color="auto" w:fill="auto"/>
            <w:noWrap/>
            <w:vAlign w:val="bottom"/>
            <w:hideMark/>
          </w:tcPr>
          <w:p w14:paraId="7B8C0B6C"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0.48</w:t>
            </w:r>
          </w:p>
        </w:tc>
        <w:tc>
          <w:tcPr>
            <w:tcW w:w="0" w:type="auto"/>
            <w:tcBorders>
              <w:top w:val="nil"/>
              <w:left w:val="nil"/>
              <w:bottom w:val="nil"/>
              <w:right w:val="nil"/>
            </w:tcBorders>
            <w:shd w:val="clear" w:color="auto" w:fill="auto"/>
            <w:noWrap/>
            <w:vAlign w:val="bottom"/>
            <w:hideMark/>
          </w:tcPr>
          <w:p w14:paraId="469F1735"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0.10</w:t>
            </w:r>
          </w:p>
        </w:tc>
        <w:tc>
          <w:tcPr>
            <w:tcW w:w="0" w:type="auto"/>
            <w:tcBorders>
              <w:top w:val="nil"/>
              <w:left w:val="nil"/>
              <w:bottom w:val="nil"/>
              <w:right w:val="nil"/>
            </w:tcBorders>
            <w:shd w:val="clear" w:color="auto" w:fill="auto"/>
            <w:noWrap/>
            <w:vAlign w:val="bottom"/>
            <w:hideMark/>
          </w:tcPr>
          <w:p w14:paraId="604A3886"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-0.15</w:t>
            </w:r>
          </w:p>
        </w:tc>
      </w:tr>
      <w:tr w:rsidR="00094D4A" w:rsidRPr="00B43F3B" w14:paraId="6DCF8F48" w14:textId="77777777" w:rsidTr="0043300D">
        <w:trPr>
          <w:trHeight w:val="330"/>
          <w:jc w:val="center"/>
        </w:trPr>
        <w:tc>
          <w:tcPr>
            <w:tcW w:w="0" w:type="auto"/>
            <w:tcBorders>
              <w:top w:val="nil"/>
              <w:left w:val="nil"/>
              <w:bottom w:val="nil"/>
              <w:right w:val="nil"/>
            </w:tcBorders>
            <w:shd w:val="clear" w:color="auto" w:fill="auto"/>
            <w:noWrap/>
            <w:vAlign w:val="bottom"/>
            <w:hideMark/>
          </w:tcPr>
          <w:p w14:paraId="09BDEED3" w14:textId="43DB8574" w:rsidR="00094D4A" w:rsidRPr="004A5BF7" w:rsidRDefault="0043300D" w:rsidP="0043300D">
            <w:pPr>
              <w:spacing w:before="0" w:after="0"/>
              <w:jc w:val="left"/>
              <w:rPr>
                <w:rFonts w:cs="Arial"/>
                <w:b/>
                <w:bCs/>
                <w:color w:val="000000"/>
                <w:sz w:val="18"/>
                <w:szCs w:val="18"/>
                <w:lang w:val="en-AU" w:eastAsia="en-AU"/>
              </w:rPr>
            </w:pPr>
            <w:r w:rsidRPr="004A5BF7">
              <w:rPr>
                <w:rFonts w:cs="Arial"/>
                <w:b/>
                <w:bCs/>
                <w:color w:val="000000"/>
                <w:sz w:val="18"/>
                <w:szCs w:val="18"/>
                <w:lang w:val="en-AU" w:eastAsia="en-AU"/>
              </w:rPr>
              <w:t>N-S wind component</w:t>
            </w:r>
          </w:p>
        </w:tc>
        <w:tc>
          <w:tcPr>
            <w:tcW w:w="0" w:type="auto"/>
            <w:tcBorders>
              <w:top w:val="nil"/>
              <w:left w:val="nil"/>
              <w:bottom w:val="nil"/>
              <w:right w:val="nil"/>
            </w:tcBorders>
            <w:shd w:val="clear" w:color="auto" w:fill="auto"/>
            <w:noWrap/>
            <w:vAlign w:val="bottom"/>
            <w:hideMark/>
          </w:tcPr>
          <w:p w14:paraId="567FCBF3"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-0.50</w:t>
            </w:r>
          </w:p>
        </w:tc>
        <w:tc>
          <w:tcPr>
            <w:tcW w:w="0" w:type="auto"/>
            <w:tcBorders>
              <w:top w:val="nil"/>
              <w:left w:val="nil"/>
              <w:bottom w:val="nil"/>
              <w:right w:val="nil"/>
            </w:tcBorders>
            <w:shd w:val="clear" w:color="000000" w:fill="FFC7CE"/>
            <w:noWrap/>
            <w:vAlign w:val="bottom"/>
            <w:hideMark/>
          </w:tcPr>
          <w:p w14:paraId="7FC00510" w14:textId="77777777" w:rsidR="00094D4A" w:rsidRPr="004A5BF7" w:rsidRDefault="00094D4A" w:rsidP="0043300D">
            <w:pPr>
              <w:spacing w:before="0" w:after="0"/>
              <w:jc w:val="center"/>
              <w:rPr>
                <w:rFonts w:cs="Arial"/>
                <w:color w:val="9C0006"/>
                <w:sz w:val="18"/>
                <w:szCs w:val="18"/>
                <w:lang w:val="en-AU" w:eastAsia="en-AU"/>
              </w:rPr>
            </w:pPr>
            <w:r w:rsidRPr="004A5BF7">
              <w:rPr>
                <w:rFonts w:cs="Arial"/>
                <w:color w:val="9C0006"/>
                <w:sz w:val="18"/>
                <w:szCs w:val="18"/>
                <w:lang w:val="en-AU" w:eastAsia="en-AU"/>
              </w:rPr>
              <w:t>-0.66</w:t>
            </w:r>
          </w:p>
        </w:tc>
        <w:tc>
          <w:tcPr>
            <w:tcW w:w="0" w:type="auto"/>
            <w:tcBorders>
              <w:top w:val="nil"/>
              <w:left w:val="nil"/>
              <w:bottom w:val="nil"/>
              <w:right w:val="nil"/>
            </w:tcBorders>
            <w:shd w:val="clear" w:color="auto" w:fill="auto"/>
            <w:noWrap/>
            <w:vAlign w:val="bottom"/>
            <w:hideMark/>
          </w:tcPr>
          <w:p w14:paraId="048F2436"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0.35</w:t>
            </w:r>
          </w:p>
        </w:tc>
        <w:tc>
          <w:tcPr>
            <w:tcW w:w="0" w:type="auto"/>
            <w:tcBorders>
              <w:top w:val="nil"/>
              <w:left w:val="nil"/>
              <w:bottom w:val="nil"/>
              <w:right w:val="nil"/>
            </w:tcBorders>
            <w:shd w:val="clear" w:color="auto" w:fill="auto"/>
            <w:noWrap/>
            <w:vAlign w:val="bottom"/>
            <w:hideMark/>
          </w:tcPr>
          <w:p w14:paraId="026CE697"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-0.33</w:t>
            </w:r>
          </w:p>
        </w:tc>
        <w:tc>
          <w:tcPr>
            <w:tcW w:w="0" w:type="auto"/>
            <w:tcBorders>
              <w:top w:val="nil"/>
              <w:left w:val="nil"/>
              <w:bottom w:val="nil"/>
              <w:right w:val="nil"/>
            </w:tcBorders>
            <w:shd w:val="clear" w:color="auto" w:fill="auto"/>
            <w:noWrap/>
            <w:vAlign w:val="bottom"/>
            <w:hideMark/>
          </w:tcPr>
          <w:p w14:paraId="26D6E076"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-0.37</w:t>
            </w:r>
          </w:p>
        </w:tc>
        <w:tc>
          <w:tcPr>
            <w:tcW w:w="0" w:type="auto"/>
            <w:tcBorders>
              <w:top w:val="nil"/>
              <w:left w:val="nil"/>
              <w:bottom w:val="nil"/>
              <w:right w:val="nil"/>
            </w:tcBorders>
            <w:shd w:val="clear" w:color="auto" w:fill="auto"/>
            <w:noWrap/>
            <w:vAlign w:val="bottom"/>
            <w:hideMark/>
          </w:tcPr>
          <w:p w14:paraId="1C6DCBCA"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0.41</w:t>
            </w:r>
          </w:p>
        </w:tc>
        <w:tc>
          <w:tcPr>
            <w:tcW w:w="0" w:type="auto"/>
            <w:tcBorders>
              <w:top w:val="nil"/>
              <w:left w:val="nil"/>
              <w:bottom w:val="nil"/>
              <w:right w:val="nil"/>
            </w:tcBorders>
            <w:shd w:val="clear" w:color="000000" w:fill="FFC7CE"/>
            <w:noWrap/>
            <w:vAlign w:val="bottom"/>
            <w:hideMark/>
          </w:tcPr>
          <w:p w14:paraId="3B2FC259" w14:textId="77777777" w:rsidR="00094D4A" w:rsidRPr="004A5BF7" w:rsidRDefault="00094D4A" w:rsidP="0043300D">
            <w:pPr>
              <w:spacing w:before="0" w:after="0"/>
              <w:jc w:val="center"/>
              <w:rPr>
                <w:rFonts w:cs="Arial"/>
                <w:color w:val="9C0006"/>
                <w:sz w:val="18"/>
                <w:szCs w:val="18"/>
                <w:lang w:val="en-AU" w:eastAsia="en-AU"/>
              </w:rPr>
            </w:pPr>
            <w:r w:rsidRPr="004A5BF7">
              <w:rPr>
                <w:rFonts w:cs="Arial"/>
                <w:color w:val="9C0006"/>
                <w:sz w:val="18"/>
                <w:szCs w:val="18"/>
                <w:lang w:val="en-AU" w:eastAsia="en-AU"/>
              </w:rPr>
              <w:t>-0.62</w:t>
            </w:r>
          </w:p>
        </w:tc>
        <w:tc>
          <w:tcPr>
            <w:tcW w:w="0" w:type="auto"/>
            <w:tcBorders>
              <w:top w:val="nil"/>
              <w:left w:val="nil"/>
              <w:bottom w:val="nil"/>
              <w:right w:val="nil"/>
            </w:tcBorders>
            <w:shd w:val="clear" w:color="auto" w:fill="auto"/>
            <w:noWrap/>
            <w:vAlign w:val="bottom"/>
            <w:hideMark/>
          </w:tcPr>
          <w:p w14:paraId="323FB27D"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-0.15</w:t>
            </w:r>
          </w:p>
        </w:tc>
        <w:tc>
          <w:tcPr>
            <w:tcW w:w="0" w:type="auto"/>
            <w:tcBorders>
              <w:top w:val="nil"/>
              <w:left w:val="nil"/>
              <w:bottom w:val="nil"/>
              <w:right w:val="nil"/>
            </w:tcBorders>
            <w:shd w:val="clear" w:color="auto" w:fill="auto"/>
            <w:noWrap/>
            <w:vAlign w:val="bottom"/>
            <w:hideMark/>
          </w:tcPr>
          <w:p w14:paraId="50AF3D4D"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0.06</w:t>
            </w:r>
          </w:p>
        </w:tc>
      </w:tr>
      <w:tr w:rsidR="00094D4A" w:rsidRPr="00B43F3B" w14:paraId="322C256F" w14:textId="77777777" w:rsidTr="0043300D">
        <w:trPr>
          <w:trHeight w:val="330"/>
          <w:jc w:val="center"/>
        </w:trPr>
        <w:tc>
          <w:tcPr>
            <w:tcW w:w="0" w:type="auto"/>
            <w:tcBorders>
              <w:top w:val="nil"/>
              <w:left w:val="nil"/>
              <w:bottom w:val="nil"/>
              <w:right w:val="nil"/>
            </w:tcBorders>
            <w:shd w:val="clear" w:color="auto" w:fill="auto"/>
            <w:noWrap/>
            <w:vAlign w:val="bottom"/>
            <w:hideMark/>
          </w:tcPr>
          <w:p w14:paraId="4EB8B4F7" w14:textId="77777777" w:rsidR="00094D4A" w:rsidRPr="004A5BF7" w:rsidRDefault="00094D4A" w:rsidP="0043300D">
            <w:pPr>
              <w:spacing w:before="0" w:after="0"/>
              <w:jc w:val="left"/>
              <w:rPr>
                <w:rFonts w:cs="Arial"/>
                <w:b/>
                <w:bCs/>
                <w:color w:val="000000"/>
                <w:sz w:val="18"/>
                <w:szCs w:val="18"/>
                <w:lang w:val="en-AU" w:eastAsia="en-AU"/>
              </w:rPr>
            </w:pPr>
            <w:r w:rsidRPr="004A5BF7">
              <w:rPr>
                <w:rFonts w:cs="Arial"/>
                <w:b/>
                <w:bCs/>
                <w:color w:val="000000"/>
                <w:sz w:val="18"/>
                <w:szCs w:val="18"/>
                <w:lang w:val="en-AU" w:eastAsia="en-AU"/>
              </w:rPr>
              <w:t>Salinity</w:t>
            </w:r>
          </w:p>
        </w:tc>
        <w:tc>
          <w:tcPr>
            <w:tcW w:w="0" w:type="auto"/>
            <w:tcBorders>
              <w:top w:val="nil"/>
              <w:left w:val="nil"/>
              <w:bottom w:val="nil"/>
              <w:right w:val="nil"/>
            </w:tcBorders>
            <w:shd w:val="clear" w:color="auto" w:fill="auto"/>
            <w:noWrap/>
            <w:vAlign w:val="bottom"/>
            <w:hideMark/>
          </w:tcPr>
          <w:p w14:paraId="1F0352A8"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0.54</w:t>
            </w:r>
          </w:p>
        </w:tc>
        <w:tc>
          <w:tcPr>
            <w:tcW w:w="0" w:type="auto"/>
            <w:tcBorders>
              <w:top w:val="nil"/>
              <w:left w:val="nil"/>
              <w:bottom w:val="nil"/>
              <w:right w:val="nil"/>
            </w:tcBorders>
            <w:shd w:val="clear" w:color="000000" w:fill="FFC7CE"/>
            <w:noWrap/>
            <w:vAlign w:val="bottom"/>
            <w:hideMark/>
          </w:tcPr>
          <w:p w14:paraId="5D86B239" w14:textId="77777777" w:rsidR="00094D4A" w:rsidRPr="004A5BF7" w:rsidRDefault="00094D4A" w:rsidP="0043300D">
            <w:pPr>
              <w:spacing w:before="0" w:after="0"/>
              <w:jc w:val="center"/>
              <w:rPr>
                <w:rFonts w:cs="Arial"/>
                <w:color w:val="9C0006"/>
                <w:sz w:val="18"/>
                <w:szCs w:val="18"/>
                <w:lang w:val="en-AU" w:eastAsia="en-AU"/>
              </w:rPr>
            </w:pPr>
            <w:r w:rsidRPr="004A5BF7">
              <w:rPr>
                <w:rFonts w:cs="Arial"/>
                <w:color w:val="9C0006"/>
                <w:sz w:val="18"/>
                <w:szCs w:val="18"/>
                <w:lang w:val="en-AU" w:eastAsia="en-AU"/>
              </w:rPr>
              <w:t>-0.78</w:t>
            </w:r>
          </w:p>
        </w:tc>
        <w:tc>
          <w:tcPr>
            <w:tcW w:w="0" w:type="auto"/>
            <w:tcBorders>
              <w:top w:val="nil"/>
              <w:left w:val="nil"/>
              <w:bottom w:val="nil"/>
              <w:right w:val="nil"/>
            </w:tcBorders>
            <w:shd w:val="clear" w:color="auto" w:fill="auto"/>
            <w:noWrap/>
            <w:vAlign w:val="bottom"/>
            <w:hideMark/>
          </w:tcPr>
          <w:p w14:paraId="13702195"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0.24</w:t>
            </w:r>
          </w:p>
        </w:tc>
        <w:tc>
          <w:tcPr>
            <w:tcW w:w="0" w:type="auto"/>
            <w:tcBorders>
              <w:top w:val="nil"/>
              <w:left w:val="nil"/>
              <w:bottom w:val="nil"/>
              <w:right w:val="nil"/>
            </w:tcBorders>
            <w:shd w:val="clear" w:color="auto" w:fill="auto"/>
            <w:noWrap/>
            <w:vAlign w:val="bottom"/>
            <w:hideMark/>
          </w:tcPr>
          <w:p w14:paraId="4FC501AF"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-0.58</w:t>
            </w:r>
          </w:p>
        </w:tc>
        <w:tc>
          <w:tcPr>
            <w:tcW w:w="0" w:type="auto"/>
            <w:tcBorders>
              <w:top w:val="nil"/>
              <w:left w:val="nil"/>
              <w:bottom w:val="nil"/>
              <w:right w:val="nil"/>
            </w:tcBorders>
            <w:shd w:val="clear" w:color="auto" w:fill="auto"/>
            <w:noWrap/>
            <w:vAlign w:val="bottom"/>
            <w:hideMark/>
          </w:tcPr>
          <w:p w14:paraId="53DE6506"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0.11</w:t>
            </w:r>
          </w:p>
        </w:tc>
        <w:tc>
          <w:tcPr>
            <w:tcW w:w="0" w:type="auto"/>
            <w:tcBorders>
              <w:top w:val="nil"/>
              <w:left w:val="nil"/>
              <w:bottom w:val="nil"/>
              <w:right w:val="nil"/>
            </w:tcBorders>
            <w:shd w:val="clear" w:color="auto" w:fill="auto"/>
            <w:noWrap/>
            <w:vAlign w:val="bottom"/>
            <w:hideMark/>
          </w:tcPr>
          <w:p w14:paraId="15D677D7"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0.08</w:t>
            </w:r>
          </w:p>
        </w:tc>
        <w:tc>
          <w:tcPr>
            <w:tcW w:w="0" w:type="auto"/>
            <w:tcBorders>
              <w:top w:val="nil"/>
              <w:left w:val="nil"/>
              <w:bottom w:val="nil"/>
              <w:right w:val="nil"/>
            </w:tcBorders>
            <w:shd w:val="clear" w:color="000000" w:fill="FFC7CE"/>
            <w:noWrap/>
            <w:vAlign w:val="bottom"/>
            <w:hideMark/>
          </w:tcPr>
          <w:p w14:paraId="5FC032B8" w14:textId="77777777" w:rsidR="00094D4A" w:rsidRPr="004A5BF7" w:rsidRDefault="00094D4A" w:rsidP="0043300D">
            <w:pPr>
              <w:spacing w:before="0" w:after="0"/>
              <w:jc w:val="center"/>
              <w:rPr>
                <w:rFonts w:cs="Arial"/>
                <w:color w:val="9C0006"/>
                <w:sz w:val="18"/>
                <w:szCs w:val="18"/>
                <w:lang w:val="en-AU" w:eastAsia="en-AU"/>
              </w:rPr>
            </w:pPr>
            <w:r w:rsidRPr="004A5BF7">
              <w:rPr>
                <w:rFonts w:cs="Arial"/>
                <w:color w:val="9C0006"/>
                <w:sz w:val="18"/>
                <w:szCs w:val="18"/>
                <w:lang w:val="en-AU" w:eastAsia="en-AU"/>
              </w:rPr>
              <w:t>-0.64</w:t>
            </w:r>
          </w:p>
        </w:tc>
        <w:tc>
          <w:tcPr>
            <w:tcW w:w="0" w:type="auto"/>
            <w:tcBorders>
              <w:top w:val="nil"/>
              <w:left w:val="nil"/>
              <w:bottom w:val="nil"/>
              <w:right w:val="nil"/>
            </w:tcBorders>
            <w:shd w:val="clear" w:color="auto" w:fill="auto"/>
            <w:noWrap/>
            <w:vAlign w:val="bottom"/>
            <w:hideMark/>
          </w:tcPr>
          <w:p w14:paraId="6B669ED9"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-0.07</w:t>
            </w:r>
          </w:p>
        </w:tc>
        <w:tc>
          <w:tcPr>
            <w:tcW w:w="0" w:type="auto"/>
            <w:tcBorders>
              <w:top w:val="nil"/>
              <w:left w:val="nil"/>
              <w:bottom w:val="nil"/>
              <w:right w:val="nil"/>
            </w:tcBorders>
            <w:shd w:val="clear" w:color="auto" w:fill="auto"/>
            <w:noWrap/>
            <w:vAlign w:val="bottom"/>
            <w:hideMark/>
          </w:tcPr>
          <w:p w14:paraId="5AE8DB26"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0.39</w:t>
            </w:r>
          </w:p>
        </w:tc>
      </w:tr>
      <w:tr w:rsidR="00094D4A" w:rsidRPr="00B43F3B" w14:paraId="4F738175" w14:textId="77777777" w:rsidTr="0043300D">
        <w:trPr>
          <w:trHeight w:val="330"/>
          <w:jc w:val="center"/>
        </w:trPr>
        <w:tc>
          <w:tcPr>
            <w:tcW w:w="0" w:type="auto"/>
            <w:tcBorders>
              <w:top w:val="nil"/>
              <w:left w:val="nil"/>
              <w:bottom w:val="single" w:sz="4" w:space="0" w:color="auto"/>
              <w:right w:val="nil"/>
            </w:tcBorders>
            <w:shd w:val="clear" w:color="auto" w:fill="auto"/>
            <w:noWrap/>
            <w:vAlign w:val="bottom"/>
            <w:hideMark/>
          </w:tcPr>
          <w:p w14:paraId="62A4EAFD" w14:textId="77777777" w:rsidR="00094D4A" w:rsidRPr="004A5BF7" w:rsidRDefault="00094D4A" w:rsidP="0043300D">
            <w:pPr>
              <w:spacing w:before="0" w:after="0"/>
              <w:jc w:val="left"/>
              <w:rPr>
                <w:rFonts w:cs="Arial"/>
                <w:b/>
                <w:bCs/>
                <w:color w:val="000000"/>
                <w:sz w:val="18"/>
                <w:szCs w:val="18"/>
                <w:lang w:val="en-AU" w:eastAsia="en-AU"/>
              </w:rPr>
            </w:pPr>
            <w:r w:rsidRPr="004A5BF7">
              <w:rPr>
                <w:rFonts w:cs="Arial"/>
                <w:b/>
                <w:bCs/>
                <w:color w:val="000000"/>
                <w:sz w:val="18"/>
                <w:szCs w:val="18"/>
                <w:lang w:val="en-AU" w:eastAsia="en-AU"/>
              </w:rPr>
              <w:t>Chl-a</w:t>
            </w:r>
          </w:p>
        </w:tc>
        <w:tc>
          <w:tcPr>
            <w:tcW w:w="0" w:type="auto"/>
            <w:tcBorders>
              <w:top w:val="nil"/>
              <w:left w:val="nil"/>
              <w:bottom w:val="single" w:sz="4" w:space="0" w:color="auto"/>
              <w:right w:val="nil"/>
            </w:tcBorders>
            <w:shd w:val="clear" w:color="auto" w:fill="auto"/>
            <w:noWrap/>
            <w:vAlign w:val="bottom"/>
            <w:hideMark/>
          </w:tcPr>
          <w:p w14:paraId="6BD7D9AE"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0.54</w:t>
            </w:r>
          </w:p>
        </w:tc>
        <w:tc>
          <w:tcPr>
            <w:tcW w:w="0" w:type="auto"/>
            <w:tcBorders>
              <w:top w:val="nil"/>
              <w:left w:val="nil"/>
              <w:bottom w:val="single" w:sz="4" w:space="0" w:color="auto"/>
              <w:right w:val="nil"/>
            </w:tcBorders>
            <w:shd w:val="clear" w:color="auto" w:fill="auto"/>
            <w:noWrap/>
            <w:vAlign w:val="bottom"/>
            <w:hideMark/>
          </w:tcPr>
          <w:p w14:paraId="52C6C605"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-0.18</w:t>
            </w:r>
          </w:p>
        </w:tc>
        <w:tc>
          <w:tcPr>
            <w:tcW w:w="0" w:type="auto"/>
            <w:tcBorders>
              <w:top w:val="nil"/>
              <w:left w:val="nil"/>
              <w:bottom w:val="single" w:sz="4" w:space="0" w:color="auto"/>
              <w:right w:val="nil"/>
            </w:tcBorders>
            <w:shd w:val="clear" w:color="auto" w:fill="auto"/>
            <w:noWrap/>
            <w:vAlign w:val="bottom"/>
            <w:hideMark/>
          </w:tcPr>
          <w:p w14:paraId="2EA7978B"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0.19</w:t>
            </w:r>
          </w:p>
        </w:tc>
        <w:tc>
          <w:tcPr>
            <w:tcW w:w="0" w:type="auto"/>
            <w:tcBorders>
              <w:top w:val="nil"/>
              <w:left w:val="nil"/>
              <w:bottom w:val="single" w:sz="4" w:space="0" w:color="auto"/>
              <w:right w:val="nil"/>
            </w:tcBorders>
            <w:shd w:val="clear" w:color="auto" w:fill="auto"/>
            <w:noWrap/>
            <w:vAlign w:val="bottom"/>
            <w:hideMark/>
          </w:tcPr>
          <w:p w14:paraId="6E6D6E49"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0.21</w:t>
            </w:r>
          </w:p>
        </w:tc>
        <w:tc>
          <w:tcPr>
            <w:tcW w:w="0" w:type="auto"/>
            <w:tcBorders>
              <w:top w:val="nil"/>
              <w:left w:val="nil"/>
              <w:bottom w:val="single" w:sz="4" w:space="0" w:color="auto"/>
              <w:right w:val="nil"/>
            </w:tcBorders>
            <w:shd w:val="clear" w:color="auto" w:fill="auto"/>
            <w:noWrap/>
            <w:vAlign w:val="bottom"/>
            <w:hideMark/>
          </w:tcPr>
          <w:p w14:paraId="772CC899"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-0.27</w:t>
            </w:r>
          </w:p>
        </w:tc>
        <w:tc>
          <w:tcPr>
            <w:tcW w:w="0" w:type="auto"/>
            <w:tcBorders>
              <w:top w:val="nil"/>
              <w:left w:val="nil"/>
              <w:bottom w:val="single" w:sz="4" w:space="0" w:color="auto"/>
              <w:right w:val="nil"/>
            </w:tcBorders>
            <w:shd w:val="clear" w:color="auto" w:fill="auto"/>
            <w:noWrap/>
            <w:vAlign w:val="bottom"/>
            <w:hideMark/>
          </w:tcPr>
          <w:p w14:paraId="0C188CF2"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0.55</w:t>
            </w:r>
          </w:p>
        </w:tc>
        <w:tc>
          <w:tcPr>
            <w:tcW w:w="0" w:type="auto"/>
            <w:tcBorders>
              <w:top w:val="nil"/>
              <w:left w:val="nil"/>
              <w:bottom w:val="single" w:sz="4" w:space="0" w:color="auto"/>
              <w:right w:val="nil"/>
            </w:tcBorders>
            <w:shd w:val="clear" w:color="auto" w:fill="auto"/>
            <w:noWrap/>
            <w:vAlign w:val="bottom"/>
            <w:hideMark/>
          </w:tcPr>
          <w:p w14:paraId="24E3E107"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-0.38</w:t>
            </w:r>
          </w:p>
        </w:tc>
        <w:tc>
          <w:tcPr>
            <w:tcW w:w="0" w:type="auto"/>
            <w:tcBorders>
              <w:top w:val="nil"/>
              <w:left w:val="nil"/>
              <w:bottom w:val="single" w:sz="4" w:space="0" w:color="auto"/>
              <w:right w:val="nil"/>
            </w:tcBorders>
            <w:shd w:val="clear" w:color="auto" w:fill="auto"/>
            <w:noWrap/>
            <w:vAlign w:val="bottom"/>
            <w:hideMark/>
          </w:tcPr>
          <w:p w14:paraId="553C9D76"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-0.07</w:t>
            </w:r>
          </w:p>
        </w:tc>
        <w:tc>
          <w:tcPr>
            <w:tcW w:w="0" w:type="auto"/>
            <w:tcBorders>
              <w:top w:val="nil"/>
              <w:left w:val="nil"/>
              <w:bottom w:val="single" w:sz="4" w:space="0" w:color="auto"/>
              <w:right w:val="nil"/>
            </w:tcBorders>
            <w:shd w:val="clear" w:color="auto" w:fill="auto"/>
            <w:noWrap/>
            <w:vAlign w:val="bottom"/>
            <w:hideMark/>
          </w:tcPr>
          <w:p w14:paraId="1171A27E" w14:textId="77777777" w:rsidR="00094D4A" w:rsidRPr="004A5BF7" w:rsidRDefault="00094D4A" w:rsidP="0043300D">
            <w:pPr>
              <w:spacing w:before="0" w:after="0"/>
              <w:jc w:val="center"/>
              <w:rPr>
                <w:rFonts w:cs="Arial"/>
                <w:color w:val="000000"/>
                <w:sz w:val="18"/>
                <w:szCs w:val="18"/>
                <w:lang w:val="en-AU" w:eastAsia="en-AU"/>
              </w:rPr>
            </w:pPr>
            <w:r w:rsidRPr="004A5BF7">
              <w:rPr>
                <w:rFonts w:cs="Arial"/>
                <w:color w:val="000000"/>
                <w:sz w:val="18"/>
                <w:szCs w:val="18"/>
                <w:lang w:val="en-AU" w:eastAsia="en-AU"/>
              </w:rPr>
              <w:t>1.00</w:t>
            </w:r>
          </w:p>
        </w:tc>
      </w:tr>
    </w:tbl>
    <w:p w14:paraId="073BFBE6" w14:textId="77777777" w:rsidR="006D2CEE" w:rsidRDefault="006D2CEE" w:rsidP="00094D4A">
      <w:pPr>
        <w:rPr>
          <w:lang w:val="en-AU"/>
        </w:rPr>
      </w:pPr>
    </w:p>
    <w:p w14:paraId="6588891F" w14:textId="04C3426D" w:rsidR="00094D4A" w:rsidRDefault="006D2CEE" w:rsidP="00094D4A">
      <w:pPr>
        <w:rPr>
          <w:lang w:val="en-AU"/>
        </w:rPr>
      </w:pPr>
      <w:r>
        <w:rPr>
          <w:lang w:val="en-AU"/>
        </w:rPr>
        <w:t xml:space="preserve">Box plots </w:t>
      </w:r>
      <w:r w:rsidR="00094D4A">
        <w:rPr>
          <w:lang w:val="en-AU"/>
        </w:rPr>
        <w:t>were used for the Burdekin sites to describe the transport of parameters across plume waters. Box-plots were produced by aggregating in-situ values measured within each plume water type (i.e., Primary, Secondary and Tertiary). Data is summari</w:t>
      </w:r>
      <w:r w:rsidR="0043300D">
        <w:rPr>
          <w:lang w:val="en-AU"/>
        </w:rPr>
        <w:t>s</w:t>
      </w:r>
      <w:r w:rsidR="00094D4A">
        <w:rPr>
          <w:lang w:val="en-AU"/>
        </w:rPr>
        <w:t xml:space="preserve">ed by the median and quantiles within each plume water type. </w:t>
      </w:r>
      <w:r w:rsidR="0043300D">
        <w:rPr>
          <w:lang w:val="en-AU"/>
        </w:rPr>
        <w:t>A</w:t>
      </w:r>
      <w:r w:rsidR="00094D4A">
        <w:rPr>
          <w:lang w:val="en-AU"/>
        </w:rPr>
        <w:t xml:space="preserve"> comparison against the guidelines and the result of a </w:t>
      </w:r>
      <w:r w:rsidR="00094D4A" w:rsidRPr="009F5ABF">
        <w:rPr>
          <w:lang w:val="en-AU"/>
        </w:rPr>
        <w:t xml:space="preserve">Kruskal-Wallis Rank Sum </w:t>
      </w:r>
      <w:r w:rsidR="00094D4A">
        <w:rPr>
          <w:lang w:val="en-AU"/>
        </w:rPr>
        <w:t>test (as p-value) are provided (</w:t>
      </w:r>
      <w:r w:rsidR="00094D4A">
        <w:rPr>
          <w:lang w:val="en-AU"/>
        </w:rPr>
        <w:fldChar w:fldCharType="begin"/>
      </w:r>
      <w:r w:rsidR="00094D4A">
        <w:rPr>
          <w:lang w:val="en-AU"/>
        </w:rPr>
        <w:instrText xml:space="preserve"> REF _Ref454142186 \h </w:instrText>
      </w:r>
      <w:r w:rsidR="00094D4A">
        <w:rPr>
          <w:lang w:val="en-AU"/>
        </w:rPr>
      </w:r>
      <w:r w:rsidR="00094D4A">
        <w:rPr>
          <w:lang w:val="en-AU"/>
        </w:rPr>
        <w:fldChar w:fldCharType="separate"/>
      </w:r>
      <w:r w:rsidR="007F5336" w:rsidRPr="00BF71A8">
        <w:rPr>
          <w:lang w:val="en-AU"/>
        </w:rPr>
        <w:t xml:space="preserve">Figure </w:t>
      </w:r>
      <w:r w:rsidR="007F5336">
        <w:rPr>
          <w:noProof/>
          <w:lang w:val="en-AU"/>
        </w:rPr>
        <w:t>5</w:t>
      </w:r>
      <w:r w:rsidR="007F5336">
        <w:rPr>
          <w:lang w:val="en-AU"/>
        </w:rPr>
        <w:noBreakHyphen/>
      </w:r>
      <w:r w:rsidR="007F5336">
        <w:rPr>
          <w:noProof/>
          <w:lang w:val="en-AU"/>
        </w:rPr>
        <w:t>41</w:t>
      </w:r>
      <w:r w:rsidR="00094D4A">
        <w:rPr>
          <w:lang w:val="en-AU"/>
        </w:rPr>
        <w:fldChar w:fldCharType="end"/>
      </w:r>
      <w:r w:rsidR="00094D4A">
        <w:rPr>
          <w:lang w:val="en-AU"/>
        </w:rPr>
        <w:t>).</w:t>
      </w:r>
    </w:p>
    <w:p w14:paraId="4201509D" w14:textId="77777777" w:rsidR="00094D4A" w:rsidRDefault="00094D4A" w:rsidP="00094D4A">
      <w:pPr>
        <w:rPr>
          <w:lang w:val="en-AU"/>
        </w:rPr>
      </w:pPr>
    </w:p>
    <w:p w14:paraId="477E7585" w14:textId="77777777" w:rsidR="00094D4A" w:rsidRDefault="00094D4A" w:rsidP="00094D4A">
      <w:pPr>
        <w:tabs>
          <w:tab w:val="left" w:pos="5535"/>
        </w:tabs>
        <w:jc w:val="center"/>
        <w:rPr>
          <w:lang w:val="en-AU"/>
        </w:rPr>
      </w:pPr>
      <w:r>
        <w:rPr>
          <w:noProof/>
          <w:lang w:val="en-AU" w:eastAsia="en-AU"/>
        </w:rPr>
        <w:drawing>
          <wp:inline distT="0" distB="0" distL="0" distR="0" wp14:anchorId="04ECBE74" wp14:editId="423DBD1E">
            <wp:extent cx="5760000" cy="5760000"/>
            <wp:effectExtent l="0" t="0" r="0" b="0"/>
            <wp:docPr id="7222" name="Picture 7222" descr="Panel of boxplots for the parameters sampled at the Burdekin sites in the current wet season compared to all data sampled since 2005-06 wet season. In the boxplot bold line stands for median, rectangles are for the 25th and 75th percentiles and vertical line for 5th and 95th percentile. The p-value is from a Kruskal-Wallis Rank Sum test  among plume water types. Dots represent data points (nudge was added for data visualization) and red dashed line stands for the water quality guidelines for open coastal waters. Plume water type 1, 2 and 3 stands for Primary, Secondary and Tertiary, respectively." title="Figure 5 41: Boxplot for the parameters sampled at the Burdekin sites in the current wet season compared to all data sampled since 2005-06 wet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7"/>
                    <a:stretch>
                      <a:fillRect/>
                    </a:stretch>
                  </pic:blipFill>
                  <pic:spPr>
                    <a:xfrm>
                      <a:off x="0" y="0"/>
                      <a:ext cx="5760000" cy="5760000"/>
                    </a:xfrm>
                    <a:prstGeom prst="rect">
                      <a:avLst/>
                    </a:prstGeom>
                  </pic:spPr>
                </pic:pic>
              </a:graphicData>
            </a:graphic>
          </wp:inline>
        </w:drawing>
      </w:r>
    </w:p>
    <w:p w14:paraId="596F4B07" w14:textId="331AD76C" w:rsidR="00094D4A" w:rsidRPr="00BF71A8" w:rsidRDefault="00094D4A" w:rsidP="00094D4A">
      <w:pPr>
        <w:pStyle w:val="Caption"/>
        <w:rPr>
          <w:rStyle w:val="IntenseReference"/>
          <w:lang w:val="en-AU"/>
        </w:rPr>
      </w:pPr>
      <w:bookmarkStart w:id="1258" w:name="_Ref454142186"/>
      <w:bookmarkStart w:id="1259" w:name="_Toc459332399"/>
      <w:r w:rsidRPr="00BF71A8">
        <w:rPr>
          <w:lang w:val="en-AU"/>
        </w:rPr>
        <w:t xml:space="preserve">Figure </w:t>
      </w:r>
      <w:r w:rsidR="00C62884">
        <w:rPr>
          <w:lang w:val="en-AU"/>
        </w:rPr>
        <w:fldChar w:fldCharType="begin"/>
      </w:r>
      <w:r w:rsidR="00C62884">
        <w:rPr>
          <w:lang w:val="en-AU"/>
        </w:rPr>
        <w:instrText xml:space="preserve"> STYLEREF 1 \s </w:instrText>
      </w:r>
      <w:r w:rsidR="00C62884">
        <w:rPr>
          <w:lang w:val="en-AU"/>
        </w:rPr>
        <w:fldChar w:fldCharType="separate"/>
      </w:r>
      <w:r w:rsidR="007F5336">
        <w:rPr>
          <w:noProof/>
          <w:lang w:val="en-AU"/>
        </w:rPr>
        <w:t>5</w:t>
      </w:r>
      <w:r w:rsidR="00C62884">
        <w:rPr>
          <w:lang w:val="en-AU"/>
        </w:rPr>
        <w:fldChar w:fldCharType="end"/>
      </w:r>
      <w:r w:rsidR="00C62884">
        <w:rPr>
          <w:lang w:val="en-AU"/>
        </w:rPr>
        <w:noBreakHyphen/>
      </w:r>
      <w:r w:rsidR="00C62884">
        <w:rPr>
          <w:lang w:val="en-AU"/>
        </w:rPr>
        <w:fldChar w:fldCharType="begin"/>
      </w:r>
      <w:r w:rsidR="00C62884">
        <w:rPr>
          <w:lang w:val="en-AU"/>
        </w:rPr>
        <w:instrText xml:space="preserve"> SEQ Figure \* ARABIC \s 1 </w:instrText>
      </w:r>
      <w:r w:rsidR="00C62884">
        <w:rPr>
          <w:lang w:val="en-AU"/>
        </w:rPr>
        <w:fldChar w:fldCharType="separate"/>
      </w:r>
      <w:r w:rsidR="007F5336">
        <w:rPr>
          <w:noProof/>
          <w:lang w:val="en-AU"/>
        </w:rPr>
        <w:t>41</w:t>
      </w:r>
      <w:r w:rsidR="00C62884">
        <w:rPr>
          <w:lang w:val="en-AU"/>
        </w:rPr>
        <w:fldChar w:fldCharType="end"/>
      </w:r>
      <w:bookmarkEnd w:id="1258"/>
      <w:r w:rsidRPr="00BF71A8">
        <w:rPr>
          <w:lang w:val="en-AU"/>
        </w:rPr>
        <w:t xml:space="preserve">: </w:t>
      </w:r>
      <w:r>
        <w:rPr>
          <w:lang w:val="en-AU"/>
        </w:rPr>
        <w:t>Boxplot for the parameters sampled at the Burdekin sites in the current wet season compared to all data sampled since 2005-06 wet season. In the boxplot bold line stands for median, rectangles are for the 25</w:t>
      </w:r>
      <w:r w:rsidRPr="009C3D19">
        <w:rPr>
          <w:vertAlign w:val="superscript"/>
          <w:lang w:val="en-AU"/>
        </w:rPr>
        <w:t>th</w:t>
      </w:r>
      <w:r>
        <w:rPr>
          <w:lang w:val="en-AU"/>
        </w:rPr>
        <w:t xml:space="preserve"> and 75</w:t>
      </w:r>
      <w:r w:rsidRPr="009C3D19">
        <w:rPr>
          <w:vertAlign w:val="superscript"/>
          <w:lang w:val="en-AU"/>
        </w:rPr>
        <w:t>th</w:t>
      </w:r>
      <w:r>
        <w:rPr>
          <w:lang w:val="en-AU"/>
        </w:rPr>
        <w:t xml:space="preserve"> percentiles and vertical line for 5</w:t>
      </w:r>
      <w:r w:rsidRPr="009C3D19">
        <w:rPr>
          <w:vertAlign w:val="superscript"/>
          <w:lang w:val="en-AU"/>
        </w:rPr>
        <w:t>th</w:t>
      </w:r>
      <w:r>
        <w:rPr>
          <w:lang w:val="en-AU"/>
        </w:rPr>
        <w:t xml:space="preserve"> and 95</w:t>
      </w:r>
      <w:r w:rsidRPr="009C3D19">
        <w:rPr>
          <w:vertAlign w:val="superscript"/>
          <w:lang w:val="en-AU"/>
        </w:rPr>
        <w:t>th</w:t>
      </w:r>
      <w:r>
        <w:rPr>
          <w:lang w:val="en-AU"/>
        </w:rPr>
        <w:t xml:space="preserve"> percentile. The p-value is from a </w:t>
      </w:r>
      <w:r w:rsidRPr="009F5ABF">
        <w:rPr>
          <w:lang w:val="en-AU"/>
        </w:rPr>
        <w:t xml:space="preserve">Kruskal-Wallis Rank Sum </w:t>
      </w:r>
      <w:r>
        <w:rPr>
          <w:lang w:val="en-AU"/>
        </w:rPr>
        <w:t xml:space="preserve">test  among plume water types. Dots </w:t>
      </w:r>
      <w:r w:rsidR="0043300D">
        <w:rPr>
          <w:lang w:val="en-AU"/>
        </w:rPr>
        <w:t>represent</w:t>
      </w:r>
      <w:r>
        <w:rPr>
          <w:lang w:val="en-AU"/>
        </w:rPr>
        <w:t xml:space="preserve"> data points (nudge was added for data visualization) and red dashed line stands for the water quality guidelines for open coastal waters. Plume water type 1, 2 and 3 stands for Primary, Secondary and Tertiary, respectively.</w:t>
      </w:r>
      <w:bookmarkEnd w:id="1259"/>
    </w:p>
    <w:p w14:paraId="1D9E31F9" w14:textId="77777777" w:rsidR="00094D4A" w:rsidRDefault="00094D4A" w:rsidP="00094D4A">
      <w:pPr>
        <w:rPr>
          <w:lang w:val="en-AU"/>
        </w:rPr>
      </w:pPr>
    </w:p>
    <w:p w14:paraId="58EFDC8C" w14:textId="53DE4CFC" w:rsidR="00094D4A" w:rsidRDefault="00094D4A" w:rsidP="00094D4A">
      <w:pPr>
        <w:rPr>
          <w:lang w:val="en-AU"/>
        </w:rPr>
      </w:pPr>
      <w:r>
        <w:rPr>
          <w:lang w:val="en-AU"/>
        </w:rPr>
        <w:t>For a wet season with reduced river discharge</w:t>
      </w:r>
      <w:r w:rsidR="0043300D">
        <w:rPr>
          <w:lang w:val="en-AU"/>
        </w:rPr>
        <w:t xml:space="preserve"> such as 2014-15</w:t>
      </w:r>
      <w:r>
        <w:rPr>
          <w:lang w:val="en-AU"/>
        </w:rPr>
        <w:t xml:space="preserve">, a reduced contribution </w:t>
      </w:r>
      <w:r w:rsidR="0043300D">
        <w:rPr>
          <w:lang w:val="en-AU"/>
        </w:rPr>
        <w:t>from</w:t>
      </w:r>
      <w:r>
        <w:rPr>
          <w:lang w:val="en-AU"/>
        </w:rPr>
        <w:t xml:space="preserve"> land-based contaminant</w:t>
      </w:r>
      <w:r w:rsidR="0043300D">
        <w:rPr>
          <w:lang w:val="en-AU"/>
        </w:rPr>
        <w:t>s</w:t>
      </w:r>
      <w:r>
        <w:rPr>
          <w:lang w:val="en-AU"/>
        </w:rPr>
        <w:t xml:space="preserve"> would be expected. Indeed, </w:t>
      </w:r>
      <w:r w:rsidR="006C24E1">
        <w:rPr>
          <w:lang w:val="en-AU"/>
        </w:rPr>
        <w:t xml:space="preserve">DIP, PP, DIN and PN </w:t>
      </w:r>
      <w:r>
        <w:rPr>
          <w:lang w:val="en-AU"/>
        </w:rPr>
        <w:t xml:space="preserve">did not </w:t>
      </w:r>
      <w:r w:rsidR="006C24E1">
        <w:rPr>
          <w:lang w:val="en-AU"/>
        </w:rPr>
        <w:t>show a</w:t>
      </w:r>
      <w:r>
        <w:rPr>
          <w:lang w:val="en-AU"/>
        </w:rPr>
        <w:t xml:space="preserve"> significant difference among the plume water types. </w:t>
      </w:r>
      <w:r w:rsidR="006D2CEE">
        <w:rPr>
          <w:lang w:val="en-AU"/>
        </w:rPr>
        <w:t>In contrast</w:t>
      </w:r>
      <w:r>
        <w:rPr>
          <w:lang w:val="en-AU"/>
        </w:rPr>
        <w:t xml:space="preserve">, all parameters presented </w:t>
      </w:r>
      <w:r w:rsidR="0043300D">
        <w:rPr>
          <w:lang w:val="en-AU"/>
        </w:rPr>
        <w:t xml:space="preserve">a </w:t>
      </w:r>
      <w:r>
        <w:rPr>
          <w:lang w:val="en-AU"/>
        </w:rPr>
        <w:t>significant difference among water types</w:t>
      </w:r>
      <w:r w:rsidR="006C24E1">
        <w:rPr>
          <w:lang w:val="en-AU"/>
        </w:rPr>
        <w:t xml:space="preserve"> in the long-term comparison</w:t>
      </w:r>
      <w:r>
        <w:rPr>
          <w:lang w:val="en-AU"/>
        </w:rPr>
        <w:t>. This pattern</w:t>
      </w:r>
      <w:r w:rsidR="0043300D">
        <w:rPr>
          <w:lang w:val="en-AU"/>
        </w:rPr>
        <w:t>,</w:t>
      </w:r>
      <w:r>
        <w:rPr>
          <w:lang w:val="en-AU"/>
        </w:rPr>
        <w:t xml:space="preserve"> compared to those observed for the Russell-Mulgrave and Tully sites, suggest that parameters </w:t>
      </w:r>
      <w:r w:rsidR="0043300D">
        <w:rPr>
          <w:lang w:val="en-AU"/>
        </w:rPr>
        <w:t xml:space="preserve">in </w:t>
      </w:r>
      <w:r>
        <w:rPr>
          <w:lang w:val="en-AU"/>
        </w:rPr>
        <w:t xml:space="preserve">the Burdekin plumes </w:t>
      </w:r>
      <w:r w:rsidR="00624A78">
        <w:rPr>
          <w:lang w:val="en-AU"/>
        </w:rPr>
        <w:t>undergo</w:t>
      </w:r>
      <w:r>
        <w:rPr>
          <w:lang w:val="en-AU"/>
        </w:rPr>
        <w:t xml:space="preserve"> more transformation than those in the other two plumes. However this observation requires further investigation because the length of the Burdekin transect is longer (c.a., 200 km) than the length of the transects in the </w:t>
      </w:r>
      <w:r w:rsidR="006D2CEE">
        <w:rPr>
          <w:lang w:val="en-AU"/>
        </w:rPr>
        <w:t>Russell-Mulgrave and Tully focus areas</w:t>
      </w:r>
      <w:r>
        <w:rPr>
          <w:lang w:val="en-AU"/>
        </w:rPr>
        <w:t xml:space="preserve"> (about 40 km). Longer distance to travel gives more chance for transformation process</w:t>
      </w:r>
      <w:r w:rsidR="00CB4D75">
        <w:rPr>
          <w:lang w:val="en-AU"/>
        </w:rPr>
        <w:t>es</w:t>
      </w:r>
      <w:r>
        <w:rPr>
          <w:lang w:val="en-AU"/>
        </w:rPr>
        <w:t xml:space="preserve"> to take place.</w:t>
      </w:r>
    </w:p>
    <w:p w14:paraId="5F22F2D0" w14:textId="7D264BE6" w:rsidR="00EC3C87" w:rsidRPr="004A5BF7" w:rsidRDefault="00057454" w:rsidP="004A5BF7">
      <w:pPr>
        <w:pStyle w:val="Heading30"/>
        <w:numPr>
          <w:ilvl w:val="2"/>
          <w:numId w:val="42"/>
        </w:numPr>
        <w:rPr>
          <w:rStyle w:val="Heading20"/>
        </w:rPr>
      </w:pPr>
      <w:bookmarkStart w:id="1260" w:name="_Toc459158422"/>
      <w:bookmarkStart w:id="1261" w:name="_Toc459158695"/>
      <w:bookmarkStart w:id="1262" w:name="_Toc459158976"/>
      <w:bookmarkStart w:id="1263" w:name="_Toc459209975"/>
      <w:bookmarkStart w:id="1264" w:name="_Toc459329101"/>
      <w:bookmarkStart w:id="1265" w:name="_Toc459329460"/>
      <w:bookmarkStart w:id="1266" w:name="_Toc459329821"/>
      <w:bookmarkStart w:id="1267" w:name="_Toc459330181"/>
      <w:bookmarkStart w:id="1268" w:name="_Toc459330541"/>
      <w:bookmarkStart w:id="1269" w:name="_Toc459330901"/>
      <w:bookmarkStart w:id="1270" w:name="_Toc459331261"/>
      <w:bookmarkStart w:id="1271" w:name="_Toc459331621"/>
      <w:bookmarkStart w:id="1272" w:name="_Toc459331981"/>
      <w:bookmarkStart w:id="1273" w:name="_Toc459158424"/>
      <w:bookmarkStart w:id="1274" w:name="_Toc459158697"/>
      <w:bookmarkStart w:id="1275" w:name="_Toc459158978"/>
      <w:bookmarkStart w:id="1276" w:name="_Toc459209977"/>
      <w:bookmarkStart w:id="1277" w:name="_Toc459329103"/>
      <w:bookmarkStart w:id="1278" w:name="_Toc459329462"/>
      <w:bookmarkStart w:id="1279" w:name="_Toc459329823"/>
      <w:bookmarkStart w:id="1280" w:name="_Toc459330183"/>
      <w:bookmarkStart w:id="1281" w:name="_Toc459330543"/>
      <w:bookmarkStart w:id="1282" w:name="_Toc459330903"/>
      <w:bookmarkStart w:id="1283" w:name="_Toc459331263"/>
      <w:bookmarkStart w:id="1284" w:name="_Toc459331623"/>
      <w:bookmarkStart w:id="1285" w:name="_Toc459331983"/>
      <w:bookmarkStart w:id="1286" w:name="_Toc459158425"/>
      <w:bookmarkStart w:id="1287" w:name="_Toc459158698"/>
      <w:bookmarkStart w:id="1288" w:name="_Toc459158979"/>
      <w:bookmarkStart w:id="1289" w:name="_Toc459209978"/>
      <w:bookmarkStart w:id="1290" w:name="_Toc459329104"/>
      <w:bookmarkStart w:id="1291" w:name="_Toc459329463"/>
      <w:bookmarkStart w:id="1292" w:name="_Toc459329824"/>
      <w:bookmarkStart w:id="1293" w:name="_Toc459330184"/>
      <w:bookmarkStart w:id="1294" w:name="_Toc459330544"/>
      <w:bookmarkStart w:id="1295" w:name="_Toc459330904"/>
      <w:bookmarkStart w:id="1296" w:name="_Toc459331264"/>
      <w:bookmarkStart w:id="1297" w:name="_Toc459331624"/>
      <w:bookmarkStart w:id="1298" w:name="_Toc459331984"/>
      <w:bookmarkStart w:id="1299" w:name="_Toc459158427"/>
      <w:bookmarkStart w:id="1300" w:name="_Toc459158700"/>
      <w:bookmarkStart w:id="1301" w:name="_Toc459158981"/>
      <w:bookmarkStart w:id="1302" w:name="_Toc459209980"/>
      <w:bookmarkStart w:id="1303" w:name="_Toc459329106"/>
      <w:bookmarkStart w:id="1304" w:name="_Toc459329465"/>
      <w:bookmarkStart w:id="1305" w:name="_Toc459329826"/>
      <w:bookmarkStart w:id="1306" w:name="_Toc459330186"/>
      <w:bookmarkStart w:id="1307" w:name="_Toc459330546"/>
      <w:bookmarkStart w:id="1308" w:name="_Toc459330906"/>
      <w:bookmarkStart w:id="1309" w:name="_Toc459331266"/>
      <w:bookmarkStart w:id="1310" w:name="_Toc459331626"/>
      <w:bookmarkStart w:id="1311" w:name="_Toc459331986"/>
      <w:bookmarkStart w:id="1312" w:name="_Toc459158428"/>
      <w:bookmarkStart w:id="1313" w:name="_Toc459158701"/>
      <w:bookmarkStart w:id="1314" w:name="_Toc459158982"/>
      <w:bookmarkStart w:id="1315" w:name="_Toc459209981"/>
      <w:bookmarkStart w:id="1316" w:name="_Toc459329107"/>
      <w:bookmarkStart w:id="1317" w:name="_Toc459329466"/>
      <w:bookmarkStart w:id="1318" w:name="_Toc459329827"/>
      <w:bookmarkStart w:id="1319" w:name="_Toc459330187"/>
      <w:bookmarkStart w:id="1320" w:name="_Toc459330547"/>
      <w:bookmarkStart w:id="1321" w:name="_Toc459330907"/>
      <w:bookmarkStart w:id="1322" w:name="_Toc459331267"/>
      <w:bookmarkStart w:id="1323" w:name="_Toc459331627"/>
      <w:bookmarkStart w:id="1324" w:name="_Toc459331987"/>
      <w:bookmarkStart w:id="1325" w:name="_Toc459158429"/>
      <w:bookmarkStart w:id="1326" w:name="_Toc459158702"/>
      <w:bookmarkStart w:id="1327" w:name="_Toc459158983"/>
      <w:bookmarkStart w:id="1328" w:name="_Toc459209982"/>
      <w:bookmarkStart w:id="1329" w:name="_Toc459329108"/>
      <w:bookmarkStart w:id="1330" w:name="_Toc459329467"/>
      <w:bookmarkStart w:id="1331" w:name="_Toc459329828"/>
      <w:bookmarkStart w:id="1332" w:name="_Toc459330188"/>
      <w:bookmarkStart w:id="1333" w:name="_Toc459330548"/>
      <w:bookmarkStart w:id="1334" w:name="_Toc459330908"/>
      <w:bookmarkStart w:id="1335" w:name="_Toc459331268"/>
      <w:bookmarkStart w:id="1336" w:name="_Toc459331628"/>
      <w:bookmarkStart w:id="1337" w:name="_Toc459331988"/>
      <w:bookmarkStart w:id="1338" w:name="_Toc459158430"/>
      <w:bookmarkStart w:id="1339" w:name="_Toc459158703"/>
      <w:bookmarkStart w:id="1340" w:name="_Toc459158984"/>
      <w:bookmarkStart w:id="1341" w:name="_Toc459209983"/>
      <w:bookmarkStart w:id="1342" w:name="_Toc459329109"/>
      <w:bookmarkStart w:id="1343" w:name="_Toc459329468"/>
      <w:bookmarkStart w:id="1344" w:name="_Toc459329829"/>
      <w:bookmarkStart w:id="1345" w:name="_Toc459330189"/>
      <w:bookmarkStart w:id="1346" w:name="_Toc459330549"/>
      <w:bookmarkStart w:id="1347" w:name="_Toc459330909"/>
      <w:bookmarkStart w:id="1348" w:name="_Toc459331269"/>
      <w:bookmarkStart w:id="1349" w:name="_Toc459331629"/>
      <w:bookmarkStart w:id="1350" w:name="_Toc459331989"/>
      <w:bookmarkStart w:id="1351" w:name="_Toc459158431"/>
      <w:bookmarkStart w:id="1352" w:name="_Toc459158704"/>
      <w:bookmarkStart w:id="1353" w:name="_Toc459158985"/>
      <w:bookmarkStart w:id="1354" w:name="_Toc459209984"/>
      <w:bookmarkStart w:id="1355" w:name="_Toc459329110"/>
      <w:bookmarkStart w:id="1356" w:name="_Toc459329469"/>
      <w:bookmarkStart w:id="1357" w:name="_Toc459329830"/>
      <w:bookmarkStart w:id="1358" w:name="_Toc459330190"/>
      <w:bookmarkStart w:id="1359" w:name="_Toc459330550"/>
      <w:bookmarkStart w:id="1360" w:name="_Toc459330910"/>
      <w:bookmarkStart w:id="1361" w:name="_Toc459331270"/>
      <w:bookmarkStart w:id="1362" w:name="_Toc459331630"/>
      <w:bookmarkStart w:id="1363" w:name="_Toc459331990"/>
      <w:bookmarkStart w:id="1364" w:name="_Toc459158433"/>
      <w:bookmarkStart w:id="1365" w:name="_Toc459158706"/>
      <w:bookmarkStart w:id="1366" w:name="_Toc459158987"/>
      <w:bookmarkStart w:id="1367" w:name="_Toc459209986"/>
      <w:bookmarkStart w:id="1368" w:name="_Toc459329112"/>
      <w:bookmarkStart w:id="1369" w:name="_Toc459329471"/>
      <w:bookmarkStart w:id="1370" w:name="_Toc459329832"/>
      <w:bookmarkStart w:id="1371" w:name="_Toc459330192"/>
      <w:bookmarkStart w:id="1372" w:name="_Toc459330552"/>
      <w:bookmarkStart w:id="1373" w:name="_Toc459330912"/>
      <w:bookmarkStart w:id="1374" w:name="_Toc459331272"/>
      <w:bookmarkStart w:id="1375" w:name="_Toc459331632"/>
      <w:bookmarkStart w:id="1376" w:name="_Toc459331992"/>
      <w:bookmarkStart w:id="1377" w:name="_Toc459158434"/>
      <w:bookmarkStart w:id="1378" w:name="_Toc459158707"/>
      <w:bookmarkStart w:id="1379" w:name="_Toc459158988"/>
      <w:bookmarkStart w:id="1380" w:name="_Toc459209987"/>
      <w:bookmarkStart w:id="1381" w:name="_Toc459329113"/>
      <w:bookmarkStart w:id="1382" w:name="_Toc459329472"/>
      <w:bookmarkStart w:id="1383" w:name="_Toc459329833"/>
      <w:bookmarkStart w:id="1384" w:name="_Toc459330193"/>
      <w:bookmarkStart w:id="1385" w:name="_Toc459330553"/>
      <w:bookmarkStart w:id="1386" w:name="_Toc459330913"/>
      <w:bookmarkStart w:id="1387" w:name="_Toc459331273"/>
      <w:bookmarkStart w:id="1388" w:name="_Toc459331633"/>
      <w:bookmarkStart w:id="1389" w:name="_Toc459331993"/>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r w:rsidRPr="00EE5D45">
        <w:rPr>
          <w:i w:val="0"/>
        </w:rPr>
        <w:br w:type="page"/>
      </w:r>
      <w:bookmarkStart w:id="1390" w:name="_Toc167192445"/>
      <w:r w:rsidR="008617A0" w:rsidRPr="004A5BF7">
        <w:rPr>
          <w:rStyle w:val="Heading20"/>
        </w:rPr>
        <w:tab/>
      </w:r>
      <w:bookmarkStart w:id="1391" w:name="_Toc462307455"/>
      <w:r w:rsidR="00EC3C87" w:rsidRPr="004A5BF7">
        <w:rPr>
          <w:rStyle w:val="Heading20"/>
        </w:rPr>
        <w:t xml:space="preserve">Mackay Whitsunday </w:t>
      </w:r>
      <w:r w:rsidR="00EE2F27" w:rsidRPr="004A5BF7">
        <w:rPr>
          <w:rStyle w:val="Heading20"/>
        </w:rPr>
        <w:t>focus</w:t>
      </w:r>
      <w:r w:rsidR="006D2CEE">
        <w:rPr>
          <w:rStyle w:val="Heading20"/>
        </w:rPr>
        <w:t xml:space="preserve"> area</w:t>
      </w:r>
      <w:bookmarkEnd w:id="1391"/>
    </w:p>
    <w:p w14:paraId="5F22F2D2" w14:textId="77777777" w:rsidR="00DA2814" w:rsidRPr="00FF2B4C" w:rsidRDefault="00DA2814" w:rsidP="00164E5E">
      <w:pPr>
        <w:pStyle w:val="Heading4"/>
      </w:pPr>
      <w:r w:rsidRPr="00FF2B4C">
        <w:t>Overview</w:t>
      </w:r>
    </w:p>
    <w:p w14:paraId="5F22F2D3" w14:textId="3F402A0C" w:rsidR="008645FA" w:rsidRPr="008467AA" w:rsidRDefault="008645FA" w:rsidP="008645FA">
      <w:pPr>
        <w:rPr>
          <w:color w:val="000000" w:themeColor="text1"/>
          <w:lang w:val="en-AU"/>
        </w:rPr>
      </w:pPr>
      <w:r w:rsidRPr="008467AA">
        <w:rPr>
          <w:color w:val="000000" w:themeColor="text1"/>
          <w:lang w:val="en-AU"/>
        </w:rPr>
        <w:t xml:space="preserve">The Mackay Whitsunday Region is located in the central section of the GBR and comprises four major river </w:t>
      </w:r>
      <w:r w:rsidR="006D2CEE">
        <w:rPr>
          <w:color w:val="000000" w:themeColor="text1"/>
          <w:lang w:val="en-AU"/>
        </w:rPr>
        <w:t>basins</w:t>
      </w:r>
      <w:r w:rsidRPr="008467AA">
        <w:rPr>
          <w:color w:val="000000" w:themeColor="text1"/>
          <w:lang w:val="en-AU"/>
        </w:rPr>
        <w:t xml:space="preserve">, the Proserpine, O’Connell, Pioneer and Plane </w:t>
      </w:r>
      <w:r w:rsidR="006D2CEE">
        <w:rPr>
          <w:color w:val="000000" w:themeColor="text1"/>
          <w:lang w:val="en-AU"/>
        </w:rPr>
        <w:t>Basins</w:t>
      </w:r>
      <w:r w:rsidRPr="008467AA">
        <w:rPr>
          <w:color w:val="000000" w:themeColor="text1"/>
          <w:lang w:val="en-AU"/>
        </w:rPr>
        <w:t xml:space="preserve">. The region is also potentially influenced by runoff from the Burdekin and Fitzroy </w:t>
      </w:r>
      <w:r w:rsidR="006D2CEE">
        <w:rPr>
          <w:color w:val="000000" w:themeColor="text1"/>
          <w:lang w:val="en-AU"/>
        </w:rPr>
        <w:t>Ri</w:t>
      </w:r>
      <w:r w:rsidRPr="008467AA">
        <w:rPr>
          <w:color w:val="000000" w:themeColor="text1"/>
          <w:lang w:val="en-AU"/>
        </w:rPr>
        <w:t xml:space="preserve">vers during extreme events or through longer-term transport and mixing. The climate in this region is wet or mixed wet and dry tropical with the catchment land use dominated by agriculture broadly divided into grazing in the upper catchments and sugarcane cultivation on the coastal plains (Brodie </w:t>
      </w:r>
      <w:r w:rsidRPr="00D035F6">
        <w:rPr>
          <w:color w:val="000000" w:themeColor="text1"/>
          <w:lang w:val="en-AU"/>
        </w:rPr>
        <w:t>et al.</w:t>
      </w:r>
      <w:r w:rsidR="00D035F6">
        <w:rPr>
          <w:color w:val="000000" w:themeColor="text1"/>
          <w:lang w:val="en-AU"/>
        </w:rPr>
        <w:t>,</w:t>
      </w:r>
      <w:r w:rsidRPr="008467AA">
        <w:rPr>
          <w:color w:val="000000" w:themeColor="text1"/>
          <w:lang w:val="en-AU"/>
        </w:rPr>
        <w:t xml:space="preserve"> 2003</w:t>
      </w:r>
      <w:r w:rsidR="008936EF">
        <w:rPr>
          <w:color w:val="000000" w:themeColor="text1"/>
          <w:lang w:val="en-AU"/>
        </w:rPr>
        <w:t>;</w:t>
      </w:r>
      <w:r w:rsidRPr="008467AA">
        <w:rPr>
          <w:color w:val="000000" w:themeColor="text1"/>
          <w:lang w:val="en-AU"/>
        </w:rPr>
        <w:t xml:space="preserve"> GBRMPA 2012). In addition, there are expanding urban areas along the coast. </w:t>
      </w:r>
    </w:p>
    <w:p w14:paraId="5F22F2D4" w14:textId="312F4C77" w:rsidR="00731846" w:rsidRPr="008467AA" w:rsidRDefault="008645FA" w:rsidP="00853549">
      <w:pPr>
        <w:rPr>
          <w:lang w:val="en-AU"/>
        </w:rPr>
      </w:pPr>
      <w:r w:rsidRPr="008467AA">
        <w:rPr>
          <w:rFonts w:cs="Arial"/>
          <w:szCs w:val="22"/>
          <w:lang w:val="en-AU"/>
        </w:rPr>
        <w:t xml:space="preserve">Three stations were sampled three times per year </w:t>
      </w:r>
      <w:r w:rsidR="00853549">
        <w:rPr>
          <w:rFonts w:cs="Arial"/>
          <w:szCs w:val="22"/>
          <w:lang w:val="en-AU"/>
        </w:rPr>
        <w:t xml:space="preserve">in the Mackay Whitsunday region </w:t>
      </w:r>
      <w:r w:rsidRPr="008467AA">
        <w:rPr>
          <w:rFonts w:cs="Arial"/>
          <w:szCs w:val="22"/>
          <w:lang w:val="en-AU"/>
        </w:rPr>
        <w:t xml:space="preserve">until the end of 2014. </w:t>
      </w:r>
      <w:r w:rsidR="00853549">
        <w:rPr>
          <w:rFonts w:cs="Arial"/>
          <w:szCs w:val="22"/>
          <w:lang w:val="en-AU"/>
        </w:rPr>
        <w:t xml:space="preserve">As part </w:t>
      </w:r>
      <w:r w:rsidRPr="008467AA">
        <w:rPr>
          <w:rFonts w:cs="Arial"/>
          <w:szCs w:val="22"/>
          <w:lang w:val="en-AU"/>
        </w:rPr>
        <w:t>of the new MMP water quality sampling design</w:t>
      </w:r>
      <w:r w:rsidR="00C73291">
        <w:rPr>
          <w:rFonts w:cs="Arial"/>
          <w:szCs w:val="22"/>
          <w:lang w:val="en-AU"/>
        </w:rPr>
        <w:t xml:space="preserve"> </w:t>
      </w:r>
      <w:r w:rsidRPr="008467AA">
        <w:rPr>
          <w:rFonts w:cs="Arial"/>
          <w:szCs w:val="22"/>
          <w:lang w:val="en-AU"/>
        </w:rPr>
        <w:t xml:space="preserve">in 2015, </w:t>
      </w:r>
      <w:r w:rsidR="00E272F2">
        <w:rPr>
          <w:rFonts w:cs="Arial"/>
          <w:szCs w:val="22"/>
          <w:lang w:val="en-AU"/>
        </w:rPr>
        <w:t>there are now</w:t>
      </w:r>
      <w:r w:rsidRPr="008467AA">
        <w:rPr>
          <w:rFonts w:cs="Arial"/>
          <w:szCs w:val="22"/>
          <w:lang w:val="en-AU"/>
        </w:rPr>
        <w:t xml:space="preserve"> 11 stations sampled up to five times per year, with eight stations sampled during both the dry and wet season and three only during the wet season (Table </w:t>
      </w:r>
      <w:r w:rsidR="00D035F6">
        <w:rPr>
          <w:rFonts w:cs="Arial"/>
          <w:szCs w:val="22"/>
          <w:lang w:val="en-AU"/>
        </w:rPr>
        <w:t>4-</w:t>
      </w:r>
      <w:r w:rsidRPr="008467AA">
        <w:rPr>
          <w:rFonts w:cs="Arial"/>
          <w:szCs w:val="22"/>
          <w:lang w:val="en-AU"/>
        </w:rPr>
        <w:t xml:space="preserve">1). The sampling locations in this new design are </w:t>
      </w:r>
      <w:r w:rsidR="00C06A37">
        <w:rPr>
          <w:rFonts w:cs="Arial"/>
          <w:szCs w:val="22"/>
          <w:lang w:val="en-AU"/>
        </w:rPr>
        <w:t>located</w:t>
      </w:r>
      <w:r w:rsidR="00C06A37" w:rsidRPr="008467AA">
        <w:rPr>
          <w:rFonts w:cs="Arial"/>
          <w:szCs w:val="22"/>
          <w:lang w:val="en-AU"/>
        </w:rPr>
        <w:t xml:space="preserve"> </w:t>
      </w:r>
      <w:r w:rsidRPr="008467AA">
        <w:rPr>
          <w:rFonts w:cs="Arial"/>
          <w:szCs w:val="22"/>
          <w:lang w:val="en-AU"/>
        </w:rPr>
        <w:t>in a river</w:t>
      </w:r>
      <w:r w:rsidR="00C06A37">
        <w:rPr>
          <w:rFonts w:cs="Arial"/>
          <w:szCs w:val="22"/>
          <w:lang w:val="en-AU"/>
        </w:rPr>
        <w:t xml:space="preserve"> mouth</w:t>
      </w:r>
      <w:r w:rsidRPr="008467AA">
        <w:rPr>
          <w:rFonts w:cs="Arial"/>
          <w:szCs w:val="22"/>
          <w:lang w:val="en-AU"/>
        </w:rPr>
        <w:t xml:space="preserve"> to open coastal water transect representing a gradient in water quality</w:t>
      </w:r>
      <w:r w:rsidR="00C06A37">
        <w:rPr>
          <w:rFonts w:cs="Arial"/>
          <w:szCs w:val="22"/>
          <w:lang w:val="en-AU"/>
        </w:rPr>
        <w:t>. Five s</w:t>
      </w:r>
      <w:r w:rsidRPr="008467AA">
        <w:rPr>
          <w:rFonts w:cs="Arial"/>
          <w:szCs w:val="22"/>
          <w:lang w:val="en-AU"/>
        </w:rPr>
        <w:t xml:space="preserve">tations </w:t>
      </w:r>
      <w:r w:rsidR="00C06A37">
        <w:rPr>
          <w:rFonts w:cs="Arial"/>
          <w:szCs w:val="22"/>
          <w:lang w:val="en-AU"/>
        </w:rPr>
        <w:t>are</w:t>
      </w:r>
      <w:r w:rsidR="00C06A37" w:rsidRPr="008467AA">
        <w:rPr>
          <w:rFonts w:cs="Arial"/>
          <w:szCs w:val="22"/>
          <w:lang w:val="en-AU"/>
        </w:rPr>
        <w:t xml:space="preserve"> </w:t>
      </w:r>
      <w:r w:rsidR="00C06A37">
        <w:rPr>
          <w:rFonts w:cs="Arial"/>
          <w:szCs w:val="22"/>
          <w:lang w:val="en-AU"/>
        </w:rPr>
        <w:t>likely to be dominated by</w:t>
      </w:r>
      <w:r w:rsidRPr="008467AA">
        <w:rPr>
          <w:rFonts w:cs="Arial"/>
          <w:szCs w:val="22"/>
          <w:lang w:val="en-AU"/>
        </w:rPr>
        <w:t xml:space="preserve"> </w:t>
      </w:r>
      <w:r w:rsidR="00C06A37">
        <w:rPr>
          <w:lang w:val="en-AU"/>
        </w:rPr>
        <w:t>P</w:t>
      </w:r>
      <w:r w:rsidRPr="008467AA">
        <w:rPr>
          <w:lang w:val="en-AU"/>
        </w:rPr>
        <w:t xml:space="preserve">rimary and </w:t>
      </w:r>
      <w:r w:rsidR="00C06A37">
        <w:rPr>
          <w:lang w:val="en-AU"/>
        </w:rPr>
        <w:t>S</w:t>
      </w:r>
      <w:r w:rsidRPr="008467AA">
        <w:rPr>
          <w:lang w:val="en-AU"/>
        </w:rPr>
        <w:t>econdary plume</w:t>
      </w:r>
      <w:r w:rsidR="00C06A37">
        <w:rPr>
          <w:lang w:val="en-AU"/>
        </w:rPr>
        <w:t xml:space="preserve"> water</w:t>
      </w:r>
      <w:r w:rsidR="00853549">
        <w:rPr>
          <w:lang w:val="en-AU"/>
        </w:rPr>
        <w:t>s</w:t>
      </w:r>
      <w:r w:rsidRPr="008467AA">
        <w:rPr>
          <w:lang w:val="en-AU"/>
        </w:rPr>
        <w:t xml:space="preserve">, </w:t>
      </w:r>
      <w:r w:rsidR="00C06A37">
        <w:rPr>
          <w:lang w:val="en-AU"/>
        </w:rPr>
        <w:t>and six stations</w:t>
      </w:r>
      <w:r w:rsidRPr="008467AA">
        <w:rPr>
          <w:lang w:val="en-AU"/>
        </w:rPr>
        <w:t xml:space="preserve"> </w:t>
      </w:r>
      <w:r w:rsidRPr="008467AA">
        <w:rPr>
          <w:rFonts w:cs="Arial"/>
          <w:szCs w:val="22"/>
          <w:lang w:val="en-AU"/>
        </w:rPr>
        <w:t xml:space="preserve">are located </w:t>
      </w:r>
      <w:r w:rsidR="00C06A37">
        <w:rPr>
          <w:rFonts w:cs="Arial"/>
          <w:szCs w:val="22"/>
          <w:lang w:val="en-AU"/>
        </w:rPr>
        <w:t xml:space="preserve">in areas which are less likely to be </w:t>
      </w:r>
      <w:r w:rsidRPr="008467AA">
        <w:rPr>
          <w:rFonts w:cs="Arial"/>
          <w:szCs w:val="22"/>
          <w:lang w:val="en-AU"/>
        </w:rPr>
        <w:t xml:space="preserve">exposed to </w:t>
      </w:r>
      <w:r w:rsidR="00C06A37">
        <w:rPr>
          <w:rFonts w:cs="Arial"/>
          <w:szCs w:val="22"/>
          <w:lang w:val="en-AU"/>
        </w:rPr>
        <w:t>Primary and S</w:t>
      </w:r>
      <w:r w:rsidR="00C06A37" w:rsidRPr="008467AA">
        <w:rPr>
          <w:rFonts w:cs="Arial"/>
          <w:szCs w:val="22"/>
          <w:lang w:val="en-AU"/>
        </w:rPr>
        <w:t xml:space="preserve">econdary </w:t>
      </w:r>
      <w:r w:rsidRPr="008467AA">
        <w:rPr>
          <w:rFonts w:cs="Arial"/>
          <w:szCs w:val="22"/>
          <w:lang w:val="en-AU"/>
        </w:rPr>
        <w:t>plume</w:t>
      </w:r>
      <w:r w:rsidR="00C06A37">
        <w:rPr>
          <w:rFonts w:cs="Arial"/>
          <w:szCs w:val="22"/>
          <w:lang w:val="en-AU"/>
        </w:rPr>
        <w:t xml:space="preserve"> </w:t>
      </w:r>
      <w:r w:rsidRPr="008467AA">
        <w:rPr>
          <w:rFonts w:cs="Arial"/>
          <w:szCs w:val="22"/>
          <w:lang w:val="en-AU"/>
        </w:rPr>
        <w:t>water</w:t>
      </w:r>
      <w:r w:rsidR="00C06A37">
        <w:rPr>
          <w:rFonts w:cs="Arial"/>
          <w:szCs w:val="22"/>
          <w:lang w:val="en-AU"/>
        </w:rPr>
        <w:t xml:space="preserve">s </w:t>
      </w:r>
      <w:r w:rsidRPr="008467AA">
        <w:rPr>
          <w:rFonts w:cs="Arial"/>
          <w:szCs w:val="22"/>
          <w:lang w:val="en-AU"/>
        </w:rPr>
        <w:t>(</w:t>
      </w:r>
      <w:r w:rsidR="00853549">
        <w:rPr>
          <w:rFonts w:cs="Arial"/>
          <w:szCs w:val="22"/>
          <w:lang w:val="en-AU"/>
        </w:rPr>
        <w:fldChar w:fldCharType="begin"/>
      </w:r>
      <w:r w:rsidR="00853549">
        <w:rPr>
          <w:rFonts w:cs="Arial"/>
          <w:szCs w:val="22"/>
          <w:lang w:val="en-AU"/>
        </w:rPr>
        <w:instrText xml:space="preserve"> REF _Ref459153059 \h </w:instrText>
      </w:r>
      <w:r w:rsidR="00853549">
        <w:rPr>
          <w:rFonts w:cs="Arial"/>
          <w:szCs w:val="22"/>
          <w:lang w:val="en-AU"/>
        </w:rPr>
      </w:r>
      <w:r w:rsidR="00853549">
        <w:rPr>
          <w:rFonts w:cs="Arial"/>
          <w:szCs w:val="22"/>
          <w:lang w:val="en-AU"/>
        </w:rPr>
        <w:fldChar w:fldCharType="separate"/>
      </w:r>
      <w:r w:rsidR="007F5336" w:rsidRPr="007A1A6E">
        <w:t xml:space="preserve">Figure </w:t>
      </w:r>
      <w:r w:rsidR="007F5336">
        <w:rPr>
          <w:noProof/>
        </w:rPr>
        <w:t>5</w:t>
      </w:r>
      <w:r w:rsidR="007F5336">
        <w:noBreakHyphen/>
      </w:r>
      <w:r w:rsidR="007F5336">
        <w:rPr>
          <w:noProof/>
        </w:rPr>
        <w:t>42</w:t>
      </w:r>
      <w:r w:rsidR="00853549">
        <w:rPr>
          <w:rFonts w:cs="Arial"/>
          <w:szCs w:val="22"/>
          <w:lang w:val="en-AU"/>
        </w:rPr>
        <w:fldChar w:fldCharType="end"/>
      </w:r>
      <w:r w:rsidRPr="008467AA">
        <w:rPr>
          <w:rFonts w:cs="Arial"/>
          <w:szCs w:val="22"/>
          <w:lang w:val="en-AU"/>
        </w:rPr>
        <w:t>).</w:t>
      </w:r>
    </w:p>
    <w:p w14:paraId="5F22F2D5" w14:textId="4D61DBE6" w:rsidR="00901EE5" w:rsidRPr="007A1A6E" w:rsidRDefault="00901EE5" w:rsidP="004A5BF7">
      <w:pPr>
        <w:rPr>
          <w:sz w:val="16"/>
          <w:szCs w:val="16"/>
          <w:lang w:val="en-AU"/>
        </w:rPr>
      </w:pPr>
    </w:p>
    <w:p w14:paraId="52398CEB" w14:textId="1DB8C100" w:rsidR="00E01753" w:rsidRDefault="00E01753" w:rsidP="00124249">
      <w:bookmarkStart w:id="1392" w:name="_Toc436913498"/>
      <w:r>
        <w:rPr>
          <w:noProof/>
          <w:lang w:val="en-AU" w:eastAsia="en-AU"/>
        </w:rPr>
        <w:drawing>
          <wp:inline distT="0" distB="0" distL="0" distR="0" wp14:anchorId="53D0CD2E" wp14:editId="29853689">
            <wp:extent cx="5731510" cy="4053840"/>
            <wp:effectExtent l="0" t="0" r="2540" b="3810"/>
            <wp:docPr id="7207" name="Picture 7207" descr="Panel of 2 maps showing MMP sampling sites in the Mackay Whitsunday focus area shown with (left) wet season plume frequency 2003 to 2015 (Primary + Secondary; where 1.0 represents 22 weeks, December to March) and (right) the water body boundaries. " title="Figure 5 42: MMP sampling sites in the Mackay Whitsunday focus area shown with (left) wet season plume frequency 2003 to 2015 (Primary + Secondary; where 1.0 represents 22 weeks, December to March) and (right) the water body boundari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_Site_maps_MWS_v2.jpg"/>
                    <pic:cNvPicPr/>
                  </pic:nvPicPr>
                  <pic:blipFill>
                    <a:blip r:embed="rId358">
                      <a:extLst>
                        <a:ext uri="{28A0092B-C50C-407E-A947-70E740481C1C}">
                          <a14:useLocalDpi xmlns:a14="http://schemas.microsoft.com/office/drawing/2010/main" val="0"/>
                        </a:ext>
                      </a:extLst>
                    </a:blip>
                    <a:stretch>
                      <a:fillRect/>
                    </a:stretch>
                  </pic:blipFill>
                  <pic:spPr>
                    <a:xfrm>
                      <a:off x="0" y="0"/>
                      <a:ext cx="5731510" cy="4053840"/>
                    </a:xfrm>
                    <a:prstGeom prst="rect">
                      <a:avLst/>
                    </a:prstGeom>
                  </pic:spPr>
                </pic:pic>
              </a:graphicData>
            </a:graphic>
          </wp:inline>
        </w:drawing>
      </w:r>
    </w:p>
    <w:p w14:paraId="5F0D19EA" w14:textId="2FFA86C4" w:rsidR="00B43F3B" w:rsidRPr="00C27BEB" w:rsidRDefault="00DA2814" w:rsidP="00164E5E">
      <w:pPr>
        <w:pStyle w:val="Caption"/>
        <w:rPr>
          <w:rFonts w:cs="Arial"/>
          <w:vanish/>
          <w:szCs w:val="16"/>
        </w:rPr>
      </w:pPr>
      <w:bookmarkStart w:id="1393" w:name="_Ref459153059"/>
      <w:bookmarkStart w:id="1394" w:name="_Toc459332400"/>
      <w:r w:rsidRPr="007A1A6E">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42</w:t>
      </w:r>
      <w:r w:rsidR="00C62884">
        <w:fldChar w:fldCharType="end"/>
      </w:r>
      <w:bookmarkEnd w:id="1393"/>
      <w:r w:rsidRPr="007A1A6E">
        <w:t xml:space="preserve">: </w:t>
      </w:r>
      <w:r w:rsidR="0004130F" w:rsidRPr="004448D4">
        <w:t>MMP sampling sit</w:t>
      </w:r>
      <w:r w:rsidR="007A1A6E" w:rsidRPr="004448D4">
        <w:t>es in the Mackay Whitsunday focus</w:t>
      </w:r>
      <w:r w:rsidR="00853549">
        <w:t xml:space="preserve"> area</w:t>
      </w:r>
      <w:r w:rsidR="007A1A6E" w:rsidRPr="004448D4">
        <w:t xml:space="preserve"> shown with </w:t>
      </w:r>
      <w:r w:rsidR="00E01753" w:rsidRPr="00883BEF">
        <w:t>(left) wet season plume frequency 2003</w:t>
      </w:r>
      <w:r w:rsidR="00853549">
        <w:t xml:space="preserve"> to </w:t>
      </w:r>
      <w:r w:rsidR="00E01753" w:rsidRPr="00883BEF">
        <w:t>2015 (Primary + Secondary; where 1.0 represents 22 weeks, December to March) and (right)</w:t>
      </w:r>
      <w:r w:rsidR="00E01753">
        <w:t xml:space="preserve"> </w:t>
      </w:r>
      <w:r w:rsidR="007A1A6E" w:rsidRPr="004448D4">
        <w:t>the water body boundaries.</w:t>
      </w:r>
      <w:bookmarkEnd w:id="1394"/>
      <w:r w:rsidR="007A1A6E" w:rsidRPr="007A1A6E">
        <w:rPr>
          <w:rFonts w:cs="Arial"/>
          <w:szCs w:val="16"/>
        </w:rPr>
        <w:t xml:space="preserve"> </w:t>
      </w:r>
    </w:p>
    <w:bookmarkEnd w:id="1392"/>
    <w:p w14:paraId="5F22F2D8" w14:textId="20466CC1" w:rsidR="008645FA" w:rsidRPr="008467AA" w:rsidRDefault="008645FA" w:rsidP="008645FA">
      <w:pPr>
        <w:rPr>
          <w:rFonts w:cs="Arial"/>
          <w:szCs w:val="22"/>
          <w:lang w:val="en-AU"/>
        </w:rPr>
      </w:pPr>
      <w:r w:rsidRPr="008467AA">
        <w:rPr>
          <w:color w:val="000000" w:themeColor="text1"/>
          <w:lang w:val="en-AU"/>
        </w:rPr>
        <w:t xml:space="preserve">Over the period 2007 to 2013, annual discharge from the Proserpine, O’Connell and Pioneer </w:t>
      </w:r>
      <w:r w:rsidR="00853549">
        <w:rPr>
          <w:color w:val="000000" w:themeColor="text1"/>
          <w:lang w:val="en-AU"/>
        </w:rPr>
        <w:t>R</w:t>
      </w:r>
      <w:r w:rsidR="00853549" w:rsidRPr="008467AA">
        <w:rPr>
          <w:color w:val="000000" w:themeColor="text1"/>
          <w:lang w:val="en-AU"/>
        </w:rPr>
        <w:t xml:space="preserve">ivers </w:t>
      </w:r>
      <w:r w:rsidRPr="008467AA">
        <w:rPr>
          <w:color w:val="000000" w:themeColor="text1"/>
          <w:lang w:val="en-AU"/>
        </w:rPr>
        <w:t>was above median levels (</w:t>
      </w:r>
      <w:r w:rsidR="00853549">
        <w:rPr>
          <w:color w:val="000000" w:themeColor="text1"/>
          <w:lang w:val="en-AU"/>
        </w:rPr>
        <w:fldChar w:fldCharType="begin"/>
      </w:r>
      <w:r w:rsidR="00853549">
        <w:rPr>
          <w:color w:val="000000" w:themeColor="text1"/>
          <w:lang w:val="en-AU"/>
        </w:rPr>
        <w:instrText xml:space="preserve"> REF _Ref459153106 \h </w:instrText>
      </w:r>
      <w:r w:rsidR="00853549">
        <w:rPr>
          <w:color w:val="000000" w:themeColor="text1"/>
          <w:lang w:val="en-AU"/>
        </w:rPr>
      </w:r>
      <w:r w:rsidR="00853549">
        <w:rPr>
          <w:color w:val="000000" w:themeColor="text1"/>
          <w:lang w:val="en-AU"/>
        </w:rPr>
        <w:fldChar w:fldCharType="separate"/>
      </w:r>
      <w:r w:rsidR="007F5336" w:rsidRPr="008467AA">
        <w:t xml:space="preserve">Figure </w:t>
      </w:r>
      <w:r w:rsidR="007F5336">
        <w:rPr>
          <w:noProof/>
        </w:rPr>
        <w:t>5</w:t>
      </w:r>
      <w:r w:rsidR="007F5336">
        <w:noBreakHyphen/>
      </w:r>
      <w:r w:rsidR="007F5336">
        <w:rPr>
          <w:noProof/>
        </w:rPr>
        <w:t>43</w:t>
      </w:r>
      <w:r w:rsidR="00853549">
        <w:rPr>
          <w:color w:val="000000" w:themeColor="text1"/>
          <w:lang w:val="en-AU"/>
        </w:rPr>
        <w:fldChar w:fldCharType="end"/>
      </w:r>
      <w:r w:rsidRPr="008467AA">
        <w:rPr>
          <w:color w:val="000000" w:themeColor="text1"/>
          <w:lang w:val="en-AU"/>
        </w:rPr>
        <w:t>, Table A2-1). Extreme floods (</w:t>
      </w:r>
      <w:r w:rsidR="00C06A37">
        <w:rPr>
          <w:color w:val="000000" w:themeColor="text1"/>
          <w:lang w:val="en-AU"/>
        </w:rPr>
        <w:t>more than 3 times the long term</w:t>
      </w:r>
      <w:r w:rsidRPr="008467AA">
        <w:rPr>
          <w:color w:val="000000" w:themeColor="text1"/>
          <w:lang w:val="en-AU"/>
        </w:rPr>
        <w:t xml:space="preserve"> median) were recorded for </w:t>
      </w:r>
      <w:r w:rsidRPr="008467AA">
        <w:rPr>
          <w:color w:val="000000" w:themeColor="text1"/>
          <w:szCs w:val="22"/>
          <w:lang w:val="en-AU"/>
        </w:rPr>
        <w:t>the O’Connell River in 2011, the Pioneer River in 2008 and 2010 to 2013, and the Proserpine River each year 2008</w:t>
      </w:r>
      <w:r w:rsidR="00853549">
        <w:rPr>
          <w:color w:val="000000" w:themeColor="text1"/>
          <w:szCs w:val="22"/>
          <w:lang w:val="en-AU"/>
        </w:rPr>
        <w:t xml:space="preserve"> to </w:t>
      </w:r>
      <w:r w:rsidRPr="008467AA">
        <w:rPr>
          <w:color w:val="000000" w:themeColor="text1"/>
          <w:szCs w:val="22"/>
          <w:lang w:val="en-AU"/>
        </w:rPr>
        <w:t>2013 (Table A2-1). The 2011 flood was the largest on record for the Proserpine River and the third largest for the O’Connell River. The combined</w:t>
      </w:r>
      <w:r w:rsidRPr="008467AA">
        <w:rPr>
          <w:color w:val="000000" w:themeColor="text1"/>
          <w:lang w:val="en-AU"/>
        </w:rPr>
        <w:t xml:space="preserve"> annual</w:t>
      </w:r>
      <w:r w:rsidRPr="008467AA">
        <w:rPr>
          <w:color w:val="000000" w:themeColor="text1"/>
          <w:szCs w:val="22"/>
          <w:lang w:val="en-AU"/>
        </w:rPr>
        <w:t xml:space="preserve"> discharge from the </w:t>
      </w:r>
      <w:r w:rsidRPr="008467AA">
        <w:rPr>
          <w:rFonts w:cs="Arial"/>
          <w:szCs w:val="22"/>
          <w:lang w:val="en-AU"/>
        </w:rPr>
        <w:t xml:space="preserve">O'Connell, Proserpine and Pioneer Rivers </w:t>
      </w:r>
      <w:r w:rsidR="00C06A37" w:rsidRPr="008467AA">
        <w:rPr>
          <w:rFonts w:cs="Arial"/>
          <w:szCs w:val="22"/>
          <w:lang w:val="en-AU"/>
        </w:rPr>
        <w:t xml:space="preserve">during </w:t>
      </w:r>
      <w:r w:rsidR="00C06A37" w:rsidRPr="008467AA">
        <w:rPr>
          <w:color w:val="000000" w:themeColor="text1"/>
          <w:lang w:val="en-AU"/>
        </w:rPr>
        <w:t xml:space="preserve">2014-15 </w:t>
      </w:r>
      <w:r w:rsidRPr="008467AA">
        <w:rPr>
          <w:rFonts w:cs="Arial"/>
          <w:szCs w:val="22"/>
          <w:lang w:val="en-AU"/>
        </w:rPr>
        <w:t xml:space="preserve">were </w:t>
      </w:r>
      <w:r w:rsidRPr="008467AA">
        <w:rPr>
          <w:color w:val="000000" w:themeColor="text1"/>
          <w:lang w:val="en-AU"/>
        </w:rPr>
        <w:t>above the long-term median flows</w:t>
      </w:r>
      <w:r w:rsidRPr="008467AA">
        <w:rPr>
          <w:rFonts w:cs="Arial"/>
          <w:szCs w:val="22"/>
          <w:lang w:val="en-AU"/>
        </w:rPr>
        <w:t xml:space="preserve"> </w:t>
      </w:r>
      <w:r w:rsidRPr="008467AA">
        <w:rPr>
          <w:color w:val="000000" w:themeColor="text1"/>
          <w:lang w:val="en-AU"/>
        </w:rPr>
        <w:t>(</w:t>
      </w:r>
      <w:r w:rsidR="00853549">
        <w:rPr>
          <w:color w:val="000000" w:themeColor="text1"/>
          <w:lang w:val="en-AU"/>
        </w:rPr>
        <w:fldChar w:fldCharType="begin"/>
      </w:r>
      <w:r w:rsidR="00853549">
        <w:rPr>
          <w:color w:val="000000" w:themeColor="text1"/>
          <w:lang w:val="en-AU"/>
        </w:rPr>
        <w:instrText xml:space="preserve"> REF _Ref459153106 \h </w:instrText>
      </w:r>
      <w:r w:rsidR="00853549">
        <w:rPr>
          <w:color w:val="000000" w:themeColor="text1"/>
          <w:lang w:val="en-AU"/>
        </w:rPr>
      </w:r>
      <w:r w:rsidR="00853549">
        <w:rPr>
          <w:color w:val="000000" w:themeColor="text1"/>
          <w:lang w:val="en-AU"/>
        </w:rPr>
        <w:fldChar w:fldCharType="separate"/>
      </w:r>
      <w:r w:rsidR="007F5336" w:rsidRPr="008467AA">
        <w:t xml:space="preserve">Figure </w:t>
      </w:r>
      <w:r w:rsidR="007F5336">
        <w:rPr>
          <w:noProof/>
        </w:rPr>
        <w:t>5</w:t>
      </w:r>
      <w:r w:rsidR="007F5336">
        <w:noBreakHyphen/>
      </w:r>
      <w:r w:rsidR="007F5336">
        <w:rPr>
          <w:noProof/>
        </w:rPr>
        <w:t>43</w:t>
      </w:r>
      <w:r w:rsidR="00853549">
        <w:rPr>
          <w:color w:val="000000" w:themeColor="text1"/>
          <w:lang w:val="en-AU"/>
        </w:rPr>
        <w:fldChar w:fldCharType="end"/>
      </w:r>
      <w:r w:rsidRPr="008467AA">
        <w:rPr>
          <w:color w:val="000000" w:themeColor="text1"/>
          <w:lang w:val="en-AU"/>
        </w:rPr>
        <w:t>).</w:t>
      </w:r>
    </w:p>
    <w:p w14:paraId="5F22F2D9" w14:textId="77777777" w:rsidR="00911536" w:rsidRPr="008467AA" w:rsidRDefault="00911536" w:rsidP="00853549">
      <w:pPr>
        <w:rPr>
          <w:lang w:val="en-AU"/>
        </w:rPr>
      </w:pPr>
    </w:p>
    <w:p w14:paraId="5F22F2DA" w14:textId="77777777" w:rsidR="00901EE5" w:rsidRPr="008467AA" w:rsidRDefault="00351938" w:rsidP="004A5BF7">
      <w:pPr>
        <w:rPr>
          <w:lang w:val="en-AU"/>
        </w:rPr>
      </w:pPr>
      <w:r w:rsidRPr="0026385A">
        <w:rPr>
          <w:noProof/>
          <w:lang w:val="en-AU" w:eastAsia="en-AU"/>
        </w:rPr>
        <w:drawing>
          <wp:inline distT="0" distB="0" distL="0" distR="0" wp14:anchorId="5F2323FD" wp14:editId="7035DAFE">
            <wp:extent cx="5943600" cy="2286000"/>
            <wp:effectExtent l="0" t="0" r="0" b="0"/>
            <wp:docPr id="12" name="Picture 12" descr="Graph showing combined discharge for the O'Connell, Proserpine and Pioneer Rivers. Daily (blue) and annual (October to September, red) discharge shown. Red dashed line represents the long-term median of the combined annual discharges." title="Figure 5 43: Combined discharge for the O'Connell, Proserpine and Pioneer Rivers. Daily (blue) and annual (October to September, red) discharge show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lonborg\Desktop\MMP report 2014-15\Graphs 2014-2015\mwDischarge_Nosublabels.png"/>
                    <pic:cNvPicPr>
                      <a:picLocks noChangeAspect="1" noChangeArrowheads="1"/>
                    </pic:cNvPicPr>
                  </pic:nvPicPr>
                  <pic:blipFill>
                    <a:blip r:embed="rId359">
                      <a:extLst>
                        <a:ext uri="{28A0092B-C50C-407E-A947-70E740481C1C}">
                          <a14:useLocalDpi xmlns:a14="http://schemas.microsoft.com/office/drawing/2010/main" val="0"/>
                        </a:ext>
                      </a:extLst>
                    </a:blip>
                    <a:srcRect/>
                    <a:stretch>
                      <a:fillRect/>
                    </a:stretch>
                  </pic:blipFill>
                  <pic:spPr bwMode="auto">
                    <a:xfrm>
                      <a:off x="0" y="0"/>
                      <a:ext cx="5943600" cy="2286000"/>
                    </a:xfrm>
                    <a:prstGeom prst="rect">
                      <a:avLst/>
                    </a:prstGeom>
                    <a:noFill/>
                    <a:ln>
                      <a:noFill/>
                    </a:ln>
                  </pic:spPr>
                </pic:pic>
              </a:graphicData>
            </a:graphic>
          </wp:inline>
        </w:drawing>
      </w:r>
    </w:p>
    <w:p w14:paraId="5F22F2DC" w14:textId="49D7ED31" w:rsidR="00901EE5" w:rsidRPr="00C27BEB" w:rsidRDefault="00DA2814" w:rsidP="00164E5E">
      <w:pPr>
        <w:pStyle w:val="Caption"/>
        <w:rPr>
          <w:rStyle w:val="IntenseReference"/>
        </w:rPr>
      </w:pPr>
      <w:bookmarkStart w:id="1395" w:name="_Ref459153106"/>
      <w:bookmarkStart w:id="1396" w:name="_Toc436913499"/>
      <w:bookmarkStart w:id="1397" w:name="_Toc459332401"/>
      <w:r w:rsidRPr="008467AA">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43</w:t>
      </w:r>
      <w:r w:rsidR="00C62884">
        <w:fldChar w:fldCharType="end"/>
      </w:r>
      <w:bookmarkEnd w:id="1395"/>
      <w:r w:rsidRPr="008467AA">
        <w:t xml:space="preserve">: </w:t>
      </w:r>
      <w:r w:rsidR="00CD689B" w:rsidRPr="004448D4">
        <w:t>Combined discharge for the O'Connell, Proserpine and Pioneer Rivers.</w:t>
      </w:r>
      <w:r w:rsidR="00CD689B" w:rsidRPr="00C27BEB">
        <w:rPr>
          <w:rStyle w:val="IntenseReference"/>
        </w:rPr>
        <w:t xml:space="preserve"> </w:t>
      </w:r>
      <w:r w:rsidR="00072178" w:rsidRPr="00C27BEB">
        <w:rPr>
          <w:rStyle w:val="IntenseReference"/>
        </w:rPr>
        <w:t xml:space="preserve">Daily (blue) and annual (October to September, red) </w:t>
      </w:r>
      <w:r w:rsidR="00CD689B" w:rsidRPr="00C27BEB">
        <w:rPr>
          <w:rStyle w:val="IntenseReference"/>
        </w:rPr>
        <w:t xml:space="preserve">discharge shown. </w:t>
      </w:r>
      <w:r w:rsidR="00072178" w:rsidRPr="00C27BEB">
        <w:rPr>
          <w:rStyle w:val="IntenseReference"/>
        </w:rPr>
        <w:t>Red dashed line represents the long-term median of the combined annual discharges.</w:t>
      </w:r>
      <w:bookmarkEnd w:id="1396"/>
      <w:bookmarkEnd w:id="1397"/>
    </w:p>
    <w:p w14:paraId="3FEE8569" w14:textId="0FDC1853" w:rsidR="00C06A37" w:rsidRDefault="00C06A37" w:rsidP="00C06A37">
      <w:pPr>
        <w:rPr>
          <w:lang w:val="en-AU"/>
        </w:rPr>
      </w:pPr>
      <w:r>
        <w:rPr>
          <w:lang w:val="en-AU"/>
        </w:rPr>
        <w:t>Only the O’Connell River is included in the hydrodynamic model, and the estimated zone of influence is shown in</w:t>
      </w:r>
      <w:r w:rsidR="00853549">
        <w:rPr>
          <w:lang w:val="en-AU"/>
        </w:rPr>
        <w:t xml:space="preserve"> </w:t>
      </w:r>
      <w:r w:rsidR="00853549">
        <w:rPr>
          <w:lang w:val="en-AU"/>
        </w:rPr>
        <w:fldChar w:fldCharType="begin"/>
      </w:r>
      <w:r w:rsidR="00853549">
        <w:rPr>
          <w:lang w:val="en-AU"/>
        </w:rPr>
        <w:instrText xml:space="preserve"> REF _Ref459153186 \h </w:instrText>
      </w:r>
      <w:r w:rsidR="00853549">
        <w:rPr>
          <w:lang w:val="en-AU"/>
        </w:rPr>
      </w:r>
      <w:r w:rsidR="00853549">
        <w:rPr>
          <w:lang w:val="en-AU"/>
        </w:rPr>
        <w:fldChar w:fldCharType="separate"/>
      </w:r>
      <w:r w:rsidR="007F5336" w:rsidRPr="00202A68">
        <w:t xml:space="preserve">Figure </w:t>
      </w:r>
      <w:r w:rsidR="007F5336">
        <w:rPr>
          <w:noProof/>
        </w:rPr>
        <w:t>5</w:t>
      </w:r>
      <w:r w:rsidR="007F5336">
        <w:noBreakHyphen/>
      </w:r>
      <w:r w:rsidR="007F5336">
        <w:rPr>
          <w:noProof/>
        </w:rPr>
        <w:t>44</w:t>
      </w:r>
      <w:r w:rsidR="00853549">
        <w:rPr>
          <w:lang w:val="en-AU"/>
        </w:rPr>
        <w:fldChar w:fldCharType="end"/>
      </w:r>
      <w:r>
        <w:rPr>
          <w:lang w:val="en-AU"/>
        </w:rPr>
        <w:t>. The model shows a very limited zone of influence in 2014-15, and correlated is with the discharges well below the long term median.</w:t>
      </w:r>
    </w:p>
    <w:p w14:paraId="5F22F2DD" w14:textId="77777777" w:rsidR="00DA2814" w:rsidRDefault="00DA2814" w:rsidP="00DA2814">
      <w:pPr>
        <w:rPr>
          <w:lang w:val="en-AU"/>
        </w:rPr>
      </w:pPr>
    </w:p>
    <w:p w14:paraId="7034CC1C" w14:textId="77777777" w:rsidR="00C06A37" w:rsidRPr="007A1A6E" w:rsidRDefault="00C06A37" w:rsidP="00C06A37">
      <w:pPr>
        <w:jc w:val="center"/>
        <w:rPr>
          <w:rStyle w:val="IntenseReference"/>
          <w:szCs w:val="16"/>
          <w:lang w:val="en-AU"/>
        </w:rPr>
      </w:pPr>
      <w:r w:rsidRPr="004A5BF7">
        <w:rPr>
          <w:bCs/>
          <w:noProof/>
          <w:color w:val="000000" w:themeColor="text1"/>
          <w:sz w:val="16"/>
          <w:szCs w:val="16"/>
          <w:lang w:val="en-AU" w:eastAsia="en-AU"/>
        </w:rPr>
        <w:drawing>
          <wp:inline distT="0" distB="0" distL="0" distR="0" wp14:anchorId="4F1D8571" wp14:editId="1FFD0260">
            <wp:extent cx="2808000" cy="2660400"/>
            <wp:effectExtent l="0" t="0" r="0" b="6985"/>
            <wp:docPr id="55" name="Picture 55" descr="Map showing cumulative exposure index for the O'Connell River in 2014-15.  The colour bar indicates the calculated cumulative exposure (concentration x days) above 1% of the incoming concentration. The colour bar is capped at 20 Conc.Days. Contours show 0.1, 1.0 and 10.0 Conc.Days exposure levels." title="Figure 5 44: Cumulative exposure index for the O'Connell River in 20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rbrinkma\Desktop\MMP\GBR_tracers_con_0_01psu_20141101-20150331_zoom.gif"/>
                    <pic:cNvPicPr>
                      <a:picLocks noChangeAspect="1" noChangeArrowheads="1"/>
                    </pic:cNvPicPr>
                  </pic:nvPicPr>
                  <pic:blipFill>
                    <a:blip r:embed="rId360" cstate="print">
                      <a:extLst>
                        <a:ext uri="{28A0092B-C50C-407E-A947-70E740481C1C}">
                          <a14:useLocalDpi xmlns:a14="http://schemas.microsoft.com/office/drawing/2010/main" val="0"/>
                        </a:ext>
                      </a:extLst>
                    </a:blip>
                    <a:srcRect/>
                    <a:stretch>
                      <a:fillRect/>
                    </a:stretch>
                  </pic:blipFill>
                  <pic:spPr bwMode="auto">
                    <a:xfrm>
                      <a:off x="0" y="0"/>
                      <a:ext cx="2808000" cy="2660400"/>
                    </a:xfrm>
                    <a:prstGeom prst="rect">
                      <a:avLst/>
                    </a:prstGeom>
                    <a:noFill/>
                    <a:ln>
                      <a:noFill/>
                    </a:ln>
                  </pic:spPr>
                </pic:pic>
              </a:graphicData>
            </a:graphic>
          </wp:inline>
        </w:drawing>
      </w:r>
      <w:r w:rsidRPr="004A5BF7">
        <w:rPr>
          <w:b/>
          <w:bCs/>
          <w:noProof/>
          <w:color w:val="000000" w:themeColor="text1"/>
          <w:sz w:val="16"/>
          <w:szCs w:val="16"/>
          <w:lang w:val="en-AU" w:eastAsia="en-AU"/>
        </w:rPr>
        <w:drawing>
          <wp:inline distT="0" distB="0" distL="0" distR="0" wp14:anchorId="05934B8E" wp14:editId="59DEED9B">
            <wp:extent cx="2516400" cy="2660400"/>
            <wp:effectExtent l="0" t="0" r="0" b="6985"/>
            <wp:docPr id="56" name="Picture 56" descr="Map showing cumulative exposure index for the O'Connell River in 2010-11.  The colour bar indicates the calculated cumulative exposure (concentration x days) above 1% of the incoming concentration. The colour bar is capped at 20 Conc.Days. Contours show 0.1, 1.0 and 10.0 Conc.Days exposure levels." title="Figure 5 44: Cumulative exposure index for the O'Connell River in 201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rbrinkma\Desktop\MMP\GBR_tracers_con_0_01psu_20101101-20110331.gif"/>
                    <pic:cNvPicPr>
                      <a:picLocks noChangeAspect="1" noChangeArrowheads="1"/>
                    </pic:cNvPicPr>
                  </pic:nvPicPr>
                  <pic:blipFill>
                    <a:blip r:embed="rId361">
                      <a:extLst>
                        <a:ext uri="{28A0092B-C50C-407E-A947-70E740481C1C}">
                          <a14:useLocalDpi xmlns:a14="http://schemas.microsoft.com/office/drawing/2010/main" val="0"/>
                        </a:ext>
                      </a:extLst>
                    </a:blip>
                    <a:srcRect/>
                    <a:stretch>
                      <a:fillRect/>
                    </a:stretch>
                  </pic:blipFill>
                  <pic:spPr bwMode="auto">
                    <a:xfrm>
                      <a:off x="0" y="0"/>
                      <a:ext cx="2516400" cy="2660400"/>
                    </a:xfrm>
                    <a:prstGeom prst="rect">
                      <a:avLst/>
                    </a:prstGeom>
                    <a:noFill/>
                    <a:ln>
                      <a:noFill/>
                    </a:ln>
                  </pic:spPr>
                </pic:pic>
              </a:graphicData>
            </a:graphic>
          </wp:inline>
        </w:drawing>
      </w:r>
    </w:p>
    <w:p w14:paraId="42D70D14" w14:textId="5F160662" w:rsidR="00C06A37" w:rsidRPr="00202A68" w:rsidRDefault="00C06A37" w:rsidP="00164E5E">
      <w:pPr>
        <w:pStyle w:val="Caption"/>
        <w:rPr>
          <w:rStyle w:val="IntenseReference"/>
        </w:rPr>
      </w:pPr>
      <w:bookmarkStart w:id="1398" w:name="_Ref459153186"/>
      <w:bookmarkStart w:id="1399" w:name="_Toc459332402"/>
      <w:r w:rsidRPr="00202A68">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44</w:t>
      </w:r>
      <w:r w:rsidR="00C62884">
        <w:fldChar w:fldCharType="end"/>
      </w:r>
      <w:bookmarkEnd w:id="1398"/>
      <w:r w:rsidRPr="00202A68">
        <w:t xml:space="preserve">: Cumulative exposure index for the O'Connell River </w:t>
      </w:r>
      <w:r w:rsidR="00853549">
        <w:t>in</w:t>
      </w:r>
      <w:r w:rsidRPr="00202A68">
        <w:t xml:space="preserve"> 2014-15</w:t>
      </w:r>
      <w:r w:rsidR="00B43F3B">
        <w:t xml:space="preserve"> </w:t>
      </w:r>
      <w:r w:rsidRPr="00202A68">
        <w:rPr>
          <w:rStyle w:val="IntenseReference"/>
        </w:rPr>
        <w:t>(left)</w:t>
      </w:r>
      <w:r w:rsidR="00853549">
        <w:rPr>
          <w:rStyle w:val="IntenseReference"/>
        </w:rPr>
        <w:t>, r</w:t>
      </w:r>
      <w:r w:rsidRPr="00202A68">
        <w:rPr>
          <w:rStyle w:val="IntenseReference"/>
        </w:rPr>
        <w:t>esults for 2010-11 (right) are shown for context.  The colour bar indicates the calculated cumulative exposure (concentration x days) above 1% of the incoming concentration. The colour bar is capped at 20 Conc.Days. Contours show 0.1, 1.0 and 10.0 Conc.Days exposure levels.</w:t>
      </w:r>
      <w:bookmarkEnd w:id="1399"/>
    </w:p>
    <w:p w14:paraId="5448B7F9" w14:textId="47805DBB" w:rsidR="00B57D41" w:rsidRDefault="00B57D41" w:rsidP="00B57D41">
      <w:r>
        <w:t>The O’Connell River (Caravan Park gauge), Pioneer River (Dumbleton gauge) and Sandy Creek (Homebush gauge) are the three routinely monitored sites in the Proserpine, O’Connell, Pioneer and Plane Basins.  The Pioneer River is a major contributor of discharge, sediments and nutrients to the region of the monitored sites, although it is worth pointing out that this monitoring site also captures the largest area (of the monitored sites) while Sandy Creek is a much smaller catchment area. For the purposes of the MMP, the total loads of sediment and nutrients are the most important parameter, although in terms of catchment management the loads contribute per area is an important consideration.  In the 2014-15 season the streams had their lowest discharge over the monitoring record and hence the constituent loads were also generally lower compared to previous years of monitoring (</w:t>
      </w:r>
      <w:r w:rsidR="00853549">
        <w:rPr>
          <w:highlight w:val="yellow"/>
        </w:rPr>
        <w:fldChar w:fldCharType="begin"/>
      </w:r>
      <w:r w:rsidR="00853549">
        <w:rPr>
          <w:highlight w:val="yellow"/>
        </w:rPr>
        <w:instrText xml:space="preserve"> REF _Ref459153239 \h </w:instrText>
      </w:r>
      <w:r w:rsidR="00853549">
        <w:rPr>
          <w:highlight w:val="yellow"/>
        </w:rPr>
      </w:r>
      <w:r w:rsidR="00853549">
        <w:rPr>
          <w:highlight w:val="yellow"/>
        </w:rPr>
        <w:fldChar w:fldCharType="separate"/>
      </w:r>
      <w:r w:rsidR="007F5336">
        <w:t xml:space="preserve">Figure </w:t>
      </w:r>
      <w:r w:rsidR="007F5336">
        <w:rPr>
          <w:noProof/>
        </w:rPr>
        <w:t>5</w:t>
      </w:r>
      <w:r w:rsidR="007F5336">
        <w:noBreakHyphen/>
      </w:r>
      <w:r w:rsidR="007F5336">
        <w:rPr>
          <w:noProof/>
        </w:rPr>
        <w:t>45</w:t>
      </w:r>
      <w:r w:rsidR="00853549">
        <w:rPr>
          <w:highlight w:val="yellow"/>
        </w:rPr>
        <w:fldChar w:fldCharType="end"/>
      </w:r>
      <w:r w:rsidR="00853549">
        <w:t xml:space="preserve">, </w:t>
      </w:r>
      <w:r w:rsidR="00853549">
        <w:rPr>
          <w:highlight w:val="yellow"/>
        </w:rPr>
        <w:fldChar w:fldCharType="begin"/>
      </w:r>
      <w:r w:rsidR="00853549">
        <w:instrText xml:space="preserve"> REF _Ref459153245 \h </w:instrText>
      </w:r>
      <w:r w:rsidR="00853549">
        <w:rPr>
          <w:highlight w:val="yellow"/>
        </w:rPr>
      </w:r>
      <w:r w:rsidR="00853549">
        <w:rPr>
          <w:highlight w:val="yellow"/>
        </w:rPr>
        <w:fldChar w:fldCharType="separate"/>
      </w:r>
      <w:r w:rsidR="007F5336">
        <w:t xml:space="preserve">Figure </w:t>
      </w:r>
      <w:r w:rsidR="007F5336">
        <w:rPr>
          <w:noProof/>
        </w:rPr>
        <w:t>5</w:t>
      </w:r>
      <w:r w:rsidR="007F5336">
        <w:noBreakHyphen/>
      </w:r>
      <w:r w:rsidR="007F5336">
        <w:rPr>
          <w:noProof/>
        </w:rPr>
        <w:t>46</w:t>
      </w:r>
      <w:r w:rsidR="00853549">
        <w:rPr>
          <w:highlight w:val="yellow"/>
        </w:rPr>
        <w:fldChar w:fldCharType="end"/>
      </w:r>
      <w:r w:rsidR="00853549">
        <w:t xml:space="preserve"> and </w:t>
      </w:r>
      <w:r w:rsidR="00853549">
        <w:rPr>
          <w:highlight w:val="yellow"/>
        </w:rPr>
        <w:fldChar w:fldCharType="begin"/>
      </w:r>
      <w:r w:rsidR="00853549">
        <w:instrText xml:space="preserve"> REF _Ref459153251 \h </w:instrText>
      </w:r>
      <w:r w:rsidR="00853549">
        <w:rPr>
          <w:highlight w:val="yellow"/>
        </w:rPr>
      </w:r>
      <w:r w:rsidR="00853549">
        <w:rPr>
          <w:highlight w:val="yellow"/>
        </w:rPr>
        <w:fldChar w:fldCharType="separate"/>
      </w:r>
      <w:r w:rsidR="007F5336">
        <w:t xml:space="preserve">Figure </w:t>
      </w:r>
      <w:r w:rsidR="007F5336">
        <w:rPr>
          <w:noProof/>
        </w:rPr>
        <w:t>5</w:t>
      </w:r>
      <w:r w:rsidR="007F5336">
        <w:noBreakHyphen/>
      </w:r>
      <w:r w:rsidR="007F5336">
        <w:rPr>
          <w:noProof/>
        </w:rPr>
        <w:t>47</w:t>
      </w:r>
      <w:r w:rsidR="00853549">
        <w:rPr>
          <w:highlight w:val="yellow"/>
        </w:rPr>
        <w:fldChar w:fldCharType="end"/>
      </w:r>
      <w:r>
        <w:t>).</w:t>
      </w:r>
    </w:p>
    <w:p w14:paraId="63763D9E" w14:textId="6D651090" w:rsidR="00F64E15" w:rsidRDefault="00F64E15" w:rsidP="004A5BF7">
      <w:pPr>
        <w:pStyle w:val="Caption"/>
      </w:pPr>
      <w:bookmarkStart w:id="1400" w:name="_Ref459153239"/>
      <w:bookmarkStart w:id="1401" w:name="_Toc459332403"/>
      <w:r w:rsidRPr="00B05E41">
        <w:rPr>
          <w:noProof/>
          <w:lang w:val="en-AU" w:eastAsia="en-AU"/>
        </w:rPr>
        <w:drawing>
          <wp:anchor distT="0" distB="0" distL="114300" distR="114300" simplePos="0" relativeHeight="251657728" behindDoc="0" locked="0" layoutInCell="1" allowOverlap="1" wp14:anchorId="7BB413A0" wp14:editId="446B78BB">
            <wp:simplePos x="0" y="0"/>
            <wp:positionH relativeFrom="column">
              <wp:posOffset>0</wp:posOffset>
            </wp:positionH>
            <wp:positionV relativeFrom="paragraph">
              <wp:posOffset>0</wp:posOffset>
            </wp:positionV>
            <wp:extent cx="5731510" cy="2587625"/>
            <wp:effectExtent l="0" t="0" r="2540" b="3175"/>
            <wp:wrapTopAndBottom/>
            <wp:docPr id="7226" name="Picture 7226" descr="Panel of graphs showing measured O’Connell River discharge (at the Stafford’s Crossing/Caravan Park gauge) and loads for (A) total suspended solids (sediment), (B) dissolved inorganic nitrogen (DIN), (C) particulate nitrogen (PN) and (D) particulate phosphorus (PP) from 2006/07 to 2014/15. Data from the Department of Science Information Technology and Innovation’s Great Barrier Reef Catchment Loads Monitoring Program (compiled from: Joo et al., 2012; Wallace et al., in press; Garzon-Garcia et al., 2015)." title="Figure 5 45. Measured O’Connell River discharge (at the Stafford’s Crossing/Caravan Park gauge) and loads for (A) total suspended solids (sediment), (B) dissolved inorganic nitrogen (DIN), (C) particulate nitrogen (PN) and (D) particulate phosphorus (PP) from 2006/07 to 20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Connell loads.JPG"/>
                    <pic:cNvPicPr/>
                  </pic:nvPicPr>
                  <pic:blipFill>
                    <a:blip r:embed="rId362" cstate="print">
                      <a:extLst>
                        <a:ext uri="{28A0092B-C50C-407E-A947-70E740481C1C}">
                          <a14:useLocalDpi xmlns:a14="http://schemas.microsoft.com/office/drawing/2010/main" val="0"/>
                        </a:ext>
                      </a:extLst>
                    </a:blip>
                    <a:stretch>
                      <a:fillRect/>
                    </a:stretch>
                  </pic:blipFill>
                  <pic:spPr>
                    <a:xfrm>
                      <a:off x="0" y="0"/>
                      <a:ext cx="5731510" cy="2587625"/>
                    </a:xfrm>
                    <a:prstGeom prst="rect">
                      <a:avLst/>
                    </a:prstGeom>
                  </pic:spPr>
                </pic:pic>
              </a:graphicData>
            </a:graphic>
            <wp14:sizeRelH relativeFrom="page">
              <wp14:pctWidth>0</wp14:pctWidth>
            </wp14:sizeRelH>
            <wp14:sizeRelV relativeFrom="page">
              <wp14:pctHeight>0</wp14:pctHeight>
            </wp14:sizeRelV>
          </wp:anchor>
        </w:drawing>
      </w:r>
      <w:r>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45</w:t>
      </w:r>
      <w:r w:rsidR="00C62884">
        <w:fldChar w:fldCharType="end"/>
      </w:r>
      <w:bookmarkEnd w:id="1400"/>
      <w:r>
        <w:t>. Measured O’Connell River discharge (at the Stafford’s Crossing/Caravan Park gauge) and loads for (A) total suspended solids (sediment), (B) dissolved inorganic nitrogen (DIN), (C) particulate nitrogen (PN) and (D) particulate phosphorus (PP) from 2006/07 to 2014/15. Data from the Department of Science Information Technology and Innovation’s Great Barrier Reef Catchment Loads Monitoring Program (compiled from: Joo et al., 2012; Wallace et al., in press; Garzon-Garcia et al., 2015).</w:t>
      </w:r>
      <w:bookmarkEnd w:id="1401"/>
    </w:p>
    <w:p w14:paraId="4A26D2C7" w14:textId="77777777" w:rsidR="00F64E15" w:rsidRDefault="00F64E15" w:rsidP="00F64E15"/>
    <w:p w14:paraId="61A1A55D" w14:textId="43B075A5" w:rsidR="00F64E15" w:rsidRDefault="00F64E15" w:rsidP="004A5BF7">
      <w:pPr>
        <w:pStyle w:val="Caption"/>
      </w:pPr>
      <w:bookmarkStart w:id="1402" w:name="_Ref459153245"/>
      <w:bookmarkStart w:id="1403" w:name="_Toc459332404"/>
      <w:r w:rsidRPr="00B05E41">
        <w:rPr>
          <w:noProof/>
          <w:lang w:val="en-AU" w:eastAsia="en-AU"/>
        </w:rPr>
        <w:drawing>
          <wp:anchor distT="0" distB="0" distL="114300" distR="114300" simplePos="0" relativeHeight="251658752" behindDoc="0" locked="0" layoutInCell="1" allowOverlap="1" wp14:anchorId="6CCB58DE" wp14:editId="0810D0F0">
            <wp:simplePos x="0" y="0"/>
            <wp:positionH relativeFrom="column">
              <wp:posOffset>0</wp:posOffset>
            </wp:positionH>
            <wp:positionV relativeFrom="paragraph">
              <wp:posOffset>1270</wp:posOffset>
            </wp:positionV>
            <wp:extent cx="5731510" cy="2587625"/>
            <wp:effectExtent l="0" t="0" r="2540" b="3175"/>
            <wp:wrapTopAndBottom/>
            <wp:docPr id="7227" name="Picture 7227" descr="Panel of graphs showing measured Pioneer River discharge (at the Dumbleton gauge) and loads for (A) total suspended solids (sediment), (B) dissolved inorganic nitrogen (DIN), (C) particulate nitrogen (PN) and (D) particulate phosphorus (PP) from 2006/07 to 2014/15. Data from the Department of Science Information Technology and Innovation’s Great Barrier Reef Catchment Loads Monitoring Program (compiled from: Joo et al., 2012; Turner et al., 2012, 2013; Wallace et al., 2014, 2015, in press; Garzon-Garcia et al., 2015)." title="Figure 5 46. Measured Pioneer River discharge (at the Dumbleton gauge) and loads for (A) total suspended solids (sediment), (B) dissolved inorganic nitrogen (DIN), (C) particulate nitrogen (PN) and (D) particulate phosphorus (PP) from 2006/07 to 20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oneer loads.JPG"/>
                    <pic:cNvPicPr/>
                  </pic:nvPicPr>
                  <pic:blipFill>
                    <a:blip r:embed="rId363" cstate="print">
                      <a:extLst>
                        <a:ext uri="{28A0092B-C50C-407E-A947-70E740481C1C}">
                          <a14:useLocalDpi xmlns:a14="http://schemas.microsoft.com/office/drawing/2010/main" val="0"/>
                        </a:ext>
                      </a:extLst>
                    </a:blip>
                    <a:stretch>
                      <a:fillRect/>
                    </a:stretch>
                  </pic:blipFill>
                  <pic:spPr>
                    <a:xfrm>
                      <a:off x="0" y="0"/>
                      <a:ext cx="5731510" cy="2587625"/>
                    </a:xfrm>
                    <a:prstGeom prst="rect">
                      <a:avLst/>
                    </a:prstGeom>
                  </pic:spPr>
                </pic:pic>
              </a:graphicData>
            </a:graphic>
            <wp14:sizeRelH relativeFrom="page">
              <wp14:pctWidth>0</wp14:pctWidth>
            </wp14:sizeRelH>
            <wp14:sizeRelV relativeFrom="page">
              <wp14:pctHeight>0</wp14:pctHeight>
            </wp14:sizeRelV>
          </wp:anchor>
        </w:drawing>
      </w:r>
      <w:r>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46</w:t>
      </w:r>
      <w:r w:rsidR="00C62884">
        <w:fldChar w:fldCharType="end"/>
      </w:r>
      <w:bookmarkEnd w:id="1402"/>
      <w:r>
        <w:t>. Measured Pioneer River discharge (at the Dumbleton gauge) and loads for (A) total suspended solids (sediment), (B) dissolved inorganic nitrogen (DIN), (C) particulate nitrogen (PN) and (D) particulate phosphorus (PP) from 2006/07 to 2014/15. Data from the Department of Science Information Technology and Innovation’s Great Barrier Reef Catchment Loads Monitoring Program (compiled from: Joo et al., 2012; Turner et al., 2012, 2013; Wallace et al., 2014, 2015, in press; Garzon-Garcia et al., 2015).</w:t>
      </w:r>
      <w:bookmarkEnd w:id="1403"/>
    </w:p>
    <w:p w14:paraId="1151C245" w14:textId="77777777" w:rsidR="00F64E15" w:rsidRDefault="00F64E15" w:rsidP="00F64E15"/>
    <w:p w14:paraId="0896909C" w14:textId="77777777" w:rsidR="00F64E15" w:rsidRDefault="00F64E15" w:rsidP="00F64E15">
      <w:r>
        <w:rPr>
          <w:noProof/>
          <w:lang w:val="en-AU" w:eastAsia="en-AU"/>
        </w:rPr>
        <w:drawing>
          <wp:inline distT="0" distB="0" distL="0" distR="0" wp14:anchorId="3E8BB26E" wp14:editId="60D5B3F4">
            <wp:extent cx="5731510" cy="2587625"/>
            <wp:effectExtent l="0" t="0" r="2540" b="3175"/>
            <wp:docPr id="7228" name="Picture 7228" descr="Panel of maps showing measured Sandy Creek discharge (at the Homebush gauge) and loads for (A) total suspended solids (sediment), (B) dissolved inorganic nitrogen (DIN), (C) particulate nitrogen (PN) and (D) particulate phosphorus (PP) from 2009/10 to 2014/15. Data from the Department of Science Information Technology and Innovation’s Great Barrier Reef Catchment Loads Monitoring Program (compiled from: Turner et al., 2012, 2013; Wallace et al., 2014, 2015, in press; Garzon-Garcia et al., 2015)." title="Figure 5 47. Measured Sandy Creek discharge (at the Homebush gauge) and loads for (A) total suspended solids (sediment), (B) dissolved inorganic nitrogen (DIN), (C) particulate nitrogen (PN) and (D) particulate phosphorus (PP) from 2009/10 to 20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andy loads.JPG"/>
                    <pic:cNvPicPr/>
                  </pic:nvPicPr>
                  <pic:blipFill>
                    <a:blip r:embed="rId364" cstate="print">
                      <a:extLst>
                        <a:ext uri="{28A0092B-C50C-407E-A947-70E740481C1C}">
                          <a14:useLocalDpi xmlns:a14="http://schemas.microsoft.com/office/drawing/2010/main" val="0"/>
                        </a:ext>
                      </a:extLst>
                    </a:blip>
                    <a:stretch>
                      <a:fillRect/>
                    </a:stretch>
                  </pic:blipFill>
                  <pic:spPr>
                    <a:xfrm>
                      <a:off x="0" y="0"/>
                      <a:ext cx="5731510" cy="2587625"/>
                    </a:xfrm>
                    <a:prstGeom prst="rect">
                      <a:avLst/>
                    </a:prstGeom>
                  </pic:spPr>
                </pic:pic>
              </a:graphicData>
            </a:graphic>
          </wp:inline>
        </w:drawing>
      </w:r>
    </w:p>
    <w:p w14:paraId="13366559" w14:textId="61742D88" w:rsidR="00F64E15" w:rsidRDefault="00F64E15" w:rsidP="004A5BF7">
      <w:pPr>
        <w:pStyle w:val="Caption"/>
      </w:pPr>
      <w:bookmarkStart w:id="1404" w:name="_Ref459153251"/>
      <w:bookmarkStart w:id="1405" w:name="_Toc459332405"/>
      <w:r>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47</w:t>
      </w:r>
      <w:r w:rsidR="00C62884">
        <w:fldChar w:fldCharType="end"/>
      </w:r>
      <w:bookmarkEnd w:id="1404"/>
      <w:r>
        <w:t>. Measured Sandy Creek discharge (at the Homebush gauge) and loads for (A) total suspended solids (sediment), (B) dissolved inorganic nitrogen (DIN), (C) particulate nitrogen (PN) and (D) particulate phosphorus (PP) from 2009/10 to 2014/15. Data from the Department of Science Information Technology and Innovation’s Great Barrier Reef Catchment Loads Monitoring Program (compiled from: Turner et al., 2012, 2013; Wallace et al., 2014, 2015, in press; Garzon-Garcia et al., 2015).</w:t>
      </w:r>
      <w:bookmarkEnd w:id="1405"/>
    </w:p>
    <w:p w14:paraId="55F567A8" w14:textId="77777777" w:rsidR="00C06A37" w:rsidRPr="008467AA" w:rsidRDefault="00C06A37" w:rsidP="00DA2814">
      <w:pPr>
        <w:rPr>
          <w:lang w:val="en-AU"/>
        </w:rPr>
      </w:pPr>
    </w:p>
    <w:p w14:paraId="5F22F2DE" w14:textId="77777777" w:rsidR="00446EA5" w:rsidRPr="00A03137" w:rsidRDefault="00446EA5" w:rsidP="00164E5E">
      <w:pPr>
        <w:pStyle w:val="Heading4"/>
      </w:pPr>
      <w:bookmarkStart w:id="1406" w:name="_Toc311284544"/>
      <w:bookmarkStart w:id="1407" w:name="_Toc311370745"/>
      <w:bookmarkEnd w:id="1390"/>
      <w:r>
        <w:t>A</w:t>
      </w:r>
      <w:r w:rsidRPr="00A03137">
        <w:t>mbient</w:t>
      </w:r>
      <w:r>
        <w:t xml:space="preserve"> water quality</w:t>
      </w:r>
    </w:p>
    <w:p w14:paraId="5F22F2E0" w14:textId="760A7BE5" w:rsidR="008645FA" w:rsidRPr="008467AA" w:rsidRDefault="008645FA" w:rsidP="008645FA">
      <w:pPr>
        <w:rPr>
          <w:lang w:val="en-AU"/>
        </w:rPr>
      </w:pPr>
      <w:r w:rsidRPr="008467AA">
        <w:rPr>
          <w:lang w:val="en-AU"/>
        </w:rPr>
        <w:t xml:space="preserve">The </w:t>
      </w:r>
      <w:r w:rsidR="00801DDD">
        <w:rPr>
          <w:lang w:val="en-AU"/>
        </w:rPr>
        <w:t xml:space="preserve">site-specific </w:t>
      </w:r>
      <w:r w:rsidR="00853549">
        <w:rPr>
          <w:lang w:val="en-AU"/>
        </w:rPr>
        <w:t>W</w:t>
      </w:r>
      <w:r w:rsidR="00853549" w:rsidRPr="008467AA">
        <w:rPr>
          <w:lang w:val="en-AU"/>
        </w:rPr>
        <w:t xml:space="preserve">ater </w:t>
      </w:r>
      <w:r w:rsidR="00853549">
        <w:rPr>
          <w:lang w:val="en-AU"/>
        </w:rPr>
        <w:t>Q</w:t>
      </w:r>
      <w:r w:rsidRPr="008467AA">
        <w:rPr>
          <w:lang w:val="en-AU"/>
        </w:rPr>
        <w:t xml:space="preserve">uality </w:t>
      </w:r>
      <w:r w:rsidR="00853549">
        <w:rPr>
          <w:lang w:val="en-AU"/>
        </w:rPr>
        <w:t>I</w:t>
      </w:r>
      <w:r w:rsidRPr="008467AA">
        <w:rPr>
          <w:lang w:val="en-AU"/>
        </w:rPr>
        <w:t>ndex in this sub-region has declined since 2008 to the curren</w:t>
      </w:r>
      <w:r w:rsidR="00DA2814" w:rsidRPr="008467AA">
        <w:rPr>
          <w:lang w:val="en-AU"/>
        </w:rPr>
        <w:t>t ‘moderate’ rating (</w:t>
      </w:r>
      <w:r w:rsidR="00EB33A6">
        <w:rPr>
          <w:lang w:val="en-AU"/>
        </w:rPr>
        <w:fldChar w:fldCharType="begin"/>
      </w:r>
      <w:r w:rsidR="00673CF4">
        <w:rPr>
          <w:lang w:val="en-AU"/>
        </w:rPr>
        <w:instrText xml:space="preserve"> REF _Ref438136035 \h </w:instrText>
      </w:r>
      <w:r w:rsidR="00EB33A6">
        <w:rPr>
          <w:lang w:val="en-AU"/>
        </w:rPr>
      </w:r>
      <w:r w:rsidR="00EB33A6">
        <w:rPr>
          <w:lang w:val="en-AU"/>
        </w:rPr>
        <w:fldChar w:fldCharType="separate"/>
      </w:r>
      <w:r w:rsidR="007F5336" w:rsidRPr="007A1A6E">
        <w:t xml:space="preserve">Figure </w:t>
      </w:r>
      <w:r w:rsidR="007F5336">
        <w:rPr>
          <w:noProof/>
        </w:rPr>
        <w:t>5</w:t>
      </w:r>
      <w:r w:rsidR="007F5336">
        <w:noBreakHyphen/>
      </w:r>
      <w:r w:rsidR="007F5336">
        <w:rPr>
          <w:noProof/>
        </w:rPr>
        <w:t>48</w:t>
      </w:r>
      <w:r w:rsidR="00EB33A6">
        <w:rPr>
          <w:lang w:val="en-AU"/>
        </w:rPr>
        <w:fldChar w:fldCharType="end"/>
      </w:r>
      <w:r w:rsidR="00C73291" w:rsidRPr="008467AA">
        <w:rPr>
          <w:lang w:val="en-AU"/>
        </w:rPr>
        <w:t>a</w:t>
      </w:r>
      <w:r w:rsidRPr="008467AA">
        <w:rPr>
          <w:lang w:val="en-AU"/>
        </w:rPr>
        <w:t xml:space="preserve">). Trends in concentrations of </w:t>
      </w:r>
      <w:r w:rsidR="00FC079A">
        <w:rPr>
          <w:lang w:val="en-AU"/>
        </w:rPr>
        <w:t>C</w:t>
      </w:r>
      <w:r w:rsidR="00FC079A" w:rsidRPr="008467AA">
        <w:rPr>
          <w:lang w:val="en-AU"/>
        </w:rPr>
        <w:t>hl</w:t>
      </w:r>
      <w:r w:rsidR="00FC079A">
        <w:rPr>
          <w:lang w:val="en-AU"/>
        </w:rPr>
        <w:t>-a</w:t>
      </w:r>
      <w:r w:rsidRPr="008467AA">
        <w:rPr>
          <w:lang w:val="en-AU"/>
        </w:rPr>
        <w:t xml:space="preserve">, TSS and PP have increased since 2008. The concentrations of </w:t>
      </w:r>
      <w:r w:rsidR="00FC079A">
        <w:rPr>
          <w:lang w:val="en-AU"/>
        </w:rPr>
        <w:t>C</w:t>
      </w:r>
      <w:r w:rsidR="00FC079A" w:rsidRPr="008467AA">
        <w:rPr>
          <w:lang w:val="en-AU"/>
        </w:rPr>
        <w:t>hl</w:t>
      </w:r>
      <w:r w:rsidR="00FC079A">
        <w:rPr>
          <w:lang w:val="en-AU"/>
        </w:rPr>
        <w:t>-a</w:t>
      </w:r>
      <w:r w:rsidRPr="008467AA">
        <w:rPr>
          <w:lang w:val="en-AU"/>
        </w:rPr>
        <w:t xml:space="preserve"> were </w:t>
      </w:r>
      <w:r w:rsidR="00FC079A" w:rsidRPr="008467AA">
        <w:rPr>
          <w:lang w:val="en-AU"/>
        </w:rPr>
        <w:t>generally just</w:t>
      </w:r>
      <w:r w:rsidRPr="008467AA">
        <w:rPr>
          <w:lang w:val="en-AU"/>
        </w:rPr>
        <w:t xml:space="preserve"> above water quality guidelines (guideline), while TSS and PP rose above </w:t>
      </w:r>
      <w:r w:rsidR="00FC079A" w:rsidRPr="008467AA">
        <w:rPr>
          <w:lang w:val="en-AU"/>
        </w:rPr>
        <w:t>guideline</w:t>
      </w:r>
      <w:r w:rsidRPr="008467AA">
        <w:rPr>
          <w:lang w:val="en-AU"/>
        </w:rPr>
        <w:t xml:space="preserve"> values from 2011(</w:t>
      </w:r>
      <w:r w:rsidR="00EB33A6">
        <w:rPr>
          <w:lang w:val="en-AU"/>
        </w:rPr>
        <w:fldChar w:fldCharType="begin"/>
      </w:r>
      <w:r w:rsidR="00673CF4">
        <w:rPr>
          <w:lang w:val="en-AU"/>
        </w:rPr>
        <w:instrText xml:space="preserve"> REF _Ref438136035 \h </w:instrText>
      </w:r>
      <w:r w:rsidR="00EB33A6">
        <w:rPr>
          <w:lang w:val="en-AU"/>
        </w:rPr>
      </w:r>
      <w:r w:rsidR="00EB33A6">
        <w:rPr>
          <w:lang w:val="en-AU"/>
        </w:rPr>
        <w:fldChar w:fldCharType="separate"/>
      </w:r>
      <w:r w:rsidR="007F5336" w:rsidRPr="007A1A6E">
        <w:t xml:space="preserve">Figure </w:t>
      </w:r>
      <w:r w:rsidR="007F5336">
        <w:rPr>
          <w:noProof/>
        </w:rPr>
        <w:t>5</w:t>
      </w:r>
      <w:r w:rsidR="007F5336">
        <w:noBreakHyphen/>
      </w:r>
      <w:r w:rsidR="007F5336">
        <w:rPr>
          <w:noProof/>
        </w:rPr>
        <w:t>48</w:t>
      </w:r>
      <w:r w:rsidR="00EB33A6">
        <w:rPr>
          <w:lang w:val="en-AU"/>
        </w:rPr>
        <w:fldChar w:fldCharType="end"/>
      </w:r>
      <w:r w:rsidR="00C73291" w:rsidRPr="008467AA">
        <w:rPr>
          <w:lang w:val="en-AU"/>
        </w:rPr>
        <w:t>b</w:t>
      </w:r>
      <w:r w:rsidRPr="008467AA">
        <w:rPr>
          <w:lang w:val="en-AU"/>
        </w:rPr>
        <w:t>,</w:t>
      </w:r>
      <w:r w:rsidR="0046394E">
        <w:rPr>
          <w:lang w:val="en-AU"/>
        </w:rPr>
        <w:t xml:space="preserve"> </w:t>
      </w:r>
      <w:r w:rsidRPr="008467AA">
        <w:rPr>
          <w:lang w:val="en-AU"/>
        </w:rPr>
        <w:t>c,</w:t>
      </w:r>
      <w:r w:rsidR="0046394E">
        <w:rPr>
          <w:lang w:val="en-AU"/>
        </w:rPr>
        <w:t xml:space="preserve"> </w:t>
      </w:r>
      <w:r w:rsidRPr="008467AA">
        <w:rPr>
          <w:lang w:val="en-AU"/>
        </w:rPr>
        <w:t xml:space="preserve">h). The overall trend for </w:t>
      </w:r>
      <w:r w:rsidR="00DA2814" w:rsidRPr="008467AA">
        <w:rPr>
          <w:lang w:val="en-AU"/>
        </w:rPr>
        <w:t>PN was stable (</w:t>
      </w:r>
      <w:r w:rsidR="00853549">
        <w:rPr>
          <w:lang w:val="en-AU"/>
        </w:rPr>
        <w:fldChar w:fldCharType="begin"/>
      </w:r>
      <w:r w:rsidR="00853549">
        <w:rPr>
          <w:lang w:val="en-AU"/>
        </w:rPr>
        <w:instrText xml:space="preserve"> REF _Ref438136035 \h </w:instrText>
      </w:r>
      <w:r w:rsidR="00853549">
        <w:rPr>
          <w:lang w:val="en-AU"/>
        </w:rPr>
      </w:r>
      <w:r w:rsidR="00853549">
        <w:rPr>
          <w:lang w:val="en-AU"/>
        </w:rPr>
        <w:fldChar w:fldCharType="separate"/>
      </w:r>
      <w:r w:rsidR="007F5336" w:rsidRPr="007A1A6E">
        <w:t xml:space="preserve">Figure </w:t>
      </w:r>
      <w:r w:rsidR="007F5336">
        <w:rPr>
          <w:noProof/>
        </w:rPr>
        <w:t>5</w:t>
      </w:r>
      <w:r w:rsidR="007F5336">
        <w:noBreakHyphen/>
      </w:r>
      <w:r w:rsidR="007F5336">
        <w:rPr>
          <w:noProof/>
        </w:rPr>
        <w:t>48</w:t>
      </w:r>
      <w:r w:rsidR="00853549">
        <w:rPr>
          <w:lang w:val="en-AU"/>
        </w:rPr>
        <w:fldChar w:fldCharType="end"/>
      </w:r>
      <w:r w:rsidR="00C73291" w:rsidRPr="008467AA">
        <w:rPr>
          <w:lang w:val="en-AU"/>
        </w:rPr>
        <w:t>f</w:t>
      </w:r>
      <w:r w:rsidRPr="008467AA">
        <w:rPr>
          <w:lang w:val="en-AU"/>
        </w:rPr>
        <w:t>). The concentrations of NO</w:t>
      </w:r>
      <w:r w:rsidRPr="008467AA">
        <w:rPr>
          <w:vertAlign w:val="subscript"/>
          <w:lang w:val="en-AU"/>
        </w:rPr>
        <w:t>x</w:t>
      </w:r>
      <w:r w:rsidRPr="008467AA">
        <w:rPr>
          <w:lang w:val="en-AU"/>
        </w:rPr>
        <w:t xml:space="preserve"> increased sharply after the first above-median river flows in 2007 and has since increased further with the trend-line approaching above guideline values (</w:t>
      </w:r>
      <w:r w:rsidR="00EB33A6">
        <w:rPr>
          <w:lang w:val="en-AU"/>
        </w:rPr>
        <w:fldChar w:fldCharType="begin"/>
      </w:r>
      <w:r w:rsidR="00673CF4">
        <w:rPr>
          <w:lang w:val="en-AU"/>
        </w:rPr>
        <w:instrText xml:space="preserve"> REF _Ref438136035 \h </w:instrText>
      </w:r>
      <w:r w:rsidR="00EB33A6">
        <w:rPr>
          <w:lang w:val="en-AU"/>
        </w:rPr>
      </w:r>
      <w:r w:rsidR="00EB33A6">
        <w:rPr>
          <w:lang w:val="en-AU"/>
        </w:rPr>
        <w:fldChar w:fldCharType="separate"/>
      </w:r>
      <w:r w:rsidR="007F5336" w:rsidRPr="007A1A6E">
        <w:t xml:space="preserve">Figure </w:t>
      </w:r>
      <w:r w:rsidR="007F5336">
        <w:rPr>
          <w:noProof/>
        </w:rPr>
        <w:t>5</w:t>
      </w:r>
      <w:r w:rsidR="007F5336">
        <w:noBreakHyphen/>
      </w:r>
      <w:r w:rsidR="007F5336">
        <w:rPr>
          <w:noProof/>
        </w:rPr>
        <w:t>48</w:t>
      </w:r>
      <w:r w:rsidR="00EB33A6">
        <w:rPr>
          <w:lang w:val="en-AU"/>
        </w:rPr>
        <w:fldChar w:fldCharType="end"/>
      </w:r>
      <w:r w:rsidRPr="008467AA">
        <w:rPr>
          <w:lang w:val="en-AU"/>
        </w:rPr>
        <w:t xml:space="preserve">d). Secchi depth has declined steadily since 2008 remaining </w:t>
      </w:r>
      <w:r w:rsidR="008B46C3">
        <w:rPr>
          <w:lang w:val="en-AU"/>
        </w:rPr>
        <w:t>at</w:t>
      </w:r>
      <w:r w:rsidR="008B46C3" w:rsidRPr="008467AA">
        <w:rPr>
          <w:lang w:val="en-AU"/>
        </w:rPr>
        <w:t xml:space="preserve"> </w:t>
      </w:r>
      <w:r w:rsidRPr="008467AA">
        <w:rPr>
          <w:lang w:val="en-AU"/>
        </w:rPr>
        <w:t>levels non-complia</w:t>
      </w:r>
      <w:r w:rsidR="00DA2814" w:rsidRPr="008467AA">
        <w:rPr>
          <w:lang w:val="en-AU"/>
        </w:rPr>
        <w:t>nt with the guideline (</w:t>
      </w:r>
      <w:r w:rsidR="00EB33A6">
        <w:rPr>
          <w:lang w:val="en-AU"/>
        </w:rPr>
        <w:fldChar w:fldCharType="begin"/>
      </w:r>
      <w:r w:rsidR="00673CF4">
        <w:rPr>
          <w:lang w:val="en-AU"/>
        </w:rPr>
        <w:instrText xml:space="preserve"> REF _Ref438136035 \h </w:instrText>
      </w:r>
      <w:r w:rsidR="00EB33A6">
        <w:rPr>
          <w:lang w:val="en-AU"/>
        </w:rPr>
      </w:r>
      <w:r w:rsidR="00EB33A6">
        <w:rPr>
          <w:lang w:val="en-AU"/>
        </w:rPr>
        <w:fldChar w:fldCharType="separate"/>
      </w:r>
      <w:r w:rsidR="007F5336" w:rsidRPr="007A1A6E">
        <w:t xml:space="preserve">Figure </w:t>
      </w:r>
      <w:r w:rsidR="007F5336">
        <w:rPr>
          <w:noProof/>
        </w:rPr>
        <w:t>5</w:t>
      </w:r>
      <w:r w:rsidR="007F5336">
        <w:noBreakHyphen/>
      </w:r>
      <w:r w:rsidR="007F5336">
        <w:rPr>
          <w:noProof/>
        </w:rPr>
        <w:t>48</w:t>
      </w:r>
      <w:r w:rsidR="00EB33A6">
        <w:rPr>
          <w:lang w:val="en-AU"/>
        </w:rPr>
        <w:fldChar w:fldCharType="end"/>
      </w:r>
      <w:r w:rsidR="00C73291" w:rsidRPr="008467AA">
        <w:rPr>
          <w:lang w:val="en-AU"/>
        </w:rPr>
        <w:t>e</w:t>
      </w:r>
      <w:r w:rsidRPr="008467AA">
        <w:rPr>
          <w:lang w:val="en-AU"/>
        </w:rPr>
        <w:t>).</w:t>
      </w:r>
    </w:p>
    <w:p w14:paraId="5F22F2E1" w14:textId="4F711251" w:rsidR="008645FA" w:rsidRPr="008467AA" w:rsidRDefault="008645FA" w:rsidP="008645FA">
      <w:pPr>
        <w:rPr>
          <w:lang w:val="en-AU"/>
        </w:rPr>
      </w:pPr>
      <w:r w:rsidRPr="008467AA">
        <w:rPr>
          <w:lang w:val="en-AU"/>
        </w:rPr>
        <w:t>The concentrations of POC have remained more or less stable over the monitoring period, while the DOC concentrations have shown a steep continued increase over the same period</w:t>
      </w:r>
      <w:r w:rsidR="00DA2814" w:rsidRPr="008467AA">
        <w:rPr>
          <w:lang w:val="en-AU"/>
        </w:rPr>
        <w:t xml:space="preserve"> (</w:t>
      </w:r>
      <w:r w:rsidR="00EB33A6">
        <w:rPr>
          <w:lang w:val="en-AU"/>
        </w:rPr>
        <w:fldChar w:fldCharType="begin"/>
      </w:r>
      <w:r w:rsidR="00673CF4">
        <w:rPr>
          <w:lang w:val="en-AU"/>
        </w:rPr>
        <w:instrText xml:space="preserve"> REF _Ref438136035 \h </w:instrText>
      </w:r>
      <w:r w:rsidR="00EB33A6">
        <w:rPr>
          <w:lang w:val="en-AU"/>
        </w:rPr>
      </w:r>
      <w:r w:rsidR="00EB33A6">
        <w:rPr>
          <w:lang w:val="en-AU"/>
        </w:rPr>
        <w:fldChar w:fldCharType="separate"/>
      </w:r>
      <w:r w:rsidR="007F5336" w:rsidRPr="007A1A6E">
        <w:t xml:space="preserve">Figure </w:t>
      </w:r>
      <w:r w:rsidR="007F5336">
        <w:rPr>
          <w:noProof/>
        </w:rPr>
        <w:t>5</w:t>
      </w:r>
      <w:r w:rsidR="007F5336">
        <w:noBreakHyphen/>
      </w:r>
      <w:r w:rsidR="007F5336">
        <w:rPr>
          <w:noProof/>
        </w:rPr>
        <w:t>48</w:t>
      </w:r>
      <w:r w:rsidR="00EB33A6">
        <w:rPr>
          <w:lang w:val="en-AU"/>
        </w:rPr>
        <w:fldChar w:fldCharType="end"/>
      </w:r>
      <w:r w:rsidR="00C73291" w:rsidRPr="008467AA">
        <w:rPr>
          <w:lang w:val="en-AU"/>
        </w:rPr>
        <w:t>i</w:t>
      </w:r>
      <w:r w:rsidRPr="008467AA">
        <w:rPr>
          <w:lang w:val="en-AU"/>
        </w:rPr>
        <w:t xml:space="preserve">, j). </w:t>
      </w:r>
    </w:p>
    <w:p w14:paraId="5F22F2E2" w14:textId="515195D1" w:rsidR="008645FA" w:rsidRPr="008467AA" w:rsidRDefault="008645FA" w:rsidP="008645FA">
      <w:pPr>
        <w:rPr>
          <w:lang w:val="en-AU"/>
        </w:rPr>
      </w:pPr>
      <w:r w:rsidRPr="008467AA">
        <w:rPr>
          <w:lang w:val="en-AU"/>
        </w:rPr>
        <w:t xml:space="preserve">Instrumental </w:t>
      </w:r>
      <w:r w:rsidR="0046394E">
        <w:rPr>
          <w:lang w:val="en-AU"/>
        </w:rPr>
        <w:t>c</w:t>
      </w:r>
      <w:r w:rsidR="00FC079A" w:rsidRPr="008467AA">
        <w:rPr>
          <w:lang w:val="en-AU"/>
        </w:rPr>
        <w:t>hl</w:t>
      </w:r>
      <w:r w:rsidRPr="008467AA">
        <w:rPr>
          <w:lang w:val="en-AU"/>
        </w:rPr>
        <w:t xml:space="preserve"> </w:t>
      </w:r>
      <w:r w:rsidR="0046394E">
        <w:rPr>
          <w:lang w:val="en-AU"/>
        </w:rPr>
        <w:t xml:space="preserve">and turbidity </w:t>
      </w:r>
      <w:r w:rsidRPr="008467AA">
        <w:rPr>
          <w:lang w:val="en-AU"/>
        </w:rPr>
        <w:t>records showed more pronounced fluctuations but generally followed the same trend as the manual sampling data (</w:t>
      </w:r>
      <w:r w:rsidR="00EB33A6">
        <w:rPr>
          <w:lang w:val="en-AU"/>
        </w:rPr>
        <w:fldChar w:fldCharType="begin"/>
      </w:r>
      <w:r w:rsidR="00673CF4">
        <w:rPr>
          <w:lang w:val="en-AU"/>
        </w:rPr>
        <w:instrText xml:space="preserve"> REF _Ref438136035 \h </w:instrText>
      </w:r>
      <w:r w:rsidR="00EB33A6">
        <w:rPr>
          <w:lang w:val="en-AU"/>
        </w:rPr>
      </w:r>
      <w:r w:rsidR="00EB33A6">
        <w:rPr>
          <w:lang w:val="en-AU"/>
        </w:rPr>
        <w:fldChar w:fldCharType="separate"/>
      </w:r>
      <w:r w:rsidR="007F5336" w:rsidRPr="007A1A6E">
        <w:t xml:space="preserve">Figure </w:t>
      </w:r>
      <w:r w:rsidR="007F5336">
        <w:rPr>
          <w:noProof/>
        </w:rPr>
        <w:t>5</w:t>
      </w:r>
      <w:r w:rsidR="007F5336">
        <w:noBreakHyphen/>
      </w:r>
      <w:r w:rsidR="007F5336">
        <w:rPr>
          <w:noProof/>
        </w:rPr>
        <w:t>48</w:t>
      </w:r>
      <w:r w:rsidR="00EB33A6">
        <w:rPr>
          <w:lang w:val="en-AU"/>
        </w:rPr>
        <w:fldChar w:fldCharType="end"/>
      </w:r>
      <w:r w:rsidRPr="008467AA">
        <w:rPr>
          <w:lang w:val="en-AU"/>
        </w:rPr>
        <w:t>b, g). The trend-line of the instrumental turbidity record was above the guideline for most of the monitoring period, with an slight upward trend from 2012; this broadly mirrors the increase in TSS to above guideline levels in 2009 and corresponding decline in Secchi depth, with all three indicators of water “clarity” continuing to not comp</w:t>
      </w:r>
      <w:r w:rsidR="00DA2814" w:rsidRPr="008467AA">
        <w:rPr>
          <w:lang w:val="en-AU"/>
        </w:rPr>
        <w:t>ly with the guideline (</w:t>
      </w:r>
      <w:r w:rsidR="00EB33A6">
        <w:rPr>
          <w:lang w:val="en-AU"/>
        </w:rPr>
        <w:fldChar w:fldCharType="begin"/>
      </w:r>
      <w:r w:rsidR="00673CF4">
        <w:rPr>
          <w:lang w:val="en-AU"/>
        </w:rPr>
        <w:instrText xml:space="preserve"> REF _Ref438136035 \h </w:instrText>
      </w:r>
      <w:r w:rsidR="00EB33A6">
        <w:rPr>
          <w:lang w:val="en-AU"/>
        </w:rPr>
      </w:r>
      <w:r w:rsidR="00EB33A6">
        <w:rPr>
          <w:lang w:val="en-AU"/>
        </w:rPr>
        <w:fldChar w:fldCharType="separate"/>
      </w:r>
      <w:r w:rsidR="007F5336" w:rsidRPr="007A1A6E">
        <w:t xml:space="preserve">Figure </w:t>
      </w:r>
      <w:r w:rsidR="007F5336">
        <w:rPr>
          <w:noProof/>
        </w:rPr>
        <w:t>5</w:t>
      </w:r>
      <w:r w:rsidR="007F5336">
        <w:noBreakHyphen/>
      </w:r>
      <w:r w:rsidR="007F5336">
        <w:rPr>
          <w:noProof/>
        </w:rPr>
        <w:t>48</w:t>
      </w:r>
      <w:r w:rsidR="00EB33A6">
        <w:rPr>
          <w:lang w:val="en-AU"/>
        </w:rPr>
        <w:fldChar w:fldCharType="end"/>
      </w:r>
      <w:r w:rsidR="00C73291" w:rsidRPr="008467AA">
        <w:rPr>
          <w:lang w:val="en-AU"/>
        </w:rPr>
        <w:t>c</w:t>
      </w:r>
      <w:r w:rsidRPr="008467AA">
        <w:rPr>
          <w:lang w:val="en-AU"/>
        </w:rPr>
        <w:t>, e, g).</w:t>
      </w:r>
    </w:p>
    <w:p w14:paraId="2AECE640" w14:textId="250AC0BA" w:rsidR="008B46C3" w:rsidRPr="00A03137" w:rsidRDefault="008B46C3" w:rsidP="00164E5E">
      <w:pPr>
        <w:pStyle w:val="Heading4"/>
      </w:pPr>
      <w:r>
        <w:t>Wet season water quality</w:t>
      </w:r>
    </w:p>
    <w:p w14:paraId="5F22F2E5" w14:textId="0598911A" w:rsidR="00032803" w:rsidRPr="008467AA" w:rsidRDefault="008B46C3" w:rsidP="00344CE3">
      <w:pPr>
        <w:rPr>
          <w:lang w:val="en-AU"/>
        </w:rPr>
      </w:pPr>
      <w:r>
        <w:rPr>
          <w:lang w:val="en-AU"/>
        </w:rPr>
        <w:t>No flood events occurred in the 2014-15 wet season so no flood response sampling was completed.</w:t>
      </w:r>
    </w:p>
    <w:p w14:paraId="5F22F2E6" w14:textId="77777777" w:rsidR="00D11092" w:rsidRPr="007A1A6E" w:rsidRDefault="007A1A6E" w:rsidP="009C09C3">
      <w:pPr>
        <w:rPr>
          <w:lang w:val="en-AU"/>
        </w:rPr>
      </w:pPr>
      <w:r>
        <w:rPr>
          <w:noProof/>
          <w:lang w:val="en-AU" w:eastAsia="en-AU"/>
        </w:rPr>
        <w:drawing>
          <wp:inline distT="0" distB="0" distL="0" distR="0" wp14:anchorId="5F2323FF" wp14:editId="2A583495">
            <wp:extent cx="5731510" cy="5731510"/>
            <wp:effectExtent l="0" t="0" r="2540" b="2540"/>
            <wp:docPr id="246" name="Picture 246" descr="Panel of plots showing temporal trends in water quality for the Mackay Whitsunday focus-region. a) Water Quality Index, b) chlorophyll a, c) total suspended solids, d) nitrate/nitrite, e) Secchi depth, f) particulate nitrogen, g) particulate phosphorus, h) particulate organic carbon and i) dissolved organic carbon. Water quality index colour coding: dark green- ‘very good’; light green-‘good’; yellow – ‘moderate; orange – ‘poor’; red – ‘very poor’. The water quality index is the aggregate of variables plotted in b - h and calculated as described in Appendix 1.2.3. Trends in POC and DOC values are plotted here (i, j); threshold levels have yet to be established.  Trends in manually sampled water quality variables are represented by blue lines with blue shaded areas defining 95% confidence intervals of those trends accounting for the effects of wind, waves and tides, black dots represent observed data. Trends of records from ECO FLNTUSB instruments are represented in red, individual records are not displayed. Dashed reference lines indicate guideline values" title="Figure 5 48: Temporal trends in water quality for the Mackay Whitsunday focus-region. a) Water Quality Index, b) chlorophyll a, c) total suspended solids, d) nitrate/nitrite, e) Secchi depth, f) particulate nitrogen, g) particulate phosphorus, h) particulate organic carbon and i) dissolved organic carb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clonborg\Desktop\MMP report 2014-15\Final graphs 2015\EcosystemHealth\ecosystemHealth_WQ_niskin.all.reef.av_Mackay_Whitsunday.png"/>
                    <pic:cNvPicPr>
                      <a:picLocks noChangeAspect="1" noChangeArrowheads="1"/>
                    </pic:cNvPicPr>
                  </pic:nvPicPr>
                  <pic:blipFill>
                    <a:blip r:embed="rId365">
                      <a:extLst>
                        <a:ext uri="{28A0092B-C50C-407E-A947-70E740481C1C}">
                          <a14:useLocalDpi xmlns:a14="http://schemas.microsoft.com/office/drawing/2010/main" val="0"/>
                        </a:ext>
                      </a:extLst>
                    </a:blip>
                    <a:srcRect/>
                    <a:stretch>
                      <a:fillRect/>
                    </a:stretch>
                  </pic:blipFill>
                  <pic:spPr bwMode="auto">
                    <a:xfrm>
                      <a:off x="0" y="0"/>
                      <a:ext cx="5731510" cy="5731510"/>
                    </a:xfrm>
                    <a:prstGeom prst="rect">
                      <a:avLst/>
                    </a:prstGeom>
                    <a:noFill/>
                    <a:ln>
                      <a:noFill/>
                    </a:ln>
                  </pic:spPr>
                </pic:pic>
              </a:graphicData>
            </a:graphic>
          </wp:inline>
        </w:drawing>
      </w:r>
    </w:p>
    <w:p w14:paraId="5F22F2E8" w14:textId="41DF78BC" w:rsidR="00F4614B" w:rsidRPr="00C27BEB" w:rsidRDefault="00DA2814" w:rsidP="00164E5E">
      <w:pPr>
        <w:pStyle w:val="Caption"/>
        <w:rPr>
          <w:rStyle w:val="IntenseReference"/>
        </w:rPr>
      </w:pPr>
      <w:bookmarkStart w:id="1408" w:name="_Ref438136035"/>
      <w:bookmarkStart w:id="1409" w:name="_Toc436913500"/>
      <w:bookmarkStart w:id="1410" w:name="_Toc459332406"/>
      <w:bookmarkEnd w:id="1406"/>
      <w:bookmarkEnd w:id="1407"/>
      <w:r w:rsidRPr="007A1A6E">
        <w:t xml:space="preserve">Figure </w:t>
      </w:r>
      <w:r w:rsidR="00C62884">
        <w:fldChar w:fldCharType="begin"/>
      </w:r>
      <w:r w:rsidR="00C62884">
        <w:instrText xml:space="preserve"> STYLEREF 1 \s </w:instrText>
      </w:r>
      <w:r w:rsidR="00C62884">
        <w:fldChar w:fldCharType="separate"/>
      </w:r>
      <w:r w:rsidR="007F5336">
        <w:rPr>
          <w:noProof/>
        </w:rPr>
        <w:t>5</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48</w:t>
      </w:r>
      <w:r w:rsidR="00C62884">
        <w:fldChar w:fldCharType="end"/>
      </w:r>
      <w:bookmarkEnd w:id="1408"/>
      <w:r w:rsidRPr="007A1A6E">
        <w:t xml:space="preserve">: </w:t>
      </w:r>
      <w:r w:rsidR="008645FA" w:rsidRPr="007A1A6E">
        <w:t xml:space="preserve">Temporal trends in water quality for the Mackay Whitsunday </w:t>
      </w:r>
      <w:r w:rsidR="007A1A6E">
        <w:t>focus-</w:t>
      </w:r>
      <w:r w:rsidR="008645FA" w:rsidRPr="007A1A6E">
        <w:t>region.</w:t>
      </w:r>
      <w:r w:rsidR="008645FA" w:rsidRPr="00C27BEB">
        <w:rPr>
          <w:rStyle w:val="IntenseReference"/>
        </w:rPr>
        <w:t xml:space="preserve"> </w:t>
      </w:r>
      <w:r w:rsidR="00702B17" w:rsidRPr="00C27BEB">
        <w:rPr>
          <w:rStyle w:val="IntenseReference"/>
        </w:rPr>
        <w:t xml:space="preserve">a) </w:t>
      </w:r>
      <w:r w:rsidR="00853549">
        <w:rPr>
          <w:rStyle w:val="IntenseReference"/>
        </w:rPr>
        <w:t>W</w:t>
      </w:r>
      <w:r w:rsidR="00702B17" w:rsidRPr="00C27BEB">
        <w:rPr>
          <w:rStyle w:val="IntenseReference"/>
        </w:rPr>
        <w:t xml:space="preserve">ater </w:t>
      </w:r>
      <w:r w:rsidR="00853549">
        <w:rPr>
          <w:rStyle w:val="IntenseReference"/>
        </w:rPr>
        <w:t>Q</w:t>
      </w:r>
      <w:r w:rsidR="00702B17" w:rsidRPr="00C27BEB">
        <w:rPr>
          <w:rStyle w:val="IntenseReference"/>
        </w:rPr>
        <w:t xml:space="preserve">uality </w:t>
      </w:r>
      <w:r w:rsidR="00853549">
        <w:rPr>
          <w:rStyle w:val="IntenseReference"/>
        </w:rPr>
        <w:t>I</w:t>
      </w:r>
      <w:r w:rsidR="00702B17" w:rsidRPr="00C27BEB">
        <w:rPr>
          <w:rStyle w:val="IntenseReference"/>
        </w:rPr>
        <w:t>ndex, b) chlorophyll a, c) total suspended solids, d) nitrate/nitrite, e) Secchi depth, f) particulate nitrogen, g) particulate phosphorus, h) particulate organic carbon and i) dissolved organic carbon. Water quality index colour coding: dark green- ‘very good’; light green-‘good’; yellow – ‘moderate; orange – ‘poor’; red – ‘very poor’. The water quality index is the aggregate of variables plotted in b - h and calculated as described in Appendix 1.2.3. Trends in POC and DOC values are plotted here (i, j); threshold levels have yet to be established.  Trends in manually sampled water quality variables are represented by blue lines with blue shaded areas defining 95% confidence intervals of those trends</w:t>
      </w:r>
      <w:r w:rsidR="00E25252" w:rsidRPr="00E25252">
        <w:rPr>
          <w:color w:val="000000"/>
        </w:rPr>
        <w:t xml:space="preserve"> </w:t>
      </w:r>
      <w:r w:rsidR="00E25252" w:rsidRPr="00C52985">
        <w:rPr>
          <w:color w:val="000000"/>
        </w:rPr>
        <w:t xml:space="preserve">accounting for the effects of </w:t>
      </w:r>
      <w:r w:rsidR="00E25252" w:rsidRPr="00C52985">
        <w:t>wind, waves and tides</w:t>
      </w:r>
      <w:r w:rsidR="00702B17" w:rsidRPr="00C27BEB">
        <w:rPr>
          <w:rStyle w:val="IntenseReference"/>
        </w:rPr>
        <w:t>, black dots represent observed data. Trends of records from ECO FLNTUSB instruments are represented in red, individual records are not displayed. Dashed reference lines indicate guideline values.</w:t>
      </w:r>
      <w:bookmarkEnd w:id="1409"/>
      <w:bookmarkEnd w:id="1410"/>
    </w:p>
    <w:p w14:paraId="5F22F2E9" w14:textId="77777777" w:rsidR="00271AED" w:rsidRDefault="00271AED" w:rsidP="00271AED">
      <w:pPr>
        <w:rPr>
          <w:lang w:val="en-AU"/>
        </w:rPr>
      </w:pPr>
    </w:p>
    <w:p w14:paraId="73E5390C" w14:textId="445C4906" w:rsidR="00CC314D" w:rsidRDefault="00CC314D" w:rsidP="00271AED">
      <w:pPr>
        <w:rPr>
          <w:lang w:val="en-AU"/>
        </w:rPr>
      </w:pPr>
      <w:r>
        <w:rPr>
          <w:lang w:val="en-AU"/>
        </w:rPr>
        <w:br w:type="page"/>
      </w:r>
    </w:p>
    <w:p w14:paraId="07250B01" w14:textId="25D3C461" w:rsidR="00CC314D" w:rsidRPr="00CC314D" w:rsidRDefault="00CC314D" w:rsidP="00CC314D">
      <w:pPr>
        <w:pStyle w:val="Heading2"/>
      </w:pPr>
      <w:bookmarkStart w:id="1411" w:name="_Toc462307456"/>
      <w:r>
        <w:t xml:space="preserve">Report Card </w:t>
      </w:r>
      <w:r w:rsidR="004D2A67">
        <w:t>w</w:t>
      </w:r>
      <w:r>
        <w:t xml:space="preserve">ater </w:t>
      </w:r>
      <w:r w:rsidR="004D2A67">
        <w:t>q</w:t>
      </w:r>
      <w:r>
        <w:t xml:space="preserve">uality </w:t>
      </w:r>
      <w:r w:rsidR="004D2A67">
        <w:t>m</w:t>
      </w:r>
      <w:r>
        <w:t>etric 2014-15</w:t>
      </w:r>
      <w:bookmarkEnd w:id="1411"/>
    </w:p>
    <w:p w14:paraId="3CBEF5CC" w14:textId="48218CF6" w:rsidR="00475BBF" w:rsidRDefault="005E196D" w:rsidP="00E87989">
      <w:pPr>
        <w:rPr>
          <w:rFonts w:eastAsia="Arial" w:cs="Arial"/>
        </w:rPr>
      </w:pPr>
      <w:r w:rsidRPr="00D853C3">
        <w:rPr>
          <w:rFonts w:eastAsia="Arial" w:cs="Arial"/>
        </w:rPr>
        <w:t xml:space="preserve">Inshore water quality </w:t>
      </w:r>
      <w:r>
        <w:rPr>
          <w:rFonts w:eastAsia="Arial" w:cs="Arial"/>
        </w:rPr>
        <w:t>for the GBR Report Card is currently a</w:t>
      </w:r>
      <w:r w:rsidRPr="00D853C3">
        <w:rPr>
          <w:rFonts w:eastAsia="Arial" w:cs="Arial"/>
        </w:rPr>
        <w:t xml:space="preserve">ssessed by remote sensing of </w:t>
      </w:r>
      <w:r w:rsidR="00853549">
        <w:rPr>
          <w:rFonts w:eastAsia="Arial" w:cs="Arial"/>
        </w:rPr>
        <w:t>Chl-a</w:t>
      </w:r>
      <w:r w:rsidRPr="00D853C3">
        <w:rPr>
          <w:rFonts w:eastAsia="Arial" w:cs="Arial"/>
        </w:rPr>
        <w:t xml:space="preserve"> and </w:t>
      </w:r>
      <w:r>
        <w:rPr>
          <w:rFonts w:eastAsia="Arial" w:cs="Arial"/>
        </w:rPr>
        <w:t>TSS</w:t>
      </w:r>
      <w:r w:rsidR="00422AA4">
        <w:rPr>
          <w:rFonts w:eastAsia="Arial" w:cs="Arial"/>
        </w:rPr>
        <w:t xml:space="preserve"> </w:t>
      </w:r>
      <w:r w:rsidR="00E87989">
        <w:rPr>
          <w:rFonts w:eastAsia="Arial" w:cs="Arial"/>
        </w:rPr>
        <w:t>data in the inshore water body.</w:t>
      </w:r>
    </w:p>
    <w:p w14:paraId="605B5DF8" w14:textId="39881857" w:rsidR="00475BBF" w:rsidRDefault="00475BBF" w:rsidP="00E87989">
      <w:pPr>
        <w:rPr>
          <w:lang w:val="en-AU"/>
        </w:rPr>
      </w:pPr>
      <w:r w:rsidRPr="00DF3910">
        <w:rPr>
          <w:lang w:val="en-AU"/>
        </w:rPr>
        <w:t xml:space="preserve">In preparation of the </w:t>
      </w:r>
      <w:r w:rsidR="00853549">
        <w:rPr>
          <w:lang w:val="en-AU"/>
        </w:rPr>
        <w:t>201</w:t>
      </w:r>
      <w:r w:rsidRPr="00DF3910">
        <w:rPr>
          <w:lang w:val="en-AU"/>
        </w:rPr>
        <w:t xml:space="preserve">6 Report Card, the Reef Plan Independent Science Panel (ISP) expressed concerns with the water quality metric currently used in the Reef Plan Report Card. This followed unresolved issues in 2014-15 reporting. The metric is calculated using Ocean Colour remote sensing data for </w:t>
      </w:r>
      <w:r w:rsidR="00A80C71">
        <w:rPr>
          <w:lang w:val="en-AU"/>
        </w:rPr>
        <w:t xml:space="preserve">Chl-a </w:t>
      </w:r>
      <w:r>
        <w:rPr>
          <w:lang w:val="en-AU"/>
        </w:rPr>
        <w:t xml:space="preserve">and </w:t>
      </w:r>
      <w:r w:rsidR="00853549">
        <w:rPr>
          <w:lang w:val="en-AU"/>
        </w:rPr>
        <w:t>TSS</w:t>
      </w:r>
      <w:r>
        <w:rPr>
          <w:lang w:val="en-AU"/>
        </w:rPr>
        <w:t xml:space="preserve"> (</w:t>
      </w:r>
      <w:r w:rsidRPr="00DF3910">
        <w:rPr>
          <w:lang w:val="en-AU"/>
        </w:rPr>
        <w:t xml:space="preserve">based on NAP, non-algal particles) in the </w:t>
      </w:r>
      <w:r>
        <w:rPr>
          <w:lang w:val="en-AU"/>
        </w:rPr>
        <w:t>'</w:t>
      </w:r>
      <w:r w:rsidRPr="00DF3910">
        <w:rPr>
          <w:lang w:val="en-AU"/>
        </w:rPr>
        <w:t>inshore water body</w:t>
      </w:r>
      <w:r>
        <w:rPr>
          <w:lang w:val="en-AU"/>
        </w:rPr>
        <w:t xml:space="preserve">' </w:t>
      </w:r>
      <w:r w:rsidRPr="00851BE8">
        <w:rPr>
          <w:lang w:val="en-AU"/>
        </w:rPr>
        <w:t>—</w:t>
      </w:r>
      <w:r>
        <w:rPr>
          <w:lang w:val="en-AU"/>
        </w:rPr>
        <w:t xml:space="preserve"> as used by GBRMPA, and defined in De'ath and Fabricius (2008)</w:t>
      </w:r>
      <w:r w:rsidRPr="00DF3910">
        <w:rPr>
          <w:lang w:val="en-AU"/>
        </w:rPr>
        <w:t>. The foundation remote sensing data is processed by the Bureau of Meteorology, and the Marine Water Quality remote sensing workflow is documented on the Bureau’s website</w:t>
      </w:r>
      <w:r w:rsidRPr="00DF3910">
        <w:rPr>
          <w:rStyle w:val="FootnoteReference"/>
          <w:lang w:val="en-AU"/>
        </w:rPr>
        <w:footnoteReference w:id="3"/>
      </w:r>
      <w:r w:rsidRPr="002615B8">
        <w:rPr>
          <w:vertAlign w:val="superscript"/>
          <w:lang w:val="en-AU"/>
        </w:rPr>
        <w:t xml:space="preserve"> </w:t>
      </w:r>
      <w:r w:rsidRPr="00DF3910">
        <w:rPr>
          <w:lang w:val="en-AU"/>
        </w:rPr>
        <w:t>and in an operations bulletin (Bureau of Meteorology, 2015). The process to produce the Reef P</w:t>
      </w:r>
      <w:r>
        <w:rPr>
          <w:lang w:val="en-AU"/>
        </w:rPr>
        <w:t>l</w:t>
      </w:r>
      <w:r w:rsidRPr="00DF3910">
        <w:rPr>
          <w:lang w:val="en-AU"/>
        </w:rPr>
        <w:t>an Report Card Marine Water Quality metric is summarised below.</w:t>
      </w:r>
    </w:p>
    <w:p w14:paraId="4CFE1460" w14:textId="77777777" w:rsidR="00475BBF" w:rsidRPr="00DF3910" w:rsidRDefault="00475BBF" w:rsidP="004A5BF7">
      <w:pPr>
        <w:numPr>
          <w:ilvl w:val="0"/>
          <w:numId w:val="60"/>
        </w:numPr>
        <w:spacing w:before="0"/>
        <w:ind w:left="714" w:hanging="357"/>
        <w:jc w:val="left"/>
        <w:rPr>
          <w:lang w:val="en-AU"/>
        </w:rPr>
      </w:pPr>
      <w:r w:rsidRPr="00DF3910">
        <w:rPr>
          <w:b/>
          <w:lang w:val="en-AU"/>
        </w:rPr>
        <w:t xml:space="preserve">Step 1: </w:t>
      </w:r>
      <w:r w:rsidRPr="00DF3910">
        <w:rPr>
          <w:lang w:val="en-AU"/>
        </w:rPr>
        <w:t xml:space="preserve">Calculation of the relative area of the inshore water body where the annual mean value exceeds the </w:t>
      </w:r>
      <w:r>
        <w:rPr>
          <w:lang w:val="en-AU"/>
        </w:rPr>
        <w:t xml:space="preserve">GBRMPA </w:t>
      </w:r>
      <w:r w:rsidRPr="00DF3910">
        <w:rPr>
          <w:lang w:val="en-AU"/>
        </w:rPr>
        <w:t>Water Quality</w:t>
      </w:r>
      <w:r>
        <w:rPr>
          <w:lang w:val="en-AU"/>
        </w:rPr>
        <w:t xml:space="preserve"> (WQ)</w:t>
      </w:r>
      <w:r w:rsidRPr="00DF3910">
        <w:rPr>
          <w:lang w:val="en-AU"/>
        </w:rPr>
        <w:t xml:space="preserve"> Guideline value for Chl-a and TSS in each marine NRM region.</w:t>
      </w:r>
    </w:p>
    <w:p w14:paraId="4A6096AB" w14:textId="77777777" w:rsidR="00475BBF" w:rsidRPr="00DF3910" w:rsidRDefault="00475BBF" w:rsidP="004A5BF7">
      <w:pPr>
        <w:numPr>
          <w:ilvl w:val="0"/>
          <w:numId w:val="60"/>
        </w:numPr>
        <w:spacing w:before="0"/>
        <w:ind w:left="714" w:hanging="357"/>
        <w:jc w:val="left"/>
        <w:rPr>
          <w:lang w:val="en-AU"/>
        </w:rPr>
      </w:pPr>
      <w:r w:rsidRPr="00DF3910">
        <w:rPr>
          <w:b/>
          <w:lang w:val="en-AU"/>
        </w:rPr>
        <w:t xml:space="preserve">Step 2: </w:t>
      </w:r>
      <w:r w:rsidRPr="00DF3910">
        <w:rPr>
          <w:lang w:val="en-AU"/>
        </w:rPr>
        <w:t xml:space="preserve">Allocation of a score for Chl-a and TSS which is the relative area of the inshore water body where the annual mean value (on a per pixel basis) does not exceed the </w:t>
      </w:r>
      <w:r>
        <w:rPr>
          <w:lang w:val="en-AU"/>
        </w:rPr>
        <w:t>WQ</w:t>
      </w:r>
      <w:r w:rsidRPr="00DF3910">
        <w:rPr>
          <w:lang w:val="en-AU"/>
        </w:rPr>
        <w:t xml:space="preserve"> Guideline value. (e.g. if annual mean value exceeded the WQ Guideline value in 80% of the inshore water body, the regional score is 0.2).</w:t>
      </w:r>
    </w:p>
    <w:p w14:paraId="7680F842" w14:textId="77777777" w:rsidR="00475BBF" w:rsidRPr="00DF3910" w:rsidRDefault="00475BBF" w:rsidP="004A5BF7">
      <w:pPr>
        <w:numPr>
          <w:ilvl w:val="0"/>
          <w:numId w:val="60"/>
        </w:numPr>
        <w:spacing w:before="0"/>
        <w:ind w:left="714" w:hanging="357"/>
        <w:jc w:val="left"/>
        <w:rPr>
          <w:lang w:val="en-AU"/>
        </w:rPr>
      </w:pPr>
      <w:r w:rsidRPr="00DF3910">
        <w:rPr>
          <w:b/>
          <w:lang w:val="en-AU"/>
        </w:rPr>
        <w:t>Step 3:</w:t>
      </w:r>
      <w:r w:rsidRPr="00DF3910">
        <w:rPr>
          <w:lang w:val="en-AU"/>
        </w:rPr>
        <w:t xml:space="preserve"> Calculation of a combined Chl-a and TSS score using the mean of the Chl-a and TSS scores calculated in Step 2.</w:t>
      </w:r>
    </w:p>
    <w:p w14:paraId="4CC0E985" w14:textId="55381F36" w:rsidR="00475BBF" w:rsidRPr="00DF3910" w:rsidRDefault="00475BBF" w:rsidP="004A5BF7">
      <w:pPr>
        <w:numPr>
          <w:ilvl w:val="0"/>
          <w:numId w:val="60"/>
        </w:numPr>
        <w:spacing w:before="0"/>
        <w:ind w:left="714" w:hanging="357"/>
        <w:jc w:val="left"/>
        <w:rPr>
          <w:lang w:val="en-AU"/>
        </w:rPr>
      </w:pPr>
      <w:r w:rsidRPr="00DF3910">
        <w:rPr>
          <w:b/>
          <w:lang w:val="en-AU"/>
        </w:rPr>
        <w:t>Step 4:</w:t>
      </w:r>
      <w:r w:rsidRPr="00DF3910">
        <w:rPr>
          <w:lang w:val="en-AU"/>
        </w:rPr>
        <w:t xml:space="preserve"> Calculation of a GBR wide score. A weighting is applied to the scores in Step 2 which is based on the proportion of the GBR coastal area that is in the NRM region. For example, 13% of the GBR coastal area is in the Wet Tropics NRM region, and so the score calculated in Step is multiplied by 0.13 to give a weighted score. A weighting of zero is applied to Cape York and Burnett Mary NRM regions due to low confidence in the data in these regions (established at the MMP workshop 11 August 2011). The final GBR score is the sum of all of the weighted regional scores.</w:t>
      </w:r>
    </w:p>
    <w:p w14:paraId="1FCB82BD" w14:textId="77777777" w:rsidR="00475BBF" w:rsidRPr="00DF3910" w:rsidRDefault="00475BBF" w:rsidP="00475BBF">
      <w:pPr>
        <w:rPr>
          <w:lang w:val="en-AU"/>
        </w:rPr>
      </w:pPr>
      <w:r w:rsidRPr="00DF3910">
        <w:rPr>
          <w:lang w:val="en-AU"/>
        </w:rPr>
        <w:t>The concerns are summarised very briefly below and were reviewed in more detail by the ISP in their meeting in April 2016.</w:t>
      </w:r>
    </w:p>
    <w:p w14:paraId="5D6343F5" w14:textId="77777777" w:rsidR="00475BBF" w:rsidRPr="00DF3910" w:rsidRDefault="00475BBF" w:rsidP="00475BBF">
      <w:pPr>
        <w:rPr>
          <w:i/>
          <w:lang w:val="en-AU"/>
        </w:rPr>
      </w:pPr>
      <w:r w:rsidRPr="00DF3910">
        <w:rPr>
          <w:i/>
          <w:lang w:val="en-AU"/>
        </w:rPr>
        <w:t>Concerns with the accuracy of Chl-a concentrations derived from Ocean Colour remote sensing</w:t>
      </w:r>
    </w:p>
    <w:p w14:paraId="4432E9CB" w14:textId="77777777" w:rsidR="00475BBF" w:rsidRPr="00DF3910" w:rsidRDefault="00475BBF" w:rsidP="004A5BF7">
      <w:pPr>
        <w:numPr>
          <w:ilvl w:val="0"/>
          <w:numId w:val="119"/>
        </w:numPr>
        <w:spacing w:before="0"/>
        <w:ind w:left="714" w:hanging="357"/>
        <w:jc w:val="left"/>
        <w:rPr>
          <w:lang w:val="en-AU"/>
        </w:rPr>
      </w:pPr>
      <w:r w:rsidRPr="00DF3910">
        <w:rPr>
          <w:lang w:val="en-AU"/>
        </w:rPr>
        <w:t xml:space="preserve">Extracting Chl-a concentrations from remotely sensed reflectance data is notoriously challenging in optically complex (case II) coastal waters like the GBR lagoon and the limitations of the remote sensing data must be understood in order to efficiently use these data as a monitoring tool. These limitations have been well documented by CSIRO in past (see examples of references in Bureau of Meteorology, 2014). </w:t>
      </w:r>
    </w:p>
    <w:p w14:paraId="703FD7C7" w14:textId="77777777" w:rsidR="00475BBF" w:rsidRPr="00DF3910" w:rsidRDefault="00475BBF" w:rsidP="004A5BF7">
      <w:pPr>
        <w:numPr>
          <w:ilvl w:val="0"/>
          <w:numId w:val="119"/>
        </w:numPr>
        <w:spacing w:before="0"/>
        <w:ind w:left="714" w:hanging="357"/>
        <w:jc w:val="left"/>
        <w:rPr>
          <w:lang w:val="en-AU"/>
        </w:rPr>
      </w:pPr>
      <w:r w:rsidRPr="00DF3910">
        <w:rPr>
          <w:lang w:val="en-AU"/>
        </w:rPr>
        <w:t xml:space="preserve">Analyses in the GBR and from around the world show that there is a trend toward an increase of uncertainties in the satellite Chl-a concentration when the TSS concentration increases and the bottom depth decreases (see review in Petus et al. 2015); with </w:t>
      </w:r>
      <w:r w:rsidRPr="00DF3910">
        <w:rPr>
          <w:u w:val="single"/>
          <w:lang w:val="en-AU"/>
        </w:rPr>
        <w:t>preliminary</w:t>
      </w:r>
      <w:r w:rsidRPr="00DF3910">
        <w:rPr>
          <w:lang w:val="en-AU"/>
        </w:rPr>
        <w:t xml:space="preserve"> thresholds values estimated around an NAP (proxy for TSS) of 2 mg L</w:t>
      </w:r>
      <w:r w:rsidRPr="00DF3910">
        <w:rPr>
          <w:vertAlign w:val="superscript"/>
          <w:lang w:val="en-AU"/>
        </w:rPr>
        <w:t xml:space="preserve">-1 </w:t>
      </w:r>
      <w:r w:rsidRPr="00DF3910">
        <w:rPr>
          <w:lang w:val="en-AU"/>
        </w:rPr>
        <w:t xml:space="preserve"> (which is the GBR water quality guideline trigger value for TSS in the open coastal and midshelf water body) and depth less than 25 metres (Petus et al. 2015). </w:t>
      </w:r>
    </w:p>
    <w:p w14:paraId="5C45CEA0" w14:textId="77777777" w:rsidR="00475BBF" w:rsidRPr="00DF3910" w:rsidRDefault="00475BBF" w:rsidP="00475BBF">
      <w:pPr>
        <w:rPr>
          <w:i/>
          <w:lang w:val="en-AU"/>
        </w:rPr>
      </w:pPr>
      <w:r w:rsidRPr="00DF3910">
        <w:rPr>
          <w:i/>
          <w:lang w:val="en-AU"/>
        </w:rPr>
        <w:t>Proportion of valid observations</w:t>
      </w:r>
    </w:p>
    <w:p w14:paraId="7D14A82A" w14:textId="77777777" w:rsidR="00475BBF" w:rsidRPr="00DF3910" w:rsidRDefault="00475BBF" w:rsidP="004A5BF7">
      <w:pPr>
        <w:numPr>
          <w:ilvl w:val="0"/>
          <w:numId w:val="119"/>
        </w:numPr>
        <w:spacing w:before="0"/>
        <w:ind w:left="714" w:hanging="357"/>
        <w:jc w:val="left"/>
        <w:rPr>
          <w:lang w:val="en-AU"/>
        </w:rPr>
      </w:pPr>
      <w:r w:rsidRPr="00DF3910">
        <w:rPr>
          <w:lang w:val="en-AU"/>
        </w:rPr>
        <w:t>Cloud cover is an important influence in the availability of remote sensing data. Valid observations are made less than 40% of the time using the current GBR algorithms for Chl-a and TSS, which has significant implications when assessing the exceedance of thresholds (described in CSIRO MMP reporting and GBR relative risk assessment; Maynard et al. 2015).</w:t>
      </w:r>
    </w:p>
    <w:p w14:paraId="1C843D82" w14:textId="77777777" w:rsidR="00475BBF" w:rsidRPr="00DF3910" w:rsidRDefault="00475BBF" w:rsidP="004A5BF7">
      <w:pPr>
        <w:numPr>
          <w:ilvl w:val="0"/>
          <w:numId w:val="119"/>
        </w:numPr>
        <w:spacing w:before="0"/>
        <w:ind w:left="714" w:hanging="357"/>
        <w:jc w:val="left"/>
        <w:rPr>
          <w:lang w:val="en-AU"/>
        </w:rPr>
      </w:pPr>
      <w:r w:rsidRPr="00DF3910">
        <w:rPr>
          <w:lang w:val="en-AU"/>
        </w:rPr>
        <w:t>The percentage of valid observations should be factored into any assessment of remote sensing data of water quality concentrations to factor in the spatial and temporal variability of retrievals. This data is readily available and should be considered in metric calculations.</w:t>
      </w:r>
    </w:p>
    <w:p w14:paraId="18386D96" w14:textId="77777777" w:rsidR="00475BBF" w:rsidRPr="00DF3910" w:rsidRDefault="00475BBF" w:rsidP="00475BBF">
      <w:pPr>
        <w:rPr>
          <w:i/>
          <w:lang w:val="en-AU"/>
        </w:rPr>
      </w:pPr>
      <w:r w:rsidRPr="00DF3910">
        <w:rPr>
          <w:i/>
          <w:lang w:val="en-AU"/>
        </w:rPr>
        <w:t>Shortcomings in the metric calculation</w:t>
      </w:r>
    </w:p>
    <w:p w14:paraId="47D0C04D" w14:textId="65123A26" w:rsidR="00475BBF" w:rsidRPr="004A5BF7" w:rsidRDefault="00475BBF" w:rsidP="004A5BF7">
      <w:pPr>
        <w:numPr>
          <w:ilvl w:val="0"/>
          <w:numId w:val="119"/>
        </w:numPr>
        <w:spacing w:before="0"/>
        <w:ind w:left="714" w:hanging="357"/>
        <w:jc w:val="left"/>
        <w:rPr>
          <w:lang w:val="en-AU"/>
        </w:rPr>
      </w:pPr>
      <w:r w:rsidRPr="00DF3910">
        <w:rPr>
          <w:lang w:val="en-AU"/>
        </w:rPr>
        <w:t xml:space="preserve">The current metric is based on annual or seasonal averages over a large area. This means it is relatively insensitive to temporal (i.e. inter-annual) change, which is a major objective of the MMP and </w:t>
      </w:r>
      <w:r w:rsidR="00030D82">
        <w:rPr>
          <w:lang w:val="en-AU"/>
        </w:rPr>
        <w:t>Paddock to Reef program</w:t>
      </w:r>
      <w:r w:rsidRPr="00DF3910">
        <w:rPr>
          <w:lang w:val="en-AU"/>
        </w:rPr>
        <w:t>. The area also currently does not separate the enclosed coastal water body which has different guidelines and is likely to have Chl-a estimates with a high uncertainty.</w:t>
      </w:r>
    </w:p>
    <w:p w14:paraId="2E6E1547" w14:textId="77777777" w:rsidR="00475BBF" w:rsidRPr="004A5BF7" w:rsidRDefault="00475BBF" w:rsidP="004A5BF7">
      <w:pPr>
        <w:numPr>
          <w:ilvl w:val="0"/>
          <w:numId w:val="119"/>
        </w:numPr>
        <w:spacing w:before="0"/>
        <w:ind w:left="714" w:hanging="357"/>
        <w:jc w:val="left"/>
        <w:rPr>
          <w:lang w:val="en-AU"/>
        </w:rPr>
      </w:pPr>
      <w:r w:rsidRPr="00DF3910">
        <w:rPr>
          <w:lang w:val="en-AU"/>
        </w:rPr>
        <w:t xml:space="preserve">The deviation from guideline trigger values is only done on a binary basis, i.e. the annual mean value of a pixel exceeds or complies with guidelines trigger value. This again leads to the metric being insensitive to change in areas where values are much higher than the trigger (i.e. needs a large change to get close to the guidelines) but conversely also leads to high variability in areas where values are very close to the guideline (ie neighbouring pixels that have very similar actual means may get opposite scores if they are just compliant or juts exceeding). A ‘distance from guidelines’ approach is used in the MMP site-specific water quality index (see Thompson et al. 2015). </w:t>
      </w:r>
    </w:p>
    <w:p w14:paraId="0CC29A6B" w14:textId="77777777" w:rsidR="00475BBF" w:rsidRDefault="00475BBF" w:rsidP="00E87989">
      <w:pPr>
        <w:rPr>
          <w:lang w:val="en-AU"/>
        </w:rPr>
      </w:pPr>
    </w:p>
    <w:p w14:paraId="110A3D93" w14:textId="302C2543" w:rsidR="00511789" w:rsidRDefault="00A80C71" w:rsidP="00E87989">
      <w:pPr>
        <w:rPr>
          <w:lang w:val="en-AU"/>
        </w:rPr>
      </w:pPr>
      <w:r>
        <w:rPr>
          <w:rFonts w:eastAsia="Arial" w:cs="Arial"/>
        </w:rPr>
        <w:t xml:space="preserve">In response to </w:t>
      </w:r>
      <w:r w:rsidR="0093623D">
        <w:rPr>
          <w:rFonts w:eastAsia="Arial" w:cs="Arial"/>
        </w:rPr>
        <w:t xml:space="preserve">some of </w:t>
      </w:r>
      <w:r>
        <w:rPr>
          <w:rFonts w:eastAsia="Arial" w:cs="Arial"/>
        </w:rPr>
        <w:t xml:space="preserve">these concerns, TropWATER JCU conducted </w:t>
      </w:r>
      <w:r w:rsidRPr="00DF3910">
        <w:rPr>
          <w:lang w:val="en-AU"/>
        </w:rPr>
        <w:t xml:space="preserve">a preliminary review of the water quality metric presented in the 2015-16 Reef Plan Report Card, focusing on issues highlighted by </w:t>
      </w:r>
      <w:r w:rsidR="00C62884">
        <w:rPr>
          <w:lang w:val="en-AU"/>
        </w:rPr>
        <w:t xml:space="preserve">the Reef Plan </w:t>
      </w:r>
      <w:r w:rsidRPr="00DF3910">
        <w:rPr>
          <w:lang w:val="en-AU"/>
        </w:rPr>
        <w:t>ISP associated with data confidence of remotely sensed data in inshore areas. It has been hypothesi</w:t>
      </w:r>
      <w:r>
        <w:rPr>
          <w:lang w:val="en-AU"/>
        </w:rPr>
        <w:t>s</w:t>
      </w:r>
      <w:r w:rsidRPr="00DF3910">
        <w:rPr>
          <w:lang w:val="en-AU"/>
        </w:rPr>
        <w:t xml:space="preserve">ed that the highly turbid and shallow waters, with limited data validation, and temporal and spatial variability in the number of valid observations, can </w:t>
      </w:r>
      <w:r>
        <w:rPr>
          <w:lang w:val="en-AU"/>
        </w:rPr>
        <w:t>bias</w:t>
      </w:r>
      <w:r w:rsidRPr="00DF3910">
        <w:rPr>
          <w:lang w:val="en-AU"/>
        </w:rPr>
        <w:t xml:space="preserve"> the marine water quality metric calculation. In order to test this hypothesis, highly turbid and shallow inshore areas were excluded in the metric computation. For this </w:t>
      </w:r>
      <w:r>
        <w:rPr>
          <w:lang w:val="en-AU"/>
        </w:rPr>
        <w:t>purpose</w:t>
      </w:r>
      <w:r w:rsidRPr="00DF3910">
        <w:rPr>
          <w:lang w:val="en-AU"/>
        </w:rPr>
        <w:t xml:space="preserve">, enclosed coastal waters as defined by the GBRMPA shapefile </w:t>
      </w:r>
      <w:r>
        <w:rPr>
          <w:lang w:val="en-AU"/>
        </w:rPr>
        <w:t>were</w:t>
      </w:r>
      <w:r w:rsidRPr="00DF3910">
        <w:rPr>
          <w:lang w:val="en-AU"/>
        </w:rPr>
        <w:t xml:space="preserve"> used as a proxy for highly turbid and shallow areas.</w:t>
      </w:r>
      <w:r>
        <w:rPr>
          <w:lang w:val="en-AU"/>
        </w:rPr>
        <w:t xml:space="preserve"> The results of the assessment are presented in Tracey et al. (2016). </w:t>
      </w:r>
      <w:r w:rsidR="00511789" w:rsidRPr="00DF3910">
        <w:rPr>
          <w:lang w:val="en-AU"/>
        </w:rPr>
        <w:t>The report constrains the evaluation of the exclusion of enclosed coastal waters to changes to the</w:t>
      </w:r>
      <w:r w:rsidR="008936EF">
        <w:rPr>
          <w:lang w:val="en-AU"/>
        </w:rPr>
        <w:t xml:space="preserve"> annual and seasonal</w:t>
      </w:r>
      <w:r w:rsidR="00511789" w:rsidRPr="00DF3910">
        <w:rPr>
          <w:lang w:val="en-AU"/>
        </w:rPr>
        <w:t xml:space="preserve"> temporal trend of the marine water quality metric for the GBR. </w:t>
      </w:r>
      <w:r w:rsidR="00511789">
        <w:rPr>
          <w:lang w:val="en-AU"/>
        </w:rPr>
        <w:t>While the results did show some differences in the regional assessments, exclusion of the enclosed coastal water body did not make a significant difference to the actual metric results. The ISP therefore decided to maintain the current approach to the water quality metric for the 20</w:t>
      </w:r>
      <w:r w:rsidR="0093623D">
        <w:rPr>
          <w:lang w:val="en-AU"/>
        </w:rPr>
        <w:t>1</w:t>
      </w:r>
      <w:r w:rsidR="00511789">
        <w:rPr>
          <w:lang w:val="en-AU"/>
        </w:rPr>
        <w:t xml:space="preserve">6 Reef Plan Report Card. </w:t>
      </w:r>
    </w:p>
    <w:p w14:paraId="19587C6E" w14:textId="683BF0A7" w:rsidR="00E87989" w:rsidRDefault="00A80C71" w:rsidP="005E196D">
      <w:pPr>
        <w:spacing w:after="0"/>
        <w:rPr>
          <w:rFonts w:eastAsia="Arial" w:cs="Arial"/>
        </w:rPr>
      </w:pPr>
      <w:r w:rsidRPr="00DF3910">
        <w:rPr>
          <w:lang w:val="en-AU"/>
        </w:rPr>
        <w:t xml:space="preserve">It </w:t>
      </w:r>
      <w:r>
        <w:rPr>
          <w:lang w:val="en-AU"/>
        </w:rPr>
        <w:t>was</w:t>
      </w:r>
      <w:r w:rsidRPr="00DF3910">
        <w:rPr>
          <w:lang w:val="en-AU"/>
        </w:rPr>
        <w:t xml:space="preserve"> out of the scope of </w:t>
      </w:r>
      <w:r w:rsidR="008936EF">
        <w:rPr>
          <w:lang w:val="en-AU"/>
        </w:rPr>
        <w:t>that investigation</w:t>
      </w:r>
      <w:r w:rsidRPr="00DF3910">
        <w:rPr>
          <w:lang w:val="en-AU"/>
        </w:rPr>
        <w:t xml:space="preserve"> to provide improvements to the remote sensing data acquisition, algorithms, and/or development of alternative method for the metric calculation</w:t>
      </w:r>
      <w:r w:rsidR="00511789">
        <w:rPr>
          <w:lang w:val="en-AU"/>
        </w:rPr>
        <w:t xml:space="preserve">, however, these tasks are recommended as part </w:t>
      </w:r>
      <w:r w:rsidRPr="00DF3910">
        <w:rPr>
          <w:lang w:val="en-AU"/>
        </w:rPr>
        <w:t>of more extensive work</w:t>
      </w:r>
      <w:r w:rsidR="00511789">
        <w:rPr>
          <w:lang w:val="en-AU"/>
        </w:rPr>
        <w:t xml:space="preserve"> required</w:t>
      </w:r>
      <w:r w:rsidRPr="00DF3910">
        <w:rPr>
          <w:lang w:val="en-AU"/>
        </w:rPr>
        <w:t xml:space="preserve"> over a wider time frame (8-10 months)</w:t>
      </w:r>
      <w:r w:rsidR="00511789">
        <w:rPr>
          <w:lang w:val="en-AU"/>
        </w:rPr>
        <w:t xml:space="preserve"> to improve the sensitivity of the current metric to changes in drivers, activities and pressures in the catchments and the GBR</w:t>
      </w:r>
      <w:r w:rsidRPr="00DF3910">
        <w:rPr>
          <w:lang w:val="en-AU"/>
        </w:rPr>
        <w:t>.</w:t>
      </w:r>
      <w:r w:rsidR="00511789" w:rsidRPr="004A5BF7">
        <w:rPr>
          <w:rFonts w:eastAsia="Arial" w:cs="Arial"/>
        </w:rPr>
        <w:t>T</w:t>
      </w:r>
      <w:r w:rsidR="00E87989" w:rsidRPr="00654C99">
        <w:rPr>
          <w:rFonts w:eastAsia="Arial" w:cs="Arial"/>
        </w:rPr>
        <w:t>he</w:t>
      </w:r>
      <w:r w:rsidR="00511789" w:rsidRPr="004A5BF7">
        <w:rPr>
          <w:rFonts w:eastAsia="Arial" w:cs="Arial"/>
        </w:rPr>
        <w:t xml:space="preserve"> following</w:t>
      </w:r>
      <w:r w:rsidR="00E87989" w:rsidRPr="00654C99">
        <w:rPr>
          <w:rFonts w:eastAsia="Arial" w:cs="Arial"/>
        </w:rPr>
        <w:t xml:space="preserve"> results are presented in line with the contractual obligations for 2014-15.</w:t>
      </w:r>
    </w:p>
    <w:p w14:paraId="0FA9E9DB" w14:textId="15A852A9" w:rsidR="00E87989" w:rsidRDefault="00422AA4" w:rsidP="005E196D">
      <w:pPr>
        <w:spacing w:after="0"/>
      </w:pPr>
      <w:r>
        <w:rPr>
          <w:rFonts w:eastAsia="Arial" w:cs="Arial"/>
        </w:rPr>
        <w:t xml:space="preserve">The relative area </w:t>
      </w:r>
      <w:r>
        <w:t xml:space="preserve">of the inshore water body where the annual mean value </w:t>
      </w:r>
      <w:r w:rsidR="00E87989">
        <w:t xml:space="preserve">that </w:t>
      </w:r>
      <w:r>
        <w:t>exceed</w:t>
      </w:r>
      <w:r w:rsidR="00E87989">
        <w:t>ed</w:t>
      </w:r>
      <w:r>
        <w:t xml:space="preserve"> the Water Quality Guideline value for Chl</w:t>
      </w:r>
      <w:r w:rsidR="0093623D">
        <w:t>-</w:t>
      </w:r>
      <w:r>
        <w:t xml:space="preserve">a and TSS for each marine NRM region is shown in </w:t>
      </w:r>
      <w:r>
        <w:fldChar w:fldCharType="begin"/>
      </w:r>
      <w:r>
        <w:instrText xml:space="preserve"> REF _Ref452319930 \h </w:instrText>
      </w:r>
      <w:r>
        <w:fldChar w:fldCharType="separate"/>
      </w:r>
      <w:r w:rsidR="007F5336" w:rsidRPr="00422AA4">
        <w:t xml:space="preserve">Table </w:t>
      </w:r>
      <w:r w:rsidR="007F5336">
        <w:rPr>
          <w:noProof/>
        </w:rPr>
        <w:t>5</w:t>
      </w:r>
      <w:r w:rsidR="007F5336">
        <w:noBreakHyphen/>
      </w:r>
      <w:r w:rsidR="007F5336">
        <w:rPr>
          <w:noProof/>
        </w:rPr>
        <w:t>8</w:t>
      </w:r>
      <w:r>
        <w:fldChar w:fldCharType="end"/>
      </w:r>
      <w:r>
        <w:t>.</w:t>
      </w:r>
      <w:r w:rsidR="00E87989">
        <w:t xml:space="preserve"> </w:t>
      </w:r>
    </w:p>
    <w:p w14:paraId="7FC326E5" w14:textId="5B8DC77D" w:rsidR="00422AA4" w:rsidRPr="004A5BF7" w:rsidRDefault="00422AA4" w:rsidP="004A5BF7">
      <w:pPr>
        <w:pStyle w:val="Caption"/>
      </w:pPr>
      <w:bookmarkStart w:id="1412" w:name="_Ref452319930"/>
      <w:bookmarkStart w:id="1413" w:name="_Toc459332162"/>
      <w:r w:rsidRPr="00422AA4">
        <w:t xml:space="preserve">Table </w:t>
      </w:r>
      <w:r w:rsidR="00124249">
        <w:fldChar w:fldCharType="begin"/>
      </w:r>
      <w:r w:rsidR="00124249">
        <w:instrText xml:space="preserve"> STYLEREF 1 \s </w:instrText>
      </w:r>
      <w:r w:rsidR="00124249">
        <w:fldChar w:fldCharType="separate"/>
      </w:r>
      <w:r w:rsidR="007F5336">
        <w:rPr>
          <w:noProof/>
        </w:rPr>
        <w:t>5</w:t>
      </w:r>
      <w:r w:rsidR="00124249">
        <w:fldChar w:fldCharType="end"/>
      </w:r>
      <w:r w:rsidR="00124249">
        <w:noBreakHyphen/>
      </w:r>
      <w:r w:rsidR="00124249">
        <w:fldChar w:fldCharType="begin"/>
      </w:r>
      <w:r w:rsidR="00124249">
        <w:instrText xml:space="preserve"> SEQ Table \* ARABIC \s 1 </w:instrText>
      </w:r>
      <w:r w:rsidR="00124249">
        <w:fldChar w:fldCharType="separate"/>
      </w:r>
      <w:r w:rsidR="007F5336">
        <w:rPr>
          <w:noProof/>
        </w:rPr>
        <w:t>8</w:t>
      </w:r>
      <w:r w:rsidR="00124249">
        <w:fldChar w:fldCharType="end"/>
      </w:r>
      <w:bookmarkEnd w:id="1412"/>
      <w:r w:rsidR="0093623D">
        <w:t>:</w:t>
      </w:r>
      <w:r w:rsidRPr="00422AA4">
        <w:t xml:space="preserve"> Results from remote sensing data of Chl</w:t>
      </w:r>
      <w:r w:rsidR="0093623D">
        <w:t>-a</w:t>
      </w:r>
      <w:r w:rsidRPr="00422AA4">
        <w:t xml:space="preserve"> and TSS for the 201</w:t>
      </w:r>
      <w:r w:rsidR="0093623D">
        <w:t>6</w:t>
      </w:r>
      <w:r w:rsidRPr="00422AA4">
        <w:t xml:space="preserve"> Report Card, based on GBRMPA monitoring year of 1 May 2014 to 30 April 2015.</w:t>
      </w:r>
      <w:bookmarkEnd w:id="1413"/>
    </w:p>
    <w:tbl>
      <w:tblPr>
        <w:tblW w:w="8542" w:type="dxa"/>
        <w:tblInd w:w="93" w:type="dxa"/>
        <w:tblLook w:val="04A0" w:firstRow="1" w:lastRow="0" w:firstColumn="1" w:lastColumn="0" w:noHBand="0" w:noVBand="1"/>
        <w:tblCaption w:val="Table 5 8: Results from remote sensing data of Chl-a and TSS for the 2016 Report Card, based on GBRMPA monitoring year of 1 May 2014 to 30 April 2015."/>
        <w:tblDescription w:val="Table showing results from remote sensing data of Chl-a and TSS for the 2016 Report Card, based on GBRMPA monitoring year of 1 May 2014 to 30 April 2015 for each NRM region."/>
      </w:tblPr>
      <w:tblGrid>
        <w:gridCol w:w="2080"/>
        <w:gridCol w:w="939"/>
        <w:gridCol w:w="1028"/>
        <w:gridCol w:w="1213"/>
        <w:gridCol w:w="939"/>
        <w:gridCol w:w="1028"/>
        <w:gridCol w:w="1315"/>
      </w:tblGrid>
      <w:tr w:rsidR="00422AA4" w:rsidRPr="00B43F3B" w14:paraId="0C95FE97" w14:textId="77777777" w:rsidTr="009C09C3">
        <w:trPr>
          <w:trHeight w:val="570"/>
          <w:tblHeader/>
        </w:trPr>
        <w:tc>
          <w:tcPr>
            <w:tcW w:w="2080" w:type="dxa"/>
            <w:vMerge w:val="restart"/>
            <w:tcBorders>
              <w:top w:val="single" w:sz="4" w:space="0" w:color="auto"/>
              <w:left w:val="single" w:sz="4" w:space="0" w:color="auto"/>
              <w:right w:val="single" w:sz="4" w:space="0" w:color="auto"/>
            </w:tcBorders>
            <w:shd w:val="clear" w:color="auto" w:fill="auto"/>
            <w:noWrap/>
            <w:vAlign w:val="center"/>
          </w:tcPr>
          <w:p w14:paraId="019982D5" w14:textId="79691771" w:rsidR="00422AA4" w:rsidRPr="004A5BF7" w:rsidRDefault="00C818C7" w:rsidP="00422AA4">
            <w:pPr>
              <w:spacing w:before="0" w:after="0"/>
              <w:jc w:val="left"/>
              <w:rPr>
                <w:rFonts w:cs="Arial"/>
                <w:color w:val="000000"/>
                <w:sz w:val="18"/>
                <w:szCs w:val="18"/>
                <w:lang w:val="en-AU" w:eastAsia="en-AU"/>
              </w:rPr>
            </w:pPr>
            <w:r w:rsidRPr="004A5BF7">
              <w:rPr>
                <w:rFonts w:cs="Arial"/>
                <w:b/>
                <w:color w:val="000000"/>
                <w:sz w:val="18"/>
                <w:szCs w:val="18"/>
                <w:lang w:val="en-AU" w:eastAsia="en-AU"/>
              </w:rPr>
              <w:t>Region</w:t>
            </w:r>
          </w:p>
        </w:tc>
        <w:tc>
          <w:tcPr>
            <w:tcW w:w="6462" w:type="dxa"/>
            <w:gridSpan w:val="6"/>
            <w:tcBorders>
              <w:top w:val="single" w:sz="4" w:space="0" w:color="auto"/>
              <w:left w:val="nil"/>
              <w:bottom w:val="single" w:sz="4" w:space="0" w:color="auto"/>
              <w:right w:val="single" w:sz="4" w:space="0" w:color="auto"/>
            </w:tcBorders>
            <w:shd w:val="clear" w:color="auto" w:fill="auto"/>
            <w:vAlign w:val="center"/>
          </w:tcPr>
          <w:p w14:paraId="30B0E034" w14:textId="3B800A9F" w:rsidR="00422AA4" w:rsidRPr="004A5BF7" w:rsidRDefault="00422AA4" w:rsidP="00422AA4">
            <w:pPr>
              <w:spacing w:before="0" w:after="0"/>
              <w:jc w:val="center"/>
              <w:rPr>
                <w:rFonts w:cs="Arial"/>
                <w:b/>
                <w:color w:val="000000"/>
                <w:sz w:val="18"/>
                <w:szCs w:val="18"/>
                <w:lang w:val="en-AU" w:eastAsia="en-AU"/>
              </w:rPr>
            </w:pPr>
            <w:r w:rsidRPr="004A5BF7">
              <w:rPr>
                <w:rFonts w:cs="Arial"/>
                <w:b/>
                <w:color w:val="000000"/>
                <w:sz w:val="18"/>
                <w:szCs w:val="18"/>
                <w:lang w:val="en-AU" w:eastAsia="en-AU"/>
              </w:rPr>
              <w:t>Relative area (%) of the water body where annual mean value exceeds the WQ Guideline value</w:t>
            </w:r>
          </w:p>
        </w:tc>
      </w:tr>
      <w:tr w:rsidR="00422AA4" w:rsidRPr="00B43F3B" w14:paraId="3D0631D6" w14:textId="77777777" w:rsidTr="009C09C3">
        <w:trPr>
          <w:trHeight w:val="295"/>
          <w:tblHeader/>
        </w:trPr>
        <w:tc>
          <w:tcPr>
            <w:tcW w:w="2080" w:type="dxa"/>
            <w:vMerge/>
            <w:tcBorders>
              <w:left w:val="single" w:sz="4" w:space="0" w:color="auto"/>
              <w:right w:val="single" w:sz="4" w:space="0" w:color="auto"/>
            </w:tcBorders>
            <w:shd w:val="clear" w:color="auto" w:fill="auto"/>
            <w:noWrap/>
            <w:vAlign w:val="bottom"/>
            <w:hideMark/>
          </w:tcPr>
          <w:p w14:paraId="45B5AF56" w14:textId="0B578665" w:rsidR="00422AA4" w:rsidRPr="004A5BF7" w:rsidRDefault="00422AA4" w:rsidP="00422AA4">
            <w:pPr>
              <w:spacing w:before="0" w:after="0"/>
              <w:jc w:val="left"/>
              <w:rPr>
                <w:rFonts w:cs="Arial"/>
                <w:color w:val="000000"/>
                <w:sz w:val="18"/>
                <w:szCs w:val="18"/>
                <w:lang w:val="en-AU" w:eastAsia="en-AU"/>
              </w:rPr>
            </w:pPr>
          </w:p>
        </w:tc>
        <w:tc>
          <w:tcPr>
            <w:tcW w:w="3180" w:type="dxa"/>
            <w:gridSpan w:val="3"/>
            <w:tcBorders>
              <w:top w:val="single" w:sz="4" w:space="0" w:color="auto"/>
              <w:left w:val="nil"/>
              <w:bottom w:val="single" w:sz="4" w:space="0" w:color="auto"/>
              <w:right w:val="single" w:sz="4" w:space="0" w:color="auto"/>
            </w:tcBorders>
            <w:shd w:val="clear" w:color="auto" w:fill="auto"/>
            <w:vAlign w:val="center"/>
            <w:hideMark/>
          </w:tcPr>
          <w:p w14:paraId="661455EC" w14:textId="358DB7BA" w:rsidR="00422AA4" w:rsidRPr="004A5BF7" w:rsidRDefault="00422AA4" w:rsidP="00422AA4">
            <w:pPr>
              <w:spacing w:before="0" w:after="0"/>
              <w:jc w:val="center"/>
              <w:rPr>
                <w:rFonts w:cs="Arial"/>
                <w:b/>
                <w:color w:val="000000"/>
                <w:sz w:val="18"/>
                <w:szCs w:val="18"/>
                <w:lang w:val="en-AU" w:eastAsia="en-AU"/>
              </w:rPr>
            </w:pPr>
            <w:r w:rsidRPr="004A5BF7">
              <w:rPr>
                <w:rFonts w:cs="Arial"/>
                <w:b/>
                <w:color w:val="000000"/>
                <w:sz w:val="18"/>
                <w:szCs w:val="18"/>
                <w:lang w:val="en-AU" w:eastAsia="en-AU"/>
              </w:rPr>
              <w:t xml:space="preserve">Chlorophyll </w:t>
            </w:r>
            <w:r w:rsidRPr="004A5BF7">
              <w:rPr>
                <w:rFonts w:cs="Arial"/>
                <w:b/>
                <w:i/>
                <w:color w:val="000000"/>
                <w:sz w:val="18"/>
                <w:szCs w:val="18"/>
                <w:lang w:val="en-AU" w:eastAsia="en-AU"/>
              </w:rPr>
              <w:t>a</w:t>
            </w:r>
          </w:p>
        </w:tc>
        <w:tc>
          <w:tcPr>
            <w:tcW w:w="3282" w:type="dxa"/>
            <w:gridSpan w:val="3"/>
            <w:tcBorders>
              <w:top w:val="single" w:sz="4" w:space="0" w:color="auto"/>
              <w:left w:val="nil"/>
              <w:bottom w:val="single" w:sz="4" w:space="0" w:color="auto"/>
              <w:right w:val="single" w:sz="4" w:space="0" w:color="auto"/>
            </w:tcBorders>
            <w:shd w:val="clear" w:color="auto" w:fill="auto"/>
            <w:vAlign w:val="center"/>
            <w:hideMark/>
          </w:tcPr>
          <w:p w14:paraId="35313D37" w14:textId="09844E65" w:rsidR="00422AA4" w:rsidRPr="004A5BF7" w:rsidRDefault="00422AA4" w:rsidP="00422AA4">
            <w:pPr>
              <w:spacing w:before="0" w:after="0"/>
              <w:jc w:val="center"/>
              <w:rPr>
                <w:rFonts w:cs="Arial"/>
                <w:b/>
                <w:color w:val="000000"/>
                <w:sz w:val="18"/>
                <w:szCs w:val="18"/>
                <w:lang w:val="en-AU" w:eastAsia="en-AU"/>
              </w:rPr>
            </w:pPr>
            <w:r w:rsidRPr="004A5BF7">
              <w:rPr>
                <w:rFonts w:cs="Arial"/>
                <w:b/>
                <w:color w:val="000000"/>
                <w:sz w:val="18"/>
                <w:szCs w:val="18"/>
                <w:lang w:val="en-AU" w:eastAsia="en-AU"/>
              </w:rPr>
              <w:t>Total Suspended Solids</w:t>
            </w:r>
          </w:p>
        </w:tc>
      </w:tr>
      <w:tr w:rsidR="00422AA4" w:rsidRPr="00B43F3B" w14:paraId="60A604B5" w14:textId="77777777" w:rsidTr="009C09C3">
        <w:trPr>
          <w:trHeight w:val="510"/>
          <w:tblHeader/>
        </w:trPr>
        <w:tc>
          <w:tcPr>
            <w:tcW w:w="2080" w:type="dxa"/>
            <w:vMerge/>
            <w:tcBorders>
              <w:left w:val="single" w:sz="4" w:space="0" w:color="auto"/>
              <w:bottom w:val="single" w:sz="4" w:space="0" w:color="auto"/>
              <w:right w:val="single" w:sz="4" w:space="0" w:color="auto"/>
            </w:tcBorders>
            <w:shd w:val="clear" w:color="auto" w:fill="auto"/>
            <w:noWrap/>
            <w:vAlign w:val="center"/>
            <w:hideMark/>
          </w:tcPr>
          <w:p w14:paraId="31B2A3D4" w14:textId="4282ADE4" w:rsidR="00422AA4" w:rsidRPr="004A5BF7" w:rsidRDefault="00422AA4" w:rsidP="00422AA4">
            <w:pPr>
              <w:spacing w:before="0" w:after="0"/>
              <w:jc w:val="left"/>
              <w:rPr>
                <w:rFonts w:cs="Arial"/>
                <w:b/>
                <w:color w:val="000000"/>
                <w:sz w:val="18"/>
                <w:szCs w:val="18"/>
                <w:lang w:val="en-AU" w:eastAsia="en-AU"/>
              </w:rPr>
            </w:pPr>
          </w:p>
        </w:tc>
        <w:tc>
          <w:tcPr>
            <w:tcW w:w="939" w:type="dxa"/>
            <w:tcBorders>
              <w:top w:val="nil"/>
              <w:left w:val="nil"/>
              <w:bottom w:val="single" w:sz="4" w:space="0" w:color="auto"/>
              <w:right w:val="single" w:sz="4" w:space="0" w:color="auto"/>
            </w:tcBorders>
            <w:shd w:val="clear" w:color="auto" w:fill="auto"/>
            <w:noWrap/>
            <w:vAlign w:val="center"/>
            <w:hideMark/>
          </w:tcPr>
          <w:p w14:paraId="2D43C1A0" w14:textId="3EDE4A81" w:rsidR="00422AA4" w:rsidRPr="004A5BF7" w:rsidRDefault="00422AA4"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Inshore</w:t>
            </w:r>
          </w:p>
        </w:tc>
        <w:tc>
          <w:tcPr>
            <w:tcW w:w="1028" w:type="dxa"/>
            <w:tcBorders>
              <w:top w:val="nil"/>
              <w:left w:val="nil"/>
              <w:bottom w:val="single" w:sz="4" w:space="0" w:color="auto"/>
              <w:right w:val="single" w:sz="4" w:space="0" w:color="auto"/>
            </w:tcBorders>
            <w:shd w:val="clear" w:color="auto" w:fill="auto"/>
            <w:noWrap/>
            <w:vAlign w:val="center"/>
            <w:hideMark/>
          </w:tcPr>
          <w:p w14:paraId="1B67E727" w14:textId="1AA3C0CF" w:rsidR="00422AA4" w:rsidRPr="004A5BF7" w:rsidRDefault="00422AA4"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Midshelf</w:t>
            </w:r>
          </w:p>
        </w:tc>
        <w:tc>
          <w:tcPr>
            <w:tcW w:w="1213" w:type="dxa"/>
            <w:tcBorders>
              <w:top w:val="nil"/>
              <w:left w:val="nil"/>
              <w:bottom w:val="single" w:sz="4" w:space="0" w:color="auto"/>
              <w:right w:val="single" w:sz="4" w:space="0" w:color="auto"/>
            </w:tcBorders>
            <w:shd w:val="clear" w:color="auto" w:fill="auto"/>
            <w:noWrap/>
            <w:vAlign w:val="center"/>
            <w:hideMark/>
          </w:tcPr>
          <w:p w14:paraId="7C1B7657" w14:textId="6F9142F3" w:rsidR="00422AA4" w:rsidRPr="004A5BF7" w:rsidRDefault="00422AA4"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Offshore</w:t>
            </w:r>
          </w:p>
        </w:tc>
        <w:tc>
          <w:tcPr>
            <w:tcW w:w="939" w:type="dxa"/>
            <w:tcBorders>
              <w:top w:val="nil"/>
              <w:left w:val="nil"/>
              <w:bottom w:val="single" w:sz="4" w:space="0" w:color="auto"/>
              <w:right w:val="single" w:sz="4" w:space="0" w:color="auto"/>
            </w:tcBorders>
            <w:shd w:val="clear" w:color="auto" w:fill="auto"/>
            <w:noWrap/>
            <w:vAlign w:val="center"/>
            <w:hideMark/>
          </w:tcPr>
          <w:p w14:paraId="4497EA21" w14:textId="48927723" w:rsidR="00422AA4" w:rsidRPr="004A5BF7" w:rsidRDefault="00422AA4"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Inshore</w:t>
            </w:r>
          </w:p>
        </w:tc>
        <w:tc>
          <w:tcPr>
            <w:tcW w:w="1028" w:type="dxa"/>
            <w:tcBorders>
              <w:top w:val="nil"/>
              <w:left w:val="nil"/>
              <w:bottom w:val="single" w:sz="4" w:space="0" w:color="auto"/>
              <w:right w:val="single" w:sz="4" w:space="0" w:color="auto"/>
            </w:tcBorders>
            <w:shd w:val="clear" w:color="auto" w:fill="auto"/>
            <w:noWrap/>
            <w:vAlign w:val="center"/>
            <w:hideMark/>
          </w:tcPr>
          <w:p w14:paraId="12FDDE04" w14:textId="05B2052D" w:rsidR="00422AA4" w:rsidRPr="004A5BF7" w:rsidRDefault="00422AA4"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Midshelf</w:t>
            </w:r>
          </w:p>
        </w:tc>
        <w:tc>
          <w:tcPr>
            <w:tcW w:w="1315" w:type="dxa"/>
            <w:tcBorders>
              <w:top w:val="nil"/>
              <w:left w:val="nil"/>
              <w:bottom w:val="single" w:sz="4" w:space="0" w:color="auto"/>
              <w:right w:val="single" w:sz="4" w:space="0" w:color="auto"/>
            </w:tcBorders>
            <w:shd w:val="clear" w:color="auto" w:fill="auto"/>
            <w:noWrap/>
            <w:vAlign w:val="center"/>
            <w:hideMark/>
          </w:tcPr>
          <w:p w14:paraId="303AF3C1" w14:textId="75E0E5AA" w:rsidR="00422AA4" w:rsidRPr="004A5BF7" w:rsidRDefault="00422AA4"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Offshore</w:t>
            </w:r>
          </w:p>
        </w:tc>
      </w:tr>
      <w:tr w:rsidR="001B0231" w:rsidRPr="00B43F3B" w14:paraId="6652EBFC" w14:textId="77777777" w:rsidTr="004A5BF7">
        <w:trPr>
          <w:trHeight w:val="300"/>
        </w:trPr>
        <w:tc>
          <w:tcPr>
            <w:tcW w:w="2080" w:type="dxa"/>
            <w:tcBorders>
              <w:top w:val="nil"/>
              <w:left w:val="single" w:sz="4" w:space="0" w:color="auto"/>
              <w:bottom w:val="single" w:sz="4" w:space="0" w:color="auto"/>
              <w:right w:val="single" w:sz="4" w:space="0" w:color="auto"/>
            </w:tcBorders>
            <w:shd w:val="clear" w:color="auto" w:fill="auto"/>
            <w:noWrap/>
            <w:vAlign w:val="center"/>
            <w:hideMark/>
          </w:tcPr>
          <w:p w14:paraId="5C0F8C89" w14:textId="77777777" w:rsidR="001B0231" w:rsidRPr="004A5BF7" w:rsidRDefault="001B0231" w:rsidP="00422AA4">
            <w:pPr>
              <w:spacing w:before="0" w:after="0"/>
              <w:jc w:val="left"/>
              <w:rPr>
                <w:rFonts w:cs="Arial"/>
                <w:color w:val="000000"/>
                <w:sz w:val="18"/>
                <w:szCs w:val="18"/>
                <w:lang w:val="en-AU" w:eastAsia="en-AU"/>
              </w:rPr>
            </w:pPr>
            <w:r w:rsidRPr="004A5BF7">
              <w:rPr>
                <w:rFonts w:cs="Arial"/>
                <w:color w:val="000000"/>
                <w:sz w:val="18"/>
                <w:szCs w:val="18"/>
                <w:lang w:val="en-AU" w:eastAsia="en-AU"/>
              </w:rPr>
              <w:t>Cape York</w:t>
            </w:r>
          </w:p>
        </w:tc>
        <w:tc>
          <w:tcPr>
            <w:tcW w:w="939" w:type="dxa"/>
            <w:tcBorders>
              <w:top w:val="nil"/>
              <w:left w:val="nil"/>
              <w:bottom w:val="single" w:sz="4" w:space="0" w:color="auto"/>
              <w:right w:val="single" w:sz="4" w:space="0" w:color="auto"/>
            </w:tcBorders>
            <w:shd w:val="clear" w:color="auto" w:fill="auto"/>
            <w:noWrap/>
            <w:vAlign w:val="bottom"/>
          </w:tcPr>
          <w:p w14:paraId="5B8F5C7A" w14:textId="6A70F1FB" w:rsidR="001B0231" w:rsidRPr="004A5BF7" w:rsidRDefault="001B0231" w:rsidP="004A5BF7">
            <w:pPr>
              <w:spacing w:before="0" w:after="0"/>
              <w:jc w:val="center"/>
              <w:rPr>
                <w:rFonts w:cs="Arial"/>
                <w:color w:val="000000"/>
                <w:sz w:val="18"/>
                <w:szCs w:val="18"/>
                <w:lang w:val="en-AU" w:eastAsia="en-AU"/>
              </w:rPr>
            </w:pPr>
            <w:r w:rsidRPr="004A5BF7">
              <w:rPr>
                <w:sz w:val="18"/>
                <w:szCs w:val="18"/>
                <w:lang w:val="en-AU"/>
              </w:rPr>
              <w:t>9</w:t>
            </w:r>
            <w:r w:rsidR="008936EF">
              <w:rPr>
                <w:sz w:val="18"/>
                <w:szCs w:val="18"/>
                <w:lang w:val="en-AU"/>
              </w:rPr>
              <w:t>1</w:t>
            </w:r>
          </w:p>
        </w:tc>
        <w:tc>
          <w:tcPr>
            <w:tcW w:w="1028" w:type="dxa"/>
            <w:tcBorders>
              <w:top w:val="nil"/>
              <w:left w:val="nil"/>
              <w:bottom w:val="single" w:sz="4" w:space="0" w:color="auto"/>
              <w:right w:val="single" w:sz="4" w:space="0" w:color="auto"/>
            </w:tcBorders>
            <w:shd w:val="clear" w:color="auto" w:fill="auto"/>
            <w:noWrap/>
            <w:vAlign w:val="bottom"/>
          </w:tcPr>
          <w:p w14:paraId="25DBA610" w14:textId="5B2B31A7" w:rsidR="001B0231" w:rsidRPr="004A5BF7" w:rsidRDefault="001B0231" w:rsidP="004A5BF7">
            <w:pPr>
              <w:spacing w:before="0" w:after="0"/>
              <w:jc w:val="center"/>
              <w:rPr>
                <w:rFonts w:cs="Arial"/>
                <w:color w:val="000000"/>
                <w:sz w:val="18"/>
                <w:szCs w:val="18"/>
                <w:lang w:val="en-AU" w:eastAsia="en-AU"/>
              </w:rPr>
            </w:pPr>
            <w:r w:rsidRPr="004A5BF7">
              <w:rPr>
                <w:sz w:val="18"/>
                <w:szCs w:val="18"/>
                <w:lang w:val="en-AU"/>
              </w:rPr>
              <w:t>24</w:t>
            </w:r>
          </w:p>
        </w:tc>
        <w:tc>
          <w:tcPr>
            <w:tcW w:w="1213" w:type="dxa"/>
            <w:tcBorders>
              <w:top w:val="nil"/>
              <w:left w:val="nil"/>
              <w:bottom w:val="single" w:sz="4" w:space="0" w:color="auto"/>
              <w:right w:val="single" w:sz="4" w:space="0" w:color="auto"/>
            </w:tcBorders>
            <w:shd w:val="clear" w:color="auto" w:fill="auto"/>
            <w:noWrap/>
            <w:vAlign w:val="bottom"/>
          </w:tcPr>
          <w:p w14:paraId="767E834F" w14:textId="742E0289" w:rsidR="001B0231" w:rsidRPr="004A5BF7" w:rsidRDefault="001B0231" w:rsidP="004A5BF7">
            <w:pPr>
              <w:spacing w:before="0" w:after="0"/>
              <w:jc w:val="center"/>
              <w:rPr>
                <w:rFonts w:cs="Arial"/>
                <w:color w:val="000000"/>
                <w:sz w:val="18"/>
                <w:szCs w:val="18"/>
                <w:lang w:val="en-AU" w:eastAsia="en-AU"/>
              </w:rPr>
            </w:pPr>
            <w:r w:rsidRPr="004A5BF7">
              <w:rPr>
                <w:sz w:val="18"/>
                <w:szCs w:val="18"/>
                <w:lang w:val="en-AU"/>
              </w:rPr>
              <w:t>1</w:t>
            </w:r>
          </w:p>
        </w:tc>
        <w:tc>
          <w:tcPr>
            <w:tcW w:w="939" w:type="dxa"/>
            <w:tcBorders>
              <w:top w:val="nil"/>
              <w:left w:val="nil"/>
              <w:bottom w:val="single" w:sz="4" w:space="0" w:color="auto"/>
              <w:right w:val="single" w:sz="4" w:space="0" w:color="auto"/>
            </w:tcBorders>
            <w:shd w:val="clear" w:color="auto" w:fill="auto"/>
            <w:noWrap/>
            <w:vAlign w:val="bottom"/>
          </w:tcPr>
          <w:p w14:paraId="6E80632F" w14:textId="49EC2184" w:rsidR="001B0231" w:rsidRPr="004A5BF7" w:rsidRDefault="001B0231" w:rsidP="004A5BF7">
            <w:pPr>
              <w:spacing w:before="0" w:after="0"/>
              <w:jc w:val="center"/>
              <w:rPr>
                <w:rFonts w:cs="Arial"/>
                <w:color w:val="000000"/>
                <w:sz w:val="18"/>
                <w:szCs w:val="18"/>
                <w:lang w:val="en-AU" w:eastAsia="en-AU"/>
              </w:rPr>
            </w:pPr>
            <w:r w:rsidRPr="004A5BF7">
              <w:rPr>
                <w:sz w:val="18"/>
                <w:szCs w:val="18"/>
                <w:lang w:val="en-AU"/>
              </w:rPr>
              <w:t>46</w:t>
            </w:r>
            <w:r w:rsidR="008936EF" w:rsidRPr="008936EF" w:rsidDel="008936EF">
              <w:rPr>
                <w:sz w:val="18"/>
                <w:szCs w:val="18"/>
                <w:lang w:val="en-AU"/>
              </w:rPr>
              <w:t xml:space="preserve"> </w:t>
            </w:r>
          </w:p>
        </w:tc>
        <w:tc>
          <w:tcPr>
            <w:tcW w:w="1028" w:type="dxa"/>
            <w:tcBorders>
              <w:top w:val="nil"/>
              <w:left w:val="nil"/>
              <w:bottom w:val="single" w:sz="4" w:space="0" w:color="auto"/>
              <w:right w:val="single" w:sz="4" w:space="0" w:color="auto"/>
            </w:tcBorders>
            <w:shd w:val="clear" w:color="auto" w:fill="auto"/>
            <w:noWrap/>
            <w:vAlign w:val="bottom"/>
          </w:tcPr>
          <w:p w14:paraId="4E69FB15" w14:textId="12AA6C30" w:rsidR="001B0231" w:rsidRPr="004A5BF7" w:rsidRDefault="001B0231" w:rsidP="004A5BF7">
            <w:pPr>
              <w:spacing w:before="0" w:after="0"/>
              <w:jc w:val="center"/>
              <w:rPr>
                <w:rFonts w:cs="Arial"/>
                <w:color w:val="000000"/>
                <w:sz w:val="18"/>
                <w:szCs w:val="18"/>
                <w:lang w:val="en-AU" w:eastAsia="en-AU"/>
              </w:rPr>
            </w:pPr>
            <w:r w:rsidRPr="004A5BF7">
              <w:rPr>
                <w:sz w:val="18"/>
                <w:szCs w:val="18"/>
                <w:lang w:val="en-AU"/>
              </w:rPr>
              <w:t>6</w:t>
            </w:r>
          </w:p>
        </w:tc>
        <w:tc>
          <w:tcPr>
            <w:tcW w:w="1315" w:type="dxa"/>
            <w:tcBorders>
              <w:top w:val="nil"/>
              <w:left w:val="nil"/>
              <w:bottom w:val="single" w:sz="4" w:space="0" w:color="auto"/>
              <w:right w:val="single" w:sz="4" w:space="0" w:color="auto"/>
            </w:tcBorders>
            <w:shd w:val="clear" w:color="auto" w:fill="auto"/>
            <w:noWrap/>
            <w:vAlign w:val="bottom"/>
          </w:tcPr>
          <w:p w14:paraId="52D23BF4" w14:textId="508C0522" w:rsidR="001B0231" w:rsidRPr="004A5BF7" w:rsidRDefault="008936EF" w:rsidP="004A5BF7">
            <w:pPr>
              <w:spacing w:before="0" w:after="0"/>
              <w:jc w:val="center"/>
              <w:rPr>
                <w:rFonts w:cs="Arial"/>
                <w:color w:val="000000"/>
                <w:sz w:val="18"/>
                <w:szCs w:val="18"/>
                <w:lang w:val="en-AU" w:eastAsia="en-AU"/>
              </w:rPr>
            </w:pPr>
            <w:r>
              <w:rPr>
                <w:sz w:val="18"/>
                <w:szCs w:val="18"/>
                <w:lang w:val="en-AU"/>
              </w:rPr>
              <w:t>7</w:t>
            </w:r>
          </w:p>
        </w:tc>
      </w:tr>
      <w:tr w:rsidR="001B0231" w:rsidRPr="00B43F3B" w14:paraId="320A0AD8" w14:textId="77777777" w:rsidTr="004A5BF7">
        <w:trPr>
          <w:trHeight w:val="300"/>
        </w:trPr>
        <w:tc>
          <w:tcPr>
            <w:tcW w:w="2080" w:type="dxa"/>
            <w:tcBorders>
              <w:top w:val="nil"/>
              <w:left w:val="single" w:sz="4" w:space="0" w:color="auto"/>
              <w:bottom w:val="single" w:sz="4" w:space="0" w:color="auto"/>
              <w:right w:val="single" w:sz="4" w:space="0" w:color="auto"/>
            </w:tcBorders>
            <w:shd w:val="clear" w:color="auto" w:fill="auto"/>
            <w:noWrap/>
            <w:vAlign w:val="center"/>
            <w:hideMark/>
          </w:tcPr>
          <w:p w14:paraId="1634156A" w14:textId="77777777" w:rsidR="001B0231" w:rsidRPr="004A5BF7" w:rsidRDefault="001B0231" w:rsidP="00422AA4">
            <w:pPr>
              <w:spacing w:before="0" w:after="0"/>
              <w:jc w:val="left"/>
              <w:rPr>
                <w:rFonts w:cs="Arial"/>
                <w:color w:val="000000"/>
                <w:sz w:val="18"/>
                <w:szCs w:val="18"/>
                <w:lang w:val="en-AU" w:eastAsia="en-AU"/>
              </w:rPr>
            </w:pPr>
            <w:r w:rsidRPr="004A5BF7">
              <w:rPr>
                <w:rFonts w:cs="Arial"/>
                <w:color w:val="000000"/>
                <w:sz w:val="18"/>
                <w:szCs w:val="18"/>
                <w:lang w:val="en-AU" w:eastAsia="en-AU"/>
              </w:rPr>
              <w:t>Wet Tropics</w:t>
            </w:r>
          </w:p>
        </w:tc>
        <w:tc>
          <w:tcPr>
            <w:tcW w:w="939" w:type="dxa"/>
            <w:tcBorders>
              <w:top w:val="nil"/>
              <w:left w:val="nil"/>
              <w:bottom w:val="single" w:sz="4" w:space="0" w:color="auto"/>
              <w:right w:val="single" w:sz="4" w:space="0" w:color="auto"/>
            </w:tcBorders>
            <w:shd w:val="clear" w:color="auto" w:fill="auto"/>
            <w:noWrap/>
            <w:vAlign w:val="bottom"/>
          </w:tcPr>
          <w:p w14:paraId="67264871" w14:textId="3C5AB185" w:rsidR="001B0231" w:rsidRPr="004A5BF7" w:rsidRDefault="001B0231" w:rsidP="004A5BF7">
            <w:pPr>
              <w:spacing w:before="0" w:after="0"/>
              <w:jc w:val="center"/>
              <w:rPr>
                <w:rFonts w:cs="Arial"/>
                <w:color w:val="000000"/>
                <w:sz w:val="18"/>
                <w:szCs w:val="18"/>
                <w:lang w:val="en-AU" w:eastAsia="en-AU"/>
              </w:rPr>
            </w:pPr>
            <w:r w:rsidRPr="004A5BF7">
              <w:rPr>
                <w:sz w:val="18"/>
                <w:szCs w:val="18"/>
                <w:lang w:val="en-AU"/>
              </w:rPr>
              <w:t>93</w:t>
            </w:r>
          </w:p>
        </w:tc>
        <w:tc>
          <w:tcPr>
            <w:tcW w:w="1028" w:type="dxa"/>
            <w:tcBorders>
              <w:top w:val="nil"/>
              <w:left w:val="nil"/>
              <w:bottom w:val="single" w:sz="4" w:space="0" w:color="auto"/>
              <w:right w:val="single" w:sz="4" w:space="0" w:color="auto"/>
            </w:tcBorders>
            <w:shd w:val="clear" w:color="auto" w:fill="auto"/>
            <w:noWrap/>
            <w:vAlign w:val="bottom"/>
          </w:tcPr>
          <w:p w14:paraId="42B5F516" w14:textId="14DEBD5F" w:rsidR="001B0231" w:rsidRPr="004A5BF7" w:rsidRDefault="001B0231" w:rsidP="004A5BF7">
            <w:pPr>
              <w:spacing w:before="0" w:after="0"/>
              <w:jc w:val="center"/>
              <w:rPr>
                <w:rFonts w:cs="Arial"/>
                <w:color w:val="000000"/>
                <w:sz w:val="18"/>
                <w:szCs w:val="18"/>
                <w:lang w:val="en-AU" w:eastAsia="en-AU"/>
              </w:rPr>
            </w:pPr>
            <w:r w:rsidRPr="004A5BF7">
              <w:rPr>
                <w:sz w:val="18"/>
                <w:szCs w:val="18"/>
                <w:lang w:val="en-AU"/>
              </w:rPr>
              <w:t>2</w:t>
            </w:r>
            <w:r w:rsidR="008936EF">
              <w:rPr>
                <w:sz w:val="18"/>
                <w:szCs w:val="18"/>
                <w:lang w:val="en-AU"/>
              </w:rPr>
              <w:t>3</w:t>
            </w:r>
          </w:p>
        </w:tc>
        <w:tc>
          <w:tcPr>
            <w:tcW w:w="1213" w:type="dxa"/>
            <w:tcBorders>
              <w:top w:val="nil"/>
              <w:left w:val="nil"/>
              <w:bottom w:val="single" w:sz="4" w:space="0" w:color="auto"/>
              <w:right w:val="single" w:sz="4" w:space="0" w:color="auto"/>
            </w:tcBorders>
            <w:shd w:val="clear" w:color="auto" w:fill="auto"/>
            <w:noWrap/>
            <w:vAlign w:val="bottom"/>
          </w:tcPr>
          <w:p w14:paraId="59882542" w14:textId="3A11FE58" w:rsidR="001B0231" w:rsidRPr="004A5BF7" w:rsidRDefault="008936EF" w:rsidP="004A5BF7">
            <w:pPr>
              <w:spacing w:before="0" w:after="0"/>
              <w:jc w:val="center"/>
              <w:rPr>
                <w:rFonts w:cs="Arial"/>
                <w:color w:val="000000"/>
                <w:sz w:val="18"/>
                <w:szCs w:val="18"/>
                <w:lang w:val="en-AU" w:eastAsia="en-AU"/>
              </w:rPr>
            </w:pPr>
            <w:r>
              <w:rPr>
                <w:sz w:val="18"/>
                <w:szCs w:val="18"/>
                <w:lang w:val="en-AU"/>
              </w:rPr>
              <w:t>&lt;1</w:t>
            </w:r>
          </w:p>
        </w:tc>
        <w:tc>
          <w:tcPr>
            <w:tcW w:w="939" w:type="dxa"/>
            <w:tcBorders>
              <w:top w:val="nil"/>
              <w:left w:val="nil"/>
              <w:bottom w:val="single" w:sz="4" w:space="0" w:color="auto"/>
              <w:right w:val="single" w:sz="4" w:space="0" w:color="auto"/>
            </w:tcBorders>
            <w:shd w:val="clear" w:color="auto" w:fill="auto"/>
            <w:noWrap/>
            <w:vAlign w:val="bottom"/>
          </w:tcPr>
          <w:p w14:paraId="570A2DC4" w14:textId="735C882D" w:rsidR="001B0231" w:rsidRPr="004A5BF7" w:rsidRDefault="001B0231" w:rsidP="004A5BF7">
            <w:pPr>
              <w:spacing w:before="0" w:after="0"/>
              <w:jc w:val="center"/>
              <w:rPr>
                <w:rFonts w:cs="Arial"/>
                <w:color w:val="000000"/>
                <w:sz w:val="18"/>
                <w:szCs w:val="18"/>
                <w:lang w:val="en-AU" w:eastAsia="en-AU"/>
              </w:rPr>
            </w:pPr>
            <w:r w:rsidRPr="004A5BF7">
              <w:rPr>
                <w:sz w:val="18"/>
                <w:szCs w:val="18"/>
                <w:lang w:val="en-AU"/>
              </w:rPr>
              <w:t>40</w:t>
            </w:r>
          </w:p>
        </w:tc>
        <w:tc>
          <w:tcPr>
            <w:tcW w:w="1028" w:type="dxa"/>
            <w:tcBorders>
              <w:top w:val="nil"/>
              <w:left w:val="nil"/>
              <w:bottom w:val="single" w:sz="4" w:space="0" w:color="auto"/>
              <w:right w:val="single" w:sz="4" w:space="0" w:color="auto"/>
            </w:tcBorders>
            <w:shd w:val="clear" w:color="auto" w:fill="auto"/>
            <w:noWrap/>
            <w:vAlign w:val="bottom"/>
          </w:tcPr>
          <w:p w14:paraId="3C8A9B69" w14:textId="269CB973" w:rsidR="001B0231" w:rsidRPr="004A5BF7" w:rsidRDefault="008936EF" w:rsidP="004A5BF7">
            <w:pPr>
              <w:spacing w:before="0" w:after="0"/>
              <w:jc w:val="center"/>
              <w:rPr>
                <w:rFonts w:cs="Arial"/>
                <w:color w:val="000000"/>
                <w:sz w:val="18"/>
                <w:szCs w:val="18"/>
                <w:lang w:val="en-AU" w:eastAsia="en-AU"/>
              </w:rPr>
            </w:pPr>
            <w:r>
              <w:rPr>
                <w:sz w:val="18"/>
                <w:szCs w:val="18"/>
                <w:lang w:val="en-AU"/>
              </w:rPr>
              <w:t>5</w:t>
            </w:r>
          </w:p>
        </w:tc>
        <w:tc>
          <w:tcPr>
            <w:tcW w:w="1315" w:type="dxa"/>
            <w:tcBorders>
              <w:top w:val="nil"/>
              <w:left w:val="nil"/>
              <w:bottom w:val="single" w:sz="4" w:space="0" w:color="auto"/>
              <w:right w:val="single" w:sz="4" w:space="0" w:color="auto"/>
            </w:tcBorders>
            <w:shd w:val="clear" w:color="auto" w:fill="auto"/>
            <w:noWrap/>
            <w:vAlign w:val="bottom"/>
          </w:tcPr>
          <w:p w14:paraId="2C78D181" w14:textId="1ACAF3DD" w:rsidR="001B0231" w:rsidRPr="004A5BF7" w:rsidRDefault="008936EF" w:rsidP="004A5BF7">
            <w:pPr>
              <w:spacing w:before="0" w:after="0"/>
              <w:jc w:val="center"/>
              <w:rPr>
                <w:rFonts w:cs="Arial"/>
                <w:color w:val="000000"/>
                <w:sz w:val="18"/>
                <w:szCs w:val="18"/>
                <w:lang w:val="en-AU" w:eastAsia="en-AU"/>
              </w:rPr>
            </w:pPr>
            <w:r>
              <w:rPr>
                <w:sz w:val="18"/>
                <w:szCs w:val="18"/>
                <w:lang w:val="en-AU"/>
              </w:rPr>
              <w:t>&lt;1</w:t>
            </w:r>
          </w:p>
        </w:tc>
      </w:tr>
      <w:tr w:rsidR="001B0231" w:rsidRPr="00B43F3B" w14:paraId="71B41830" w14:textId="77777777" w:rsidTr="004A5BF7">
        <w:trPr>
          <w:trHeight w:val="300"/>
        </w:trPr>
        <w:tc>
          <w:tcPr>
            <w:tcW w:w="2080" w:type="dxa"/>
            <w:tcBorders>
              <w:top w:val="nil"/>
              <w:left w:val="single" w:sz="4" w:space="0" w:color="auto"/>
              <w:bottom w:val="single" w:sz="4" w:space="0" w:color="auto"/>
              <w:right w:val="single" w:sz="4" w:space="0" w:color="auto"/>
            </w:tcBorders>
            <w:shd w:val="clear" w:color="auto" w:fill="auto"/>
            <w:noWrap/>
            <w:vAlign w:val="center"/>
            <w:hideMark/>
          </w:tcPr>
          <w:p w14:paraId="464ED729" w14:textId="77777777" w:rsidR="001B0231" w:rsidRPr="004A5BF7" w:rsidRDefault="001B0231" w:rsidP="00422AA4">
            <w:pPr>
              <w:spacing w:before="0" w:after="0"/>
              <w:jc w:val="left"/>
              <w:rPr>
                <w:rFonts w:cs="Arial"/>
                <w:color w:val="000000"/>
                <w:sz w:val="18"/>
                <w:szCs w:val="18"/>
                <w:lang w:val="en-AU" w:eastAsia="en-AU"/>
              </w:rPr>
            </w:pPr>
            <w:r w:rsidRPr="004A5BF7">
              <w:rPr>
                <w:rFonts w:cs="Arial"/>
                <w:color w:val="000000"/>
                <w:sz w:val="18"/>
                <w:szCs w:val="18"/>
                <w:lang w:val="en-AU" w:eastAsia="en-AU"/>
              </w:rPr>
              <w:t>Burdekin</w:t>
            </w:r>
          </w:p>
        </w:tc>
        <w:tc>
          <w:tcPr>
            <w:tcW w:w="939" w:type="dxa"/>
            <w:tcBorders>
              <w:top w:val="nil"/>
              <w:left w:val="nil"/>
              <w:bottom w:val="single" w:sz="4" w:space="0" w:color="auto"/>
              <w:right w:val="single" w:sz="4" w:space="0" w:color="auto"/>
            </w:tcBorders>
            <w:shd w:val="clear" w:color="auto" w:fill="auto"/>
            <w:noWrap/>
            <w:vAlign w:val="bottom"/>
          </w:tcPr>
          <w:p w14:paraId="59A11FCD" w14:textId="5C302D04" w:rsidR="001B0231" w:rsidRPr="004A5BF7" w:rsidRDefault="001B0231" w:rsidP="004A5BF7">
            <w:pPr>
              <w:spacing w:before="0" w:after="0"/>
              <w:jc w:val="center"/>
              <w:rPr>
                <w:rFonts w:cs="Arial"/>
                <w:color w:val="000000"/>
                <w:sz w:val="18"/>
                <w:szCs w:val="18"/>
                <w:lang w:val="en-AU" w:eastAsia="en-AU"/>
              </w:rPr>
            </w:pPr>
            <w:r w:rsidRPr="004A5BF7">
              <w:rPr>
                <w:sz w:val="18"/>
                <w:szCs w:val="18"/>
                <w:lang w:val="en-AU"/>
              </w:rPr>
              <w:t>71</w:t>
            </w:r>
          </w:p>
        </w:tc>
        <w:tc>
          <w:tcPr>
            <w:tcW w:w="1028" w:type="dxa"/>
            <w:tcBorders>
              <w:top w:val="nil"/>
              <w:left w:val="nil"/>
              <w:bottom w:val="single" w:sz="4" w:space="0" w:color="auto"/>
              <w:right w:val="single" w:sz="4" w:space="0" w:color="auto"/>
            </w:tcBorders>
            <w:shd w:val="clear" w:color="auto" w:fill="auto"/>
            <w:noWrap/>
            <w:vAlign w:val="bottom"/>
          </w:tcPr>
          <w:p w14:paraId="154DE87F" w14:textId="6BC4FC22" w:rsidR="001B0231" w:rsidRPr="004A5BF7" w:rsidRDefault="008936EF" w:rsidP="004A5BF7">
            <w:pPr>
              <w:spacing w:before="0" w:after="0"/>
              <w:jc w:val="center"/>
              <w:rPr>
                <w:rFonts w:cs="Arial"/>
                <w:color w:val="000000"/>
                <w:sz w:val="18"/>
                <w:szCs w:val="18"/>
                <w:lang w:val="en-AU" w:eastAsia="en-AU"/>
              </w:rPr>
            </w:pPr>
            <w:r>
              <w:rPr>
                <w:sz w:val="18"/>
                <w:szCs w:val="18"/>
                <w:lang w:val="en-AU"/>
              </w:rPr>
              <w:t>6</w:t>
            </w:r>
          </w:p>
        </w:tc>
        <w:tc>
          <w:tcPr>
            <w:tcW w:w="1213" w:type="dxa"/>
            <w:tcBorders>
              <w:top w:val="nil"/>
              <w:left w:val="nil"/>
              <w:bottom w:val="single" w:sz="4" w:space="0" w:color="auto"/>
              <w:right w:val="single" w:sz="4" w:space="0" w:color="auto"/>
            </w:tcBorders>
            <w:shd w:val="clear" w:color="auto" w:fill="auto"/>
            <w:noWrap/>
            <w:vAlign w:val="bottom"/>
          </w:tcPr>
          <w:p w14:paraId="68DD0EA0" w14:textId="752F0BA2" w:rsidR="001B0231" w:rsidRPr="004A5BF7" w:rsidRDefault="008936EF" w:rsidP="004A5BF7">
            <w:pPr>
              <w:spacing w:before="0" w:after="0"/>
              <w:jc w:val="center"/>
              <w:rPr>
                <w:rFonts w:cs="Arial"/>
                <w:color w:val="000000"/>
                <w:sz w:val="18"/>
                <w:szCs w:val="18"/>
                <w:lang w:val="en-AU" w:eastAsia="en-AU"/>
              </w:rPr>
            </w:pPr>
            <w:r>
              <w:rPr>
                <w:sz w:val="18"/>
                <w:szCs w:val="18"/>
                <w:lang w:val="en-AU"/>
              </w:rPr>
              <w:t>&lt;1</w:t>
            </w:r>
          </w:p>
        </w:tc>
        <w:tc>
          <w:tcPr>
            <w:tcW w:w="939" w:type="dxa"/>
            <w:tcBorders>
              <w:top w:val="nil"/>
              <w:left w:val="nil"/>
              <w:bottom w:val="single" w:sz="4" w:space="0" w:color="auto"/>
              <w:right w:val="single" w:sz="4" w:space="0" w:color="auto"/>
            </w:tcBorders>
            <w:shd w:val="clear" w:color="auto" w:fill="auto"/>
            <w:noWrap/>
            <w:vAlign w:val="bottom"/>
          </w:tcPr>
          <w:p w14:paraId="0386FCB3" w14:textId="192E9D1B" w:rsidR="001B0231" w:rsidRPr="004A5BF7" w:rsidRDefault="001B0231" w:rsidP="004A5BF7">
            <w:pPr>
              <w:spacing w:before="0" w:after="0"/>
              <w:jc w:val="center"/>
              <w:rPr>
                <w:rFonts w:cs="Arial"/>
                <w:color w:val="000000"/>
                <w:sz w:val="18"/>
                <w:szCs w:val="18"/>
                <w:lang w:val="en-AU" w:eastAsia="en-AU"/>
              </w:rPr>
            </w:pPr>
            <w:r w:rsidRPr="004A5BF7">
              <w:rPr>
                <w:sz w:val="18"/>
                <w:szCs w:val="18"/>
                <w:lang w:val="en-AU"/>
              </w:rPr>
              <w:t>4</w:t>
            </w:r>
            <w:r w:rsidR="008936EF">
              <w:rPr>
                <w:sz w:val="18"/>
                <w:szCs w:val="18"/>
                <w:lang w:val="en-AU"/>
              </w:rPr>
              <w:t>4</w:t>
            </w:r>
          </w:p>
        </w:tc>
        <w:tc>
          <w:tcPr>
            <w:tcW w:w="1028" w:type="dxa"/>
            <w:tcBorders>
              <w:top w:val="nil"/>
              <w:left w:val="nil"/>
              <w:bottom w:val="single" w:sz="4" w:space="0" w:color="auto"/>
              <w:right w:val="single" w:sz="4" w:space="0" w:color="auto"/>
            </w:tcBorders>
            <w:shd w:val="clear" w:color="auto" w:fill="auto"/>
            <w:noWrap/>
            <w:vAlign w:val="bottom"/>
          </w:tcPr>
          <w:p w14:paraId="6C991A12" w14:textId="150690D5" w:rsidR="001B0231" w:rsidRPr="004A5BF7" w:rsidRDefault="008936EF" w:rsidP="004A5BF7">
            <w:pPr>
              <w:spacing w:before="0" w:after="0"/>
              <w:jc w:val="center"/>
              <w:rPr>
                <w:rFonts w:cs="Arial"/>
                <w:color w:val="000000"/>
                <w:sz w:val="18"/>
                <w:szCs w:val="18"/>
                <w:lang w:val="en-AU" w:eastAsia="en-AU"/>
              </w:rPr>
            </w:pPr>
            <w:r>
              <w:rPr>
                <w:sz w:val="18"/>
                <w:szCs w:val="18"/>
                <w:lang w:val="en-AU"/>
              </w:rPr>
              <w:t>&lt;1</w:t>
            </w:r>
          </w:p>
        </w:tc>
        <w:tc>
          <w:tcPr>
            <w:tcW w:w="1315" w:type="dxa"/>
            <w:tcBorders>
              <w:top w:val="nil"/>
              <w:left w:val="nil"/>
              <w:bottom w:val="single" w:sz="4" w:space="0" w:color="auto"/>
              <w:right w:val="single" w:sz="4" w:space="0" w:color="auto"/>
            </w:tcBorders>
            <w:shd w:val="clear" w:color="auto" w:fill="auto"/>
            <w:noWrap/>
            <w:vAlign w:val="bottom"/>
          </w:tcPr>
          <w:p w14:paraId="488A0379" w14:textId="7C05881A" w:rsidR="001B0231" w:rsidRPr="004A5BF7" w:rsidRDefault="008936EF" w:rsidP="004A5BF7">
            <w:pPr>
              <w:spacing w:before="0" w:after="0"/>
              <w:jc w:val="center"/>
              <w:rPr>
                <w:rFonts w:cs="Arial"/>
                <w:color w:val="000000"/>
                <w:sz w:val="18"/>
                <w:szCs w:val="18"/>
                <w:lang w:val="en-AU" w:eastAsia="en-AU"/>
              </w:rPr>
            </w:pPr>
            <w:r>
              <w:rPr>
                <w:sz w:val="18"/>
                <w:szCs w:val="18"/>
                <w:lang w:val="en-AU"/>
              </w:rPr>
              <w:t>0</w:t>
            </w:r>
          </w:p>
        </w:tc>
      </w:tr>
      <w:tr w:rsidR="001B0231" w:rsidRPr="00B43F3B" w14:paraId="6F14A4AF" w14:textId="77777777" w:rsidTr="004A5BF7">
        <w:trPr>
          <w:trHeight w:val="300"/>
        </w:trPr>
        <w:tc>
          <w:tcPr>
            <w:tcW w:w="2080" w:type="dxa"/>
            <w:tcBorders>
              <w:top w:val="nil"/>
              <w:left w:val="single" w:sz="4" w:space="0" w:color="auto"/>
              <w:bottom w:val="single" w:sz="4" w:space="0" w:color="auto"/>
              <w:right w:val="single" w:sz="4" w:space="0" w:color="auto"/>
            </w:tcBorders>
            <w:shd w:val="clear" w:color="auto" w:fill="auto"/>
            <w:noWrap/>
            <w:vAlign w:val="center"/>
            <w:hideMark/>
          </w:tcPr>
          <w:p w14:paraId="2510E479" w14:textId="77777777" w:rsidR="001B0231" w:rsidRPr="004A5BF7" w:rsidRDefault="001B0231" w:rsidP="00422AA4">
            <w:pPr>
              <w:spacing w:before="0" w:after="0"/>
              <w:jc w:val="left"/>
              <w:rPr>
                <w:rFonts w:cs="Arial"/>
                <w:color w:val="000000"/>
                <w:sz w:val="18"/>
                <w:szCs w:val="18"/>
                <w:lang w:val="en-AU" w:eastAsia="en-AU"/>
              </w:rPr>
            </w:pPr>
            <w:r w:rsidRPr="004A5BF7">
              <w:rPr>
                <w:rFonts w:cs="Arial"/>
                <w:color w:val="000000"/>
                <w:sz w:val="18"/>
                <w:szCs w:val="18"/>
                <w:lang w:val="en-AU" w:eastAsia="en-AU"/>
              </w:rPr>
              <w:t>Mackay Whitsunday</w:t>
            </w:r>
          </w:p>
        </w:tc>
        <w:tc>
          <w:tcPr>
            <w:tcW w:w="939" w:type="dxa"/>
            <w:tcBorders>
              <w:top w:val="nil"/>
              <w:left w:val="nil"/>
              <w:bottom w:val="single" w:sz="4" w:space="0" w:color="auto"/>
              <w:right w:val="single" w:sz="4" w:space="0" w:color="auto"/>
            </w:tcBorders>
            <w:shd w:val="clear" w:color="auto" w:fill="auto"/>
            <w:noWrap/>
            <w:vAlign w:val="bottom"/>
          </w:tcPr>
          <w:p w14:paraId="1419B354" w14:textId="7B05E6D5" w:rsidR="001B0231" w:rsidRPr="004A5BF7" w:rsidRDefault="001B0231" w:rsidP="004A5BF7">
            <w:pPr>
              <w:spacing w:before="0" w:after="0"/>
              <w:jc w:val="center"/>
              <w:rPr>
                <w:rFonts w:cs="Arial"/>
                <w:color w:val="000000"/>
                <w:sz w:val="18"/>
                <w:szCs w:val="18"/>
                <w:lang w:val="en-AU" w:eastAsia="en-AU"/>
              </w:rPr>
            </w:pPr>
            <w:r w:rsidRPr="004A5BF7">
              <w:rPr>
                <w:sz w:val="18"/>
                <w:szCs w:val="18"/>
                <w:lang w:val="en-AU"/>
              </w:rPr>
              <w:t>5</w:t>
            </w:r>
            <w:r w:rsidR="008936EF">
              <w:rPr>
                <w:sz w:val="18"/>
                <w:szCs w:val="18"/>
                <w:lang w:val="en-AU"/>
              </w:rPr>
              <w:t>3</w:t>
            </w:r>
          </w:p>
        </w:tc>
        <w:tc>
          <w:tcPr>
            <w:tcW w:w="1028" w:type="dxa"/>
            <w:tcBorders>
              <w:top w:val="nil"/>
              <w:left w:val="nil"/>
              <w:bottom w:val="single" w:sz="4" w:space="0" w:color="auto"/>
              <w:right w:val="single" w:sz="4" w:space="0" w:color="auto"/>
            </w:tcBorders>
            <w:shd w:val="clear" w:color="auto" w:fill="auto"/>
            <w:noWrap/>
            <w:vAlign w:val="bottom"/>
          </w:tcPr>
          <w:p w14:paraId="390147ED" w14:textId="277DBCE2" w:rsidR="001B0231" w:rsidRPr="004A5BF7" w:rsidRDefault="001B0231" w:rsidP="004A5BF7">
            <w:pPr>
              <w:spacing w:before="0" w:after="0"/>
              <w:jc w:val="center"/>
              <w:rPr>
                <w:rFonts w:cs="Arial"/>
                <w:color w:val="000000"/>
                <w:sz w:val="18"/>
                <w:szCs w:val="18"/>
                <w:lang w:val="en-AU" w:eastAsia="en-AU"/>
              </w:rPr>
            </w:pPr>
            <w:r w:rsidRPr="004A5BF7">
              <w:rPr>
                <w:sz w:val="18"/>
                <w:szCs w:val="18"/>
                <w:lang w:val="en-AU"/>
              </w:rPr>
              <w:t>7</w:t>
            </w:r>
          </w:p>
        </w:tc>
        <w:tc>
          <w:tcPr>
            <w:tcW w:w="1213" w:type="dxa"/>
            <w:tcBorders>
              <w:top w:val="nil"/>
              <w:left w:val="nil"/>
              <w:bottom w:val="single" w:sz="4" w:space="0" w:color="auto"/>
              <w:right w:val="single" w:sz="4" w:space="0" w:color="auto"/>
            </w:tcBorders>
            <w:shd w:val="clear" w:color="auto" w:fill="auto"/>
            <w:noWrap/>
            <w:vAlign w:val="bottom"/>
          </w:tcPr>
          <w:p w14:paraId="01312199" w14:textId="02ACFE11" w:rsidR="001B0231" w:rsidRPr="004A5BF7" w:rsidRDefault="008936EF" w:rsidP="004A5BF7">
            <w:pPr>
              <w:spacing w:before="0" w:after="0"/>
              <w:jc w:val="center"/>
              <w:rPr>
                <w:rFonts w:cs="Arial"/>
                <w:color w:val="000000"/>
                <w:sz w:val="18"/>
                <w:szCs w:val="18"/>
                <w:lang w:val="en-AU" w:eastAsia="en-AU"/>
              </w:rPr>
            </w:pPr>
            <w:r>
              <w:rPr>
                <w:sz w:val="18"/>
                <w:szCs w:val="18"/>
                <w:lang w:val="en-AU"/>
              </w:rPr>
              <w:t>4</w:t>
            </w:r>
          </w:p>
        </w:tc>
        <w:tc>
          <w:tcPr>
            <w:tcW w:w="939" w:type="dxa"/>
            <w:tcBorders>
              <w:top w:val="nil"/>
              <w:left w:val="nil"/>
              <w:bottom w:val="single" w:sz="4" w:space="0" w:color="auto"/>
              <w:right w:val="single" w:sz="4" w:space="0" w:color="auto"/>
            </w:tcBorders>
            <w:shd w:val="clear" w:color="auto" w:fill="auto"/>
            <w:noWrap/>
            <w:vAlign w:val="bottom"/>
          </w:tcPr>
          <w:p w14:paraId="54E29D88" w14:textId="00903289" w:rsidR="001B0231" w:rsidRPr="004A5BF7" w:rsidRDefault="001B0231" w:rsidP="004A5BF7">
            <w:pPr>
              <w:spacing w:before="0" w:after="0"/>
              <w:jc w:val="center"/>
              <w:rPr>
                <w:rFonts w:cs="Arial"/>
                <w:color w:val="000000"/>
                <w:sz w:val="18"/>
                <w:szCs w:val="18"/>
                <w:lang w:val="en-AU" w:eastAsia="en-AU"/>
              </w:rPr>
            </w:pPr>
            <w:r w:rsidRPr="004A5BF7">
              <w:rPr>
                <w:sz w:val="18"/>
                <w:szCs w:val="18"/>
                <w:lang w:val="en-AU"/>
              </w:rPr>
              <w:t>31</w:t>
            </w:r>
          </w:p>
        </w:tc>
        <w:tc>
          <w:tcPr>
            <w:tcW w:w="1028" w:type="dxa"/>
            <w:tcBorders>
              <w:top w:val="nil"/>
              <w:left w:val="nil"/>
              <w:bottom w:val="single" w:sz="4" w:space="0" w:color="auto"/>
              <w:right w:val="single" w:sz="4" w:space="0" w:color="auto"/>
            </w:tcBorders>
            <w:shd w:val="clear" w:color="auto" w:fill="auto"/>
            <w:noWrap/>
            <w:vAlign w:val="bottom"/>
          </w:tcPr>
          <w:p w14:paraId="14C25808" w14:textId="29BE493E" w:rsidR="001B0231" w:rsidRPr="004A5BF7" w:rsidRDefault="001B0231" w:rsidP="004A5BF7">
            <w:pPr>
              <w:spacing w:before="0" w:after="0"/>
              <w:jc w:val="center"/>
              <w:rPr>
                <w:rFonts w:cs="Arial"/>
                <w:color w:val="000000"/>
                <w:sz w:val="18"/>
                <w:szCs w:val="18"/>
                <w:lang w:val="en-AU" w:eastAsia="en-AU"/>
              </w:rPr>
            </w:pPr>
            <w:r w:rsidRPr="004A5BF7">
              <w:rPr>
                <w:sz w:val="18"/>
                <w:szCs w:val="18"/>
                <w:lang w:val="en-AU"/>
              </w:rPr>
              <w:t>10</w:t>
            </w:r>
          </w:p>
        </w:tc>
        <w:tc>
          <w:tcPr>
            <w:tcW w:w="1315" w:type="dxa"/>
            <w:tcBorders>
              <w:top w:val="nil"/>
              <w:left w:val="nil"/>
              <w:bottom w:val="single" w:sz="4" w:space="0" w:color="auto"/>
              <w:right w:val="single" w:sz="4" w:space="0" w:color="auto"/>
            </w:tcBorders>
            <w:shd w:val="clear" w:color="auto" w:fill="auto"/>
            <w:noWrap/>
            <w:vAlign w:val="bottom"/>
          </w:tcPr>
          <w:p w14:paraId="7EB7DFE1" w14:textId="45921026" w:rsidR="001B0231" w:rsidRPr="004A5BF7" w:rsidRDefault="001B0231" w:rsidP="004A5BF7">
            <w:pPr>
              <w:spacing w:before="0" w:after="0"/>
              <w:jc w:val="center"/>
              <w:rPr>
                <w:rFonts w:cs="Arial"/>
                <w:color w:val="000000"/>
                <w:sz w:val="18"/>
                <w:szCs w:val="18"/>
                <w:lang w:val="en-AU" w:eastAsia="en-AU"/>
              </w:rPr>
            </w:pPr>
            <w:r w:rsidRPr="004A5BF7">
              <w:rPr>
                <w:sz w:val="18"/>
                <w:szCs w:val="18"/>
                <w:lang w:val="en-AU"/>
              </w:rPr>
              <w:t>8</w:t>
            </w:r>
          </w:p>
        </w:tc>
      </w:tr>
      <w:tr w:rsidR="001B0231" w:rsidRPr="00B43F3B" w14:paraId="42062E09" w14:textId="77777777" w:rsidTr="004A5BF7">
        <w:trPr>
          <w:trHeight w:val="300"/>
        </w:trPr>
        <w:tc>
          <w:tcPr>
            <w:tcW w:w="2080" w:type="dxa"/>
            <w:tcBorders>
              <w:top w:val="nil"/>
              <w:left w:val="single" w:sz="4" w:space="0" w:color="auto"/>
              <w:bottom w:val="single" w:sz="4" w:space="0" w:color="auto"/>
              <w:right w:val="single" w:sz="4" w:space="0" w:color="auto"/>
            </w:tcBorders>
            <w:shd w:val="clear" w:color="auto" w:fill="auto"/>
            <w:noWrap/>
            <w:vAlign w:val="center"/>
            <w:hideMark/>
          </w:tcPr>
          <w:p w14:paraId="05FEC7C9" w14:textId="77777777" w:rsidR="001B0231" w:rsidRPr="004A5BF7" w:rsidRDefault="001B0231" w:rsidP="00422AA4">
            <w:pPr>
              <w:spacing w:before="0" w:after="0"/>
              <w:jc w:val="left"/>
              <w:rPr>
                <w:rFonts w:cs="Arial"/>
                <w:color w:val="000000"/>
                <w:sz w:val="18"/>
                <w:szCs w:val="18"/>
                <w:lang w:val="en-AU" w:eastAsia="en-AU"/>
              </w:rPr>
            </w:pPr>
            <w:r w:rsidRPr="004A5BF7">
              <w:rPr>
                <w:rFonts w:cs="Arial"/>
                <w:color w:val="000000"/>
                <w:sz w:val="18"/>
                <w:szCs w:val="18"/>
                <w:lang w:val="en-AU" w:eastAsia="en-AU"/>
              </w:rPr>
              <w:t>Fitzroy</w:t>
            </w:r>
          </w:p>
        </w:tc>
        <w:tc>
          <w:tcPr>
            <w:tcW w:w="939" w:type="dxa"/>
            <w:tcBorders>
              <w:top w:val="nil"/>
              <w:left w:val="nil"/>
              <w:bottom w:val="single" w:sz="4" w:space="0" w:color="auto"/>
              <w:right w:val="single" w:sz="4" w:space="0" w:color="auto"/>
            </w:tcBorders>
            <w:shd w:val="clear" w:color="auto" w:fill="auto"/>
            <w:noWrap/>
            <w:vAlign w:val="bottom"/>
          </w:tcPr>
          <w:p w14:paraId="1A432763" w14:textId="3C211EF7" w:rsidR="001B0231" w:rsidRPr="004A5BF7" w:rsidRDefault="001B0231" w:rsidP="004A5BF7">
            <w:pPr>
              <w:spacing w:before="0" w:after="0"/>
              <w:jc w:val="center"/>
              <w:rPr>
                <w:rFonts w:cs="Arial"/>
                <w:color w:val="000000"/>
                <w:sz w:val="18"/>
                <w:szCs w:val="18"/>
                <w:lang w:val="en-AU" w:eastAsia="en-AU"/>
              </w:rPr>
            </w:pPr>
            <w:r w:rsidRPr="004A5BF7">
              <w:rPr>
                <w:sz w:val="18"/>
                <w:szCs w:val="18"/>
                <w:lang w:val="en-AU"/>
              </w:rPr>
              <w:t>8</w:t>
            </w:r>
            <w:r w:rsidR="001D6C0D">
              <w:rPr>
                <w:sz w:val="18"/>
                <w:szCs w:val="18"/>
                <w:lang w:val="en-AU"/>
              </w:rPr>
              <w:t>1</w:t>
            </w:r>
          </w:p>
        </w:tc>
        <w:tc>
          <w:tcPr>
            <w:tcW w:w="1028" w:type="dxa"/>
            <w:tcBorders>
              <w:top w:val="nil"/>
              <w:left w:val="nil"/>
              <w:bottom w:val="single" w:sz="4" w:space="0" w:color="auto"/>
              <w:right w:val="single" w:sz="4" w:space="0" w:color="auto"/>
            </w:tcBorders>
            <w:shd w:val="clear" w:color="auto" w:fill="auto"/>
            <w:noWrap/>
            <w:vAlign w:val="bottom"/>
          </w:tcPr>
          <w:p w14:paraId="1D4AD1BD" w14:textId="0AEFCC20" w:rsidR="001B0231" w:rsidRPr="004A5BF7" w:rsidRDefault="001B0231" w:rsidP="004A5BF7">
            <w:pPr>
              <w:spacing w:before="0" w:after="0"/>
              <w:jc w:val="center"/>
              <w:rPr>
                <w:rFonts w:cs="Arial"/>
                <w:color w:val="000000"/>
                <w:sz w:val="18"/>
                <w:szCs w:val="18"/>
                <w:lang w:val="en-AU" w:eastAsia="en-AU"/>
              </w:rPr>
            </w:pPr>
            <w:r w:rsidRPr="004A5BF7">
              <w:rPr>
                <w:sz w:val="18"/>
                <w:szCs w:val="18"/>
                <w:lang w:val="en-AU"/>
              </w:rPr>
              <w:t>10</w:t>
            </w:r>
          </w:p>
        </w:tc>
        <w:tc>
          <w:tcPr>
            <w:tcW w:w="1213" w:type="dxa"/>
            <w:tcBorders>
              <w:top w:val="nil"/>
              <w:left w:val="nil"/>
              <w:bottom w:val="single" w:sz="4" w:space="0" w:color="auto"/>
              <w:right w:val="single" w:sz="4" w:space="0" w:color="auto"/>
            </w:tcBorders>
            <w:shd w:val="clear" w:color="auto" w:fill="auto"/>
            <w:noWrap/>
            <w:vAlign w:val="bottom"/>
          </w:tcPr>
          <w:p w14:paraId="5A5D1228" w14:textId="3736F841" w:rsidR="001B0231" w:rsidRPr="004A5BF7" w:rsidRDefault="008936EF" w:rsidP="004A5BF7">
            <w:pPr>
              <w:spacing w:before="0" w:after="0"/>
              <w:jc w:val="center"/>
              <w:rPr>
                <w:rFonts w:cs="Arial"/>
                <w:color w:val="000000"/>
                <w:sz w:val="18"/>
                <w:szCs w:val="18"/>
                <w:lang w:val="en-AU" w:eastAsia="en-AU"/>
              </w:rPr>
            </w:pPr>
            <w:r>
              <w:rPr>
                <w:sz w:val="18"/>
                <w:szCs w:val="18"/>
                <w:lang w:val="en-AU"/>
              </w:rPr>
              <w:t>1</w:t>
            </w:r>
          </w:p>
        </w:tc>
        <w:tc>
          <w:tcPr>
            <w:tcW w:w="939" w:type="dxa"/>
            <w:tcBorders>
              <w:top w:val="nil"/>
              <w:left w:val="nil"/>
              <w:bottom w:val="single" w:sz="4" w:space="0" w:color="auto"/>
              <w:right w:val="single" w:sz="4" w:space="0" w:color="auto"/>
            </w:tcBorders>
            <w:shd w:val="clear" w:color="auto" w:fill="auto"/>
            <w:noWrap/>
            <w:vAlign w:val="bottom"/>
          </w:tcPr>
          <w:p w14:paraId="3F8E61D9" w14:textId="76784C31" w:rsidR="001B0231" w:rsidRPr="004A5BF7" w:rsidRDefault="008936EF" w:rsidP="004A5BF7">
            <w:pPr>
              <w:spacing w:before="0" w:after="0"/>
              <w:jc w:val="center"/>
              <w:rPr>
                <w:rFonts w:cs="Arial"/>
                <w:color w:val="000000"/>
                <w:sz w:val="18"/>
                <w:szCs w:val="18"/>
                <w:lang w:val="en-AU" w:eastAsia="en-AU"/>
              </w:rPr>
            </w:pPr>
            <w:r>
              <w:rPr>
                <w:sz w:val="18"/>
                <w:szCs w:val="18"/>
                <w:lang w:val="en-AU"/>
              </w:rPr>
              <w:t>50</w:t>
            </w:r>
          </w:p>
        </w:tc>
        <w:tc>
          <w:tcPr>
            <w:tcW w:w="1028" w:type="dxa"/>
            <w:tcBorders>
              <w:top w:val="nil"/>
              <w:left w:val="nil"/>
              <w:bottom w:val="single" w:sz="4" w:space="0" w:color="auto"/>
              <w:right w:val="single" w:sz="4" w:space="0" w:color="auto"/>
            </w:tcBorders>
            <w:shd w:val="clear" w:color="auto" w:fill="auto"/>
            <w:noWrap/>
            <w:vAlign w:val="bottom"/>
          </w:tcPr>
          <w:p w14:paraId="544C8917" w14:textId="7E3E1A27" w:rsidR="001B0231" w:rsidRPr="004A5BF7" w:rsidRDefault="001B0231" w:rsidP="004A5BF7">
            <w:pPr>
              <w:spacing w:before="0" w:after="0"/>
              <w:jc w:val="center"/>
              <w:rPr>
                <w:rFonts w:cs="Arial"/>
                <w:color w:val="000000"/>
                <w:sz w:val="18"/>
                <w:szCs w:val="18"/>
                <w:lang w:val="en-AU" w:eastAsia="en-AU"/>
              </w:rPr>
            </w:pPr>
            <w:r w:rsidRPr="004A5BF7">
              <w:rPr>
                <w:sz w:val="18"/>
                <w:szCs w:val="18"/>
                <w:lang w:val="en-AU"/>
              </w:rPr>
              <w:t>4</w:t>
            </w:r>
          </w:p>
        </w:tc>
        <w:tc>
          <w:tcPr>
            <w:tcW w:w="1315" w:type="dxa"/>
            <w:tcBorders>
              <w:top w:val="nil"/>
              <w:left w:val="nil"/>
              <w:bottom w:val="single" w:sz="4" w:space="0" w:color="auto"/>
              <w:right w:val="single" w:sz="4" w:space="0" w:color="auto"/>
            </w:tcBorders>
            <w:shd w:val="clear" w:color="auto" w:fill="auto"/>
            <w:noWrap/>
            <w:vAlign w:val="bottom"/>
          </w:tcPr>
          <w:p w14:paraId="1734073B" w14:textId="635A7273" w:rsidR="001B0231" w:rsidRPr="004A5BF7" w:rsidRDefault="008936EF" w:rsidP="004A5BF7">
            <w:pPr>
              <w:spacing w:before="0" w:after="0"/>
              <w:jc w:val="center"/>
              <w:rPr>
                <w:rFonts w:cs="Arial"/>
                <w:color w:val="000000"/>
                <w:sz w:val="18"/>
                <w:szCs w:val="18"/>
                <w:lang w:val="en-AU" w:eastAsia="en-AU"/>
              </w:rPr>
            </w:pPr>
            <w:r>
              <w:rPr>
                <w:sz w:val="18"/>
                <w:szCs w:val="18"/>
                <w:lang w:val="en-AU"/>
              </w:rPr>
              <w:t>2</w:t>
            </w:r>
          </w:p>
        </w:tc>
      </w:tr>
      <w:tr w:rsidR="001B0231" w:rsidRPr="00B43F3B" w14:paraId="41887193" w14:textId="77777777" w:rsidTr="004A5BF7">
        <w:trPr>
          <w:trHeight w:val="300"/>
        </w:trPr>
        <w:tc>
          <w:tcPr>
            <w:tcW w:w="2080" w:type="dxa"/>
            <w:tcBorders>
              <w:top w:val="nil"/>
              <w:left w:val="single" w:sz="4" w:space="0" w:color="auto"/>
              <w:bottom w:val="single" w:sz="4" w:space="0" w:color="auto"/>
              <w:right w:val="single" w:sz="4" w:space="0" w:color="auto"/>
            </w:tcBorders>
            <w:shd w:val="clear" w:color="auto" w:fill="auto"/>
            <w:noWrap/>
            <w:vAlign w:val="center"/>
            <w:hideMark/>
          </w:tcPr>
          <w:p w14:paraId="0220F3AD" w14:textId="77777777" w:rsidR="001B0231" w:rsidRPr="004A5BF7" w:rsidRDefault="001B0231" w:rsidP="00422AA4">
            <w:pPr>
              <w:spacing w:before="0" w:after="0"/>
              <w:jc w:val="left"/>
              <w:rPr>
                <w:rFonts w:cs="Arial"/>
                <w:color w:val="000000"/>
                <w:sz w:val="18"/>
                <w:szCs w:val="18"/>
                <w:lang w:val="en-AU" w:eastAsia="en-AU"/>
              </w:rPr>
            </w:pPr>
            <w:r w:rsidRPr="004A5BF7">
              <w:rPr>
                <w:rFonts w:cs="Arial"/>
                <w:color w:val="000000"/>
                <w:sz w:val="18"/>
                <w:szCs w:val="18"/>
                <w:lang w:val="en-AU" w:eastAsia="en-AU"/>
              </w:rPr>
              <w:t>Burnett Mary</w:t>
            </w:r>
          </w:p>
        </w:tc>
        <w:tc>
          <w:tcPr>
            <w:tcW w:w="939" w:type="dxa"/>
            <w:tcBorders>
              <w:top w:val="nil"/>
              <w:left w:val="nil"/>
              <w:bottom w:val="single" w:sz="4" w:space="0" w:color="auto"/>
              <w:right w:val="single" w:sz="4" w:space="0" w:color="auto"/>
            </w:tcBorders>
            <w:shd w:val="clear" w:color="auto" w:fill="auto"/>
            <w:noWrap/>
            <w:vAlign w:val="bottom"/>
          </w:tcPr>
          <w:p w14:paraId="4530F69C" w14:textId="456C8022" w:rsidR="001B0231" w:rsidRPr="004A5BF7" w:rsidRDefault="001B0231" w:rsidP="004A5BF7">
            <w:pPr>
              <w:spacing w:before="0" w:after="0"/>
              <w:jc w:val="center"/>
              <w:rPr>
                <w:rFonts w:cs="Arial"/>
                <w:color w:val="000000"/>
                <w:sz w:val="18"/>
                <w:szCs w:val="18"/>
                <w:lang w:val="en-AU" w:eastAsia="en-AU"/>
              </w:rPr>
            </w:pPr>
            <w:r w:rsidRPr="004A5BF7">
              <w:rPr>
                <w:sz w:val="18"/>
                <w:szCs w:val="18"/>
                <w:lang w:val="en-AU"/>
              </w:rPr>
              <w:t>97</w:t>
            </w:r>
          </w:p>
        </w:tc>
        <w:tc>
          <w:tcPr>
            <w:tcW w:w="1028" w:type="dxa"/>
            <w:tcBorders>
              <w:top w:val="nil"/>
              <w:left w:val="nil"/>
              <w:bottom w:val="single" w:sz="4" w:space="0" w:color="auto"/>
              <w:right w:val="single" w:sz="4" w:space="0" w:color="auto"/>
            </w:tcBorders>
            <w:shd w:val="clear" w:color="auto" w:fill="auto"/>
            <w:noWrap/>
            <w:vAlign w:val="bottom"/>
          </w:tcPr>
          <w:p w14:paraId="02719273" w14:textId="67CA31D9" w:rsidR="001B0231" w:rsidRPr="004A5BF7" w:rsidRDefault="008936EF" w:rsidP="004A5BF7">
            <w:pPr>
              <w:spacing w:before="0" w:after="0"/>
              <w:jc w:val="center"/>
              <w:rPr>
                <w:rFonts w:cs="Arial"/>
                <w:color w:val="000000"/>
                <w:sz w:val="18"/>
                <w:szCs w:val="18"/>
                <w:lang w:val="en-AU" w:eastAsia="en-AU"/>
              </w:rPr>
            </w:pPr>
            <w:r>
              <w:rPr>
                <w:sz w:val="18"/>
                <w:szCs w:val="18"/>
                <w:lang w:val="en-AU"/>
              </w:rPr>
              <w:t>10</w:t>
            </w:r>
          </w:p>
        </w:tc>
        <w:tc>
          <w:tcPr>
            <w:tcW w:w="1213" w:type="dxa"/>
            <w:tcBorders>
              <w:top w:val="nil"/>
              <w:left w:val="nil"/>
              <w:bottom w:val="single" w:sz="4" w:space="0" w:color="auto"/>
              <w:right w:val="single" w:sz="4" w:space="0" w:color="auto"/>
            </w:tcBorders>
            <w:shd w:val="clear" w:color="auto" w:fill="auto"/>
            <w:noWrap/>
            <w:vAlign w:val="bottom"/>
          </w:tcPr>
          <w:p w14:paraId="5A0BECBD" w14:textId="356066CC" w:rsidR="001B0231" w:rsidRPr="004A5BF7" w:rsidRDefault="008936EF" w:rsidP="004A5BF7">
            <w:pPr>
              <w:spacing w:before="0" w:after="0"/>
              <w:jc w:val="center"/>
              <w:rPr>
                <w:rFonts w:cs="Arial"/>
                <w:color w:val="000000"/>
                <w:sz w:val="18"/>
                <w:szCs w:val="18"/>
                <w:lang w:val="en-AU" w:eastAsia="en-AU"/>
              </w:rPr>
            </w:pPr>
            <w:r>
              <w:rPr>
                <w:sz w:val="18"/>
                <w:szCs w:val="18"/>
                <w:lang w:val="en-AU"/>
              </w:rPr>
              <w:t>0</w:t>
            </w:r>
          </w:p>
        </w:tc>
        <w:tc>
          <w:tcPr>
            <w:tcW w:w="939" w:type="dxa"/>
            <w:tcBorders>
              <w:top w:val="nil"/>
              <w:left w:val="nil"/>
              <w:bottom w:val="single" w:sz="4" w:space="0" w:color="auto"/>
              <w:right w:val="single" w:sz="4" w:space="0" w:color="auto"/>
            </w:tcBorders>
            <w:shd w:val="clear" w:color="auto" w:fill="auto"/>
            <w:noWrap/>
            <w:vAlign w:val="bottom"/>
          </w:tcPr>
          <w:p w14:paraId="1685F9E3" w14:textId="575B0604" w:rsidR="001B0231" w:rsidRPr="004A5BF7" w:rsidRDefault="001B0231" w:rsidP="004A5BF7">
            <w:pPr>
              <w:spacing w:before="0" w:after="0"/>
              <w:jc w:val="center"/>
              <w:rPr>
                <w:rFonts w:cs="Arial"/>
                <w:color w:val="000000"/>
                <w:sz w:val="18"/>
                <w:szCs w:val="18"/>
                <w:lang w:val="en-AU" w:eastAsia="en-AU"/>
              </w:rPr>
            </w:pPr>
            <w:r w:rsidRPr="004A5BF7">
              <w:rPr>
                <w:sz w:val="18"/>
                <w:szCs w:val="18"/>
                <w:lang w:val="en-AU"/>
              </w:rPr>
              <w:t>2</w:t>
            </w:r>
            <w:r w:rsidR="008936EF">
              <w:rPr>
                <w:sz w:val="18"/>
                <w:szCs w:val="18"/>
                <w:lang w:val="en-AU"/>
              </w:rPr>
              <w:t>3</w:t>
            </w:r>
          </w:p>
        </w:tc>
        <w:tc>
          <w:tcPr>
            <w:tcW w:w="1028" w:type="dxa"/>
            <w:tcBorders>
              <w:top w:val="nil"/>
              <w:left w:val="nil"/>
              <w:bottom w:val="single" w:sz="4" w:space="0" w:color="auto"/>
              <w:right w:val="single" w:sz="4" w:space="0" w:color="auto"/>
            </w:tcBorders>
            <w:shd w:val="clear" w:color="auto" w:fill="auto"/>
            <w:noWrap/>
            <w:vAlign w:val="bottom"/>
          </w:tcPr>
          <w:p w14:paraId="2CD0412C" w14:textId="5CD82C9C" w:rsidR="001B0231" w:rsidRPr="004A5BF7" w:rsidRDefault="008936EF" w:rsidP="004A5BF7">
            <w:pPr>
              <w:spacing w:before="0" w:after="0"/>
              <w:jc w:val="center"/>
              <w:rPr>
                <w:rFonts w:cs="Arial"/>
                <w:color w:val="000000"/>
                <w:sz w:val="18"/>
                <w:szCs w:val="18"/>
                <w:lang w:val="en-AU" w:eastAsia="en-AU"/>
              </w:rPr>
            </w:pPr>
            <w:r>
              <w:rPr>
                <w:sz w:val="18"/>
                <w:szCs w:val="18"/>
                <w:lang w:val="en-AU"/>
              </w:rPr>
              <w:t>&lt;1</w:t>
            </w:r>
          </w:p>
        </w:tc>
        <w:tc>
          <w:tcPr>
            <w:tcW w:w="1315" w:type="dxa"/>
            <w:tcBorders>
              <w:top w:val="nil"/>
              <w:left w:val="nil"/>
              <w:bottom w:val="single" w:sz="4" w:space="0" w:color="auto"/>
              <w:right w:val="single" w:sz="4" w:space="0" w:color="auto"/>
            </w:tcBorders>
            <w:shd w:val="clear" w:color="auto" w:fill="auto"/>
            <w:noWrap/>
            <w:vAlign w:val="bottom"/>
          </w:tcPr>
          <w:p w14:paraId="4C61084E" w14:textId="25D84034" w:rsidR="001B0231" w:rsidRPr="004A5BF7" w:rsidRDefault="008936EF" w:rsidP="004A5BF7">
            <w:pPr>
              <w:spacing w:before="0" w:after="0"/>
              <w:jc w:val="center"/>
              <w:rPr>
                <w:rFonts w:cs="Arial"/>
                <w:color w:val="000000"/>
                <w:sz w:val="18"/>
                <w:szCs w:val="18"/>
                <w:lang w:val="en-AU" w:eastAsia="en-AU"/>
              </w:rPr>
            </w:pPr>
            <w:r>
              <w:rPr>
                <w:sz w:val="18"/>
                <w:szCs w:val="18"/>
                <w:lang w:val="en-AU"/>
              </w:rPr>
              <w:t>&lt;1</w:t>
            </w:r>
          </w:p>
        </w:tc>
      </w:tr>
    </w:tbl>
    <w:p w14:paraId="253B4B00" w14:textId="77777777" w:rsidR="00F44883" w:rsidRDefault="00F44883" w:rsidP="004A5BF7"/>
    <w:p w14:paraId="6011EB54" w14:textId="4FB538B8" w:rsidR="00E87989" w:rsidRPr="00C818C7" w:rsidRDefault="00C818C7" w:rsidP="004A5BF7">
      <w:r w:rsidRPr="004A5BF7">
        <w:t>The results for Chl</w:t>
      </w:r>
      <w:r w:rsidR="0093623D">
        <w:t>-</w:t>
      </w:r>
      <w:r w:rsidRPr="004A5BF7">
        <w:t>a are summarised below:</w:t>
      </w:r>
    </w:p>
    <w:p w14:paraId="2A7DDA98" w14:textId="2222EC5E" w:rsidR="00E87989" w:rsidRDefault="00E87989" w:rsidP="008936EF">
      <w:pPr>
        <w:pStyle w:val="ListParagraph"/>
        <w:numPr>
          <w:ilvl w:val="0"/>
          <w:numId w:val="61"/>
        </w:numPr>
        <w:spacing w:after="0"/>
      </w:pPr>
      <w:r>
        <w:t>The annual mean Chl</w:t>
      </w:r>
      <w:r w:rsidR="008936EF">
        <w:t>-</w:t>
      </w:r>
      <w:r>
        <w:t>a water quality guideline was exceeded in a large proportion (at least 7</w:t>
      </w:r>
      <w:r w:rsidR="008936EF">
        <w:t>1</w:t>
      </w:r>
      <w:r>
        <w:t>% and up to 91%) of the inshore water body in all of the marine NRM regions.</w:t>
      </w:r>
    </w:p>
    <w:p w14:paraId="3937D455" w14:textId="680FB75B" w:rsidR="00E87989" w:rsidRDefault="00E87989" w:rsidP="008936EF">
      <w:pPr>
        <w:pStyle w:val="ListParagraph"/>
        <w:numPr>
          <w:ilvl w:val="0"/>
          <w:numId w:val="61"/>
        </w:numPr>
        <w:spacing w:after="0"/>
      </w:pPr>
      <w:r>
        <w:t>The exceedance of the annual mean Chl</w:t>
      </w:r>
      <w:r w:rsidR="008936EF">
        <w:t>-</w:t>
      </w:r>
      <w:r>
        <w:t xml:space="preserve">a water quality guideline in the midshelf water body varied between regions, from </w:t>
      </w:r>
      <w:r w:rsidR="008936EF">
        <w:t>6-7</w:t>
      </w:r>
      <w:r>
        <w:t xml:space="preserve">% in the </w:t>
      </w:r>
      <w:r w:rsidR="008936EF">
        <w:t>Burdekin and Mackay Whitsunday regions</w:t>
      </w:r>
      <w:r>
        <w:t xml:space="preserve">, to </w:t>
      </w:r>
      <w:r w:rsidR="008936EF">
        <w:t>23-24</w:t>
      </w:r>
      <w:r>
        <w:t xml:space="preserve">% in the </w:t>
      </w:r>
      <w:r w:rsidR="008936EF">
        <w:t xml:space="preserve">Cape York and </w:t>
      </w:r>
      <w:r>
        <w:t>Wet Tropics region</w:t>
      </w:r>
      <w:r w:rsidR="008936EF">
        <w:t>s</w:t>
      </w:r>
      <w:r>
        <w:t xml:space="preserve">. </w:t>
      </w:r>
    </w:p>
    <w:p w14:paraId="144924DF" w14:textId="3DFA03E3" w:rsidR="00422AA4" w:rsidRPr="008936EF" w:rsidRDefault="00E87989" w:rsidP="004A5BF7">
      <w:pPr>
        <w:pStyle w:val="ListParagraph"/>
        <w:numPr>
          <w:ilvl w:val="0"/>
          <w:numId w:val="61"/>
        </w:numPr>
        <w:spacing w:after="0"/>
        <w:rPr>
          <w:rFonts w:eastAsia="Arial" w:cs="Arial"/>
        </w:rPr>
      </w:pPr>
      <w:r w:rsidRPr="008936EF">
        <w:t>The exceedance of the annual mean Chl</w:t>
      </w:r>
      <w:r w:rsidR="008936EF" w:rsidRPr="008936EF">
        <w:t>-</w:t>
      </w:r>
      <w:r w:rsidRPr="008936EF">
        <w:t>a water quality guideline in the offshore water body was relatively low for all NRM regions</w:t>
      </w:r>
      <w:r w:rsidR="008936EF" w:rsidRPr="008936EF">
        <w:t xml:space="preserve"> (&lt;4%).</w:t>
      </w:r>
    </w:p>
    <w:p w14:paraId="6C96BE68" w14:textId="09983E55" w:rsidR="00C818C7" w:rsidRPr="008936EF" w:rsidRDefault="00C818C7" w:rsidP="008936EF">
      <w:r w:rsidRPr="008936EF">
        <w:t>The results for TSS are summarised below:</w:t>
      </w:r>
    </w:p>
    <w:p w14:paraId="23AB4C52" w14:textId="54525030" w:rsidR="002D694C" w:rsidRPr="008936EF" w:rsidRDefault="002D694C" w:rsidP="008936EF">
      <w:pPr>
        <w:pStyle w:val="ListParagraph"/>
        <w:numPr>
          <w:ilvl w:val="0"/>
          <w:numId w:val="61"/>
        </w:numPr>
        <w:spacing w:after="0"/>
      </w:pPr>
      <w:r w:rsidRPr="008936EF">
        <w:t xml:space="preserve">The annual mean TSS water quality guideline was exceeded in </w:t>
      </w:r>
      <w:r w:rsidR="008936EF" w:rsidRPr="008936EF">
        <w:t xml:space="preserve">40-50% </w:t>
      </w:r>
      <w:r w:rsidRPr="008936EF">
        <w:t xml:space="preserve">of the inshore water body in all regions except for </w:t>
      </w:r>
      <w:r w:rsidR="008936EF" w:rsidRPr="008936EF">
        <w:t xml:space="preserve">Mackay Whitsunday (31%) and Burnett Mary (23%) regions. </w:t>
      </w:r>
    </w:p>
    <w:p w14:paraId="7D9BAA45" w14:textId="572E5C01" w:rsidR="002D694C" w:rsidRPr="008936EF" w:rsidRDefault="002D694C" w:rsidP="008936EF">
      <w:pPr>
        <w:pStyle w:val="ListParagraph"/>
        <w:numPr>
          <w:ilvl w:val="0"/>
          <w:numId w:val="61"/>
        </w:numPr>
        <w:spacing w:after="0"/>
      </w:pPr>
      <w:r w:rsidRPr="008936EF">
        <w:t xml:space="preserve">The exceedance of the annual mean TSS water quality guideline in the midshelf water body was </w:t>
      </w:r>
      <w:r w:rsidR="008936EF" w:rsidRPr="008936EF">
        <w:t xml:space="preserve">less than 10% </w:t>
      </w:r>
      <w:r w:rsidRPr="008936EF">
        <w:t>across all regions</w:t>
      </w:r>
      <w:r w:rsidR="008936EF" w:rsidRPr="008936EF">
        <w:t>.</w:t>
      </w:r>
    </w:p>
    <w:p w14:paraId="41DEEB75" w14:textId="3B73EF89" w:rsidR="00822177" w:rsidRPr="004A5BF7" w:rsidRDefault="002D694C" w:rsidP="004A5BF7">
      <w:pPr>
        <w:pStyle w:val="ListParagraph"/>
        <w:numPr>
          <w:ilvl w:val="0"/>
          <w:numId w:val="61"/>
        </w:numPr>
        <w:spacing w:after="0"/>
      </w:pPr>
      <w:r w:rsidRPr="008936EF">
        <w:t xml:space="preserve">The exceedance of the annual mean TSS water quality guideline in the offshore water body was low for all NRM regions (all less than </w:t>
      </w:r>
      <w:r w:rsidR="008936EF" w:rsidRPr="008936EF">
        <w:t>8</w:t>
      </w:r>
      <w:r w:rsidRPr="008936EF">
        <w:t>%)</w:t>
      </w:r>
      <w:r w:rsidR="008936EF" w:rsidRPr="008936EF">
        <w:t>, with less than 1% of the area with recorded exceedances in the Wet Tropics, Burdekin and Burnett Mary regions</w:t>
      </w:r>
      <w:r w:rsidRPr="008936EF">
        <w:t>.</w:t>
      </w:r>
    </w:p>
    <w:p w14:paraId="1075F70C" w14:textId="3F0E9F62" w:rsidR="004F2130" w:rsidRDefault="004F2130" w:rsidP="005E196D">
      <w:pPr>
        <w:spacing w:after="0"/>
        <w:rPr>
          <w:rFonts w:eastAsia="Arial" w:cs="Arial"/>
        </w:rPr>
      </w:pPr>
      <w:r>
        <w:rPr>
          <w:rFonts w:eastAsia="Arial" w:cs="Arial"/>
        </w:rPr>
        <w:t>A score for each region for Chl</w:t>
      </w:r>
      <w:r w:rsidR="0093623D">
        <w:rPr>
          <w:rFonts w:eastAsia="Arial" w:cs="Arial"/>
        </w:rPr>
        <w:t>-</w:t>
      </w:r>
      <w:r>
        <w:rPr>
          <w:rFonts w:eastAsia="Arial" w:cs="Arial"/>
        </w:rPr>
        <w:t>a and TSS is calculated using the area of the region that did not exceed the annual Water Quality Guideline in the inshore water body.</w:t>
      </w:r>
      <w:r w:rsidR="00FC39DB">
        <w:rPr>
          <w:rFonts w:eastAsia="Arial" w:cs="Arial"/>
        </w:rPr>
        <w:t xml:space="preserve"> These scores are then weighted </w:t>
      </w:r>
      <w:r w:rsidR="00121044">
        <w:rPr>
          <w:rFonts w:eastAsia="Arial" w:cs="Arial"/>
        </w:rPr>
        <w:t>by multiplying the result by</w:t>
      </w:r>
      <w:r w:rsidR="00FC39DB">
        <w:rPr>
          <w:rFonts w:eastAsia="Arial" w:cs="Arial"/>
        </w:rPr>
        <w:t xml:space="preserve"> the proportion of the total inshore water body represented in each region. However, the Cape York and Burnett Mary regions are not weighted due to high uncertainties in the data due to limited validation of the remote sensing algorithm in those locations. The results for this step are shown in </w:t>
      </w:r>
      <w:r w:rsidR="00121044">
        <w:rPr>
          <w:rFonts w:eastAsia="Arial" w:cs="Arial"/>
        </w:rPr>
        <w:fldChar w:fldCharType="begin"/>
      </w:r>
      <w:r w:rsidR="00121044">
        <w:rPr>
          <w:rFonts w:eastAsia="Arial" w:cs="Arial"/>
        </w:rPr>
        <w:instrText xml:space="preserve"> REF _Ref452322334 \h </w:instrText>
      </w:r>
      <w:r w:rsidR="00121044">
        <w:rPr>
          <w:rFonts w:eastAsia="Arial" w:cs="Arial"/>
        </w:rPr>
      </w:r>
      <w:r w:rsidR="00121044">
        <w:rPr>
          <w:rFonts w:eastAsia="Arial" w:cs="Arial"/>
        </w:rPr>
        <w:fldChar w:fldCharType="separate"/>
      </w:r>
      <w:r w:rsidR="007F5336" w:rsidRPr="00422AA4">
        <w:t xml:space="preserve">Table </w:t>
      </w:r>
      <w:r w:rsidR="007F5336">
        <w:rPr>
          <w:noProof/>
        </w:rPr>
        <w:t>5</w:t>
      </w:r>
      <w:r w:rsidR="007F5336">
        <w:noBreakHyphen/>
      </w:r>
      <w:r w:rsidR="007F5336">
        <w:rPr>
          <w:noProof/>
        </w:rPr>
        <w:t>9</w:t>
      </w:r>
      <w:r w:rsidR="00121044">
        <w:rPr>
          <w:rFonts w:eastAsia="Arial" w:cs="Arial"/>
        </w:rPr>
        <w:fldChar w:fldCharType="end"/>
      </w:r>
      <w:r w:rsidR="00121044">
        <w:rPr>
          <w:rFonts w:eastAsia="Arial" w:cs="Arial"/>
        </w:rPr>
        <w:t>.</w:t>
      </w:r>
    </w:p>
    <w:p w14:paraId="7464A8F7" w14:textId="3CC930BF" w:rsidR="00C62884" w:rsidRDefault="00C62884" w:rsidP="00164E5E">
      <w:pPr>
        <w:pStyle w:val="Caption"/>
        <w:rPr>
          <w:rFonts w:eastAsia="Arial" w:cs="Arial"/>
        </w:rPr>
      </w:pPr>
      <w:r>
        <w:rPr>
          <w:rFonts w:eastAsia="Arial" w:cs="Arial"/>
        </w:rPr>
        <w:br w:type="page"/>
      </w:r>
    </w:p>
    <w:p w14:paraId="046E3412" w14:textId="61781519" w:rsidR="00121044" w:rsidRPr="00F77A23" w:rsidRDefault="00121044" w:rsidP="00164E5E">
      <w:pPr>
        <w:pStyle w:val="Caption"/>
      </w:pPr>
      <w:bookmarkStart w:id="1414" w:name="_Ref452322334"/>
      <w:bookmarkStart w:id="1415" w:name="_Toc459332163"/>
      <w:r w:rsidRPr="00422AA4">
        <w:t xml:space="preserve">Table </w:t>
      </w:r>
      <w:r w:rsidR="00124249">
        <w:fldChar w:fldCharType="begin"/>
      </w:r>
      <w:r w:rsidR="00124249">
        <w:instrText xml:space="preserve"> STYLEREF 1 \s </w:instrText>
      </w:r>
      <w:r w:rsidR="00124249">
        <w:fldChar w:fldCharType="separate"/>
      </w:r>
      <w:r w:rsidR="007F5336">
        <w:rPr>
          <w:noProof/>
        </w:rPr>
        <w:t>5</w:t>
      </w:r>
      <w:r w:rsidR="00124249">
        <w:fldChar w:fldCharType="end"/>
      </w:r>
      <w:r w:rsidR="00124249">
        <w:noBreakHyphen/>
      </w:r>
      <w:r w:rsidR="00124249">
        <w:fldChar w:fldCharType="begin"/>
      </w:r>
      <w:r w:rsidR="00124249">
        <w:instrText xml:space="preserve"> SEQ Table \* ARABIC \s 1 </w:instrText>
      </w:r>
      <w:r w:rsidR="00124249">
        <w:fldChar w:fldCharType="separate"/>
      </w:r>
      <w:r w:rsidR="007F5336">
        <w:rPr>
          <w:noProof/>
        </w:rPr>
        <w:t>9</w:t>
      </w:r>
      <w:r w:rsidR="00124249">
        <w:fldChar w:fldCharType="end"/>
      </w:r>
      <w:bookmarkEnd w:id="1414"/>
      <w:r w:rsidR="0093623D">
        <w:t>:</w:t>
      </w:r>
      <w:r w:rsidRPr="00422AA4">
        <w:t xml:space="preserve"> </w:t>
      </w:r>
      <w:r>
        <w:t xml:space="preserve">Calculation of weighted scores using </w:t>
      </w:r>
      <w:r w:rsidRPr="00422AA4">
        <w:t>remote sensing data of Chl</w:t>
      </w:r>
      <w:r w:rsidR="0093623D">
        <w:t xml:space="preserve">-a </w:t>
      </w:r>
      <w:r w:rsidRPr="00422AA4">
        <w:t>and TSS for the 201</w:t>
      </w:r>
      <w:r w:rsidR="0093623D">
        <w:t>6</w:t>
      </w:r>
      <w:r w:rsidRPr="00422AA4">
        <w:t xml:space="preserve"> Report Card, based on GBRMPA monitoring year of 1 May 2014 to 30 April 2015.</w:t>
      </w:r>
      <w:bookmarkEnd w:id="1415"/>
    </w:p>
    <w:tbl>
      <w:tblPr>
        <w:tblW w:w="836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5 9: Calculation of weighted scores using remote sensing data of Chl-a and TSS for the 2016 Report Card, based on GBRMPA monitoring year of 1 May 2014 to 30 April 2015."/>
        <w:tblDescription w:val="Table showing calculation of weighted scores using remote sensing data of Chl-a and TSS for the 2016 Report Card, based on GBRMPA monitoring year of 1 May 2014 to 30 April 2015 for each NRM region."/>
      </w:tblPr>
      <w:tblGrid>
        <w:gridCol w:w="1925"/>
        <w:gridCol w:w="1147"/>
        <w:gridCol w:w="1102"/>
        <w:gridCol w:w="1134"/>
        <w:gridCol w:w="1147"/>
        <w:gridCol w:w="830"/>
        <w:gridCol w:w="1080"/>
      </w:tblGrid>
      <w:tr w:rsidR="000B139E" w:rsidRPr="00FC39DB" w14:paraId="14A77BEF" w14:textId="1B122663" w:rsidTr="009C09C3">
        <w:trPr>
          <w:trHeight w:val="721"/>
          <w:tblHeader/>
        </w:trPr>
        <w:tc>
          <w:tcPr>
            <w:tcW w:w="1925" w:type="dxa"/>
            <w:shd w:val="clear" w:color="auto" w:fill="auto"/>
            <w:vAlign w:val="center"/>
            <w:hideMark/>
          </w:tcPr>
          <w:p w14:paraId="75BE073A" w14:textId="77777777" w:rsidR="000B139E" w:rsidRPr="004A5BF7" w:rsidRDefault="000B139E" w:rsidP="009C09C3">
            <w:pPr>
              <w:spacing w:before="0" w:after="0"/>
              <w:jc w:val="left"/>
              <w:rPr>
                <w:rFonts w:cs="Arial"/>
                <w:b/>
                <w:color w:val="000000"/>
                <w:sz w:val="18"/>
                <w:szCs w:val="18"/>
                <w:lang w:val="en-AU" w:eastAsia="en-AU"/>
              </w:rPr>
            </w:pPr>
            <w:r w:rsidRPr="004A5BF7">
              <w:rPr>
                <w:rFonts w:cs="Arial"/>
                <w:b/>
                <w:color w:val="000000"/>
                <w:sz w:val="18"/>
                <w:szCs w:val="18"/>
                <w:lang w:val="en-AU" w:eastAsia="en-AU"/>
              </w:rPr>
              <w:t>Region</w:t>
            </w:r>
          </w:p>
        </w:tc>
        <w:tc>
          <w:tcPr>
            <w:tcW w:w="1147" w:type="dxa"/>
            <w:shd w:val="clear" w:color="auto" w:fill="auto"/>
            <w:vAlign w:val="center"/>
            <w:hideMark/>
          </w:tcPr>
          <w:p w14:paraId="16283AA1" w14:textId="76287639" w:rsidR="000B139E" w:rsidRPr="004A5BF7" w:rsidRDefault="000B139E" w:rsidP="009C09C3">
            <w:pPr>
              <w:spacing w:before="0" w:after="0"/>
              <w:jc w:val="center"/>
              <w:rPr>
                <w:rFonts w:cs="Arial"/>
                <w:b/>
                <w:color w:val="000000"/>
                <w:sz w:val="18"/>
                <w:szCs w:val="18"/>
                <w:lang w:val="en-AU" w:eastAsia="en-AU"/>
              </w:rPr>
            </w:pPr>
            <w:r w:rsidRPr="004A5BF7">
              <w:rPr>
                <w:rFonts w:cs="Arial"/>
                <w:b/>
                <w:color w:val="000000"/>
                <w:sz w:val="18"/>
                <w:szCs w:val="18"/>
                <w:lang w:val="en-AU" w:eastAsia="en-AU"/>
              </w:rPr>
              <w:t>Water body</w:t>
            </w:r>
          </w:p>
        </w:tc>
        <w:tc>
          <w:tcPr>
            <w:tcW w:w="1102" w:type="dxa"/>
            <w:vAlign w:val="center"/>
          </w:tcPr>
          <w:p w14:paraId="46F7978F" w14:textId="132CF0D6" w:rsidR="000B139E" w:rsidRPr="004A5BF7" w:rsidRDefault="000B139E" w:rsidP="009C09C3">
            <w:pPr>
              <w:spacing w:before="0" w:after="0"/>
              <w:jc w:val="center"/>
              <w:rPr>
                <w:rFonts w:cs="Arial"/>
                <w:b/>
                <w:color w:val="000000"/>
                <w:sz w:val="18"/>
                <w:szCs w:val="18"/>
                <w:lang w:val="en-AU" w:eastAsia="en-AU"/>
              </w:rPr>
            </w:pPr>
            <w:r w:rsidRPr="004A5BF7">
              <w:rPr>
                <w:rFonts w:cs="Arial"/>
                <w:b/>
                <w:color w:val="000000"/>
                <w:sz w:val="18"/>
                <w:szCs w:val="18"/>
                <w:lang w:val="en-AU" w:eastAsia="en-AU"/>
              </w:rPr>
              <w:t>% of GBR coastal Area</w:t>
            </w:r>
          </w:p>
        </w:tc>
        <w:tc>
          <w:tcPr>
            <w:tcW w:w="1134" w:type="dxa"/>
            <w:shd w:val="clear" w:color="auto" w:fill="F2F2F2" w:themeFill="background1" w:themeFillShade="F2"/>
            <w:vAlign w:val="center"/>
            <w:hideMark/>
          </w:tcPr>
          <w:p w14:paraId="205DDE06" w14:textId="70B76701" w:rsidR="000B139E" w:rsidRPr="004A5BF7" w:rsidRDefault="000B139E" w:rsidP="009C09C3">
            <w:pPr>
              <w:spacing w:before="0" w:after="0"/>
              <w:jc w:val="center"/>
              <w:rPr>
                <w:rFonts w:cs="Arial"/>
                <w:b/>
                <w:color w:val="000000"/>
                <w:sz w:val="18"/>
                <w:szCs w:val="18"/>
                <w:lang w:val="en-AU" w:eastAsia="en-AU"/>
              </w:rPr>
            </w:pPr>
            <w:r w:rsidRPr="004A5BF7">
              <w:rPr>
                <w:rFonts w:cs="Arial"/>
                <w:b/>
                <w:color w:val="000000"/>
                <w:sz w:val="18"/>
                <w:szCs w:val="18"/>
                <w:lang w:val="en-AU" w:eastAsia="en-AU"/>
              </w:rPr>
              <w:t>Chl a Scores</w:t>
            </w:r>
          </w:p>
        </w:tc>
        <w:tc>
          <w:tcPr>
            <w:tcW w:w="1147" w:type="dxa"/>
            <w:shd w:val="clear" w:color="auto" w:fill="F2F2F2" w:themeFill="background1" w:themeFillShade="F2"/>
            <w:vAlign w:val="center"/>
            <w:hideMark/>
          </w:tcPr>
          <w:p w14:paraId="4F769E66" w14:textId="7040834E" w:rsidR="000B139E" w:rsidRPr="004A5BF7" w:rsidRDefault="000B139E" w:rsidP="009C09C3">
            <w:pPr>
              <w:spacing w:before="0" w:after="0"/>
              <w:jc w:val="center"/>
              <w:rPr>
                <w:rFonts w:cs="Arial"/>
                <w:b/>
                <w:color w:val="000000"/>
                <w:sz w:val="18"/>
                <w:szCs w:val="18"/>
                <w:lang w:val="en-AU" w:eastAsia="en-AU"/>
              </w:rPr>
            </w:pPr>
            <w:r w:rsidRPr="004A5BF7">
              <w:rPr>
                <w:rFonts w:cs="Arial"/>
                <w:b/>
                <w:color w:val="000000"/>
                <w:sz w:val="18"/>
                <w:szCs w:val="18"/>
                <w:lang w:val="en-AU" w:eastAsia="en-AU"/>
              </w:rPr>
              <w:t>Chl a Weighted Score</w:t>
            </w:r>
          </w:p>
        </w:tc>
        <w:tc>
          <w:tcPr>
            <w:tcW w:w="830" w:type="dxa"/>
            <w:vAlign w:val="center"/>
          </w:tcPr>
          <w:p w14:paraId="22575A4A" w14:textId="465EBDAB" w:rsidR="000B139E" w:rsidRPr="004A5BF7" w:rsidRDefault="000B139E" w:rsidP="009C09C3">
            <w:pPr>
              <w:spacing w:before="0" w:after="0"/>
              <w:jc w:val="center"/>
              <w:rPr>
                <w:rFonts w:cs="Arial"/>
                <w:b/>
                <w:color w:val="000000"/>
                <w:sz w:val="18"/>
                <w:szCs w:val="18"/>
                <w:lang w:val="en-AU" w:eastAsia="en-AU"/>
              </w:rPr>
            </w:pPr>
            <w:r w:rsidRPr="004A5BF7">
              <w:rPr>
                <w:rFonts w:cs="Arial"/>
                <w:b/>
                <w:color w:val="000000"/>
                <w:sz w:val="18"/>
                <w:szCs w:val="18"/>
              </w:rPr>
              <w:t>TSS Scores</w:t>
            </w:r>
          </w:p>
        </w:tc>
        <w:tc>
          <w:tcPr>
            <w:tcW w:w="1080" w:type="dxa"/>
            <w:vAlign w:val="center"/>
          </w:tcPr>
          <w:p w14:paraId="18B95972" w14:textId="7659D2AF" w:rsidR="000B139E" w:rsidRPr="004A5BF7" w:rsidRDefault="000B139E" w:rsidP="009C09C3">
            <w:pPr>
              <w:spacing w:before="0" w:after="0"/>
              <w:jc w:val="center"/>
              <w:rPr>
                <w:rFonts w:cs="Arial"/>
                <w:b/>
                <w:color w:val="000000"/>
                <w:sz w:val="18"/>
                <w:szCs w:val="18"/>
                <w:lang w:val="en-AU" w:eastAsia="en-AU"/>
              </w:rPr>
            </w:pPr>
            <w:r w:rsidRPr="004A5BF7">
              <w:rPr>
                <w:rFonts w:cs="Arial"/>
                <w:b/>
                <w:color w:val="000000"/>
                <w:sz w:val="18"/>
                <w:szCs w:val="18"/>
              </w:rPr>
              <w:t>TSS Weighted Score</w:t>
            </w:r>
          </w:p>
        </w:tc>
      </w:tr>
      <w:tr w:rsidR="001D6C0D" w:rsidRPr="00FC39DB" w14:paraId="3D625BB4" w14:textId="19A92084" w:rsidTr="004A5BF7">
        <w:trPr>
          <w:trHeight w:val="300"/>
        </w:trPr>
        <w:tc>
          <w:tcPr>
            <w:tcW w:w="1925" w:type="dxa"/>
            <w:shd w:val="clear" w:color="auto" w:fill="auto"/>
            <w:noWrap/>
            <w:vAlign w:val="center"/>
            <w:hideMark/>
          </w:tcPr>
          <w:p w14:paraId="784A413C" w14:textId="77777777" w:rsidR="001D6C0D" w:rsidRPr="004A5BF7" w:rsidRDefault="001D6C0D" w:rsidP="001D6C0D">
            <w:pPr>
              <w:spacing w:before="0" w:after="0"/>
              <w:jc w:val="left"/>
              <w:rPr>
                <w:rFonts w:cs="Arial"/>
                <w:iCs/>
                <w:color w:val="000000"/>
                <w:sz w:val="18"/>
                <w:szCs w:val="18"/>
                <w:lang w:val="en-AU" w:eastAsia="en-AU"/>
              </w:rPr>
            </w:pPr>
            <w:r w:rsidRPr="004A5BF7">
              <w:rPr>
                <w:rFonts w:cs="Arial"/>
                <w:iCs/>
                <w:color w:val="000000"/>
                <w:sz w:val="18"/>
                <w:szCs w:val="18"/>
                <w:lang w:val="en-AU" w:eastAsia="en-AU"/>
              </w:rPr>
              <w:t>Cape York</w:t>
            </w:r>
          </w:p>
        </w:tc>
        <w:tc>
          <w:tcPr>
            <w:tcW w:w="1147" w:type="dxa"/>
            <w:shd w:val="clear" w:color="auto" w:fill="auto"/>
            <w:vAlign w:val="center"/>
            <w:hideMark/>
          </w:tcPr>
          <w:p w14:paraId="53B58A97" w14:textId="1EA074CD" w:rsidR="001D6C0D" w:rsidRPr="004A5BF7" w:rsidRDefault="001D6C0D"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Inshore</w:t>
            </w:r>
          </w:p>
        </w:tc>
        <w:tc>
          <w:tcPr>
            <w:tcW w:w="1102" w:type="dxa"/>
            <w:vAlign w:val="center"/>
          </w:tcPr>
          <w:p w14:paraId="3AE0DBD9" w14:textId="552D2F5C" w:rsidR="001D6C0D" w:rsidRPr="00FB3922" w:rsidRDefault="001D6C0D" w:rsidP="001D6C0D">
            <w:pPr>
              <w:spacing w:before="0" w:after="0"/>
              <w:jc w:val="center"/>
              <w:rPr>
                <w:rFonts w:cs="Arial"/>
                <w:color w:val="000000"/>
                <w:sz w:val="18"/>
                <w:szCs w:val="18"/>
                <w:lang w:val="en-AU" w:eastAsia="en-AU"/>
              </w:rPr>
            </w:pPr>
            <w:r w:rsidRPr="004A5BF7" w:rsidDel="00121044">
              <w:rPr>
                <w:rFonts w:cs="Arial"/>
                <w:color w:val="000000"/>
                <w:sz w:val="18"/>
                <w:szCs w:val="18"/>
                <w:lang w:val="en-AU" w:eastAsia="en-AU"/>
              </w:rPr>
              <w:t>0</w:t>
            </w:r>
          </w:p>
        </w:tc>
        <w:tc>
          <w:tcPr>
            <w:tcW w:w="1134" w:type="dxa"/>
            <w:shd w:val="clear" w:color="auto" w:fill="F2F2F2" w:themeFill="background1" w:themeFillShade="F2"/>
            <w:vAlign w:val="center"/>
            <w:hideMark/>
          </w:tcPr>
          <w:p w14:paraId="76929CFE" w14:textId="5F534347" w:rsidR="001D6C0D" w:rsidRPr="004A5BF7" w:rsidRDefault="001D6C0D" w:rsidP="001D6C0D">
            <w:pPr>
              <w:spacing w:before="0" w:after="0"/>
              <w:jc w:val="center"/>
              <w:rPr>
                <w:rFonts w:cs="Arial"/>
                <w:color w:val="000000"/>
                <w:sz w:val="18"/>
                <w:szCs w:val="18"/>
                <w:lang w:val="en-AU" w:eastAsia="en-AU"/>
              </w:rPr>
            </w:pPr>
            <w:r>
              <w:rPr>
                <w:rFonts w:cs="Arial"/>
                <w:color w:val="000000"/>
                <w:sz w:val="18"/>
                <w:szCs w:val="18"/>
                <w:lang w:val="en-AU" w:eastAsia="en-AU"/>
              </w:rPr>
              <w:t>9</w:t>
            </w:r>
          </w:p>
        </w:tc>
        <w:tc>
          <w:tcPr>
            <w:tcW w:w="1147" w:type="dxa"/>
            <w:shd w:val="clear" w:color="auto" w:fill="F2F2F2" w:themeFill="background1" w:themeFillShade="F2"/>
            <w:noWrap/>
            <w:vAlign w:val="center"/>
          </w:tcPr>
          <w:p w14:paraId="4888A658" w14:textId="5183F1B7" w:rsidR="001D6C0D" w:rsidRPr="004A5BF7" w:rsidRDefault="001D6C0D" w:rsidP="004A5BF7">
            <w:pPr>
              <w:spacing w:before="0" w:after="0"/>
              <w:jc w:val="center"/>
              <w:rPr>
                <w:rFonts w:cs="Arial"/>
                <w:color w:val="000000"/>
                <w:sz w:val="18"/>
                <w:szCs w:val="18"/>
                <w:lang w:val="en-AU" w:eastAsia="en-AU"/>
              </w:rPr>
            </w:pPr>
            <w:r>
              <w:rPr>
                <w:rFonts w:ascii="Calibri" w:hAnsi="Calibri"/>
                <w:color w:val="000000"/>
                <w:szCs w:val="22"/>
              </w:rPr>
              <w:t>0.0</w:t>
            </w:r>
          </w:p>
        </w:tc>
        <w:tc>
          <w:tcPr>
            <w:tcW w:w="830" w:type="dxa"/>
            <w:vAlign w:val="center"/>
          </w:tcPr>
          <w:p w14:paraId="085120FA" w14:textId="7F9AD811" w:rsidR="001D6C0D" w:rsidRPr="004A5BF7" w:rsidRDefault="001D6C0D" w:rsidP="004A5BF7">
            <w:pPr>
              <w:spacing w:before="0" w:after="0"/>
              <w:jc w:val="center"/>
              <w:rPr>
                <w:rFonts w:cs="Arial"/>
                <w:color w:val="000000"/>
                <w:sz w:val="18"/>
                <w:szCs w:val="18"/>
                <w:lang w:val="en-AU" w:eastAsia="en-AU"/>
              </w:rPr>
            </w:pPr>
            <w:r>
              <w:rPr>
                <w:rFonts w:ascii="Calibri" w:hAnsi="Calibri"/>
                <w:color w:val="000000"/>
                <w:szCs w:val="22"/>
              </w:rPr>
              <w:t>54</w:t>
            </w:r>
          </w:p>
        </w:tc>
        <w:tc>
          <w:tcPr>
            <w:tcW w:w="1080" w:type="dxa"/>
            <w:vAlign w:val="center"/>
          </w:tcPr>
          <w:p w14:paraId="3C2FE827" w14:textId="6DCF0097" w:rsidR="001D6C0D" w:rsidRPr="004A5BF7" w:rsidRDefault="001D6C0D" w:rsidP="004A5BF7">
            <w:pPr>
              <w:spacing w:before="0" w:after="0"/>
              <w:jc w:val="center"/>
              <w:rPr>
                <w:rFonts w:cs="Arial"/>
                <w:color w:val="000000"/>
                <w:sz w:val="18"/>
                <w:szCs w:val="18"/>
                <w:lang w:val="en-AU" w:eastAsia="en-AU"/>
              </w:rPr>
            </w:pPr>
            <w:r>
              <w:rPr>
                <w:rFonts w:ascii="Calibri" w:hAnsi="Calibri"/>
                <w:color w:val="000000"/>
                <w:szCs w:val="22"/>
              </w:rPr>
              <w:t>0.0</w:t>
            </w:r>
          </w:p>
        </w:tc>
      </w:tr>
      <w:tr w:rsidR="001D6C0D" w:rsidRPr="00FC39DB" w14:paraId="43C051BF" w14:textId="14E9E3C2" w:rsidTr="004A5BF7">
        <w:trPr>
          <w:trHeight w:val="300"/>
        </w:trPr>
        <w:tc>
          <w:tcPr>
            <w:tcW w:w="1925" w:type="dxa"/>
            <w:shd w:val="clear" w:color="auto" w:fill="auto"/>
            <w:noWrap/>
            <w:vAlign w:val="center"/>
            <w:hideMark/>
          </w:tcPr>
          <w:p w14:paraId="0164EB26" w14:textId="77777777" w:rsidR="001D6C0D" w:rsidRPr="004A5BF7" w:rsidRDefault="001D6C0D" w:rsidP="001D6C0D">
            <w:pPr>
              <w:spacing w:before="0" w:after="0"/>
              <w:jc w:val="left"/>
              <w:rPr>
                <w:rFonts w:cs="Arial"/>
                <w:iCs/>
                <w:color w:val="000000"/>
                <w:sz w:val="18"/>
                <w:szCs w:val="18"/>
                <w:lang w:val="en-AU" w:eastAsia="en-AU"/>
              </w:rPr>
            </w:pPr>
            <w:r w:rsidRPr="004A5BF7">
              <w:rPr>
                <w:rFonts w:cs="Arial"/>
                <w:iCs/>
                <w:color w:val="000000"/>
                <w:sz w:val="18"/>
                <w:szCs w:val="18"/>
                <w:lang w:val="en-AU" w:eastAsia="en-AU"/>
              </w:rPr>
              <w:t>Wet Tropics</w:t>
            </w:r>
          </w:p>
        </w:tc>
        <w:tc>
          <w:tcPr>
            <w:tcW w:w="1147" w:type="dxa"/>
            <w:shd w:val="clear" w:color="auto" w:fill="auto"/>
            <w:vAlign w:val="center"/>
            <w:hideMark/>
          </w:tcPr>
          <w:p w14:paraId="179DD3B8" w14:textId="77777777" w:rsidR="001D6C0D" w:rsidRPr="004A5BF7" w:rsidRDefault="001D6C0D"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Inshore</w:t>
            </w:r>
          </w:p>
        </w:tc>
        <w:tc>
          <w:tcPr>
            <w:tcW w:w="1102" w:type="dxa"/>
            <w:vAlign w:val="center"/>
          </w:tcPr>
          <w:p w14:paraId="54331ACC" w14:textId="3916CC7D" w:rsidR="001D6C0D" w:rsidRPr="00FB3922" w:rsidRDefault="001D6C0D" w:rsidP="001D6C0D">
            <w:pPr>
              <w:spacing w:before="0" w:after="0"/>
              <w:jc w:val="center"/>
              <w:rPr>
                <w:rFonts w:cs="Arial"/>
                <w:color w:val="000000"/>
                <w:sz w:val="18"/>
                <w:szCs w:val="18"/>
                <w:lang w:val="en-AU" w:eastAsia="en-AU"/>
              </w:rPr>
            </w:pPr>
            <w:r w:rsidRPr="004A5BF7">
              <w:rPr>
                <w:rFonts w:cs="Arial"/>
                <w:color w:val="000000"/>
                <w:sz w:val="18"/>
                <w:szCs w:val="18"/>
                <w:lang w:val="en-AU" w:eastAsia="en-AU"/>
              </w:rPr>
              <w:t>13</w:t>
            </w:r>
          </w:p>
        </w:tc>
        <w:tc>
          <w:tcPr>
            <w:tcW w:w="1134" w:type="dxa"/>
            <w:shd w:val="clear" w:color="auto" w:fill="F2F2F2" w:themeFill="background1" w:themeFillShade="F2"/>
            <w:vAlign w:val="center"/>
            <w:hideMark/>
          </w:tcPr>
          <w:p w14:paraId="1CCFF531" w14:textId="2A750EDC" w:rsidR="001D6C0D" w:rsidRPr="004A5BF7" w:rsidRDefault="001D6C0D" w:rsidP="001D6C0D">
            <w:pPr>
              <w:spacing w:before="0" w:after="0"/>
              <w:jc w:val="center"/>
              <w:rPr>
                <w:rFonts w:cs="Arial"/>
                <w:color w:val="000000"/>
                <w:sz w:val="18"/>
                <w:szCs w:val="18"/>
                <w:lang w:val="en-AU" w:eastAsia="en-AU"/>
              </w:rPr>
            </w:pPr>
            <w:r>
              <w:rPr>
                <w:rFonts w:cs="Arial"/>
                <w:color w:val="000000"/>
                <w:sz w:val="18"/>
                <w:szCs w:val="18"/>
                <w:lang w:val="en-AU" w:eastAsia="en-AU"/>
              </w:rPr>
              <w:t>7</w:t>
            </w:r>
          </w:p>
        </w:tc>
        <w:tc>
          <w:tcPr>
            <w:tcW w:w="1147" w:type="dxa"/>
            <w:shd w:val="clear" w:color="auto" w:fill="F2F2F2" w:themeFill="background1" w:themeFillShade="F2"/>
            <w:noWrap/>
            <w:vAlign w:val="center"/>
          </w:tcPr>
          <w:p w14:paraId="5E1416EC" w14:textId="4D213DE4" w:rsidR="001D6C0D" w:rsidRPr="004A5BF7" w:rsidRDefault="001D6C0D" w:rsidP="004A5BF7">
            <w:pPr>
              <w:spacing w:before="0" w:after="0"/>
              <w:jc w:val="center"/>
              <w:rPr>
                <w:rFonts w:cs="Arial"/>
                <w:color w:val="000000"/>
                <w:sz w:val="18"/>
                <w:szCs w:val="18"/>
                <w:lang w:val="en-AU" w:eastAsia="en-AU"/>
              </w:rPr>
            </w:pPr>
            <w:r>
              <w:rPr>
                <w:rFonts w:ascii="Calibri" w:hAnsi="Calibri"/>
                <w:color w:val="000000"/>
                <w:szCs w:val="22"/>
              </w:rPr>
              <w:t>0.9</w:t>
            </w:r>
          </w:p>
        </w:tc>
        <w:tc>
          <w:tcPr>
            <w:tcW w:w="830" w:type="dxa"/>
            <w:vAlign w:val="center"/>
          </w:tcPr>
          <w:p w14:paraId="6BD336CE" w14:textId="0EFCB370" w:rsidR="001D6C0D" w:rsidRPr="004A5BF7" w:rsidRDefault="001D6C0D" w:rsidP="004A5BF7">
            <w:pPr>
              <w:spacing w:before="0" w:after="0"/>
              <w:jc w:val="center"/>
              <w:rPr>
                <w:rFonts w:cs="Arial"/>
                <w:color w:val="000000"/>
                <w:sz w:val="18"/>
                <w:szCs w:val="18"/>
                <w:lang w:val="en-AU" w:eastAsia="en-AU"/>
              </w:rPr>
            </w:pPr>
            <w:r>
              <w:rPr>
                <w:rFonts w:ascii="Calibri" w:hAnsi="Calibri"/>
                <w:color w:val="000000"/>
                <w:szCs w:val="22"/>
              </w:rPr>
              <w:t>60</w:t>
            </w:r>
          </w:p>
        </w:tc>
        <w:tc>
          <w:tcPr>
            <w:tcW w:w="1080" w:type="dxa"/>
            <w:vAlign w:val="center"/>
          </w:tcPr>
          <w:p w14:paraId="5E2DA16B" w14:textId="65BCAE19" w:rsidR="001D6C0D" w:rsidRPr="004A5BF7" w:rsidRDefault="001D6C0D" w:rsidP="004A5BF7">
            <w:pPr>
              <w:spacing w:before="0" w:after="0"/>
              <w:jc w:val="center"/>
              <w:rPr>
                <w:rFonts w:cs="Arial"/>
                <w:color w:val="000000"/>
                <w:sz w:val="18"/>
                <w:szCs w:val="18"/>
                <w:lang w:val="en-AU" w:eastAsia="en-AU"/>
              </w:rPr>
            </w:pPr>
            <w:r>
              <w:rPr>
                <w:rFonts w:ascii="Calibri" w:hAnsi="Calibri"/>
                <w:color w:val="000000"/>
                <w:szCs w:val="22"/>
              </w:rPr>
              <w:t>7.6</w:t>
            </w:r>
          </w:p>
        </w:tc>
      </w:tr>
      <w:tr w:rsidR="001D6C0D" w:rsidRPr="00FC39DB" w14:paraId="34F8EDAE" w14:textId="17965BBE" w:rsidTr="004A5BF7">
        <w:trPr>
          <w:trHeight w:val="300"/>
        </w:trPr>
        <w:tc>
          <w:tcPr>
            <w:tcW w:w="1925" w:type="dxa"/>
            <w:shd w:val="clear" w:color="auto" w:fill="auto"/>
            <w:noWrap/>
            <w:vAlign w:val="center"/>
            <w:hideMark/>
          </w:tcPr>
          <w:p w14:paraId="440CE973" w14:textId="77777777" w:rsidR="001D6C0D" w:rsidRPr="004A5BF7" w:rsidRDefault="001D6C0D" w:rsidP="001D6C0D">
            <w:pPr>
              <w:spacing w:before="0" w:after="0"/>
              <w:jc w:val="left"/>
              <w:rPr>
                <w:rFonts w:cs="Arial"/>
                <w:iCs/>
                <w:color w:val="000000"/>
                <w:sz w:val="18"/>
                <w:szCs w:val="18"/>
                <w:lang w:val="en-AU" w:eastAsia="en-AU"/>
              </w:rPr>
            </w:pPr>
            <w:r w:rsidRPr="004A5BF7">
              <w:rPr>
                <w:rFonts w:cs="Arial"/>
                <w:iCs/>
                <w:color w:val="000000"/>
                <w:sz w:val="18"/>
                <w:szCs w:val="18"/>
                <w:lang w:val="en-AU" w:eastAsia="en-AU"/>
              </w:rPr>
              <w:t>Burdekin</w:t>
            </w:r>
          </w:p>
        </w:tc>
        <w:tc>
          <w:tcPr>
            <w:tcW w:w="1147" w:type="dxa"/>
            <w:shd w:val="clear" w:color="auto" w:fill="auto"/>
            <w:vAlign w:val="center"/>
            <w:hideMark/>
          </w:tcPr>
          <w:p w14:paraId="3E64AB2E" w14:textId="77777777" w:rsidR="001D6C0D" w:rsidRPr="004A5BF7" w:rsidRDefault="001D6C0D"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Inshore</w:t>
            </w:r>
          </w:p>
        </w:tc>
        <w:tc>
          <w:tcPr>
            <w:tcW w:w="1102" w:type="dxa"/>
            <w:vAlign w:val="center"/>
          </w:tcPr>
          <w:p w14:paraId="2B7D5EAC" w14:textId="02326A49" w:rsidR="001D6C0D" w:rsidRPr="00FB3922" w:rsidRDefault="001D6C0D" w:rsidP="001D6C0D">
            <w:pPr>
              <w:spacing w:before="0" w:after="0"/>
              <w:jc w:val="center"/>
              <w:rPr>
                <w:rFonts w:cs="Arial"/>
                <w:color w:val="000000"/>
                <w:sz w:val="18"/>
                <w:szCs w:val="18"/>
                <w:lang w:val="en-AU" w:eastAsia="en-AU"/>
              </w:rPr>
            </w:pPr>
            <w:r w:rsidRPr="004A5BF7">
              <w:rPr>
                <w:rFonts w:cs="Arial"/>
                <w:color w:val="000000"/>
                <w:sz w:val="18"/>
                <w:szCs w:val="18"/>
                <w:lang w:val="en-AU" w:eastAsia="en-AU"/>
              </w:rPr>
              <w:t>21</w:t>
            </w:r>
          </w:p>
        </w:tc>
        <w:tc>
          <w:tcPr>
            <w:tcW w:w="1134" w:type="dxa"/>
            <w:shd w:val="clear" w:color="auto" w:fill="F2F2F2" w:themeFill="background1" w:themeFillShade="F2"/>
            <w:vAlign w:val="center"/>
            <w:hideMark/>
          </w:tcPr>
          <w:p w14:paraId="3707EBB6" w14:textId="730781C0" w:rsidR="001D6C0D" w:rsidRPr="004A5BF7" w:rsidRDefault="001D6C0D" w:rsidP="001D6C0D">
            <w:pPr>
              <w:spacing w:before="0" w:after="0"/>
              <w:jc w:val="center"/>
              <w:rPr>
                <w:rFonts w:cs="Arial"/>
                <w:color w:val="000000"/>
                <w:sz w:val="18"/>
                <w:szCs w:val="18"/>
                <w:lang w:val="en-AU" w:eastAsia="en-AU"/>
              </w:rPr>
            </w:pPr>
            <w:r>
              <w:rPr>
                <w:rFonts w:cs="Arial"/>
                <w:color w:val="000000"/>
                <w:sz w:val="18"/>
                <w:szCs w:val="18"/>
                <w:lang w:val="en-AU" w:eastAsia="en-AU"/>
              </w:rPr>
              <w:t>29</w:t>
            </w:r>
          </w:p>
        </w:tc>
        <w:tc>
          <w:tcPr>
            <w:tcW w:w="1147" w:type="dxa"/>
            <w:shd w:val="clear" w:color="auto" w:fill="F2F2F2" w:themeFill="background1" w:themeFillShade="F2"/>
            <w:noWrap/>
            <w:vAlign w:val="center"/>
          </w:tcPr>
          <w:p w14:paraId="50C1C6EA" w14:textId="01797065" w:rsidR="001D6C0D" w:rsidRPr="004A5BF7" w:rsidRDefault="001D6C0D" w:rsidP="004A5BF7">
            <w:pPr>
              <w:spacing w:before="0" w:after="0"/>
              <w:jc w:val="center"/>
              <w:rPr>
                <w:rFonts w:cs="Arial"/>
                <w:color w:val="000000"/>
                <w:sz w:val="18"/>
                <w:szCs w:val="18"/>
                <w:lang w:val="en-AU" w:eastAsia="en-AU"/>
              </w:rPr>
            </w:pPr>
            <w:r>
              <w:rPr>
                <w:rFonts w:ascii="Calibri" w:hAnsi="Calibri"/>
                <w:color w:val="000000"/>
                <w:szCs w:val="22"/>
              </w:rPr>
              <w:t>6.2</w:t>
            </w:r>
          </w:p>
        </w:tc>
        <w:tc>
          <w:tcPr>
            <w:tcW w:w="830" w:type="dxa"/>
            <w:vAlign w:val="center"/>
          </w:tcPr>
          <w:p w14:paraId="7E4A41A4" w14:textId="13A18A77" w:rsidR="001D6C0D" w:rsidRPr="004A5BF7" w:rsidRDefault="001D6C0D" w:rsidP="004A5BF7">
            <w:pPr>
              <w:spacing w:before="0" w:after="0"/>
              <w:jc w:val="center"/>
              <w:rPr>
                <w:rFonts w:cs="Arial"/>
                <w:color w:val="000000"/>
                <w:sz w:val="18"/>
                <w:szCs w:val="18"/>
                <w:lang w:val="en-AU" w:eastAsia="en-AU"/>
              </w:rPr>
            </w:pPr>
            <w:r>
              <w:rPr>
                <w:rFonts w:ascii="Calibri" w:hAnsi="Calibri"/>
                <w:color w:val="000000"/>
                <w:szCs w:val="22"/>
              </w:rPr>
              <w:t>56</w:t>
            </w:r>
          </w:p>
        </w:tc>
        <w:tc>
          <w:tcPr>
            <w:tcW w:w="1080" w:type="dxa"/>
            <w:vAlign w:val="center"/>
          </w:tcPr>
          <w:p w14:paraId="0318AF6A" w14:textId="576A0E1C" w:rsidR="001D6C0D" w:rsidRPr="004A5BF7" w:rsidRDefault="001D6C0D" w:rsidP="004A5BF7">
            <w:pPr>
              <w:spacing w:before="0" w:after="0"/>
              <w:jc w:val="center"/>
              <w:rPr>
                <w:rFonts w:cs="Arial"/>
                <w:color w:val="000000"/>
                <w:sz w:val="18"/>
                <w:szCs w:val="18"/>
                <w:lang w:val="en-AU" w:eastAsia="en-AU"/>
              </w:rPr>
            </w:pPr>
            <w:r>
              <w:rPr>
                <w:rFonts w:ascii="Calibri" w:hAnsi="Calibri"/>
                <w:color w:val="000000"/>
                <w:szCs w:val="22"/>
              </w:rPr>
              <w:t>12.0</w:t>
            </w:r>
          </w:p>
        </w:tc>
      </w:tr>
      <w:tr w:rsidR="001D6C0D" w:rsidRPr="00FC39DB" w14:paraId="22230429" w14:textId="650E15BA" w:rsidTr="004A5BF7">
        <w:trPr>
          <w:trHeight w:val="300"/>
        </w:trPr>
        <w:tc>
          <w:tcPr>
            <w:tcW w:w="1925" w:type="dxa"/>
            <w:shd w:val="clear" w:color="auto" w:fill="auto"/>
            <w:noWrap/>
            <w:vAlign w:val="center"/>
            <w:hideMark/>
          </w:tcPr>
          <w:p w14:paraId="4CC2EA8D" w14:textId="77777777" w:rsidR="001D6C0D" w:rsidRPr="004A5BF7" w:rsidRDefault="001D6C0D" w:rsidP="001D6C0D">
            <w:pPr>
              <w:spacing w:before="0" w:after="0"/>
              <w:jc w:val="left"/>
              <w:rPr>
                <w:rFonts w:cs="Arial"/>
                <w:iCs/>
                <w:color w:val="000000"/>
                <w:sz w:val="18"/>
                <w:szCs w:val="18"/>
                <w:lang w:val="en-AU" w:eastAsia="en-AU"/>
              </w:rPr>
            </w:pPr>
            <w:r w:rsidRPr="004A5BF7">
              <w:rPr>
                <w:rFonts w:cs="Arial"/>
                <w:iCs/>
                <w:color w:val="000000"/>
                <w:sz w:val="18"/>
                <w:szCs w:val="18"/>
                <w:lang w:val="en-AU" w:eastAsia="en-AU"/>
              </w:rPr>
              <w:t>Mackay Whitsunday</w:t>
            </w:r>
          </w:p>
        </w:tc>
        <w:tc>
          <w:tcPr>
            <w:tcW w:w="1147" w:type="dxa"/>
            <w:shd w:val="clear" w:color="auto" w:fill="auto"/>
            <w:vAlign w:val="center"/>
            <w:hideMark/>
          </w:tcPr>
          <w:p w14:paraId="6CAD01DB" w14:textId="77777777" w:rsidR="001D6C0D" w:rsidRPr="004A5BF7" w:rsidRDefault="001D6C0D"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Inshore</w:t>
            </w:r>
          </w:p>
        </w:tc>
        <w:tc>
          <w:tcPr>
            <w:tcW w:w="1102" w:type="dxa"/>
            <w:vAlign w:val="center"/>
          </w:tcPr>
          <w:p w14:paraId="0510255E" w14:textId="7EA9E419" w:rsidR="001D6C0D" w:rsidRPr="00FB3922" w:rsidRDefault="001D6C0D" w:rsidP="001D6C0D">
            <w:pPr>
              <w:spacing w:before="0" w:after="0"/>
              <w:jc w:val="center"/>
              <w:rPr>
                <w:rFonts w:cs="Arial"/>
                <w:color w:val="000000"/>
                <w:sz w:val="18"/>
                <w:szCs w:val="18"/>
                <w:lang w:val="en-AU" w:eastAsia="en-AU"/>
              </w:rPr>
            </w:pPr>
            <w:r w:rsidRPr="004A5BF7">
              <w:rPr>
                <w:rFonts w:cs="Arial"/>
                <w:color w:val="000000"/>
                <w:sz w:val="18"/>
                <w:szCs w:val="18"/>
                <w:lang w:val="en-AU" w:eastAsia="en-AU"/>
              </w:rPr>
              <w:t>27</w:t>
            </w:r>
          </w:p>
        </w:tc>
        <w:tc>
          <w:tcPr>
            <w:tcW w:w="1134" w:type="dxa"/>
            <w:shd w:val="clear" w:color="auto" w:fill="F2F2F2" w:themeFill="background1" w:themeFillShade="F2"/>
            <w:vAlign w:val="center"/>
            <w:hideMark/>
          </w:tcPr>
          <w:p w14:paraId="442D1835" w14:textId="7BC626DF" w:rsidR="001D6C0D" w:rsidRPr="004A5BF7" w:rsidRDefault="001D6C0D" w:rsidP="001D6C0D">
            <w:pPr>
              <w:spacing w:before="0" w:after="0"/>
              <w:jc w:val="center"/>
              <w:rPr>
                <w:rFonts w:cs="Arial"/>
                <w:color w:val="000000"/>
                <w:sz w:val="18"/>
                <w:szCs w:val="18"/>
                <w:lang w:val="en-AU" w:eastAsia="en-AU"/>
              </w:rPr>
            </w:pPr>
            <w:r>
              <w:rPr>
                <w:rFonts w:cs="Arial"/>
                <w:color w:val="000000"/>
                <w:sz w:val="18"/>
                <w:szCs w:val="18"/>
                <w:lang w:val="en-AU" w:eastAsia="en-AU"/>
              </w:rPr>
              <w:t>47</w:t>
            </w:r>
          </w:p>
        </w:tc>
        <w:tc>
          <w:tcPr>
            <w:tcW w:w="1147" w:type="dxa"/>
            <w:shd w:val="clear" w:color="auto" w:fill="F2F2F2" w:themeFill="background1" w:themeFillShade="F2"/>
            <w:noWrap/>
            <w:vAlign w:val="center"/>
          </w:tcPr>
          <w:p w14:paraId="428C79A2" w14:textId="58CB9D79" w:rsidR="001D6C0D" w:rsidRPr="004A5BF7" w:rsidRDefault="001D6C0D" w:rsidP="004A5BF7">
            <w:pPr>
              <w:spacing w:before="0" w:after="0"/>
              <w:jc w:val="center"/>
              <w:rPr>
                <w:rFonts w:cs="Arial"/>
                <w:color w:val="000000"/>
                <w:sz w:val="18"/>
                <w:szCs w:val="18"/>
                <w:lang w:val="en-AU" w:eastAsia="en-AU"/>
              </w:rPr>
            </w:pPr>
            <w:r>
              <w:rPr>
                <w:rFonts w:ascii="Calibri" w:hAnsi="Calibri"/>
                <w:color w:val="000000"/>
                <w:szCs w:val="22"/>
              </w:rPr>
              <w:t>12.8</w:t>
            </w:r>
          </w:p>
        </w:tc>
        <w:tc>
          <w:tcPr>
            <w:tcW w:w="830" w:type="dxa"/>
            <w:vAlign w:val="center"/>
          </w:tcPr>
          <w:p w14:paraId="68647574" w14:textId="72329DCC" w:rsidR="001D6C0D" w:rsidRPr="004A5BF7" w:rsidRDefault="001D6C0D" w:rsidP="004A5BF7">
            <w:pPr>
              <w:spacing w:before="0" w:after="0"/>
              <w:jc w:val="center"/>
              <w:rPr>
                <w:rFonts w:cs="Arial"/>
                <w:color w:val="000000"/>
                <w:sz w:val="18"/>
                <w:szCs w:val="18"/>
                <w:lang w:val="en-AU" w:eastAsia="en-AU"/>
              </w:rPr>
            </w:pPr>
            <w:r>
              <w:rPr>
                <w:rFonts w:ascii="Calibri" w:hAnsi="Calibri"/>
                <w:color w:val="000000"/>
                <w:szCs w:val="22"/>
              </w:rPr>
              <w:t>69</w:t>
            </w:r>
          </w:p>
        </w:tc>
        <w:tc>
          <w:tcPr>
            <w:tcW w:w="1080" w:type="dxa"/>
            <w:vAlign w:val="center"/>
          </w:tcPr>
          <w:p w14:paraId="5F1C7040" w14:textId="4C36C5EC" w:rsidR="001D6C0D" w:rsidRPr="004A5BF7" w:rsidRDefault="001D6C0D" w:rsidP="004A5BF7">
            <w:pPr>
              <w:spacing w:before="0" w:after="0"/>
              <w:jc w:val="center"/>
              <w:rPr>
                <w:rFonts w:cs="Arial"/>
                <w:color w:val="000000"/>
                <w:sz w:val="18"/>
                <w:szCs w:val="18"/>
                <w:lang w:val="en-AU" w:eastAsia="en-AU"/>
              </w:rPr>
            </w:pPr>
            <w:r>
              <w:rPr>
                <w:rFonts w:ascii="Calibri" w:hAnsi="Calibri"/>
                <w:color w:val="000000"/>
                <w:szCs w:val="22"/>
              </w:rPr>
              <w:t>18.8</w:t>
            </w:r>
          </w:p>
        </w:tc>
      </w:tr>
      <w:tr w:rsidR="001D6C0D" w:rsidRPr="00FC39DB" w14:paraId="52DD5263" w14:textId="610B27FB" w:rsidTr="004A5BF7">
        <w:trPr>
          <w:trHeight w:val="300"/>
        </w:trPr>
        <w:tc>
          <w:tcPr>
            <w:tcW w:w="1925" w:type="dxa"/>
            <w:shd w:val="clear" w:color="auto" w:fill="auto"/>
            <w:noWrap/>
            <w:vAlign w:val="center"/>
            <w:hideMark/>
          </w:tcPr>
          <w:p w14:paraId="3463573C" w14:textId="77777777" w:rsidR="001D6C0D" w:rsidRPr="004A5BF7" w:rsidRDefault="001D6C0D" w:rsidP="001D6C0D">
            <w:pPr>
              <w:spacing w:before="0" w:after="0"/>
              <w:jc w:val="left"/>
              <w:rPr>
                <w:rFonts w:cs="Arial"/>
                <w:iCs/>
                <w:color w:val="000000"/>
                <w:sz w:val="18"/>
                <w:szCs w:val="18"/>
                <w:lang w:val="en-AU" w:eastAsia="en-AU"/>
              </w:rPr>
            </w:pPr>
            <w:r w:rsidRPr="004A5BF7">
              <w:rPr>
                <w:rFonts w:cs="Arial"/>
                <w:iCs/>
                <w:color w:val="000000"/>
                <w:sz w:val="18"/>
                <w:szCs w:val="18"/>
                <w:lang w:val="en-AU" w:eastAsia="en-AU"/>
              </w:rPr>
              <w:t>Fitzroy</w:t>
            </w:r>
          </w:p>
        </w:tc>
        <w:tc>
          <w:tcPr>
            <w:tcW w:w="1147" w:type="dxa"/>
            <w:shd w:val="clear" w:color="auto" w:fill="auto"/>
            <w:vAlign w:val="center"/>
            <w:hideMark/>
          </w:tcPr>
          <w:p w14:paraId="6216776E" w14:textId="77777777" w:rsidR="001D6C0D" w:rsidRPr="004A5BF7" w:rsidRDefault="001D6C0D"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Inshore</w:t>
            </w:r>
          </w:p>
        </w:tc>
        <w:tc>
          <w:tcPr>
            <w:tcW w:w="1102" w:type="dxa"/>
            <w:vAlign w:val="center"/>
          </w:tcPr>
          <w:p w14:paraId="705A3F46" w14:textId="69140B21" w:rsidR="001D6C0D" w:rsidRDefault="001D6C0D" w:rsidP="001D6C0D">
            <w:pPr>
              <w:spacing w:before="0" w:after="0"/>
              <w:jc w:val="center"/>
              <w:rPr>
                <w:rFonts w:cs="Arial"/>
                <w:color w:val="000000"/>
                <w:sz w:val="18"/>
                <w:szCs w:val="18"/>
                <w:lang w:val="en-AU" w:eastAsia="en-AU"/>
              </w:rPr>
            </w:pPr>
            <w:r w:rsidRPr="004A5BF7">
              <w:rPr>
                <w:rFonts w:cs="Arial"/>
                <w:color w:val="000000"/>
                <w:sz w:val="18"/>
                <w:szCs w:val="18"/>
                <w:lang w:val="en-AU" w:eastAsia="en-AU"/>
              </w:rPr>
              <w:t>39</w:t>
            </w:r>
          </w:p>
        </w:tc>
        <w:tc>
          <w:tcPr>
            <w:tcW w:w="1134" w:type="dxa"/>
            <w:shd w:val="clear" w:color="auto" w:fill="F2F2F2" w:themeFill="background1" w:themeFillShade="F2"/>
            <w:vAlign w:val="center"/>
            <w:hideMark/>
          </w:tcPr>
          <w:p w14:paraId="12F0A09D" w14:textId="3F79BE59" w:rsidR="001D6C0D" w:rsidRPr="004A5BF7" w:rsidRDefault="001D6C0D" w:rsidP="001D6C0D">
            <w:pPr>
              <w:spacing w:before="0" w:after="0"/>
              <w:jc w:val="center"/>
              <w:rPr>
                <w:rFonts w:cs="Arial"/>
                <w:color w:val="000000"/>
                <w:sz w:val="18"/>
                <w:szCs w:val="18"/>
                <w:lang w:val="en-AU" w:eastAsia="en-AU"/>
              </w:rPr>
            </w:pPr>
            <w:r>
              <w:rPr>
                <w:rFonts w:cs="Arial"/>
                <w:color w:val="000000"/>
                <w:sz w:val="18"/>
                <w:szCs w:val="18"/>
                <w:lang w:val="en-AU" w:eastAsia="en-AU"/>
              </w:rPr>
              <w:t>19</w:t>
            </w:r>
          </w:p>
        </w:tc>
        <w:tc>
          <w:tcPr>
            <w:tcW w:w="1147" w:type="dxa"/>
            <w:shd w:val="clear" w:color="auto" w:fill="F2F2F2" w:themeFill="background1" w:themeFillShade="F2"/>
            <w:noWrap/>
            <w:vAlign w:val="center"/>
          </w:tcPr>
          <w:p w14:paraId="3D99DDC3" w14:textId="21E0A091" w:rsidR="001D6C0D" w:rsidRPr="004A5BF7" w:rsidRDefault="001D6C0D" w:rsidP="004A5BF7">
            <w:pPr>
              <w:spacing w:before="0" w:after="0"/>
              <w:jc w:val="center"/>
              <w:rPr>
                <w:rFonts w:cs="Arial"/>
                <w:color w:val="000000"/>
                <w:sz w:val="18"/>
                <w:szCs w:val="18"/>
                <w:lang w:val="en-AU" w:eastAsia="en-AU"/>
              </w:rPr>
            </w:pPr>
            <w:r>
              <w:rPr>
                <w:rFonts w:ascii="Calibri" w:hAnsi="Calibri"/>
                <w:color w:val="000000"/>
                <w:szCs w:val="22"/>
              </w:rPr>
              <w:t>7.5</w:t>
            </w:r>
          </w:p>
        </w:tc>
        <w:tc>
          <w:tcPr>
            <w:tcW w:w="830" w:type="dxa"/>
            <w:vAlign w:val="center"/>
          </w:tcPr>
          <w:p w14:paraId="0409B522" w14:textId="47A124CE" w:rsidR="001D6C0D" w:rsidRPr="004A5BF7" w:rsidRDefault="001D6C0D" w:rsidP="004A5BF7">
            <w:pPr>
              <w:spacing w:before="0" w:after="0"/>
              <w:jc w:val="center"/>
              <w:rPr>
                <w:rFonts w:cs="Arial"/>
                <w:color w:val="000000"/>
                <w:sz w:val="18"/>
                <w:szCs w:val="18"/>
                <w:lang w:val="en-AU" w:eastAsia="en-AU"/>
              </w:rPr>
            </w:pPr>
            <w:r>
              <w:rPr>
                <w:rFonts w:ascii="Calibri" w:hAnsi="Calibri"/>
                <w:color w:val="000000"/>
                <w:szCs w:val="22"/>
              </w:rPr>
              <w:t>50</w:t>
            </w:r>
          </w:p>
        </w:tc>
        <w:tc>
          <w:tcPr>
            <w:tcW w:w="1080" w:type="dxa"/>
            <w:vAlign w:val="center"/>
          </w:tcPr>
          <w:p w14:paraId="76A0ABB3" w14:textId="69A806F8" w:rsidR="001D6C0D" w:rsidRPr="004A5BF7" w:rsidRDefault="001D6C0D" w:rsidP="004A5BF7">
            <w:pPr>
              <w:spacing w:before="0" w:after="0"/>
              <w:jc w:val="center"/>
              <w:rPr>
                <w:rFonts w:cs="Arial"/>
                <w:color w:val="000000"/>
                <w:sz w:val="18"/>
                <w:szCs w:val="18"/>
                <w:lang w:val="en-AU" w:eastAsia="en-AU"/>
              </w:rPr>
            </w:pPr>
            <w:r>
              <w:rPr>
                <w:rFonts w:ascii="Calibri" w:hAnsi="Calibri"/>
                <w:color w:val="000000"/>
                <w:szCs w:val="22"/>
              </w:rPr>
              <w:t>19.4</w:t>
            </w:r>
          </w:p>
        </w:tc>
      </w:tr>
      <w:tr w:rsidR="001D6C0D" w:rsidRPr="00FC39DB" w14:paraId="49474916" w14:textId="0CE7F96D" w:rsidTr="004A5BF7">
        <w:trPr>
          <w:trHeight w:val="300"/>
        </w:trPr>
        <w:tc>
          <w:tcPr>
            <w:tcW w:w="1925" w:type="dxa"/>
            <w:shd w:val="clear" w:color="auto" w:fill="auto"/>
            <w:noWrap/>
            <w:vAlign w:val="center"/>
            <w:hideMark/>
          </w:tcPr>
          <w:p w14:paraId="0FAE83EC" w14:textId="77777777" w:rsidR="001D6C0D" w:rsidRPr="004A5BF7" w:rsidRDefault="001D6C0D" w:rsidP="001D6C0D">
            <w:pPr>
              <w:spacing w:before="0" w:after="0"/>
              <w:jc w:val="left"/>
              <w:rPr>
                <w:rFonts w:cs="Arial"/>
                <w:iCs/>
                <w:color w:val="000000"/>
                <w:sz w:val="18"/>
                <w:szCs w:val="18"/>
                <w:lang w:val="en-AU" w:eastAsia="en-AU"/>
              </w:rPr>
            </w:pPr>
            <w:r w:rsidRPr="004A5BF7">
              <w:rPr>
                <w:rFonts w:cs="Arial"/>
                <w:iCs/>
                <w:color w:val="000000"/>
                <w:sz w:val="18"/>
                <w:szCs w:val="18"/>
                <w:lang w:val="en-AU" w:eastAsia="en-AU"/>
              </w:rPr>
              <w:t>Burnett Mary</w:t>
            </w:r>
          </w:p>
        </w:tc>
        <w:tc>
          <w:tcPr>
            <w:tcW w:w="1147" w:type="dxa"/>
            <w:shd w:val="clear" w:color="auto" w:fill="auto"/>
            <w:vAlign w:val="center"/>
            <w:hideMark/>
          </w:tcPr>
          <w:p w14:paraId="3507B40D" w14:textId="77777777" w:rsidR="001D6C0D" w:rsidRPr="004A5BF7" w:rsidRDefault="001D6C0D"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Inshore</w:t>
            </w:r>
          </w:p>
        </w:tc>
        <w:tc>
          <w:tcPr>
            <w:tcW w:w="1102" w:type="dxa"/>
            <w:vAlign w:val="center"/>
          </w:tcPr>
          <w:p w14:paraId="458350A7" w14:textId="76E24DC2" w:rsidR="001D6C0D" w:rsidRPr="00FB3922" w:rsidRDefault="001D6C0D" w:rsidP="001D6C0D">
            <w:pPr>
              <w:spacing w:before="0" w:after="0"/>
              <w:jc w:val="center"/>
              <w:rPr>
                <w:rFonts w:cs="Arial"/>
                <w:color w:val="000000"/>
                <w:sz w:val="18"/>
                <w:szCs w:val="18"/>
                <w:lang w:val="en-AU" w:eastAsia="en-AU"/>
              </w:rPr>
            </w:pPr>
            <w:r w:rsidRPr="004A5BF7">
              <w:rPr>
                <w:rFonts w:cs="Arial"/>
                <w:color w:val="000000"/>
                <w:sz w:val="18"/>
                <w:szCs w:val="18"/>
                <w:lang w:val="en-AU" w:eastAsia="en-AU"/>
              </w:rPr>
              <w:t>0</w:t>
            </w:r>
          </w:p>
        </w:tc>
        <w:tc>
          <w:tcPr>
            <w:tcW w:w="1134" w:type="dxa"/>
            <w:shd w:val="clear" w:color="auto" w:fill="F2F2F2" w:themeFill="background1" w:themeFillShade="F2"/>
            <w:vAlign w:val="center"/>
            <w:hideMark/>
          </w:tcPr>
          <w:p w14:paraId="03931CDC" w14:textId="2C25AF90" w:rsidR="001D6C0D" w:rsidRPr="004A5BF7" w:rsidRDefault="001D6C0D" w:rsidP="001D6C0D">
            <w:pPr>
              <w:spacing w:before="0" w:after="0"/>
              <w:jc w:val="center"/>
              <w:rPr>
                <w:rFonts w:cs="Arial"/>
                <w:color w:val="000000"/>
                <w:sz w:val="18"/>
                <w:szCs w:val="18"/>
                <w:lang w:val="en-AU" w:eastAsia="en-AU"/>
              </w:rPr>
            </w:pPr>
            <w:r>
              <w:rPr>
                <w:rFonts w:cs="Arial"/>
                <w:color w:val="000000"/>
                <w:sz w:val="18"/>
                <w:szCs w:val="18"/>
                <w:lang w:val="en-AU" w:eastAsia="en-AU"/>
              </w:rPr>
              <w:t>3</w:t>
            </w:r>
          </w:p>
        </w:tc>
        <w:tc>
          <w:tcPr>
            <w:tcW w:w="1147" w:type="dxa"/>
            <w:shd w:val="clear" w:color="auto" w:fill="F2F2F2" w:themeFill="background1" w:themeFillShade="F2"/>
            <w:noWrap/>
            <w:vAlign w:val="center"/>
          </w:tcPr>
          <w:p w14:paraId="105934B2" w14:textId="27AE43ED" w:rsidR="001D6C0D" w:rsidRPr="004A5BF7" w:rsidRDefault="001D6C0D" w:rsidP="004A5BF7">
            <w:pPr>
              <w:spacing w:before="0" w:after="0"/>
              <w:jc w:val="center"/>
              <w:rPr>
                <w:rFonts w:cs="Arial"/>
                <w:color w:val="000000"/>
                <w:sz w:val="18"/>
                <w:szCs w:val="18"/>
                <w:lang w:val="en-AU" w:eastAsia="en-AU"/>
              </w:rPr>
            </w:pPr>
            <w:r>
              <w:rPr>
                <w:rFonts w:ascii="Calibri" w:hAnsi="Calibri"/>
                <w:color w:val="000000"/>
                <w:szCs w:val="22"/>
              </w:rPr>
              <w:t>0.0</w:t>
            </w:r>
          </w:p>
        </w:tc>
        <w:tc>
          <w:tcPr>
            <w:tcW w:w="830" w:type="dxa"/>
            <w:vAlign w:val="center"/>
          </w:tcPr>
          <w:p w14:paraId="3A5886C4" w14:textId="442A716D" w:rsidR="001D6C0D" w:rsidRPr="004A5BF7" w:rsidRDefault="001D6C0D" w:rsidP="004A5BF7">
            <w:pPr>
              <w:spacing w:before="0" w:after="0"/>
              <w:jc w:val="center"/>
              <w:rPr>
                <w:rFonts w:cs="Arial"/>
                <w:color w:val="000000"/>
                <w:sz w:val="18"/>
                <w:szCs w:val="18"/>
                <w:lang w:val="en-AU" w:eastAsia="en-AU"/>
              </w:rPr>
            </w:pPr>
            <w:r>
              <w:rPr>
                <w:rFonts w:ascii="Calibri" w:hAnsi="Calibri"/>
                <w:color w:val="000000"/>
                <w:szCs w:val="22"/>
              </w:rPr>
              <w:t>77</w:t>
            </w:r>
          </w:p>
        </w:tc>
        <w:tc>
          <w:tcPr>
            <w:tcW w:w="1080" w:type="dxa"/>
            <w:vAlign w:val="center"/>
          </w:tcPr>
          <w:p w14:paraId="61788C1B" w14:textId="20623A95" w:rsidR="001D6C0D" w:rsidRPr="004A5BF7" w:rsidRDefault="001D6C0D" w:rsidP="004A5BF7">
            <w:pPr>
              <w:spacing w:before="0" w:after="0"/>
              <w:jc w:val="center"/>
              <w:rPr>
                <w:rFonts w:cs="Arial"/>
                <w:color w:val="000000"/>
                <w:sz w:val="18"/>
                <w:szCs w:val="18"/>
                <w:lang w:val="en-AU" w:eastAsia="en-AU"/>
              </w:rPr>
            </w:pPr>
            <w:r>
              <w:rPr>
                <w:rFonts w:ascii="Calibri" w:hAnsi="Calibri"/>
                <w:color w:val="000000"/>
                <w:szCs w:val="22"/>
              </w:rPr>
              <w:t>0.0</w:t>
            </w:r>
          </w:p>
        </w:tc>
      </w:tr>
      <w:tr w:rsidR="001D6C0D" w:rsidRPr="00FC39DB" w14:paraId="3D5C60AB" w14:textId="77777777" w:rsidTr="004A5BF7">
        <w:trPr>
          <w:trHeight w:val="300"/>
        </w:trPr>
        <w:tc>
          <w:tcPr>
            <w:tcW w:w="1925" w:type="dxa"/>
            <w:shd w:val="clear" w:color="auto" w:fill="auto"/>
            <w:noWrap/>
            <w:vAlign w:val="center"/>
          </w:tcPr>
          <w:p w14:paraId="5C5F76C8" w14:textId="671E3504" w:rsidR="001D6C0D" w:rsidRPr="001D6C0D" w:rsidRDefault="001D6C0D" w:rsidP="001D6C0D">
            <w:pPr>
              <w:spacing w:before="0" w:after="0"/>
              <w:jc w:val="left"/>
              <w:rPr>
                <w:rFonts w:cs="Arial"/>
                <w:iCs/>
                <w:color w:val="000000"/>
                <w:sz w:val="18"/>
                <w:szCs w:val="18"/>
                <w:lang w:val="en-AU" w:eastAsia="en-AU"/>
              </w:rPr>
            </w:pPr>
            <w:r w:rsidRPr="002036A6">
              <w:rPr>
                <w:rFonts w:cs="Arial"/>
                <w:b/>
                <w:bCs/>
                <w:i/>
                <w:iCs/>
                <w:color w:val="000000"/>
                <w:sz w:val="18"/>
                <w:szCs w:val="18"/>
                <w:lang w:val="en-AU" w:eastAsia="en-AU"/>
              </w:rPr>
              <w:t>GBR</w:t>
            </w:r>
          </w:p>
        </w:tc>
        <w:tc>
          <w:tcPr>
            <w:tcW w:w="1147" w:type="dxa"/>
            <w:shd w:val="clear" w:color="auto" w:fill="auto"/>
            <w:vAlign w:val="center"/>
          </w:tcPr>
          <w:p w14:paraId="555CC5D9" w14:textId="77777777" w:rsidR="001D6C0D" w:rsidRPr="001D6C0D" w:rsidRDefault="001D6C0D" w:rsidP="004A5BF7">
            <w:pPr>
              <w:spacing w:before="0" w:after="0"/>
              <w:jc w:val="center"/>
              <w:rPr>
                <w:rFonts w:cs="Arial"/>
                <w:color w:val="000000"/>
                <w:sz w:val="18"/>
                <w:szCs w:val="18"/>
                <w:lang w:val="en-AU" w:eastAsia="en-AU"/>
              </w:rPr>
            </w:pPr>
          </w:p>
        </w:tc>
        <w:tc>
          <w:tcPr>
            <w:tcW w:w="1102" w:type="dxa"/>
            <w:vAlign w:val="center"/>
          </w:tcPr>
          <w:p w14:paraId="631F04F3" w14:textId="24F22FBC" w:rsidR="001D6C0D" w:rsidRPr="001D6C0D" w:rsidRDefault="001D6C0D" w:rsidP="001D6C0D">
            <w:pPr>
              <w:spacing w:before="0" w:after="0"/>
              <w:jc w:val="center"/>
              <w:rPr>
                <w:rFonts w:cs="Arial"/>
                <w:color w:val="000000"/>
                <w:sz w:val="18"/>
                <w:szCs w:val="18"/>
                <w:lang w:val="en-AU" w:eastAsia="en-AU"/>
              </w:rPr>
            </w:pPr>
            <w:r>
              <w:rPr>
                <w:rFonts w:cs="Arial"/>
                <w:color w:val="000000"/>
                <w:sz w:val="18"/>
                <w:szCs w:val="18"/>
                <w:lang w:val="en-AU" w:eastAsia="en-AU"/>
              </w:rPr>
              <w:t>100</w:t>
            </w:r>
          </w:p>
        </w:tc>
        <w:tc>
          <w:tcPr>
            <w:tcW w:w="1134" w:type="dxa"/>
            <w:shd w:val="clear" w:color="auto" w:fill="F2F2F2" w:themeFill="background1" w:themeFillShade="F2"/>
            <w:vAlign w:val="center"/>
          </w:tcPr>
          <w:p w14:paraId="380DC66E" w14:textId="0717612C" w:rsidR="001D6C0D" w:rsidRPr="001D6C0D" w:rsidDel="001D6C0D" w:rsidRDefault="001D6C0D" w:rsidP="001D6C0D">
            <w:pPr>
              <w:spacing w:before="0" w:after="0"/>
              <w:jc w:val="center"/>
              <w:rPr>
                <w:rFonts w:cs="Arial"/>
                <w:color w:val="000000"/>
                <w:sz w:val="18"/>
                <w:szCs w:val="18"/>
                <w:lang w:val="en-AU" w:eastAsia="en-AU"/>
              </w:rPr>
            </w:pPr>
            <w:r>
              <w:rPr>
                <w:rFonts w:cs="Arial"/>
                <w:color w:val="000000"/>
                <w:sz w:val="18"/>
                <w:szCs w:val="18"/>
                <w:lang w:val="en-AU" w:eastAsia="en-AU"/>
              </w:rPr>
              <w:t>27</w:t>
            </w:r>
          </w:p>
        </w:tc>
        <w:tc>
          <w:tcPr>
            <w:tcW w:w="1147" w:type="dxa"/>
            <w:shd w:val="clear" w:color="auto" w:fill="F2F2F2" w:themeFill="background1" w:themeFillShade="F2"/>
            <w:noWrap/>
            <w:vAlign w:val="center"/>
          </w:tcPr>
          <w:p w14:paraId="03822FE0" w14:textId="5B918EEC" w:rsidR="001D6C0D" w:rsidRDefault="001D6C0D" w:rsidP="001D6C0D">
            <w:pPr>
              <w:spacing w:before="0" w:after="0"/>
              <w:jc w:val="center"/>
              <w:rPr>
                <w:rFonts w:ascii="Calibri" w:hAnsi="Calibri"/>
                <w:color w:val="000000"/>
                <w:szCs w:val="22"/>
              </w:rPr>
            </w:pPr>
            <w:r>
              <w:rPr>
                <w:rFonts w:ascii="Calibri" w:hAnsi="Calibri"/>
                <w:color w:val="000000"/>
                <w:szCs w:val="22"/>
              </w:rPr>
              <w:t>27.4</w:t>
            </w:r>
          </w:p>
        </w:tc>
        <w:tc>
          <w:tcPr>
            <w:tcW w:w="830" w:type="dxa"/>
            <w:vAlign w:val="center"/>
          </w:tcPr>
          <w:p w14:paraId="3473438C" w14:textId="6B721CB3" w:rsidR="001D6C0D" w:rsidRDefault="001D6C0D" w:rsidP="001D6C0D">
            <w:pPr>
              <w:spacing w:before="0" w:after="0"/>
              <w:jc w:val="center"/>
              <w:rPr>
                <w:rFonts w:ascii="Calibri" w:hAnsi="Calibri"/>
                <w:color w:val="000000"/>
                <w:szCs w:val="22"/>
              </w:rPr>
            </w:pPr>
            <w:r>
              <w:rPr>
                <w:rFonts w:ascii="Calibri" w:hAnsi="Calibri"/>
                <w:color w:val="000000"/>
                <w:szCs w:val="22"/>
              </w:rPr>
              <w:t>8</w:t>
            </w:r>
          </w:p>
        </w:tc>
        <w:tc>
          <w:tcPr>
            <w:tcW w:w="1080" w:type="dxa"/>
            <w:vAlign w:val="center"/>
          </w:tcPr>
          <w:p w14:paraId="44F31AEA" w14:textId="4C5F98C2" w:rsidR="001D6C0D" w:rsidRDefault="001D6C0D" w:rsidP="001D6C0D">
            <w:pPr>
              <w:spacing w:before="0" w:after="0"/>
              <w:jc w:val="center"/>
              <w:rPr>
                <w:rFonts w:ascii="Calibri" w:hAnsi="Calibri"/>
                <w:color w:val="000000"/>
                <w:szCs w:val="22"/>
              </w:rPr>
            </w:pPr>
            <w:r>
              <w:rPr>
                <w:rFonts w:ascii="Calibri" w:hAnsi="Calibri"/>
                <w:color w:val="000000"/>
                <w:szCs w:val="22"/>
              </w:rPr>
              <w:t>57.8</w:t>
            </w:r>
          </w:p>
        </w:tc>
      </w:tr>
    </w:tbl>
    <w:p w14:paraId="5AF6D573" w14:textId="4DC78C43" w:rsidR="008369AF" w:rsidRDefault="000B139E" w:rsidP="004A5BF7">
      <w:r w:rsidRPr="001D6C0D">
        <w:t>A combined Chl</w:t>
      </w:r>
      <w:r w:rsidR="0093623D" w:rsidRPr="001D6C0D">
        <w:t>-</w:t>
      </w:r>
      <w:r w:rsidRPr="001D6C0D">
        <w:t>a and TSS score</w:t>
      </w:r>
      <w:r w:rsidR="001B65AC" w:rsidRPr="001D6C0D">
        <w:t xml:space="preserve"> for each Region</w:t>
      </w:r>
      <w:r w:rsidRPr="001D6C0D">
        <w:t xml:space="preserve"> is then calculated using the mean of the Chl</w:t>
      </w:r>
      <w:r w:rsidR="0093623D" w:rsidRPr="001D6C0D">
        <w:t>-</w:t>
      </w:r>
      <w:r w:rsidRPr="001D6C0D">
        <w:t xml:space="preserve">a and TSS scores </w:t>
      </w:r>
      <w:r w:rsidR="001B65AC" w:rsidRPr="001D6C0D">
        <w:t xml:space="preserve">that were </w:t>
      </w:r>
      <w:r w:rsidRPr="001D6C0D">
        <w:t xml:space="preserve">calculated in </w:t>
      </w:r>
      <w:r w:rsidRPr="001D6C0D">
        <w:fldChar w:fldCharType="begin"/>
      </w:r>
      <w:r w:rsidRPr="001D6C0D">
        <w:instrText xml:space="preserve"> REF _Ref452322334 \h </w:instrText>
      </w:r>
      <w:r w:rsidR="00B43F3B" w:rsidRPr="001D6C0D">
        <w:instrText xml:space="preserve"> \* MERGEFORMAT </w:instrText>
      </w:r>
      <w:r w:rsidRPr="001D6C0D">
        <w:fldChar w:fldCharType="separate"/>
      </w:r>
      <w:r w:rsidR="007F5336" w:rsidRPr="00422AA4">
        <w:t xml:space="preserve">Table </w:t>
      </w:r>
      <w:r w:rsidR="007F5336">
        <w:rPr>
          <w:noProof/>
        </w:rPr>
        <w:t>5</w:t>
      </w:r>
      <w:r w:rsidR="007F5336">
        <w:rPr>
          <w:noProof/>
        </w:rPr>
        <w:noBreakHyphen/>
        <w:t>9</w:t>
      </w:r>
      <w:r w:rsidRPr="001D6C0D">
        <w:fldChar w:fldCharType="end"/>
      </w:r>
      <w:r w:rsidRPr="001D6C0D">
        <w:t>.</w:t>
      </w:r>
      <w:r w:rsidR="001B65AC" w:rsidRPr="001D6C0D">
        <w:t xml:space="preserve"> </w:t>
      </w:r>
      <w:r w:rsidRPr="001D6C0D">
        <w:t xml:space="preserve">The final GBR score is the </w:t>
      </w:r>
      <w:r w:rsidR="008369AF" w:rsidRPr="001D6C0D">
        <w:t xml:space="preserve">sum </w:t>
      </w:r>
      <w:r w:rsidRPr="001D6C0D">
        <w:t>of all of the weighted regional scores</w:t>
      </w:r>
      <w:r w:rsidR="008369AF" w:rsidRPr="001D6C0D">
        <w:t>,</w:t>
      </w:r>
      <w:r w:rsidR="001B65AC" w:rsidRPr="001D6C0D">
        <w:t xml:space="preserve"> shown in</w:t>
      </w:r>
      <w:r w:rsidR="00AB2398">
        <w:t xml:space="preserve"> </w:t>
      </w:r>
      <w:r w:rsidR="00AB2398">
        <w:fldChar w:fldCharType="begin"/>
      </w:r>
      <w:r w:rsidR="00AB2398">
        <w:instrText xml:space="preserve"> REF _Ref461194785 \h </w:instrText>
      </w:r>
      <w:r w:rsidR="00AB2398">
        <w:fldChar w:fldCharType="separate"/>
      </w:r>
      <w:r w:rsidR="007F5336" w:rsidRPr="00C62884">
        <w:t xml:space="preserve">Table </w:t>
      </w:r>
      <w:r w:rsidR="007F5336">
        <w:rPr>
          <w:noProof/>
        </w:rPr>
        <w:t>5</w:t>
      </w:r>
      <w:r w:rsidR="007F5336" w:rsidRPr="00C62884">
        <w:noBreakHyphen/>
      </w:r>
      <w:r w:rsidR="007F5336">
        <w:rPr>
          <w:noProof/>
        </w:rPr>
        <w:t>10</w:t>
      </w:r>
      <w:r w:rsidR="00AB2398">
        <w:fldChar w:fldCharType="end"/>
      </w:r>
      <w:r w:rsidR="001B65AC" w:rsidRPr="001D6C0D">
        <w:t>.</w:t>
      </w:r>
      <w:r w:rsidR="00F81626" w:rsidRPr="001D6C0D">
        <w:t xml:space="preserve"> </w:t>
      </w:r>
      <w:r w:rsidR="00C62884">
        <w:rPr>
          <w:rFonts w:cs="Arial"/>
          <w:color w:val="000000" w:themeColor="text1"/>
          <w:lang w:val="en-AU"/>
        </w:rPr>
        <w:t>The overall metric score was assessed as ‘</w:t>
      </w:r>
      <w:r w:rsidR="00C62884">
        <w:t>moderate’</w:t>
      </w:r>
      <w:r w:rsidR="00C62884" w:rsidRPr="00D853C3">
        <w:rPr>
          <w:rFonts w:eastAsia="Arial" w:cs="Arial"/>
        </w:rPr>
        <w:t xml:space="preserve"> in </w:t>
      </w:r>
      <w:r w:rsidR="00C62884">
        <w:rPr>
          <w:rFonts w:eastAsia="Arial" w:cs="Arial"/>
        </w:rPr>
        <w:t xml:space="preserve">2014-15. </w:t>
      </w:r>
      <w:r w:rsidR="00C62884" w:rsidRPr="00475910">
        <w:rPr>
          <w:rFonts w:eastAsia="Arial" w:cs="Arial"/>
        </w:rPr>
        <w:t>C</w:t>
      </w:r>
      <w:r w:rsidR="00C62884">
        <w:rPr>
          <w:rFonts w:eastAsia="Arial" w:cs="Arial"/>
        </w:rPr>
        <w:t>omponent scores for c</w:t>
      </w:r>
      <w:r w:rsidR="00C62884" w:rsidRPr="00475910">
        <w:rPr>
          <w:rFonts w:eastAsia="Arial" w:cs="Arial"/>
        </w:rPr>
        <w:t xml:space="preserve">oncentrations of </w:t>
      </w:r>
      <w:r w:rsidR="00C62884">
        <w:rPr>
          <w:rFonts w:eastAsia="Arial" w:cs="Arial"/>
        </w:rPr>
        <w:t>Chl-a and TSS</w:t>
      </w:r>
      <w:r w:rsidR="00C62884" w:rsidRPr="00475910">
        <w:rPr>
          <w:rFonts w:eastAsia="Arial" w:cs="Arial"/>
        </w:rPr>
        <w:t xml:space="preserve"> </w:t>
      </w:r>
      <w:r w:rsidR="00C62884" w:rsidRPr="00D14C64">
        <w:rPr>
          <w:rFonts w:eastAsia="Arial" w:cs="Arial"/>
        </w:rPr>
        <w:t xml:space="preserve">were </w:t>
      </w:r>
      <w:r w:rsidR="00C62884">
        <w:rPr>
          <w:rFonts w:eastAsia="Arial" w:cs="Arial"/>
        </w:rPr>
        <w:t>‘</w:t>
      </w:r>
      <w:r w:rsidR="00C62884" w:rsidRPr="0001401D">
        <w:t>poor</w:t>
      </w:r>
      <w:r w:rsidR="00C62884">
        <w:t>’</w:t>
      </w:r>
      <w:r w:rsidR="00C62884" w:rsidRPr="0001401D">
        <w:t xml:space="preserve"> </w:t>
      </w:r>
      <w:r w:rsidR="00C62884" w:rsidRPr="0001401D">
        <w:rPr>
          <w:rFonts w:eastAsia="Arial" w:cs="Arial"/>
        </w:rPr>
        <w:t xml:space="preserve">and </w:t>
      </w:r>
      <w:r w:rsidR="00C62884">
        <w:rPr>
          <w:rFonts w:eastAsia="Arial" w:cs="Arial"/>
        </w:rPr>
        <w:t>‘</w:t>
      </w:r>
      <w:r w:rsidR="00C62884">
        <w:t>moderate’</w:t>
      </w:r>
      <w:r w:rsidR="00C62884" w:rsidRPr="00D14C64">
        <w:t xml:space="preserve"> </w:t>
      </w:r>
      <w:r w:rsidR="00C62884" w:rsidRPr="00D14C64">
        <w:rPr>
          <w:rFonts w:eastAsia="Arial" w:cs="Arial"/>
        </w:rPr>
        <w:t>respectively</w:t>
      </w:r>
      <w:r w:rsidR="00C62884" w:rsidRPr="00475910">
        <w:rPr>
          <w:rFonts w:eastAsia="Arial" w:cs="Arial"/>
        </w:rPr>
        <w:t xml:space="preserve"> </w:t>
      </w:r>
      <w:r w:rsidR="00C62884" w:rsidRPr="00854C65">
        <w:rPr>
          <w:rFonts w:eastAsia="Arial" w:cs="Arial"/>
        </w:rPr>
        <w:t xml:space="preserve">in </w:t>
      </w:r>
      <w:r w:rsidR="00C62884">
        <w:rPr>
          <w:rFonts w:eastAsia="Arial" w:cs="Arial"/>
        </w:rPr>
        <w:t xml:space="preserve">2014-15. </w:t>
      </w:r>
      <w:r w:rsidR="00F81626" w:rsidRPr="001D6C0D">
        <w:t xml:space="preserve">These results indicate that </w:t>
      </w:r>
      <w:r w:rsidR="00FB3922" w:rsidRPr="001D6C0D">
        <w:t xml:space="preserve">the </w:t>
      </w:r>
      <w:r w:rsidR="00F81626" w:rsidRPr="001D6C0D">
        <w:t>Chl</w:t>
      </w:r>
      <w:r w:rsidR="001D6C0D" w:rsidRPr="004A5BF7">
        <w:t>-</w:t>
      </w:r>
      <w:r w:rsidR="00F81626" w:rsidRPr="001D6C0D">
        <w:t xml:space="preserve">a </w:t>
      </w:r>
      <w:r w:rsidR="00FB3922" w:rsidRPr="001D6C0D">
        <w:t xml:space="preserve">scores were </w:t>
      </w:r>
      <w:r w:rsidR="00F81626" w:rsidRPr="001D6C0D">
        <w:t xml:space="preserve">in the </w:t>
      </w:r>
      <w:r w:rsidR="00CD66C0">
        <w:t>‘</w:t>
      </w:r>
      <w:r w:rsidR="00F81626" w:rsidRPr="001D6C0D">
        <w:t>very poor</w:t>
      </w:r>
      <w:r w:rsidR="00CD66C0">
        <w:t>’</w:t>
      </w:r>
      <w:r w:rsidR="00F81626" w:rsidRPr="001D6C0D">
        <w:t xml:space="preserve"> category for </w:t>
      </w:r>
      <w:r w:rsidR="00CD66C0">
        <w:t>the Wet Tropics and Fitzroy regions, ‘poor’ for the Burdekin region and ‘moderate’ for the Mackay Whitsunday region</w:t>
      </w:r>
      <w:r w:rsidR="00FB3922" w:rsidRPr="001D6C0D">
        <w:t xml:space="preserve">. The TSS results indicate that the TSS scores were in the </w:t>
      </w:r>
      <w:r w:rsidR="00CD66C0">
        <w:t>‘moderate’</w:t>
      </w:r>
      <w:r w:rsidR="00FB3922" w:rsidRPr="001D6C0D">
        <w:t xml:space="preserve"> category for the Wet Tropic</w:t>
      </w:r>
      <w:r w:rsidR="00CD66C0">
        <w:t>, Burdekin, and Fitzroy</w:t>
      </w:r>
      <w:r w:rsidR="00FB3922" w:rsidRPr="001D6C0D">
        <w:t xml:space="preserve"> regions, and </w:t>
      </w:r>
      <w:r w:rsidR="00CD66C0">
        <w:t>‘</w:t>
      </w:r>
      <w:r w:rsidR="00FB3922" w:rsidRPr="001D6C0D">
        <w:t>good</w:t>
      </w:r>
      <w:r w:rsidR="00CD66C0">
        <w:t>’</w:t>
      </w:r>
      <w:r w:rsidR="00FB3922" w:rsidRPr="001D6C0D">
        <w:t xml:space="preserve"> in </w:t>
      </w:r>
      <w:r w:rsidR="00CD66C0">
        <w:t>the Mackay Whitsunday region</w:t>
      </w:r>
      <w:r w:rsidR="00FB3922" w:rsidRPr="001D6C0D">
        <w:t>.</w:t>
      </w:r>
      <w:r w:rsidR="00FB3922">
        <w:t xml:space="preserve"> </w:t>
      </w:r>
    </w:p>
    <w:p w14:paraId="1E6882E8" w14:textId="3D930D71" w:rsidR="00C62884" w:rsidRPr="00C62884" w:rsidRDefault="00C62884" w:rsidP="00C62884">
      <w:pPr>
        <w:pStyle w:val="Caption"/>
      </w:pPr>
      <w:bookmarkStart w:id="1416" w:name="_Ref461194785"/>
      <w:bookmarkStart w:id="1417" w:name="_Toc459332164"/>
      <w:r w:rsidRPr="00C62884">
        <w:t xml:space="preserve">Table </w:t>
      </w:r>
      <w:r w:rsidRPr="00C62884">
        <w:fldChar w:fldCharType="begin"/>
      </w:r>
      <w:r w:rsidRPr="00C62884">
        <w:instrText xml:space="preserve"> STYLEREF 1 \s </w:instrText>
      </w:r>
      <w:r w:rsidRPr="00C62884">
        <w:fldChar w:fldCharType="separate"/>
      </w:r>
      <w:r w:rsidR="007F5336">
        <w:rPr>
          <w:noProof/>
        </w:rPr>
        <w:t>5</w:t>
      </w:r>
      <w:r w:rsidRPr="00C62884">
        <w:fldChar w:fldCharType="end"/>
      </w:r>
      <w:r w:rsidRPr="00C62884">
        <w:noBreakHyphen/>
      </w:r>
      <w:r w:rsidRPr="00C62884">
        <w:fldChar w:fldCharType="begin"/>
      </w:r>
      <w:r w:rsidRPr="00C62884">
        <w:instrText xml:space="preserve"> SEQ Table \* ARABIC \s 1 </w:instrText>
      </w:r>
      <w:r w:rsidRPr="00C62884">
        <w:fldChar w:fldCharType="separate"/>
      </w:r>
      <w:r w:rsidR="007F5336">
        <w:rPr>
          <w:noProof/>
        </w:rPr>
        <w:t>10</w:t>
      </w:r>
      <w:r w:rsidRPr="00C62884">
        <w:fldChar w:fldCharType="end"/>
      </w:r>
      <w:bookmarkEnd w:id="1416"/>
      <w:r w:rsidRPr="00C62884">
        <w:t>: Calculation of weighted scores using remote sensing data of Chl a and TSS for the 2015 Report Card, based on GBRMPA monitoring year of 1 May 2014 to 30 April 2015.</w:t>
      </w:r>
      <w:bookmarkEnd w:id="1417"/>
    </w:p>
    <w:p w14:paraId="2A72CD1C" w14:textId="77777777" w:rsidR="00C62884" w:rsidRDefault="00C62884" w:rsidP="00C62884">
      <w:pPr>
        <w:spacing w:after="0"/>
        <w:rPr>
          <w:rFonts w:eastAsia="Arial" w:cs="Arial"/>
        </w:rPr>
      </w:pPr>
    </w:p>
    <w:tbl>
      <w:tblPr>
        <w:tblW w:w="846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5 10: Calculation of weighted scores using remote sensing data of Chl a and TSS for the 2015 Report Card, based on GBRMPA monitoring year of 1 May 2014 to 30 April 2015."/>
        <w:tblDescription w:val="Table showing calculation of weighted scores using remote sensing data of Chl a and TSS for the 2015 Report Card, based on GBRMPA monitoring year of 1 May 2014 to 30 April 2015 for each NRM region."/>
      </w:tblPr>
      <w:tblGrid>
        <w:gridCol w:w="2080"/>
        <w:gridCol w:w="1328"/>
        <w:gridCol w:w="1143"/>
        <w:gridCol w:w="1263"/>
        <w:gridCol w:w="236"/>
        <w:gridCol w:w="1215"/>
        <w:gridCol w:w="1200"/>
      </w:tblGrid>
      <w:tr w:rsidR="009C09C3" w:rsidRPr="003C2349" w14:paraId="73AEBB01" w14:textId="77777777" w:rsidTr="009C09C3">
        <w:trPr>
          <w:trHeight w:val="863"/>
          <w:tblHeader/>
        </w:trPr>
        <w:tc>
          <w:tcPr>
            <w:tcW w:w="2080" w:type="dxa"/>
            <w:shd w:val="clear" w:color="auto" w:fill="auto"/>
            <w:noWrap/>
            <w:vAlign w:val="center"/>
            <w:hideMark/>
          </w:tcPr>
          <w:p w14:paraId="113361F3" w14:textId="77777777" w:rsidR="009C09C3" w:rsidRPr="003C2349" w:rsidRDefault="009C09C3" w:rsidP="009C09C3">
            <w:pPr>
              <w:spacing w:before="0" w:after="0"/>
              <w:jc w:val="left"/>
              <w:rPr>
                <w:rFonts w:cs="Arial"/>
                <w:b/>
                <w:color w:val="000000"/>
                <w:sz w:val="20"/>
                <w:lang w:val="en-AU" w:eastAsia="en-AU"/>
              </w:rPr>
            </w:pPr>
            <w:r w:rsidRPr="003C2349">
              <w:rPr>
                <w:rFonts w:cs="Arial"/>
                <w:b/>
                <w:color w:val="000000"/>
                <w:sz w:val="20"/>
                <w:lang w:val="en-AU" w:eastAsia="en-AU"/>
              </w:rPr>
              <w:t>Region</w:t>
            </w:r>
          </w:p>
        </w:tc>
        <w:tc>
          <w:tcPr>
            <w:tcW w:w="1328" w:type="dxa"/>
            <w:shd w:val="clear" w:color="auto" w:fill="auto"/>
            <w:vAlign w:val="center"/>
            <w:hideMark/>
          </w:tcPr>
          <w:p w14:paraId="7B415248" w14:textId="77777777" w:rsidR="009C09C3" w:rsidRPr="003C2349" w:rsidRDefault="009C09C3" w:rsidP="009C09C3">
            <w:pPr>
              <w:spacing w:before="0" w:after="0"/>
              <w:jc w:val="center"/>
              <w:rPr>
                <w:rFonts w:cs="Arial"/>
                <w:b/>
                <w:color w:val="000000"/>
                <w:sz w:val="20"/>
                <w:lang w:val="en-AU" w:eastAsia="en-AU"/>
              </w:rPr>
            </w:pPr>
            <w:r w:rsidRPr="003C2349">
              <w:rPr>
                <w:rFonts w:cs="Arial"/>
                <w:b/>
                <w:color w:val="000000"/>
                <w:sz w:val="20"/>
                <w:lang w:val="en-AU" w:eastAsia="en-AU"/>
              </w:rPr>
              <w:t>Chlorophyll a</w:t>
            </w:r>
          </w:p>
        </w:tc>
        <w:tc>
          <w:tcPr>
            <w:tcW w:w="1143" w:type="dxa"/>
            <w:shd w:val="clear" w:color="auto" w:fill="auto"/>
            <w:noWrap/>
            <w:vAlign w:val="center"/>
            <w:hideMark/>
          </w:tcPr>
          <w:p w14:paraId="13FE9E67" w14:textId="77777777" w:rsidR="009C09C3" w:rsidRPr="003C2349" w:rsidRDefault="009C09C3" w:rsidP="009C09C3">
            <w:pPr>
              <w:spacing w:before="0" w:after="0"/>
              <w:jc w:val="center"/>
              <w:rPr>
                <w:rFonts w:cs="Arial"/>
                <w:b/>
                <w:color w:val="000000"/>
                <w:sz w:val="20"/>
                <w:lang w:val="en-AU" w:eastAsia="en-AU"/>
              </w:rPr>
            </w:pPr>
            <w:r w:rsidRPr="003C2349">
              <w:rPr>
                <w:rFonts w:cs="Arial"/>
                <w:b/>
                <w:color w:val="000000"/>
                <w:sz w:val="20"/>
                <w:lang w:val="en-AU" w:eastAsia="en-AU"/>
              </w:rPr>
              <w:t>TSS</w:t>
            </w:r>
          </w:p>
        </w:tc>
        <w:tc>
          <w:tcPr>
            <w:tcW w:w="1263" w:type="dxa"/>
            <w:tcBorders>
              <w:right w:val="single" w:sz="4" w:space="0" w:color="auto"/>
            </w:tcBorders>
            <w:shd w:val="clear" w:color="auto" w:fill="auto"/>
            <w:vAlign w:val="center"/>
            <w:hideMark/>
          </w:tcPr>
          <w:p w14:paraId="2A0F8DD7" w14:textId="77777777" w:rsidR="009C09C3" w:rsidRPr="003C2349" w:rsidRDefault="009C09C3" w:rsidP="009C09C3">
            <w:pPr>
              <w:spacing w:before="0" w:after="0"/>
              <w:jc w:val="center"/>
              <w:rPr>
                <w:rFonts w:cs="Arial"/>
                <w:b/>
                <w:bCs/>
                <w:color w:val="000000"/>
                <w:sz w:val="20"/>
                <w:lang w:val="en-AU" w:eastAsia="en-AU"/>
              </w:rPr>
            </w:pPr>
            <w:r w:rsidRPr="003C2349">
              <w:rPr>
                <w:rFonts w:cs="Arial"/>
                <w:b/>
                <w:bCs/>
                <w:color w:val="000000"/>
                <w:sz w:val="20"/>
                <w:lang w:val="en-AU" w:eastAsia="en-AU"/>
              </w:rPr>
              <w:t>WQ Index</w:t>
            </w:r>
          </w:p>
        </w:tc>
        <w:tc>
          <w:tcPr>
            <w:tcW w:w="236" w:type="dxa"/>
            <w:tcBorders>
              <w:top w:val="nil"/>
              <w:left w:val="single" w:sz="4" w:space="0" w:color="auto"/>
              <w:bottom w:val="nil"/>
              <w:right w:val="nil"/>
            </w:tcBorders>
            <w:shd w:val="clear" w:color="auto" w:fill="auto"/>
            <w:vAlign w:val="center"/>
          </w:tcPr>
          <w:p w14:paraId="31C14254" w14:textId="77777777" w:rsidR="009C09C3" w:rsidRPr="00CD66C0" w:rsidRDefault="009C09C3" w:rsidP="009C09C3">
            <w:pPr>
              <w:spacing w:before="0" w:after="0"/>
              <w:jc w:val="center"/>
              <w:rPr>
                <w:rFonts w:cs="Arial"/>
                <w:b/>
                <w:bCs/>
                <w:color w:val="000000"/>
                <w:sz w:val="20"/>
                <w:lang w:val="en-AU" w:eastAsia="en-AU"/>
              </w:rPr>
            </w:pPr>
          </w:p>
        </w:tc>
        <w:tc>
          <w:tcPr>
            <w:tcW w:w="2415" w:type="dxa"/>
            <w:gridSpan w:val="2"/>
            <w:tcBorders>
              <w:top w:val="nil"/>
              <w:left w:val="nil"/>
              <w:bottom w:val="nil"/>
              <w:right w:val="nil"/>
            </w:tcBorders>
            <w:shd w:val="clear" w:color="auto" w:fill="auto"/>
            <w:vAlign w:val="center"/>
          </w:tcPr>
          <w:p w14:paraId="35D97D75" w14:textId="749FBBBD" w:rsidR="009C09C3" w:rsidRPr="003C2349" w:rsidRDefault="009C09C3" w:rsidP="009C09C3">
            <w:pPr>
              <w:spacing w:before="0" w:after="0"/>
              <w:jc w:val="center"/>
              <w:rPr>
                <w:rFonts w:cs="Arial"/>
                <w:b/>
                <w:sz w:val="20"/>
              </w:rPr>
            </w:pPr>
            <w:r w:rsidRPr="003C2349">
              <w:rPr>
                <w:rFonts w:cs="Arial"/>
                <w:b/>
                <w:i/>
                <w:color w:val="000000"/>
                <w:sz w:val="20"/>
              </w:rPr>
              <w:t>Colour key</w:t>
            </w:r>
          </w:p>
        </w:tc>
      </w:tr>
      <w:tr w:rsidR="00C62884" w:rsidRPr="003C2349" w14:paraId="450736FE" w14:textId="77777777" w:rsidTr="008A753A">
        <w:trPr>
          <w:trHeight w:val="312"/>
        </w:trPr>
        <w:tc>
          <w:tcPr>
            <w:tcW w:w="2080" w:type="dxa"/>
            <w:shd w:val="clear" w:color="auto" w:fill="auto"/>
            <w:noWrap/>
            <w:vAlign w:val="bottom"/>
            <w:hideMark/>
          </w:tcPr>
          <w:p w14:paraId="11491CD6" w14:textId="77777777" w:rsidR="00C62884" w:rsidRPr="003C2349" w:rsidRDefault="00C62884" w:rsidP="008A753A">
            <w:pPr>
              <w:spacing w:before="0" w:after="0"/>
              <w:jc w:val="left"/>
              <w:rPr>
                <w:rFonts w:cs="Arial"/>
                <w:color w:val="000000"/>
                <w:sz w:val="20"/>
                <w:lang w:val="en-AU" w:eastAsia="en-AU"/>
              </w:rPr>
            </w:pPr>
            <w:r w:rsidRPr="003C2349">
              <w:rPr>
                <w:rFonts w:cs="Arial"/>
                <w:color w:val="000000"/>
                <w:sz w:val="20"/>
                <w:lang w:val="en-AU" w:eastAsia="en-AU"/>
              </w:rPr>
              <w:t>Cape York</w:t>
            </w:r>
          </w:p>
        </w:tc>
        <w:tc>
          <w:tcPr>
            <w:tcW w:w="1328" w:type="dxa"/>
            <w:shd w:val="clear" w:color="auto" w:fill="auto"/>
            <w:noWrap/>
            <w:vAlign w:val="bottom"/>
          </w:tcPr>
          <w:p w14:paraId="3CE400CE" w14:textId="77777777" w:rsidR="00C62884" w:rsidRPr="003C2349" w:rsidRDefault="00C62884" w:rsidP="008A753A">
            <w:pPr>
              <w:spacing w:before="0" w:after="0"/>
              <w:jc w:val="center"/>
              <w:rPr>
                <w:rFonts w:cs="Arial"/>
                <w:color w:val="000000"/>
                <w:sz w:val="20"/>
                <w:lang w:val="en-AU" w:eastAsia="en-AU"/>
              </w:rPr>
            </w:pPr>
            <w:r w:rsidRPr="003C2349">
              <w:rPr>
                <w:rFonts w:cs="Arial"/>
                <w:color w:val="000000"/>
                <w:sz w:val="20"/>
              </w:rPr>
              <w:t>n/a</w:t>
            </w:r>
          </w:p>
        </w:tc>
        <w:tc>
          <w:tcPr>
            <w:tcW w:w="1143" w:type="dxa"/>
            <w:shd w:val="clear" w:color="auto" w:fill="auto"/>
            <w:noWrap/>
            <w:vAlign w:val="bottom"/>
          </w:tcPr>
          <w:p w14:paraId="11FFA81E" w14:textId="77777777" w:rsidR="00C62884" w:rsidRPr="003C2349" w:rsidRDefault="00C62884" w:rsidP="008A753A">
            <w:pPr>
              <w:spacing w:before="0" w:after="0"/>
              <w:jc w:val="center"/>
              <w:rPr>
                <w:rFonts w:cs="Arial"/>
                <w:color w:val="000000"/>
                <w:sz w:val="20"/>
                <w:lang w:val="en-AU" w:eastAsia="en-AU"/>
              </w:rPr>
            </w:pPr>
            <w:r w:rsidRPr="003C2349">
              <w:rPr>
                <w:rFonts w:cs="Arial"/>
                <w:color w:val="000000"/>
                <w:sz w:val="20"/>
              </w:rPr>
              <w:t>n/a</w:t>
            </w:r>
          </w:p>
        </w:tc>
        <w:tc>
          <w:tcPr>
            <w:tcW w:w="1263" w:type="dxa"/>
            <w:tcBorders>
              <w:right w:val="single" w:sz="4" w:space="0" w:color="auto"/>
            </w:tcBorders>
            <w:shd w:val="clear" w:color="auto" w:fill="auto"/>
            <w:noWrap/>
            <w:vAlign w:val="bottom"/>
          </w:tcPr>
          <w:p w14:paraId="17E1531A" w14:textId="77777777" w:rsidR="00C62884" w:rsidRPr="003C2349" w:rsidRDefault="00C62884" w:rsidP="008A753A">
            <w:pPr>
              <w:spacing w:before="0" w:after="0"/>
              <w:jc w:val="center"/>
              <w:rPr>
                <w:rFonts w:cs="Arial"/>
                <w:b/>
                <w:bCs/>
                <w:color w:val="000000"/>
                <w:sz w:val="20"/>
                <w:lang w:val="en-AU" w:eastAsia="en-AU"/>
              </w:rPr>
            </w:pPr>
            <w:r w:rsidRPr="003C2349">
              <w:rPr>
                <w:rFonts w:cs="Arial"/>
                <w:color w:val="000000"/>
                <w:sz w:val="20"/>
              </w:rPr>
              <w:t>n/a</w:t>
            </w:r>
          </w:p>
        </w:tc>
        <w:tc>
          <w:tcPr>
            <w:tcW w:w="236" w:type="dxa"/>
            <w:tcBorders>
              <w:top w:val="nil"/>
              <w:left w:val="single" w:sz="4" w:space="0" w:color="auto"/>
              <w:bottom w:val="nil"/>
              <w:right w:val="nil"/>
            </w:tcBorders>
            <w:shd w:val="clear" w:color="auto" w:fill="auto"/>
          </w:tcPr>
          <w:p w14:paraId="3A3DDBDF" w14:textId="77777777" w:rsidR="00C62884" w:rsidRPr="00CD66C0" w:rsidRDefault="00C62884" w:rsidP="008A753A">
            <w:pPr>
              <w:spacing w:before="0" w:after="0"/>
              <w:jc w:val="center"/>
              <w:rPr>
                <w:rFonts w:cs="Arial"/>
                <w:b/>
                <w:bCs/>
                <w:color w:val="000000"/>
                <w:sz w:val="20"/>
                <w:lang w:val="en-AU" w:eastAsia="en-AU"/>
              </w:rPr>
            </w:pPr>
          </w:p>
        </w:tc>
        <w:tc>
          <w:tcPr>
            <w:tcW w:w="1215" w:type="dxa"/>
            <w:tcBorders>
              <w:top w:val="nil"/>
              <w:left w:val="nil"/>
              <w:bottom w:val="nil"/>
              <w:right w:val="nil"/>
            </w:tcBorders>
            <w:shd w:val="clear" w:color="auto" w:fill="auto"/>
          </w:tcPr>
          <w:p w14:paraId="7228C22A" w14:textId="77777777" w:rsidR="00C62884" w:rsidRPr="003C2349" w:rsidRDefault="00C62884" w:rsidP="008A753A">
            <w:pPr>
              <w:spacing w:before="0" w:after="0"/>
              <w:jc w:val="left"/>
              <w:rPr>
                <w:rFonts w:cs="Arial"/>
                <w:b/>
                <w:color w:val="000000"/>
                <w:sz w:val="20"/>
              </w:rPr>
            </w:pPr>
            <w:r w:rsidRPr="003C2349">
              <w:rPr>
                <w:rFonts w:cs="Arial"/>
                <w:b/>
                <w:color w:val="000000"/>
                <w:sz w:val="20"/>
              </w:rPr>
              <w:t>Score</w:t>
            </w:r>
          </w:p>
        </w:tc>
        <w:tc>
          <w:tcPr>
            <w:tcW w:w="0" w:type="auto"/>
            <w:tcBorders>
              <w:top w:val="nil"/>
              <w:left w:val="nil"/>
              <w:bottom w:val="nil"/>
              <w:right w:val="nil"/>
            </w:tcBorders>
          </w:tcPr>
          <w:p w14:paraId="20ADC264" w14:textId="77777777" w:rsidR="00C62884" w:rsidRPr="003C2349" w:rsidRDefault="00C62884" w:rsidP="008A753A">
            <w:pPr>
              <w:spacing w:before="0" w:after="0"/>
              <w:jc w:val="left"/>
              <w:rPr>
                <w:rFonts w:cs="Arial"/>
                <w:b/>
                <w:sz w:val="20"/>
              </w:rPr>
            </w:pPr>
            <w:r w:rsidRPr="003C2349">
              <w:rPr>
                <w:rFonts w:cs="Arial"/>
                <w:b/>
                <w:sz w:val="20"/>
              </w:rPr>
              <w:t>Category</w:t>
            </w:r>
          </w:p>
        </w:tc>
      </w:tr>
      <w:tr w:rsidR="00C62884" w:rsidRPr="003C2349" w14:paraId="1D4DDB66" w14:textId="77777777" w:rsidTr="008A753A">
        <w:trPr>
          <w:trHeight w:val="312"/>
        </w:trPr>
        <w:tc>
          <w:tcPr>
            <w:tcW w:w="2080" w:type="dxa"/>
            <w:shd w:val="clear" w:color="auto" w:fill="auto"/>
            <w:noWrap/>
            <w:vAlign w:val="bottom"/>
            <w:hideMark/>
          </w:tcPr>
          <w:p w14:paraId="40D57EBF" w14:textId="77777777" w:rsidR="00C62884" w:rsidRPr="003C2349" w:rsidRDefault="00C62884" w:rsidP="008A753A">
            <w:pPr>
              <w:spacing w:before="0" w:after="0"/>
              <w:jc w:val="left"/>
              <w:rPr>
                <w:rFonts w:cs="Arial"/>
                <w:color w:val="000000"/>
                <w:sz w:val="20"/>
                <w:lang w:val="en-AU" w:eastAsia="en-AU"/>
              </w:rPr>
            </w:pPr>
            <w:r w:rsidRPr="003C2349">
              <w:rPr>
                <w:rFonts w:cs="Arial"/>
                <w:color w:val="000000"/>
                <w:sz w:val="20"/>
                <w:lang w:val="en-AU" w:eastAsia="en-AU"/>
              </w:rPr>
              <w:t>Wet Tropics</w:t>
            </w:r>
          </w:p>
        </w:tc>
        <w:tc>
          <w:tcPr>
            <w:tcW w:w="1328" w:type="dxa"/>
            <w:shd w:val="clear" w:color="auto" w:fill="FF0000"/>
            <w:noWrap/>
            <w:vAlign w:val="center"/>
          </w:tcPr>
          <w:p w14:paraId="596C425F" w14:textId="77777777" w:rsidR="00C62884" w:rsidRPr="003C2349" w:rsidRDefault="00C62884" w:rsidP="008A753A">
            <w:pPr>
              <w:spacing w:before="0" w:after="0"/>
              <w:jc w:val="center"/>
              <w:rPr>
                <w:rFonts w:cs="Arial"/>
                <w:color w:val="000000"/>
                <w:sz w:val="20"/>
                <w:lang w:val="en-AU" w:eastAsia="en-AU"/>
              </w:rPr>
            </w:pPr>
            <w:r w:rsidRPr="003C2349">
              <w:rPr>
                <w:rFonts w:cs="Arial"/>
                <w:color w:val="000000"/>
                <w:sz w:val="20"/>
              </w:rPr>
              <w:t>7</w:t>
            </w:r>
          </w:p>
        </w:tc>
        <w:tc>
          <w:tcPr>
            <w:tcW w:w="1143" w:type="dxa"/>
            <w:shd w:val="clear" w:color="auto" w:fill="FFFF00"/>
            <w:noWrap/>
            <w:vAlign w:val="center"/>
          </w:tcPr>
          <w:p w14:paraId="293B2050" w14:textId="77777777" w:rsidR="00C62884" w:rsidRPr="003C2349" w:rsidRDefault="00C62884" w:rsidP="008A753A">
            <w:pPr>
              <w:spacing w:before="0" w:after="0"/>
              <w:jc w:val="center"/>
              <w:rPr>
                <w:rFonts w:cs="Arial"/>
                <w:color w:val="000000"/>
                <w:sz w:val="20"/>
                <w:lang w:val="en-AU" w:eastAsia="en-AU"/>
              </w:rPr>
            </w:pPr>
            <w:r w:rsidRPr="003C2349">
              <w:rPr>
                <w:rFonts w:cs="Arial"/>
                <w:color w:val="000000"/>
                <w:sz w:val="20"/>
              </w:rPr>
              <w:t>60</w:t>
            </w:r>
          </w:p>
        </w:tc>
        <w:tc>
          <w:tcPr>
            <w:tcW w:w="1263" w:type="dxa"/>
            <w:tcBorders>
              <w:right w:val="single" w:sz="4" w:space="0" w:color="auto"/>
            </w:tcBorders>
            <w:shd w:val="clear" w:color="auto" w:fill="FFC000"/>
            <w:noWrap/>
            <w:vAlign w:val="center"/>
          </w:tcPr>
          <w:p w14:paraId="5C5362D2" w14:textId="77777777" w:rsidR="00C62884" w:rsidRPr="003C2349" w:rsidRDefault="00C62884" w:rsidP="008A753A">
            <w:pPr>
              <w:spacing w:before="0" w:after="0"/>
              <w:jc w:val="center"/>
              <w:rPr>
                <w:rFonts w:cs="Arial"/>
                <w:b/>
                <w:bCs/>
                <w:color w:val="000000"/>
                <w:sz w:val="20"/>
                <w:lang w:val="en-AU" w:eastAsia="en-AU"/>
              </w:rPr>
            </w:pPr>
            <w:r w:rsidRPr="003C2349">
              <w:rPr>
                <w:rFonts w:cs="Arial"/>
                <w:b/>
                <w:bCs/>
                <w:color w:val="000000"/>
                <w:sz w:val="20"/>
              </w:rPr>
              <w:t>33</w:t>
            </w:r>
          </w:p>
        </w:tc>
        <w:tc>
          <w:tcPr>
            <w:tcW w:w="236" w:type="dxa"/>
            <w:tcBorders>
              <w:top w:val="nil"/>
              <w:left w:val="single" w:sz="4" w:space="0" w:color="auto"/>
              <w:bottom w:val="nil"/>
              <w:right w:val="nil"/>
            </w:tcBorders>
            <w:shd w:val="clear" w:color="auto" w:fill="auto"/>
          </w:tcPr>
          <w:p w14:paraId="0602F041" w14:textId="77777777" w:rsidR="00C62884" w:rsidRPr="00CD66C0" w:rsidRDefault="00C62884" w:rsidP="008A753A">
            <w:pPr>
              <w:spacing w:before="0" w:after="0"/>
              <w:jc w:val="center"/>
              <w:rPr>
                <w:rFonts w:cs="Arial"/>
                <w:b/>
                <w:bCs/>
                <w:color w:val="000000"/>
                <w:sz w:val="20"/>
                <w:lang w:val="en-AU" w:eastAsia="en-AU"/>
              </w:rPr>
            </w:pPr>
          </w:p>
        </w:tc>
        <w:tc>
          <w:tcPr>
            <w:tcW w:w="1215" w:type="dxa"/>
            <w:tcBorders>
              <w:top w:val="nil"/>
              <w:left w:val="nil"/>
              <w:bottom w:val="nil"/>
              <w:right w:val="nil"/>
            </w:tcBorders>
            <w:shd w:val="clear" w:color="auto" w:fill="auto"/>
            <w:vAlign w:val="center"/>
          </w:tcPr>
          <w:p w14:paraId="39C7988C" w14:textId="77777777" w:rsidR="00C62884" w:rsidRPr="003C2349" w:rsidRDefault="00C62884" w:rsidP="008A753A">
            <w:pPr>
              <w:spacing w:before="0" w:after="0"/>
              <w:jc w:val="left"/>
              <w:rPr>
                <w:rFonts w:cs="Arial"/>
                <w:color w:val="000000"/>
                <w:sz w:val="20"/>
              </w:rPr>
            </w:pPr>
            <w:r w:rsidRPr="003C2349">
              <w:rPr>
                <w:rFonts w:cs="Arial"/>
                <w:color w:val="000000"/>
                <w:sz w:val="20"/>
              </w:rPr>
              <w:t>8</w:t>
            </w:r>
            <w:r w:rsidRPr="00CD66C0">
              <w:rPr>
                <w:rFonts w:cs="Arial"/>
                <w:color w:val="000000"/>
                <w:sz w:val="20"/>
              </w:rPr>
              <w:t>1</w:t>
            </w:r>
            <w:r w:rsidRPr="003C2349">
              <w:rPr>
                <w:rFonts w:cs="Arial"/>
                <w:color w:val="000000"/>
                <w:sz w:val="20"/>
              </w:rPr>
              <w:t xml:space="preserve"> - 100</w:t>
            </w:r>
          </w:p>
        </w:tc>
        <w:tc>
          <w:tcPr>
            <w:tcW w:w="0" w:type="auto"/>
            <w:tcBorders>
              <w:top w:val="nil"/>
              <w:left w:val="nil"/>
              <w:bottom w:val="nil"/>
              <w:right w:val="nil"/>
            </w:tcBorders>
            <w:shd w:val="clear" w:color="auto" w:fill="00B050"/>
            <w:vAlign w:val="center"/>
          </w:tcPr>
          <w:p w14:paraId="39340FC5" w14:textId="77777777" w:rsidR="00C62884" w:rsidRPr="003C2349" w:rsidRDefault="00C62884" w:rsidP="008A753A">
            <w:pPr>
              <w:spacing w:before="0" w:after="0"/>
              <w:jc w:val="left"/>
              <w:rPr>
                <w:rFonts w:cs="Arial"/>
                <w:sz w:val="20"/>
              </w:rPr>
            </w:pPr>
            <w:r w:rsidRPr="003C2349">
              <w:rPr>
                <w:rFonts w:cs="Arial"/>
                <w:i/>
                <w:iCs/>
                <w:color w:val="000000"/>
                <w:sz w:val="20"/>
              </w:rPr>
              <w:t>very good</w:t>
            </w:r>
          </w:p>
        </w:tc>
      </w:tr>
      <w:tr w:rsidR="00C62884" w:rsidRPr="003C2349" w14:paraId="325671C0" w14:textId="77777777" w:rsidTr="008A753A">
        <w:trPr>
          <w:trHeight w:val="312"/>
        </w:trPr>
        <w:tc>
          <w:tcPr>
            <w:tcW w:w="2080" w:type="dxa"/>
            <w:shd w:val="clear" w:color="auto" w:fill="auto"/>
            <w:noWrap/>
            <w:vAlign w:val="bottom"/>
            <w:hideMark/>
          </w:tcPr>
          <w:p w14:paraId="4EE6A1EF" w14:textId="77777777" w:rsidR="00C62884" w:rsidRPr="003C2349" w:rsidRDefault="00C62884" w:rsidP="008A753A">
            <w:pPr>
              <w:spacing w:before="0" w:after="0"/>
              <w:jc w:val="left"/>
              <w:rPr>
                <w:rFonts w:cs="Arial"/>
                <w:color w:val="000000"/>
                <w:sz w:val="20"/>
                <w:lang w:val="en-AU" w:eastAsia="en-AU"/>
              </w:rPr>
            </w:pPr>
            <w:r w:rsidRPr="003C2349">
              <w:rPr>
                <w:rFonts w:cs="Arial"/>
                <w:color w:val="000000"/>
                <w:sz w:val="20"/>
                <w:lang w:val="en-AU" w:eastAsia="en-AU"/>
              </w:rPr>
              <w:t>Burdekin</w:t>
            </w:r>
          </w:p>
        </w:tc>
        <w:tc>
          <w:tcPr>
            <w:tcW w:w="1328" w:type="dxa"/>
            <w:shd w:val="clear" w:color="auto" w:fill="FFC000"/>
            <w:noWrap/>
            <w:vAlign w:val="center"/>
          </w:tcPr>
          <w:p w14:paraId="00DF2B6A" w14:textId="77777777" w:rsidR="00C62884" w:rsidRPr="003C2349" w:rsidRDefault="00C62884" w:rsidP="008A753A">
            <w:pPr>
              <w:spacing w:before="0" w:after="0"/>
              <w:jc w:val="center"/>
              <w:rPr>
                <w:rFonts w:cs="Arial"/>
                <w:color w:val="000000"/>
                <w:sz w:val="20"/>
                <w:lang w:val="en-AU" w:eastAsia="en-AU"/>
              </w:rPr>
            </w:pPr>
            <w:r w:rsidRPr="003C2349">
              <w:rPr>
                <w:rFonts w:cs="Arial"/>
                <w:color w:val="000000"/>
                <w:sz w:val="20"/>
              </w:rPr>
              <w:t>29</w:t>
            </w:r>
          </w:p>
        </w:tc>
        <w:tc>
          <w:tcPr>
            <w:tcW w:w="1143" w:type="dxa"/>
            <w:shd w:val="clear" w:color="auto" w:fill="FFFF00"/>
            <w:noWrap/>
            <w:vAlign w:val="center"/>
          </w:tcPr>
          <w:p w14:paraId="0C912FF8" w14:textId="77777777" w:rsidR="00C62884" w:rsidRPr="003C2349" w:rsidRDefault="00C62884" w:rsidP="008A753A">
            <w:pPr>
              <w:spacing w:before="0" w:after="0"/>
              <w:jc w:val="center"/>
              <w:rPr>
                <w:rFonts w:cs="Arial"/>
                <w:color w:val="000000"/>
                <w:sz w:val="20"/>
                <w:lang w:val="en-AU" w:eastAsia="en-AU"/>
              </w:rPr>
            </w:pPr>
            <w:r w:rsidRPr="003C2349">
              <w:rPr>
                <w:rFonts w:cs="Arial"/>
                <w:color w:val="000000"/>
                <w:sz w:val="20"/>
              </w:rPr>
              <w:t>56</w:t>
            </w:r>
          </w:p>
        </w:tc>
        <w:tc>
          <w:tcPr>
            <w:tcW w:w="1263" w:type="dxa"/>
            <w:tcBorders>
              <w:right w:val="single" w:sz="4" w:space="0" w:color="auto"/>
            </w:tcBorders>
            <w:shd w:val="clear" w:color="auto" w:fill="FFFF00"/>
            <w:noWrap/>
            <w:vAlign w:val="center"/>
          </w:tcPr>
          <w:p w14:paraId="38E9E1E3" w14:textId="77777777" w:rsidR="00C62884" w:rsidRPr="003C2349" w:rsidRDefault="00C62884" w:rsidP="008A753A">
            <w:pPr>
              <w:spacing w:before="0" w:after="0"/>
              <w:jc w:val="center"/>
              <w:rPr>
                <w:rFonts w:cs="Arial"/>
                <w:b/>
                <w:bCs/>
                <w:color w:val="000000"/>
                <w:sz w:val="20"/>
                <w:lang w:val="en-AU" w:eastAsia="en-AU"/>
              </w:rPr>
            </w:pPr>
            <w:r w:rsidRPr="003C2349">
              <w:rPr>
                <w:rFonts w:cs="Arial"/>
                <w:b/>
                <w:bCs/>
                <w:color w:val="000000"/>
                <w:sz w:val="20"/>
              </w:rPr>
              <w:t>42</w:t>
            </w:r>
          </w:p>
        </w:tc>
        <w:tc>
          <w:tcPr>
            <w:tcW w:w="236" w:type="dxa"/>
            <w:tcBorders>
              <w:top w:val="nil"/>
              <w:left w:val="single" w:sz="4" w:space="0" w:color="auto"/>
              <w:bottom w:val="nil"/>
              <w:right w:val="nil"/>
            </w:tcBorders>
            <w:shd w:val="clear" w:color="auto" w:fill="auto"/>
          </w:tcPr>
          <w:p w14:paraId="7F8B878F" w14:textId="77777777" w:rsidR="00C62884" w:rsidRPr="00CD66C0" w:rsidRDefault="00C62884" w:rsidP="008A753A">
            <w:pPr>
              <w:spacing w:before="0" w:after="0"/>
              <w:jc w:val="center"/>
              <w:rPr>
                <w:rFonts w:cs="Arial"/>
                <w:b/>
                <w:bCs/>
                <w:color w:val="000000"/>
                <w:sz w:val="20"/>
                <w:lang w:val="en-AU" w:eastAsia="en-AU"/>
              </w:rPr>
            </w:pPr>
          </w:p>
        </w:tc>
        <w:tc>
          <w:tcPr>
            <w:tcW w:w="1215" w:type="dxa"/>
            <w:tcBorders>
              <w:top w:val="nil"/>
              <w:left w:val="nil"/>
              <w:bottom w:val="nil"/>
              <w:right w:val="nil"/>
            </w:tcBorders>
            <w:shd w:val="clear" w:color="auto" w:fill="auto"/>
            <w:vAlign w:val="center"/>
          </w:tcPr>
          <w:p w14:paraId="26DC630D" w14:textId="77777777" w:rsidR="00C62884" w:rsidRPr="003C2349" w:rsidRDefault="00C62884" w:rsidP="008A753A">
            <w:pPr>
              <w:spacing w:before="0" w:after="0"/>
              <w:jc w:val="left"/>
              <w:rPr>
                <w:rFonts w:cs="Arial"/>
                <w:color w:val="000000"/>
                <w:sz w:val="20"/>
              </w:rPr>
            </w:pPr>
            <w:r w:rsidRPr="003C2349">
              <w:rPr>
                <w:rFonts w:cs="Arial"/>
                <w:color w:val="000000"/>
                <w:sz w:val="20"/>
              </w:rPr>
              <w:t>6</w:t>
            </w:r>
            <w:r w:rsidRPr="00CD66C0">
              <w:rPr>
                <w:rFonts w:cs="Arial"/>
                <w:color w:val="000000"/>
                <w:sz w:val="20"/>
              </w:rPr>
              <w:t>1</w:t>
            </w:r>
            <w:r w:rsidRPr="003C2349">
              <w:rPr>
                <w:rFonts w:cs="Arial"/>
                <w:color w:val="000000"/>
                <w:sz w:val="20"/>
              </w:rPr>
              <w:t xml:space="preserve"> - &lt; 80</w:t>
            </w:r>
          </w:p>
        </w:tc>
        <w:tc>
          <w:tcPr>
            <w:tcW w:w="0" w:type="auto"/>
            <w:tcBorders>
              <w:top w:val="nil"/>
              <w:left w:val="nil"/>
              <w:bottom w:val="nil"/>
              <w:right w:val="nil"/>
            </w:tcBorders>
            <w:shd w:val="clear" w:color="auto" w:fill="92D050"/>
            <w:vAlign w:val="center"/>
          </w:tcPr>
          <w:p w14:paraId="6FD0A4FD" w14:textId="77777777" w:rsidR="00C62884" w:rsidRPr="003C2349" w:rsidRDefault="00C62884" w:rsidP="008A753A">
            <w:pPr>
              <w:spacing w:before="0" w:after="0"/>
              <w:jc w:val="left"/>
              <w:rPr>
                <w:rFonts w:cs="Arial"/>
                <w:sz w:val="20"/>
              </w:rPr>
            </w:pPr>
            <w:r w:rsidRPr="003C2349">
              <w:rPr>
                <w:rFonts w:cs="Arial"/>
                <w:i/>
                <w:iCs/>
                <w:color w:val="000000"/>
                <w:sz w:val="20"/>
              </w:rPr>
              <w:t>good</w:t>
            </w:r>
          </w:p>
        </w:tc>
      </w:tr>
      <w:tr w:rsidR="00C62884" w:rsidRPr="003C2349" w14:paraId="4E32899C" w14:textId="77777777" w:rsidTr="008A753A">
        <w:trPr>
          <w:trHeight w:val="312"/>
        </w:trPr>
        <w:tc>
          <w:tcPr>
            <w:tcW w:w="2080" w:type="dxa"/>
            <w:shd w:val="clear" w:color="auto" w:fill="auto"/>
            <w:noWrap/>
            <w:vAlign w:val="bottom"/>
            <w:hideMark/>
          </w:tcPr>
          <w:p w14:paraId="3956A5B2" w14:textId="77777777" w:rsidR="00C62884" w:rsidRPr="003C2349" w:rsidRDefault="00C62884" w:rsidP="008A753A">
            <w:pPr>
              <w:spacing w:before="0" w:after="0"/>
              <w:jc w:val="left"/>
              <w:rPr>
                <w:rFonts w:cs="Arial"/>
                <w:color w:val="000000"/>
                <w:sz w:val="20"/>
                <w:lang w:val="en-AU" w:eastAsia="en-AU"/>
              </w:rPr>
            </w:pPr>
            <w:r w:rsidRPr="003C2349">
              <w:rPr>
                <w:rFonts w:cs="Arial"/>
                <w:color w:val="000000"/>
                <w:sz w:val="20"/>
                <w:lang w:val="en-AU" w:eastAsia="en-AU"/>
              </w:rPr>
              <w:t>Mackay Whitsunday</w:t>
            </w:r>
          </w:p>
        </w:tc>
        <w:tc>
          <w:tcPr>
            <w:tcW w:w="1328" w:type="dxa"/>
            <w:shd w:val="clear" w:color="auto" w:fill="FFFF00"/>
            <w:noWrap/>
            <w:vAlign w:val="center"/>
          </w:tcPr>
          <w:p w14:paraId="4C1F7A6D" w14:textId="77777777" w:rsidR="00C62884" w:rsidRPr="003C2349" w:rsidRDefault="00C62884" w:rsidP="008A753A">
            <w:pPr>
              <w:spacing w:before="0" w:after="0"/>
              <w:jc w:val="center"/>
              <w:rPr>
                <w:rFonts w:cs="Arial"/>
                <w:color w:val="000000"/>
                <w:sz w:val="20"/>
                <w:lang w:val="en-AU" w:eastAsia="en-AU"/>
              </w:rPr>
            </w:pPr>
            <w:r w:rsidRPr="003C2349">
              <w:rPr>
                <w:rFonts w:cs="Arial"/>
                <w:color w:val="000000"/>
                <w:sz w:val="20"/>
              </w:rPr>
              <w:t>47</w:t>
            </w:r>
          </w:p>
        </w:tc>
        <w:tc>
          <w:tcPr>
            <w:tcW w:w="1143" w:type="dxa"/>
            <w:shd w:val="clear" w:color="auto" w:fill="92D050"/>
            <w:noWrap/>
            <w:vAlign w:val="center"/>
          </w:tcPr>
          <w:p w14:paraId="6EA87C7D" w14:textId="77777777" w:rsidR="00C62884" w:rsidRPr="003C2349" w:rsidRDefault="00C62884" w:rsidP="008A753A">
            <w:pPr>
              <w:spacing w:before="0" w:after="0"/>
              <w:jc w:val="center"/>
              <w:rPr>
                <w:rFonts w:cs="Arial"/>
                <w:color w:val="000000"/>
                <w:sz w:val="20"/>
                <w:lang w:val="en-AU" w:eastAsia="en-AU"/>
              </w:rPr>
            </w:pPr>
            <w:r w:rsidRPr="003C2349">
              <w:rPr>
                <w:rFonts w:cs="Arial"/>
                <w:color w:val="000000"/>
                <w:sz w:val="20"/>
              </w:rPr>
              <w:t>69</w:t>
            </w:r>
          </w:p>
        </w:tc>
        <w:tc>
          <w:tcPr>
            <w:tcW w:w="1263" w:type="dxa"/>
            <w:tcBorders>
              <w:right w:val="single" w:sz="4" w:space="0" w:color="auto"/>
            </w:tcBorders>
            <w:shd w:val="clear" w:color="auto" w:fill="FFFF00"/>
            <w:noWrap/>
            <w:vAlign w:val="center"/>
          </w:tcPr>
          <w:p w14:paraId="50BCBFE5" w14:textId="77777777" w:rsidR="00C62884" w:rsidRPr="003C2349" w:rsidRDefault="00C62884" w:rsidP="008A753A">
            <w:pPr>
              <w:spacing w:before="0" w:after="0"/>
              <w:jc w:val="center"/>
              <w:rPr>
                <w:rFonts w:cs="Arial"/>
                <w:b/>
                <w:bCs/>
                <w:color w:val="000000"/>
                <w:sz w:val="20"/>
                <w:lang w:val="en-AU" w:eastAsia="en-AU"/>
              </w:rPr>
            </w:pPr>
            <w:r w:rsidRPr="003C2349">
              <w:rPr>
                <w:rFonts w:cs="Arial"/>
                <w:b/>
                <w:bCs/>
                <w:color w:val="000000"/>
                <w:sz w:val="20"/>
              </w:rPr>
              <w:t>58</w:t>
            </w:r>
          </w:p>
        </w:tc>
        <w:tc>
          <w:tcPr>
            <w:tcW w:w="236" w:type="dxa"/>
            <w:tcBorders>
              <w:top w:val="nil"/>
              <w:left w:val="single" w:sz="4" w:space="0" w:color="auto"/>
              <w:bottom w:val="nil"/>
              <w:right w:val="nil"/>
            </w:tcBorders>
            <w:shd w:val="clear" w:color="auto" w:fill="auto"/>
          </w:tcPr>
          <w:p w14:paraId="741A9106" w14:textId="77777777" w:rsidR="00C62884" w:rsidRPr="00CD66C0" w:rsidRDefault="00C62884" w:rsidP="008A753A">
            <w:pPr>
              <w:spacing w:before="0" w:after="0"/>
              <w:jc w:val="center"/>
              <w:rPr>
                <w:rFonts w:cs="Arial"/>
                <w:b/>
                <w:bCs/>
                <w:color w:val="000000"/>
                <w:sz w:val="20"/>
                <w:lang w:val="en-AU" w:eastAsia="en-AU"/>
              </w:rPr>
            </w:pPr>
          </w:p>
        </w:tc>
        <w:tc>
          <w:tcPr>
            <w:tcW w:w="1215" w:type="dxa"/>
            <w:tcBorders>
              <w:top w:val="nil"/>
              <w:left w:val="nil"/>
              <w:bottom w:val="nil"/>
              <w:right w:val="nil"/>
            </w:tcBorders>
            <w:shd w:val="clear" w:color="auto" w:fill="auto"/>
            <w:vAlign w:val="center"/>
          </w:tcPr>
          <w:p w14:paraId="3A3A9568" w14:textId="77777777" w:rsidR="00C62884" w:rsidRPr="003C2349" w:rsidRDefault="00C62884" w:rsidP="008A753A">
            <w:pPr>
              <w:spacing w:before="0" w:after="0"/>
              <w:jc w:val="left"/>
              <w:rPr>
                <w:rFonts w:cs="Arial"/>
                <w:color w:val="000000"/>
                <w:sz w:val="20"/>
              </w:rPr>
            </w:pPr>
            <w:r w:rsidRPr="003C2349">
              <w:rPr>
                <w:rFonts w:cs="Arial"/>
                <w:color w:val="000000"/>
                <w:sz w:val="20"/>
              </w:rPr>
              <w:t>4</w:t>
            </w:r>
            <w:r w:rsidRPr="00CD66C0">
              <w:rPr>
                <w:rFonts w:cs="Arial"/>
                <w:color w:val="000000"/>
                <w:sz w:val="20"/>
              </w:rPr>
              <w:t>1</w:t>
            </w:r>
            <w:r w:rsidRPr="003C2349">
              <w:rPr>
                <w:rFonts w:cs="Arial"/>
                <w:color w:val="000000"/>
                <w:sz w:val="20"/>
              </w:rPr>
              <w:t xml:space="preserve"> - &lt; 60</w:t>
            </w:r>
          </w:p>
        </w:tc>
        <w:tc>
          <w:tcPr>
            <w:tcW w:w="0" w:type="auto"/>
            <w:tcBorders>
              <w:top w:val="nil"/>
              <w:left w:val="nil"/>
              <w:bottom w:val="nil"/>
              <w:right w:val="nil"/>
            </w:tcBorders>
            <w:shd w:val="clear" w:color="auto" w:fill="FFFF00"/>
            <w:vAlign w:val="center"/>
          </w:tcPr>
          <w:p w14:paraId="748284EE" w14:textId="77777777" w:rsidR="00C62884" w:rsidRPr="003C2349" w:rsidRDefault="00C62884" w:rsidP="008A753A">
            <w:pPr>
              <w:spacing w:before="0" w:after="0"/>
              <w:jc w:val="left"/>
              <w:rPr>
                <w:rFonts w:cs="Arial"/>
                <w:sz w:val="20"/>
              </w:rPr>
            </w:pPr>
            <w:r w:rsidRPr="003C2349">
              <w:rPr>
                <w:rFonts w:cs="Arial"/>
                <w:i/>
                <w:iCs/>
                <w:color w:val="000000"/>
                <w:sz w:val="20"/>
              </w:rPr>
              <w:t>moderate</w:t>
            </w:r>
          </w:p>
        </w:tc>
      </w:tr>
      <w:tr w:rsidR="00C62884" w:rsidRPr="003C2349" w14:paraId="690119FE" w14:textId="77777777" w:rsidTr="008A753A">
        <w:trPr>
          <w:trHeight w:val="312"/>
        </w:trPr>
        <w:tc>
          <w:tcPr>
            <w:tcW w:w="2080" w:type="dxa"/>
            <w:shd w:val="clear" w:color="auto" w:fill="auto"/>
            <w:noWrap/>
            <w:vAlign w:val="bottom"/>
            <w:hideMark/>
          </w:tcPr>
          <w:p w14:paraId="03D5F5ED" w14:textId="77777777" w:rsidR="00C62884" w:rsidRPr="003C2349" w:rsidRDefault="00C62884" w:rsidP="008A753A">
            <w:pPr>
              <w:spacing w:before="0" w:after="0"/>
              <w:jc w:val="left"/>
              <w:rPr>
                <w:rFonts w:cs="Arial"/>
                <w:color w:val="000000"/>
                <w:sz w:val="20"/>
                <w:lang w:val="en-AU" w:eastAsia="en-AU"/>
              </w:rPr>
            </w:pPr>
            <w:r w:rsidRPr="003C2349">
              <w:rPr>
                <w:rFonts w:cs="Arial"/>
                <w:color w:val="000000"/>
                <w:sz w:val="20"/>
                <w:lang w:val="en-AU" w:eastAsia="en-AU"/>
              </w:rPr>
              <w:t>Fitzroy</w:t>
            </w:r>
          </w:p>
        </w:tc>
        <w:tc>
          <w:tcPr>
            <w:tcW w:w="1328" w:type="dxa"/>
            <w:shd w:val="clear" w:color="auto" w:fill="FF0000"/>
            <w:noWrap/>
            <w:vAlign w:val="center"/>
          </w:tcPr>
          <w:p w14:paraId="424826D1" w14:textId="77777777" w:rsidR="00C62884" w:rsidRPr="003C2349" w:rsidRDefault="00C62884" w:rsidP="008A753A">
            <w:pPr>
              <w:spacing w:before="0" w:after="0"/>
              <w:jc w:val="center"/>
              <w:rPr>
                <w:rFonts w:cs="Arial"/>
                <w:color w:val="000000"/>
                <w:sz w:val="20"/>
                <w:lang w:val="en-AU" w:eastAsia="en-AU"/>
              </w:rPr>
            </w:pPr>
            <w:r w:rsidRPr="003C2349">
              <w:rPr>
                <w:rFonts w:cs="Arial"/>
                <w:color w:val="000000"/>
                <w:sz w:val="20"/>
              </w:rPr>
              <w:t>19</w:t>
            </w:r>
          </w:p>
        </w:tc>
        <w:tc>
          <w:tcPr>
            <w:tcW w:w="1143" w:type="dxa"/>
            <w:shd w:val="clear" w:color="auto" w:fill="FFFF00"/>
            <w:noWrap/>
            <w:vAlign w:val="center"/>
          </w:tcPr>
          <w:p w14:paraId="6505EFB9" w14:textId="77777777" w:rsidR="00C62884" w:rsidRPr="003C2349" w:rsidRDefault="00C62884" w:rsidP="008A753A">
            <w:pPr>
              <w:spacing w:before="0" w:after="0"/>
              <w:jc w:val="center"/>
              <w:rPr>
                <w:rFonts w:cs="Arial"/>
                <w:color w:val="000000"/>
                <w:sz w:val="20"/>
                <w:lang w:val="en-AU" w:eastAsia="en-AU"/>
              </w:rPr>
            </w:pPr>
            <w:r w:rsidRPr="003C2349">
              <w:rPr>
                <w:rFonts w:cs="Arial"/>
                <w:color w:val="000000"/>
                <w:sz w:val="20"/>
              </w:rPr>
              <w:t>50</w:t>
            </w:r>
          </w:p>
        </w:tc>
        <w:tc>
          <w:tcPr>
            <w:tcW w:w="1263" w:type="dxa"/>
            <w:tcBorders>
              <w:right w:val="single" w:sz="4" w:space="0" w:color="auto"/>
            </w:tcBorders>
            <w:shd w:val="clear" w:color="auto" w:fill="FFC000"/>
            <w:noWrap/>
            <w:vAlign w:val="center"/>
          </w:tcPr>
          <w:p w14:paraId="2FCA7735" w14:textId="77777777" w:rsidR="00C62884" w:rsidRPr="003C2349" w:rsidRDefault="00C62884" w:rsidP="008A753A">
            <w:pPr>
              <w:spacing w:before="0" w:after="0"/>
              <w:jc w:val="center"/>
              <w:rPr>
                <w:rFonts w:cs="Arial"/>
                <w:b/>
                <w:bCs/>
                <w:color w:val="000000"/>
                <w:sz w:val="20"/>
                <w:lang w:val="en-AU" w:eastAsia="en-AU"/>
              </w:rPr>
            </w:pPr>
            <w:r w:rsidRPr="003C2349">
              <w:rPr>
                <w:rFonts w:cs="Arial"/>
                <w:b/>
                <w:bCs/>
                <w:color w:val="000000"/>
                <w:sz w:val="20"/>
              </w:rPr>
              <w:t>35</w:t>
            </w:r>
          </w:p>
        </w:tc>
        <w:tc>
          <w:tcPr>
            <w:tcW w:w="236" w:type="dxa"/>
            <w:tcBorders>
              <w:top w:val="nil"/>
              <w:left w:val="single" w:sz="4" w:space="0" w:color="auto"/>
              <w:bottom w:val="nil"/>
              <w:right w:val="nil"/>
            </w:tcBorders>
            <w:shd w:val="clear" w:color="auto" w:fill="auto"/>
          </w:tcPr>
          <w:p w14:paraId="054BEE6B" w14:textId="77777777" w:rsidR="00C62884" w:rsidRPr="00CD66C0" w:rsidRDefault="00C62884" w:rsidP="008A753A">
            <w:pPr>
              <w:spacing w:before="0" w:after="0"/>
              <w:jc w:val="center"/>
              <w:rPr>
                <w:rFonts w:cs="Arial"/>
                <w:b/>
                <w:bCs/>
                <w:color w:val="000000"/>
                <w:sz w:val="20"/>
                <w:lang w:val="en-AU" w:eastAsia="en-AU"/>
              </w:rPr>
            </w:pPr>
          </w:p>
        </w:tc>
        <w:tc>
          <w:tcPr>
            <w:tcW w:w="1215" w:type="dxa"/>
            <w:tcBorders>
              <w:top w:val="nil"/>
              <w:left w:val="nil"/>
              <w:bottom w:val="nil"/>
              <w:right w:val="nil"/>
            </w:tcBorders>
            <w:shd w:val="clear" w:color="auto" w:fill="auto"/>
            <w:vAlign w:val="center"/>
          </w:tcPr>
          <w:p w14:paraId="4D064142" w14:textId="77777777" w:rsidR="00C62884" w:rsidRPr="00CD66C0" w:rsidRDefault="00C62884" w:rsidP="008A753A">
            <w:pPr>
              <w:spacing w:before="0" w:after="0"/>
              <w:jc w:val="left"/>
              <w:rPr>
                <w:rFonts w:cs="Arial"/>
                <w:b/>
                <w:bCs/>
                <w:color w:val="000000"/>
                <w:sz w:val="20"/>
                <w:lang w:val="en-AU" w:eastAsia="en-AU"/>
              </w:rPr>
            </w:pPr>
            <w:r w:rsidRPr="003C2349">
              <w:rPr>
                <w:rFonts w:cs="Arial"/>
                <w:color w:val="000000"/>
                <w:sz w:val="20"/>
              </w:rPr>
              <w:t>2</w:t>
            </w:r>
            <w:r w:rsidRPr="00CD66C0">
              <w:rPr>
                <w:rFonts w:cs="Arial"/>
                <w:color w:val="000000"/>
                <w:sz w:val="20"/>
              </w:rPr>
              <w:t>1</w:t>
            </w:r>
            <w:r w:rsidRPr="003C2349">
              <w:rPr>
                <w:rFonts w:cs="Arial"/>
                <w:color w:val="000000"/>
                <w:sz w:val="20"/>
              </w:rPr>
              <w:t xml:space="preserve"> - &lt; 40</w:t>
            </w:r>
          </w:p>
        </w:tc>
        <w:tc>
          <w:tcPr>
            <w:tcW w:w="1200" w:type="dxa"/>
            <w:tcBorders>
              <w:top w:val="nil"/>
              <w:left w:val="nil"/>
              <w:bottom w:val="nil"/>
              <w:right w:val="nil"/>
            </w:tcBorders>
            <w:shd w:val="clear" w:color="auto" w:fill="FFC000"/>
            <w:vAlign w:val="center"/>
          </w:tcPr>
          <w:p w14:paraId="04025846" w14:textId="77777777" w:rsidR="00C62884" w:rsidRPr="003C2349" w:rsidRDefault="00C62884" w:rsidP="008A753A">
            <w:pPr>
              <w:spacing w:before="0" w:after="0"/>
              <w:jc w:val="left"/>
              <w:rPr>
                <w:rFonts w:cs="Arial"/>
                <w:color w:val="000000"/>
                <w:sz w:val="20"/>
              </w:rPr>
            </w:pPr>
            <w:r w:rsidRPr="003C2349">
              <w:rPr>
                <w:rFonts w:cs="Arial"/>
                <w:i/>
                <w:iCs/>
                <w:color w:val="000000"/>
                <w:sz w:val="20"/>
              </w:rPr>
              <w:t>poor</w:t>
            </w:r>
          </w:p>
        </w:tc>
      </w:tr>
      <w:tr w:rsidR="00C62884" w:rsidRPr="003C2349" w14:paraId="595B73EE" w14:textId="77777777" w:rsidTr="008A753A">
        <w:trPr>
          <w:trHeight w:val="312"/>
        </w:trPr>
        <w:tc>
          <w:tcPr>
            <w:tcW w:w="2080" w:type="dxa"/>
            <w:shd w:val="clear" w:color="auto" w:fill="auto"/>
            <w:noWrap/>
            <w:vAlign w:val="bottom"/>
            <w:hideMark/>
          </w:tcPr>
          <w:p w14:paraId="6A4F17B0" w14:textId="77777777" w:rsidR="00C62884" w:rsidRPr="003C2349" w:rsidRDefault="00C62884" w:rsidP="008A753A">
            <w:pPr>
              <w:spacing w:before="0" w:after="0"/>
              <w:jc w:val="left"/>
              <w:rPr>
                <w:rFonts w:cs="Arial"/>
                <w:color w:val="000000"/>
                <w:sz w:val="20"/>
                <w:lang w:val="en-AU" w:eastAsia="en-AU"/>
              </w:rPr>
            </w:pPr>
            <w:r w:rsidRPr="003C2349">
              <w:rPr>
                <w:rFonts w:cs="Arial"/>
                <w:color w:val="000000"/>
                <w:sz w:val="20"/>
                <w:lang w:val="en-AU" w:eastAsia="en-AU"/>
              </w:rPr>
              <w:t>Burnett Mary</w:t>
            </w:r>
          </w:p>
        </w:tc>
        <w:tc>
          <w:tcPr>
            <w:tcW w:w="1328" w:type="dxa"/>
            <w:shd w:val="clear" w:color="auto" w:fill="auto"/>
            <w:noWrap/>
            <w:vAlign w:val="bottom"/>
          </w:tcPr>
          <w:p w14:paraId="774CA2C9" w14:textId="77777777" w:rsidR="00C62884" w:rsidRPr="003C2349" w:rsidRDefault="00C62884" w:rsidP="008A753A">
            <w:pPr>
              <w:spacing w:before="0" w:after="0"/>
              <w:jc w:val="center"/>
              <w:rPr>
                <w:rFonts w:cs="Arial"/>
                <w:color w:val="000000"/>
                <w:sz w:val="20"/>
                <w:lang w:val="en-AU" w:eastAsia="en-AU"/>
              </w:rPr>
            </w:pPr>
            <w:r w:rsidRPr="003C2349">
              <w:rPr>
                <w:rFonts w:cs="Arial"/>
                <w:color w:val="000000"/>
                <w:sz w:val="20"/>
              </w:rPr>
              <w:t>n/a</w:t>
            </w:r>
          </w:p>
        </w:tc>
        <w:tc>
          <w:tcPr>
            <w:tcW w:w="1143" w:type="dxa"/>
            <w:shd w:val="clear" w:color="auto" w:fill="auto"/>
            <w:noWrap/>
            <w:vAlign w:val="bottom"/>
          </w:tcPr>
          <w:p w14:paraId="520DEFC8" w14:textId="77777777" w:rsidR="00C62884" w:rsidRPr="003C2349" w:rsidRDefault="00C62884" w:rsidP="008A753A">
            <w:pPr>
              <w:spacing w:before="0" w:after="0"/>
              <w:jc w:val="center"/>
              <w:rPr>
                <w:rFonts w:cs="Arial"/>
                <w:color w:val="000000"/>
                <w:sz w:val="20"/>
                <w:lang w:val="en-AU" w:eastAsia="en-AU"/>
              </w:rPr>
            </w:pPr>
            <w:r w:rsidRPr="003C2349">
              <w:rPr>
                <w:rFonts w:cs="Arial"/>
                <w:color w:val="000000"/>
                <w:sz w:val="20"/>
              </w:rPr>
              <w:t>n/a</w:t>
            </w:r>
          </w:p>
        </w:tc>
        <w:tc>
          <w:tcPr>
            <w:tcW w:w="1263" w:type="dxa"/>
            <w:tcBorders>
              <w:right w:val="single" w:sz="4" w:space="0" w:color="auto"/>
            </w:tcBorders>
            <w:shd w:val="clear" w:color="auto" w:fill="auto"/>
            <w:noWrap/>
            <w:vAlign w:val="bottom"/>
          </w:tcPr>
          <w:p w14:paraId="7BB4A1BF" w14:textId="77777777" w:rsidR="00C62884" w:rsidRPr="003C2349" w:rsidRDefault="00C62884" w:rsidP="008A753A">
            <w:pPr>
              <w:spacing w:before="0" w:after="0"/>
              <w:jc w:val="center"/>
              <w:rPr>
                <w:rFonts w:cs="Arial"/>
                <w:b/>
                <w:bCs/>
                <w:color w:val="000000"/>
                <w:sz w:val="20"/>
                <w:lang w:val="en-AU" w:eastAsia="en-AU"/>
              </w:rPr>
            </w:pPr>
            <w:r w:rsidRPr="003C2349">
              <w:rPr>
                <w:rFonts w:cs="Arial"/>
                <w:color w:val="000000"/>
                <w:sz w:val="20"/>
              </w:rPr>
              <w:t>n/a</w:t>
            </w:r>
          </w:p>
        </w:tc>
        <w:tc>
          <w:tcPr>
            <w:tcW w:w="236" w:type="dxa"/>
            <w:tcBorders>
              <w:top w:val="nil"/>
              <w:left w:val="single" w:sz="4" w:space="0" w:color="auto"/>
              <w:bottom w:val="nil"/>
              <w:right w:val="nil"/>
            </w:tcBorders>
            <w:shd w:val="clear" w:color="auto" w:fill="auto"/>
          </w:tcPr>
          <w:p w14:paraId="5BAE1146" w14:textId="77777777" w:rsidR="00C62884" w:rsidRPr="00CD66C0" w:rsidRDefault="00C62884" w:rsidP="008A753A">
            <w:pPr>
              <w:spacing w:before="0" w:after="0"/>
              <w:jc w:val="center"/>
              <w:rPr>
                <w:rFonts w:cs="Arial"/>
                <w:b/>
                <w:bCs/>
                <w:color w:val="000000"/>
                <w:sz w:val="20"/>
                <w:lang w:val="en-AU" w:eastAsia="en-AU"/>
              </w:rPr>
            </w:pPr>
          </w:p>
        </w:tc>
        <w:tc>
          <w:tcPr>
            <w:tcW w:w="1215" w:type="dxa"/>
            <w:tcBorders>
              <w:top w:val="nil"/>
              <w:left w:val="nil"/>
              <w:bottom w:val="nil"/>
              <w:right w:val="nil"/>
            </w:tcBorders>
            <w:shd w:val="clear" w:color="auto" w:fill="auto"/>
            <w:vAlign w:val="center"/>
          </w:tcPr>
          <w:p w14:paraId="3FD9920E" w14:textId="77777777" w:rsidR="00C62884" w:rsidRPr="00CD66C0" w:rsidRDefault="00C62884" w:rsidP="008A753A">
            <w:pPr>
              <w:spacing w:before="0" w:after="0"/>
              <w:jc w:val="left"/>
              <w:rPr>
                <w:rFonts w:cs="Arial"/>
                <w:b/>
                <w:bCs/>
                <w:color w:val="000000"/>
                <w:sz w:val="20"/>
                <w:lang w:val="en-AU" w:eastAsia="en-AU"/>
              </w:rPr>
            </w:pPr>
            <w:r w:rsidRPr="003C2349">
              <w:rPr>
                <w:rFonts w:cs="Arial"/>
                <w:color w:val="000000"/>
                <w:sz w:val="20"/>
              </w:rPr>
              <w:t>0 - &lt;20</w:t>
            </w:r>
          </w:p>
        </w:tc>
        <w:tc>
          <w:tcPr>
            <w:tcW w:w="1200" w:type="dxa"/>
            <w:tcBorders>
              <w:top w:val="nil"/>
              <w:left w:val="nil"/>
              <w:bottom w:val="nil"/>
              <w:right w:val="nil"/>
            </w:tcBorders>
            <w:shd w:val="clear" w:color="auto" w:fill="FF0000"/>
            <w:vAlign w:val="center"/>
          </w:tcPr>
          <w:p w14:paraId="18C504F2" w14:textId="77777777" w:rsidR="00C62884" w:rsidRPr="003C2349" w:rsidRDefault="00C62884" w:rsidP="008A753A">
            <w:pPr>
              <w:spacing w:before="0" w:after="0"/>
              <w:jc w:val="left"/>
              <w:rPr>
                <w:rFonts w:cs="Arial"/>
                <w:color w:val="000000"/>
                <w:sz w:val="20"/>
              </w:rPr>
            </w:pPr>
            <w:r w:rsidRPr="003C2349">
              <w:rPr>
                <w:rFonts w:cs="Arial"/>
                <w:i/>
                <w:iCs/>
                <w:color w:val="000000"/>
                <w:sz w:val="20"/>
              </w:rPr>
              <w:t>very poor</w:t>
            </w:r>
          </w:p>
        </w:tc>
      </w:tr>
      <w:tr w:rsidR="00C62884" w:rsidRPr="003C2349" w14:paraId="0E48036C" w14:textId="77777777" w:rsidTr="008A753A">
        <w:trPr>
          <w:trHeight w:val="312"/>
        </w:trPr>
        <w:tc>
          <w:tcPr>
            <w:tcW w:w="2080" w:type="dxa"/>
            <w:shd w:val="clear" w:color="auto" w:fill="auto"/>
            <w:noWrap/>
            <w:vAlign w:val="bottom"/>
            <w:hideMark/>
          </w:tcPr>
          <w:p w14:paraId="247B5E42" w14:textId="77777777" w:rsidR="00C62884" w:rsidRPr="003C2349" w:rsidRDefault="00C62884" w:rsidP="008A753A">
            <w:pPr>
              <w:spacing w:before="0" w:after="0"/>
              <w:jc w:val="left"/>
              <w:rPr>
                <w:rFonts w:cs="Arial"/>
                <w:color w:val="000000"/>
                <w:sz w:val="20"/>
                <w:lang w:val="en-AU" w:eastAsia="en-AU"/>
              </w:rPr>
            </w:pPr>
            <w:r w:rsidRPr="003C2349">
              <w:rPr>
                <w:rFonts w:cs="Arial"/>
                <w:color w:val="000000"/>
                <w:sz w:val="20"/>
                <w:lang w:val="en-AU" w:eastAsia="en-AU"/>
              </w:rPr>
              <w:t>GBR</w:t>
            </w:r>
          </w:p>
        </w:tc>
        <w:tc>
          <w:tcPr>
            <w:tcW w:w="1328" w:type="dxa"/>
            <w:shd w:val="clear" w:color="auto" w:fill="FFC000"/>
            <w:noWrap/>
            <w:vAlign w:val="center"/>
          </w:tcPr>
          <w:p w14:paraId="2BDBD9ED" w14:textId="77777777" w:rsidR="00C62884" w:rsidRPr="003C2349" w:rsidRDefault="00C62884" w:rsidP="008A753A">
            <w:pPr>
              <w:spacing w:before="0" w:after="0"/>
              <w:jc w:val="center"/>
              <w:rPr>
                <w:rFonts w:cs="Arial"/>
                <w:color w:val="000000"/>
                <w:sz w:val="20"/>
                <w:lang w:val="en-AU" w:eastAsia="en-AU"/>
              </w:rPr>
            </w:pPr>
            <w:r w:rsidRPr="003C2349">
              <w:rPr>
                <w:rFonts w:cs="Arial"/>
                <w:color w:val="000000"/>
                <w:sz w:val="20"/>
              </w:rPr>
              <w:t>27</w:t>
            </w:r>
          </w:p>
        </w:tc>
        <w:tc>
          <w:tcPr>
            <w:tcW w:w="1143" w:type="dxa"/>
            <w:shd w:val="clear" w:color="auto" w:fill="FFFF00"/>
            <w:noWrap/>
            <w:vAlign w:val="center"/>
          </w:tcPr>
          <w:p w14:paraId="2C442BAC" w14:textId="77777777" w:rsidR="00C62884" w:rsidRPr="003C2349" w:rsidRDefault="00C62884" w:rsidP="008A753A">
            <w:pPr>
              <w:spacing w:before="0" w:after="0"/>
              <w:jc w:val="center"/>
              <w:rPr>
                <w:rFonts w:cs="Arial"/>
                <w:color w:val="000000"/>
                <w:sz w:val="20"/>
                <w:lang w:val="en-AU" w:eastAsia="en-AU"/>
              </w:rPr>
            </w:pPr>
            <w:r w:rsidRPr="003C2349">
              <w:rPr>
                <w:rFonts w:cs="Arial"/>
                <w:color w:val="000000"/>
                <w:sz w:val="20"/>
              </w:rPr>
              <w:t>58</w:t>
            </w:r>
          </w:p>
        </w:tc>
        <w:tc>
          <w:tcPr>
            <w:tcW w:w="1263" w:type="dxa"/>
            <w:tcBorders>
              <w:right w:val="single" w:sz="4" w:space="0" w:color="auto"/>
            </w:tcBorders>
            <w:shd w:val="clear" w:color="auto" w:fill="FFFF00"/>
            <w:noWrap/>
            <w:vAlign w:val="center"/>
          </w:tcPr>
          <w:p w14:paraId="4E4C1F67" w14:textId="77777777" w:rsidR="00C62884" w:rsidRPr="003C2349" w:rsidRDefault="00C62884" w:rsidP="008A753A">
            <w:pPr>
              <w:spacing w:before="0" w:after="0"/>
              <w:jc w:val="center"/>
              <w:rPr>
                <w:rFonts w:cs="Arial"/>
                <w:b/>
                <w:bCs/>
                <w:color w:val="000000"/>
                <w:sz w:val="20"/>
                <w:lang w:val="en-AU" w:eastAsia="en-AU"/>
              </w:rPr>
            </w:pPr>
            <w:r w:rsidRPr="003C2349">
              <w:rPr>
                <w:rFonts w:cs="Arial"/>
                <w:b/>
                <w:bCs/>
                <w:color w:val="000000"/>
                <w:sz w:val="20"/>
              </w:rPr>
              <w:t>43</w:t>
            </w:r>
          </w:p>
        </w:tc>
        <w:tc>
          <w:tcPr>
            <w:tcW w:w="236" w:type="dxa"/>
            <w:tcBorders>
              <w:top w:val="nil"/>
              <w:left w:val="single" w:sz="4" w:space="0" w:color="auto"/>
              <w:bottom w:val="nil"/>
              <w:right w:val="nil"/>
            </w:tcBorders>
            <w:shd w:val="clear" w:color="auto" w:fill="auto"/>
          </w:tcPr>
          <w:p w14:paraId="595D9BEA" w14:textId="77777777" w:rsidR="00C62884" w:rsidRPr="00CD66C0" w:rsidRDefault="00C62884" w:rsidP="008A753A">
            <w:pPr>
              <w:spacing w:before="0" w:after="0"/>
              <w:jc w:val="center"/>
              <w:rPr>
                <w:rFonts w:cs="Arial"/>
                <w:b/>
                <w:bCs/>
                <w:color w:val="000000"/>
                <w:sz w:val="20"/>
                <w:lang w:val="en-AU" w:eastAsia="en-AU"/>
              </w:rPr>
            </w:pPr>
          </w:p>
        </w:tc>
        <w:tc>
          <w:tcPr>
            <w:tcW w:w="1215" w:type="dxa"/>
            <w:tcBorders>
              <w:top w:val="nil"/>
              <w:left w:val="nil"/>
              <w:bottom w:val="nil"/>
              <w:right w:val="nil"/>
            </w:tcBorders>
            <w:shd w:val="clear" w:color="auto" w:fill="auto"/>
          </w:tcPr>
          <w:p w14:paraId="7733569E" w14:textId="77777777" w:rsidR="00C62884" w:rsidRPr="00CD66C0" w:rsidRDefault="00C62884" w:rsidP="008A753A">
            <w:pPr>
              <w:spacing w:before="0" w:after="0"/>
              <w:jc w:val="left"/>
              <w:rPr>
                <w:rFonts w:cs="Arial"/>
                <w:b/>
                <w:bCs/>
                <w:color w:val="000000"/>
                <w:sz w:val="20"/>
                <w:lang w:val="en-AU" w:eastAsia="en-AU"/>
              </w:rPr>
            </w:pPr>
          </w:p>
        </w:tc>
        <w:tc>
          <w:tcPr>
            <w:tcW w:w="1200" w:type="dxa"/>
            <w:tcBorders>
              <w:top w:val="nil"/>
              <w:left w:val="nil"/>
              <w:bottom w:val="nil"/>
              <w:right w:val="nil"/>
            </w:tcBorders>
          </w:tcPr>
          <w:p w14:paraId="078ED9D9" w14:textId="77777777" w:rsidR="00C62884" w:rsidRPr="00CD66C0" w:rsidRDefault="00C62884" w:rsidP="008A753A">
            <w:pPr>
              <w:spacing w:before="0" w:after="0"/>
              <w:jc w:val="left"/>
              <w:rPr>
                <w:rFonts w:cs="Arial"/>
                <w:b/>
                <w:bCs/>
                <w:color w:val="000000"/>
                <w:sz w:val="20"/>
                <w:lang w:val="en-AU" w:eastAsia="en-AU"/>
              </w:rPr>
            </w:pPr>
          </w:p>
        </w:tc>
      </w:tr>
    </w:tbl>
    <w:p w14:paraId="27E212AB" w14:textId="77777777" w:rsidR="00C62884" w:rsidRDefault="00C62884" w:rsidP="004A5BF7">
      <w:pPr>
        <w:rPr>
          <w:b/>
        </w:rPr>
      </w:pPr>
    </w:p>
    <w:p w14:paraId="7C103BD0" w14:textId="0E9A8E5D" w:rsidR="00C62884" w:rsidRPr="004A5BF7" w:rsidRDefault="00C62884" w:rsidP="00C62884">
      <w:r w:rsidRPr="00475910">
        <w:rPr>
          <w:rFonts w:eastAsia="Arial" w:cs="Arial"/>
        </w:rPr>
        <w:t xml:space="preserve">The </w:t>
      </w:r>
      <w:r>
        <w:t>trend</w:t>
      </w:r>
      <w:r w:rsidRPr="00475910">
        <w:rPr>
          <w:rFonts w:eastAsia="Arial" w:cs="Arial"/>
        </w:rPr>
        <w:t xml:space="preserve"> </w:t>
      </w:r>
      <w:r>
        <w:rPr>
          <w:rFonts w:eastAsia="Arial" w:cs="Arial"/>
        </w:rPr>
        <w:t xml:space="preserve">for the overall metric score is shown in </w:t>
      </w:r>
      <w:r>
        <w:rPr>
          <w:rFonts w:eastAsia="Arial" w:cs="Arial"/>
        </w:rPr>
        <w:fldChar w:fldCharType="begin"/>
      </w:r>
      <w:r>
        <w:rPr>
          <w:rFonts w:eastAsia="Arial" w:cs="Arial"/>
        </w:rPr>
        <w:instrText xml:space="preserve"> REF _Ref459325946 \h </w:instrText>
      </w:r>
      <w:r>
        <w:rPr>
          <w:rFonts w:eastAsia="Arial" w:cs="Arial"/>
        </w:rPr>
      </w:r>
      <w:r>
        <w:rPr>
          <w:rFonts w:eastAsia="Arial" w:cs="Arial"/>
        </w:rPr>
        <w:fldChar w:fldCharType="separate"/>
      </w:r>
      <w:r w:rsidR="007F5336">
        <w:t xml:space="preserve">Figure </w:t>
      </w:r>
      <w:r w:rsidR="007F5336">
        <w:rPr>
          <w:noProof/>
        </w:rPr>
        <w:t>5</w:t>
      </w:r>
      <w:r w:rsidR="007F5336">
        <w:noBreakHyphen/>
      </w:r>
      <w:r w:rsidR="007F5336">
        <w:rPr>
          <w:noProof/>
        </w:rPr>
        <w:t>49</w:t>
      </w:r>
      <w:r>
        <w:rPr>
          <w:rFonts w:eastAsia="Arial" w:cs="Arial"/>
        </w:rPr>
        <w:fldChar w:fldCharType="end"/>
      </w:r>
      <w:r>
        <w:rPr>
          <w:rFonts w:eastAsia="Arial" w:cs="Arial"/>
        </w:rPr>
        <w:t xml:space="preserve"> and </w:t>
      </w:r>
      <w:r w:rsidRPr="00475910">
        <w:rPr>
          <w:rFonts w:eastAsia="Arial" w:cs="Arial"/>
        </w:rPr>
        <w:t>reflects the cumulative impact</w:t>
      </w:r>
      <w:r>
        <w:rPr>
          <w:rFonts w:eastAsia="Arial" w:cs="Arial"/>
        </w:rPr>
        <w:t>s</w:t>
      </w:r>
      <w:r w:rsidRPr="00475910">
        <w:rPr>
          <w:rFonts w:eastAsia="Arial" w:cs="Arial"/>
        </w:rPr>
        <w:t xml:space="preserve"> </w:t>
      </w:r>
      <w:r>
        <w:rPr>
          <w:rFonts w:eastAsia="Arial" w:cs="Arial"/>
        </w:rPr>
        <w:t xml:space="preserve">of multiple floods and cyclones since 2007-08. </w:t>
      </w:r>
      <w:r w:rsidRPr="00C62884">
        <w:rPr>
          <w:rFonts w:eastAsia="Arial" w:cs="Arial"/>
        </w:rPr>
        <w:t>However, f</w:t>
      </w:r>
      <w:r w:rsidRPr="004A5BF7">
        <w:t>urther investigation of the use of this metric and possible alternative methods is recommended as a matter of priority for the MMP to improve the sensitivity of the final score to river discharge and pollutant load characteristics.</w:t>
      </w:r>
    </w:p>
    <w:p w14:paraId="506021F7" w14:textId="77777777" w:rsidR="00C62884" w:rsidRDefault="00C62884" w:rsidP="00C62884">
      <w:pPr>
        <w:spacing w:after="0"/>
        <w:rPr>
          <w:rFonts w:eastAsia="Arial" w:cs="Arial"/>
        </w:rPr>
      </w:pPr>
    </w:p>
    <w:p w14:paraId="1303ECC8" w14:textId="77777777" w:rsidR="00C62884" w:rsidRDefault="00C62884" w:rsidP="00C62884">
      <w:pPr>
        <w:spacing w:after="0"/>
        <w:rPr>
          <w:rFonts w:eastAsia="Arial" w:cs="Arial"/>
        </w:rPr>
      </w:pPr>
      <w:r w:rsidRPr="003C2349">
        <w:rPr>
          <w:rFonts w:eastAsia="Arial" w:cs="Arial"/>
          <w:noProof/>
          <w:lang w:val="en-AU" w:eastAsia="en-AU"/>
        </w:rPr>
        <w:drawing>
          <wp:inline distT="0" distB="0" distL="0" distR="0" wp14:anchorId="35FD76F0" wp14:editId="57C8B1B9">
            <wp:extent cx="5716747" cy="2067339"/>
            <wp:effectExtent l="0" t="0" r="0" b="9525"/>
            <wp:docPr id="7209" name="Picture 7209" descr="Three-panel line graph showing the score and trend for chlorophyll a, total suspended solids and the overall water quality index for the Reef for the 10-year period from 2005-06 to 2014-15. For chlorophyll a, scores were 40, 37, 33, 30, 29, 11, 22, 20, 23, 27. For total suspended solids, scores were 60, 54, 60, 59, 59, 51, 51, 55, 46, 58. For the overall water quality index, scores were 50, 45, 47, 44, 44, 31, 37, 37, 34, 43." title="Trend in water quality from 2005-06 to 20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2">
                      <a:extLst>
                        <a:ext uri="{28A0092B-C50C-407E-A947-70E740481C1C}">
                          <a14:useLocalDpi xmlns:a14="http://schemas.microsoft.com/office/drawing/2010/main" val="0"/>
                        </a:ext>
                      </a:extLst>
                    </a:blip>
                    <a:srcRect/>
                    <a:stretch>
                      <a:fillRect/>
                    </a:stretch>
                  </pic:blipFill>
                  <pic:spPr bwMode="auto">
                    <a:xfrm>
                      <a:off x="0" y="0"/>
                      <a:ext cx="5720503" cy="2068697"/>
                    </a:xfrm>
                    <a:prstGeom prst="rect">
                      <a:avLst/>
                    </a:prstGeom>
                    <a:noFill/>
                  </pic:spPr>
                </pic:pic>
              </a:graphicData>
            </a:graphic>
          </wp:inline>
        </w:drawing>
      </w:r>
    </w:p>
    <w:p w14:paraId="189F654A" w14:textId="1DF216EC" w:rsidR="00C62884" w:rsidRPr="0036395F" w:rsidRDefault="00C62884" w:rsidP="00C62884">
      <w:pPr>
        <w:pStyle w:val="Caption"/>
      </w:pPr>
      <w:bookmarkStart w:id="1418" w:name="_Ref459325946"/>
      <w:bookmarkStart w:id="1419" w:name="_Toc459332407"/>
      <w:r>
        <w:t xml:space="preserve">Figure </w:t>
      </w:r>
      <w:r>
        <w:fldChar w:fldCharType="begin"/>
      </w:r>
      <w:r>
        <w:instrText xml:space="preserve"> STYLEREF 1 \s </w:instrText>
      </w:r>
      <w:r>
        <w:fldChar w:fldCharType="separate"/>
      </w:r>
      <w:r w:rsidR="007F5336">
        <w:rPr>
          <w:noProof/>
        </w:rPr>
        <w:t>5</w:t>
      </w:r>
      <w:r>
        <w:fldChar w:fldCharType="end"/>
      </w:r>
      <w:r>
        <w:noBreakHyphen/>
      </w:r>
      <w:r>
        <w:fldChar w:fldCharType="begin"/>
      </w:r>
      <w:r>
        <w:instrText xml:space="preserve"> SEQ Figure \* ARABIC \s 1 </w:instrText>
      </w:r>
      <w:r>
        <w:fldChar w:fldCharType="separate"/>
      </w:r>
      <w:r w:rsidR="007F5336">
        <w:rPr>
          <w:noProof/>
        </w:rPr>
        <w:t>49</w:t>
      </w:r>
      <w:r>
        <w:fldChar w:fldCharType="end"/>
      </w:r>
      <w:bookmarkEnd w:id="1418"/>
      <w:r>
        <w:t xml:space="preserve">: </w:t>
      </w:r>
      <w:r w:rsidRPr="00D56743">
        <w:t xml:space="preserve">Trend in water quality from 2005-06 to 2014-15. </w:t>
      </w:r>
      <w:r w:rsidRPr="00E12468">
        <w:t xml:space="preserve">The overall water quality score is the average of the </w:t>
      </w:r>
      <w:r>
        <w:t xml:space="preserve">weighted </w:t>
      </w:r>
      <w:r w:rsidRPr="00E12468">
        <w:t xml:space="preserve">component scores for chlorophyll </w:t>
      </w:r>
      <w:r w:rsidRPr="00E12468">
        <w:rPr>
          <w:i/>
        </w:rPr>
        <w:t>a</w:t>
      </w:r>
      <w:r w:rsidRPr="00E12468">
        <w:t xml:space="preserve"> and total suspended solids. </w:t>
      </w:r>
      <w:r w:rsidRPr="008C4A1B">
        <w:t xml:space="preserve">Values are indexed scores scaled from 0-100; </w:t>
      </w:r>
      <w:r w:rsidRPr="008C4A1B">
        <w:rPr>
          <w:rFonts w:cs="Arial"/>
          <w:color w:val="008000"/>
        </w:rPr>
        <w:t>■</w:t>
      </w:r>
      <w:r>
        <w:rPr>
          <w:rFonts w:cs="Arial"/>
          <w:color w:val="008000"/>
        </w:rPr>
        <w:t xml:space="preserve"> </w:t>
      </w:r>
      <w:r w:rsidRPr="008C4A1B">
        <w:t>=</w:t>
      </w:r>
      <w:r>
        <w:t xml:space="preserve"> </w:t>
      </w:r>
      <w:r w:rsidRPr="008C4A1B">
        <w:t>very good (8</w:t>
      </w:r>
      <w:r>
        <w:t>1</w:t>
      </w:r>
      <w:r w:rsidRPr="008C4A1B">
        <w:t xml:space="preserve">-100), </w:t>
      </w:r>
      <w:r w:rsidRPr="008C4A1B">
        <w:rPr>
          <w:rFonts w:cs="Arial"/>
          <w:color w:val="92D050"/>
        </w:rPr>
        <w:t>■</w:t>
      </w:r>
      <w:r>
        <w:rPr>
          <w:rFonts w:cs="Arial"/>
          <w:color w:val="92D050"/>
        </w:rPr>
        <w:t xml:space="preserve"> </w:t>
      </w:r>
      <w:r w:rsidRPr="008C4A1B">
        <w:t>=</w:t>
      </w:r>
      <w:r>
        <w:t xml:space="preserve"> </w:t>
      </w:r>
      <w:r w:rsidRPr="008C4A1B">
        <w:t>good (6</w:t>
      </w:r>
      <w:r>
        <w:t xml:space="preserve">1 - </w:t>
      </w:r>
      <w:r w:rsidRPr="008C4A1B">
        <w:t xml:space="preserve">80), </w:t>
      </w:r>
      <w:r w:rsidRPr="008C4A1B">
        <w:rPr>
          <w:rFonts w:cs="Arial"/>
          <w:color w:val="FFFF00"/>
        </w:rPr>
        <w:t>■</w:t>
      </w:r>
      <w:r>
        <w:rPr>
          <w:rFonts w:cs="Arial"/>
          <w:color w:val="FFFF00"/>
        </w:rPr>
        <w:t xml:space="preserve"> </w:t>
      </w:r>
      <w:r w:rsidRPr="008C4A1B">
        <w:t>=</w:t>
      </w:r>
      <w:r>
        <w:t xml:space="preserve"> </w:t>
      </w:r>
      <w:r w:rsidRPr="008C4A1B">
        <w:t>moderate (4</w:t>
      </w:r>
      <w:r>
        <w:t xml:space="preserve">1 - </w:t>
      </w:r>
      <w:r w:rsidRPr="008C4A1B">
        <w:t xml:space="preserve">60), </w:t>
      </w:r>
      <w:r w:rsidRPr="008C4A1B">
        <w:rPr>
          <w:rFonts w:cs="Arial"/>
          <w:color w:val="FFC000"/>
        </w:rPr>
        <w:t>■</w:t>
      </w:r>
      <w:r>
        <w:rPr>
          <w:rFonts w:cs="Arial"/>
          <w:color w:val="FFC000"/>
        </w:rPr>
        <w:t xml:space="preserve"> </w:t>
      </w:r>
      <w:r w:rsidRPr="008C4A1B">
        <w:t>=</w:t>
      </w:r>
      <w:r>
        <w:t xml:space="preserve"> </w:t>
      </w:r>
      <w:r w:rsidRPr="008C4A1B">
        <w:t>poor (2</w:t>
      </w:r>
      <w:r>
        <w:t xml:space="preserve">1 - </w:t>
      </w:r>
      <w:r w:rsidRPr="008C4A1B">
        <w:t xml:space="preserve">40), </w:t>
      </w:r>
      <w:r w:rsidRPr="008C4A1B">
        <w:rPr>
          <w:rFonts w:cs="Arial"/>
          <w:color w:val="FF0000"/>
        </w:rPr>
        <w:t>■</w:t>
      </w:r>
      <w:r>
        <w:rPr>
          <w:rFonts w:cs="Arial"/>
          <w:color w:val="FF0000"/>
        </w:rPr>
        <w:t xml:space="preserve"> </w:t>
      </w:r>
      <w:r w:rsidRPr="008C4A1B">
        <w:t>=</w:t>
      </w:r>
      <w:r>
        <w:t xml:space="preserve"> </w:t>
      </w:r>
      <w:r w:rsidRPr="008C4A1B">
        <w:t xml:space="preserve">very poor (0 - </w:t>
      </w:r>
      <w:r w:rsidRPr="008C4A1B">
        <w:rPr>
          <w:color w:val="000000"/>
        </w:rPr>
        <w:t>20). NB: Scores</w:t>
      </w:r>
      <w:r w:rsidRPr="008C4A1B">
        <w:t xml:space="preserve"> are unitless.</w:t>
      </w:r>
      <w:bookmarkEnd w:id="1419"/>
      <w:r>
        <w:t xml:space="preserve"> </w:t>
      </w:r>
    </w:p>
    <w:p w14:paraId="10C5F685" w14:textId="77777777" w:rsidR="00C62884" w:rsidRDefault="00C62884" w:rsidP="00C62884">
      <w:pPr>
        <w:rPr>
          <w:b/>
        </w:rPr>
      </w:pPr>
    </w:p>
    <w:p w14:paraId="07C1A8C7" w14:textId="77777777" w:rsidR="00C62884" w:rsidRDefault="00C62884" w:rsidP="004A5BF7">
      <w:pPr>
        <w:rPr>
          <w:b/>
        </w:rPr>
      </w:pPr>
    </w:p>
    <w:p w14:paraId="5F22F2EA" w14:textId="7D8B24D9" w:rsidR="004E582F" w:rsidRPr="008467AA" w:rsidRDefault="008B46C3" w:rsidP="00C27BEB">
      <w:pPr>
        <w:pStyle w:val="Heading1"/>
      </w:pPr>
      <w:bookmarkStart w:id="1420" w:name="_Toc459329118"/>
      <w:bookmarkStart w:id="1421" w:name="_Toc459329477"/>
      <w:bookmarkStart w:id="1422" w:name="_Toc459329838"/>
      <w:bookmarkStart w:id="1423" w:name="_Toc459330198"/>
      <w:bookmarkStart w:id="1424" w:name="_Toc459330558"/>
      <w:bookmarkStart w:id="1425" w:name="_Toc459330918"/>
      <w:bookmarkStart w:id="1426" w:name="_Toc459331278"/>
      <w:bookmarkStart w:id="1427" w:name="_Toc459331638"/>
      <w:bookmarkStart w:id="1428" w:name="_Toc459331998"/>
      <w:bookmarkStart w:id="1429" w:name="_Toc462307457"/>
      <w:bookmarkEnd w:id="1420"/>
      <w:bookmarkEnd w:id="1421"/>
      <w:bookmarkEnd w:id="1422"/>
      <w:bookmarkEnd w:id="1423"/>
      <w:bookmarkEnd w:id="1424"/>
      <w:bookmarkEnd w:id="1425"/>
      <w:bookmarkEnd w:id="1426"/>
      <w:bookmarkEnd w:id="1427"/>
      <w:bookmarkEnd w:id="1428"/>
      <w:r>
        <w:rPr>
          <w:rStyle w:val="Heading3Char"/>
          <w:b/>
          <w:sz w:val="36"/>
          <w:szCs w:val="28"/>
        </w:rPr>
        <w:t xml:space="preserve">Discussion and </w:t>
      </w:r>
      <w:r w:rsidR="004D2A67">
        <w:rPr>
          <w:rStyle w:val="Heading3Char"/>
          <w:b/>
          <w:sz w:val="36"/>
          <w:szCs w:val="28"/>
        </w:rPr>
        <w:t>c</w:t>
      </w:r>
      <w:r>
        <w:rPr>
          <w:rStyle w:val="Heading3Char"/>
          <w:b/>
          <w:sz w:val="36"/>
          <w:szCs w:val="28"/>
        </w:rPr>
        <w:t>onclusions</w:t>
      </w:r>
      <w:bookmarkEnd w:id="1429"/>
    </w:p>
    <w:p w14:paraId="5F22F2EB" w14:textId="5B9469DB" w:rsidR="004E582F" w:rsidRPr="00914B3A" w:rsidRDefault="004E582F" w:rsidP="004E582F">
      <w:pPr>
        <w:rPr>
          <w:lang w:val="en-AU"/>
        </w:rPr>
      </w:pPr>
      <w:r w:rsidRPr="008467AA">
        <w:rPr>
          <w:lang w:val="en-AU"/>
        </w:rPr>
        <w:t>Local environmental conditions, such as water quality, clearly influence the benthic communities found on coastal and inshore reefs of the GBR. Collectively, these reefs differ markedly from those found in clearer, offshore waters (e.g. Done 1982</w:t>
      </w:r>
      <w:r w:rsidR="00F9219D">
        <w:rPr>
          <w:lang w:val="en-AU"/>
        </w:rPr>
        <w:t>;</w:t>
      </w:r>
      <w:r w:rsidRPr="008467AA">
        <w:rPr>
          <w:lang w:val="en-AU"/>
        </w:rPr>
        <w:t xml:space="preserve"> Wismer </w:t>
      </w:r>
      <w:r w:rsidRPr="0046394E">
        <w:rPr>
          <w:lang w:val="en-AU"/>
        </w:rPr>
        <w:t>et al.</w:t>
      </w:r>
      <w:r w:rsidR="0046394E">
        <w:rPr>
          <w:lang w:val="en-AU"/>
        </w:rPr>
        <w:t>,</w:t>
      </w:r>
      <w:r w:rsidRPr="008467AA">
        <w:rPr>
          <w:lang w:val="en-AU"/>
        </w:rPr>
        <w:t xml:space="preserve"> 2009). </w:t>
      </w:r>
      <w:r w:rsidRPr="008467AA" w:rsidDel="00A45D48">
        <w:rPr>
          <w:lang w:val="en-AU"/>
        </w:rPr>
        <w:t>The premise underpinning Reef</w:t>
      </w:r>
      <w:r w:rsidRPr="008467AA">
        <w:rPr>
          <w:lang w:val="en-AU"/>
        </w:rPr>
        <w:t xml:space="preserve"> 2050</w:t>
      </w:r>
      <w:r w:rsidRPr="008467AA" w:rsidDel="00A45D48">
        <w:rPr>
          <w:lang w:val="en-AU"/>
        </w:rPr>
        <w:t xml:space="preserve"> Plan is that contaminant loads delivered by rivers sufficiently alter the environmental conditions in inshore waters of the GBR to suppress ecological resilience.</w:t>
      </w:r>
      <w:r w:rsidRPr="008467AA">
        <w:rPr>
          <w:lang w:val="en-AU"/>
        </w:rPr>
        <w:t xml:space="preserve"> </w:t>
      </w:r>
    </w:p>
    <w:p w14:paraId="5F22F2EC" w14:textId="5F1F6382" w:rsidR="004E582F" w:rsidRPr="008467AA" w:rsidRDefault="004E582F" w:rsidP="004E582F">
      <w:pPr>
        <w:rPr>
          <w:color w:val="0070C0"/>
          <w:lang w:val="en-AU"/>
        </w:rPr>
      </w:pPr>
      <w:r w:rsidRPr="008467AA">
        <w:rPr>
          <w:lang w:val="en-AU"/>
        </w:rPr>
        <w:t xml:space="preserve">In this report, we </w:t>
      </w:r>
      <w:r w:rsidR="0093623D">
        <w:rPr>
          <w:lang w:val="en-AU"/>
        </w:rPr>
        <w:t xml:space="preserve">have </w:t>
      </w:r>
      <w:r w:rsidRPr="008467AA">
        <w:rPr>
          <w:lang w:val="en-AU"/>
        </w:rPr>
        <w:t>provide</w:t>
      </w:r>
      <w:r w:rsidR="0093623D">
        <w:rPr>
          <w:lang w:val="en-AU"/>
        </w:rPr>
        <w:t>d</w:t>
      </w:r>
      <w:r w:rsidRPr="008467AA">
        <w:rPr>
          <w:lang w:val="en-AU"/>
        </w:rPr>
        <w:t xml:space="preserve"> spatial and temporal trends of water quality indicators in the GBR</w:t>
      </w:r>
      <w:r w:rsidR="00E272F2">
        <w:rPr>
          <w:lang w:val="en-AU"/>
        </w:rPr>
        <w:t xml:space="preserve"> </w:t>
      </w:r>
      <w:r w:rsidR="0093623D">
        <w:rPr>
          <w:lang w:val="en-AU"/>
        </w:rPr>
        <w:t>in</w:t>
      </w:r>
      <w:r w:rsidR="00E272F2">
        <w:rPr>
          <w:lang w:val="en-AU"/>
        </w:rPr>
        <w:t xml:space="preserve"> </w:t>
      </w:r>
      <w:r w:rsidR="008B46C3">
        <w:rPr>
          <w:lang w:val="en-AU"/>
        </w:rPr>
        <w:t>four</w:t>
      </w:r>
      <w:r w:rsidR="00E272F2">
        <w:rPr>
          <w:lang w:val="en-AU"/>
        </w:rPr>
        <w:t xml:space="preserve"> focus </w:t>
      </w:r>
      <w:r w:rsidR="0093623D">
        <w:rPr>
          <w:lang w:val="en-AU"/>
        </w:rPr>
        <w:t>areas</w:t>
      </w:r>
      <w:r w:rsidRPr="008467AA">
        <w:rPr>
          <w:lang w:val="en-AU"/>
        </w:rPr>
        <w:t>. The water quality changed in response to the magnitude of river flows</w:t>
      </w:r>
      <w:r w:rsidR="008A753A" w:rsidRPr="004A5BF7">
        <w:t xml:space="preserve">, </w:t>
      </w:r>
      <w:r w:rsidR="0093623D">
        <w:rPr>
          <w:lang w:val="en-AU"/>
        </w:rPr>
        <w:t xml:space="preserve">end of catchment loads </w:t>
      </w:r>
      <w:r w:rsidRPr="008467AA">
        <w:rPr>
          <w:lang w:val="en-AU"/>
        </w:rPr>
        <w:t>of sediments</w:t>
      </w:r>
      <w:r w:rsidR="008A753A">
        <w:rPr>
          <w:lang w:val="en-AU"/>
        </w:rPr>
        <w:t xml:space="preserve"> and</w:t>
      </w:r>
      <w:r w:rsidRPr="008467AA">
        <w:rPr>
          <w:lang w:val="en-AU"/>
        </w:rPr>
        <w:t xml:space="preserve"> nutrients</w:t>
      </w:r>
      <w:r w:rsidR="0093623D">
        <w:rPr>
          <w:lang w:val="en-AU"/>
        </w:rPr>
        <w:t xml:space="preserve">, and </w:t>
      </w:r>
      <w:r w:rsidR="00476DF8">
        <w:rPr>
          <w:lang w:val="en-AU"/>
        </w:rPr>
        <w:t>correlations of salinity and distance</w:t>
      </w:r>
      <w:r w:rsidR="0093623D">
        <w:rPr>
          <w:lang w:val="en-AU"/>
        </w:rPr>
        <w:t>. These</w:t>
      </w:r>
      <w:r w:rsidR="00476DF8">
        <w:rPr>
          <w:lang w:val="en-AU"/>
        </w:rPr>
        <w:t xml:space="preserve"> are </w:t>
      </w:r>
      <w:r w:rsidR="0093623D">
        <w:rPr>
          <w:lang w:val="en-AU"/>
        </w:rPr>
        <w:t xml:space="preserve">all </w:t>
      </w:r>
      <w:r w:rsidR="00476DF8">
        <w:rPr>
          <w:lang w:val="en-AU"/>
        </w:rPr>
        <w:t xml:space="preserve">important </w:t>
      </w:r>
      <w:r w:rsidR="0093623D">
        <w:rPr>
          <w:lang w:val="en-AU"/>
        </w:rPr>
        <w:t xml:space="preserve">factors </w:t>
      </w:r>
      <w:r w:rsidR="00476DF8">
        <w:rPr>
          <w:lang w:val="en-AU"/>
        </w:rPr>
        <w:t xml:space="preserve">in driving </w:t>
      </w:r>
      <w:r w:rsidR="008A753A">
        <w:rPr>
          <w:lang w:val="en-AU"/>
        </w:rPr>
        <w:t xml:space="preserve">marine </w:t>
      </w:r>
      <w:r w:rsidR="00476DF8">
        <w:rPr>
          <w:lang w:val="en-AU"/>
        </w:rPr>
        <w:t>water quality concentrations</w:t>
      </w:r>
      <w:r w:rsidRPr="008467AA">
        <w:rPr>
          <w:lang w:val="en-AU"/>
        </w:rPr>
        <w:t xml:space="preserve">. </w:t>
      </w:r>
    </w:p>
    <w:p w14:paraId="5F22F2ED" w14:textId="77777777" w:rsidR="004E582F" w:rsidRPr="00C27BEB" w:rsidRDefault="004E582F" w:rsidP="008617A0">
      <w:pPr>
        <w:pStyle w:val="Heading2"/>
      </w:pPr>
      <w:bookmarkStart w:id="1430" w:name="_Toc462307458"/>
      <w:r w:rsidRPr="00C27BEB">
        <w:t>Long-term changes in water quality</w:t>
      </w:r>
      <w:bookmarkEnd w:id="1430"/>
      <w:r w:rsidRPr="00C27BEB">
        <w:t xml:space="preserve"> </w:t>
      </w:r>
    </w:p>
    <w:p w14:paraId="5F22F2EE" w14:textId="022109B2" w:rsidR="004E582F" w:rsidRPr="00914B3A" w:rsidRDefault="008B46C3" w:rsidP="00914B3A">
      <w:pPr>
        <w:rPr>
          <w:lang w:val="en-AU"/>
        </w:rPr>
      </w:pPr>
      <w:r>
        <w:rPr>
          <w:lang w:val="en-AU"/>
        </w:rPr>
        <w:t>The results for 2014-15 followed typical patterns of w</w:t>
      </w:r>
      <w:r w:rsidR="004E582F" w:rsidRPr="008467AA">
        <w:rPr>
          <w:lang w:val="en-AU"/>
        </w:rPr>
        <w:t xml:space="preserve">ater quality in the inshore GBR </w:t>
      </w:r>
      <w:r>
        <w:rPr>
          <w:lang w:val="en-AU"/>
        </w:rPr>
        <w:t xml:space="preserve">which generally </w:t>
      </w:r>
      <w:r w:rsidR="004E582F" w:rsidRPr="008467AA">
        <w:rPr>
          <w:lang w:val="en-AU"/>
        </w:rPr>
        <w:t>shows clear gradients away from river mouths, with higher levels of most indicators close to the coas</w:t>
      </w:r>
      <w:r w:rsidR="0093623D">
        <w:rPr>
          <w:lang w:val="en-AU"/>
        </w:rPr>
        <w:t xml:space="preserve">t. These gradients are </w:t>
      </w:r>
      <w:r w:rsidR="004E582F" w:rsidRPr="008467AA">
        <w:rPr>
          <w:lang w:val="en-AU"/>
        </w:rPr>
        <w:t xml:space="preserve">influenced over short time periods by flood events and sediment resuspension, and over longer time periods by a complex interplay of physical forcing and biological transformation processes (see Schaffelke </w:t>
      </w:r>
      <w:r w:rsidR="0046394E" w:rsidRPr="0046394E">
        <w:rPr>
          <w:lang w:val="en-AU"/>
        </w:rPr>
        <w:t>et al.</w:t>
      </w:r>
      <w:r w:rsidR="0046394E">
        <w:rPr>
          <w:lang w:val="en-AU"/>
        </w:rPr>
        <w:t>,</w:t>
      </w:r>
      <w:r w:rsidR="0046394E" w:rsidRPr="008467AA">
        <w:rPr>
          <w:lang w:val="en-AU"/>
        </w:rPr>
        <w:t xml:space="preserve"> </w:t>
      </w:r>
      <w:r w:rsidR="004E582F" w:rsidRPr="008467AA">
        <w:rPr>
          <w:lang w:val="en-AU"/>
        </w:rPr>
        <w:t xml:space="preserve">2013 and references therein). Such gradients and processes are a part of the </w:t>
      </w:r>
      <w:r w:rsidR="0093623D" w:rsidRPr="008467AA">
        <w:rPr>
          <w:lang w:val="en-AU"/>
        </w:rPr>
        <w:t xml:space="preserve">natural </w:t>
      </w:r>
      <w:r w:rsidR="004E582F" w:rsidRPr="008467AA">
        <w:rPr>
          <w:lang w:val="en-AU"/>
        </w:rPr>
        <w:t xml:space="preserve">GBR ecosystem, albeit under far lower levels of input of runoff-derived pollutants than at present. An analysis of five years of MMP water quality data showed significant variability (Schaffelke </w:t>
      </w:r>
      <w:r w:rsidR="0046394E" w:rsidRPr="0046394E">
        <w:rPr>
          <w:lang w:val="en-AU"/>
        </w:rPr>
        <w:t>et al.</w:t>
      </w:r>
      <w:r w:rsidR="0046394E">
        <w:rPr>
          <w:lang w:val="en-AU"/>
        </w:rPr>
        <w:t>,</w:t>
      </w:r>
      <w:r w:rsidR="0046394E" w:rsidRPr="008467AA">
        <w:rPr>
          <w:lang w:val="en-AU"/>
        </w:rPr>
        <w:t xml:space="preserve"> </w:t>
      </w:r>
      <w:r w:rsidR="004E582F" w:rsidRPr="008467AA">
        <w:rPr>
          <w:lang w:val="en-AU"/>
        </w:rPr>
        <w:t>2012a)</w:t>
      </w:r>
      <w:r w:rsidR="0093623D">
        <w:rPr>
          <w:lang w:val="en-AU"/>
        </w:rPr>
        <w:t xml:space="preserve"> between years and locations</w:t>
      </w:r>
      <w:r w:rsidR="004E582F" w:rsidRPr="008467AA">
        <w:rPr>
          <w:lang w:val="en-AU"/>
        </w:rPr>
        <w:t>. Most variation was explained by temporal factors (seasons, years and river flow), highlighting the extremely variable climate of the ecosystem, with r</w:t>
      </w:r>
      <w:r w:rsidR="004E582F" w:rsidRPr="008467AA">
        <w:rPr>
          <w:szCs w:val="21"/>
          <w:lang w:val="en-AU"/>
        </w:rPr>
        <w:t>egional aspects (such as latitude, land use on adjacent catchments, proximity to rivers and resuspension) explaining a smaller, albeit significant, amount of the variation</w:t>
      </w:r>
      <w:r w:rsidR="004E582F" w:rsidRPr="008467AA">
        <w:rPr>
          <w:lang w:val="en-AU"/>
        </w:rPr>
        <w:t xml:space="preserve">. </w:t>
      </w:r>
    </w:p>
    <w:p w14:paraId="5F22F2EF" w14:textId="620CA211" w:rsidR="004E582F" w:rsidRPr="008467AA" w:rsidRDefault="004E582F" w:rsidP="004E582F">
      <w:pPr>
        <w:autoSpaceDE w:val="0"/>
        <w:autoSpaceDN w:val="0"/>
        <w:adjustRightInd w:val="0"/>
        <w:rPr>
          <w:rFonts w:cs="Arial"/>
          <w:lang w:val="en-AU"/>
        </w:rPr>
      </w:pPr>
      <w:r w:rsidRPr="008467AA">
        <w:rPr>
          <w:rFonts w:cs="Arial"/>
          <w:lang w:val="en-AU"/>
        </w:rPr>
        <w:t>Turbidity is caused by suspended particles (e.g. clay and organic matter) and controls both sunlight absorption and scattering. Since European settlement, the GBR lagoon has received increased sediment and nutrient loads from the catchment (Kroon et al.</w:t>
      </w:r>
      <w:r w:rsidR="0093623D">
        <w:rPr>
          <w:rFonts w:cs="Arial"/>
          <w:lang w:val="en-AU"/>
        </w:rPr>
        <w:t>,</w:t>
      </w:r>
      <w:r w:rsidRPr="008467AA">
        <w:rPr>
          <w:rFonts w:cs="Arial"/>
          <w:lang w:val="en-AU"/>
        </w:rPr>
        <w:t xml:space="preserve"> 2012; </w:t>
      </w:r>
      <w:r w:rsidRPr="008467AA">
        <w:rPr>
          <w:rFonts w:cs="Arial"/>
          <w:szCs w:val="22"/>
          <w:lang w:val="en-AU"/>
        </w:rPr>
        <w:t>Belp</w:t>
      </w:r>
      <w:r w:rsidRPr="008467AA">
        <w:rPr>
          <w:rFonts w:cs="Arial"/>
          <w:lang w:val="en-AU"/>
        </w:rPr>
        <w:t>erio and Searle 1988). The general increase measured in turbidity over the monitoring period suggests that the water transparency has decreased, thereby reducing the light available for plankton and coral symbiont growth. Turbidity is recognised as influencing settlement preferences of coral larvae, but also coral health in general (Mundy and Babcock 1998</w:t>
      </w:r>
      <w:r w:rsidR="0093623D">
        <w:rPr>
          <w:rFonts w:cs="Arial"/>
          <w:lang w:val="en-AU"/>
        </w:rPr>
        <w:t>;</w:t>
      </w:r>
      <w:r w:rsidR="0093623D" w:rsidRPr="008467AA">
        <w:rPr>
          <w:rFonts w:cs="Arial"/>
          <w:lang w:val="en-AU"/>
        </w:rPr>
        <w:t xml:space="preserve"> </w:t>
      </w:r>
      <w:r w:rsidRPr="008467AA">
        <w:rPr>
          <w:rFonts w:cs="Arial"/>
          <w:lang w:val="en-AU"/>
        </w:rPr>
        <w:t xml:space="preserve">Baird </w:t>
      </w:r>
      <w:r w:rsidR="0046394E" w:rsidRPr="0046394E">
        <w:rPr>
          <w:lang w:val="en-AU"/>
        </w:rPr>
        <w:t>et al.</w:t>
      </w:r>
      <w:r w:rsidR="0046394E">
        <w:rPr>
          <w:lang w:val="en-AU"/>
        </w:rPr>
        <w:t>,</w:t>
      </w:r>
      <w:r w:rsidR="0046394E" w:rsidRPr="008467AA">
        <w:rPr>
          <w:lang w:val="en-AU"/>
        </w:rPr>
        <w:t xml:space="preserve"> </w:t>
      </w:r>
      <w:r w:rsidRPr="008467AA">
        <w:rPr>
          <w:rFonts w:cs="Arial"/>
          <w:lang w:val="en-AU"/>
        </w:rPr>
        <w:t>2003</w:t>
      </w:r>
      <w:r w:rsidR="0093623D">
        <w:rPr>
          <w:rFonts w:cs="Arial"/>
          <w:lang w:val="en-AU"/>
        </w:rPr>
        <w:t>;</w:t>
      </w:r>
      <w:r w:rsidR="0093623D" w:rsidRPr="008467AA">
        <w:rPr>
          <w:rFonts w:cs="Arial"/>
          <w:lang w:val="en-AU"/>
        </w:rPr>
        <w:t xml:space="preserve"> </w:t>
      </w:r>
      <w:r w:rsidRPr="008467AA">
        <w:rPr>
          <w:rFonts w:cs="Arial"/>
          <w:lang w:val="en-AU"/>
        </w:rPr>
        <w:t>Rogers 1979</w:t>
      </w:r>
      <w:r w:rsidR="0093623D">
        <w:rPr>
          <w:rFonts w:cs="Arial"/>
          <w:lang w:val="en-AU"/>
        </w:rPr>
        <w:t>;</w:t>
      </w:r>
      <w:r w:rsidR="0093623D" w:rsidRPr="008467AA">
        <w:rPr>
          <w:rFonts w:cs="Arial"/>
          <w:lang w:val="en-AU"/>
        </w:rPr>
        <w:t xml:space="preserve"> </w:t>
      </w:r>
      <w:r w:rsidRPr="008467AA">
        <w:rPr>
          <w:rFonts w:cs="Arial"/>
          <w:lang w:val="en-AU"/>
        </w:rPr>
        <w:t xml:space="preserve">Pollock </w:t>
      </w:r>
      <w:r w:rsidR="0046394E" w:rsidRPr="0046394E">
        <w:rPr>
          <w:lang w:val="en-AU"/>
        </w:rPr>
        <w:t>et al.</w:t>
      </w:r>
      <w:r w:rsidR="0046394E">
        <w:rPr>
          <w:lang w:val="en-AU"/>
        </w:rPr>
        <w:t>,</w:t>
      </w:r>
      <w:r w:rsidR="0046394E" w:rsidRPr="008467AA">
        <w:rPr>
          <w:lang w:val="en-AU"/>
        </w:rPr>
        <w:t xml:space="preserve"> </w:t>
      </w:r>
      <w:r w:rsidRPr="008467AA">
        <w:rPr>
          <w:rFonts w:cs="Arial"/>
          <w:lang w:val="en-AU"/>
        </w:rPr>
        <w:t>2014</w:t>
      </w:r>
      <w:r w:rsidR="0093623D">
        <w:rPr>
          <w:rFonts w:cs="Arial"/>
          <w:lang w:val="en-AU"/>
        </w:rPr>
        <w:t>;</w:t>
      </w:r>
      <w:r w:rsidR="0093623D" w:rsidRPr="008467AA">
        <w:rPr>
          <w:rFonts w:cs="Arial"/>
          <w:lang w:val="en-AU"/>
        </w:rPr>
        <w:t xml:space="preserve"> </w:t>
      </w:r>
      <w:r w:rsidRPr="008467AA">
        <w:rPr>
          <w:rFonts w:cs="Arial"/>
          <w:lang w:val="en-AU"/>
        </w:rPr>
        <w:t xml:space="preserve">Schaffelke </w:t>
      </w:r>
      <w:r w:rsidR="0046394E" w:rsidRPr="0046394E">
        <w:rPr>
          <w:lang w:val="en-AU"/>
        </w:rPr>
        <w:t>et al.</w:t>
      </w:r>
      <w:r w:rsidR="0046394E">
        <w:rPr>
          <w:lang w:val="en-AU"/>
        </w:rPr>
        <w:t>,</w:t>
      </w:r>
      <w:r w:rsidR="0046394E" w:rsidRPr="008467AA">
        <w:rPr>
          <w:lang w:val="en-AU"/>
        </w:rPr>
        <w:t xml:space="preserve"> </w:t>
      </w:r>
      <w:r w:rsidRPr="008467AA">
        <w:rPr>
          <w:rFonts w:cs="Arial"/>
          <w:lang w:val="en-AU"/>
        </w:rPr>
        <w:t xml:space="preserve">2013) and is thereby an important factor in governing coral community composition. </w:t>
      </w:r>
    </w:p>
    <w:p w14:paraId="5F22F2F0" w14:textId="28C73437" w:rsidR="004E582F" w:rsidRPr="008467AA" w:rsidRDefault="004E582F" w:rsidP="004E582F">
      <w:pPr>
        <w:autoSpaceDE w:val="0"/>
        <w:autoSpaceDN w:val="0"/>
        <w:adjustRightInd w:val="0"/>
        <w:rPr>
          <w:rFonts w:cs="Arial"/>
          <w:lang w:val="en-AU"/>
        </w:rPr>
      </w:pPr>
      <w:r w:rsidRPr="008467AA">
        <w:rPr>
          <w:rFonts w:cs="Arial"/>
          <w:lang w:val="en-AU"/>
        </w:rPr>
        <w:t>Turbidity in the GBR lagoon is strongly influenced by variations in the in</w:t>
      </w:r>
      <w:r w:rsidR="008B46C3">
        <w:rPr>
          <w:rFonts w:cs="Arial"/>
          <w:lang w:val="en-AU"/>
        </w:rPr>
        <w:t>put</w:t>
      </w:r>
      <w:r w:rsidR="0093623D">
        <w:rPr>
          <w:rFonts w:cs="Arial"/>
          <w:lang w:val="en-AU"/>
        </w:rPr>
        <w:t xml:space="preserve"> </w:t>
      </w:r>
      <w:r w:rsidRPr="008467AA">
        <w:rPr>
          <w:rFonts w:cs="Arial"/>
          <w:lang w:val="en-AU"/>
        </w:rPr>
        <w:t>of particles from the catchment and resuspension by wind, currents and tides</w:t>
      </w:r>
      <w:r w:rsidR="008B46C3">
        <w:rPr>
          <w:rFonts w:cs="Arial"/>
          <w:lang w:val="en-AU"/>
        </w:rPr>
        <w:t xml:space="preserve"> (Fabricius et al.</w:t>
      </w:r>
      <w:r w:rsidR="000F3684">
        <w:rPr>
          <w:rFonts w:cs="Arial"/>
          <w:lang w:val="en-AU"/>
        </w:rPr>
        <w:t>,</w:t>
      </w:r>
      <w:r w:rsidR="008B46C3">
        <w:rPr>
          <w:rFonts w:cs="Arial"/>
          <w:lang w:val="en-AU"/>
        </w:rPr>
        <w:t xml:space="preserve"> </w:t>
      </w:r>
      <w:r w:rsidR="000F3684">
        <w:rPr>
          <w:rFonts w:cs="Arial"/>
          <w:lang w:val="en-AU"/>
        </w:rPr>
        <w:t>2014</w:t>
      </w:r>
      <w:r w:rsidR="008B46C3">
        <w:rPr>
          <w:rFonts w:cs="Arial"/>
          <w:lang w:val="en-AU"/>
        </w:rPr>
        <w:t>)</w:t>
      </w:r>
      <w:r w:rsidRPr="008467AA">
        <w:rPr>
          <w:rFonts w:cs="Arial"/>
          <w:lang w:val="en-AU"/>
        </w:rPr>
        <w:t xml:space="preserve">. It is becoming increasingly apparent that the additional flux of fine sediment imported by rivers remains in the coastal zone for periods of months to years leading to chronically elevated turbidity and rates of sedimentation (e.g. Lambrechts </w:t>
      </w:r>
      <w:r w:rsidR="0046394E" w:rsidRPr="0046394E">
        <w:rPr>
          <w:lang w:val="en-AU"/>
        </w:rPr>
        <w:t>et al.</w:t>
      </w:r>
      <w:r w:rsidR="0046394E">
        <w:rPr>
          <w:lang w:val="en-AU"/>
        </w:rPr>
        <w:t>,</w:t>
      </w:r>
      <w:r w:rsidR="0046394E" w:rsidRPr="008467AA">
        <w:rPr>
          <w:lang w:val="en-AU"/>
        </w:rPr>
        <w:t xml:space="preserve"> </w:t>
      </w:r>
      <w:r w:rsidRPr="008467AA">
        <w:rPr>
          <w:rFonts w:cs="Arial"/>
          <w:lang w:val="en-AU"/>
        </w:rPr>
        <w:t>2010</w:t>
      </w:r>
      <w:r w:rsidR="0093623D">
        <w:rPr>
          <w:rFonts w:cs="Arial"/>
          <w:lang w:val="en-AU"/>
        </w:rPr>
        <w:t>;</w:t>
      </w:r>
      <w:r w:rsidR="0093623D" w:rsidRPr="008467AA">
        <w:rPr>
          <w:rFonts w:cs="Arial"/>
          <w:lang w:val="en-AU"/>
        </w:rPr>
        <w:t xml:space="preserve"> </w:t>
      </w:r>
      <w:r w:rsidRPr="008467AA">
        <w:rPr>
          <w:rFonts w:cs="Arial"/>
          <w:szCs w:val="22"/>
          <w:lang w:val="en-AU"/>
        </w:rPr>
        <w:t xml:space="preserve">Thompson </w:t>
      </w:r>
      <w:r w:rsidR="0046394E" w:rsidRPr="0046394E">
        <w:rPr>
          <w:lang w:val="en-AU"/>
        </w:rPr>
        <w:t>et al.</w:t>
      </w:r>
      <w:r w:rsidR="0046394E">
        <w:rPr>
          <w:lang w:val="en-AU"/>
        </w:rPr>
        <w:t>,</w:t>
      </w:r>
      <w:r w:rsidR="0046394E" w:rsidRPr="008467AA">
        <w:rPr>
          <w:lang w:val="en-AU"/>
        </w:rPr>
        <w:t xml:space="preserve"> </w:t>
      </w:r>
      <w:r w:rsidRPr="008467AA">
        <w:rPr>
          <w:rFonts w:cs="Arial"/>
          <w:szCs w:val="22"/>
          <w:lang w:val="en-AU"/>
        </w:rPr>
        <w:t>2012</w:t>
      </w:r>
      <w:r w:rsidR="008B46C3">
        <w:rPr>
          <w:rFonts w:cs="Arial"/>
          <w:szCs w:val="22"/>
          <w:lang w:val="en-AU"/>
        </w:rPr>
        <w:t>; Fabricius et al.</w:t>
      </w:r>
      <w:r w:rsidR="000F3684">
        <w:rPr>
          <w:rFonts w:cs="Arial"/>
          <w:szCs w:val="22"/>
          <w:lang w:val="en-AU"/>
        </w:rPr>
        <w:t>,</w:t>
      </w:r>
      <w:r w:rsidR="008B46C3">
        <w:rPr>
          <w:rFonts w:cs="Arial"/>
          <w:szCs w:val="22"/>
          <w:lang w:val="en-AU"/>
        </w:rPr>
        <w:t xml:space="preserve"> </w:t>
      </w:r>
      <w:r w:rsidR="000F3684">
        <w:rPr>
          <w:rFonts w:cs="Arial"/>
          <w:szCs w:val="22"/>
          <w:lang w:val="en-AU"/>
        </w:rPr>
        <w:t>2014</w:t>
      </w:r>
      <w:r w:rsidR="008B46C3">
        <w:rPr>
          <w:rFonts w:cs="Arial"/>
          <w:szCs w:val="22"/>
          <w:lang w:val="en-AU"/>
        </w:rPr>
        <w:t>; Logan et al.</w:t>
      </w:r>
      <w:r w:rsidR="000F3684">
        <w:rPr>
          <w:rFonts w:cs="Arial"/>
          <w:szCs w:val="22"/>
          <w:lang w:val="en-AU"/>
        </w:rPr>
        <w:t>,</w:t>
      </w:r>
      <w:r w:rsidR="008B46C3">
        <w:rPr>
          <w:rFonts w:cs="Arial"/>
          <w:szCs w:val="22"/>
          <w:lang w:val="en-AU"/>
        </w:rPr>
        <w:t xml:space="preserve"> 2013, 2014</w:t>
      </w:r>
      <w:r w:rsidRPr="008467AA">
        <w:rPr>
          <w:rFonts w:cs="Arial"/>
          <w:lang w:val="en-AU"/>
        </w:rPr>
        <w:t xml:space="preserve">). While the turbidity loggers showed increased levels over the monitoring period the same was not evident for concentrations of suspended solids. This is likely linked with the difference in methods. While the suspended solids are measured as dry mass of particles on a filter (0.4 µm pore-size), the turbidity measured by the optical instruments is the total light absorption and scattering. The difference in trends of these two estimates of turbidity suggests that the size spectrum/composition of the material has changed over the monitoring period with the material passing a 0.4 µm filtered (e.g. colloidal particles) having a larger role in determining the underwater light climate (Bowers and Binding 2006). </w:t>
      </w:r>
    </w:p>
    <w:p w14:paraId="5F22F2F1" w14:textId="4810DD68" w:rsidR="004E582F" w:rsidRPr="0046394E" w:rsidRDefault="004E582F" w:rsidP="00914B3A">
      <w:pPr>
        <w:rPr>
          <w:lang w:val="en-AU"/>
        </w:rPr>
      </w:pPr>
      <w:r w:rsidRPr="008467AA">
        <w:rPr>
          <w:lang w:val="en-AU"/>
        </w:rPr>
        <w:t xml:space="preserve">Plankton biomass production in the GBR is considered to be limited by the availability of nitrogen. An increase in readily available dissolved </w:t>
      </w:r>
      <w:r w:rsidR="00155E36">
        <w:rPr>
          <w:lang w:val="en-AU"/>
        </w:rPr>
        <w:t xml:space="preserve">oxidised </w:t>
      </w:r>
      <w:r w:rsidRPr="008467AA">
        <w:rPr>
          <w:lang w:val="en-AU"/>
        </w:rPr>
        <w:t>nitrogen (NO</w:t>
      </w:r>
      <w:r w:rsidRPr="008467AA">
        <w:rPr>
          <w:vertAlign w:val="subscript"/>
          <w:lang w:val="en-AU"/>
        </w:rPr>
        <w:t>x</w:t>
      </w:r>
      <w:r w:rsidRPr="008467AA">
        <w:rPr>
          <w:lang w:val="en-AU"/>
        </w:rPr>
        <w:t xml:space="preserve">) concentrations, as found over the monitoring period, is therefore unexpected. This has two likely causes: either the plankton community is obtaining enough nitrogen from other sources (e.g. ammonium) or their growth is limited by other factors than nitrogen </w:t>
      </w:r>
      <w:r w:rsidR="0093623D">
        <w:rPr>
          <w:lang w:val="en-AU"/>
        </w:rPr>
        <w:t xml:space="preserve">such as </w:t>
      </w:r>
      <w:r w:rsidRPr="008467AA">
        <w:rPr>
          <w:lang w:val="en-AU"/>
        </w:rPr>
        <w:t>light. The increases in turbidity (discussed above), suggest that less light is available for plankton growth which could cause a light-limited situation whereby the plankton community is not able to use the extra NO</w:t>
      </w:r>
      <w:r w:rsidRPr="008467AA">
        <w:rPr>
          <w:vertAlign w:val="subscript"/>
          <w:lang w:val="en-AU"/>
        </w:rPr>
        <w:t xml:space="preserve">x </w:t>
      </w:r>
      <w:r w:rsidRPr="008467AA">
        <w:rPr>
          <w:lang w:val="en-AU"/>
        </w:rPr>
        <w:t>for biomass growth. As this NO</w:t>
      </w:r>
      <w:r w:rsidRPr="008467AA">
        <w:rPr>
          <w:vertAlign w:val="subscript"/>
          <w:lang w:val="en-AU"/>
        </w:rPr>
        <w:t>x</w:t>
      </w:r>
      <w:r w:rsidRPr="008467AA">
        <w:rPr>
          <w:lang w:val="en-AU"/>
        </w:rPr>
        <w:t xml:space="preserve"> is not used within the coastal area it will be exported to the adjacent ocean, where it could fuel plankton production. It is the transport of coastal nutrients to the midshelf GBR that has been </w:t>
      </w:r>
      <w:r w:rsidR="003F5493">
        <w:rPr>
          <w:lang w:val="en-AU"/>
        </w:rPr>
        <w:t>hypothe</w:t>
      </w:r>
      <w:r w:rsidR="0046312F">
        <w:rPr>
          <w:lang w:val="en-AU"/>
        </w:rPr>
        <w:t>s</w:t>
      </w:r>
      <w:r w:rsidR="003F5493">
        <w:rPr>
          <w:lang w:val="en-AU"/>
        </w:rPr>
        <w:t>i</w:t>
      </w:r>
      <w:r w:rsidR="0046312F">
        <w:rPr>
          <w:lang w:val="en-AU"/>
        </w:rPr>
        <w:t>s</w:t>
      </w:r>
      <w:r w:rsidR="003F5493">
        <w:rPr>
          <w:lang w:val="en-AU"/>
        </w:rPr>
        <w:t xml:space="preserve">ed </w:t>
      </w:r>
      <w:r w:rsidR="0046394E">
        <w:rPr>
          <w:lang w:val="en-AU"/>
        </w:rPr>
        <w:t>to</w:t>
      </w:r>
      <w:r w:rsidRPr="008467AA">
        <w:rPr>
          <w:lang w:val="en-AU"/>
        </w:rPr>
        <w:t xml:space="preserve"> initiat</w:t>
      </w:r>
      <w:r w:rsidR="00A75187">
        <w:rPr>
          <w:lang w:val="en-AU"/>
        </w:rPr>
        <w:t>e</w:t>
      </w:r>
      <w:r w:rsidRPr="008467AA">
        <w:rPr>
          <w:lang w:val="en-AU"/>
        </w:rPr>
        <w:t xml:space="preserve"> COTS outbreaks (e.g. Brodie </w:t>
      </w:r>
      <w:r w:rsidR="0046394E" w:rsidRPr="0046394E">
        <w:rPr>
          <w:lang w:val="en-AU"/>
        </w:rPr>
        <w:t>et al.</w:t>
      </w:r>
      <w:r w:rsidR="0046394E">
        <w:rPr>
          <w:lang w:val="en-AU"/>
        </w:rPr>
        <w:t>,</w:t>
      </w:r>
      <w:r w:rsidR="0046394E" w:rsidRPr="008467AA">
        <w:rPr>
          <w:lang w:val="en-AU"/>
        </w:rPr>
        <w:t xml:space="preserve"> </w:t>
      </w:r>
      <w:r w:rsidRPr="008467AA">
        <w:rPr>
          <w:lang w:val="en-AU"/>
        </w:rPr>
        <w:t xml:space="preserve">2005). These outbreaks are a major contributor to loss of coral cover on the GBR </w:t>
      </w:r>
      <w:r w:rsidRPr="0046394E">
        <w:rPr>
          <w:lang w:val="en-AU"/>
        </w:rPr>
        <w:t xml:space="preserve">(e.g. Osborne </w:t>
      </w:r>
      <w:r w:rsidR="0046394E" w:rsidRPr="0046394E">
        <w:rPr>
          <w:lang w:val="en-AU"/>
        </w:rPr>
        <w:t xml:space="preserve">et al., </w:t>
      </w:r>
      <w:r w:rsidRPr="0046394E">
        <w:rPr>
          <w:lang w:val="en-AU"/>
        </w:rPr>
        <w:t>2011</w:t>
      </w:r>
      <w:r w:rsidR="0093623D">
        <w:rPr>
          <w:lang w:val="en-AU"/>
        </w:rPr>
        <w:t>; De’ath et al. 2012</w:t>
      </w:r>
      <w:r w:rsidRPr="0046394E">
        <w:rPr>
          <w:lang w:val="en-AU"/>
        </w:rPr>
        <w:t xml:space="preserve">). </w:t>
      </w:r>
    </w:p>
    <w:p w14:paraId="5F22F2F2" w14:textId="77777777" w:rsidR="004E582F" w:rsidRPr="0046394E" w:rsidRDefault="004E582F" w:rsidP="004E582F">
      <w:pPr>
        <w:rPr>
          <w:rFonts w:cs="Arial"/>
          <w:lang w:val="en-AU"/>
        </w:rPr>
      </w:pPr>
      <w:r w:rsidRPr="0046394E">
        <w:rPr>
          <w:rFonts w:cs="Arial"/>
          <w:szCs w:val="22"/>
          <w:lang w:val="en-AU"/>
        </w:rPr>
        <w:t xml:space="preserve">Over the monitoring period, an increase in the dissolved organic carbon (DOC) concentrations was found in all regions. </w:t>
      </w:r>
      <w:r w:rsidRPr="0046394E">
        <w:rPr>
          <w:rFonts w:cs="Arial"/>
          <w:szCs w:val="22"/>
          <w:lang w:val="en-AU" w:eastAsia="en-AU"/>
        </w:rPr>
        <w:t xml:space="preserve">DOC constitutes the major carbon source for heterotrophic microbial growth in marine pelagic systems (e.g. Lønborg </w:t>
      </w:r>
      <w:r w:rsidR="0046394E" w:rsidRPr="0046394E">
        <w:rPr>
          <w:lang w:val="en-AU"/>
        </w:rPr>
        <w:t xml:space="preserve">et al., </w:t>
      </w:r>
      <w:r w:rsidRPr="0046394E">
        <w:rPr>
          <w:rFonts w:cs="Arial"/>
          <w:szCs w:val="22"/>
          <w:lang w:val="en-AU" w:eastAsia="en-AU"/>
        </w:rPr>
        <w:t xml:space="preserve">2011) and increases in DOC </w:t>
      </w:r>
      <w:r w:rsidRPr="0046394E">
        <w:rPr>
          <w:rFonts w:cs="Arial"/>
          <w:szCs w:val="22"/>
          <w:lang w:val="en-AU"/>
        </w:rPr>
        <w:t>have previously been shown to promote m</w:t>
      </w:r>
      <w:r w:rsidRPr="0046394E">
        <w:rPr>
          <w:rFonts w:cs="Arial"/>
          <w:szCs w:val="22"/>
          <w:lang w:val="en-AU" w:eastAsia="en-AU"/>
        </w:rPr>
        <w:t xml:space="preserve">icrobial activity and </w:t>
      </w:r>
      <w:r w:rsidRPr="0046394E">
        <w:rPr>
          <w:rFonts w:cs="Arial"/>
          <w:szCs w:val="22"/>
          <w:lang w:val="en-AU"/>
        </w:rPr>
        <w:t xml:space="preserve">coral diseases (Kline </w:t>
      </w:r>
      <w:r w:rsidR="0046394E" w:rsidRPr="0046394E">
        <w:rPr>
          <w:lang w:val="en-AU"/>
        </w:rPr>
        <w:t xml:space="preserve">et al., </w:t>
      </w:r>
      <w:r w:rsidRPr="0046394E">
        <w:rPr>
          <w:rFonts w:cs="Arial"/>
          <w:szCs w:val="22"/>
          <w:lang w:val="en-AU"/>
        </w:rPr>
        <w:t xml:space="preserve">2006, Kuntz </w:t>
      </w:r>
      <w:r w:rsidR="0046394E" w:rsidRPr="0046394E">
        <w:rPr>
          <w:lang w:val="en-AU"/>
        </w:rPr>
        <w:t xml:space="preserve">et al., </w:t>
      </w:r>
      <w:r w:rsidRPr="0046394E">
        <w:rPr>
          <w:rFonts w:cs="Arial"/>
          <w:szCs w:val="22"/>
          <w:lang w:val="en-AU"/>
        </w:rPr>
        <w:t xml:space="preserve">2005). </w:t>
      </w:r>
      <w:r w:rsidRPr="0046394E">
        <w:rPr>
          <w:rFonts w:cs="Arial"/>
          <w:lang w:val="en-AU" w:eastAsia="en-AU"/>
        </w:rPr>
        <w:t xml:space="preserve">Increases in DOC </w:t>
      </w:r>
      <w:r w:rsidRPr="0046394E">
        <w:rPr>
          <w:rFonts w:cs="Arial"/>
          <w:lang w:val="en-AU"/>
        </w:rPr>
        <w:t xml:space="preserve">as found here could have several probable, though not necessarily mutually exclusive, explanations: either the coral and plankton community have increased primary production or they are directing more of their production towards DOC release or there is an enhanced export from the catchment area. </w:t>
      </w:r>
    </w:p>
    <w:p w14:paraId="5F22F2F3" w14:textId="38B3519C" w:rsidR="004E582F" w:rsidRPr="008467AA" w:rsidRDefault="004E582F" w:rsidP="004E582F">
      <w:pPr>
        <w:rPr>
          <w:rFonts w:cs="Arial"/>
          <w:lang w:val="en-AU"/>
        </w:rPr>
      </w:pPr>
      <w:r w:rsidRPr="008467AA">
        <w:rPr>
          <w:rFonts w:cs="Arial"/>
          <w:szCs w:val="22"/>
          <w:lang w:val="en-AU"/>
        </w:rPr>
        <w:t>A large fraction of DOC</w:t>
      </w:r>
      <w:r w:rsidRPr="00C51DE2">
        <w:rPr>
          <w:rFonts w:cs="Arial"/>
          <w:szCs w:val="22"/>
          <w:lang w:val="en-AU" w:eastAsia="en-AU"/>
        </w:rPr>
        <w:t xml:space="preserve"> present in the GBR is derived from marine primary producers and any increases in plankton </w:t>
      </w:r>
      <w:r w:rsidRPr="008467AA">
        <w:rPr>
          <w:rFonts w:cs="Arial"/>
          <w:lang w:val="en-AU"/>
        </w:rPr>
        <w:t>community production would result in elevated DOC concentrations. As time series measurements of primary production are not available for the GBR, we cannot assess if changes in the productivity could explain the increased DOC concentrations. Plankton communities have been shown to increase their DOC production in response to environmental stress (e.g. changing light and nutrient conditions) and changes in the plankton community structure (e.g. Thornton 2014</w:t>
      </w:r>
      <w:r w:rsidR="004A7EC4">
        <w:rPr>
          <w:rFonts w:cs="Arial"/>
          <w:lang w:val="en-AU"/>
        </w:rPr>
        <w:t>;</w:t>
      </w:r>
      <w:r w:rsidR="004A7EC4" w:rsidRPr="008467AA">
        <w:rPr>
          <w:rFonts w:cs="Arial"/>
          <w:lang w:val="en-AU"/>
        </w:rPr>
        <w:t xml:space="preserve"> </w:t>
      </w:r>
      <w:r w:rsidRPr="008467AA">
        <w:rPr>
          <w:rFonts w:cs="Arial"/>
          <w:lang w:val="en-AU"/>
        </w:rPr>
        <w:t xml:space="preserve">Church </w:t>
      </w:r>
      <w:r w:rsidR="0046394E" w:rsidRPr="0046394E">
        <w:rPr>
          <w:lang w:val="en-AU"/>
        </w:rPr>
        <w:t>et al.</w:t>
      </w:r>
      <w:r w:rsidR="0046394E">
        <w:rPr>
          <w:lang w:val="en-AU"/>
        </w:rPr>
        <w:t>,</w:t>
      </w:r>
      <w:r w:rsidR="0046394E" w:rsidRPr="008467AA">
        <w:rPr>
          <w:lang w:val="en-AU"/>
        </w:rPr>
        <w:t xml:space="preserve"> </w:t>
      </w:r>
      <w:r w:rsidRPr="008467AA">
        <w:rPr>
          <w:rFonts w:cs="Arial"/>
          <w:lang w:val="en-AU"/>
        </w:rPr>
        <w:t>2002). As more nitrogen is available for growth (measured increase in NO</w:t>
      </w:r>
      <w:r w:rsidRPr="008467AA">
        <w:rPr>
          <w:rFonts w:cs="Arial"/>
          <w:vertAlign w:val="subscript"/>
          <w:lang w:val="en-AU"/>
        </w:rPr>
        <w:t xml:space="preserve">X </w:t>
      </w:r>
      <w:r w:rsidRPr="008467AA">
        <w:rPr>
          <w:rFonts w:cs="Arial"/>
          <w:lang w:val="en-AU"/>
        </w:rPr>
        <w:t xml:space="preserve">concentrations) and phosphate is present at non-limiting levels, it suggests that nutrient stress is unlikely to cause the increased DOC levels. Our observations of increased turbidity suggest that less light is available for primary production and a lower microbial DOC production would therefore be expected, indicating that increased productivity is an unlikely explanation for the elevated concentrations. Previous studies have also found that increased DOC levels could be associated with changes in the plankton community driven by climate variability (e.g. increased temperature) (Church </w:t>
      </w:r>
      <w:r w:rsidR="0046394E" w:rsidRPr="0046394E">
        <w:rPr>
          <w:lang w:val="en-AU"/>
        </w:rPr>
        <w:t>et al.</w:t>
      </w:r>
      <w:r w:rsidR="0046394E">
        <w:rPr>
          <w:lang w:val="en-AU"/>
        </w:rPr>
        <w:t>,</w:t>
      </w:r>
      <w:r w:rsidR="0046394E" w:rsidRPr="008467AA">
        <w:rPr>
          <w:lang w:val="en-AU"/>
        </w:rPr>
        <w:t xml:space="preserve"> </w:t>
      </w:r>
      <w:r w:rsidRPr="008467AA">
        <w:rPr>
          <w:rFonts w:cs="Arial"/>
          <w:lang w:val="en-AU"/>
        </w:rPr>
        <w:t xml:space="preserve">2002). </w:t>
      </w:r>
    </w:p>
    <w:p w14:paraId="5F22F2F4" w14:textId="389D1566" w:rsidR="004E582F" w:rsidRPr="008467AA" w:rsidRDefault="004E582F" w:rsidP="004E582F">
      <w:pPr>
        <w:rPr>
          <w:rFonts w:cs="Arial"/>
          <w:lang w:val="en-AU" w:eastAsia="en-AU"/>
        </w:rPr>
      </w:pPr>
      <w:r w:rsidRPr="008467AA">
        <w:rPr>
          <w:rFonts w:cs="Arial"/>
          <w:lang w:val="en-AU" w:eastAsia="en-AU"/>
        </w:rPr>
        <w:t xml:space="preserve">Globally it has been </w:t>
      </w:r>
      <w:r w:rsidR="004A7EC4" w:rsidRPr="008467AA">
        <w:rPr>
          <w:rFonts w:cs="Arial"/>
          <w:lang w:val="en-AU" w:eastAsia="en-AU"/>
        </w:rPr>
        <w:t>recogni</w:t>
      </w:r>
      <w:r w:rsidR="004A7EC4">
        <w:rPr>
          <w:rFonts w:cs="Arial"/>
          <w:lang w:val="en-AU" w:eastAsia="en-AU"/>
        </w:rPr>
        <w:t>s</w:t>
      </w:r>
      <w:r w:rsidR="004A7EC4" w:rsidRPr="008467AA">
        <w:rPr>
          <w:rFonts w:cs="Arial"/>
          <w:lang w:val="en-AU" w:eastAsia="en-AU"/>
        </w:rPr>
        <w:t xml:space="preserve">ed </w:t>
      </w:r>
      <w:r w:rsidRPr="008467AA">
        <w:rPr>
          <w:rFonts w:cs="Arial"/>
          <w:lang w:val="en-AU" w:eastAsia="en-AU"/>
        </w:rPr>
        <w:t xml:space="preserve">that DOC loads from catchments to coastal waters increased over the last decades, which has been linked with changing </w:t>
      </w:r>
      <w:r w:rsidRPr="008467AA">
        <w:rPr>
          <w:rFonts w:cs="Arial"/>
          <w:lang w:val="en-AU"/>
        </w:rPr>
        <w:t>land</w:t>
      </w:r>
      <w:r w:rsidR="004A7EC4">
        <w:rPr>
          <w:rFonts w:cs="Arial"/>
          <w:lang w:val="en-AU"/>
        </w:rPr>
        <w:t xml:space="preserve"> </w:t>
      </w:r>
      <w:r w:rsidRPr="008467AA">
        <w:rPr>
          <w:rFonts w:cs="Arial"/>
          <w:lang w:val="en-AU"/>
        </w:rPr>
        <w:t>use (e.g. land clearing)</w:t>
      </w:r>
      <w:r w:rsidR="00FC079A" w:rsidRPr="008467AA">
        <w:rPr>
          <w:rFonts w:cs="Arial"/>
          <w:lang w:val="en-AU"/>
        </w:rPr>
        <w:t>, precipitation</w:t>
      </w:r>
      <w:r w:rsidRPr="008467AA">
        <w:rPr>
          <w:rFonts w:cs="Arial"/>
          <w:lang w:val="en-AU"/>
        </w:rPr>
        <w:t xml:space="preserve"> patterns/</w:t>
      </w:r>
      <w:r w:rsidRPr="008467AA">
        <w:rPr>
          <w:rFonts w:cs="Arial"/>
          <w:lang w:val="en-AU" w:eastAsia="en-AU"/>
        </w:rPr>
        <w:t xml:space="preserve">chemistry and increased temperature (Lennon </w:t>
      </w:r>
      <w:r w:rsidR="0046394E" w:rsidRPr="0046394E">
        <w:rPr>
          <w:lang w:val="en-AU"/>
        </w:rPr>
        <w:t>et al.</w:t>
      </w:r>
      <w:r w:rsidR="0046394E">
        <w:rPr>
          <w:lang w:val="en-AU"/>
        </w:rPr>
        <w:t>,</w:t>
      </w:r>
      <w:r w:rsidR="0046394E" w:rsidRPr="008467AA">
        <w:rPr>
          <w:lang w:val="en-AU"/>
        </w:rPr>
        <w:t xml:space="preserve"> </w:t>
      </w:r>
      <w:r w:rsidRPr="008467AA">
        <w:rPr>
          <w:rFonts w:cs="Arial"/>
          <w:lang w:val="en-AU" w:eastAsia="en-AU"/>
        </w:rPr>
        <w:t>2013</w:t>
      </w:r>
      <w:r w:rsidR="004A7EC4">
        <w:rPr>
          <w:rFonts w:cs="Arial"/>
          <w:lang w:val="en-AU" w:eastAsia="en-AU"/>
        </w:rPr>
        <w:t>;</w:t>
      </w:r>
      <w:r w:rsidR="004A7EC4" w:rsidRPr="008467AA">
        <w:rPr>
          <w:rFonts w:cs="Arial"/>
          <w:lang w:val="en-AU" w:eastAsia="en-AU"/>
        </w:rPr>
        <w:t xml:space="preserve"> </w:t>
      </w:r>
      <w:r w:rsidRPr="008467AA">
        <w:rPr>
          <w:rFonts w:cs="Arial"/>
          <w:lang w:val="en-AU" w:eastAsia="en-AU"/>
        </w:rPr>
        <w:t xml:space="preserve">Reader </w:t>
      </w:r>
      <w:r w:rsidR="0046394E" w:rsidRPr="0046394E">
        <w:rPr>
          <w:lang w:val="en-AU"/>
        </w:rPr>
        <w:t>et al.</w:t>
      </w:r>
      <w:r w:rsidR="0046394E">
        <w:rPr>
          <w:lang w:val="en-AU"/>
        </w:rPr>
        <w:t>,</w:t>
      </w:r>
      <w:r w:rsidR="0046394E" w:rsidRPr="008467AA">
        <w:rPr>
          <w:lang w:val="en-AU"/>
        </w:rPr>
        <w:t xml:space="preserve"> </w:t>
      </w:r>
      <w:r w:rsidRPr="008467AA">
        <w:rPr>
          <w:rFonts w:cs="Arial"/>
          <w:lang w:val="en-AU" w:eastAsia="en-AU"/>
        </w:rPr>
        <w:t xml:space="preserve">2014). Unfortunately there are no data available on the DOC loads from GBR rivers, and we cannot quantify whether these changed over the monitoring period. </w:t>
      </w:r>
    </w:p>
    <w:p w14:paraId="5AB689B4" w14:textId="7D4AAFCF" w:rsidR="00801DDD" w:rsidRDefault="004E582F" w:rsidP="00BF6B6C">
      <w:pPr>
        <w:rPr>
          <w:rFonts w:cs="Arial"/>
          <w:szCs w:val="22"/>
          <w:lang w:val="en-AU" w:eastAsia="en-AU"/>
        </w:rPr>
      </w:pPr>
      <w:r w:rsidRPr="00C51DE2">
        <w:rPr>
          <w:rFonts w:cs="Arial"/>
          <w:szCs w:val="22"/>
          <w:lang w:val="en-AU" w:eastAsia="en-AU"/>
        </w:rPr>
        <w:t xml:space="preserve">Our long term </w:t>
      </w:r>
      <w:r w:rsidRPr="003A77F5">
        <w:rPr>
          <w:rFonts w:cs="Arial"/>
          <w:szCs w:val="22"/>
          <w:lang w:val="en-AU" w:eastAsia="en-AU"/>
        </w:rPr>
        <w:t>monitoring shows that large</w:t>
      </w:r>
      <w:r w:rsidR="00446EA5">
        <w:rPr>
          <w:rFonts w:cs="Arial"/>
          <w:szCs w:val="22"/>
          <w:lang w:val="en-AU" w:eastAsia="en-AU"/>
        </w:rPr>
        <w:t>-</w:t>
      </w:r>
      <w:r w:rsidRPr="003A77F5">
        <w:rPr>
          <w:rFonts w:cs="Arial"/>
          <w:szCs w:val="22"/>
          <w:lang w:val="en-AU" w:eastAsia="en-AU"/>
        </w:rPr>
        <w:t xml:space="preserve">scale changes in the water quality of the GBR lagoon have taken place, with the </w:t>
      </w:r>
      <w:r w:rsidRPr="008467AA">
        <w:rPr>
          <w:rFonts w:cs="Arial"/>
          <w:szCs w:val="22"/>
          <w:lang w:val="en-AU"/>
        </w:rPr>
        <w:t xml:space="preserve">data clearly showing increases in the levels of key parameters (organic carbon, </w:t>
      </w:r>
      <w:r w:rsidRPr="008467AA">
        <w:rPr>
          <w:lang w:val="en-AU"/>
        </w:rPr>
        <w:t>NO</w:t>
      </w:r>
      <w:r w:rsidRPr="008467AA">
        <w:rPr>
          <w:vertAlign w:val="subscript"/>
          <w:lang w:val="en-AU"/>
        </w:rPr>
        <w:t>x</w:t>
      </w:r>
      <w:r w:rsidRPr="008467AA">
        <w:rPr>
          <w:rFonts w:cs="Arial"/>
          <w:szCs w:val="22"/>
          <w:lang w:val="en-AU"/>
        </w:rPr>
        <w:t xml:space="preserve"> and turbidity) in all regions. These findings show that the </w:t>
      </w:r>
      <w:r w:rsidRPr="00C51DE2">
        <w:rPr>
          <w:rFonts w:cs="Arial"/>
          <w:szCs w:val="22"/>
          <w:lang w:val="en-AU" w:eastAsia="en-AU"/>
        </w:rPr>
        <w:t>mechanisms controlling the carbon and nutrient cycle in the GBR lagoon</w:t>
      </w:r>
      <w:r w:rsidRPr="003A77F5">
        <w:rPr>
          <w:rFonts w:cs="Arial"/>
          <w:szCs w:val="22"/>
          <w:lang w:val="en-AU" w:eastAsia="en-AU"/>
        </w:rPr>
        <w:t xml:space="preserve"> have undergone changes</w:t>
      </w:r>
      <w:r w:rsidR="00607045">
        <w:rPr>
          <w:rFonts w:cs="Arial"/>
          <w:szCs w:val="22"/>
          <w:lang w:val="en-AU" w:eastAsia="en-AU"/>
        </w:rPr>
        <w:t>, however, the extent and implications of these changes is not fully understood</w:t>
      </w:r>
      <w:r w:rsidRPr="003A77F5">
        <w:rPr>
          <w:rFonts w:cs="Arial"/>
          <w:szCs w:val="22"/>
          <w:lang w:val="en-AU" w:eastAsia="en-AU"/>
        </w:rPr>
        <w:t xml:space="preserve">. </w:t>
      </w:r>
    </w:p>
    <w:p w14:paraId="5734E15D" w14:textId="55FAAA16" w:rsidR="00685EEB" w:rsidRPr="00C27BEB" w:rsidRDefault="00685EEB" w:rsidP="004A5BF7">
      <w:pPr>
        <w:pStyle w:val="Heading2"/>
      </w:pPr>
      <w:bookmarkStart w:id="1431" w:name="_Toc459329185"/>
      <w:bookmarkStart w:id="1432" w:name="_Toc459329544"/>
      <w:bookmarkStart w:id="1433" w:name="_Toc459329905"/>
      <w:bookmarkStart w:id="1434" w:name="_Toc459330265"/>
      <w:bookmarkStart w:id="1435" w:name="_Toc459330625"/>
      <w:bookmarkStart w:id="1436" w:name="_Toc459330985"/>
      <w:bookmarkStart w:id="1437" w:name="_Toc459331345"/>
      <w:bookmarkStart w:id="1438" w:name="_Toc459331705"/>
      <w:bookmarkStart w:id="1439" w:name="_Toc459332065"/>
      <w:bookmarkStart w:id="1440" w:name="_Toc462307459"/>
      <w:bookmarkEnd w:id="1431"/>
      <w:bookmarkEnd w:id="1432"/>
      <w:bookmarkEnd w:id="1433"/>
      <w:bookmarkEnd w:id="1434"/>
      <w:bookmarkEnd w:id="1435"/>
      <w:bookmarkEnd w:id="1436"/>
      <w:bookmarkEnd w:id="1437"/>
      <w:bookmarkEnd w:id="1438"/>
      <w:bookmarkEnd w:id="1439"/>
      <w:r w:rsidRPr="004A5BF7">
        <w:t>Water quality characteristics in 2014-15</w:t>
      </w:r>
      <w:bookmarkEnd w:id="1440"/>
    </w:p>
    <w:p w14:paraId="2807CBD4" w14:textId="35479C86" w:rsidR="00801DDD" w:rsidRDefault="00685EEB" w:rsidP="00EA076A">
      <w:pPr>
        <w:rPr>
          <w:rFonts w:cs="Arial"/>
          <w:szCs w:val="22"/>
          <w:lang w:val="en-AU" w:eastAsia="en-AU"/>
        </w:rPr>
      </w:pPr>
      <w:r>
        <w:rPr>
          <w:rFonts w:cs="Arial"/>
          <w:szCs w:val="22"/>
          <w:lang w:val="en-AU" w:eastAsia="en-AU"/>
        </w:rPr>
        <w:t>The main findings for each NRM region are highlighted below.</w:t>
      </w:r>
    </w:p>
    <w:p w14:paraId="6AD9CB8F" w14:textId="2490868D" w:rsidR="00A4146A" w:rsidRPr="002C4E79" w:rsidRDefault="00A4146A" w:rsidP="00EA076A">
      <w:pPr>
        <w:rPr>
          <w:b/>
        </w:rPr>
      </w:pPr>
      <w:r w:rsidRPr="002C4E79">
        <w:rPr>
          <w:b/>
        </w:rPr>
        <w:t xml:space="preserve">Wet </w:t>
      </w:r>
      <w:r w:rsidR="00685EEB">
        <w:rPr>
          <w:b/>
        </w:rPr>
        <w:t>T</w:t>
      </w:r>
      <w:r w:rsidRPr="002C4E79">
        <w:rPr>
          <w:b/>
        </w:rPr>
        <w:t xml:space="preserve">ropics </w:t>
      </w:r>
    </w:p>
    <w:p w14:paraId="0421786C" w14:textId="49FFD9A9" w:rsidR="008A753A" w:rsidRPr="004A5BF7" w:rsidRDefault="008A753A" w:rsidP="00211A02">
      <w:pPr>
        <w:pStyle w:val="ListParagraph"/>
        <w:numPr>
          <w:ilvl w:val="0"/>
          <w:numId w:val="62"/>
        </w:numPr>
        <w:spacing w:before="0" w:after="200" w:line="276" w:lineRule="auto"/>
        <w:rPr>
          <w:color w:val="000000" w:themeColor="text1"/>
        </w:rPr>
      </w:pPr>
      <w:r>
        <w:t>The 2014-15 wet season had relatively lower discharge and constituent loads relative to previous years of monitoring over the 2006-07 to 2014-15 period.</w:t>
      </w:r>
    </w:p>
    <w:p w14:paraId="44C83C67" w14:textId="7406D450" w:rsidR="00C76ADF" w:rsidRPr="004A5BF7" w:rsidRDefault="00C76ADF" w:rsidP="00211A02">
      <w:pPr>
        <w:spacing w:before="0" w:after="200" w:line="276" w:lineRule="auto"/>
        <w:ind w:left="360"/>
        <w:rPr>
          <w:i/>
          <w:color w:val="000000" w:themeColor="text1"/>
        </w:rPr>
      </w:pPr>
      <w:r w:rsidRPr="004A5BF7">
        <w:rPr>
          <w:i/>
          <w:color w:val="000000" w:themeColor="text1"/>
        </w:rPr>
        <w:t>Ambient water quality</w:t>
      </w:r>
    </w:p>
    <w:p w14:paraId="406318B2" w14:textId="547CF221" w:rsidR="00A4146A" w:rsidRDefault="00A4146A" w:rsidP="00211A02">
      <w:pPr>
        <w:pStyle w:val="ListParagraph"/>
        <w:numPr>
          <w:ilvl w:val="0"/>
          <w:numId w:val="62"/>
        </w:numPr>
        <w:spacing w:before="0" w:after="200" w:line="276" w:lineRule="auto"/>
        <w:rPr>
          <w:color w:val="000000" w:themeColor="text1"/>
        </w:rPr>
      </w:pPr>
      <w:r w:rsidRPr="002C4E79">
        <w:rPr>
          <w:color w:val="000000" w:themeColor="text1"/>
        </w:rPr>
        <w:t xml:space="preserve">The </w:t>
      </w:r>
      <w:r w:rsidR="008A753A">
        <w:rPr>
          <w:color w:val="000000" w:themeColor="text1"/>
        </w:rPr>
        <w:t xml:space="preserve">site-specific </w:t>
      </w:r>
      <w:r w:rsidR="00607045">
        <w:rPr>
          <w:color w:val="000000" w:themeColor="text1"/>
        </w:rPr>
        <w:t>W</w:t>
      </w:r>
      <w:r w:rsidRPr="002C4E79">
        <w:rPr>
          <w:color w:val="000000" w:themeColor="text1"/>
        </w:rPr>
        <w:t xml:space="preserve">ater </w:t>
      </w:r>
      <w:r w:rsidR="00607045">
        <w:rPr>
          <w:color w:val="000000" w:themeColor="text1"/>
        </w:rPr>
        <w:t>Q</w:t>
      </w:r>
      <w:r w:rsidRPr="002C4E79">
        <w:rPr>
          <w:color w:val="000000" w:themeColor="text1"/>
        </w:rPr>
        <w:t xml:space="preserve">uality </w:t>
      </w:r>
      <w:r w:rsidR="00607045">
        <w:rPr>
          <w:color w:val="000000" w:themeColor="text1"/>
        </w:rPr>
        <w:t>I</w:t>
      </w:r>
      <w:r w:rsidRPr="002C4E79">
        <w:rPr>
          <w:color w:val="000000" w:themeColor="text1"/>
        </w:rPr>
        <w:t xml:space="preserve">ndex in this sub-region </w:t>
      </w:r>
      <w:r>
        <w:t xml:space="preserve">maintained </w:t>
      </w:r>
      <w:r w:rsidRPr="008467AA">
        <w:t xml:space="preserve">a ‘moderate’ </w:t>
      </w:r>
      <w:r>
        <w:t xml:space="preserve">to </w:t>
      </w:r>
      <w:r w:rsidRPr="002C4E79">
        <w:rPr>
          <w:color w:val="000000" w:themeColor="text1"/>
        </w:rPr>
        <w:t xml:space="preserve">‘good’ rating.  </w:t>
      </w:r>
    </w:p>
    <w:p w14:paraId="34B74626" w14:textId="77777777" w:rsidR="00A4146A" w:rsidRDefault="00A4146A" w:rsidP="00211A02">
      <w:pPr>
        <w:pStyle w:val="ListParagraph"/>
        <w:numPr>
          <w:ilvl w:val="0"/>
          <w:numId w:val="62"/>
        </w:numPr>
        <w:spacing w:before="0" w:after="200" w:line="276" w:lineRule="auto"/>
        <w:rPr>
          <w:color w:val="000000" w:themeColor="text1"/>
        </w:rPr>
      </w:pPr>
      <w:r w:rsidRPr="00A03137">
        <w:rPr>
          <w:color w:val="000000" w:themeColor="text1"/>
          <w:lang w:val="en-AU"/>
        </w:rPr>
        <w:t xml:space="preserve">The </w:t>
      </w:r>
      <w:r w:rsidRPr="00A03137">
        <w:rPr>
          <w:color w:val="000000" w:themeColor="text1"/>
        </w:rPr>
        <w:t>concentrations of dissolved oxidised nitrogen (</w:t>
      </w:r>
      <w:r w:rsidRPr="00A03137">
        <w:t>NO</w:t>
      </w:r>
      <w:r w:rsidRPr="00A03137">
        <w:rPr>
          <w:vertAlign w:val="subscript"/>
        </w:rPr>
        <w:t>x</w:t>
      </w:r>
      <w:r w:rsidRPr="00A03137">
        <w:rPr>
          <w:color w:val="000000" w:themeColor="text1"/>
        </w:rPr>
        <w:t xml:space="preserve">) </w:t>
      </w:r>
      <w:r>
        <w:rPr>
          <w:color w:val="000000" w:themeColor="text1"/>
        </w:rPr>
        <w:t xml:space="preserve">have </w:t>
      </w:r>
      <w:r w:rsidRPr="00A03137">
        <w:rPr>
          <w:color w:val="000000" w:themeColor="text1"/>
          <w:lang w:val="en-AU"/>
        </w:rPr>
        <w:t>increased over the c</w:t>
      </w:r>
      <w:r>
        <w:rPr>
          <w:color w:val="000000" w:themeColor="text1"/>
        </w:rPr>
        <w:t xml:space="preserve">ourse of the monitoring program. </w:t>
      </w:r>
    </w:p>
    <w:p w14:paraId="760ADF57" w14:textId="77777777" w:rsidR="00A4146A" w:rsidRDefault="00A4146A" w:rsidP="00211A02">
      <w:pPr>
        <w:pStyle w:val="ListParagraph"/>
        <w:numPr>
          <w:ilvl w:val="0"/>
          <w:numId w:val="62"/>
        </w:numPr>
        <w:spacing w:before="0" w:after="200" w:line="276" w:lineRule="auto"/>
        <w:rPr>
          <w:color w:val="000000" w:themeColor="text1"/>
        </w:rPr>
      </w:pPr>
      <w:r>
        <w:rPr>
          <w:color w:val="000000" w:themeColor="text1"/>
        </w:rPr>
        <w:t>D</w:t>
      </w:r>
      <w:r w:rsidRPr="00A03137">
        <w:rPr>
          <w:color w:val="000000" w:themeColor="text1"/>
          <w:lang w:val="en-AU"/>
        </w:rPr>
        <w:t xml:space="preserve">issolved organic carbon (DOC) </w:t>
      </w:r>
      <w:r>
        <w:rPr>
          <w:color w:val="000000" w:themeColor="text1"/>
        </w:rPr>
        <w:t xml:space="preserve">concentrations have </w:t>
      </w:r>
      <w:r w:rsidRPr="00A03137">
        <w:rPr>
          <w:color w:val="000000" w:themeColor="text1"/>
          <w:lang w:val="en-AU"/>
        </w:rPr>
        <w:t>increased over the course of the monitoring period</w:t>
      </w:r>
      <w:r>
        <w:rPr>
          <w:color w:val="000000" w:themeColor="text1"/>
        </w:rPr>
        <w:t xml:space="preserve">. </w:t>
      </w:r>
    </w:p>
    <w:p w14:paraId="1A270E02" w14:textId="3316A972" w:rsidR="00A4146A" w:rsidRPr="00DE1381" w:rsidRDefault="00A4146A" w:rsidP="00211A02">
      <w:pPr>
        <w:pStyle w:val="ListParagraph"/>
        <w:numPr>
          <w:ilvl w:val="0"/>
          <w:numId w:val="62"/>
        </w:numPr>
        <w:spacing w:before="0" w:after="200" w:line="276" w:lineRule="auto"/>
        <w:rPr>
          <w:color w:val="000000" w:themeColor="text1"/>
        </w:rPr>
      </w:pPr>
      <w:r w:rsidRPr="00A03137">
        <w:rPr>
          <w:lang w:val="en-AU"/>
        </w:rPr>
        <w:t xml:space="preserve">The turbidity </w:t>
      </w:r>
      <w:r>
        <w:rPr>
          <w:lang w:val="en-AU"/>
        </w:rPr>
        <w:t xml:space="preserve">values </w:t>
      </w:r>
      <w:r w:rsidRPr="00A03137">
        <w:rPr>
          <w:lang w:val="en-AU"/>
        </w:rPr>
        <w:t>sho</w:t>
      </w:r>
      <w:r>
        <w:t>wed increasing level</w:t>
      </w:r>
      <w:r w:rsidR="008A753A">
        <w:t>s</w:t>
      </w:r>
      <w:r>
        <w:t xml:space="preserve"> which are</w:t>
      </w:r>
      <w:r w:rsidRPr="00A03137">
        <w:rPr>
          <w:lang w:val="en-AU"/>
        </w:rPr>
        <w:t xml:space="preserve"> exceeding the guideline values</w:t>
      </w:r>
      <w:r>
        <w:t xml:space="preserve">. </w:t>
      </w:r>
      <w:r w:rsidR="00607045">
        <w:t>This is most likely to associated with changes to the particle size distribution of particulate material (more fine material), rather than overall increases in sediment loads.</w:t>
      </w:r>
    </w:p>
    <w:p w14:paraId="675130E0" w14:textId="77777777" w:rsidR="00A4146A" w:rsidRPr="004A5BF7" w:rsidRDefault="00A4146A" w:rsidP="00211A02">
      <w:pPr>
        <w:pStyle w:val="ListParagraph"/>
        <w:numPr>
          <w:ilvl w:val="0"/>
          <w:numId w:val="62"/>
        </w:numPr>
        <w:spacing w:before="0" w:after="200" w:line="276" w:lineRule="auto"/>
        <w:rPr>
          <w:color w:val="000000" w:themeColor="text1"/>
        </w:rPr>
      </w:pPr>
      <w:r w:rsidRPr="008467AA">
        <w:rPr>
          <w:lang w:val="en-AU"/>
        </w:rPr>
        <w:t>Secchi depth</w:t>
      </w:r>
      <w:r>
        <w:t xml:space="preserve"> is variable and shows in some areas a decline, while others have a relatively stable level. This variability results in that the levels are </w:t>
      </w:r>
      <w:r w:rsidRPr="00A03137">
        <w:rPr>
          <w:lang w:val="en-AU"/>
        </w:rPr>
        <w:t>non</w:t>
      </w:r>
      <w:r>
        <w:rPr>
          <w:lang w:val="en-AU"/>
        </w:rPr>
        <w:t>-</w:t>
      </w:r>
      <w:r w:rsidRPr="00A03137">
        <w:rPr>
          <w:lang w:val="en-AU"/>
        </w:rPr>
        <w:t>compliant with the guideline</w:t>
      </w:r>
      <w:r>
        <w:rPr>
          <w:lang w:val="en-AU"/>
        </w:rPr>
        <w:t xml:space="preserve"> </w:t>
      </w:r>
      <w:r>
        <w:t xml:space="preserve">in some areas and </w:t>
      </w:r>
      <w:r>
        <w:rPr>
          <w:lang w:val="en-AU"/>
        </w:rPr>
        <w:t>exceeding the guideline</w:t>
      </w:r>
      <w:r>
        <w:t xml:space="preserve">s in others. </w:t>
      </w:r>
    </w:p>
    <w:p w14:paraId="36203904" w14:textId="77777777" w:rsidR="00C76ADF" w:rsidRDefault="00685EEB" w:rsidP="00211A02">
      <w:pPr>
        <w:spacing w:before="0" w:after="200" w:line="276" w:lineRule="auto"/>
        <w:ind w:left="360"/>
        <w:rPr>
          <w:i/>
          <w:color w:val="000000" w:themeColor="text1"/>
        </w:rPr>
      </w:pPr>
      <w:r w:rsidRPr="004A5BF7">
        <w:rPr>
          <w:i/>
          <w:color w:val="000000" w:themeColor="text1"/>
        </w:rPr>
        <w:t>Wet seaso</w:t>
      </w:r>
      <w:r w:rsidR="00C76ADF" w:rsidRPr="004A5BF7">
        <w:rPr>
          <w:i/>
          <w:color w:val="000000" w:themeColor="text1"/>
        </w:rPr>
        <w:t>n water quality</w:t>
      </w:r>
    </w:p>
    <w:p w14:paraId="286B106B" w14:textId="77777777" w:rsidR="00C76ADF" w:rsidRDefault="00C76ADF" w:rsidP="00211A02">
      <w:pPr>
        <w:pStyle w:val="ListParagraph"/>
        <w:numPr>
          <w:ilvl w:val="0"/>
          <w:numId w:val="62"/>
        </w:numPr>
        <w:spacing w:before="0" w:after="200" w:line="276" w:lineRule="auto"/>
        <w:rPr>
          <w:lang w:val="en-AU"/>
        </w:rPr>
      </w:pPr>
      <w:r w:rsidRPr="00C76ADF">
        <w:rPr>
          <w:lang w:val="en-AU"/>
        </w:rPr>
        <w:t>The Russell-Mulgrave focus area exhibited typical mixing plots with reduction of water quality parameters moving away from the river mouth. The Tully data exhibited variable mixing patterns in water quality concentrations, which typically decreased from low to high salinity. For both focus areas, Chl-a and TSS did not present conservative behaviour</w:t>
      </w:r>
      <w:r>
        <w:rPr>
          <w:lang w:val="en-AU"/>
        </w:rPr>
        <w:t xml:space="preserve"> (as expected)</w:t>
      </w:r>
      <w:r w:rsidRPr="00C76ADF">
        <w:rPr>
          <w:lang w:val="en-AU"/>
        </w:rPr>
        <w:t xml:space="preserve">; TSS dropped quickly out of the river mouth due to particles settling, remaining constant after that and Chl-a had a more variable pattern compared to the other water quality parameters, presenting slight increase in concentrations at low salinity (approx. 10 ppt) and reduction at salinity &gt; 30 ppt. </w:t>
      </w:r>
    </w:p>
    <w:p w14:paraId="49ACB49F" w14:textId="3A1F14F2" w:rsidR="00C76ADF" w:rsidRDefault="00C76ADF" w:rsidP="00211A02">
      <w:pPr>
        <w:pStyle w:val="ListParagraph"/>
        <w:numPr>
          <w:ilvl w:val="0"/>
          <w:numId w:val="62"/>
        </w:numPr>
        <w:spacing w:before="0" w:after="200" w:line="276" w:lineRule="auto"/>
        <w:rPr>
          <w:lang w:val="en-AU"/>
        </w:rPr>
      </w:pPr>
      <w:r>
        <w:rPr>
          <w:lang w:val="en-AU"/>
        </w:rPr>
        <w:t>In the Russell Mulgrave focus area, r</w:t>
      </w:r>
      <w:r w:rsidRPr="00C76ADF">
        <w:rPr>
          <w:lang w:val="en-AU"/>
        </w:rPr>
        <w:t xml:space="preserve">iver discharge showed positive correlation with DIN, PN, PP and Si, suggesting the higher the river discharge, the higher the concentrations of these parameters. </w:t>
      </w:r>
      <w:r>
        <w:rPr>
          <w:lang w:val="en-AU"/>
        </w:rPr>
        <w:t>For Tully, positive correlations were observed for CDOM, DIN and Si. For both areas, w</w:t>
      </w:r>
      <w:r w:rsidRPr="00C76ADF">
        <w:rPr>
          <w:lang w:val="en-AU"/>
        </w:rPr>
        <w:t xml:space="preserve">ind components, and therefore eventual resuspension events or currents advecting the superficial water mass did not correlate with any of the analysed parameters. </w:t>
      </w:r>
    </w:p>
    <w:p w14:paraId="41979AFC" w14:textId="0EF8720E" w:rsidR="009C514D" w:rsidRPr="009C514D" w:rsidRDefault="009C514D" w:rsidP="00211A02">
      <w:pPr>
        <w:pStyle w:val="ListParagraph"/>
        <w:numPr>
          <w:ilvl w:val="0"/>
          <w:numId w:val="62"/>
        </w:numPr>
        <w:spacing w:before="0" w:after="200" w:line="276" w:lineRule="auto"/>
        <w:rPr>
          <w:lang w:val="en-AU"/>
        </w:rPr>
      </w:pPr>
      <w:r w:rsidRPr="009C514D">
        <w:rPr>
          <w:lang w:val="en-AU"/>
        </w:rPr>
        <w:t xml:space="preserve">In the Tully focus area the median concentrations of the parameters were lower in 2014-15 compared to those calculated for the long term (2005-2015) wet seasons. This result suggests that the below long-term median total GBR discharge observed in the 2014-15 wet season resulted in less terrestrial input, which was mainly observed in the Primary waters. The Secondary and especially the Tertiary waters did not vary much between the two periods compared. This is a result of the mixing process that increases the sea water contribution to the plume waters, and therefore the water constituents are more representative of the sea water. A similar comparison was not performed </w:t>
      </w:r>
      <w:r>
        <w:rPr>
          <w:lang w:val="en-AU"/>
        </w:rPr>
        <w:t>for</w:t>
      </w:r>
      <w:r w:rsidRPr="009C514D">
        <w:rPr>
          <w:lang w:val="en-AU"/>
        </w:rPr>
        <w:t xml:space="preserve"> the Russell-Mulgrave data set due to the low representation of samples in Primary water in the 2014-15 wet season.</w:t>
      </w:r>
    </w:p>
    <w:p w14:paraId="30CCEC86" w14:textId="77777777" w:rsidR="00A4146A" w:rsidRPr="00DE1381" w:rsidRDefault="00A4146A" w:rsidP="004A5BF7">
      <w:pPr>
        <w:spacing w:before="0" w:after="200" w:line="276" w:lineRule="auto"/>
        <w:ind w:left="360"/>
        <w:jc w:val="left"/>
        <w:rPr>
          <w:b/>
        </w:rPr>
      </w:pPr>
      <w:r w:rsidRPr="00DE1381">
        <w:rPr>
          <w:b/>
        </w:rPr>
        <w:t xml:space="preserve">Burdekin </w:t>
      </w:r>
    </w:p>
    <w:p w14:paraId="31696DF2" w14:textId="1F516E51" w:rsidR="00EB5B1D" w:rsidRDefault="00EB5B1D" w:rsidP="00211A02">
      <w:pPr>
        <w:pStyle w:val="ListParagraph"/>
        <w:numPr>
          <w:ilvl w:val="0"/>
          <w:numId w:val="62"/>
        </w:numPr>
        <w:spacing w:before="0" w:after="200" w:line="276" w:lineRule="auto"/>
      </w:pPr>
      <w:r>
        <w:t>In the 2014-15 season the Burdekin and Haughton Rivers had their lowest discharge over the 9 years of record and hence the constituent loads were also generally lower compared to previous years of monitoring over the 2006-07 to 2014-15 period. The exception is the DIN loads in Barratta Creek which is influenced by relatively large volumes of irrigation tailwater runoff and hence the loads remain similar despite variability in discharge.</w:t>
      </w:r>
    </w:p>
    <w:p w14:paraId="2D3F1DDE" w14:textId="77777777" w:rsidR="00EB5B1D" w:rsidRPr="004A5BF7" w:rsidRDefault="00EB5B1D" w:rsidP="00211A02">
      <w:pPr>
        <w:spacing w:before="0" w:after="200" w:line="276" w:lineRule="auto"/>
        <w:ind w:left="360"/>
        <w:rPr>
          <w:i/>
          <w:color w:val="000000" w:themeColor="text1"/>
        </w:rPr>
      </w:pPr>
      <w:r w:rsidRPr="004A5BF7">
        <w:rPr>
          <w:i/>
          <w:color w:val="000000" w:themeColor="text1"/>
        </w:rPr>
        <w:t>Ambient water quality</w:t>
      </w:r>
    </w:p>
    <w:p w14:paraId="409AA0C7" w14:textId="2FF2E0A2" w:rsidR="00A4146A" w:rsidRDefault="00A4146A" w:rsidP="00211A02">
      <w:pPr>
        <w:pStyle w:val="ListParagraph"/>
        <w:numPr>
          <w:ilvl w:val="0"/>
          <w:numId w:val="62"/>
        </w:numPr>
        <w:spacing w:before="0" w:after="200" w:line="276" w:lineRule="auto"/>
      </w:pPr>
      <w:r w:rsidRPr="008467AA">
        <w:t xml:space="preserve">The </w:t>
      </w:r>
      <w:r w:rsidR="00EB5B1D">
        <w:t xml:space="preserve">site-specific </w:t>
      </w:r>
      <w:r w:rsidR="00607045">
        <w:t>W</w:t>
      </w:r>
      <w:r w:rsidRPr="008467AA">
        <w:t xml:space="preserve">ater </w:t>
      </w:r>
      <w:r w:rsidR="00607045">
        <w:t>Q</w:t>
      </w:r>
      <w:r w:rsidRPr="008467AA">
        <w:t xml:space="preserve">uality </w:t>
      </w:r>
      <w:r w:rsidR="00607045">
        <w:t>I</w:t>
      </w:r>
      <w:r w:rsidRPr="008467AA">
        <w:t>ndex in this region has been relatively stable over the monitoring period, oscillating between ‘good’ and ‘very good’ ratings</w:t>
      </w:r>
      <w:r>
        <w:t xml:space="preserve">. </w:t>
      </w:r>
    </w:p>
    <w:p w14:paraId="0716D2CE" w14:textId="13A06605" w:rsidR="00A4146A" w:rsidRDefault="00A4146A" w:rsidP="00211A02">
      <w:pPr>
        <w:pStyle w:val="ListParagraph"/>
        <w:numPr>
          <w:ilvl w:val="0"/>
          <w:numId w:val="62"/>
        </w:numPr>
        <w:spacing w:before="0" w:after="200" w:line="276" w:lineRule="auto"/>
      </w:pPr>
      <w:r w:rsidRPr="008467AA">
        <w:rPr>
          <w:lang w:val="en-AU"/>
        </w:rPr>
        <w:t>The concentrations of NO</w:t>
      </w:r>
      <w:r w:rsidRPr="008467AA">
        <w:rPr>
          <w:vertAlign w:val="subscript"/>
          <w:lang w:val="en-AU"/>
        </w:rPr>
        <w:t>x</w:t>
      </w:r>
      <w:r w:rsidRPr="008467AA">
        <w:rPr>
          <w:lang w:val="en-AU"/>
        </w:rPr>
        <w:t xml:space="preserve"> increased sharply after the first major flood event in 2008 and have since remained at levels close to or above the </w:t>
      </w:r>
      <w:r w:rsidR="00EB5B1D">
        <w:rPr>
          <w:lang w:val="en-AU"/>
        </w:rPr>
        <w:t>Queensland</w:t>
      </w:r>
      <w:r w:rsidRPr="008467AA">
        <w:rPr>
          <w:lang w:val="en-AU"/>
        </w:rPr>
        <w:t xml:space="preserve"> guideline</w:t>
      </w:r>
      <w:r>
        <w:t xml:space="preserve">. </w:t>
      </w:r>
    </w:p>
    <w:p w14:paraId="11A1DA84" w14:textId="77777777" w:rsidR="00A4146A" w:rsidRPr="00482170" w:rsidRDefault="00A4146A" w:rsidP="00211A02">
      <w:pPr>
        <w:pStyle w:val="ListParagraph"/>
        <w:numPr>
          <w:ilvl w:val="0"/>
          <w:numId w:val="62"/>
        </w:numPr>
        <w:spacing w:before="0" w:after="200" w:line="276" w:lineRule="auto"/>
      </w:pPr>
      <w:r w:rsidRPr="00482170">
        <w:rPr>
          <w:color w:val="000000" w:themeColor="text1"/>
        </w:rPr>
        <w:t>D</w:t>
      </w:r>
      <w:r w:rsidRPr="00482170">
        <w:rPr>
          <w:color w:val="000000" w:themeColor="text1"/>
          <w:lang w:val="en-AU"/>
        </w:rPr>
        <w:t xml:space="preserve">issolved organic carbon (DOC) </w:t>
      </w:r>
      <w:r w:rsidRPr="00482170">
        <w:rPr>
          <w:color w:val="000000" w:themeColor="text1"/>
        </w:rPr>
        <w:t xml:space="preserve">concentrations have </w:t>
      </w:r>
      <w:r w:rsidRPr="00482170">
        <w:rPr>
          <w:color w:val="000000" w:themeColor="text1"/>
          <w:lang w:val="en-AU"/>
        </w:rPr>
        <w:t>increased over the course of the monitoring period</w:t>
      </w:r>
      <w:r w:rsidRPr="00482170">
        <w:rPr>
          <w:color w:val="000000" w:themeColor="text1"/>
        </w:rPr>
        <w:t xml:space="preserve">. </w:t>
      </w:r>
    </w:p>
    <w:p w14:paraId="0948BDD8" w14:textId="77777777" w:rsidR="00A4146A" w:rsidRPr="00482170" w:rsidRDefault="00A4146A" w:rsidP="00211A02">
      <w:pPr>
        <w:pStyle w:val="ListParagraph"/>
        <w:numPr>
          <w:ilvl w:val="0"/>
          <w:numId w:val="62"/>
        </w:numPr>
        <w:spacing w:before="0" w:after="200" w:line="276" w:lineRule="auto"/>
      </w:pPr>
      <w:r w:rsidRPr="008467AA">
        <w:rPr>
          <w:lang w:val="en-AU"/>
        </w:rPr>
        <w:t>The turbidity record increased over the monitoring period with maxima above the guideline in 2011, 2013, 2014 and 2015</w:t>
      </w:r>
      <w:r>
        <w:t xml:space="preserve">. </w:t>
      </w:r>
    </w:p>
    <w:p w14:paraId="46A7AA4F" w14:textId="77777777" w:rsidR="00A4146A" w:rsidRDefault="00A4146A" w:rsidP="00211A02">
      <w:pPr>
        <w:pStyle w:val="ListParagraph"/>
        <w:numPr>
          <w:ilvl w:val="0"/>
          <w:numId w:val="62"/>
        </w:numPr>
        <w:spacing w:before="0" w:after="200" w:line="276" w:lineRule="auto"/>
      </w:pPr>
      <w:r w:rsidRPr="008467AA">
        <w:rPr>
          <w:lang w:val="en-AU"/>
        </w:rPr>
        <w:t xml:space="preserve">Secchi depth has remained non-compliant with the guideline values over the whole sampling period, with a </w:t>
      </w:r>
      <w:r>
        <w:rPr>
          <w:lang w:val="en-AU"/>
        </w:rPr>
        <w:t>decreasing trend since 2014</w:t>
      </w:r>
      <w:r>
        <w:t xml:space="preserve">. </w:t>
      </w:r>
    </w:p>
    <w:p w14:paraId="4025E114" w14:textId="77777777" w:rsidR="00EB5B1D" w:rsidRPr="004A5BF7" w:rsidRDefault="00EB5B1D" w:rsidP="00211A02">
      <w:pPr>
        <w:spacing w:before="0" w:after="200" w:line="276" w:lineRule="auto"/>
        <w:ind w:left="360"/>
        <w:rPr>
          <w:i/>
          <w:color w:val="000000" w:themeColor="text1"/>
        </w:rPr>
      </w:pPr>
      <w:r w:rsidRPr="004A5BF7">
        <w:rPr>
          <w:i/>
          <w:color w:val="000000" w:themeColor="text1"/>
        </w:rPr>
        <w:t>Wet season water quality</w:t>
      </w:r>
    </w:p>
    <w:p w14:paraId="15DA4823" w14:textId="77777777" w:rsidR="00F12FA3" w:rsidRPr="004A5BF7" w:rsidRDefault="00F12FA3" w:rsidP="00211A02">
      <w:pPr>
        <w:pStyle w:val="ListParagraph"/>
        <w:numPr>
          <w:ilvl w:val="0"/>
          <w:numId w:val="62"/>
        </w:numPr>
        <w:spacing w:before="0" w:after="200" w:line="276" w:lineRule="auto"/>
        <w:rPr>
          <w:color w:val="000000" w:themeColor="text1"/>
        </w:rPr>
      </w:pPr>
      <w:r w:rsidRPr="00801DDD">
        <w:rPr>
          <w:lang w:val="en-AU"/>
        </w:rPr>
        <w:t>The Burdekin sites were sampled in two events, mid-February and end of March, and they did not capture any flood event. As a result, sites were not exposed to freshwater, with salinity &gt; 30 ppt, thus limiting the description of the dilution mixing process across the salinity gradient. The only observation from these mixing plots is that all parameters, except CDOM and Chl-a, were relatively constant over the sampled sites.</w:t>
      </w:r>
    </w:p>
    <w:p w14:paraId="204305FF" w14:textId="649D7EDF" w:rsidR="00685EEB" w:rsidRPr="00801DDD" w:rsidRDefault="00F12FA3" w:rsidP="00211A02">
      <w:pPr>
        <w:pStyle w:val="ListParagraph"/>
        <w:numPr>
          <w:ilvl w:val="0"/>
          <w:numId w:val="62"/>
        </w:numPr>
        <w:spacing w:before="0" w:after="200" w:line="276" w:lineRule="auto"/>
      </w:pPr>
      <w:r w:rsidRPr="00801DDD">
        <w:rPr>
          <w:lang w:val="en-AU"/>
        </w:rPr>
        <w:t xml:space="preserve">River discharge showed a negative correlation with Kd(PAR) and Si, suggesting the higher the river discharge, the lower the </w:t>
      </w:r>
      <w:r w:rsidRPr="00801DDD">
        <w:rPr>
          <w:lang w:val="en-US"/>
        </w:rPr>
        <w:t>concentrations</w:t>
      </w:r>
      <w:r w:rsidRPr="00801DDD">
        <w:rPr>
          <w:lang w:val="en-AU"/>
        </w:rPr>
        <w:t>. The N-S wind component, and therefore eventual resuspension events or currents advecting the superficial water mass, correlated negatively with CDOM and PP, suggesting that the stronger the southerly winds, the lower the concentration of these parameters.</w:t>
      </w:r>
    </w:p>
    <w:p w14:paraId="293D844C" w14:textId="091916D8" w:rsidR="00A4146A" w:rsidRPr="00482170" w:rsidRDefault="00A4146A" w:rsidP="00EA076A">
      <w:pPr>
        <w:rPr>
          <w:rStyle w:val="Heading20"/>
          <w:b/>
        </w:rPr>
      </w:pPr>
      <w:r w:rsidRPr="00482170">
        <w:rPr>
          <w:rStyle w:val="Heading20"/>
          <w:b/>
        </w:rPr>
        <w:t>Mackay</w:t>
      </w:r>
      <w:r w:rsidR="00801DDD">
        <w:rPr>
          <w:rStyle w:val="Heading20"/>
          <w:b/>
        </w:rPr>
        <w:t xml:space="preserve"> </w:t>
      </w:r>
      <w:r w:rsidRPr="00482170">
        <w:rPr>
          <w:rStyle w:val="Heading20"/>
          <w:b/>
        </w:rPr>
        <w:t>Whitsunday</w:t>
      </w:r>
    </w:p>
    <w:p w14:paraId="647FBAC7" w14:textId="4F7D8738" w:rsidR="00801DDD" w:rsidRDefault="00801DDD" w:rsidP="00211A02">
      <w:pPr>
        <w:pStyle w:val="ListParagraph"/>
        <w:numPr>
          <w:ilvl w:val="0"/>
          <w:numId w:val="62"/>
        </w:numPr>
        <w:spacing w:before="0" w:after="200" w:line="276" w:lineRule="auto"/>
      </w:pPr>
      <w:r>
        <w:t>In the 2014-15 season the rivers in the Mackay Whitsunday region had their lowest discharge over the monitoring record and hence the constituent loads were also generally lower compared to previous years of monitoring.</w:t>
      </w:r>
    </w:p>
    <w:p w14:paraId="7BFCEF2A" w14:textId="77777777" w:rsidR="00801DDD" w:rsidRPr="004A5BF7" w:rsidRDefault="00801DDD" w:rsidP="00211A02">
      <w:pPr>
        <w:spacing w:before="0" w:after="200" w:line="276" w:lineRule="auto"/>
        <w:ind w:left="360"/>
        <w:rPr>
          <w:i/>
          <w:color w:val="000000" w:themeColor="text1"/>
        </w:rPr>
      </w:pPr>
      <w:r w:rsidRPr="004A5BF7">
        <w:rPr>
          <w:i/>
          <w:color w:val="000000" w:themeColor="text1"/>
        </w:rPr>
        <w:t>Ambient water quality</w:t>
      </w:r>
    </w:p>
    <w:p w14:paraId="38092B28" w14:textId="4D84E24D" w:rsidR="00A4146A" w:rsidRDefault="00A4146A" w:rsidP="00211A02">
      <w:pPr>
        <w:pStyle w:val="ListParagraph"/>
        <w:numPr>
          <w:ilvl w:val="0"/>
          <w:numId w:val="62"/>
        </w:numPr>
        <w:spacing w:before="0" w:after="200" w:line="276" w:lineRule="auto"/>
      </w:pPr>
      <w:r w:rsidRPr="008467AA">
        <w:t xml:space="preserve">The </w:t>
      </w:r>
      <w:r w:rsidR="00801DDD">
        <w:t xml:space="preserve">site-specific </w:t>
      </w:r>
      <w:r w:rsidR="00607045">
        <w:t>W</w:t>
      </w:r>
      <w:r w:rsidRPr="008467AA">
        <w:t xml:space="preserve">ater </w:t>
      </w:r>
      <w:r w:rsidR="00607045">
        <w:t>Q</w:t>
      </w:r>
      <w:r w:rsidRPr="008467AA">
        <w:t xml:space="preserve">uality </w:t>
      </w:r>
      <w:r w:rsidR="00607045">
        <w:t>I</w:t>
      </w:r>
      <w:r w:rsidRPr="008467AA">
        <w:t>ndex in this sub-region has declined since 2008 to the current ‘moderate’ rating</w:t>
      </w:r>
      <w:r>
        <w:t xml:space="preserve">. </w:t>
      </w:r>
    </w:p>
    <w:p w14:paraId="52C96550" w14:textId="77777777" w:rsidR="00A4146A" w:rsidRDefault="00A4146A" w:rsidP="00211A02">
      <w:pPr>
        <w:pStyle w:val="ListParagraph"/>
        <w:numPr>
          <w:ilvl w:val="0"/>
          <w:numId w:val="62"/>
        </w:numPr>
        <w:spacing w:before="0" w:after="200" w:line="276" w:lineRule="auto"/>
      </w:pPr>
      <w:r w:rsidRPr="008467AA">
        <w:rPr>
          <w:lang w:val="en-AU"/>
        </w:rPr>
        <w:t xml:space="preserve">Trends in concentrations of </w:t>
      </w:r>
      <w:r>
        <w:rPr>
          <w:lang w:val="en-AU"/>
        </w:rPr>
        <w:t>C</w:t>
      </w:r>
      <w:r w:rsidRPr="008467AA">
        <w:rPr>
          <w:lang w:val="en-AU"/>
        </w:rPr>
        <w:t>hl</w:t>
      </w:r>
      <w:r>
        <w:rPr>
          <w:lang w:val="en-AU"/>
        </w:rPr>
        <w:t>-a</w:t>
      </w:r>
      <w:r w:rsidRPr="008467AA">
        <w:rPr>
          <w:lang w:val="en-AU"/>
        </w:rPr>
        <w:t>, TSS and PP have increased since 2008 coincident with sustained high flows of the adjacent rivers.</w:t>
      </w:r>
    </w:p>
    <w:p w14:paraId="1340885B" w14:textId="77777777" w:rsidR="00A4146A" w:rsidRDefault="00A4146A" w:rsidP="00211A02">
      <w:pPr>
        <w:pStyle w:val="ListParagraph"/>
        <w:numPr>
          <w:ilvl w:val="0"/>
          <w:numId w:val="62"/>
        </w:numPr>
        <w:spacing w:before="0" w:after="200" w:line="276" w:lineRule="auto"/>
      </w:pPr>
      <w:r w:rsidRPr="008467AA">
        <w:rPr>
          <w:lang w:val="en-AU"/>
        </w:rPr>
        <w:t>The concentrations of NO</w:t>
      </w:r>
      <w:r w:rsidRPr="008467AA">
        <w:rPr>
          <w:vertAlign w:val="subscript"/>
          <w:lang w:val="en-AU"/>
        </w:rPr>
        <w:t>x</w:t>
      </w:r>
      <w:r w:rsidRPr="008467AA">
        <w:rPr>
          <w:lang w:val="en-AU"/>
        </w:rPr>
        <w:t xml:space="preserve"> increased sharply after the first above-median river flows in 2007 and has since increased further with the trend-line approaching above guideline values</w:t>
      </w:r>
    </w:p>
    <w:p w14:paraId="2DBBB9D1" w14:textId="77777777" w:rsidR="00A4146A" w:rsidRDefault="00A4146A" w:rsidP="00211A02">
      <w:pPr>
        <w:pStyle w:val="ListParagraph"/>
        <w:numPr>
          <w:ilvl w:val="0"/>
          <w:numId w:val="62"/>
        </w:numPr>
        <w:spacing w:before="0" w:after="200" w:line="276" w:lineRule="auto"/>
      </w:pPr>
      <w:r>
        <w:t>T</w:t>
      </w:r>
      <w:r w:rsidRPr="008467AA">
        <w:rPr>
          <w:lang w:val="en-AU"/>
        </w:rPr>
        <w:t xml:space="preserve">he DOC concentrations have shown a steep continued increase over the </w:t>
      </w:r>
      <w:r>
        <w:t xml:space="preserve">monitoring </w:t>
      </w:r>
      <w:r w:rsidRPr="008467AA">
        <w:rPr>
          <w:lang w:val="en-AU"/>
        </w:rPr>
        <w:t>period</w:t>
      </w:r>
      <w:r>
        <w:t>.</w:t>
      </w:r>
    </w:p>
    <w:p w14:paraId="15D44798" w14:textId="77777777" w:rsidR="00A4146A" w:rsidRDefault="00A4146A" w:rsidP="00211A02">
      <w:pPr>
        <w:pStyle w:val="ListParagraph"/>
        <w:numPr>
          <w:ilvl w:val="0"/>
          <w:numId w:val="62"/>
        </w:numPr>
        <w:spacing w:before="0" w:after="200" w:line="276" w:lineRule="auto"/>
      </w:pPr>
      <w:r w:rsidRPr="008467AA">
        <w:rPr>
          <w:lang w:val="en-AU"/>
        </w:rPr>
        <w:t xml:space="preserve">The trend-line of the instrumental turbidity record was above the guideline for most of the monitoring period, with </w:t>
      </w:r>
      <w:r w:rsidRPr="008467AA">
        <w:t>a</w:t>
      </w:r>
      <w:r>
        <w:t xml:space="preserve"> slight upward trend from 2012. </w:t>
      </w:r>
    </w:p>
    <w:p w14:paraId="0BCB3C55" w14:textId="77777777" w:rsidR="00A4146A" w:rsidRDefault="00A4146A" w:rsidP="00211A02">
      <w:pPr>
        <w:pStyle w:val="ListParagraph"/>
        <w:numPr>
          <w:ilvl w:val="0"/>
          <w:numId w:val="62"/>
        </w:numPr>
        <w:spacing w:before="0" w:after="200" w:line="276" w:lineRule="auto"/>
        <w:rPr>
          <w:rStyle w:val="Heading20"/>
        </w:rPr>
      </w:pPr>
      <w:r w:rsidRPr="008467AA">
        <w:rPr>
          <w:lang w:val="en-AU"/>
        </w:rPr>
        <w:t xml:space="preserve">Secchi depth has declined steadily since 2008 remaining </w:t>
      </w:r>
      <w:r>
        <w:rPr>
          <w:lang w:val="en-AU"/>
        </w:rPr>
        <w:t>at</w:t>
      </w:r>
      <w:r w:rsidRPr="008467AA">
        <w:rPr>
          <w:lang w:val="en-AU"/>
        </w:rPr>
        <w:t xml:space="preserve"> levels non-compliant with the guideline</w:t>
      </w:r>
      <w:r>
        <w:t xml:space="preserve">. </w:t>
      </w:r>
    </w:p>
    <w:p w14:paraId="330C301D" w14:textId="77777777" w:rsidR="00801DDD" w:rsidRPr="004A5BF7" w:rsidRDefault="00801DDD" w:rsidP="00211A02">
      <w:pPr>
        <w:spacing w:before="0" w:after="200" w:line="276" w:lineRule="auto"/>
        <w:ind w:left="360"/>
        <w:rPr>
          <w:i/>
          <w:color w:val="000000" w:themeColor="text1"/>
        </w:rPr>
      </w:pPr>
      <w:r w:rsidRPr="004A5BF7">
        <w:rPr>
          <w:i/>
          <w:color w:val="000000" w:themeColor="text1"/>
        </w:rPr>
        <w:t>Wet season water quality</w:t>
      </w:r>
    </w:p>
    <w:p w14:paraId="61D2DB40" w14:textId="52902C5A" w:rsidR="00A4146A" w:rsidRPr="004A5BF7" w:rsidRDefault="00801DDD" w:rsidP="00211A02">
      <w:pPr>
        <w:pStyle w:val="ListParagraph"/>
        <w:numPr>
          <w:ilvl w:val="0"/>
          <w:numId w:val="62"/>
        </w:numPr>
        <w:spacing w:before="0" w:after="200" w:line="276" w:lineRule="auto"/>
        <w:rPr>
          <w:lang w:val="en-AU"/>
        </w:rPr>
      </w:pPr>
      <w:r>
        <w:rPr>
          <w:lang w:val="en-AU"/>
        </w:rPr>
        <w:t>No flood events occurred in the 2014-15 wet season so no flood response sampling was completed.</w:t>
      </w:r>
    </w:p>
    <w:p w14:paraId="7054AA4E" w14:textId="77777777" w:rsidR="00607045" w:rsidRDefault="00607045" w:rsidP="00607045">
      <w:pPr>
        <w:pStyle w:val="Heading2"/>
      </w:pPr>
      <w:bookmarkStart w:id="1441" w:name="_Toc462307460"/>
      <w:r>
        <w:t>Conclusions</w:t>
      </w:r>
      <w:bookmarkEnd w:id="1441"/>
    </w:p>
    <w:p w14:paraId="565F0E89" w14:textId="6BF4267A" w:rsidR="00EB1AFA" w:rsidRDefault="005578AE" w:rsidP="004A5BF7">
      <w:r w:rsidRPr="004A5BF7">
        <w:t xml:space="preserve">This report has presented the combined results of the ambient and flood response inshore water quality monitoring program for the first time. The transition to the new sampling </w:t>
      </w:r>
      <w:r w:rsidRPr="005578AE">
        <w:t>strategy in 2014-15</w:t>
      </w:r>
      <w:r w:rsidRPr="004A5BF7">
        <w:t xml:space="preserve"> has presented challenges in terms of combining the datasets and determination of the most appropriate analyses for the new data. </w:t>
      </w:r>
      <w:r w:rsidR="00EB1AFA" w:rsidRPr="005578AE">
        <w:t xml:space="preserve">When interpreting the long term trends in water quality it is important to keep in mind that </w:t>
      </w:r>
      <w:r w:rsidRPr="004A5BF7">
        <w:t>t</w:t>
      </w:r>
      <w:r w:rsidR="00EB1AFA" w:rsidRPr="005578AE">
        <w:t xml:space="preserve">his change in sampling strategy, with more frequent sampling during the wet season and more </w:t>
      </w:r>
      <w:r w:rsidR="00EB1AFA" w:rsidRPr="005578AE">
        <w:rPr>
          <w:lang w:val="en-AU"/>
        </w:rPr>
        <w:t>sites further inshore</w:t>
      </w:r>
      <w:r w:rsidR="00EB1AFA" w:rsidRPr="005578AE">
        <w:t>, will by itself influence the long trend</w:t>
      </w:r>
      <w:r w:rsidRPr="004A5BF7">
        <w:t xml:space="preserve">, presenting challenges for the detection of </w:t>
      </w:r>
      <w:r w:rsidR="00EB1AFA" w:rsidRPr="005578AE">
        <w:t>improvement or decline in the water quality</w:t>
      </w:r>
      <w:r w:rsidRPr="004A5BF7">
        <w:t xml:space="preserve"> conditions.</w:t>
      </w:r>
    </w:p>
    <w:p w14:paraId="17BD8506" w14:textId="7BEDDDBC" w:rsidR="00EB1AFA" w:rsidRPr="005578AE" w:rsidRDefault="00EB1AFA" w:rsidP="004A5BF7">
      <w:r w:rsidRPr="005578AE">
        <w:t>The implementation and coordination of the new sampling design is and will continue to be a time consuming task. More time than anticipated is still needed to coordinate the very frequent sampling over a very large geographical area</w:t>
      </w:r>
      <w:r w:rsidR="005578AE">
        <w:t xml:space="preserve">, however, the increased frequency provides substantial benefits for the statistical rigour of the program. </w:t>
      </w:r>
    </w:p>
    <w:p w14:paraId="323A4142" w14:textId="6CF55251" w:rsidR="00833B2D" w:rsidRPr="004A5BF7" w:rsidRDefault="005578AE" w:rsidP="004A5BF7">
      <w:pPr>
        <w:rPr>
          <w:color w:val="000000" w:themeColor="text1"/>
          <w:lang w:val="en-AU"/>
        </w:rPr>
      </w:pPr>
      <w:r w:rsidRPr="004A5BF7">
        <w:t xml:space="preserve">The results of the program varied between the focus areas, with variable responses to the relatively low river discharges and end of catchment pollutant loads in 2014-15. </w:t>
      </w:r>
      <w:r w:rsidR="00A30750" w:rsidRPr="004A5BF7">
        <w:t xml:space="preserve">Overall, the frequency and extent of river plumes was constrained compared to previous years. </w:t>
      </w:r>
      <w:r w:rsidR="00A30750">
        <w:t>Based on the in-situ monitoring results, t</w:t>
      </w:r>
      <w:r w:rsidRPr="004A5BF7">
        <w:t>he</w:t>
      </w:r>
      <w:r w:rsidR="00833B2D" w:rsidRPr="00A30750">
        <w:t xml:space="preserve"> </w:t>
      </w:r>
      <w:r w:rsidRPr="004A5BF7">
        <w:t>W</w:t>
      </w:r>
      <w:r w:rsidR="00833B2D" w:rsidRPr="00A30750">
        <w:t xml:space="preserve">et </w:t>
      </w:r>
      <w:r w:rsidR="00A30750" w:rsidRPr="004A5BF7">
        <w:t>T</w:t>
      </w:r>
      <w:r w:rsidR="00833B2D" w:rsidRPr="00A30750">
        <w:t xml:space="preserve">ropics region </w:t>
      </w:r>
      <w:r w:rsidR="00A30750" w:rsidRPr="004A5BF7">
        <w:t xml:space="preserve">had </w:t>
      </w:r>
      <w:r w:rsidR="00833B2D" w:rsidRPr="00A30750">
        <w:t xml:space="preserve">a ‘moderate’ to </w:t>
      </w:r>
      <w:r w:rsidR="00833B2D" w:rsidRPr="00A30750">
        <w:rPr>
          <w:color w:val="000000" w:themeColor="text1"/>
        </w:rPr>
        <w:t>‘</w:t>
      </w:r>
      <w:r w:rsidR="00833B2D" w:rsidRPr="00A30750">
        <w:t xml:space="preserve">very good’ </w:t>
      </w:r>
      <w:r w:rsidR="00833B2D" w:rsidRPr="00A30750">
        <w:rPr>
          <w:color w:val="000000" w:themeColor="text1"/>
        </w:rPr>
        <w:t>rating</w:t>
      </w:r>
      <w:r w:rsidR="00A30750" w:rsidRPr="004A5BF7">
        <w:rPr>
          <w:color w:val="000000" w:themeColor="text1"/>
        </w:rPr>
        <w:t xml:space="preserve"> for the site-specific Water Quality Index</w:t>
      </w:r>
      <w:r w:rsidR="00A30750">
        <w:rPr>
          <w:color w:val="000000" w:themeColor="text1"/>
        </w:rPr>
        <w:t>,</w:t>
      </w:r>
      <w:r w:rsidR="00A30750" w:rsidRPr="004A5BF7">
        <w:rPr>
          <w:color w:val="000000" w:themeColor="text1"/>
        </w:rPr>
        <w:t xml:space="preserve"> despite increasing levels of </w:t>
      </w:r>
      <w:r w:rsidR="00A30750" w:rsidRPr="004A5BF7">
        <w:rPr>
          <w:lang w:val="en-AU"/>
        </w:rPr>
        <w:t>turbidity</w:t>
      </w:r>
      <w:r w:rsidR="00A30750" w:rsidRPr="004A5BF7">
        <w:t xml:space="preserve"> and NO</w:t>
      </w:r>
      <w:r w:rsidR="00A30750" w:rsidRPr="004A5BF7">
        <w:rPr>
          <w:vertAlign w:val="subscript"/>
        </w:rPr>
        <w:t>x</w:t>
      </w:r>
      <w:r w:rsidR="00A30750" w:rsidRPr="004A5BF7">
        <w:rPr>
          <w:color w:val="000000" w:themeColor="text1"/>
          <w:lang w:val="en-AU"/>
        </w:rPr>
        <w:t>, DOC. This is</w:t>
      </w:r>
      <w:r w:rsidR="00A30750" w:rsidRPr="004A5BF7">
        <w:rPr>
          <w:color w:val="000000" w:themeColor="text1"/>
        </w:rPr>
        <w:t xml:space="preserve"> in contrast to a ‘poor’ </w:t>
      </w:r>
      <w:r w:rsidR="00A30750">
        <w:rPr>
          <w:color w:val="000000" w:themeColor="text1"/>
        </w:rPr>
        <w:t xml:space="preserve">overall </w:t>
      </w:r>
      <w:r w:rsidR="00A30750" w:rsidRPr="004A5BF7">
        <w:rPr>
          <w:color w:val="000000" w:themeColor="text1"/>
        </w:rPr>
        <w:t>rating for the current Report Card water quality metric</w:t>
      </w:r>
      <w:r w:rsidR="00A30750">
        <w:rPr>
          <w:color w:val="000000" w:themeColor="text1"/>
        </w:rPr>
        <w:t>, with ‘very poor’ for Chl-a and ‘moderate’ for TSS</w:t>
      </w:r>
      <w:r w:rsidR="00833B2D" w:rsidRPr="00A30750">
        <w:rPr>
          <w:color w:val="000000" w:themeColor="text1"/>
          <w:lang w:val="en-AU"/>
        </w:rPr>
        <w:t xml:space="preserve">. For the Burdekin region the </w:t>
      </w:r>
      <w:r w:rsidR="00A30750" w:rsidRPr="004A5BF7">
        <w:rPr>
          <w:color w:val="000000" w:themeColor="text1"/>
          <w:lang w:val="en-AU"/>
        </w:rPr>
        <w:t xml:space="preserve">site-specific </w:t>
      </w:r>
      <w:r w:rsidR="00833B2D" w:rsidRPr="00A30750">
        <w:t xml:space="preserve">Water Quality Index showed a relatively stable overall rating of ‘good’ to ‘very good’, not reflecting the increasing levels of </w:t>
      </w:r>
      <w:r w:rsidR="00833B2D" w:rsidRPr="00A30750">
        <w:rPr>
          <w:lang w:val="en-AU"/>
        </w:rPr>
        <w:t>turbidity</w:t>
      </w:r>
      <w:r w:rsidR="00833B2D" w:rsidRPr="00A30750">
        <w:t xml:space="preserve"> and NO</w:t>
      </w:r>
      <w:r w:rsidR="00833B2D" w:rsidRPr="00A30750">
        <w:rPr>
          <w:vertAlign w:val="subscript"/>
        </w:rPr>
        <w:t>x</w:t>
      </w:r>
      <w:r w:rsidR="00833B2D" w:rsidRPr="00A30750">
        <w:rPr>
          <w:color w:val="000000" w:themeColor="text1"/>
          <w:lang w:val="en-AU"/>
        </w:rPr>
        <w:t xml:space="preserve">, DOC. </w:t>
      </w:r>
      <w:r w:rsidR="00A30750" w:rsidRPr="004A5BF7">
        <w:rPr>
          <w:color w:val="000000" w:themeColor="text1"/>
          <w:lang w:val="en-AU"/>
        </w:rPr>
        <w:t xml:space="preserve">The score for the </w:t>
      </w:r>
      <w:r w:rsidR="00A30750" w:rsidRPr="004A5BF7">
        <w:rPr>
          <w:color w:val="000000" w:themeColor="text1"/>
        </w:rPr>
        <w:t>current Report Card water quality metric</w:t>
      </w:r>
      <w:r w:rsidR="00A30750" w:rsidRPr="004A5BF7">
        <w:rPr>
          <w:color w:val="000000" w:themeColor="text1"/>
          <w:lang w:val="en-AU"/>
        </w:rPr>
        <w:t xml:space="preserve"> was ‘moderate’ overall, but ‘poor’ for Chl-a. </w:t>
      </w:r>
      <w:r w:rsidR="00833B2D" w:rsidRPr="00A30750">
        <w:rPr>
          <w:color w:val="000000" w:themeColor="text1"/>
          <w:lang w:val="en-AU"/>
        </w:rPr>
        <w:t xml:space="preserve">In the </w:t>
      </w:r>
      <w:r w:rsidR="00833B2D" w:rsidRPr="00A30750">
        <w:rPr>
          <w:rStyle w:val="Heading20"/>
        </w:rPr>
        <w:t>Mackay-Whitsunday region the</w:t>
      </w:r>
      <w:r w:rsidR="00833B2D" w:rsidRPr="004A5BF7">
        <w:rPr>
          <w:rStyle w:val="Heading20"/>
        </w:rPr>
        <w:t xml:space="preserve"> </w:t>
      </w:r>
      <w:r w:rsidR="00A30750" w:rsidRPr="004A5BF7">
        <w:rPr>
          <w:rStyle w:val="Heading20"/>
        </w:rPr>
        <w:t xml:space="preserve">site-specific </w:t>
      </w:r>
      <w:r w:rsidR="00833B2D" w:rsidRPr="004A5BF7">
        <w:rPr>
          <w:rStyle w:val="Heading20"/>
        </w:rPr>
        <w:t>Water Quality Index has declined since 2008 to the current ‘moderate’ rating, which contrary to</w:t>
      </w:r>
      <w:r w:rsidR="00833B2D" w:rsidRPr="00A30750">
        <w:t xml:space="preserve"> the other regions</w:t>
      </w:r>
      <w:r w:rsidR="00A30750" w:rsidRPr="004A5BF7">
        <w:t>,</w:t>
      </w:r>
      <w:r w:rsidR="00833B2D" w:rsidRPr="00A30750">
        <w:t xml:space="preserve"> generally replicates the changes in </w:t>
      </w:r>
      <w:r w:rsidR="00833B2D" w:rsidRPr="00A30750">
        <w:rPr>
          <w:lang w:val="en-AU"/>
        </w:rPr>
        <w:t>turbidity</w:t>
      </w:r>
      <w:r w:rsidR="00833B2D" w:rsidRPr="00A30750">
        <w:t xml:space="preserve"> and NO</w:t>
      </w:r>
      <w:r w:rsidR="00833B2D" w:rsidRPr="00A30750">
        <w:rPr>
          <w:vertAlign w:val="subscript"/>
        </w:rPr>
        <w:t>x</w:t>
      </w:r>
      <w:r w:rsidR="00833B2D" w:rsidRPr="00A30750">
        <w:rPr>
          <w:color w:val="000000" w:themeColor="text1"/>
          <w:lang w:val="en-AU"/>
        </w:rPr>
        <w:t xml:space="preserve">, DOC. </w:t>
      </w:r>
      <w:r w:rsidR="00A30750" w:rsidRPr="004A5BF7">
        <w:rPr>
          <w:color w:val="000000" w:themeColor="text1"/>
          <w:lang w:val="en-AU"/>
        </w:rPr>
        <w:t xml:space="preserve">The score for the </w:t>
      </w:r>
      <w:r w:rsidR="00A30750" w:rsidRPr="004A5BF7">
        <w:rPr>
          <w:color w:val="000000" w:themeColor="text1"/>
        </w:rPr>
        <w:t>current Report Card water quality metric</w:t>
      </w:r>
      <w:r w:rsidR="00A30750" w:rsidRPr="004A5BF7">
        <w:rPr>
          <w:color w:val="000000" w:themeColor="text1"/>
          <w:lang w:val="en-AU"/>
        </w:rPr>
        <w:t xml:space="preserve"> was ‘moderate’ overall, but ‘good’ for TSS.</w:t>
      </w:r>
    </w:p>
    <w:p w14:paraId="4E4E3792" w14:textId="39C69CBE" w:rsidR="00984C57" w:rsidRDefault="00A30750" w:rsidP="003C0C3F">
      <w:r w:rsidRPr="004A5BF7">
        <w:t>The differences between the</w:t>
      </w:r>
      <w:r w:rsidR="003C0C3F">
        <w:t xml:space="preserve"> results of the</w:t>
      </w:r>
      <w:r w:rsidRPr="004A5BF7">
        <w:t xml:space="preserve"> Report Card metric and the site-specific Water Quality Index highlight the need to review the methods for developing an overall metric that represents water quality conditions in the GBR through this sampling program</w:t>
      </w:r>
      <w:r w:rsidR="003C0C3F">
        <w:t>, and is sensitive enough to reflect changes in annual river discharge characteristics</w:t>
      </w:r>
      <w:r w:rsidRPr="004A5BF7">
        <w:t>.</w:t>
      </w:r>
      <w:r w:rsidR="003C0C3F">
        <w:t xml:space="preserve"> In addition, there are still significant </w:t>
      </w:r>
      <w:r w:rsidR="00984C57" w:rsidRPr="00DC3B73">
        <w:rPr>
          <w:rFonts w:cs="Arial"/>
          <w:color w:val="1A1A1A"/>
          <w:szCs w:val="22"/>
          <w:lang w:val="en-US" w:eastAsia="en-AU"/>
        </w:rPr>
        <w:t>uncertaint</w:t>
      </w:r>
      <w:r w:rsidR="003C0C3F">
        <w:rPr>
          <w:rFonts w:cs="Arial"/>
          <w:color w:val="1A1A1A"/>
          <w:szCs w:val="22"/>
          <w:lang w:val="en-US" w:eastAsia="en-AU"/>
        </w:rPr>
        <w:t>ies in the knowledge of factors and process that</w:t>
      </w:r>
      <w:r w:rsidR="00984C57" w:rsidRPr="00DC3B73">
        <w:rPr>
          <w:rFonts w:cs="Arial"/>
          <w:color w:val="1A1A1A"/>
          <w:szCs w:val="22"/>
          <w:lang w:val="en-US" w:eastAsia="en-AU"/>
        </w:rPr>
        <w:t xml:space="preserve"> control the </w:t>
      </w:r>
      <w:r w:rsidR="003C0C3F">
        <w:rPr>
          <w:rFonts w:cs="Arial"/>
          <w:color w:val="1A1A1A"/>
          <w:szCs w:val="22"/>
          <w:lang w:val="en-US" w:eastAsia="en-AU"/>
        </w:rPr>
        <w:t>processing and transformation o</w:t>
      </w:r>
      <w:r w:rsidR="00984C57" w:rsidRPr="00DC3B73">
        <w:rPr>
          <w:rFonts w:cs="Arial"/>
          <w:color w:val="1A1A1A"/>
          <w:szCs w:val="22"/>
          <w:lang w:val="en-US" w:eastAsia="en-AU"/>
        </w:rPr>
        <w:t xml:space="preserve">f key water quality variables (e.g. nitrogen) in the </w:t>
      </w:r>
      <w:r w:rsidR="003C0C3F">
        <w:rPr>
          <w:rFonts w:cs="Arial"/>
          <w:color w:val="1A1A1A"/>
          <w:szCs w:val="22"/>
          <w:lang w:val="en-US" w:eastAsia="en-AU"/>
        </w:rPr>
        <w:t>GBR</w:t>
      </w:r>
      <w:r w:rsidR="00984C57" w:rsidRPr="00DC3B73">
        <w:rPr>
          <w:rFonts w:cs="Arial"/>
          <w:color w:val="1A1A1A"/>
          <w:szCs w:val="22"/>
          <w:lang w:val="en-US" w:eastAsia="en-AU"/>
        </w:rPr>
        <w:t>.</w:t>
      </w:r>
      <w:r w:rsidR="00984C57">
        <w:rPr>
          <w:rFonts w:cs="Arial"/>
          <w:color w:val="1A1A1A"/>
          <w:szCs w:val="22"/>
          <w:lang w:val="en-US" w:eastAsia="en-AU"/>
        </w:rPr>
        <w:t xml:space="preserve"> </w:t>
      </w:r>
      <w:r w:rsidR="003C0C3F">
        <w:rPr>
          <w:rFonts w:cs="Arial"/>
          <w:color w:val="1A1A1A"/>
          <w:szCs w:val="22"/>
          <w:lang w:val="en-US" w:eastAsia="en-AU"/>
        </w:rPr>
        <w:t xml:space="preserve">It is therefore important that </w:t>
      </w:r>
      <w:r w:rsidR="003C0C3F">
        <w:t>more in-depth understanding of which biogeochemical processes control the changes in water quality is progressed</w:t>
      </w:r>
      <w:r w:rsidR="003C0C3F">
        <w:rPr>
          <w:rFonts w:cs="Arial"/>
          <w:color w:val="1A1A1A"/>
          <w:szCs w:val="22"/>
          <w:lang w:val="en-US" w:eastAsia="en-AU"/>
        </w:rPr>
        <w:t>. Improved understanding of these aspects will also assist in the revision of a representative water quality metric</w:t>
      </w:r>
      <w:r w:rsidR="00984C57">
        <w:t xml:space="preserve">. </w:t>
      </w:r>
    </w:p>
    <w:p w14:paraId="5F22F2F6" w14:textId="7D2ADA53" w:rsidR="00174FBE" w:rsidRDefault="00685EEB">
      <w:pPr>
        <w:spacing w:before="0" w:after="0"/>
        <w:jc w:val="left"/>
        <w:rPr>
          <w:rFonts w:eastAsiaTheme="majorEastAsia" w:cstheme="majorBidi"/>
          <w:b/>
          <w:bCs/>
          <w:sz w:val="26"/>
          <w:szCs w:val="26"/>
          <w:lang w:val="en-AU"/>
        </w:rPr>
      </w:pPr>
      <w:r w:rsidRPr="009B70CD">
        <w:t xml:space="preserve">Sustained improvements in the marine water quality of the inshore GBR are not yet observed in the MMP water quality program, </w:t>
      </w:r>
      <w:r>
        <w:t>even though there has been good</w:t>
      </w:r>
      <w:r w:rsidRPr="009B70CD">
        <w:t xml:space="preserve"> progress in improving land management practices</w:t>
      </w:r>
      <w:r>
        <w:t>,</w:t>
      </w:r>
      <w:r w:rsidRPr="009B70CD">
        <w:t xml:space="preserve"> and river discharge at or below the long-term median in the last two years. This highlights the complexity of the relationship between river inputs and ambient </w:t>
      </w:r>
      <w:r>
        <w:rPr>
          <w:color w:val="000000" w:themeColor="text1"/>
        </w:rPr>
        <w:t>water quality and the expected slow response timeframe. C</w:t>
      </w:r>
      <w:r w:rsidRPr="00BD1DB3">
        <w:rPr>
          <w:color w:val="000000" w:themeColor="text1"/>
        </w:rPr>
        <w:t xml:space="preserve">ontinued </w:t>
      </w:r>
      <w:r>
        <w:rPr>
          <w:color w:val="000000" w:themeColor="text1"/>
        </w:rPr>
        <w:t xml:space="preserve">water quality </w:t>
      </w:r>
      <w:r w:rsidRPr="00BD1DB3">
        <w:rPr>
          <w:color w:val="000000" w:themeColor="text1"/>
        </w:rPr>
        <w:t>monitoring of the c</w:t>
      </w:r>
      <w:r>
        <w:rPr>
          <w:color w:val="000000" w:themeColor="text1"/>
        </w:rPr>
        <w:t>oastal and inshore GBR lagoon will be</w:t>
      </w:r>
      <w:r w:rsidRPr="00BD1DB3">
        <w:rPr>
          <w:color w:val="000000" w:themeColor="text1"/>
        </w:rPr>
        <w:t xml:space="preserve"> fundamental to determine and track long-term </w:t>
      </w:r>
      <w:r>
        <w:rPr>
          <w:color w:val="000000" w:themeColor="text1"/>
        </w:rPr>
        <w:t>changes in</w:t>
      </w:r>
      <w:r w:rsidRPr="00BD1DB3">
        <w:rPr>
          <w:color w:val="000000" w:themeColor="text1"/>
        </w:rPr>
        <w:t xml:space="preserve"> response to management actions and interventions, for example those under Reef Plan</w:t>
      </w:r>
      <w:r>
        <w:rPr>
          <w:color w:val="000000" w:themeColor="text1"/>
        </w:rPr>
        <w:t xml:space="preserve"> and the Reef 2050 Plan</w:t>
      </w:r>
      <w:r w:rsidRPr="00BD1DB3">
        <w:rPr>
          <w:color w:val="000000" w:themeColor="text1"/>
        </w:rPr>
        <w:t>.</w:t>
      </w:r>
      <w:r w:rsidR="00174FBE">
        <w:br w:type="page"/>
      </w:r>
    </w:p>
    <w:p w14:paraId="5F22F2F7" w14:textId="13241BA1" w:rsidR="005227F2" w:rsidRPr="00914B3A" w:rsidRDefault="005227F2" w:rsidP="00CD2D89">
      <w:pPr>
        <w:pStyle w:val="Heading2"/>
        <w:numPr>
          <w:ilvl w:val="0"/>
          <w:numId w:val="0"/>
        </w:numPr>
      </w:pPr>
      <w:bookmarkStart w:id="1442" w:name="_Toc462307461"/>
      <w:r w:rsidRPr="00914B3A">
        <w:t>Acknowledg</w:t>
      </w:r>
      <w:r w:rsidR="003C0C3F">
        <w:t>e</w:t>
      </w:r>
      <w:r w:rsidRPr="00914B3A">
        <w:t>ments</w:t>
      </w:r>
      <w:bookmarkEnd w:id="1442"/>
    </w:p>
    <w:p w14:paraId="084D1309" w14:textId="77777777" w:rsidR="00685EEB" w:rsidRDefault="004448D4" w:rsidP="008A37CB">
      <w:r>
        <w:t>We acknowledge the Australian Government funding under the Australian Government Reef Program</w:t>
      </w:r>
      <w:r w:rsidR="00685EEB">
        <w:t>me</w:t>
      </w:r>
      <w:r>
        <w:t xml:space="preserve"> and specifically thank the Great Barrier Reef Marine Park Authority and Department of Environment for financial and technical support under this program. Thank you to Katherine Martin and Carol Marshall for </w:t>
      </w:r>
      <w:r w:rsidR="005A7F56">
        <w:t>your</w:t>
      </w:r>
      <w:r>
        <w:t xml:space="preserve"> project management.</w:t>
      </w:r>
      <w:r w:rsidRPr="004448D4">
        <w:t xml:space="preserve"> </w:t>
      </w:r>
    </w:p>
    <w:p w14:paraId="41AB305F" w14:textId="7AB05607" w:rsidR="00685EEB" w:rsidRDefault="004448D4" w:rsidP="008A37CB">
      <w:pPr>
        <w:rPr>
          <w:lang w:val="en-AU"/>
        </w:rPr>
      </w:pPr>
      <w:r>
        <w:t>We thank all the amazing people involved in our field work and all who have helped us through sampling of in some very extreme conditions. We particularly thank Jason</w:t>
      </w:r>
      <w:r w:rsidR="00685EEB">
        <w:t xml:space="preserve"> Shearer</w:t>
      </w:r>
      <w:r>
        <w:t xml:space="preserve"> and Bec</w:t>
      </w:r>
      <w:r w:rsidR="00685EEB">
        <w:t xml:space="preserve"> Rowlands</w:t>
      </w:r>
      <w:r>
        <w:t xml:space="preserve"> from Mission Beach Charters who have been involved in our long</w:t>
      </w:r>
      <w:r w:rsidR="005A7F56">
        <w:t>-</w:t>
      </w:r>
      <w:r>
        <w:t xml:space="preserve">term sampling of the Tully and Russell-Mulgrave marine waters, and </w:t>
      </w:r>
      <w:r w:rsidR="005A7F56">
        <w:rPr>
          <w:lang w:val="en-AU"/>
        </w:rPr>
        <w:t xml:space="preserve">the crew of the RV Cape Ferguson. </w:t>
      </w:r>
      <w:r w:rsidRPr="00EC6BB8">
        <w:rPr>
          <w:lang w:val="en-AU"/>
        </w:rPr>
        <w:t>We also th</w:t>
      </w:r>
      <w:r>
        <w:rPr>
          <w:lang w:val="en-AU"/>
        </w:rPr>
        <w:t xml:space="preserve">ank Ed Butler, Johanna Johnson </w:t>
      </w:r>
      <w:r w:rsidRPr="00EC6BB8">
        <w:rPr>
          <w:lang w:val="en-AU"/>
        </w:rPr>
        <w:t xml:space="preserve">and a number of anonymous reviewers for their detailed reviews that improved the previous reports on which this current </w:t>
      </w:r>
      <w:r w:rsidR="00685EEB" w:rsidRPr="00EC6BB8">
        <w:rPr>
          <w:lang w:val="en-AU"/>
        </w:rPr>
        <w:t>insta</w:t>
      </w:r>
      <w:r w:rsidR="00685EEB">
        <w:rPr>
          <w:lang w:val="en-AU"/>
        </w:rPr>
        <w:t>l</w:t>
      </w:r>
      <w:r w:rsidR="00685EEB" w:rsidRPr="00EC6BB8">
        <w:rPr>
          <w:lang w:val="en-AU"/>
        </w:rPr>
        <w:t>ment</w:t>
      </w:r>
      <w:r w:rsidRPr="00EC6BB8">
        <w:rPr>
          <w:lang w:val="en-AU"/>
        </w:rPr>
        <w:t xml:space="preserve"> builds. </w:t>
      </w:r>
      <w:r w:rsidR="00685EEB">
        <w:rPr>
          <w:lang w:val="en-AU"/>
        </w:rPr>
        <w:t>We also</w:t>
      </w:r>
      <w:r w:rsidRPr="00EC6BB8">
        <w:rPr>
          <w:lang w:val="en-AU"/>
        </w:rPr>
        <w:t xml:space="preserve"> acknowledge the valuable contributions to data collection, sampling integrity and reporting of Miles Furnas</w:t>
      </w:r>
      <w:r>
        <w:rPr>
          <w:lang w:val="en-AU"/>
        </w:rPr>
        <w:t xml:space="preserve"> and</w:t>
      </w:r>
      <w:r w:rsidRPr="00EC6BB8">
        <w:rPr>
          <w:lang w:val="en-AU"/>
        </w:rPr>
        <w:t xml:space="preserve"> John Carlton, over the first few years of the monitoring program.</w:t>
      </w:r>
      <w:r w:rsidR="00685EEB">
        <w:rPr>
          <w:lang w:val="en-AU"/>
        </w:rPr>
        <w:t xml:space="preserve"> </w:t>
      </w:r>
    </w:p>
    <w:p w14:paraId="329FB292" w14:textId="59E13C82" w:rsidR="00685EEB" w:rsidRDefault="008A37CB" w:rsidP="008A37CB">
      <w:r>
        <w:t xml:space="preserve">Thank you to the </w:t>
      </w:r>
      <w:r w:rsidR="00685EEB">
        <w:t xml:space="preserve">TropWATER </w:t>
      </w:r>
      <w:r w:rsidR="008C499F">
        <w:t>laboratory and AIMS Analytical Technology staff, who</w:t>
      </w:r>
      <w:r>
        <w:t xml:space="preserve"> have analysed thousands of samples for us. </w:t>
      </w:r>
    </w:p>
    <w:p w14:paraId="5F22F2F8" w14:textId="1847328E" w:rsidR="008A37CB" w:rsidRDefault="008A37CB" w:rsidP="008A37CB">
      <w:r>
        <w:t>Thank you to CSIRO, particularly Thomas Schroeder and Vittorio Brando, who have provided advice and data for our ocean colour map</w:t>
      </w:r>
      <w:r w:rsidR="00685EEB">
        <w:t>ping</w:t>
      </w:r>
      <w:r>
        <w:t xml:space="preserve">. Thanks to BOM for the implementation of the WQ dashboard where we can now access remote sensed data. </w:t>
      </w:r>
    </w:p>
    <w:p w14:paraId="5F22F2F9" w14:textId="77777777" w:rsidR="008A37CB" w:rsidRPr="008A37CB" w:rsidRDefault="008A37CB" w:rsidP="005227F2">
      <w:pPr>
        <w:rPr>
          <w:rFonts w:eastAsia="Calibri"/>
        </w:rPr>
      </w:pPr>
    </w:p>
    <w:p w14:paraId="5F22F2FA" w14:textId="77777777" w:rsidR="005227F2" w:rsidRPr="003A77F5" w:rsidRDefault="005227F2" w:rsidP="004E582F">
      <w:pPr>
        <w:autoSpaceDE w:val="0"/>
        <w:autoSpaceDN w:val="0"/>
        <w:adjustRightInd w:val="0"/>
        <w:rPr>
          <w:rFonts w:cs="Arial"/>
          <w:szCs w:val="22"/>
          <w:lang w:val="en-AU" w:eastAsia="en-AU"/>
        </w:rPr>
      </w:pPr>
    </w:p>
    <w:p w14:paraId="5F22F2FB" w14:textId="77777777" w:rsidR="008645FA" w:rsidRPr="00C27BEB" w:rsidRDefault="008645FA" w:rsidP="00C27BEB">
      <w:pPr>
        <w:pStyle w:val="Heading1"/>
      </w:pPr>
      <w:bookmarkStart w:id="1443" w:name="_Toc436082065"/>
      <w:r w:rsidRPr="00C27BEB">
        <w:rPr>
          <w:rFonts w:eastAsia="SimSun"/>
        </w:rPr>
        <w:t xml:space="preserve"> </w:t>
      </w:r>
      <w:bookmarkStart w:id="1444" w:name="_Toc436913524"/>
      <w:bookmarkStart w:id="1445" w:name="_Toc462307462"/>
      <w:r w:rsidRPr="00C27BEB">
        <w:rPr>
          <w:rFonts w:eastAsia="SimSun"/>
        </w:rPr>
        <w:t>Case study</w:t>
      </w:r>
      <w:bookmarkEnd w:id="1443"/>
      <w:r w:rsidR="00FB3FE4" w:rsidRPr="00C27BEB">
        <w:rPr>
          <w:rFonts w:eastAsia="SimSun"/>
        </w:rPr>
        <w:t>: Detecting decadal changes in the water quality of Great Barrier Reef waters using the Cairns Time Series (CaTS) transect</w:t>
      </w:r>
      <w:bookmarkEnd w:id="1444"/>
      <w:bookmarkEnd w:id="1445"/>
    </w:p>
    <w:p w14:paraId="5F22F2FC" w14:textId="77777777" w:rsidR="008645FA" w:rsidRPr="00EC6BB8" w:rsidRDefault="008645FA" w:rsidP="008645FA">
      <w:pPr>
        <w:rPr>
          <w:rFonts w:cs="Arial"/>
          <w:szCs w:val="22"/>
          <w:lang w:val="en-AU"/>
        </w:rPr>
      </w:pPr>
      <w:r w:rsidRPr="00EC6BB8">
        <w:rPr>
          <w:rFonts w:cs="Arial"/>
          <w:b/>
          <w:i/>
          <w:szCs w:val="22"/>
          <w:lang w:val="en-AU"/>
        </w:rPr>
        <w:t xml:space="preserve">Authors: </w:t>
      </w:r>
      <w:r w:rsidRPr="00C51DE2">
        <w:rPr>
          <w:rFonts w:eastAsiaTheme="minorHAnsi" w:cs="Arial"/>
          <w:szCs w:val="22"/>
          <w:lang w:val="en-AU"/>
        </w:rPr>
        <w:t>Ch</w:t>
      </w:r>
      <w:r w:rsidR="0046394E">
        <w:rPr>
          <w:rFonts w:eastAsiaTheme="minorHAnsi" w:cs="Arial"/>
          <w:szCs w:val="22"/>
          <w:lang w:val="en-AU"/>
        </w:rPr>
        <w:t>ristian Lønborg</w:t>
      </w:r>
      <w:r w:rsidRPr="00C51DE2">
        <w:rPr>
          <w:rFonts w:eastAsiaTheme="minorHAnsi" w:cs="Arial"/>
          <w:szCs w:val="22"/>
          <w:lang w:val="en-AU"/>
        </w:rPr>
        <w:t>, Miles Furnas, Murray Logan &amp;</w:t>
      </w:r>
      <w:r w:rsidRPr="00EC6BB8">
        <w:rPr>
          <w:rFonts w:cs="Arial"/>
          <w:szCs w:val="22"/>
          <w:lang w:val="en-AU"/>
        </w:rPr>
        <w:t xml:space="preserve"> </w:t>
      </w:r>
      <w:r w:rsidRPr="00EC6BB8">
        <w:rPr>
          <w:rFonts w:cs="Arial"/>
          <w:bCs/>
          <w:color w:val="000000"/>
          <w:szCs w:val="22"/>
          <w:lang w:val="en-AU" w:eastAsia="en-AU"/>
        </w:rPr>
        <w:t>Britta Schaffelke</w:t>
      </w:r>
      <w:r w:rsidRPr="00C51DE2">
        <w:rPr>
          <w:rFonts w:eastAsiaTheme="minorHAnsi" w:cs="Arial"/>
          <w:szCs w:val="22"/>
          <w:lang w:val="en-AU"/>
        </w:rPr>
        <w:t xml:space="preserve"> </w:t>
      </w:r>
    </w:p>
    <w:p w14:paraId="5F22F2FD" w14:textId="77777777" w:rsidR="00914B3A" w:rsidRPr="00C27BEB" w:rsidRDefault="008645FA" w:rsidP="00C27BEB">
      <w:pPr>
        <w:pStyle w:val="Heading2"/>
      </w:pPr>
      <w:bookmarkStart w:id="1446" w:name="_Toc462307463"/>
      <w:r w:rsidRPr="00C27BEB">
        <w:t>Scope</w:t>
      </w:r>
      <w:bookmarkEnd w:id="1446"/>
    </w:p>
    <w:p w14:paraId="5F22F2FE" w14:textId="72AE21CE" w:rsidR="008645FA" w:rsidRPr="00EC6BB8" w:rsidRDefault="008645FA" w:rsidP="008F6D8B">
      <w:pPr>
        <w:rPr>
          <w:lang w:val="en-AU"/>
        </w:rPr>
      </w:pPr>
      <w:r w:rsidRPr="00EC6BB8">
        <w:rPr>
          <w:lang w:val="en-AU"/>
        </w:rPr>
        <w:t>D</w:t>
      </w:r>
      <w:r w:rsidRPr="00C51DE2">
        <w:rPr>
          <w:rFonts w:eastAsiaTheme="minorHAnsi"/>
          <w:lang w:val="en-AU"/>
        </w:rPr>
        <w:t xml:space="preserve">ata from the </w:t>
      </w:r>
      <w:r w:rsidRPr="00EC6BB8">
        <w:rPr>
          <w:lang w:val="en-AU"/>
        </w:rPr>
        <w:t xml:space="preserve">Cairns Time Series (CaTS) oceanographic transect in the central </w:t>
      </w:r>
      <w:r w:rsidRPr="00C51DE2">
        <w:rPr>
          <w:rFonts w:eastAsiaTheme="minorHAnsi"/>
          <w:lang w:val="en-AU"/>
        </w:rPr>
        <w:t xml:space="preserve">Great Barrier Reef </w:t>
      </w:r>
      <w:r w:rsidR="008F6D8B">
        <w:rPr>
          <w:rFonts w:eastAsiaTheme="minorHAnsi"/>
          <w:lang w:val="en-AU"/>
        </w:rPr>
        <w:t xml:space="preserve">(GBR) </w:t>
      </w:r>
      <w:r w:rsidRPr="00C51DE2">
        <w:rPr>
          <w:rFonts w:eastAsiaTheme="minorHAnsi"/>
          <w:lang w:val="en-AU"/>
        </w:rPr>
        <w:t xml:space="preserve">lagoon (16-17°S) is used to conduct a statistical evaluation of the </w:t>
      </w:r>
      <w:r w:rsidR="00F2759D" w:rsidRPr="00C51DE2">
        <w:rPr>
          <w:rFonts w:eastAsiaTheme="minorHAnsi"/>
          <w:lang w:val="en-AU"/>
        </w:rPr>
        <w:t>long</w:t>
      </w:r>
      <w:r w:rsidR="00F2759D">
        <w:rPr>
          <w:rFonts w:eastAsiaTheme="minorHAnsi"/>
          <w:lang w:val="en-AU"/>
        </w:rPr>
        <w:t>-</w:t>
      </w:r>
      <w:r w:rsidRPr="00C51DE2">
        <w:rPr>
          <w:rFonts w:eastAsiaTheme="minorHAnsi"/>
          <w:lang w:val="en-AU"/>
        </w:rPr>
        <w:t>term changes, variability and trends in key chemical and biological oceanographic prop</w:t>
      </w:r>
      <w:r w:rsidRPr="003A77F5">
        <w:rPr>
          <w:rFonts w:eastAsiaTheme="minorHAnsi"/>
          <w:lang w:val="en-AU"/>
        </w:rPr>
        <w:t>erties of GBR waters.</w:t>
      </w:r>
      <w:r w:rsidR="00F2759D">
        <w:rPr>
          <w:rFonts w:eastAsiaTheme="minorHAnsi"/>
          <w:lang w:val="en-AU"/>
        </w:rPr>
        <w:t xml:space="preserve"> </w:t>
      </w:r>
      <w:r w:rsidRPr="003A77F5">
        <w:rPr>
          <w:rFonts w:eastAsiaTheme="minorHAnsi"/>
          <w:lang w:val="en-AU"/>
        </w:rPr>
        <w:t>The CaTS</w:t>
      </w:r>
      <w:r w:rsidR="00F2759D">
        <w:rPr>
          <w:rFonts w:eastAsiaTheme="minorHAnsi"/>
          <w:lang w:val="en-AU"/>
        </w:rPr>
        <w:t>,</w:t>
      </w:r>
      <w:r w:rsidRPr="003A77F5">
        <w:rPr>
          <w:rFonts w:eastAsiaTheme="minorHAnsi"/>
          <w:lang w:val="en-AU"/>
        </w:rPr>
        <w:t xml:space="preserve"> which was initiated in </w:t>
      </w:r>
      <w:r w:rsidRPr="00EC6BB8">
        <w:rPr>
          <w:lang w:val="en-AU"/>
        </w:rPr>
        <w:t>1989</w:t>
      </w:r>
      <w:r w:rsidR="00F2759D">
        <w:rPr>
          <w:lang w:val="en-AU"/>
        </w:rPr>
        <w:t>,</w:t>
      </w:r>
      <w:r w:rsidRPr="00EC6BB8">
        <w:rPr>
          <w:lang w:val="en-AU"/>
        </w:rPr>
        <w:t xml:space="preserve"> is to our knowledge one of the </w:t>
      </w:r>
      <w:r w:rsidRPr="00C51DE2">
        <w:rPr>
          <w:rFonts w:eastAsiaTheme="minorHAnsi"/>
          <w:lang w:val="en-AU"/>
        </w:rPr>
        <w:t xml:space="preserve">longest-running oceanographic time series in coral reef systems and thus provides continuous information on changes in </w:t>
      </w:r>
      <w:r w:rsidR="00F2759D">
        <w:rPr>
          <w:rFonts w:eastAsiaTheme="minorHAnsi"/>
          <w:lang w:val="en-AU"/>
        </w:rPr>
        <w:t xml:space="preserve">this part of the </w:t>
      </w:r>
      <w:r w:rsidRPr="00C51DE2">
        <w:rPr>
          <w:rFonts w:eastAsiaTheme="minorHAnsi"/>
          <w:lang w:val="en-AU"/>
        </w:rPr>
        <w:t>GBR</w:t>
      </w:r>
      <w:r w:rsidR="00F2759D">
        <w:rPr>
          <w:rFonts w:eastAsiaTheme="minorHAnsi"/>
          <w:lang w:val="en-AU"/>
        </w:rPr>
        <w:t xml:space="preserve"> lagoon</w:t>
      </w:r>
      <w:r w:rsidRPr="00C51DE2">
        <w:rPr>
          <w:rFonts w:eastAsiaTheme="minorHAnsi"/>
          <w:lang w:val="en-AU"/>
        </w:rPr>
        <w:t>.</w:t>
      </w:r>
    </w:p>
    <w:p w14:paraId="5F22F2FF" w14:textId="77777777" w:rsidR="00914B3A" w:rsidRPr="00C27BEB" w:rsidRDefault="008645FA" w:rsidP="00C27BEB">
      <w:pPr>
        <w:pStyle w:val="Heading2"/>
      </w:pPr>
      <w:bookmarkStart w:id="1447" w:name="_Toc462307464"/>
      <w:r w:rsidRPr="00C27BEB">
        <w:t>Introduction</w:t>
      </w:r>
      <w:bookmarkEnd w:id="1447"/>
    </w:p>
    <w:p w14:paraId="5F22F300" w14:textId="712F9081" w:rsidR="008645FA" w:rsidRPr="00F77F98" w:rsidRDefault="00F2759D" w:rsidP="008F6D8B">
      <w:pPr>
        <w:rPr>
          <w:rFonts w:eastAsiaTheme="minorHAnsi"/>
          <w:lang w:val="en-AU"/>
        </w:rPr>
      </w:pPr>
      <w:r>
        <w:rPr>
          <w:lang w:val="en-AU" w:eastAsia="en-AU"/>
        </w:rPr>
        <w:t>In most seas, a large proportion of the</w:t>
      </w:r>
      <w:r w:rsidRPr="00EC6BB8">
        <w:rPr>
          <w:lang w:val="en-AU" w:eastAsia="en-AU"/>
        </w:rPr>
        <w:t xml:space="preserve"> </w:t>
      </w:r>
      <w:r w:rsidR="008645FA" w:rsidRPr="00EC6BB8">
        <w:rPr>
          <w:lang w:val="en-AU" w:eastAsia="en-AU"/>
        </w:rPr>
        <w:t xml:space="preserve">inputs of </w:t>
      </w:r>
      <w:r w:rsidR="00D672D7">
        <w:rPr>
          <w:lang w:val="en-AU" w:eastAsia="en-AU"/>
        </w:rPr>
        <w:t xml:space="preserve">suspended solids, </w:t>
      </w:r>
      <w:r w:rsidR="008645FA" w:rsidRPr="00EC6BB8">
        <w:rPr>
          <w:lang w:val="en-AU" w:eastAsia="en-AU"/>
        </w:rPr>
        <w:t xml:space="preserve">inorganic and organic nutrients </w:t>
      </w:r>
      <w:r w:rsidR="008645FA" w:rsidRPr="00C51DE2">
        <w:rPr>
          <w:rFonts w:eastAsiaTheme="minorHAnsi"/>
          <w:lang w:val="en-AU"/>
        </w:rPr>
        <w:t xml:space="preserve">to coastal waters are coming from </w:t>
      </w:r>
      <w:r w:rsidRPr="00C51DE2">
        <w:rPr>
          <w:rFonts w:eastAsiaTheme="minorHAnsi"/>
          <w:lang w:val="en-AU"/>
        </w:rPr>
        <w:t>land</w:t>
      </w:r>
      <w:r>
        <w:rPr>
          <w:rFonts w:eastAsiaTheme="minorHAnsi"/>
          <w:lang w:val="en-AU"/>
        </w:rPr>
        <w:t>-</w:t>
      </w:r>
      <w:r w:rsidR="008645FA" w:rsidRPr="00C51DE2">
        <w:rPr>
          <w:rFonts w:eastAsiaTheme="minorHAnsi"/>
          <w:lang w:val="en-AU"/>
        </w:rPr>
        <w:t xml:space="preserve">based sources, including rivers, groundwater, the atmosphere and </w:t>
      </w:r>
      <w:r w:rsidR="00D672D7">
        <w:rPr>
          <w:rFonts w:eastAsiaTheme="minorHAnsi"/>
          <w:lang w:val="en-AU"/>
        </w:rPr>
        <w:t>point sources</w:t>
      </w:r>
      <w:r w:rsidR="00D672D7">
        <w:rPr>
          <w:rStyle w:val="CommentReference"/>
          <w:rFonts w:ascii="Gill Sans MT" w:hAnsi="Gill Sans MT"/>
          <w:lang w:eastAsia="en-AU"/>
        </w:rPr>
        <w:t xml:space="preserve">, </w:t>
      </w:r>
      <w:r w:rsidR="008645FA" w:rsidRPr="00C51DE2">
        <w:rPr>
          <w:rFonts w:eastAsiaTheme="minorHAnsi"/>
          <w:lang w:val="en-AU"/>
        </w:rPr>
        <w:t xml:space="preserve">and from exchange with offshore waters (Jickells, 1998). These fluxes have been </w:t>
      </w:r>
      <w:r w:rsidR="008645FA" w:rsidRPr="003A77F5">
        <w:rPr>
          <w:rFonts w:eastAsiaTheme="minorHAnsi"/>
          <w:lang w:val="en-AU"/>
        </w:rPr>
        <w:t>altered due to human activity leading to increased pressure on coastal ecosystems worldwide (e.g. Seitzinger et al., 2005</w:t>
      </w:r>
      <w:r w:rsidR="008F6D8B">
        <w:rPr>
          <w:rFonts w:eastAsiaTheme="minorHAnsi"/>
          <w:lang w:val="en-AU"/>
        </w:rPr>
        <w:t>;</w:t>
      </w:r>
      <w:r w:rsidR="008F6D8B" w:rsidRPr="003A77F5">
        <w:rPr>
          <w:rFonts w:eastAsiaTheme="minorHAnsi"/>
          <w:lang w:val="en-AU"/>
        </w:rPr>
        <w:t xml:space="preserve"> </w:t>
      </w:r>
      <w:r w:rsidR="008645FA" w:rsidRPr="003A77F5">
        <w:rPr>
          <w:rFonts w:eastAsiaTheme="minorHAnsi"/>
          <w:lang w:val="en-AU"/>
        </w:rPr>
        <w:t xml:space="preserve">Statham, 2012). </w:t>
      </w:r>
      <w:r w:rsidRPr="00EC6BB8">
        <w:rPr>
          <w:lang w:val="en-AU"/>
        </w:rPr>
        <w:t>Lo</w:t>
      </w:r>
      <w:r w:rsidRPr="00C51DE2">
        <w:rPr>
          <w:rFonts w:eastAsiaTheme="minorHAnsi"/>
          <w:lang w:val="en-AU"/>
        </w:rPr>
        <w:t>ng</w:t>
      </w:r>
      <w:r>
        <w:rPr>
          <w:rFonts w:eastAsiaTheme="minorHAnsi"/>
          <w:lang w:val="en-AU"/>
        </w:rPr>
        <w:t>-</w:t>
      </w:r>
      <w:r w:rsidR="008645FA" w:rsidRPr="00C51DE2">
        <w:rPr>
          <w:rFonts w:eastAsiaTheme="minorHAnsi"/>
          <w:lang w:val="en-AU"/>
        </w:rPr>
        <w:t>term ocean time-series stations which measure p</w:t>
      </w:r>
      <w:r w:rsidR="008645FA" w:rsidRPr="003A77F5">
        <w:rPr>
          <w:rFonts w:eastAsiaTheme="minorHAnsi"/>
          <w:color w:val="000000"/>
          <w:lang w:val="en-AU"/>
        </w:rPr>
        <w:t xml:space="preserve">hysical, chemical and biological variables provide crucial </w:t>
      </w:r>
      <w:r w:rsidR="008645FA" w:rsidRPr="003A77F5">
        <w:rPr>
          <w:rFonts w:eastAsiaTheme="minorHAnsi"/>
          <w:lang w:val="en-AU"/>
        </w:rPr>
        <w:t xml:space="preserve">data for assessing the ecological health and status of water bodies and changes occurring under climatic and anthropogenic pressures. But the analysis of such datasets have also revealed that long time series records </w:t>
      </w:r>
      <w:r w:rsidR="008645FA" w:rsidRPr="00EC6BB8">
        <w:rPr>
          <w:lang w:val="en-AU"/>
        </w:rPr>
        <w:t>(&gt;</w:t>
      </w:r>
      <w:r w:rsidR="0046394E">
        <w:rPr>
          <w:lang w:val="en-AU"/>
        </w:rPr>
        <w:t xml:space="preserve"> </w:t>
      </w:r>
      <w:r w:rsidR="008645FA" w:rsidRPr="00EC6BB8">
        <w:rPr>
          <w:lang w:val="en-AU"/>
        </w:rPr>
        <w:t xml:space="preserve">20 years) are necessary to statistically resolve trends </w:t>
      </w:r>
      <w:r w:rsidR="00407561" w:rsidRPr="00407561">
        <w:rPr>
          <w:lang w:val="en-AU"/>
        </w:rPr>
        <w:t xml:space="preserve">and </w:t>
      </w:r>
      <w:r w:rsidR="00407561" w:rsidRPr="004A5BF7">
        <w:rPr>
          <w:lang w:val="en-AU" w:eastAsia="en-AU"/>
        </w:rPr>
        <w:t>distinguish real trends from background natural variability</w:t>
      </w:r>
      <w:r w:rsidR="00407561" w:rsidRPr="00EC6BB8">
        <w:rPr>
          <w:lang w:val="en-AU"/>
        </w:rPr>
        <w:t xml:space="preserve"> </w:t>
      </w:r>
      <w:r w:rsidR="008645FA" w:rsidRPr="00EC6BB8">
        <w:rPr>
          <w:lang w:val="en-AU"/>
        </w:rPr>
        <w:t>(Rudnick and Davis</w:t>
      </w:r>
      <w:r w:rsidR="008645FA" w:rsidRPr="00EC6BB8">
        <w:rPr>
          <w:rStyle w:val="A3"/>
          <w:rFonts w:eastAsia="SimSun" w:cs="Arial"/>
          <w:szCs w:val="22"/>
          <w:lang w:val="en-AU"/>
        </w:rPr>
        <w:t xml:space="preserve"> 2003</w:t>
      </w:r>
      <w:r w:rsidR="00407561">
        <w:rPr>
          <w:rStyle w:val="A3"/>
          <w:rFonts w:eastAsia="SimSun" w:cs="Arial"/>
          <w:szCs w:val="22"/>
          <w:lang w:val="en-AU"/>
        </w:rPr>
        <w:t>; Henson et al.</w:t>
      </w:r>
      <w:r w:rsidR="008F6D8B">
        <w:rPr>
          <w:rStyle w:val="A3"/>
          <w:rFonts w:eastAsia="SimSun" w:cs="Arial"/>
          <w:szCs w:val="22"/>
          <w:lang w:val="en-AU"/>
        </w:rPr>
        <w:t>,</w:t>
      </w:r>
      <w:r w:rsidR="00407561">
        <w:rPr>
          <w:rStyle w:val="A3"/>
          <w:rFonts w:eastAsia="SimSun" w:cs="Arial"/>
          <w:szCs w:val="22"/>
          <w:lang w:val="en-AU"/>
        </w:rPr>
        <w:t xml:space="preserve"> 2016</w:t>
      </w:r>
      <w:r w:rsidR="008645FA" w:rsidRPr="00EC6BB8">
        <w:rPr>
          <w:rStyle w:val="A3"/>
          <w:rFonts w:eastAsia="SimSun" w:cs="Arial"/>
          <w:szCs w:val="22"/>
          <w:lang w:val="en-AU"/>
        </w:rPr>
        <w:t>). Especially i</w:t>
      </w:r>
      <w:r w:rsidR="008645FA" w:rsidRPr="00C51DE2">
        <w:rPr>
          <w:rFonts w:eastAsiaTheme="minorHAnsi"/>
          <w:lang w:val="en-AU"/>
        </w:rPr>
        <w:t xml:space="preserve">n coastal systems where marked short (hourly to daily) and long (years to decades) </w:t>
      </w:r>
      <w:r w:rsidR="008645FA" w:rsidRPr="003A77F5">
        <w:rPr>
          <w:rFonts w:eastAsiaTheme="minorHAnsi"/>
          <w:lang w:val="en-AU"/>
        </w:rPr>
        <w:t xml:space="preserve">term </w:t>
      </w:r>
      <w:r>
        <w:rPr>
          <w:rFonts w:eastAsiaTheme="minorHAnsi"/>
          <w:lang w:val="en-AU"/>
        </w:rPr>
        <w:t>variability is observed</w:t>
      </w:r>
      <w:r w:rsidR="008645FA" w:rsidRPr="003A77F5">
        <w:rPr>
          <w:rFonts w:eastAsiaTheme="minorHAnsi"/>
          <w:lang w:val="en-AU"/>
        </w:rPr>
        <w:t xml:space="preserve"> in physical, chemical and biological variables, long periods are required to </w:t>
      </w:r>
      <w:r>
        <w:rPr>
          <w:rFonts w:eastAsiaTheme="minorHAnsi"/>
          <w:lang w:val="en-AU"/>
        </w:rPr>
        <w:t>differentiate</w:t>
      </w:r>
      <w:r w:rsidRPr="003A77F5" w:rsidDel="00F2759D">
        <w:rPr>
          <w:rFonts w:eastAsiaTheme="minorHAnsi"/>
          <w:lang w:val="en-AU"/>
        </w:rPr>
        <w:t xml:space="preserve"> </w:t>
      </w:r>
      <w:r w:rsidR="008645FA" w:rsidRPr="003A77F5">
        <w:rPr>
          <w:rFonts w:eastAsiaTheme="minorHAnsi"/>
          <w:lang w:val="en-AU"/>
        </w:rPr>
        <w:t xml:space="preserve">statistically significant trends from random events. </w:t>
      </w:r>
    </w:p>
    <w:p w14:paraId="5F22F301" w14:textId="318438EB" w:rsidR="008645FA" w:rsidRPr="001E1058" w:rsidRDefault="008645FA" w:rsidP="004A5BF7">
      <w:pPr>
        <w:rPr>
          <w:rFonts w:eastAsiaTheme="minorHAnsi"/>
          <w:lang w:val="en-AU"/>
        </w:rPr>
      </w:pPr>
      <w:r w:rsidRPr="002A0F81">
        <w:rPr>
          <w:rFonts w:eastAsiaTheme="minorHAnsi"/>
          <w:lang w:val="en-AU"/>
        </w:rPr>
        <w:t>The GBR is the largest contiguous coral reef ecosystem</w:t>
      </w:r>
      <w:r w:rsidR="008F6D8B">
        <w:rPr>
          <w:rFonts w:eastAsiaTheme="minorHAnsi"/>
          <w:lang w:val="en-AU"/>
        </w:rPr>
        <w:t xml:space="preserve"> in the world</w:t>
      </w:r>
      <w:r w:rsidRPr="002A0F81">
        <w:rPr>
          <w:rFonts w:eastAsiaTheme="minorHAnsi"/>
          <w:lang w:val="en-AU"/>
        </w:rPr>
        <w:t xml:space="preserve"> and due to its size and significance the GBR provides a global reference point for coral reef ecosystems facing threats. While the </w:t>
      </w:r>
      <w:r w:rsidR="00456974" w:rsidRPr="002A0F81">
        <w:rPr>
          <w:rFonts w:eastAsiaTheme="minorHAnsi"/>
          <w:lang w:val="en-AU"/>
        </w:rPr>
        <w:t xml:space="preserve">GBR </w:t>
      </w:r>
      <w:r w:rsidRPr="002A0F81">
        <w:rPr>
          <w:rFonts w:eastAsiaTheme="minorHAnsi"/>
          <w:lang w:val="en-AU"/>
        </w:rPr>
        <w:t xml:space="preserve">coral reefs themselves have </w:t>
      </w:r>
      <w:r w:rsidR="00D672D7">
        <w:rPr>
          <w:rFonts w:eastAsiaTheme="minorHAnsi"/>
          <w:lang w:val="en-AU"/>
        </w:rPr>
        <w:t xml:space="preserve">been investigated in some detail </w:t>
      </w:r>
      <w:r w:rsidRPr="002A0F81">
        <w:rPr>
          <w:rFonts w:eastAsiaTheme="minorHAnsi"/>
          <w:lang w:val="en-AU"/>
        </w:rPr>
        <w:t xml:space="preserve">the biogeochemistry of the pelagic ecosystem </w:t>
      </w:r>
      <w:r w:rsidR="00456974">
        <w:rPr>
          <w:rFonts w:eastAsiaTheme="minorHAnsi"/>
          <w:lang w:val="en-AU"/>
        </w:rPr>
        <w:t>is poorly understood</w:t>
      </w:r>
      <w:r w:rsidRPr="002A0F81">
        <w:rPr>
          <w:rFonts w:eastAsiaTheme="minorHAnsi"/>
          <w:lang w:val="en-AU"/>
        </w:rPr>
        <w:t xml:space="preserve">. </w:t>
      </w:r>
      <w:r w:rsidR="004448D4">
        <w:t xml:space="preserve">Land run off is the largest source of new nutrient to the GBR (Furnas 2011) and previous studies have shown </w:t>
      </w:r>
      <w:r w:rsidRPr="002A0F81">
        <w:rPr>
          <w:rFonts w:eastAsiaTheme="minorHAnsi"/>
          <w:lang w:val="en-AU"/>
        </w:rPr>
        <w:t xml:space="preserve">that inshore corals are subject to elevated levels of nutrients, </w:t>
      </w:r>
      <w:r w:rsidRPr="0074693A">
        <w:rPr>
          <w:rFonts w:eastAsiaTheme="minorHAnsi"/>
          <w:i/>
          <w:lang w:val="en-AU"/>
        </w:rPr>
        <w:t>p</w:t>
      </w:r>
      <w:r w:rsidRPr="0074693A">
        <w:rPr>
          <w:rFonts w:eastAsiaTheme="minorHAnsi"/>
          <w:lang w:val="en-AU"/>
        </w:rPr>
        <w:t>CO</w:t>
      </w:r>
      <w:r w:rsidRPr="0074693A">
        <w:rPr>
          <w:rFonts w:eastAsiaTheme="minorHAnsi"/>
          <w:vertAlign w:val="subscript"/>
          <w:lang w:val="en-AU"/>
        </w:rPr>
        <w:t>2</w:t>
      </w:r>
      <w:r w:rsidRPr="00D07C74">
        <w:rPr>
          <w:rFonts w:eastAsiaTheme="minorHAnsi"/>
          <w:lang w:val="en-AU"/>
        </w:rPr>
        <w:t xml:space="preserve"> and higher total suspended solids </w:t>
      </w:r>
      <w:r w:rsidR="006D7235">
        <w:rPr>
          <w:rFonts w:eastAsiaTheme="minorHAnsi"/>
          <w:lang w:val="en-AU"/>
        </w:rPr>
        <w:t xml:space="preserve">concentrations due to </w:t>
      </w:r>
      <w:r w:rsidRPr="00D07C74">
        <w:rPr>
          <w:rFonts w:eastAsiaTheme="minorHAnsi"/>
          <w:lang w:val="en-AU"/>
        </w:rPr>
        <w:t xml:space="preserve">loads, is </w:t>
      </w:r>
      <w:r w:rsidR="003F4752">
        <w:rPr>
          <w:rFonts w:eastAsiaTheme="minorHAnsi"/>
          <w:lang w:val="en-AU"/>
        </w:rPr>
        <w:t>a consequence of</w:t>
      </w:r>
      <w:r w:rsidRPr="00D07C74">
        <w:rPr>
          <w:rFonts w:eastAsiaTheme="minorHAnsi"/>
          <w:lang w:val="en-AU"/>
        </w:rPr>
        <w:t xml:space="preserve"> terrestrial runoff (</w:t>
      </w:r>
      <w:r w:rsidR="004448D4">
        <w:rPr>
          <w:rFonts w:eastAsiaTheme="minorHAnsi"/>
          <w:lang w:val="en-AU"/>
        </w:rPr>
        <w:t xml:space="preserve">e.g. </w:t>
      </w:r>
      <w:r w:rsidRPr="00D07C74">
        <w:rPr>
          <w:rFonts w:eastAsiaTheme="minorHAnsi"/>
          <w:lang w:val="en-AU"/>
        </w:rPr>
        <w:t>Alongi and McKinnon 2004, Furnas et al.</w:t>
      </w:r>
      <w:r w:rsidR="0046394E">
        <w:rPr>
          <w:rFonts w:eastAsiaTheme="minorHAnsi"/>
          <w:lang w:val="en-AU"/>
        </w:rPr>
        <w:t>,</w:t>
      </w:r>
      <w:r w:rsidRPr="00D07C74">
        <w:rPr>
          <w:rFonts w:eastAsiaTheme="minorHAnsi"/>
          <w:lang w:val="en-AU"/>
        </w:rPr>
        <w:t xml:space="preserve"> 2011;</w:t>
      </w:r>
      <w:r w:rsidR="00D672D7" w:rsidRPr="00D672D7">
        <w:t xml:space="preserve"> </w:t>
      </w:r>
      <w:r w:rsidR="00D672D7" w:rsidRPr="00456974">
        <w:t>Schaffelke</w:t>
      </w:r>
      <w:r w:rsidR="00D672D7">
        <w:t xml:space="preserve"> et al.</w:t>
      </w:r>
      <w:r w:rsidR="0046394E">
        <w:t>,</w:t>
      </w:r>
      <w:r w:rsidR="00D672D7">
        <w:t xml:space="preserve"> 2013;</w:t>
      </w:r>
      <w:r w:rsidRPr="00D07C74">
        <w:rPr>
          <w:rFonts w:eastAsiaTheme="minorHAnsi"/>
          <w:lang w:val="en-AU"/>
        </w:rPr>
        <w:t xml:space="preserve"> Uthicke et al.</w:t>
      </w:r>
      <w:r w:rsidR="0046394E">
        <w:rPr>
          <w:rFonts w:eastAsiaTheme="minorHAnsi"/>
          <w:lang w:val="en-AU"/>
        </w:rPr>
        <w:t>,</w:t>
      </w:r>
      <w:r w:rsidRPr="00D07C74">
        <w:rPr>
          <w:rFonts w:eastAsiaTheme="minorHAnsi"/>
          <w:lang w:val="en-AU"/>
        </w:rPr>
        <w:t xml:space="preserve"> 2014</w:t>
      </w:r>
      <w:r w:rsidR="00D672D7">
        <w:rPr>
          <w:rFonts w:eastAsiaTheme="minorHAnsi"/>
          <w:lang w:val="en-AU"/>
        </w:rPr>
        <w:t>;</w:t>
      </w:r>
      <w:r w:rsidR="004448D4">
        <w:rPr>
          <w:rFonts w:eastAsiaTheme="minorHAnsi"/>
          <w:lang w:val="en-AU"/>
        </w:rPr>
        <w:t xml:space="preserve"> </w:t>
      </w:r>
      <w:r w:rsidR="003C07DC" w:rsidRPr="003A77F5">
        <w:rPr>
          <w:color w:val="222222"/>
          <w:lang w:val="en-AU"/>
        </w:rPr>
        <w:t>Thompson</w:t>
      </w:r>
      <w:r w:rsidR="003C07DC">
        <w:t xml:space="preserve"> et al.</w:t>
      </w:r>
      <w:r w:rsidR="0046394E">
        <w:t>,</w:t>
      </w:r>
      <w:r w:rsidR="003C07DC">
        <w:t xml:space="preserve"> 2013 and 2014</w:t>
      </w:r>
      <w:r w:rsidRPr="00D07C74">
        <w:rPr>
          <w:rFonts w:eastAsiaTheme="minorHAnsi"/>
          <w:lang w:val="en-AU"/>
        </w:rPr>
        <w:t>).</w:t>
      </w:r>
      <w:r w:rsidRPr="001E1058">
        <w:rPr>
          <w:rFonts w:eastAsiaTheme="minorHAnsi"/>
          <w:lang w:val="en-AU"/>
        </w:rPr>
        <w:t xml:space="preserve">  </w:t>
      </w:r>
    </w:p>
    <w:p w14:paraId="5F22F302" w14:textId="51392C03" w:rsidR="00A85D89" w:rsidRDefault="008645FA" w:rsidP="004A5BF7">
      <w:r w:rsidRPr="001E1058">
        <w:rPr>
          <w:rFonts w:eastAsiaTheme="minorHAnsi"/>
          <w:lang w:val="en-AU"/>
        </w:rPr>
        <w:t xml:space="preserve">In this case study, we use data from the </w:t>
      </w:r>
      <w:r w:rsidRPr="00EC6BB8">
        <w:rPr>
          <w:lang w:val="en-AU"/>
        </w:rPr>
        <w:t xml:space="preserve">Cairns Time Series (CaTS) oceanographic transect in the </w:t>
      </w:r>
      <w:r w:rsidR="004448D4">
        <w:t xml:space="preserve">Cairn/Cooktown </w:t>
      </w:r>
      <w:r w:rsidR="00CA2E9A">
        <w:t>Management area</w:t>
      </w:r>
      <w:r w:rsidR="00CA2E9A" w:rsidRPr="00EC6BB8">
        <w:rPr>
          <w:lang w:val="en-AU"/>
        </w:rPr>
        <w:t xml:space="preserve"> </w:t>
      </w:r>
      <w:r w:rsidRPr="00C51DE2">
        <w:rPr>
          <w:rFonts w:eastAsiaTheme="minorHAnsi"/>
          <w:lang w:val="en-AU"/>
        </w:rPr>
        <w:t>(16-17°S) to conduct a</w:t>
      </w:r>
      <w:r w:rsidRPr="003A77F5">
        <w:rPr>
          <w:rFonts w:eastAsiaTheme="minorHAnsi"/>
          <w:lang w:val="en-AU"/>
        </w:rPr>
        <w:t xml:space="preserve"> statistical evaluation of the </w:t>
      </w:r>
      <w:r w:rsidR="00AD6594" w:rsidRPr="003A77F5">
        <w:rPr>
          <w:rFonts w:eastAsiaTheme="minorHAnsi"/>
          <w:lang w:val="en-AU"/>
        </w:rPr>
        <w:t>long</w:t>
      </w:r>
      <w:r w:rsidR="00AD6594">
        <w:rPr>
          <w:rFonts w:eastAsiaTheme="minorHAnsi"/>
          <w:lang w:val="en-AU"/>
        </w:rPr>
        <w:t>-</w:t>
      </w:r>
      <w:r w:rsidRPr="003A77F5">
        <w:rPr>
          <w:rFonts w:eastAsiaTheme="minorHAnsi"/>
          <w:lang w:val="en-AU"/>
        </w:rPr>
        <w:t>term changes, variability and trends in key chemical and biological oceanographic properties of GBR waters. While pr</w:t>
      </w:r>
      <w:r w:rsidRPr="00EC6BB8">
        <w:rPr>
          <w:color w:val="000000"/>
          <w:lang w:val="en-AU"/>
        </w:rPr>
        <w:t>evious studies have made it possible to infer the spatio-temporal variability and dynamics of inorganic and organic nutrients (e.g. Furnas et al.</w:t>
      </w:r>
      <w:r w:rsidR="0046394E">
        <w:rPr>
          <w:color w:val="000000"/>
          <w:lang w:val="en-AU"/>
        </w:rPr>
        <w:t>,</w:t>
      </w:r>
      <w:r w:rsidRPr="00EC6BB8">
        <w:rPr>
          <w:color w:val="000000"/>
          <w:lang w:val="en-AU"/>
        </w:rPr>
        <w:t xml:space="preserve"> 2011) no study to our knowledge </w:t>
      </w:r>
      <w:r w:rsidR="00142C74" w:rsidRPr="00EC6BB8">
        <w:rPr>
          <w:color w:val="000000"/>
          <w:lang w:val="en-AU"/>
        </w:rPr>
        <w:t xml:space="preserve">has </w:t>
      </w:r>
      <w:r w:rsidRPr="00EC6BB8">
        <w:rPr>
          <w:color w:val="000000"/>
          <w:lang w:val="en-AU"/>
        </w:rPr>
        <w:t xml:space="preserve">reported on </w:t>
      </w:r>
      <w:r w:rsidR="004448D4">
        <w:rPr>
          <w:color w:val="000000"/>
          <w:lang w:val="en-AU"/>
        </w:rPr>
        <w:t xml:space="preserve">the detailed </w:t>
      </w:r>
      <w:r w:rsidRPr="00EC6BB8">
        <w:rPr>
          <w:color w:val="000000"/>
          <w:lang w:val="en-AU"/>
        </w:rPr>
        <w:t xml:space="preserve">long term (&gt;20 year) trends in </w:t>
      </w:r>
      <w:r w:rsidRPr="00C51DE2">
        <w:rPr>
          <w:rFonts w:eastAsiaTheme="minorHAnsi"/>
          <w:lang w:val="en-AU"/>
        </w:rPr>
        <w:t xml:space="preserve">chemical and biological oceanographic properties of </w:t>
      </w:r>
      <w:r w:rsidRPr="003A77F5">
        <w:rPr>
          <w:rFonts w:eastAsiaTheme="minorHAnsi"/>
          <w:lang w:val="en-AU"/>
        </w:rPr>
        <w:t xml:space="preserve">GBR waters. </w:t>
      </w:r>
      <w:r w:rsidR="004448D4">
        <w:rPr>
          <w:rFonts w:eastAsiaTheme="minorHAnsi"/>
          <w:lang w:val="en-AU"/>
        </w:rPr>
        <w:t xml:space="preserve">This study goes a step further than the previous CaTS case study presented in the </w:t>
      </w:r>
      <w:r w:rsidR="008F6D8B">
        <w:rPr>
          <w:rFonts w:eastAsiaTheme="minorHAnsi"/>
          <w:lang w:val="en-AU"/>
        </w:rPr>
        <w:t>20</w:t>
      </w:r>
      <w:r w:rsidR="004448D4">
        <w:t>12</w:t>
      </w:r>
      <w:r w:rsidR="008F6D8B">
        <w:t>-</w:t>
      </w:r>
      <w:r w:rsidR="004448D4">
        <w:t>13 AIMS MMP report (</w:t>
      </w:r>
      <w:r w:rsidR="003C07DC" w:rsidRPr="003A77F5">
        <w:rPr>
          <w:color w:val="222222"/>
          <w:lang w:val="en-AU"/>
        </w:rPr>
        <w:t>Thompson</w:t>
      </w:r>
      <w:r w:rsidR="004448D4">
        <w:t xml:space="preserve"> et al.</w:t>
      </w:r>
      <w:r w:rsidR="0046394E">
        <w:t>,</w:t>
      </w:r>
      <w:r w:rsidR="004448D4">
        <w:t xml:space="preserve"> 2</w:t>
      </w:r>
      <w:r w:rsidR="003C07DC">
        <w:t xml:space="preserve">013), by </w:t>
      </w:r>
      <w:r w:rsidR="00A85D89">
        <w:t xml:space="preserve">not only updating this former analysis but it will also </w:t>
      </w:r>
      <w:r w:rsidR="00A9431D">
        <w:t xml:space="preserve">in the future </w:t>
      </w:r>
      <w:r w:rsidR="00905946">
        <w:t xml:space="preserve">provide data </w:t>
      </w:r>
      <w:r w:rsidR="00A85D89">
        <w:t>(see next steps in discussion section) identif</w:t>
      </w:r>
      <w:r w:rsidR="00A9431D">
        <w:t xml:space="preserve">y </w:t>
      </w:r>
      <w:r w:rsidR="00A85D89">
        <w:t xml:space="preserve">the major drivers of these trends.  </w:t>
      </w:r>
    </w:p>
    <w:p w14:paraId="5F22F303" w14:textId="77777777" w:rsidR="008645FA" w:rsidRPr="00EC6BB8" w:rsidRDefault="008645FA" w:rsidP="00FB3FE4">
      <w:pPr>
        <w:rPr>
          <w:lang w:val="en-AU"/>
        </w:rPr>
      </w:pPr>
    </w:p>
    <w:p w14:paraId="5F22F304" w14:textId="77777777" w:rsidR="00FB3FE4" w:rsidRPr="00C27BEB" w:rsidRDefault="00914B3A" w:rsidP="00C27BEB">
      <w:pPr>
        <w:pStyle w:val="Heading2"/>
      </w:pPr>
      <w:bookmarkStart w:id="1448" w:name="_Toc462307465"/>
      <w:r w:rsidRPr="00C27BEB">
        <w:t>Results</w:t>
      </w:r>
      <w:bookmarkEnd w:id="1448"/>
    </w:p>
    <w:p w14:paraId="5F22F305" w14:textId="36E226E4" w:rsidR="008645FA" w:rsidRPr="00EC6BB8" w:rsidRDefault="008645FA" w:rsidP="008645FA">
      <w:pPr>
        <w:rPr>
          <w:lang w:val="en-AU"/>
        </w:rPr>
      </w:pPr>
      <w:r w:rsidRPr="00EC6BB8">
        <w:rPr>
          <w:lang w:val="en-AU"/>
        </w:rPr>
        <w:t xml:space="preserve">The Cairns Time Series (CaTS) oceanographic transect is based in the </w:t>
      </w:r>
      <w:r w:rsidR="00D672D7" w:rsidRPr="00EC6BB8">
        <w:rPr>
          <w:rFonts w:cs="Arial"/>
          <w:szCs w:val="22"/>
          <w:lang w:val="en-AU"/>
        </w:rPr>
        <w:t xml:space="preserve">in the </w:t>
      </w:r>
      <w:r w:rsidR="00D672D7">
        <w:t>Cairn/Cooktown Management area</w:t>
      </w:r>
      <w:r w:rsidR="00D672D7" w:rsidRPr="00EC6BB8">
        <w:rPr>
          <w:rFonts w:cs="Arial"/>
          <w:szCs w:val="22"/>
          <w:lang w:val="en-AU"/>
        </w:rPr>
        <w:t xml:space="preserve"> </w:t>
      </w:r>
      <w:r w:rsidRPr="00C51DE2">
        <w:rPr>
          <w:rFonts w:eastAsiaTheme="minorHAnsi"/>
          <w:lang w:val="en-AU"/>
        </w:rPr>
        <w:t>(16-17°S; 145-146</w:t>
      </w:r>
      <w:r w:rsidRPr="00EC6BB8">
        <w:rPr>
          <w:lang w:val="en-AU"/>
        </w:rPr>
        <w:t>° E</w:t>
      </w:r>
      <w:r w:rsidRPr="00C51DE2">
        <w:rPr>
          <w:rFonts w:eastAsiaTheme="minorHAnsi"/>
          <w:lang w:val="en-AU"/>
        </w:rPr>
        <w:t xml:space="preserve">) </w:t>
      </w:r>
      <w:r w:rsidRPr="003A77F5">
        <w:rPr>
          <w:lang w:val="en-AU" w:eastAsia="en-AU"/>
        </w:rPr>
        <w:t>(</w:t>
      </w:r>
      <w:r w:rsidR="00EB33A6">
        <w:rPr>
          <w:lang w:val="en-AU" w:eastAsia="en-AU"/>
        </w:rPr>
        <w:fldChar w:fldCharType="begin"/>
      </w:r>
      <w:r w:rsidR="003D550E">
        <w:rPr>
          <w:lang w:val="en-AU" w:eastAsia="en-AU"/>
        </w:rPr>
        <w:instrText xml:space="preserve"> REF _Ref437546632 \h </w:instrText>
      </w:r>
      <w:r w:rsidR="00EB33A6">
        <w:rPr>
          <w:lang w:val="en-AU" w:eastAsia="en-AU"/>
        </w:rPr>
      </w:r>
      <w:r w:rsidR="00EB33A6">
        <w:rPr>
          <w:lang w:val="en-AU" w:eastAsia="en-AU"/>
        </w:rPr>
        <w:fldChar w:fldCharType="separate"/>
      </w:r>
      <w:r w:rsidR="007F5336" w:rsidRPr="00C27BEB">
        <w:t xml:space="preserve">Figure </w:t>
      </w:r>
      <w:r w:rsidR="007F5336">
        <w:rPr>
          <w:noProof/>
        </w:rPr>
        <w:t>7</w:t>
      </w:r>
      <w:r w:rsidR="007F5336">
        <w:noBreakHyphen/>
      </w:r>
      <w:r w:rsidR="007F5336">
        <w:rPr>
          <w:noProof/>
        </w:rPr>
        <w:t>1</w:t>
      </w:r>
      <w:r w:rsidR="00EB33A6">
        <w:rPr>
          <w:lang w:val="en-AU" w:eastAsia="en-AU"/>
        </w:rPr>
        <w:fldChar w:fldCharType="end"/>
      </w:r>
      <w:r w:rsidRPr="003A77F5">
        <w:rPr>
          <w:lang w:val="en-AU" w:eastAsia="en-AU"/>
        </w:rPr>
        <w:t xml:space="preserve">). As </w:t>
      </w:r>
      <w:r w:rsidR="00AD6594">
        <w:rPr>
          <w:lang w:val="en-AU" w:eastAsia="en-AU"/>
        </w:rPr>
        <w:t xml:space="preserve">most of the sites of </w:t>
      </w:r>
      <w:r w:rsidRPr="003A77F5">
        <w:rPr>
          <w:lang w:val="en-AU" w:eastAsia="en-AU"/>
        </w:rPr>
        <w:t xml:space="preserve">the CaTS </w:t>
      </w:r>
      <w:r w:rsidR="00AD6594">
        <w:rPr>
          <w:lang w:val="en-AU" w:eastAsia="en-AU"/>
        </w:rPr>
        <w:t>are</w:t>
      </w:r>
      <w:r w:rsidR="00AD6594" w:rsidRPr="003A77F5">
        <w:rPr>
          <w:lang w:val="en-AU" w:eastAsia="en-AU"/>
        </w:rPr>
        <w:t xml:space="preserve"> </w:t>
      </w:r>
      <w:r w:rsidR="00AD6594">
        <w:rPr>
          <w:lang w:val="en-AU" w:eastAsia="en-AU"/>
        </w:rPr>
        <w:t>located</w:t>
      </w:r>
      <w:r w:rsidR="00AD6594" w:rsidRPr="003A77F5">
        <w:rPr>
          <w:lang w:val="en-AU" w:eastAsia="en-AU"/>
        </w:rPr>
        <w:t xml:space="preserve"> </w:t>
      </w:r>
      <w:r w:rsidRPr="003A77F5">
        <w:rPr>
          <w:lang w:val="en-AU" w:eastAsia="en-AU"/>
        </w:rPr>
        <w:t xml:space="preserve">close to shore the water movement is primarily to the north, driven by the predominant south-east wind regime. </w:t>
      </w:r>
      <w:r w:rsidRPr="00EC6BB8">
        <w:rPr>
          <w:lang w:val="en-AU"/>
        </w:rPr>
        <w:t>The CaTS includes sites located along an onshore/offshore transect (</w:t>
      </w:r>
      <w:r w:rsidR="00AD6594" w:rsidRPr="00EC6BB8">
        <w:rPr>
          <w:lang w:val="en-AU"/>
        </w:rPr>
        <w:t>C</w:t>
      </w:r>
      <w:r w:rsidR="00AD6594">
        <w:rPr>
          <w:lang w:val="en-AU"/>
        </w:rPr>
        <w:t>8</w:t>
      </w:r>
      <w:r w:rsidR="00AD6594" w:rsidRPr="00EC6BB8">
        <w:rPr>
          <w:lang w:val="en-AU"/>
        </w:rPr>
        <w:t xml:space="preserve"> </w:t>
      </w:r>
      <w:r w:rsidRPr="00EC6BB8">
        <w:rPr>
          <w:lang w:val="en-AU"/>
        </w:rPr>
        <w:t xml:space="preserve">to C11) which include both shallow coastal sites and deeper open lagoon sites and a north/south transect (C1 to C7) with sites </w:t>
      </w:r>
      <w:r w:rsidR="00AD6594" w:rsidRPr="00EC6BB8">
        <w:rPr>
          <w:lang w:val="en-AU"/>
        </w:rPr>
        <w:t xml:space="preserve">directly </w:t>
      </w:r>
      <w:r w:rsidRPr="00EC6BB8">
        <w:rPr>
          <w:lang w:val="en-AU"/>
        </w:rPr>
        <w:t xml:space="preserve">affected by the Barron and Daintree Rivers </w:t>
      </w:r>
      <w:r w:rsidRPr="00C51DE2">
        <w:rPr>
          <w:lang w:val="en-AU" w:eastAsia="en-AU"/>
        </w:rPr>
        <w:t>(</w:t>
      </w:r>
      <w:r w:rsidR="008F6D8B">
        <w:rPr>
          <w:lang w:val="en-AU" w:eastAsia="en-AU"/>
        </w:rPr>
        <w:fldChar w:fldCharType="begin"/>
      </w:r>
      <w:r w:rsidR="008F6D8B">
        <w:rPr>
          <w:lang w:val="en-AU" w:eastAsia="en-AU"/>
        </w:rPr>
        <w:instrText xml:space="preserve"> REF _Ref437546632 \h </w:instrText>
      </w:r>
      <w:r w:rsidR="008F6D8B">
        <w:rPr>
          <w:lang w:val="en-AU" w:eastAsia="en-AU"/>
        </w:rPr>
      </w:r>
      <w:r w:rsidR="008F6D8B">
        <w:rPr>
          <w:lang w:val="en-AU" w:eastAsia="en-AU"/>
        </w:rPr>
        <w:fldChar w:fldCharType="separate"/>
      </w:r>
      <w:r w:rsidR="007F5336" w:rsidRPr="00C27BEB">
        <w:t xml:space="preserve">Figure </w:t>
      </w:r>
      <w:r w:rsidR="007F5336">
        <w:rPr>
          <w:noProof/>
        </w:rPr>
        <w:t>7</w:t>
      </w:r>
      <w:r w:rsidR="007F5336">
        <w:noBreakHyphen/>
      </w:r>
      <w:r w:rsidR="007F5336">
        <w:rPr>
          <w:noProof/>
        </w:rPr>
        <w:t>1</w:t>
      </w:r>
      <w:r w:rsidR="008F6D8B">
        <w:rPr>
          <w:lang w:val="en-AU" w:eastAsia="en-AU"/>
        </w:rPr>
        <w:fldChar w:fldCharType="end"/>
      </w:r>
      <w:r w:rsidRPr="00C51DE2">
        <w:rPr>
          <w:lang w:val="en-AU" w:eastAsia="en-AU"/>
        </w:rPr>
        <w:t>)</w:t>
      </w:r>
      <w:r w:rsidRPr="00EC6BB8">
        <w:rPr>
          <w:lang w:val="en-AU"/>
        </w:rPr>
        <w:t>.  Stations C3 lies just off the mouth of the Daintree River while stations C6 to C8 lie in the lee of Cape Grafton near the mouth of the Barron River and Trinity Inlet (</w:t>
      </w:r>
      <w:r w:rsidR="00EB33A6">
        <w:rPr>
          <w:lang w:val="en-AU"/>
        </w:rPr>
        <w:fldChar w:fldCharType="begin"/>
      </w:r>
      <w:r w:rsidR="003D550E">
        <w:rPr>
          <w:lang w:val="en-AU"/>
        </w:rPr>
        <w:instrText xml:space="preserve"> REF _Ref437546632 \h </w:instrText>
      </w:r>
      <w:r w:rsidR="00EB33A6">
        <w:rPr>
          <w:lang w:val="en-AU"/>
        </w:rPr>
      </w:r>
      <w:r w:rsidR="00EB33A6">
        <w:rPr>
          <w:lang w:val="en-AU"/>
        </w:rPr>
        <w:fldChar w:fldCharType="separate"/>
      </w:r>
      <w:r w:rsidR="007F5336" w:rsidRPr="00C27BEB">
        <w:t xml:space="preserve">Figure </w:t>
      </w:r>
      <w:r w:rsidR="007F5336">
        <w:rPr>
          <w:noProof/>
        </w:rPr>
        <w:t>7</w:t>
      </w:r>
      <w:r w:rsidR="007F5336">
        <w:noBreakHyphen/>
      </w:r>
      <w:r w:rsidR="007F5336">
        <w:rPr>
          <w:noProof/>
        </w:rPr>
        <w:t>1</w:t>
      </w:r>
      <w:r w:rsidR="00EB33A6">
        <w:rPr>
          <w:lang w:val="en-AU"/>
        </w:rPr>
        <w:fldChar w:fldCharType="end"/>
      </w:r>
      <w:r w:rsidRPr="00EC6BB8">
        <w:rPr>
          <w:lang w:val="en-AU"/>
        </w:rPr>
        <w:t xml:space="preserve">).  </w:t>
      </w:r>
    </w:p>
    <w:p w14:paraId="5F22F306" w14:textId="77777777" w:rsidR="008645FA" w:rsidRPr="00EC6BB8" w:rsidRDefault="008645FA" w:rsidP="008645FA">
      <w:pPr>
        <w:rPr>
          <w:lang w:val="en-AU"/>
        </w:rPr>
      </w:pPr>
      <w:r w:rsidRPr="00C51DE2">
        <w:rPr>
          <w:rFonts w:eastAsiaTheme="minorHAnsi"/>
          <w:color w:val="000000"/>
          <w:lang w:val="en-AU"/>
        </w:rPr>
        <w:t xml:space="preserve">A total of </w:t>
      </w:r>
      <w:r w:rsidRPr="003A77F5">
        <w:rPr>
          <w:rFonts w:eastAsiaTheme="minorHAnsi"/>
          <w:color w:val="000000"/>
          <w:lang w:val="en-AU"/>
        </w:rPr>
        <w:t xml:space="preserve">70 of cruises were conducted from 19 February 1989 to June 2015. </w:t>
      </w:r>
      <w:r w:rsidRPr="003A77F5">
        <w:rPr>
          <w:lang w:val="en-AU" w:eastAsia="en-AU"/>
        </w:rPr>
        <w:t>E</w:t>
      </w:r>
      <w:r w:rsidRPr="00EC6BB8">
        <w:rPr>
          <w:lang w:val="en-AU"/>
        </w:rPr>
        <w:t xml:space="preserve">ach </w:t>
      </w:r>
      <w:r w:rsidRPr="00C51DE2">
        <w:rPr>
          <w:lang w:val="en-AU" w:eastAsia="en-AU"/>
        </w:rPr>
        <w:t>CaTS</w:t>
      </w:r>
      <w:r w:rsidRPr="00EC6BB8">
        <w:rPr>
          <w:lang w:val="en-AU"/>
        </w:rPr>
        <w:t xml:space="preserve"> site was typically visited </w:t>
      </w:r>
      <w:r w:rsidR="00AD561F">
        <w:rPr>
          <w:lang w:val="en-AU"/>
        </w:rPr>
        <w:t>three</w:t>
      </w:r>
      <w:r w:rsidR="00AD561F" w:rsidRPr="00EC6BB8">
        <w:rPr>
          <w:lang w:val="en-AU"/>
        </w:rPr>
        <w:t xml:space="preserve"> </w:t>
      </w:r>
      <w:r w:rsidRPr="00EC6BB8">
        <w:rPr>
          <w:lang w:val="en-AU"/>
        </w:rPr>
        <w:t>time</w:t>
      </w:r>
      <w:r w:rsidR="00AD561F">
        <w:rPr>
          <w:lang w:val="en-AU"/>
        </w:rPr>
        <w:t>s</w:t>
      </w:r>
      <w:r w:rsidRPr="00EC6BB8">
        <w:rPr>
          <w:lang w:val="en-AU"/>
        </w:rPr>
        <w:t xml:space="preserve"> per year </w:t>
      </w:r>
      <w:r w:rsidR="00C5766D">
        <w:rPr>
          <w:lang w:val="en-AU"/>
        </w:rPr>
        <w:t xml:space="preserve">(12 out of the 26 years) </w:t>
      </w:r>
      <w:r w:rsidRPr="00EC6BB8">
        <w:rPr>
          <w:lang w:val="en-AU"/>
        </w:rPr>
        <w:t>but sampling varied from one to four visits per year, with regular sampling three times a year since 2007. From 2008 until June 2015 only six of the initial 11 sites were continued to be sampled after a statistical analysis indicated that this reduced number of stations would provide enough information for a robust time series analysis.</w:t>
      </w:r>
    </w:p>
    <w:p w14:paraId="171BDFD7" w14:textId="7183CE11" w:rsidR="006D7235" w:rsidRPr="00A40196" w:rsidRDefault="006D7235" w:rsidP="006D7235">
      <w:pPr>
        <w:rPr>
          <w:lang w:val="en-AU"/>
        </w:rPr>
      </w:pPr>
      <w:r w:rsidRPr="00A40196">
        <w:rPr>
          <w:lang w:val="en-AU"/>
        </w:rPr>
        <w:t>Generali</w:t>
      </w:r>
      <w:r>
        <w:rPr>
          <w:lang w:val="en-AU"/>
        </w:rPr>
        <w:t>s</w:t>
      </w:r>
      <w:r w:rsidRPr="00A40196">
        <w:rPr>
          <w:lang w:val="en-AU"/>
        </w:rPr>
        <w:t>ed additive mixed effects models (GAMMs; Wood 2006) were used to decompose the irregularly spaced time series into its trend cycles (long-term) components. GAMMs are an extension of additive models (which allow flexible modelling of non-linear relationships by incorporating penalized regression spline types of smoothing functions into the estimation process), in which the degree of smoothing of each smooth term (and by extension, the estimated degrees of freedom of each smoother) is treated as a random effect and thus estimable via its variance as with other effects in a mixed modelling structure (Wood 2006).</w:t>
      </w:r>
      <w:r w:rsidR="008F6D8B">
        <w:rPr>
          <w:lang w:val="en-AU"/>
        </w:rPr>
        <w:t xml:space="preserve"> </w:t>
      </w:r>
      <w:r w:rsidRPr="00A40196">
        <w:rPr>
          <w:lang w:val="en-AU"/>
        </w:rPr>
        <w:t>For each water quality indicator, the indicator was modelled against a thin-plate smoother for date and a cyclical cubic regression spline (maximum of 5 knots). Spatial and temporal autocorrelation in the residuals was addressed by including sampling locations as a random effect and imposing a first order continuous-time auto-regressive correlation structure (Pinheiro and Bates 2000). Water quality measurements are likely to be influenced by the physical conditions at the time of sampling. All GAMMs were fitted using the mgcv (Wood 2006; Wood 2011) package in R 3.0.1 (R Development Core Team, 2013).</w:t>
      </w:r>
    </w:p>
    <w:p w14:paraId="70A6D0F3" w14:textId="77777777" w:rsidR="006D7235" w:rsidRPr="00EC6BB8" w:rsidRDefault="006D7235" w:rsidP="008645FA">
      <w:pPr>
        <w:rPr>
          <w:lang w:val="en-AU"/>
        </w:rPr>
      </w:pPr>
    </w:p>
    <w:p w14:paraId="5F22F307" w14:textId="77777777" w:rsidR="008645FA" w:rsidRPr="00EC6BB8" w:rsidRDefault="008645FA" w:rsidP="008645FA">
      <w:pPr>
        <w:rPr>
          <w:rFonts w:cs="Arial"/>
          <w:szCs w:val="22"/>
          <w:lang w:val="en-AU"/>
        </w:rPr>
      </w:pPr>
    </w:p>
    <w:p w14:paraId="5F22F308" w14:textId="77777777" w:rsidR="008645FA" w:rsidRPr="00EC6BB8" w:rsidRDefault="008645FA" w:rsidP="008645FA">
      <w:pPr>
        <w:jc w:val="center"/>
        <w:rPr>
          <w:rFonts w:cs="Arial"/>
          <w:szCs w:val="22"/>
          <w:lang w:val="en-AU"/>
        </w:rPr>
      </w:pPr>
      <w:r w:rsidRPr="0026385A">
        <w:rPr>
          <w:noProof/>
          <w:lang w:val="en-AU" w:eastAsia="en-AU"/>
        </w:rPr>
        <w:drawing>
          <wp:inline distT="0" distB="0" distL="0" distR="0" wp14:anchorId="5F232401" wp14:editId="0E10F823">
            <wp:extent cx="3020343" cy="3318555"/>
            <wp:effectExtent l="0" t="0" r="8890" b="0"/>
            <wp:docPr id="230" name="Picture 2" descr="Map showing the Cairns Time Series (CaTS) oceanographic transect based in the central Great Barrier Reef (GBR) lagoon (16-17°S; 145-146° E). The yellow dots show the 6 occupied during the period 1989 to 2015, and the red the stations were discontinued in 2008." title="Figure 7 1: The Cairns Time Series (CaTS) oceanographic transect based in the central Great Barrier Reef (GBR) lagoon (16-17°S; 145-146° 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0" name="Picture 2"/>
                    <pic:cNvPicPr>
                      <a:picLocks noChangeAspect="1" noChangeArrowheads="1"/>
                    </pic:cNvPicPr>
                  </pic:nvPicPr>
                  <pic:blipFill>
                    <a:blip r:embed="rId366">
                      <a:extLst>
                        <a:ext uri="{28A0092B-C50C-407E-A947-70E740481C1C}">
                          <a14:useLocalDpi xmlns:a14="http://schemas.microsoft.com/office/drawing/2010/main" val="0"/>
                        </a:ext>
                      </a:extLst>
                    </a:blip>
                    <a:srcRect/>
                    <a:stretch>
                      <a:fillRect/>
                    </a:stretch>
                  </pic:blipFill>
                  <pic:spPr bwMode="auto">
                    <a:xfrm>
                      <a:off x="0" y="0"/>
                      <a:ext cx="3020343" cy="3318555"/>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p w14:paraId="5F22F30A" w14:textId="09300821" w:rsidR="008645FA" w:rsidRPr="00C27BEB" w:rsidRDefault="00C27BEB" w:rsidP="00164E5E">
      <w:pPr>
        <w:pStyle w:val="Caption"/>
        <w:rPr>
          <w:rStyle w:val="IntenseReference"/>
        </w:rPr>
      </w:pPr>
      <w:bookmarkStart w:id="1449" w:name="_Ref437546632"/>
      <w:bookmarkStart w:id="1450" w:name="_Toc459332408"/>
      <w:r w:rsidRPr="00C27BEB">
        <w:t xml:space="preserve">Figure </w:t>
      </w:r>
      <w:r w:rsidR="00C62884">
        <w:fldChar w:fldCharType="begin"/>
      </w:r>
      <w:r w:rsidR="00C62884">
        <w:instrText xml:space="preserve"> STYLEREF 1 \s </w:instrText>
      </w:r>
      <w:r w:rsidR="00C62884">
        <w:fldChar w:fldCharType="separate"/>
      </w:r>
      <w:r w:rsidR="007F5336">
        <w:rPr>
          <w:noProof/>
        </w:rPr>
        <w:t>7</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1</w:t>
      </w:r>
      <w:r w:rsidR="00C62884">
        <w:fldChar w:fldCharType="end"/>
      </w:r>
      <w:bookmarkEnd w:id="1449"/>
      <w:r w:rsidR="003C07DC" w:rsidRPr="00C27BEB">
        <w:t>:</w:t>
      </w:r>
      <w:r w:rsidR="008645FA" w:rsidRPr="00C27BEB">
        <w:t xml:space="preserve"> The Cairns Time Series (CaTS) oceanographic transect based in the central Great Barrier Reef (GBR) lagoon</w:t>
      </w:r>
      <w:r w:rsidR="008645FA" w:rsidRPr="00C51DE2">
        <w:rPr>
          <w:rFonts w:eastAsiaTheme="minorHAnsi"/>
        </w:rPr>
        <w:t xml:space="preserve"> </w:t>
      </w:r>
      <w:r w:rsidR="008645FA" w:rsidRPr="00C27BEB">
        <w:rPr>
          <w:rStyle w:val="IntenseReference"/>
        </w:rPr>
        <w:t xml:space="preserve">(16-17°S; 145-146° E). The yellow dots show the 6 occupied during the period 1989 to 2015, and the red the stations </w:t>
      </w:r>
      <w:r w:rsidR="00AD561F" w:rsidRPr="00C27BEB">
        <w:rPr>
          <w:rStyle w:val="IntenseReference"/>
        </w:rPr>
        <w:t xml:space="preserve">were discontinued </w:t>
      </w:r>
      <w:r w:rsidR="008645FA" w:rsidRPr="00C27BEB">
        <w:rPr>
          <w:rStyle w:val="IntenseReference"/>
        </w:rPr>
        <w:t>in 2008.</w:t>
      </w:r>
      <w:bookmarkEnd w:id="1450"/>
    </w:p>
    <w:p w14:paraId="5F22F30B" w14:textId="77777777" w:rsidR="008645FA" w:rsidRPr="003A77F5" w:rsidRDefault="008645FA" w:rsidP="00FB3FE4">
      <w:pPr>
        <w:rPr>
          <w:lang w:val="en-AU"/>
        </w:rPr>
      </w:pPr>
    </w:p>
    <w:p w14:paraId="5F22F30C" w14:textId="12AD6A95" w:rsidR="008645FA" w:rsidRPr="003A77F5" w:rsidRDefault="008645FA" w:rsidP="008645FA">
      <w:pPr>
        <w:autoSpaceDE w:val="0"/>
        <w:autoSpaceDN w:val="0"/>
        <w:adjustRightInd w:val="0"/>
        <w:rPr>
          <w:rFonts w:eastAsiaTheme="minorHAnsi"/>
          <w:color w:val="000000"/>
          <w:lang w:val="en-AU"/>
        </w:rPr>
      </w:pPr>
      <w:r w:rsidRPr="00EC6BB8">
        <w:rPr>
          <w:i/>
          <w:lang w:val="en-AU"/>
        </w:rPr>
        <w:t xml:space="preserve">Trends in salinity, temperature, chlorophyll and total suspended solids from 1989 to 2015 – </w:t>
      </w:r>
      <w:r w:rsidRPr="00EC6BB8">
        <w:rPr>
          <w:lang w:val="en-AU"/>
        </w:rPr>
        <w:t>Over</w:t>
      </w:r>
      <w:r w:rsidRPr="00EC6BB8">
        <w:rPr>
          <w:i/>
          <w:lang w:val="en-AU"/>
        </w:rPr>
        <w:t xml:space="preserve"> </w:t>
      </w:r>
      <w:r w:rsidRPr="00EC6BB8">
        <w:rPr>
          <w:lang w:val="en-AU" w:eastAsia="en-GB"/>
        </w:rPr>
        <w:t xml:space="preserve">the 26 years study period salinity varied between 25.7 and 37.1 (average ± stdev; 34.6 ± 1.0) and </w:t>
      </w:r>
      <w:r w:rsidRPr="00EC6BB8">
        <w:rPr>
          <w:lang w:val="en-AU"/>
        </w:rPr>
        <w:t xml:space="preserve">water temperature </w:t>
      </w:r>
      <w:r w:rsidRPr="00EC6BB8">
        <w:rPr>
          <w:lang w:val="en-AU" w:eastAsia="en-GB"/>
        </w:rPr>
        <w:t>between 20.7 and 30.6</w:t>
      </w:r>
      <w:r w:rsidRPr="00EC6BB8">
        <w:rPr>
          <w:vertAlign w:val="superscript"/>
          <w:lang w:val="en-AU" w:eastAsia="en-GB"/>
        </w:rPr>
        <w:t>◦</w:t>
      </w:r>
      <w:r w:rsidRPr="00EC6BB8">
        <w:rPr>
          <w:lang w:val="en-AU" w:eastAsia="en-GB"/>
        </w:rPr>
        <w:t>C (26.3 ± 2.1</w:t>
      </w:r>
      <w:r w:rsidRPr="00EC6BB8">
        <w:rPr>
          <w:vertAlign w:val="superscript"/>
          <w:lang w:val="en-AU" w:eastAsia="en-GB"/>
        </w:rPr>
        <w:t>◦</w:t>
      </w:r>
      <w:r w:rsidRPr="00EC6BB8">
        <w:rPr>
          <w:lang w:val="en-AU" w:eastAsia="en-GB"/>
        </w:rPr>
        <w:t xml:space="preserve">C) </w:t>
      </w:r>
      <w:r w:rsidRPr="00C51DE2">
        <w:rPr>
          <w:rFonts w:eastAsiaTheme="minorHAnsi"/>
          <w:lang w:val="en-AU"/>
        </w:rPr>
        <w:t>(</w:t>
      </w:r>
      <w:r w:rsidR="00EB33A6">
        <w:rPr>
          <w:rFonts w:eastAsiaTheme="minorHAnsi"/>
          <w:lang w:val="en-AU"/>
        </w:rPr>
        <w:fldChar w:fldCharType="begin"/>
      </w:r>
      <w:r w:rsidR="003D550E">
        <w:rPr>
          <w:rFonts w:eastAsiaTheme="minorHAnsi"/>
          <w:lang w:val="en-AU"/>
        </w:rPr>
        <w:instrText xml:space="preserve"> REF _Ref437546696 \h </w:instrText>
      </w:r>
      <w:r w:rsidR="00EB33A6">
        <w:rPr>
          <w:rFonts w:eastAsiaTheme="minorHAnsi"/>
          <w:lang w:val="en-AU"/>
        </w:rPr>
      </w:r>
      <w:r w:rsidR="00EB33A6">
        <w:rPr>
          <w:rFonts w:eastAsiaTheme="minorHAnsi"/>
          <w:lang w:val="en-AU"/>
        </w:rPr>
        <w:fldChar w:fldCharType="separate"/>
      </w:r>
      <w:r w:rsidR="007F5336" w:rsidRPr="00C27BEB">
        <w:t xml:space="preserve">Figure </w:t>
      </w:r>
      <w:r w:rsidR="007F5336">
        <w:rPr>
          <w:noProof/>
        </w:rPr>
        <w:t>7</w:t>
      </w:r>
      <w:r w:rsidR="007F5336">
        <w:noBreakHyphen/>
      </w:r>
      <w:r w:rsidR="007F5336">
        <w:rPr>
          <w:noProof/>
        </w:rPr>
        <w:t>2</w:t>
      </w:r>
      <w:r w:rsidR="00EB33A6">
        <w:rPr>
          <w:rFonts w:eastAsiaTheme="minorHAnsi"/>
          <w:lang w:val="en-AU"/>
        </w:rPr>
        <w:fldChar w:fldCharType="end"/>
      </w:r>
      <w:r w:rsidRPr="003A77F5">
        <w:rPr>
          <w:rFonts w:eastAsiaTheme="minorHAnsi"/>
          <w:lang w:val="en-AU"/>
        </w:rPr>
        <w:t xml:space="preserve">a-b). </w:t>
      </w:r>
      <w:r w:rsidRPr="00EC6BB8">
        <w:rPr>
          <w:lang w:val="en-AU" w:eastAsia="en-GB"/>
        </w:rPr>
        <w:t>S</w:t>
      </w:r>
      <w:r w:rsidRPr="00C51DE2">
        <w:rPr>
          <w:rFonts w:eastAsiaTheme="minorHAnsi"/>
          <w:lang w:val="en-AU"/>
        </w:rPr>
        <w:t xml:space="preserve">alinity and temperature showed opposing seasonal </w:t>
      </w:r>
      <w:r w:rsidRPr="003A77F5">
        <w:rPr>
          <w:rFonts w:eastAsiaTheme="minorHAnsi"/>
          <w:lang w:val="en-AU"/>
        </w:rPr>
        <w:t xml:space="preserve">patterns, </w:t>
      </w:r>
      <w:r w:rsidRPr="00EC6BB8">
        <w:rPr>
          <w:lang w:val="en-AU" w:eastAsia="en-GB"/>
        </w:rPr>
        <w:t xml:space="preserve">with salinity maxima and </w:t>
      </w:r>
      <w:r w:rsidRPr="00C51DE2">
        <w:rPr>
          <w:rFonts w:eastAsiaTheme="minorHAnsi"/>
          <w:lang w:val="en-AU"/>
        </w:rPr>
        <w:t xml:space="preserve">temperature minimum during the late dry season (August to October) and the </w:t>
      </w:r>
      <w:r w:rsidRPr="003A77F5">
        <w:rPr>
          <w:rFonts w:eastAsiaTheme="minorHAnsi"/>
          <w:lang w:val="en-AU"/>
        </w:rPr>
        <w:t>opposite found during the wet season (December to February) (</w:t>
      </w:r>
      <w:r w:rsidR="00EB33A6">
        <w:rPr>
          <w:rFonts w:eastAsiaTheme="minorHAnsi"/>
          <w:lang w:val="en-AU"/>
        </w:rPr>
        <w:fldChar w:fldCharType="begin"/>
      </w:r>
      <w:r w:rsidR="003D550E">
        <w:rPr>
          <w:rFonts w:eastAsiaTheme="minorHAnsi"/>
          <w:lang w:val="en-AU"/>
        </w:rPr>
        <w:instrText xml:space="preserve"> REF _Ref437546696 \h </w:instrText>
      </w:r>
      <w:r w:rsidR="00EB33A6">
        <w:rPr>
          <w:rFonts w:eastAsiaTheme="minorHAnsi"/>
          <w:lang w:val="en-AU"/>
        </w:rPr>
      </w:r>
      <w:r w:rsidR="00EB33A6">
        <w:rPr>
          <w:rFonts w:eastAsiaTheme="minorHAnsi"/>
          <w:lang w:val="en-AU"/>
        </w:rPr>
        <w:fldChar w:fldCharType="separate"/>
      </w:r>
      <w:r w:rsidR="007F5336" w:rsidRPr="00C27BEB">
        <w:t xml:space="preserve">Figure </w:t>
      </w:r>
      <w:r w:rsidR="007F5336">
        <w:rPr>
          <w:noProof/>
        </w:rPr>
        <w:t>7</w:t>
      </w:r>
      <w:r w:rsidR="007F5336">
        <w:noBreakHyphen/>
      </w:r>
      <w:r w:rsidR="007F5336">
        <w:rPr>
          <w:noProof/>
        </w:rPr>
        <w:t>2</w:t>
      </w:r>
      <w:r w:rsidR="00EB33A6">
        <w:rPr>
          <w:rFonts w:eastAsiaTheme="minorHAnsi"/>
          <w:lang w:val="en-AU"/>
        </w:rPr>
        <w:fldChar w:fldCharType="end"/>
      </w:r>
      <w:r w:rsidRPr="003A77F5">
        <w:rPr>
          <w:rFonts w:eastAsiaTheme="minorHAnsi"/>
          <w:lang w:val="en-AU"/>
        </w:rPr>
        <w:t>a-b). The t</w:t>
      </w:r>
      <w:r w:rsidRPr="003A77F5">
        <w:rPr>
          <w:rFonts w:eastAsiaTheme="minorHAnsi"/>
          <w:color w:val="000000"/>
          <w:lang w:val="en-AU"/>
        </w:rPr>
        <w:t xml:space="preserve">rend analysis on the </w:t>
      </w:r>
      <w:r w:rsidRPr="00EC6BB8">
        <w:rPr>
          <w:lang w:val="en-AU" w:eastAsia="en-GB"/>
        </w:rPr>
        <w:t xml:space="preserve">salinity and </w:t>
      </w:r>
      <w:r w:rsidRPr="00C51DE2">
        <w:rPr>
          <w:rFonts w:eastAsiaTheme="minorHAnsi"/>
          <w:lang w:val="en-AU"/>
        </w:rPr>
        <w:t xml:space="preserve">temperature datasets </w:t>
      </w:r>
      <w:r w:rsidRPr="003A77F5">
        <w:rPr>
          <w:rFonts w:eastAsiaTheme="minorHAnsi"/>
          <w:color w:val="000000"/>
          <w:lang w:val="en-AU"/>
        </w:rPr>
        <w:t xml:space="preserve">indicates that they have stayed </w:t>
      </w:r>
      <w:r w:rsidR="00AD561F">
        <w:rPr>
          <w:rFonts w:eastAsiaTheme="minorHAnsi"/>
          <w:color w:val="000000"/>
          <w:lang w:val="en-AU"/>
        </w:rPr>
        <w:t>reasonably</w:t>
      </w:r>
      <w:r w:rsidR="00AD561F" w:rsidRPr="003A77F5" w:rsidDel="00AD561F">
        <w:rPr>
          <w:rFonts w:eastAsiaTheme="minorHAnsi"/>
          <w:color w:val="000000"/>
          <w:lang w:val="en-AU"/>
        </w:rPr>
        <w:t xml:space="preserve"> </w:t>
      </w:r>
      <w:r w:rsidRPr="003A77F5">
        <w:rPr>
          <w:rFonts w:eastAsiaTheme="minorHAnsi"/>
          <w:color w:val="000000"/>
          <w:lang w:val="en-AU"/>
        </w:rPr>
        <w:t>constant over the last 26 years (</w:t>
      </w:r>
      <w:r w:rsidR="00EB33A6">
        <w:rPr>
          <w:rFonts w:eastAsiaTheme="minorHAnsi"/>
          <w:lang w:val="en-AU"/>
        </w:rPr>
        <w:fldChar w:fldCharType="begin"/>
      </w:r>
      <w:r w:rsidR="003D550E">
        <w:rPr>
          <w:rFonts w:eastAsiaTheme="minorHAnsi"/>
          <w:color w:val="000000"/>
          <w:lang w:val="en-AU"/>
        </w:rPr>
        <w:instrText xml:space="preserve"> REF _Ref437546696 \h </w:instrText>
      </w:r>
      <w:r w:rsidR="00EB33A6">
        <w:rPr>
          <w:rFonts w:eastAsiaTheme="minorHAnsi"/>
          <w:lang w:val="en-AU"/>
        </w:rPr>
      </w:r>
      <w:r w:rsidR="00EB33A6">
        <w:rPr>
          <w:rFonts w:eastAsiaTheme="minorHAnsi"/>
          <w:lang w:val="en-AU"/>
        </w:rPr>
        <w:fldChar w:fldCharType="separate"/>
      </w:r>
      <w:r w:rsidR="007F5336" w:rsidRPr="00C27BEB">
        <w:t xml:space="preserve">Figure </w:t>
      </w:r>
      <w:r w:rsidR="007F5336">
        <w:rPr>
          <w:noProof/>
        </w:rPr>
        <w:t>7</w:t>
      </w:r>
      <w:r w:rsidR="007F5336">
        <w:noBreakHyphen/>
      </w:r>
      <w:r w:rsidR="007F5336">
        <w:rPr>
          <w:noProof/>
        </w:rPr>
        <w:t>2</w:t>
      </w:r>
      <w:r w:rsidR="00EB33A6">
        <w:rPr>
          <w:rFonts w:eastAsiaTheme="minorHAnsi"/>
          <w:lang w:val="en-AU"/>
        </w:rPr>
        <w:fldChar w:fldCharType="end"/>
      </w:r>
      <w:r w:rsidRPr="003A77F5">
        <w:rPr>
          <w:rFonts w:eastAsiaTheme="minorHAnsi"/>
          <w:lang w:val="en-AU"/>
        </w:rPr>
        <w:t>a-b).</w:t>
      </w:r>
    </w:p>
    <w:p w14:paraId="5F22F30D" w14:textId="48579CA5" w:rsidR="008645FA" w:rsidRPr="00F77F98" w:rsidRDefault="008645FA" w:rsidP="008645FA">
      <w:pPr>
        <w:rPr>
          <w:rFonts w:eastAsiaTheme="minorHAnsi"/>
          <w:lang w:val="en-AU"/>
        </w:rPr>
      </w:pPr>
      <w:r w:rsidRPr="003A77F5">
        <w:rPr>
          <w:rFonts w:eastAsiaTheme="minorHAnsi"/>
          <w:lang w:val="en-AU"/>
        </w:rPr>
        <w:t>Chlorophyll a (</w:t>
      </w:r>
      <w:r w:rsidR="008F6D8B">
        <w:rPr>
          <w:rFonts w:eastAsiaTheme="minorHAnsi"/>
          <w:lang w:val="en-AU"/>
        </w:rPr>
        <w:t>C</w:t>
      </w:r>
      <w:r w:rsidR="008F6D8B" w:rsidRPr="003A77F5">
        <w:rPr>
          <w:rFonts w:eastAsiaTheme="minorHAnsi"/>
          <w:lang w:val="en-AU"/>
        </w:rPr>
        <w:t>hl</w:t>
      </w:r>
      <w:r w:rsidR="008F6D8B">
        <w:rPr>
          <w:rFonts w:eastAsiaTheme="minorHAnsi"/>
          <w:lang w:val="en-AU"/>
        </w:rPr>
        <w:t>-</w:t>
      </w:r>
      <w:r w:rsidRPr="003A77F5">
        <w:rPr>
          <w:rFonts w:eastAsiaTheme="minorHAnsi"/>
          <w:lang w:val="en-AU"/>
        </w:rPr>
        <w:t xml:space="preserve">a) concentrations for the whole dataset showed maxima (up </w:t>
      </w:r>
      <w:r w:rsidRPr="00F77F98">
        <w:rPr>
          <w:rFonts w:eastAsiaTheme="minorHAnsi"/>
          <w:lang w:val="en-AU"/>
        </w:rPr>
        <w:t xml:space="preserve">to 3.0 </w:t>
      </w:r>
      <w:r w:rsidRPr="00EC6BB8">
        <w:rPr>
          <w:lang w:val="en-AU"/>
        </w:rPr>
        <w:t>µg L</w:t>
      </w:r>
      <w:r w:rsidRPr="00EC6BB8">
        <w:rPr>
          <w:vertAlign w:val="superscript"/>
          <w:lang w:val="en-AU"/>
        </w:rPr>
        <w:t>–1</w:t>
      </w:r>
      <w:r w:rsidRPr="00C51DE2">
        <w:rPr>
          <w:rFonts w:eastAsiaTheme="minorHAnsi"/>
          <w:lang w:val="en-AU"/>
        </w:rPr>
        <w:t xml:space="preserve">) during the early dry season, which </w:t>
      </w:r>
      <w:r w:rsidRPr="003A77F5">
        <w:rPr>
          <w:rFonts w:eastAsiaTheme="minorHAnsi"/>
          <w:lang w:val="en-AU"/>
        </w:rPr>
        <w:t>were on average 13% and 68% higher than concentrations in the wet and late dry season. The more than two decade long data set reveals a dynamic ecosystem with relatively large yearly and spatial changes in chl a concentrations (</w:t>
      </w:r>
      <w:r w:rsidR="00EB33A6">
        <w:rPr>
          <w:rFonts w:eastAsiaTheme="minorHAnsi"/>
          <w:lang w:val="en-AU"/>
        </w:rPr>
        <w:fldChar w:fldCharType="begin"/>
      </w:r>
      <w:r w:rsidR="003D550E">
        <w:rPr>
          <w:rFonts w:eastAsiaTheme="minorHAnsi"/>
          <w:lang w:val="en-AU"/>
        </w:rPr>
        <w:instrText xml:space="preserve"> REF _Ref437546696 \h </w:instrText>
      </w:r>
      <w:r w:rsidR="00EB33A6">
        <w:rPr>
          <w:rFonts w:eastAsiaTheme="minorHAnsi"/>
          <w:lang w:val="en-AU"/>
        </w:rPr>
      </w:r>
      <w:r w:rsidR="00EB33A6">
        <w:rPr>
          <w:rFonts w:eastAsiaTheme="minorHAnsi"/>
          <w:lang w:val="en-AU"/>
        </w:rPr>
        <w:fldChar w:fldCharType="separate"/>
      </w:r>
      <w:r w:rsidR="007F5336" w:rsidRPr="00C27BEB">
        <w:t xml:space="preserve">Figure </w:t>
      </w:r>
      <w:r w:rsidR="007F5336">
        <w:rPr>
          <w:noProof/>
        </w:rPr>
        <w:t>7</w:t>
      </w:r>
      <w:r w:rsidR="007F5336">
        <w:noBreakHyphen/>
      </w:r>
      <w:r w:rsidR="007F5336">
        <w:rPr>
          <w:noProof/>
        </w:rPr>
        <w:t>2</w:t>
      </w:r>
      <w:r w:rsidR="00EB33A6">
        <w:rPr>
          <w:rFonts w:eastAsiaTheme="minorHAnsi"/>
          <w:lang w:val="en-AU"/>
        </w:rPr>
        <w:fldChar w:fldCharType="end"/>
      </w:r>
      <w:r w:rsidRPr="003A77F5">
        <w:rPr>
          <w:rFonts w:eastAsiaTheme="minorHAnsi"/>
          <w:lang w:val="en-AU"/>
        </w:rPr>
        <w:t xml:space="preserve">c). The </w:t>
      </w:r>
      <w:r w:rsidR="00AD561F" w:rsidRPr="003A77F5">
        <w:rPr>
          <w:rFonts w:eastAsiaTheme="minorHAnsi"/>
          <w:lang w:val="en-AU"/>
        </w:rPr>
        <w:t>long</w:t>
      </w:r>
      <w:r w:rsidR="00AD561F">
        <w:rPr>
          <w:rFonts w:eastAsiaTheme="minorHAnsi"/>
          <w:lang w:val="en-AU"/>
        </w:rPr>
        <w:t>-</w:t>
      </w:r>
      <w:r w:rsidRPr="003A77F5">
        <w:rPr>
          <w:rFonts w:eastAsiaTheme="minorHAnsi"/>
          <w:lang w:val="en-AU"/>
        </w:rPr>
        <w:t xml:space="preserve">term trends </w:t>
      </w:r>
      <w:r w:rsidR="00F62206">
        <w:rPr>
          <w:rFonts w:eastAsiaTheme="minorHAnsi"/>
          <w:lang w:val="en-AU"/>
        </w:rPr>
        <w:t>show</w:t>
      </w:r>
      <w:r w:rsidR="00F62206" w:rsidRPr="003A77F5">
        <w:rPr>
          <w:rFonts w:eastAsiaTheme="minorHAnsi"/>
          <w:lang w:val="en-AU"/>
        </w:rPr>
        <w:t xml:space="preserve"> </w:t>
      </w:r>
      <w:r w:rsidRPr="003A77F5">
        <w:rPr>
          <w:rFonts w:eastAsiaTheme="minorHAnsi"/>
          <w:lang w:val="en-AU"/>
        </w:rPr>
        <w:t xml:space="preserve">periods </w:t>
      </w:r>
      <w:r w:rsidR="00F62206">
        <w:rPr>
          <w:rFonts w:eastAsiaTheme="minorHAnsi"/>
          <w:lang w:val="en-AU"/>
        </w:rPr>
        <w:t>of</w:t>
      </w:r>
      <w:r w:rsidR="00F62206" w:rsidRPr="003A77F5">
        <w:rPr>
          <w:rFonts w:eastAsiaTheme="minorHAnsi"/>
          <w:lang w:val="en-AU"/>
        </w:rPr>
        <w:t xml:space="preserve"> decreas</w:t>
      </w:r>
      <w:r w:rsidR="00F62206">
        <w:rPr>
          <w:rFonts w:eastAsiaTheme="minorHAnsi"/>
          <w:lang w:val="en-AU"/>
        </w:rPr>
        <w:t>ing</w:t>
      </w:r>
      <w:r w:rsidR="00F62206" w:rsidRPr="003A77F5">
        <w:rPr>
          <w:rFonts w:eastAsiaTheme="minorHAnsi"/>
          <w:lang w:val="en-AU"/>
        </w:rPr>
        <w:t xml:space="preserve"> </w:t>
      </w:r>
      <w:r w:rsidRPr="003A77F5">
        <w:rPr>
          <w:rFonts w:eastAsiaTheme="minorHAnsi"/>
          <w:lang w:val="en-AU"/>
        </w:rPr>
        <w:t>(from 1992 to 1993 and again from 1999 to 2001), relative</w:t>
      </w:r>
      <w:r w:rsidR="00F62206">
        <w:rPr>
          <w:rFonts w:eastAsiaTheme="minorHAnsi"/>
          <w:lang w:val="en-AU"/>
        </w:rPr>
        <w:t>ly</w:t>
      </w:r>
      <w:r w:rsidRPr="003A77F5">
        <w:rPr>
          <w:rFonts w:eastAsiaTheme="minorHAnsi"/>
          <w:lang w:val="en-AU"/>
        </w:rPr>
        <w:t xml:space="preserve"> </w:t>
      </w:r>
      <w:r w:rsidRPr="003A77F5">
        <w:rPr>
          <w:rFonts w:eastAsiaTheme="minorHAnsi"/>
          <w:color w:val="000000"/>
          <w:lang w:val="en-AU"/>
        </w:rPr>
        <w:t xml:space="preserve">constant </w:t>
      </w:r>
      <w:r w:rsidRPr="00F77F98">
        <w:rPr>
          <w:rFonts w:eastAsiaTheme="minorHAnsi"/>
          <w:lang w:val="en-AU"/>
        </w:rPr>
        <w:t xml:space="preserve">(2002 to 2007) and increasing (1994 to 1998, 2007 to 2015) </w:t>
      </w:r>
      <w:r w:rsidR="00F62206">
        <w:rPr>
          <w:rFonts w:eastAsiaTheme="minorHAnsi"/>
          <w:lang w:val="en-AU"/>
        </w:rPr>
        <w:t>concentrations</w:t>
      </w:r>
      <w:r w:rsidR="00F62206" w:rsidRPr="00F77F98">
        <w:rPr>
          <w:rFonts w:eastAsiaTheme="minorHAnsi"/>
          <w:lang w:val="en-AU"/>
        </w:rPr>
        <w:t xml:space="preserve"> </w:t>
      </w:r>
      <w:r w:rsidRPr="00F77F98">
        <w:rPr>
          <w:rFonts w:eastAsiaTheme="minorHAnsi"/>
          <w:lang w:val="en-AU"/>
        </w:rPr>
        <w:t xml:space="preserve">of </w:t>
      </w:r>
      <w:r w:rsidR="008F6D8B">
        <w:rPr>
          <w:rFonts w:eastAsiaTheme="minorHAnsi"/>
          <w:lang w:val="en-AU"/>
        </w:rPr>
        <w:t>C</w:t>
      </w:r>
      <w:r w:rsidR="008F6D8B" w:rsidRPr="00F77F98">
        <w:rPr>
          <w:rFonts w:eastAsiaTheme="minorHAnsi"/>
          <w:lang w:val="en-AU"/>
        </w:rPr>
        <w:t>hl</w:t>
      </w:r>
      <w:r w:rsidR="008F6D8B">
        <w:rPr>
          <w:rFonts w:eastAsiaTheme="minorHAnsi"/>
          <w:lang w:val="en-AU"/>
        </w:rPr>
        <w:t>-</w:t>
      </w:r>
      <w:r w:rsidR="00C5766D">
        <w:rPr>
          <w:rFonts w:eastAsiaTheme="minorHAnsi"/>
          <w:lang w:val="en-AU"/>
        </w:rPr>
        <w:t xml:space="preserve">a standing stocks, with a new maxima reached in 2015 </w:t>
      </w:r>
      <w:r w:rsidRPr="00F77F98">
        <w:rPr>
          <w:rFonts w:eastAsiaTheme="minorHAnsi"/>
          <w:lang w:val="en-AU"/>
        </w:rPr>
        <w:t>(</w:t>
      </w:r>
      <w:r w:rsidR="00EB33A6">
        <w:rPr>
          <w:rFonts w:eastAsiaTheme="minorHAnsi"/>
          <w:lang w:val="en-AU"/>
        </w:rPr>
        <w:fldChar w:fldCharType="begin"/>
      </w:r>
      <w:r w:rsidR="003D550E">
        <w:rPr>
          <w:rFonts w:eastAsiaTheme="minorHAnsi"/>
          <w:lang w:val="en-AU"/>
        </w:rPr>
        <w:instrText xml:space="preserve"> REF _Ref437546696 \h </w:instrText>
      </w:r>
      <w:r w:rsidR="00EB33A6">
        <w:rPr>
          <w:rFonts w:eastAsiaTheme="minorHAnsi"/>
          <w:lang w:val="en-AU"/>
        </w:rPr>
      </w:r>
      <w:r w:rsidR="00EB33A6">
        <w:rPr>
          <w:rFonts w:eastAsiaTheme="minorHAnsi"/>
          <w:lang w:val="en-AU"/>
        </w:rPr>
        <w:fldChar w:fldCharType="separate"/>
      </w:r>
      <w:r w:rsidR="007F5336" w:rsidRPr="00C27BEB">
        <w:t xml:space="preserve">Figure </w:t>
      </w:r>
      <w:r w:rsidR="007F5336">
        <w:rPr>
          <w:noProof/>
        </w:rPr>
        <w:t>7</w:t>
      </w:r>
      <w:r w:rsidR="007F5336">
        <w:noBreakHyphen/>
      </w:r>
      <w:r w:rsidR="007F5336">
        <w:rPr>
          <w:noProof/>
        </w:rPr>
        <w:t>2</w:t>
      </w:r>
      <w:r w:rsidR="00EB33A6">
        <w:rPr>
          <w:rFonts w:eastAsiaTheme="minorHAnsi"/>
          <w:lang w:val="en-AU"/>
        </w:rPr>
        <w:fldChar w:fldCharType="end"/>
      </w:r>
      <w:r w:rsidRPr="00F77F98">
        <w:rPr>
          <w:rFonts w:eastAsiaTheme="minorHAnsi"/>
          <w:lang w:val="en-AU"/>
        </w:rPr>
        <w:t>c).</w:t>
      </w:r>
    </w:p>
    <w:p w14:paraId="5F22F30E" w14:textId="77777777" w:rsidR="008645FA" w:rsidRPr="00EC6BB8" w:rsidRDefault="008645FA" w:rsidP="00FB3FE4">
      <w:pPr>
        <w:rPr>
          <w:lang w:val="en-AU"/>
        </w:rPr>
      </w:pPr>
    </w:p>
    <w:p w14:paraId="5F22F30F" w14:textId="3FDB2868" w:rsidR="00C27BEB" w:rsidRDefault="00822FD9" w:rsidP="008645FA">
      <w:pPr>
        <w:rPr>
          <w:lang w:val="en-AU"/>
        </w:rPr>
      </w:pPr>
      <w:r w:rsidRPr="003A77F5">
        <w:rPr>
          <w:lang w:val="en-AU"/>
        </w:rPr>
        <w:object w:dxaOrig="17281" w:dyaOrig="3241" w14:anchorId="5F2324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Figure 7 2: Temporal trends in a) salinity, b) temperature, c) chlorophyll a (Chl-a) and total suspended solids (TSS). " style="width:465pt;height:89.25pt" o:ole="">
            <v:imagedata r:id="rId367" o:title=""/>
          </v:shape>
          <o:OLEObject Type="Embed" ProgID="AcroExch.Document.11" ShapeID="_x0000_i1025" DrawAspect="Content" ObjectID="_1536648842" r:id="rId368"/>
        </w:object>
      </w:r>
    </w:p>
    <w:p w14:paraId="5F22F311" w14:textId="6507ADC7" w:rsidR="008645FA" w:rsidRPr="00C27BEB" w:rsidRDefault="00C27BEB" w:rsidP="00164E5E">
      <w:pPr>
        <w:pStyle w:val="Caption"/>
        <w:rPr>
          <w:rStyle w:val="IntenseReference"/>
        </w:rPr>
      </w:pPr>
      <w:bookmarkStart w:id="1451" w:name="_Ref437546696"/>
      <w:bookmarkStart w:id="1452" w:name="_Toc459332409"/>
      <w:r w:rsidRPr="00C27BEB">
        <w:t xml:space="preserve">Figure </w:t>
      </w:r>
      <w:r w:rsidR="00C62884">
        <w:fldChar w:fldCharType="begin"/>
      </w:r>
      <w:r w:rsidR="00C62884">
        <w:instrText xml:space="preserve"> STYLEREF 1 \s </w:instrText>
      </w:r>
      <w:r w:rsidR="00C62884">
        <w:fldChar w:fldCharType="separate"/>
      </w:r>
      <w:r w:rsidR="007F5336">
        <w:rPr>
          <w:noProof/>
        </w:rPr>
        <w:t>7</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2</w:t>
      </w:r>
      <w:r w:rsidR="00C62884">
        <w:fldChar w:fldCharType="end"/>
      </w:r>
      <w:bookmarkEnd w:id="1451"/>
      <w:r w:rsidRPr="00C27BEB">
        <w:t>:</w:t>
      </w:r>
      <w:r w:rsidR="008645FA" w:rsidRPr="00C27BEB">
        <w:t xml:space="preserve"> Temporal trends in a) salinity, b) temperature, c) chlorophyll a (Chl</w:t>
      </w:r>
      <w:r w:rsidR="008F6D8B">
        <w:t>-</w:t>
      </w:r>
      <w:r w:rsidR="008645FA" w:rsidRPr="00C27BEB">
        <w:t>a) and total suspended solids (TSS)</w:t>
      </w:r>
      <w:r w:rsidR="008645FA" w:rsidRPr="00EC6BB8">
        <w:rPr>
          <w:rFonts w:eastAsia="Calibri"/>
          <w:sz w:val="16"/>
          <w:szCs w:val="16"/>
        </w:rPr>
        <w:t>.</w:t>
      </w:r>
      <w:r w:rsidR="008F6D8B">
        <w:rPr>
          <w:rFonts w:eastAsia="Calibri"/>
          <w:sz w:val="16"/>
          <w:szCs w:val="16"/>
        </w:rPr>
        <w:t xml:space="preserve"> </w:t>
      </w:r>
      <w:r w:rsidR="008645FA" w:rsidRPr="00C27BEB">
        <w:rPr>
          <w:rStyle w:val="IntenseReference"/>
        </w:rPr>
        <w:t>Black dots indicate field observations and blue line represents the trend line fitted by Generalized additive mixed effects models (GAMMs).</w:t>
      </w:r>
      <w:bookmarkEnd w:id="1452"/>
      <w:r w:rsidR="008645FA" w:rsidRPr="00C27BEB">
        <w:rPr>
          <w:rStyle w:val="IntenseReference"/>
        </w:rPr>
        <w:t xml:space="preserve"> </w:t>
      </w:r>
    </w:p>
    <w:p w14:paraId="5F22F313" w14:textId="5F627D89" w:rsidR="008645FA" w:rsidRPr="00EC6BB8" w:rsidRDefault="008645FA" w:rsidP="008645FA">
      <w:pPr>
        <w:rPr>
          <w:lang w:val="en-AU"/>
        </w:rPr>
      </w:pPr>
      <w:r w:rsidRPr="00C51DE2">
        <w:rPr>
          <w:rFonts w:eastAsiaTheme="minorHAnsi"/>
          <w:lang w:val="en-AU"/>
        </w:rPr>
        <w:t xml:space="preserve">Total suspended solids (TSS) </w:t>
      </w:r>
      <w:r w:rsidRPr="003A77F5">
        <w:rPr>
          <w:rFonts w:eastAsiaTheme="minorHAnsi"/>
          <w:color w:val="000000"/>
          <w:lang w:val="en-AU"/>
        </w:rPr>
        <w:t xml:space="preserve">concentrations ranged between less than 0.1 mg </w:t>
      </w:r>
      <w:r w:rsidR="00C079A7">
        <w:rPr>
          <w:rFonts w:eastAsiaTheme="minorHAnsi"/>
          <w:color w:val="000000"/>
          <w:lang w:val="en-AU"/>
        </w:rPr>
        <w:t>L</w:t>
      </w:r>
      <w:r w:rsidRPr="003A77F5">
        <w:rPr>
          <w:rFonts w:eastAsiaTheme="minorHAnsi"/>
          <w:color w:val="000000"/>
          <w:vertAlign w:val="superscript"/>
          <w:lang w:val="en-AU"/>
        </w:rPr>
        <w:t>-1</w:t>
      </w:r>
      <w:r w:rsidRPr="003A77F5">
        <w:rPr>
          <w:rFonts w:eastAsiaTheme="minorHAnsi"/>
          <w:color w:val="000000"/>
          <w:lang w:val="en-AU"/>
        </w:rPr>
        <w:t xml:space="preserve"> up to concentrations of 33.8 mg l</w:t>
      </w:r>
      <w:r w:rsidRPr="00F77F98">
        <w:rPr>
          <w:rFonts w:eastAsiaTheme="minorHAnsi"/>
          <w:color w:val="000000"/>
          <w:vertAlign w:val="superscript"/>
          <w:lang w:val="en-AU"/>
        </w:rPr>
        <w:t>-1</w:t>
      </w:r>
      <w:r w:rsidRPr="00EC6BB8">
        <w:rPr>
          <w:lang w:val="en-AU" w:eastAsia="en-GB"/>
        </w:rPr>
        <w:t xml:space="preserve">(2.4 ± 2.7 </w:t>
      </w:r>
      <w:r w:rsidRPr="00C51DE2">
        <w:rPr>
          <w:rFonts w:eastAsiaTheme="minorHAnsi"/>
          <w:color w:val="000000"/>
          <w:lang w:val="en-AU"/>
        </w:rPr>
        <w:t xml:space="preserve">mg </w:t>
      </w:r>
      <w:r w:rsidR="00C079A7">
        <w:rPr>
          <w:rFonts w:eastAsiaTheme="minorHAnsi"/>
          <w:color w:val="000000"/>
          <w:lang w:val="en-AU"/>
        </w:rPr>
        <w:t>L</w:t>
      </w:r>
      <w:r w:rsidRPr="003A77F5">
        <w:rPr>
          <w:rFonts w:eastAsiaTheme="minorHAnsi"/>
          <w:color w:val="000000"/>
          <w:vertAlign w:val="superscript"/>
          <w:lang w:val="en-AU"/>
        </w:rPr>
        <w:t>-1</w:t>
      </w:r>
      <w:r w:rsidRPr="00EC6BB8">
        <w:rPr>
          <w:lang w:val="en-AU" w:eastAsia="en-GB"/>
        </w:rPr>
        <w:t xml:space="preserve">) </w:t>
      </w:r>
      <w:r w:rsidRPr="00C51DE2">
        <w:rPr>
          <w:rFonts w:eastAsiaTheme="minorHAnsi"/>
          <w:lang w:val="en-AU"/>
        </w:rPr>
        <w:t>(</w:t>
      </w:r>
      <w:r w:rsidR="008F6D8B">
        <w:rPr>
          <w:rFonts w:eastAsiaTheme="minorHAnsi"/>
          <w:lang w:val="en-AU"/>
        </w:rPr>
        <w:fldChar w:fldCharType="begin"/>
      </w:r>
      <w:r w:rsidR="008F6D8B">
        <w:rPr>
          <w:rFonts w:eastAsiaTheme="minorHAnsi"/>
          <w:lang w:val="en-AU"/>
        </w:rPr>
        <w:instrText xml:space="preserve"> REF _Ref437546696 \h </w:instrText>
      </w:r>
      <w:r w:rsidR="008F6D8B">
        <w:rPr>
          <w:rFonts w:eastAsiaTheme="minorHAnsi"/>
          <w:lang w:val="en-AU"/>
        </w:rPr>
      </w:r>
      <w:r w:rsidR="008F6D8B">
        <w:rPr>
          <w:rFonts w:eastAsiaTheme="minorHAnsi"/>
          <w:lang w:val="en-AU"/>
        </w:rPr>
        <w:fldChar w:fldCharType="separate"/>
      </w:r>
      <w:r w:rsidR="007F5336" w:rsidRPr="00C27BEB">
        <w:t xml:space="preserve">Figure </w:t>
      </w:r>
      <w:r w:rsidR="007F5336">
        <w:rPr>
          <w:noProof/>
        </w:rPr>
        <w:t>7</w:t>
      </w:r>
      <w:r w:rsidR="007F5336">
        <w:noBreakHyphen/>
      </w:r>
      <w:r w:rsidR="007F5336">
        <w:rPr>
          <w:noProof/>
        </w:rPr>
        <w:t>2</w:t>
      </w:r>
      <w:r w:rsidR="008F6D8B">
        <w:rPr>
          <w:rFonts w:eastAsiaTheme="minorHAnsi"/>
          <w:lang w:val="en-AU"/>
        </w:rPr>
        <w:fldChar w:fldCharType="end"/>
      </w:r>
      <w:r w:rsidRPr="003A77F5">
        <w:rPr>
          <w:rFonts w:eastAsiaTheme="minorHAnsi"/>
          <w:lang w:val="en-AU"/>
        </w:rPr>
        <w:t xml:space="preserve">d). </w:t>
      </w:r>
      <w:r w:rsidR="0046394E" w:rsidRPr="003A77F5">
        <w:rPr>
          <w:rFonts w:eastAsiaTheme="minorHAnsi"/>
          <w:lang w:val="en-AU"/>
        </w:rPr>
        <w:t>TSS levels measured in the water column are</w:t>
      </w:r>
      <w:r w:rsidRPr="003A77F5">
        <w:rPr>
          <w:rFonts w:eastAsiaTheme="minorHAnsi"/>
          <w:lang w:val="en-AU"/>
        </w:rPr>
        <w:t xml:space="preserve"> heavily influenced by the </w:t>
      </w:r>
      <w:r w:rsidR="00F62206" w:rsidRPr="003A77F5">
        <w:rPr>
          <w:rFonts w:eastAsiaTheme="minorHAnsi"/>
          <w:lang w:val="en-AU"/>
        </w:rPr>
        <w:t>wind</w:t>
      </w:r>
      <w:r w:rsidR="00F62206">
        <w:rPr>
          <w:rFonts w:eastAsiaTheme="minorHAnsi"/>
          <w:lang w:val="en-AU"/>
        </w:rPr>
        <w:t>-</w:t>
      </w:r>
      <w:r w:rsidRPr="003A77F5">
        <w:rPr>
          <w:rFonts w:eastAsiaTheme="minorHAnsi"/>
          <w:lang w:val="en-AU"/>
        </w:rPr>
        <w:t xml:space="preserve">driven resuspension events, but </w:t>
      </w:r>
      <w:r w:rsidR="00F62206">
        <w:rPr>
          <w:rFonts w:eastAsiaTheme="minorHAnsi"/>
          <w:lang w:val="en-AU"/>
        </w:rPr>
        <w:t>the</w:t>
      </w:r>
      <w:r w:rsidRPr="003A77F5">
        <w:rPr>
          <w:rFonts w:eastAsiaTheme="minorHAnsi"/>
          <w:lang w:val="en-AU"/>
        </w:rPr>
        <w:t xml:space="preserve"> </w:t>
      </w:r>
      <w:r w:rsidRPr="003A77F5">
        <w:rPr>
          <w:rFonts w:eastAsiaTheme="minorHAnsi"/>
          <w:color w:val="000000"/>
          <w:lang w:val="en-AU"/>
        </w:rPr>
        <w:t xml:space="preserve">GAMMs removed </w:t>
      </w:r>
      <w:r w:rsidRPr="00F77F98">
        <w:rPr>
          <w:rFonts w:eastAsiaTheme="minorHAnsi"/>
          <w:color w:val="000000"/>
          <w:lang w:val="en-AU"/>
        </w:rPr>
        <w:t>the effects of wind allowing us to determine impacts of other drive</w:t>
      </w:r>
      <w:r w:rsidR="00F62206">
        <w:rPr>
          <w:rFonts w:eastAsiaTheme="minorHAnsi"/>
          <w:color w:val="000000"/>
          <w:lang w:val="en-AU"/>
        </w:rPr>
        <w:t>r</w:t>
      </w:r>
      <w:r w:rsidRPr="00F77F98">
        <w:rPr>
          <w:rFonts w:eastAsiaTheme="minorHAnsi"/>
          <w:color w:val="000000"/>
          <w:lang w:val="en-AU"/>
        </w:rPr>
        <w:t>s</w:t>
      </w:r>
      <w:r w:rsidR="00F62206">
        <w:rPr>
          <w:rFonts w:eastAsiaTheme="minorHAnsi"/>
          <w:color w:val="000000"/>
          <w:lang w:val="en-AU"/>
        </w:rPr>
        <w:t>, such as river runoff</w:t>
      </w:r>
      <w:r w:rsidR="003C07DC">
        <w:rPr>
          <w:rFonts w:eastAsiaTheme="minorHAnsi"/>
          <w:color w:val="000000"/>
          <w:lang w:val="en-AU"/>
        </w:rPr>
        <w:t xml:space="preserve"> (See appendix 1.5 for details)</w:t>
      </w:r>
      <w:r w:rsidRPr="00F77F98">
        <w:rPr>
          <w:rFonts w:eastAsiaTheme="minorHAnsi"/>
          <w:color w:val="000000"/>
          <w:lang w:val="en-AU"/>
        </w:rPr>
        <w:t xml:space="preserve">. The </w:t>
      </w:r>
      <w:r w:rsidR="00F62206" w:rsidRPr="00F77F98">
        <w:rPr>
          <w:rFonts w:eastAsiaTheme="minorHAnsi"/>
          <w:lang w:val="en-AU"/>
        </w:rPr>
        <w:t>long</w:t>
      </w:r>
      <w:r w:rsidR="00F62206">
        <w:rPr>
          <w:rFonts w:eastAsiaTheme="minorHAnsi"/>
          <w:lang w:val="en-AU"/>
        </w:rPr>
        <w:t>-</w:t>
      </w:r>
      <w:r w:rsidRPr="00F77F98">
        <w:rPr>
          <w:rFonts w:eastAsiaTheme="minorHAnsi"/>
          <w:lang w:val="en-AU"/>
        </w:rPr>
        <w:t xml:space="preserve">term </w:t>
      </w:r>
      <w:r w:rsidRPr="002A0F81">
        <w:rPr>
          <w:rFonts w:eastAsiaTheme="minorHAnsi"/>
          <w:color w:val="000000"/>
          <w:lang w:val="en-AU"/>
        </w:rPr>
        <w:t xml:space="preserve">GAMM </w:t>
      </w:r>
      <w:r w:rsidRPr="002A0F81">
        <w:rPr>
          <w:rFonts w:eastAsiaTheme="minorHAnsi"/>
          <w:lang w:val="en-AU"/>
        </w:rPr>
        <w:t>analysis showed that TSS concentrations increased from 1989 until the early 2000s, which was followed by a period of decline which lasted until 2013,</w:t>
      </w:r>
      <w:r w:rsidRPr="0074693A">
        <w:rPr>
          <w:rFonts w:eastAsiaTheme="minorHAnsi"/>
          <w:lang w:val="en-AU"/>
        </w:rPr>
        <w:t xml:space="preserve"> when levels again started to increase </w:t>
      </w:r>
      <w:r w:rsidR="00F62206">
        <w:rPr>
          <w:rFonts w:eastAsiaTheme="minorHAnsi"/>
          <w:lang w:val="en-AU"/>
        </w:rPr>
        <w:t>to a very high value of 5 mg</w:t>
      </w:r>
      <w:r w:rsidR="00C079A7">
        <w:rPr>
          <w:rFonts w:eastAsiaTheme="minorHAnsi"/>
          <w:lang w:val="en-AU"/>
        </w:rPr>
        <w:t xml:space="preserve"> </w:t>
      </w:r>
      <w:r w:rsidR="00F62206">
        <w:rPr>
          <w:rFonts w:eastAsiaTheme="minorHAnsi"/>
          <w:lang w:val="en-AU"/>
        </w:rPr>
        <w:t>L</w:t>
      </w:r>
      <w:r w:rsidR="00F62206" w:rsidRPr="004A5BF7">
        <w:rPr>
          <w:rFonts w:eastAsiaTheme="minorHAnsi"/>
          <w:vertAlign w:val="superscript"/>
          <w:lang w:val="en-AU"/>
        </w:rPr>
        <w:t>-1</w:t>
      </w:r>
      <w:r w:rsidR="00E929B2">
        <w:rPr>
          <w:rFonts w:eastAsiaTheme="minorHAnsi"/>
          <w:lang w:val="en-AU"/>
        </w:rPr>
        <w:t xml:space="preserve"> </w:t>
      </w:r>
      <w:r w:rsidRPr="0074693A">
        <w:rPr>
          <w:rFonts w:eastAsiaTheme="minorHAnsi"/>
          <w:lang w:val="en-AU"/>
        </w:rPr>
        <w:t>(</w:t>
      </w:r>
      <w:r w:rsidR="00EB33A6">
        <w:rPr>
          <w:rFonts w:eastAsiaTheme="minorHAnsi"/>
          <w:lang w:val="en-AU"/>
        </w:rPr>
        <w:fldChar w:fldCharType="begin"/>
      </w:r>
      <w:r w:rsidR="003D550E">
        <w:rPr>
          <w:rFonts w:eastAsiaTheme="minorHAnsi"/>
          <w:lang w:val="en-AU"/>
        </w:rPr>
        <w:instrText xml:space="preserve"> REF _Ref437546696 \h </w:instrText>
      </w:r>
      <w:r w:rsidR="00EB33A6">
        <w:rPr>
          <w:rFonts w:eastAsiaTheme="minorHAnsi"/>
          <w:lang w:val="en-AU"/>
        </w:rPr>
      </w:r>
      <w:r w:rsidR="00EB33A6">
        <w:rPr>
          <w:rFonts w:eastAsiaTheme="minorHAnsi"/>
          <w:lang w:val="en-AU"/>
        </w:rPr>
        <w:fldChar w:fldCharType="separate"/>
      </w:r>
      <w:r w:rsidR="007F5336" w:rsidRPr="00C27BEB">
        <w:t xml:space="preserve">Figure </w:t>
      </w:r>
      <w:r w:rsidR="007F5336">
        <w:rPr>
          <w:noProof/>
        </w:rPr>
        <w:t>7</w:t>
      </w:r>
      <w:r w:rsidR="007F5336">
        <w:noBreakHyphen/>
      </w:r>
      <w:r w:rsidR="007F5336">
        <w:rPr>
          <w:noProof/>
        </w:rPr>
        <w:t>2</w:t>
      </w:r>
      <w:r w:rsidR="00EB33A6">
        <w:rPr>
          <w:rFonts w:eastAsiaTheme="minorHAnsi"/>
          <w:lang w:val="en-AU"/>
        </w:rPr>
        <w:fldChar w:fldCharType="end"/>
      </w:r>
      <w:r w:rsidRPr="0074693A">
        <w:rPr>
          <w:rFonts w:eastAsiaTheme="minorHAnsi"/>
          <w:lang w:val="en-AU"/>
        </w:rPr>
        <w:t xml:space="preserve"> d).</w:t>
      </w:r>
    </w:p>
    <w:p w14:paraId="5F22F315" w14:textId="78209644" w:rsidR="008645FA" w:rsidRPr="001E1058" w:rsidRDefault="008645FA" w:rsidP="008645FA">
      <w:pPr>
        <w:autoSpaceDE w:val="0"/>
        <w:autoSpaceDN w:val="0"/>
        <w:adjustRightInd w:val="0"/>
        <w:rPr>
          <w:rFonts w:eastAsiaTheme="minorHAnsi"/>
          <w:lang w:val="en-AU"/>
        </w:rPr>
      </w:pPr>
      <w:r w:rsidRPr="003A77F5">
        <w:rPr>
          <w:i/>
          <w:lang w:val="en-AU"/>
        </w:rPr>
        <w:t>Changes in inorganic nutrients concentrations from 1989 to 2015</w:t>
      </w:r>
      <w:r w:rsidRPr="003A77F5">
        <w:rPr>
          <w:lang w:val="en-AU"/>
        </w:rPr>
        <w:t xml:space="preserve"> </w:t>
      </w:r>
      <w:r w:rsidRPr="003A77F5">
        <w:rPr>
          <w:b/>
          <w:lang w:val="en-AU"/>
        </w:rPr>
        <w:t xml:space="preserve">– </w:t>
      </w:r>
      <w:r w:rsidRPr="00F77F98">
        <w:rPr>
          <w:lang w:val="en-AU"/>
        </w:rPr>
        <w:t xml:space="preserve">The CaTS is generally </w:t>
      </w:r>
      <w:r w:rsidR="00A900A0" w:rsidRPr="00F77F98">
        <w:rPr>
          <w:lang w:val="en-AU"/>
        </w:rPr>
        <w:t>characteri</w:t>
      </w:r>
      <w:r w:rsidR="00A900A0">
        <w:rPr>
          <w:lang w:val="en-AU"/>
        </w:rPr>
        <w:t>s</w:t>
      </w:r>
      <w:r w:rsidR="00A900A0" w:rsidRPr="00F77F98">
        <w:rPr>
          <w:lang w:val="en-AU"/>
        </w:rPr>
        <w:t xml:space="preserve">ed </w:t>
      </w:r>
      <w:r w:rsidRPr="00F77F98">
        <w:rPr>
          <w:lang w:val="en-AU"/>
        </w:rPr>
        <w:t xml:space="preserve">by </w:t>
      </w:r>
      <w:r w:rsidRPr="00F77F98">
        <w:rPr>
          <w:rFonts w:eastAsiaTheme="minorHAnsi"/>
          <w:color w:val="000000"/>
          <w:lang w:val="en-AU"/>
        </w:rPr>
        <w:t>low concentrations of dissolved inorganic nutrients compared with levels found in e.g. many tempe</w:t>
      </w:r>
      <w:r w:rsidRPr="002A0F81">
        <w:rPr>
          <w:rFonts w:eastAsiaTheme="minorHAnsi"/>
          <w:color w:val="000000"/>
          <w:lang w:val="en-AU"/>
        </w:rPr>
        <w:t xml:space="preserve">rate coastal systems. </w:t>
      </w:r>
      <w:r w:rsidRPr="002A0F81">
        <w:rPr>
          <w:lang w:val="en-AU"/>
        </w:rPr>
        <w:t>For the entire dataset p</w:t>
      </w:r>
      <w:r w:rsidRPr="00EC6BB8">
        <w:rPr>
          <w:lang w:val="en-AU" w:eastAsia="en-GB"/>
        </w:rPr>
        <w:t>hosphate (HPO</w:t>
      </w:r>
      <w:r w:rsidRPr="00EC6BB8">
        <w:rPr>
          <w:vertAlign w:val="subscript"/>
          <w:lang w:val="en-AU" w:eastAsia="en-GB"/>
        </w:rPr>
        <w:t>4</w:t>
      </w:r>
      <w:r w:rsidRPr="00EC6BB8">
        <w:rPr>
          <w:vertAlign w:val="superscript"/>
          <w:lang w:val="en-AU" w:eastAsia="en-GB"/>
        </w:rPr>
        <w:t>-2</w:t>
      </w:r>
      <w:r w:rsidRPr="00EC6BB8">
        <w:rPr>
          <w:lang w:val="en-AU" w:eastAsia="en-GB"/>
        </w:rPr>
        <w:t xml:space="preserve">) </w:t>
      </w:r>
      <w:r w:rsidRPr="00C51DE2">
        <w:rPr>
          <w:rFonts w:eastAsiaTheme="minorHAnsi"/>
          <w:lang w:val="en-AU"/>
        </w:rPr>
        <w:t xml:space="preserve">concentrations </w:t>
      </w:r>
      <w:r w:rsidRPr="00EC6BB8">
        <w:rPr>
          <w:lang w:val="en-AU" w:eastAsia="en-GB"/>
        </w:rPr>
        <w:t xml:space="preserve">ranged from </w:t>
      </w:r>
      <w:r w:rsidRPr="00EC6BB8">
        <w:rPr>
          <w:rFonts w:eastAsia="AdvTimes"/>
          <w:lang w:val="en-AU"/>
        </w:rPr>
        <w:t xml:space="preserve">below the detection limit up to 0.85 </w:t>
      </w:r>
      <w:r w:rsidRPr="00EC6BB8">
        <w:rPr>
          <w:lang w:val="en-AU"/>
        </w:rPr>
        <w:t>µmol L</w:t>
      </w:r>
      <w:r w:rsidRPr="00EC6BB8">
        <w:rPr>
          <w:vertAlign w:val="superscript"/>
          <w:lang w:val="en-AU"/>
        </w:rPr>
        <w:t>–1</w:t>
      </w:r>
      <w:r w:rsidRPr="00EC6BB8">
        <w:rPr>
          <w:vertAlign w:val="subscript"/>
          <w:lang w:val="en-AU" w:eastAsia="en-GB"/>
        </w:rPr>
        <w:t xml:space="preserve"> </w:t>
      </w:r>
      <w:r w:rsidRPr="00EC6BB8">
        <w:rPr>
          <w:lang w:val="en-AU" w:eastAsia="en-GB"/>
        </w:rPr>
        <w:t>(0.06 ± 0.04</w:t>
      </w:r>
      <w:r w:rsidRPr="00EC6BB8">
        <w:rPr>
          <w:lang w:val="en-AU"/>
        </w:rPr>
        <w:t xml:space="preserve"> µmol L</w:t>
      </w:r>
      <w:r w:rsidRPr="008F6D8B">
        <w:rPr>
          <w:vertAlign w:val="superscript"/>
          <w:lang w:val="en-AU"/>
        </w:rPr>
        <w:t>–</w:t>
      </w:r>
      <w:r w:rsidRPr="00EC6BB8">
        <w:rPr>
          <w:vertAlign w:val="superscript"/>
          <w:lang w:val="en-AU"/>
        </w:rPr>
        <w:t>1</w:t>
      </w:r>
      <w:r w:rsidRPr="00EC6BB8">
        <w:rPr>
          <w:rFonts w:eastAsia="AdvTimes"/>
          <w:lang w:val="en-AU"/>
        </w:rPr>
        <w:t xml:space="preserve">), while </w:t>
      </w:r>
      <w:r w:rsidRPr="00EC6BB8">
        <w:rPr>
          <w:lang w:val="en-AU" w:eastAsia="en-GB"/>
        </w:rPr>
        <w:t>nitrate/nitrite (</w:t>
      </w:r>
      <w:r w:rsidRPr="00EC6BB8">
        <w:rPr>
          <w:lang w:val="en-AU"/>
        </w:rPr>
        <w:t>NO</w:t>
      </w:r>
      <w:r w:rsidR="003C07DC">
        <w:rPr>
          <w:vertAlign w:val="subscript"/>
          <w:lang w:val="en-AU"/>
        </w:rPr>
        <w:t>x</w:t>
      </w:r>
      <w:r w:rsidRPr="00EC6BB8">
        <w:rPr>
          <w:lang w:val="en-AU"/>
        </w:rPr>
        <w:t xml:space="preserve">) and </w:t>
      </w:r>
      <w:r w:rsidRPr="00C51DE2">
        <w:rPr>
          <w:rFonts w:eastAsiaTheme="minorHAnsi"/>
          <w:lang w:val="en-AU"/>
        </w:rPr>
        <w:t>ammonium (</w:t>
      </w:r>
      <w:r w:rsidRPr="00EC6BB8">
        <w:rPr>
          <w:lang w:val="en-AU"/>
        </w:rPr>
        <w:t>NH</w:t>
      </w:r>
      <w:r w:rsidRPr="00EC6BB8">
        <w:rPr>
          <w:vertAlign w:val="subscript"/>
          <w:lang w:val="en-AU"/>
        </w:rPr>
        <w:t>4</w:t>
      </w:r>
      <w:r w:rsidRPr="00EC6BB8">
        <w:rPr>
          <w:vertAlign w:val="superscript"/>
          <w:lang w:val="en-AU"/>
        </w:rPr>
        <w:t>+</w:t>
      </w:r>
      <w:r w:rsidRPr="00EC6BB8">
        <w:rPr>
          <w:lang w:val="en-AU"/>
        </w:rPr>
        <w:t xml:space="preserve">) concentrations varied </w:t>
      </w:r>
      <w:r w:rsidRPr="00EC6BB8">
        <w:rPr>
          <w:lang w:val="en-AU" w:eastAsia="en-GB"/>
        </w:rPr>
        <w:t xml:space="preserve">from below the detection limit up to 7.3 </w:t>
      </w:r>
      <w:r w:rsidRPr="00C51DE2">
        <w:rPr>
          <w:lang w:val="en-AU" w:eastAsia="en-AU"/>
        </w:rPr>
        <w:t xml:space="preserve">µmol </w:t>
      </w:r>
      <w:r w:rsidR="00C079A7">
        <w:rPr>
          <w:lang w:val="en-AU" w:eastAsia="en-AU"/>
        </w:rPr>
        <w:t>L</w:t>
      </w:r>
      <w:r w:rsidRPr="003A77F5">
        <w:rPr>
          <w:vertAlign w:val="superscript"/>
          <w:lang w:val="en-AU" w:eastAsia="en-AU"/>
        </w:rPr>
        <w:t xml:space="preserve">-1 </w:t>
      </w:r>
      <w:r w:rsidRPr="00EC6BB8">
        <w:rPr>
          <w:rFonts w:eastAsia="DLEIE B+ Adv T T 2876772e+ 25"/>
          <w:lang w:val="en-AU"/>
        </w:rPr>
        <w:t>(</w:t>
      </w:r>
      <w:r w:rsidRPr="00EC6BB8">
        <w:rPr>
          <w:lang w:val="en-AU" w:eastAsia="en-GB"/>
        </w:rPr>
        <w:t>0.20 ± 0.09</w:t>
      </w:r>
      <w:r w:rsidRPr="00C51DE2">
        <w:rPr>
          <w:lang w:val="en-AU" w:eastAsia="en-AU"/>
        </w:rPr>
        <w:t xml:space="preserve"> </w:t>
      </w:r>
      <w:r w:rsidRPr="003A77F5">
        <w:rPr>
          <w:lang w:val="en-AU" w:eastAsia="en-AU"/>
        </w:rPr>
        <w:t xml:space="preserve">µmol </w:t>
      </w:r>
      <w:r w:rsidR="00C079A7">
        <w:rPr>
          <w:lang w:val="en-AU" w:eastAsia="en-AU"/>
        </w:rPr>
        <w:t>L</w:t>
      </w:r>
      <w:r w:rsidRPr="003A77F5">
        <w:rPr>
          <w:vertAlign w:val="superscript"/>
          <w:lang w:val="en-AU" w:eastAsia="en-AU"/>
        </w:rPr>
        <w:t>-1</w:t>
      </w:r>
      <w:r w:rsidRPr="00EC6BB8">
        <w:rPr>
          <w:lang w:val="en-AU" w:eastAsia="en-GB"/>
        </w:rPr>
        <w:t xml:space="preserve">) and </w:t>
      </w:r>
      <w:r w:rsidRPr="00EC6BB8">
        <w:rPr>
          <w:rFonts w:eastAsia="AdvTimes"/>
          <w:lang w:val="en-AU"/>
        </w:rPr>
        <w:t xml:space="preserve">0.53 </w:t>
      </w:r>
      <w:r w:rsidRPr="00EC6BB8">
        <w:rPr>
          <w:lang w:val="en-AU"/>
        </w:rPr>
        <w:t>µmol L</w:t>
      </w:r>
      <w:r w:rsidRPr="00EC6BB8">
        <w:rPr>
          <w:vertAlign w:val="superscript"/>
          <w:lang w:val="en-AU"/>
        </w:rPr>
        <w:t>–1</w:t>
      </w:r>
      <w:r w:rsidRPr="00EC6BB8">
        <w:rPr>
          <w:rFonts w:eastAsia="AdvTimes"/>
          <w:lang w:val="en-AU"/>
        </w:rPr>
        <w:t xml:space="preserve"> </w:t>
      </w:r>
      <w:r w:rsidRPr="00EC6BB8">
        <w:rPr>
          <w:lang w:val="en-AU" w:eastAsia="en-GB"/>
        </w:rPr>
        <w:t>(0.04 ± 0.06</w:t>
      </w:r>
      <w:r w:rsidRPr="00EC6BB8">
        <w:rPr>
          <w:lang w:val="en-AU"/>
        </w:rPr>
        <w:t xml:space="preserve"> µmol L</w:t>
      </w:r>
      <w:r w:rsidRPr="00EC6BB8">
        <w:rPr>
          <w:vertAlign w:val="superscript"/>
          <w:lang w:val="en-AU"/>
        </w:rPr>
        <w:t>–1</w:t>
      </w:r>
      <w:r w:rsidRPr="00EC6BB8">
        <w:rPr>
          <w:rFonts w:eastAsia="AdvTimes"/>
          <w:lang w:val="en-AU"/>
        </w:rPr>
        <w:t xml:space="preserve">), </w:t>
      </w:r>
      <w:r w:rsidRPr="00EC6BB8">
        <w:rPr>
          <w:lang w:val="en-AU" w:eastAsia="en-GB"/>
        </w:rPr>
        <w:t>respectively (</w:t>
      </w:r>
      <w:r w:rsidR="00EB33A6">
        <w:rPr>
          <w:rFonts w:eastAsiaTheme="minorHAnsi"/>
          <w:lang w:val="en-AU"/>
        </w:rPr>
        <w:fldChar w:fldCharType="begin"/>
      </w:r>
      <w:r w:rsidR="003D550E">
        <w:rPr>
          <w:lang w:val="en-AU" w:eastAsia="en-GB"/>
        </w:rPr>
        <w:instrText xml:space="preserve"> REF _Ref437546757 \h </w:instrText>
      </w:r>
      <w:r w:rsidR="00EB33A6">
        <w:rPr>
          <w:rFonts w:eastAsiaTheme="minorHAnsi"/>
          <w:lang w:val="en-AU"/>
        </w:rPr>
      </w:r>
      <w:r w:rsidR="00EB33A6">
        <w:rPr>
          <w:rFonts w:eastAsiaTheme="minorHAnsi"/>
          <w:lang w:val="en-AU"/>
        </w:rPr>
        <w:fldChar w:fldCharType="separate"/>
      </w:r>
      <w:r w:rsidR="007F5336" w:rsidRPr="00C27BEB">
        <w:t xml:space="preserve">Figure </w:t>
      </w:r>
      <w:r w:rsidR="007F5336">
        <w:rPr>
          <w:noProof/>
        </w:rPr>
        <w:t>7</w:t>
      </w:r>
      <w:r w:rsidR="007F5336">
        <w:noBreakHyphen/>
      </w:r>
      <w:r w:rsidR="007F5336">
        <w:rPr>
          <w:noProof/>
        </w:rPr>
        <w:t>3</w:t>
      </w:r>
      <w:r w:rsidR="00EB33A6">
        <w:rPr>
          <w:rFonts w:eastAsiaTheme="minorHAnsi"/>
          <w:lang w:val="en-AU"/>
        </w:rPr>
        <w:fldChar w:fldCharType="end"/>
      </w:r>
      <w:r w:rsidRPr="00C51DE2">
        <w:rPr>
          <w:rFonts w:eastAsiaTheme="minorHAnsi"/>
          <w:lang w:val="en-AU"/>
        </w:rPr>
        <w:t>a-c). This shows that N</w:t>
      </w:r>
      <w:r w:rsidRPr="00EC6BB8">
        <w:rPr>
          <w:lang w:val="en-AU"/>
        </w:rPr>
        <w:t>O</w:t>
      </w:r>
      <w:r w:rsidRPr="00EC6BB8">
        <w:rPr>
          <w:vertAlign w:val="subscript"/>
          <w:lang w:val="en-AU"/>
        </w:rPr>
        <w:t>3</w:t>
      </w:r>
      <w:r w:rsidRPr="00EC6BB8">
        <w:rPr>
          <w:vertAlign w:val="superscript"/>
          <w:lang w:val="en-AU"/>
        </w:rPr>
        <w:t>-</w:t>
      </w:r>
      <w:r w:rsidRPr="00EC6BB8">
        <w:rPr>
          <w:lang w:val="en-AU" w:eastAsia="en-GB"/>
        </w:rPr>
        <w:t>/</w:t>
      </w:r>
      <w:r w:rsidRPr="00EC6BB8">
        <w:rPr>
          <w:lang w:val="en-AU"/>
        </w:rPr>
        <w:t xml:space="preserve"> NO</w:t>
      </w:r>
      <w:r w:rsidRPr="00EC6BB8">
        <w:rPr>
          <w:vertAlign w:val="subscript"/>
          <w:lang w:val="en-AU"/>
        </w:rPr>
        <w:t>2</w:t>
      </w:r>
      <w:r w:rsidRPr="00EC6BB8">
        <w:rPr>
          <w:vertAlign w:val="superscript"/>
          <w:lang w:val="en-AU"/>
        </w:rPr>
        <w:t>-</w:t>
      </w:r>
      <w:r w:rsidRPr="00EC6BB8">
        <w:rPr>
          <w:lang w:val="en-AU"/>
        </w:rPr>
        <w:t xml:space="preserve"> is the dominating </w:t>
      </w:r>
      <w:r w:rsidR="00C63CD4">
        <w:rPr>
          <w:lang w:val="en-AU"/>
        </w:rPr>
        <w:t xml:space="preserve">dissolved </w:t>
      </w:r>
      <w:r w:rsidRPr="00EC6BB8">
        <w:rPr>
          <w:lang w:val="en-AU"/>
        </w:rPr>
        <w:t xml:space="preserve">inorganic nitrogen species in the study area. </w:t>
      </w:r>
      <w:r w:rsidRPr="00C51DE2">
        <w:rPr>
          <w:rFonts w:eastAsiaTheme="minorHAnsi"/>
          <w:lang w:val="en-AU"/>
        </w:rPr>
        <w:t>Our seasonal data showed that</w:t>
      </w:r>
      <w:r w:rsidRPr="003A77F5">
        <w:rPr>
          <w:rFonts w:eastAsiaTheme="minorHAnsi"/>
          <w:color w:val="000000"/>
          <w:lang w:val="en-AU"/>
        </w:rPr>
        <w:t xml:space="preserve"> dissolved inorganic nutrients reached higher levels during the wet season compared with the late and early dry seasons. </w:t>
      </w:r>
      <w:r w:rsidRPr="003A77F5">
        <w:rPr>
          <w:rFonts w:eastAsiaTheme="minorHAnsi"/>
          <w:lang w:val="en-AU"/>
        </w:rPr>
        <w:t xml:space="preserve">The </w:t>
      </w:r>
      <w:r w:rsidR="00C63CD4" w:rsidRPr="003A77F5">
        <w:rPr>
          <w:rFonts w:eastAsiaTheme="minorHAnsi"/>
          <w:lang w:val="en-AU"/>
        </w:rPr>
        <w:t>long</w:t>
      </w:r>
      <w:r w:rsidR="00C63CD4">
        <w:rPr>
          <w:rFonts w:eastAsiaTheme="minorHAnsi"/>
          <w:lang w:val="en-AU"/>
        </w:rPr>
        <w:t>-</w:t>
      </w:r>
      <w:r w:rsidRPr="003A77F5">
        <w:rPr>
          <w:rFonts w:eastAsiaTheme="minorHAnsi"/>
          <w:lang w:val="en-AU"/>
        </w:rPr>
        <w:t xml:space="preserve">term trends in </w:t>
      </w:r>
      <w:r w:rsidRPr="00EC6BB8">
        <w:rPr>
          <w:lang w:val="en-AU" w:eastAsia="en-GB"/>
        </w:rPr>
        <w:t>HPO</w:t>
      </w:r>
      <w:r w:rsidRPr="00EC6BB8">
        <w:rPr>
          <w:vertAlign w:val="subscript"/>
          <w:lang w:val="en-AU" w:eastAsia="en-GB"/>
        </w:rPr>
        <w:t>4</w:t>
      </w:r>
      <w:r w:rsidRPr="00EC6BB8">
        <w:rPr>
          <w:vertAlign w:val="superscript"/>
          <w:lang w:val="en-AU" w:eastAsia="en-GB"/>
        </w:rPr>
        <w:t>-2</w:t>
      </w:r>
      <w:r w:rsidRPr="00EC6BB8">
        <w:rPr>
          <w:lang w:val="en-AU" w:eastAsia="en-GB"/>
        </w:rPr>
        <w:t xml:space="preserve"> </w:t>
      </w:r>
      <w:r w:rsidRPr="00C51DE2">
        <w:rPr>
          <w:rFonts w:eastAsiaTheme="minorHAnsi"/>
          <w:lang w:val="en-AU"/>
        </w:rPr>
        <w:t xml:space="preserve">reveal </w:t>
      </w:r>
      <w:r w:rsidRPr="003A77F5">
        <w:rPr>
          <w:rFonts w:eastAsiaTheme="minorHAnsi"/>
          <w:lang w:val="en-AU"/>
        </w:rPr>
        <w:t xml:space="preserve">one period with a large decrease in the early 1990’s (from 1992 to 1993), since then the concentrations have generally increased, </w:t>
      </w:r>
      <w:r w:rsidR="00C63CD4">
        <w:rPr>
          <w:rFonts w:eastAsiaTheme="minorHAnsi"/>
          <w:lang w:val="en-AU"/>
        </w:rPr>
        <w:t>al</w:t>
      </w:r>
      <w:r w:rsidRPr="003A77F5">
        <w:rPr>
          <w:rFonts w:eastAsiaTheme="minorHAnsi"/>
          <w:lang w:val="en-AU"/>
        </w:rPr>
        <w:t>though with some variations (oscillations vary between 3 and 5 years) in the concentrations (</w:t>
      </w:r>
      <w:r w:rsidR="00EB33A6">
        <w:rPr>
          <w:rFonts w:eastAsiaTheme="minorHAnsi"/>
          <w:lang w:val="en-AU"/>
        </w:rPr>
        <w:fldChar w:fldCharType="begin"/>
      </w:r>
      <w:r w:rsidR="003D550E">
        <w:rPr>
          <w:rFonts w:eastAsiaTheme="minorHAnsi"/>
          <w:lang w:val="en-AU"/>
        </w:rPr>
        <w:instrText xml:space="preserve"> REF _Ref437546757 \h </w:instrText>
      </w:r>
      <w:r w:rsidR="00EB33A6">
        <w:rPr>
          <w:rFonts w:eastAsiaTheme="minorHAnsi"/>
          <w:lang w:val="en-AU"/>
        </w:rPr>
      </w:r>
      <w:r w:rsidR="00EB33A6">
        <w:rPr>
          <w:rFonts w:eastAsiaTheme="minorHAnsi"/>
          <w:lang w:val="en-AU"/>
        </w:rPr>
        <w:fldChar w:fldCharType="separate"/>
      </w:r>
      <w:r w:rsidR="007F5336" w:rsidRPr="00C27BEB">
        <w:t xml:space="preserve">Figure </w:t>
      </w:r>
      <w:r w:rsidR="007F5336">
        <w:rPr>
          <w:noProof/>
        </w:rPr>
        <w:t>7</w:t>
      </w:r>
      <w:r w:rsidR="007F5336">
        <w:noBreakHyphen/>
      </w:r>
      <w:r w:rsidR="007F5336">
        <w:rPr>
          <w:noProof/>
        </w:rPr>
        <w:t>3</w:t>
      </w:r>
      <w:r w:rsidR="00EB33A6">
        <w:rPr>
          <w:rFonts w:eastAsiaTheme="minorHAnsi"/>
          <w:lang w:val="en-AU"/>
        </w:rPr>
        <w:fldChar w:fldCharType="end"/>
      </w:r>
      <w:r w:rsidRPr="003A77F5">
        <w:rPr>
          <w:rFonts w:eastAsiaTheme="minorHAnsi"/>
          <w:lang w:val="en-AU"/>
        </w:rPr>
        <w:t>a). The measurements of</w:t>
      </w:r>
      <w:r w:rsidRPr="00EC6BB8">
        <w:rPr>
          <w:lang w:val="en-AU"/>
        </w:rPr>
        <w:t xml:space="preserve"> NH</w:t>
      </w:r>
      <w:r w:rsidRPr="00EC6BB8">
        <w:rPr>
          <w:vertAlign w:val="subscript"/>
          <w:lang w:val="en-AU"/>
        </w:rPr>
        <w:t>4</w:t>
      </w:r>
      <w:r w:rsidRPr="00EC6BB8">
        <w:rPr>
          <w:vertAlign w:val="superscript"/>
          <w:lang w:val="en-AU"/>
        </w:rPr>
        <w:t>+</w:t>
      </w:r>
      <w:r w:rsidRPr="00EC6BB8">
        <w:rPr>
          <w:lang w:val="en-AU"/>
        </w:rPr>
        <w:t xml:space="preserve"> was only commenced in </w:t>
      </w:r>
      <w:r w:rsidRPr="00C51DE2">
        <w:rPr>
          <w:rFonts w:eastAsiaTheme="minorHAnsi"/>
          <w:lang w:val="en-AU"/>
        </w:rPr>
        <w:t>1997, with some few gap years (1999, 2004 and 2005)</w:t>
      </w:r>
      <w:r w:rsidR="00C63CD4">
        <w:rPr>
          <w:rFonts w:eastAsiaTheme="minorHAnsi"/>
          <w:lang w:val="en-AU"/>
        </w:rPr>
        <w:t>. D</w:t>
      </w:r>
      <w:r w:rsidRPr="00C51DE2">
        <w:rPr>
          <w:rFonts w:eastAsiaTheme="minorHAnsi"/>
          <w:lang w:val="en-AU"/>
        </w:rPr>
        <w:t>espite this</w:t>
      </w:r>
      <w:r w:rsidR="00C63CD4">
        <w:rPr>
          <w:rFonts w:eastAsiaTheme="minorHAnsi"/>
          <w:lang w:val="en-AU"/>
        </w:rPr>
        <w:t>,</w:t>
      </w:r>
      <w:r w:rsidRPr="00C51DE2">
        <w:rPr>
          <w:rFonts w:eastAsiaTheme="minorHAnsi"/>
          <w:lang w:val="en-AU"/>
        </w:rPr>
        <w:t xml:space="preserve"> our </w:t>
      </w:r>
      <w:r w:rsidRPr="003A77F5">
        <w:rPr>
          <w:rFonts w:eastAsiaTheme="minorHAnsi"/>
          <w:color w:val="000000"/>
          <w:lang w:val="en-AU"/>
        </w:rPr>
        <w:t xml:space="preserve">GAMM </w:t>
      </w:r>
      <w:r w:rsidRPr="003A77F5">
        <w:rPr>
          <w:rFonts w:eastAsiaTheme="minorHAnsi"/>
          <w:lang w:val="en-AU"/>
        </w:rPr>
        <w:t>analysis showed both periods of increasing (late 1990’s, early 2000s and from 2013 onwards) and declining (between 2003 and 2012) concentrations (</w:t>
      </w:r>
      <w:r w:rsidR="00EB33A6">
        <w:rPr>
          <w:rFonts w:eastAsiaTheme="minorHAnsi"/>
          <w:lang w:val="en-AU"/>
        </w:rPr>
        <w:fldChar w:fldCharType="begin"/>
      </w:r>
      <w:r w:rsidR="003D550E">
        <w:rPr>
          <w:rFonts w:eastAsiaTheme="minorHAnsi"/>
          <w:lang w:val="en-AU"/>
        </w:rPr>
        <w:instrText xml:space="preserve"> REF _Ref437546757 \h </w:instrText>
      </w:r>
      <w:r w:rsidR="00EB33A6">
        <w:rPr>
          <w:rFonts w:eastAsiaTheme="minorHAnsi"/>
          <w:lang w:val="en-AU"/>
        </w:rPr>
      </w:r>
      <w:r w:rsidR="00EB33A6">
        <w:rPr>
          <w:rFonts w:eastAsiaTheme="minorHAnsi"/>
          <w:lang w:val="en-AU"/>
        </w:rPr>
        <w:fldChar w:fldCharType="separate"/>
      </w:r>
      <w:r w:rsidR="007F5336" w:rsidRPr="00C27BEB">
        <w:t xml:space="preserve">Figure </w:t>
      </w:r>
      <w:r w:rsidR="007F5336">
        <w:rPr>
          <w:noProof/>
        </w:rPr>
        <w:t>7</w:t>
      </w:r>
      <w:r w:rsidR="007F5336">
        <w:noBreakHyphen/>
      </w:r>
      <w:r w:rsidR="007F5336">
        <w:rPr>
          <w:noProof/>
        </w:rPr>
        <w:t>3</w:t>
      </w:r>
      <w:r w:rsidR="00EB33A6">
        <w:rPr>
          <w:rFonts w:eastAsiaTheme="minorHAnsi"/>
          <w:lang w:val="en-AU"/>
        </w:rPr>
        <w:fldChar w:fldCharType="end"/>
      </w:r>
      <w:r w:rsidRPr="003A77F5">
        <w:rPr>
          <w:rFonts w:eastAsiaTheme="minorHAnsi"/>
          <w:lang w:val="en-AU"/>
        </w:rPr>
        <w:t>b).</w:t>
      </w:r>
      <w:r w:rsidRPr="003A77F5">
        <w:rPr>
          <w:rFonts w:eastAsiaTheme="minorHAnsi"/>
          <w:color w:val="000000"/>
          <w:lang w:val="en-AU"/>
        </w:rPr>
        <w:t xml:space="preserve"> The long term </w:t>
      </w:r>
      <w:r w:rsidRPr="00EC6BB8">
        <w:rPr>
          <w:lang w:val="en-AU"/>
        </w:rPr>
        <w:t>NO</w:t>
      </w:r>
      <w:r w:rsidRPr="00EC6BB8">
        <w:rPr>
          <w:vertAlign w:val="subscript"/>
          <w:lang w:val="en-AU"/>
        </w:rPr>
        <w:t>3</w:t>
      </w:r>
      <w:r w:rsidRPr="00EC6BB8">
        <w:rPr>
          <w:vertAlign w:val="superscript"/>
          <w:lang w:val="en-AU"/>
        </w:rPr>
        <w:t>-</w:t>
      </w:r>
      <w:r w:rsidRPr="00EC6BB8">
        <w:rPr>
          <w:lang w:val="en-AU" w:eastAsia="en-GB"/>
        </w:rPr>
        <w:t>/</w:t>
      </w:r>
      <w:r w:rsidRPr="00EC6BB8">
        <w:rPr>
          <w:lang w:val="en-AU"/>
        </w:rPr>
        <w:t xml:space="preserve"> NO</w:t>
      </w:r>
      <w:r w:rsidRPr="00EC6BB8">
        <w:rPr>
          <w:vertAlign w:val="subscript"/>
          <w:lang w:val="en-AU"/>
        </w:rPr>
        <w:t>2</w:t>
      </w:r>
      <w:r w:rsidRPr="00EC6BB8">
        <w:rPr>
          <w:vertAlign w:val="superscript"/>
          <w:lang w:val="en-AU"/>
        </w:rPr>
        <w:t>-</w:t>
      </w:r>
      <w:r w:rsidRPr="00C51DE2">
        <w:rPr>
          <w:rFonts w:eastAsiaTheme="minorHAnsi"/>
          <w:color w:val="000000"/>
          <w:lang w:val="en-AU"/>
        </w:rPr>
        <w:t xml:space="preserve"> </w:t>
      </w:r>
      <w:r w:rsidRPr="003A77F5">
        <w:rPr>
          <w:rFonts w:eastAsiaTheme="minorHAnsi"/>
          <w:color w:val="000000"/>
          <w:lang w:val="en-AU"/>
        </w:rPr>
        <w:t>CaTS data (</w:t>
      </w:r>
      <w:r w:rsidR="00EB33A6">
        <w:rPr>
          <w:rFonts w:eastAsiaTheme="minorHAnsi"/>
          <w:color w:val="000066"/>
          <w:lang w:val="en-AU"/>
        </w:rPr>
        <w:fldChar w:fldCharType="begin"/>
      </w:r>
      <w:r w:rsidR="003D550E">
        <w:rPr>
          <w:rFonts w:eastAsiaTheme="minorHAnsi"/>
          <w:color w:val="000000"/>
          <w:lang w:val="en-AU"/>
        </w:rPr>
        <w:instrText xml:space="preserve"> REF _Ref437546757 \h </w:instrText>
      </w:r>
      <w:r w:rsidR="00EB33A6">
        <w:rPr>
          <w:rFonts w:eastAsiaTheme="minorHAnsi"/>
          <w:color w:val="000066"/>
          <w:lang w:val="en-AU"/>
        </w:rPr>
      </w:r>
      <w:r w:rsidR="00EB33A6">
        <w:rPr>
          <w:rFonts w:eastAsiaTheme="minorHAnsi"/>
          <w:color w:val="000066"/>
          <w:lang w:val="en-AU"/>
        </w:rPr>
        <w:fldChar w:fldCharType="separate"/>
      </w:r>
      <w:r w:rsidR="007F5336" w:rsidRPr="00C27BEB">
        <w:t xml:space="preserve">Figure </w:t>
      </w:r>
      <w:r w:rsidR="007F5336">
        <w:rPr>
          <w:noProof/>
        </w:rPr>
        <w:t>7</w:t>
      </w:r>
      <w:r w:rsidR="007F5336">
        <w:noBreakHyphen/>
      </w:r>
      <w:r w:rsidR="007F5336">
        <w:rPr>
          <w:noProof/>
        </w:rPr>
        <w:t>3</w:t>
      </w:r>
      <w:r w:rsidR="00EB33A6">
        <w:rPr>
          <w:rFonts w:eastAsiaTheme="minorHAnsi"/>
          <w:color w:val="000066"/>
          <w:lang w:val="en-AU"/>
        </w:rPr>
        <w:fldChar w:fldCharType="end"/>
      </w:r>
      <w:r w:rsidRPr="003A77F5">
        <w:rPr>
          <w:rFonts w:eastAsiaTheme="minorHAnsi"/>
          <w:color w:val="000066"/>
          <w:lang w:val="en-AU"/>
        </w:rPr>
        <w:t>c</w:t>
      </w:r>
      <w:r w:rsidRPr="003A77F5">
        <w:rPr>
          <w:rFonts w:eastAsiaTheme="minorHAnsi"/>
          <w:color w:val="000000"/>
          <w:lang w:val="en-AU"/>
        </w:rPr>
        <w:t>), show distinct periods of declining (e.g. early 199</w:t>
      </w:r>
      <w:r w:rsidRPr="00F77F98">
        <w:rPr>
          <w:rFonts w:eastAsiaTheme="minorHAnsi"/>
          <w:color w:val="000000"/>
          <w:lang w:val="en-AU"/>
        </w:rPr>
        <w:t xml:space="preserve">0’s) and increasing concentrations (e.g. 1990s, and again in the mid and late 2000’s) </w:t>
      </w:r>
      <w:r w:rsidRPr="00F77F98">
        <w:rPr>
          <w:rFonts w:eastAsiaTheme="minorHAnsi"/>
          <w:lang w:val="en-AU"/>
        </w:rPr>
        <w:t>(</w:t>
      </w:r>
      <w:r w:rsidR="00EB33A6">
        <w:rPr>
          <w:rFonts w:eastAsiaTheme="minorHAnsi"/>
          <w:lang w:val="en-AU"/>
        </w:rPr>
        <w:fldChar w:fldCharType="begin"/>
      </w:r>
      <w:r w:rsidR="003D550E">
        <w:rPr>
          <w:rFonts w:eastAsiaTheme="minorHAnsi"/>
          <w:lang w:val="en-AU"/>
        </w:rPr>
        <w:instrText xml:space="preserve"> REF _Ref437546757 \h </w:instrText>
      </w:r>
      <w:r w:rsidR="00EB33A6">
        <w:rPr>
          <w:rFonts w:eastAsiaTheme="minorHAnsi"/>
          <w:lang w:val="en-AU"/>
        </w:rPr>
      </w:r>
      <w:r w:rsidR="00EB33A6">
        <w:rPr>
          <w:rFonts w:eastAsiaTheme="minorHAnsi"/>
          <w:lang w:val="en-AU"/>
        </w:rPr>
        <w:fldChar w:fldCharType="separate"/>
      </w:r>
      <w:r w:rsidR="007F5336" w:rsidRPr="00C27BEB">
        <w:t xml:space="preserve">Figure </w:t>
      </w:r>
      <w:r w:rsidR="007F5336">
        <w:rPr>
          <w:noProof/>
        </w:rPr>
        <w:t>7</w:t>
      </w:r>
      <w:r w:rsidR="007F5336">
        <w:noBreakHyphen/>
      </w:r>
      <w:r w:rsidR="007F5336">
        <w:rPr>
          <w:noProof/>
        </w:rPr>
        <w:t>3</w:t>
      </w:r>
      <w:r w:rsidR="00EB33A6">
        <w:rPr>
          <w:rFonts w:eastAsiaTheme="minorHAnsi"/>
          <w:lang w:val="en-AU"/>
        </w:rPr>
        <w:fldChar w:fldCharType="end"/>
      </w:r>
      <w:r w:rsidRPr="00F77F98">
        <w:rPr>
          <w:rFonts w:eastAsiaTheme="minorHAnsi"/>
          <w:lang w:val="en-AU"/>
        </w:rPr>
        <w:t>b). The SiO</w:t>
      </w:r>
      <w:r w:rsidRPr="002A0F81">
        <w:rPr>
          <w:rFonts w:eastAsiaTheme="minorHAnsi"/>
          <w:vertAlign w:val="subscript"/>
          <w:lang w:val="en-AU"/>
        </w:rPr>
        <w:t xml:space="preserve">4 </w:t>
      </w:r>
      <w:r w:rsidRPr="002A0F81">
        <w:rPr>
          <w:rFonts w:eastAsiaTheme="minorHAnsi"/>
          <w:lang w:val="en-AU"/>
        </w:rPr>
        <w:t>concentrations ranged between values below the detection limit up to 60.1 µmol L</w:t>
      </w:r>
      <w:r w:rsidRPr="0074693A">
        <w:rPr>
          <w:rFonts w:eastAsiaTheme="minorHAnsi"/>
          <w:vertAlign w:val="superscript"/>
          <w:lang w:val="en-AU"/>
        </w:rPr>
        <w:t>–1</w:t>
      </w:r>
      <w:r w:rsidRPr="0074693A">
        <w:rPr>
          <w:rFonts w:eastAsiaTheme="minorHAnsi"/>
          <w:lang w:val="en-AU"/>
        </w:rPr>
        <w:t xml:space="preserve"> (5.2 ± 4.8 µmol L</w:t>
      </w:r>
      <w:r w:rsidRPr="0074693A">
        <w:rPr>
          <w:rFonts w:eastAsiaTheme="minorHAnsi"/>
          <w:vertAlign w:val="superscript"/>
          <w:lang w:val="en-AU"/>
        </w:rPr>
        <w:t>–1</w:t>
      </w:r>
      <w:r w:rsidRPr="00D07C74">
        <w:rPr>
          <w:rFonts w:eastAsiaTheme="minorHAnsi"/>
          <w:lang w:val="en-AU"/>
        </w:rPr>
        <w:t>) (</w:t>
      </w:r>
      <w:r w:rsidR="00EB33A6">
        <w:rPr>
          <w:rFonts w:eastAsiaTheme="minorHAnsi"/>
          <w:lang w:val="en-AU"/>
        </w:rPr>
        <w:fldChar w:fldCharType="begin"/>
      </w:r>
      <w:r w:rsidR="003D550E">
        <w:rPr>
          <w:rFonts w:eastAsiaTheme="minorHAnsi"/>
          <w:lang w:val="en-AU"/>
        </w:rPr>
        <w:instrText xml:space="preserve"> REF _Ref437546757 \h </w:instrText>
      </w:r>
      <w:r w:rsidR="00EB33A6">
        <w:rPr>
          <w:rFonts w:eastAsiaTheme="minorHAnsi"/>
          <w:lang w:val="en-AU"/>
        </w:rPr>
      </w:r>
      <w:r w:rsidR="00EB33A6">
        <w:rPr>
          <w:rFonts w:eastAsiaTheme="minorHAnsi"/>
          <w:lang w:val="en-AU"/>
        </w:rPr>
        <w:fldChar w:fldCharType="separate"/>
      </w:r>
      <w:r w:rsidR="007F5336" w:rsidRPr="00C27BEB">
        <w:t xml:space="preserve">Figure </w:t>
      </w:r>
      <w:r w:rsidR="007F5336">
        <w:rPr>
          <w:noProof/>
        </w:rPr>
        <w:t>7</w:t>
      </w:r>
      <w:r w:rsidR="007F5336">
        <w:noBreakHyphen/>
      </w:r>
      <w:r w:rsidR="007F5336">
        <w:rPr>
          <w:noProof/>
        </w:rPr>
        <w:t>3</w:t>
      </w:r>
      <w:r w:rsidR="00EB33A6">
        <w:rPr>
          <w:rFonts w:eastAsiaTheme="minorHAnsi"/>
          <w:lang w:val="en-AU"/>
        </w:rPr>
        <w:fldChar w:fldCharType="end"/>
      </w:r>
      <w:r w:rsidRPr="00D07C74">
        <w:rPr>
          <w:rFonts w:eastAsiaTheme="minorHAnsi"/>
          <w:lang w:val="en-AU"/>
        </w:rPr>
        <w:t xml:space="preserve">d). The highest concentrations were consistently found at the stations which were closest to mouths of the largest rivers (Barron and Daintree rivers), reflecting the inputs of high-Si freshwater runoff into this zone and its subsequent mineralization in the coastal sediments. The initial </w:t>
      </w:r>
      <w:r w:rsidRPr="001E1058">
        <w:rPr>
          <w:rFonts w:eastAsiaTheme="minorHAnsi"/>
          <w:lang w:val="en-AU"/>
        </w:rPr>
        <w:t>stable SiO</w:t>
      </w:r>
      <w:r w:rsidRPr="001E1058">
        <w:rPr>
          <w:rFonts w:eastAsiaTheme="minorHAnsi"/>
          <w:vertAlign w:val="subscript"/>
          <w:lang w:val="en-AU"/>
        </w:rPr>
        <w:t xml:space="preserve">4 </w:t>
      </w:r>
      <w:r w:rsidRPr="001E1058">
        <w:rPr>
          <w:rFonts w:eastAsiaTheme="minorHAnsi"/>
          <w:lang w:val="en-AU"/>
        </w:rPr>
        <w:t>levels were followed by oscillations (increase and decrease), which took place over longer periods (more than 5 years) than found for the analysis of inorganic nitrogen and phosphate (between 3 and 5 years) (</w:t>
      </w:r>
      <w:r w:rsidR="00EB33A6">
        <w:rPr>
          <w:rFonts w:eastAsiaTheme="minorHAnsi"/>
          <w:lang w:val="en-AU"/>
        </w:rPr>
        <w:fldChar w:fldCharType="begin"/>
      </w:r>
      <w:r w:rsidR="003D550E">
        <w:rPr>
          <w:rFonts w:eastAsiaTheme="minorHAnsi"/>
          <w:lang w:val="en-AU"/>
        </w:rPr>
        <w:instrText xml:space="preserve"> REF _Ref437546757 \h </w:instrText>
      </w:r>
      <w:r w:rsidR="00EB33A6">
        <w:rPr>
          <w:rFonts w:eastAsiaTheme="minorHAnsi"/>
          <w:lang w:val="en-AU"/>
        </w:rPr>
      </w:r>
      <w:r w:rsidR="00EB33A6">
        <w:rPr>
          <w:rFonts w:eastAsiaTheme="minorHAnsi"/>
          <w:lang w:val="en-AU"/>
        </w:rPr>
        <w:fldChar w:fldCharType="separate"/>
      </w:r>
      <w:r w:rsidR="007F5336" w:rsidRPr="00C27BEB">
        <w:t xml:space="preserve">Figure </w:t>
      </w:r>
      <w:r w:rsidR="007F5336">
        <w:rPr>
          <w:noProof/>
        </w:rPr>
        <w:t>7</w:t>
      </w:r>
      <w:r w:rsidR="007F5336">
        <w:noBreakHyphen/>
      </w:r>
      <w:r w:rsidR="007F5336">
        <w:rPr>
          <w:noProof/>
        </w:rPr>
        <w:t>3</w:t>
      </w:r>
      <w:r w:rsidR="00EB33A6">
        <w:rPr>
          <w:rFonts w:eastAsiaTheme="minorHAnsi"/>
          <w:lang w:val="en-AU"/>
        </w:rPr>
        <w:fldChar w:fldCharType="end"/>
      </w:r>
      <w:r w:rsidRPr="001E1058">
        <w:rPr>
          <w:rFonts w:eastAsiaTheme="minorHAnsi"/>
          <w:lang w:val="en-AU"/>
        </w:rPr>
        <w:t xml:space="preserve">a-c). </w:t>
      </w:r>
    </w:p>
    <w:p w14:paraId="5F22F316" w14:textId="36BACF4E" w:rsidR="008645FA" w:rsidRPr="00EC6BB8" w:rsidRDefault="00C5766D" w:rsidP="00C5766D">
      <w:pPr>
        <w:rPr>
          <w:lang w:val="en-AU"/>
        </w:rPr>
      </w:pPr>
      <w:r w:rsidRPr="007646B4">
        <w:rPr>
          <w:rFonts w:cs="Arial"/>
          <w:szCs w:val="22"/>
        </w:rPr>
        <w:t xml:space="preserve">The stoichiometric ratios of the molar inorganic nutrient concentrations, is often used to determine the ultimate limiting nutrients by comparing the </w:t>
      </w:r>
      <w:r w:rsidRPr="007646B4">
        <w:rPr>
          <w:rFonts w:cs="Arial"/>
          <w:szCs w:val="22"/>
          <w:lang w:val="en-AU" w:eastAsia="en-AU"/>
        </w:rPr>
        <w:t>average phytoplankton biomass</w:t>
      </w:r>
      <w:r w:rsidRPr="007646B4">
        <w:rPr>
          <w:rFonts w:cs="Arial"/>
          <w:szCs w:val="22"/>
        </w:rPr>
        <w:t xml:space="preserve"> ratios (termed the “Redfield ratio”), which is expressed as the relative abundances of carbon, nitrogen, phosphorus and silicate (C</w:t>
      </w:r>
      <w:r w:rsidRPr="007646B4">
        <w:rPr>
          <w:rFonts w:cs="Arial"/>
          <w:szCs w:val="22"/>
          <w:vertAlign w:val="subscript"/>
        </w:rPr>
        <w:t>106</w:t>
      </w:r>
      <w:r w:rsidRPr="007646B4">
        <w:rPr>
          <w:rFonts w:cs="Arial"/>
          <w:szCs w:val="22"/>
        </w:rPr>
        <w:t>:N</w:t>
      </w:r>
      <w:r w:rsidRPr="007646B4">
        <w:rPr>
          <w:rFonts w:cs="Arial"/>
          <w:szCs w:val="22"/>
          <w:vertAlign w:val="subscript"/>
        </w:rPr>
        <w:t>16</w:t>
      </w:r>
      <w:r w:rsidRPr="007646B4">
        <w:rPr>
          <w:rFonts w:cs="Arial"/>
          <w:szCs w:val="22"/>
        </w:rPr>
        <w:t>:P</w:t>
      </w:r>
      <w:r w:rsidRPr="007646B4">
        <w:rPr>
          <w:rFonts w:cs="Arial"/>
          <w:szCs w:val="22"/>
          <w:vertAlign w:val="subscript"/>
        </w:rPr>
        <w:t>1</w:t>
      </w:r>
      <w:r w:rsidRPr="007646B4">
        <w:rPr>
          <w:rFonts w:cs="Arial"/>
          <w:szCs w:val="22"/>
        </w:rPr>
        <w:t>:Si</w:t>
      </w:r>
      <w:r w:rsidRPr="007646B4">
        <w:rPr>
          <w:rFonts w:cs="Arial"/>
          <w:szCs w:val="22"/>
          <w:vertAlign w:val="subscript"/>
        </w:rPr>
        <w:t>16</w:t>
      </w:r>
      <w:r w:rsidRPr="007646B4">
        <w:rPr>
          <w:rFonts w:cs="Arial"/>
          <w:szCs w:val="22"/>
        </w:rPr>
        <w:t xml:space="preserve">) </w:t>
      </w:r>
      <w:r w:rsidRPr="007646B4">
        <w:rPr>
          <w:rFonts w:cs="Arial"/>
          <w:szCs w:val="22"/>
          <w:lang w:val="en-AU" w:eastAsia="en-AU"/>
        </w:rPr>
        <w:t>(Redfield 1958).</w:t>
      </w:r>
      <w:r>
        <w:rPr>
          <w:rFonts w:cs="Arial"/>
          <w:szCs w:val="22"/>
          <w:lang w:val="en-AU" w:eastAsia="en-AU"/>
        </w:rPr>
        <w:t xml:space="preserve"> </w:t>
      </w:r>
      <w:r w:rsidR="008645FA" w:rsidRPr="001E1058">
        <w:rPr>
          <w:rFonts w:eastAsiaTheme="minorHAnsi"/>
          <w:lang w:val="en-AU"/>
        </w:rPr>
        <w:t xml:space="preserve">On the basis of the </w:t>
      </w:r>
      <w:r w:rsidR="008645FA" w:rsidRPr="001E1058">
        <w:rPr>
          <w:rFonts w:eastAsia="AdvTimes"/>
          <w:color w:val="000000"/>
          <w:lang w:val="en-AU"/>
        </w:rPr>
        <w:t>inorganic phosphate, nitrogen (DIN</w:t>
      </w:r>
      <w:r w:rsidR="00C63CD4">
        <w:rPr>
          <w:rFonts w:eastAsia="AdvTimes"/>
          <w:color w:val="000000"/>
          <w:lang w:val="en-AU"/>
        </w:rPr>
        <w:t>,</w:t>
      </w:r>
      <w:r w:rsidR="008645FA" w:rsidRPr="001E1058">
        <w:rPr>
          <w:rFonts w:eastAsia="AdvTimes"/>
          <w:color w:val="000000"/>
          <w:lang w:val="en-AU"/>
        </w:rPr>
        <w:t xml:space="preserve"> the sum of </w:t>
      </w:r>
      <w:r w:rsidR="008645FA" w:rsidRPr="00EC6BB8">
        <w:rPr>
          <w:lang w:val="en-AU"/>
        </w:rPr>
        <w:t>NO</w:t>
      </w:r>
      <w:r w:rsidR="008645FA" w:rsidRPr="00EC6BB8">
        <w:rPr>
          <w:vertAlign w:val="subscript"/>
          <w:lang w:val="en-AU"/>
        </w:rPr>
        <w:t>3</w:t>
      </w:r>
      <w:r w:rsidR="008645FA" w:rsidRPr="00EC6BB8">
        <w:rPr>
          <w:vertAlign w:val="superscript"/>
          <w:lang w:val="en-AU"/>
        </w:rPr>
        <w:t>-</w:t>
      </w:r>
      <w:r w:rsidR="008645FA" w:rsidRPr="00EC6BB8">
        <w:rPr>
          <w:lang w:val="en-AU" w:eastAsia="en-GB"/>
        </w:rPr>
        <w:t>/</w:t>
      </w:r>
      <w:r w:rsidR="008645FA" w:rsidRPr="00EC6BB8">
        <w:rPr>
          <w:lang w:val="en-AU"/>
        </w:rPr>
        <w:t xml:space="preserve"> NO</w:t>
      </w:r>
      <w:r w:rsidR="008645FA" w:rsidRPr="00EC6BB8">
        <w:rPr>
          <w:vertAlign w:val="subscript"/>
          <w:lang w:val="en-AU"/>
        </w:rPr>
        <w:t>2</w:t>
      </w:r>
      <w:r w:rsidR="008645FA" w:rsidRPr="00EC6BB8">
        <w:rPr>
          <w:vertAlign w:val="superscript"/>
          <w:lang w:val="en-AU"/>
        </w:rPr>
        <w:t>-</w:t>
      </w:r>
      <w:r w:rsidR="008645FA" w:rsidRPr="00C51DE2">
        <w:rPr>
          <w:rFonts w:eastAsiaTheme="minorHAnsi"/>
          <w:color w:val="000000"/>
          <w:lang w:val="en-AU"/>
        </w:rPr>
        <w:t xml:space="preserve"> </w:t>
      </w:r>
      <w:r w:rsidR="008645FA" w:rsidRPr="003A77F5">
        <w:rPr>
          <w:rFonts w:eastAsiaTheme="minorHAnsi"/>
          <w:color w:val="000000"/>
          <w:lang w:val="en-AU"/>
        </w:rPr>
        <w:t xml:space="preserve">and where available </w:t>
      </w:r>
      <w:r w:rsidR="008645FA" w:rsidRPr="00EC6BB8">
        <w:rPr>
          <w:lang w:val="en-AU"/>
        </w:rPr>
        <w:t>NH</w:t>
      </w:r>
      <w:r w:rsidR="008645FA" w:rsidRPr="00EC6BB8">
        <w:rPr>
          <w:vertAlign w:val="subscript"/>
          <w:lang w:val="en-AU"/>
        </w:rPr>
        <w:t>4</w:t>
      </w:r>
      <w:r w:rsidR="008645FA" w:rsidRPr="00EC6BB8">
        <w:rPr>
          <w:vertAlign w:val="superscript"/>
          <w:lang w:val="en-AU"/>
        </w:rPr>
        <w:t>+</w:t>
      </w:r>
      <w:r>
        <w:rPr>
          <w:rFonts w:eastAsia="AdvTimes"/>
          <w:color w:val="000000"/>
          <w:lang w:val="en-AU"/>
        </w:rPr>
        <w:t>) and s</w:t>
      </w:r>
      <w:r w:rsidR="008645FA" w:rsidRPr="00C51DE2">
        <w:rPr>
          <w:rFonts w:eastAsia="AdvTimes"/>
          <w:color w:val="000000"/>
          <w:lang w:val="en-AU"/>
        </w:rPr>
        <w:t xml:space="preserve">ilicate </w:t>
      </w:r>
      <w:r>
        <w:rPr>
          <w:rFonts w:eastAsia="AdvTimes"/>
          <w:color w:val="000000"/>
          <w:lang w:val="en-AU"/>
        </w:rPr>
        <w:t xml:space="preserve">concentrations </w:t>
      </w:r>
      <w:r w:rsidR="008645FA" w:rsidRPr="00C51DE2">
        <w:rPr>
          <w:rFonts w:eastAsia="AdvTimes"/>
          <w:color w:val="000000"/>
          <w:lang w:val="en-AU"/>
        </w:rPr>
        <w:t xml:space="preserve">average molar ratios were obtained. The </w:t>
      </w:r>
      <w:r w:rsidR="008645FA" w:rsidRPr="00EC6BB8">
        <w:rPr>
          <w:lang w:val="en-AU"/>
        </w:rPr>
        <w:t>DIN:</w:t>
      </w:r>
      <w:r w:rsidR="008645FA" w:rsidRPr="00C51DE2">
        <w:rPr>
          <w:rFonts w:eastAsiaTheme="minorHAnsi"/>
          <w:lang w:val="en-AU"/>
        </w:rPr>
        <w:t xml:space="preserve"> </w:t>
      </w:r>
      <w:r w:rsidR="008645FA" w:rsidRPr="00EC6BB8">
        <w:rPr>
          <w:lang w:val="en-AU" w:eastAsia="en-GB"/>
        </w:rPr>
        <w:t>HPO</w:t>
      </w:r>
      <w:r w:rsidR="008645FA" w:rsidRPr="00EC6BB8">
        <w:rPr>
          <w:vertAlign w:val="subscript"/>
          <w:lang w:val="en-AU" w:eastAsia="en-GB"/>
        </w:rPr>
        <w:t>4</w:t>
      </w:r>
      <w:r w:rsidR="008645FA" w:rsidRPr="00EC6BB8">
        <w:rPr>
          <w:vertAlign w:val="superscript"/>
          <w:lang w:val="en-AU" w:eastAsia="en-GB"/>
        </w:rPr>
        <w:t>-2</w:t>
      </w:r>
      <w:r w:rsidR="008645FA" w:rsidRPr="00EC6BB8">
        <w:rPr>
          <w:vertAlign w:val="subscript"/>
          <w:lang w:val="en-AU" w:eastAsia="en-GB"/>
        </w:rPr>
        <w:t xml:space="preserve"> </w:t>
      </w:r>
      <w:r w:rsidR="008645FA" w:rsidRPr="00C51DE2">
        <w:rPr>
          <w:rFonts w:eastAsiaTheme="minorHAnsi"/>
          <w:lang w:val="en-AU"/>
        </w:rPr>
        <w:t xml:space="preserve">ratio at </w:t>
      </w:r>
      <w:r w:rsidR="008645FA" w:rsidRPr="003A77F5">
        <w:rPr>
          <w:rFonts w:eastAsiaTheme="minorHAnsi"/>
          <w:lang w:val="en-AU"/>
        </w:rPr>
        <w:t xml:space="preserve">CaTS ranged from 1 to 24, with an average of </w:t>
      </w:r>
      <w:r w:rsidR="008645FA" w:rsidRPr="00EC6BB8">
        <w:rPr>
          <w:lang w:val="en-AU" w:eastAsia="en-GB"/>
        </w:rPr>
        <w:t xml:space="preserve">1.1 ± 1.9, which indicates </w:t>
      </w:r>
      <w:r w:rsidR="008645FA" w:rsidRPr="00EC6BB8">
        <w:rPr>
          <w:lang w:val="en-AU"/>
        </w:rPr>
        <w:t>a strong N-limitation of the system as also suggested in previous studies (Furnas et al.</w:t>
      </w:r>
      <w:r w:rsidR="008F6D8B">
        <w:rPr>
          <w:lang w:val="en-AU"/>
        </w:rPr>
        <w:t>,</w:t>
      </w:r>
      <w:r w:rsidR="008645FA" w:rsidRPr="00EC6BB8">
        <w:rPr>
          <w:lang w:val="en-AU"/>
        </w:rPr>
        <w:t xml:space="preserve"> 2005</w:t>
      </w:r>
      <w:r>
        <w:rPr>
          <w:lang w:val="en-AU"/>
        </w:rPr>
        <w:t xml:space="preserve">; </w:t>
      </w:r>
      <w:r>
        <w:t>Schaffelke et al.</w:t>
      </w:r>
      <w:r w:rsidR="008F6D8B">
        <w:t>,</w:t>
      </w:r>
      <w:r>
        <w:t xml:space="preserve"> 2012a</w:t>
      </w:r>
      <w:r w:rsidR="008645FA" w:rsidRPr="00EC6BB8">
        <w:rPr>
          <w:lang w:val="en-AU"/>
        </w:rPr>
        <w:t xml:space="preserve">). </w:t>
      </w:r>
      <w:r w:rsidR="008645FA" w:rsidRPr="00EC6BB8">
        <w:rPr>
          <w:lang w:val="en-AU" w:eastAsia="en-GB"/>
        </w:rPr>
        <w:t xml:space="preserve">Both the </w:t>
      </w:r>
      <w:r w:rsidR="008645FA" w:rsidRPr="00EC6BB8">
        <w:rPr>
          <w:lang w:val="en-AU"/>
        </w:rPr>
        <w:t>Si: DIN</w:t>
      </w:r>
      <w:r w:rsidR="008645FA" w:rsidRPr="00EC6BB8">
        <w:rPr>
          <w:vertAlign w:val="superscript"/>
          <w:lang w:val="en-AU"/>
        </w:rPr>
        <w:t xml:space="preserve"> </w:t>
      </w:r>
      <w:r w:rsidR="008645FA" w:rsidRPr="00EC6BB8">
        <w:rPr>
          <w:lang w:val="en-AU"/>
        </w:rPr>
        <w:t>and Si:</w:t>
      </w:r>
      <w:r w:rsidR="008645FA" w:rsidRPr="00EC6BB8">
        <w:rPr>
          <w:lang w:val="en-AU" w:eastAsia="en-GB"/>
        </w:rPr>
        <w:t xml:space="preserve"> HPO</w:t>
      </w:r>
      <w:r w:rsidR="008645FA" w:rsidRPr="00EC6BB8">
        <w:rPr>
          <w:vertAlign w:val="subscript"/>
          <w:lang w:val="en-AU" w:eastAsia="en-GB"/>
        </w:rPr>
        <w:t>4</w:t>
      </w:r>
      <w:r w:rsidR="008645FA" w:rsidRPr="00EC6BB8">
        <w:rPr>
          <w:vertAlign w:val="superscript"/>
          <w:lang w:val="en-AU" w:eastAsia="en-GB"/>
        </w:rPr>
        <w:t>-2</w:t>
      </w:r>
      <w:r w:rsidR="008645FA" w:rsidRPr="00EC6BB8">
        <w:rPr>
          <w:lang w:val="en-AU"/>
        </w:rPr>
        <w:t xml:space="preserve"> ratios </w:t>
      </w:r>
      <w:r w:rsidR="008645FA" w:rsidRPr="00EC6BB8">
        <w:rPr>
          <w:lang w:val="en-AU" w:eastAsia="en-GB"/>
        </w:rPr>
        <w:t xml:space="preserve">varied widely with values between 1 and 6940 (272 ± 502) for </w:t>
      </w:r>
      <w:r w:rsidR="008645FA" w:rsidRPr="00EC6BB8">
        <w:rPr>
          <w:lang w:val="en-AU"/>
        </w:rPr>
        <w:t xml:space="preserve">Si: DIN, and from </w:t>
      </w:r>
      <w:r w:rsidR="008645FA" w:rsidRPr="00EC6BB8">
        <w:rPr>
          <w:lang w:val="en-AU" w:eastAsia="en-GB"/>
        </w:rPr>
        <w:t xml:space="preserve">1 to 3066 (137 ± 226) for </w:t>
      </w:r>
      <w:r w:rsidR="008645FA" w:rsidRPr="00EC6BB8">
        <w:rPr>
          <w:lang w:val="en-AU"/>
        </w:rPr>
        <w:t>Si:</w:t>
      </w:r>
      <w:r w:rsidR="008645FA" w:rsidRPr="00EC6BB8">
        <w:rPr>
          <w:lang w:val="en-AU" w:eastAsia="en-GB"/>
        </w:rPr>
        <w:t xml:space="preserve"> HPO</w:t>
      </w:r>
      <w:r w:rsidR="008645FA" w:rsidRPr="00EC6BB8">
        <w:rPr>
          <w:vertAlign w:val="subscript"/>
          <w:lang w:val="en-AU" w:eastAsia="en-GB"/>
        </w:rPr>
        <w:t>4</w:t>
      </w:r>
      <w:r w:rsidR="008645FA" w:rsidRPr="00EC6BB8">
        <w:rPr>
          <w:vertAlign w:val="superscript"/>
          <w:lang w:val="en-AU" w:eastAsia="en-GB"/>
        </w:rPr>
        <w:t>-2</w:t>
      </w:r>
      <w:r w:rsidR="008645FA" w:rsidRPr="00EC6BB8">
        <w:rPr>
          <w:lang w:val="en-AU" w:eastAsia="en-GB"/>
        </w:rPr>
        <w:t xml:space="preserve">. These ratios are far above the </w:t>
      </w:r>
      <w:r w:rsidR="008645FA" w:rsidRPr="00EC6BB8">
        <w:rPr>
          <w:lang w:val="en-AU"/>
        </w:rPr>
        <w:t>1:1 Redfield Si:N ratio of diatom, and is mainly due to the very low concentrations of N and P species and considerably higher concentration of silicate, suggesting that Si availability is not limiting diatom growth</w:t>
      </w:r>
      <w:r w:rsidR="00F17161">
        <w:rPr>
          <w:lang w:val="en-AU"/>
        </w:rPr>
        <w:t xml:space="preserve"> as also found previously (Furnas et al.</w:t>
      </w:r>
      <w:r w:rsidR="008F6D8B">
        <w:rPr>
          <w:lang w:val="en-AU"/>
        </w:rPr>
        <w:t>,</w:t>
      </w:r>
      <w:r w:rsidR="00F17161">
        <w:rPr>
          <w:lang w:val="en-AU"/>
        </w:rPr>
        <w:t xml:space="preserve"> 2011)</w:t>
      </w:r>
      <w:r w:rsidR="008645FA" w:rsidRPr="00EC6BB8">
        <w:rPr>
          <w:lang w:val="en-AU"/>
        </w:rPr>
        <w:t xml:space="preserve">. Cyanobacteria, the dominant primary producers in GBR waters, do not require silica. On a seasonal scale the DIN: </w:t>
      </w:r>
      <w:r w:rsidR="008645FA" w:rsidRPr="00EC6BB8">
        <w:rPr>
          <w:lang w:val="en-AU" w:eastAsia="en-GB"/>
        </w:rPr>
        <w:t>HPO</w:t>
      </w:r>
      <w:r w:rsidR="008645FA" w:rsidRPr="00EC6BB8">
        <w:rPr>
          <w:vertAlign w:val="subscript"/>
          <w:lang w:val="en-AU" w:eastAsia="en-GB"/>
        </w:rPr>
        <w:t>4</w:t>
      </w:r>
      <w:r w:rsidR="008645FA" w:rsidRPr="00EC6BB8">
        <w:rPr>
          <w:vertAlign w:val="superscript"/>
          <w:lang w:val="en-AU" w:eastAsia="en-GB"/>
        </w:rPr>
        <w:t xml:space="preserve">-2 </w:t>
      </w:r>
      <w:r w:rsidR="008645FA" w:rsidRPr="00EC6BB8">
        <w:rPr>
          <w:lang w:val="en-AU"/>
        </w:rPr>
        <w:t xml:space="preserve">ratio was highest in the wet followed by the early and late dry seasons, while the other ratios were highest in the early dry followed by the wet and late dry seasons. The long term trends in the </w:t>
      </w:r>
      <w:r w:rsidR="008645FA" w:rsidRPr="00C51DE2">
        <w:rPr>
          <w:rFonts w:eastAsia="AdvTimes"/>
          <w:color w:val="000000"/>
          <w:lang w:val="en-AU"/>
        </w:rPr>
        <w:t>molar ratios</w:t>
      </w:r>
      <w:r w:rsidR="008645FA" w:rsidRPr="003A77F5">
        <w:rPr>
          <w:rFonts w:eastAsia="AdvTimes"/>
          <w:color w:val="000000"/>
          <w:lang w:val="en-AU"/>
        </w:rPr>
        <w:t xml:space="preserve"> showed that u</w:t>
      </w:r>
      <w:r w:rsidR="008645FA" w:rsidRPr="00EC6BB8">
        <w:rPr>
          <w:lang w:val="en-AU"/>
        </w:rPr>
        <w:t>p to around 2008, the DIN:</w:t>
      </w:r>
      <w:r w:rsidR="008645FA" w:rsidRPr="00C51DE2">
        <w:rPr>
          <w:rFonts w:eastAsiaTheme="minorHAnsi"/>
          <w:lang w:val="en-AU"/>
        </w:rPr>
        <w:t xml:space="preserve"> </w:t>
      </w:r>
      <w:r w:rsidR="008645FA" w:rsidRPr="00EC6BB8">
        <w:rPr>
          <w:lang w:val="en-AU" w:eastAsia="en-GB"/>
        </w:rPr>
        <w:t>HPO</w:t>
      </w:r>
      <w:r w:rsidR="008645FA" w:rsidRPr="00EC6BB8">
        <w:rPr>
          <w:vertAlign w:val="subscript"/>
          <w:lang w:val="en-AU" w:eastAsia="en-GB"/>
        </w:rPr>
        <w:t>4</w:t>
      </w:r>
      <w:r w:rsidR="008645FA" w:rsidRPr="00EC6BB8">
        <w:rPr>
          <w:vertAlign w:val="superscript"/>
          <w:lang w:val="en-AU" w:eastAsia="en-GB"/>
        </w:rPr>
        <w:t>-2</w:t>
      </w:r>
      <w:r w:rsidR="008645FA" w:rsidRPr="00EC6BB8">
        <w:rPr>
          <w:vertAlign w:val="subscript"/>
          <w:lang w:val="en-AU" w:eastAsia="en-GB"/>
        </w:rPr>
        <w:t xml:space="preserve"> </w:t>
      </w:r>
      <w:r w:rsidR="008645FA" w:rsidRPr="00EC6BB8">
        <w:rPr>
          <w:lang w:val="en-AU" w:eastAsia="en-GB"/>
        </w:rPr>
        <w:t xml:space="preserve">and </w:t>
      </w:r>
      <w:r w:rsidR="008645FA" w:rsidRPr="00EC6BB8">
        <w:rPr>
          <w:lang w:val="en-AU"/>
        </w:rPr>
        <w:t>Si: DIN</w:t>
      </w:r>
      <w:r w:rsidR="008645FA" w:rsidRPr="00EC6BB8">
        <w:rPr>
          <w:vertAlign w:val="superscript"/>
          <w:lang w:val="en-AU"/>
        </w:rPr>
        <w:t xml:space="preserve"> </w:t>
      </w:r>
      <w:r w:rsidR="008645FA" w:rsidRPr="00C51DE2">
        <w:rPr>
          <w:rFonts w:eastAsiaTheme="minorHAnsi"/>
          <w:lang w:val="en-AU"/>
        </w:rPr>
        <w:t>ratio</w:t>
      </w:r>
      <w:r w:rsidR="008645FA" w:rsidRPr="003A77F5">
        <w:rPr>
          <w:rFonts w:eastAsiaTheme="minorHAnsi"/>
          <w:lang w:val="en-AU"/>
        </w:rPr>
        <w:t>s were rather stable where after it increased and decreased, respectively (</w:t>
      </w:r>
      <w:r w:rsidR="00EB33A6">
        <w:rPr>
          <w:rFonts w:eastAsiaTheme="minorHAnsi"/>
          <w:lang w:val="en-AU"/>
        </w:rPr>
        <w:fldChar w:fldCharType="begin"/>
      </w:r>
      <w:r w:rsidR="003D550E">
        <w:rPr>
          <w:rFonts w:eastAsiaTheme="minorHAnsi"/>
          <w:lang w:val="en-AU"/>
        </w:rPr>
        <w:instrText xml:space="preserve"> REF _Ref437546757 \h </w:instrText>
      </w:r>
      <w:r w:rsidR="00EB33A6">
        <w:rPr>
          <w:rFonts w:eastAsiaTheme="minorHAnsi"/>
          <w:lang w:val="en-AU"/>
        </w:rPr>
      </w:r>
      <w:r w:rsidR="00EB33A6">
        <w:rPr>
          <w:rFonts w:eastAsiaTheme="minorHAnsi"/>
          <w:lang w:val="en-AU"/>
        </w:rPr>
        <w:fldChar w:fldCharType="separate"/>
      </w:r>
      <w:r w:rsidR="007F5336" w:rsidRPr="00C27BEB">
        <w:t xml:space="preserve">Figure </w:t>
      </w:r>
      <w:r w:rsidR="007F5336">
        <w:rPr>
          <w:noProof/>
        </w:rPr>
        <w:t>7</w:t>
      </w:r>
      <w:r w:rsidR="007F5336">
        <w:noBreakHyphen/>
      </w:r>
      <w:r w:rsidR="007F5336">
        <w:rPr>
          <w:noProof/>
        </w:rPr>
        <w:t>3</w:t>
      </w:r>
      <w:r w:rsidR="00EB33A6">
        <w:rPr>
          <w:rFonts w:eastAsiaTheme="minorHAnsi"/>
          <w:lang w:val="en-AU"/>
        </w:rPr>
        <w:fldChar w:fldCharType="end"/>
      </w:r>
      <w:r w:rsidR="008645FA" w:rsidRPr="003A77F5">
        <w:rPr>
          <w:rFonts w:eastAsiaTheme="minorHAnsi"/>
          <w:lang w:val="en-AU"/>
        </w:rPr>
        <w:t xml:space="preserve">e-f). The </w:t>
      </w:r>
      <w:r w:rsidR="008645FA" w:rsidRPr="00EC6BB8">
        <w:rPr>
          <w:lang w:val="en-AU"/>
        </w:rPr>
        <w:t>Si:</w:t>
      </w:r>
      <w:r w:rsidR="008645FA" w:rsidRPr="00EC6BB8">
        <w:rPr>
          <w:lang w:val="en-AU" w:eastAsia="en-GB"/>
        </w:rPr>
        <w:t xml:space="preserve"> HPO</w:t>
      </w:r>
      <w:r w:rsidR="008645FA" w:rsidRPr="00EC6BB8">
        <w:rPr>
          <w:vertAlign w:val="subscript"/>
          <w:lang w:val="en-AU" w:eastAsia="en-GB"/>
        </w:rPr>
        <w:t>4</w:t>
      </w:r>
      <w:r w:rsidR="008645FA" w:rsidRPr="00EC6BB8">
        <w:rPr>
          <w:vertAlign w:val="superscript"/>
          <w:lang w:val="en-AU" w:eastAsia="en-GB"/>
        </w:rPr>
        <w:t>-2</w:t>
      </w:r>
      <w:r w:rsidR="008645FA" w:rsidRPr="00EC6BB8">
        <w:rPr>
          <w:lang w:val="en-AU"/>
        </w:rPr>
        <w:t xml:space="preserve"> ratio was more dynamic with the </w:t>
      </w:r>
      <w:r w:rsidR="008645FA" w:rsidRPr="00C51DE2">
        <w:rPr>
          <w:rFonts w:eastAsiaTheme="minorHAnsi"/>
          <w:lang w:val="en-AU"/>
        </w:rPr>
        <w:t xml:space="preserve">initial decline followed by an increase until 1996, where after another long term decline was found until </w:t>
      </w:r>
      <w:r w:rsidR="008645FA" w:rsidRPr="00EC6BB8">
        <w:rPr>
          <w:lang w:val="en-AU"/>
        </w:rPr>
        <w:t>around 2008 when another increase and following decrease was found (</w:t>
      </w:r>
      <w:r w:rsidR="00EB33A6">
        <w:rPr>
          <w:rFonts w:eastAsiaTheme="minorHAnsi"/>
          <w:lang w:val="en-AU"/>
        </w:rPr>
        <w:fldChar w:fldCharType="begin"/>
      </w:r>
      <w:r w:rsidR="003D550E">
        <w:rPr>
          <w:lang w:val="en-AU"/>
        </w:rPr>
        <w:instrText xml:space="preserve"> REF _Ref437546757 \h </w:instrText>
      </w:r>
      <w:r w:rsidR="00EB33A6">
        <w:rPr>
          <w:rFonts w:eastAsiaTheme="minorHAnsi"/>
          <w:lang w:val="en-AU"/>
        </w:rPr>
      </w:r>
      <w:r w:rsidR="00EB33A6">
        <w:rPr>
          <w:rFonts w:eastAsiaTheme="minorHAnsi"/>
          <w:lang w:val="en-AU"/>
        </w:rPr>
        <w:fldChar w:fldCharType="separate"/>
      </w:r>
      <w:r w:rsidR="007F5336" w:rsidRPr="00C27BEB">
        <w:t xml:space="preserve">Figure </w:t>
      </w:r>
      <w:r w:rsidR="007F5336">
        <w:rPr>
          <w:noProof/>
        </w:rPr>
        <w:t>7</w:t>
      </w:r>
      <w:r w:rsidR="007F5336">
        <w:noBreakHyphen/>
      </w:r>
      <w:r w:rsidR="007F5336">
        <w:rPr>
          <w:noProof/>
        </w:rPr>
        <w:t>3</w:t>
      </w:r>
      <w:r w:rsidR="00EB33A6">
        <w:rPr>
          <w:rFonts w:eastAsiaTheme="minorHAnsi"/>
          <w:lang w:val="en-AU"/>
        </w:rPr>
        <w:fldChar w:fldCharType="end"/>
      </w:r>
      <w:r w:rsidR="008645FA" w:rsidRPr="00C51DE2">
        <w:rPr>
          <w:rFonts w:eastAsiaTheme="minorHAnsi"/>
          <w:lang w:val="en-AU"/>
        </w:rPr>
        <w:t>g</w:t>
      </w:r>
      <w:r w:rsidR="008645FA" w:rsidRPr="003A77F5">
        <w:rPr>
          <w:rFonts w:eastAsiaTheme="minorHAnsi"/>
          <w:lang w:val="en-AU"/>
        </w:rPr>
        <w:t>).</w:t>
      </w:r>
      <w:r w:rsidR="008645FA" w:rsidRPr="003A77F5">
        <w:rPr>
          <w:rFonts w:eastAsiaTheme="minorHAnsi"/>
          <w:highlight w:val="yellow"/>
          <w:lang w:val="en-AU"/>
        </w:rPr>
        <w:t xml:space="preserve"> </w:t>
      </w:r>
    </w:p>
    <w:p w14:paraId="5F22F317" w14:textId="77777777" w:rsidR="008645FA" w:rsidRPr="00EC6BB8" w:rsidRDefault="008645FA" w:rsidP="008645FA">
      <w:pPr>
        <w:spacing w:after="200" w:line="276" w:lineRule="auto"/>
        <w:rPr>
          <w:rFonts w:eastAsiaTheme="minorHAnsi"/>
          <w:lang w:val="en-AU"/>
        </w:rPr>
      </w:pPr>
    </w:p>
    <w:p w14:paraId="51C56B61" w14:textId="77777777" w:rsidR="00307B2F" w:rsidRDefault="00307B2F" w:rsidP="004A5BF7">
      <w:pPr>
        <w:autoSpaceDE w:val="0"/>
        <w:autoSpaceDN w:val="0"/>
        <w:adjustRightInd w:val="0"/>
        <w:spacing w:line="480" w:lineRule="auto"/>
        <w:jc w:val="left"/>
        <w:rPr>
          <w:rFonts w:eastAsiaTheme="minorHAnsi"/>
          <w:lang w:val="en-AU"/>
        </w:rPr>
      </w:pPr>
    </w:p>
    <w:p w14:paraId="405AE7A3" w14:textId="77777777" w:rsidR="00307B2F" w:rsidRPr="00EC6BB8" w:rsidRDefault="00307B2F" w:rsidP="004A5BF7">
      <w:pPr>
        <w:autoSpaceDE w:val="0"/>
        <w:autoSpaceDN w:val="0"/>
        <w:adjustRightInd w:val="0"/>
        <w:spacing w:line="480" w:lineRule="auto"/>
        <w:jc w:val="left"/>
        <w:rPr>
          <w:rFonts w:eastAsiaTheme="minorHAnsi"/>
          <w:lang w:val="en-AU"/>
        </w:rPr>
        <w:sectPr w:rsidR="00307B2F" w:rsidRPr="00EC6BB8">
          <w:pgSz w:w="11906" w:h="16838"/>
          <w:pgMar w:top="1440" w:right="1440" w:bottom="1440" w:left="1440" w:header="708" w:footer="708" w:gutter="0"/>
          <w:cols w:space="708"/>
          <w:docGrid w:linePitch="360"/>
        </w:sectPr>
      </w:pPr>
    </w:p>
    <w:p w14:paraId="5F22F319" w14:textId="77777777" w:rsidR="008645FA" w:rsidRPr="00C51DE2" w:rsidRDefault="008645FA" w:rsidP="008645FA">
      <w:pPr>
        <w:autoSpaceDE w:val="0"/>
        <w:autoSpaceDN w:val="0"/>
        <w:adjustRightInd w:val="0"/>
        <w:spacing w:line="480" w:lineRule="auto"/>
        <w:rPr>
          <w:rFonts w:eastAsiaTheme="minorHAnsi"/>
          <w:lang w:val="en-AU"/>
        </w:rPr>
      </w:pPr>
    </w:p>
    <w:bookmarkStart w:id="1453" w:name="_Toc436913525"/>
    <w:p w14:paraId="5F22F31A" w14:textId="5B369EB2" w:rsidR="0028411F" w:rsidRDefault="00822FD9" w:rsidP="0028411F">
      <w:pPr>
        <w:rPr>
          <w:lang w:val="en-AU"/>
        </w:rPr>
      </w:pPr>
      <w:r w:rsidRPr="001377DA">
        <w:rPr>
          <w:lang w:val="en-AU"/>
        </w:rPr>
        <w:object w:dxaOrig="17281" w:dyaOrig="6481" w14:anchorId="5F232404">
          <v:shape id="_x0000_i1026" type="#_x0000_t75" alt="Panel of plots showing long term trends in a) phosphate (HPO42–), b) ammonium (NH4+), c) nitrate/nitrite (NOX), d) silicate (SiO4), e) NOX to HPO42– molar ratio, f) SiO4 to NOX molar ratio and g) SiO4 to HPO42– molar ratio. Black dots indicate field observations and blue line represents the trend line fitted by generalized additive mixed effects models (GAMMs). " style="width:735pt;height:273pt" o:ole="">
            <v:imagedata r:id="rId369" o:title=""/>
          </v:shape>
          <o:OLEObject Type="Embed" ProgID="AcroExch.Document.11" ShapeID="_x0000_i1026" DrawAspect="Content" ObjectID="_1536648843" r:id="rId370"/>
        </w:object>
      </w:r>
    </w:p>
    <w:p w14:paraId="5F22F31C" w14:textId="2C0359A3" w:rsidR="008645FA" w:rsidRPr="00C27BEB" w:rsidRDefault="00C27BEB" w:rsidP="00164E5E">
      <w:pPr>
        <w:pStyle w:val="Caption"/>
        <w:rPr>
          <w:rStyle w:val="IntenseReference"/>
        </w:rPr>
      </w:pPr>
      <w:bookmarkStart w:id="1454" w:name="_Ref437546757"/>
      <w:bookmarkStart w:id="1455" w:name="_Toc459332410"/>
      <w:r w:rsidRPr="00C27BEB">
        <w:t xml:space="preserve">Figure </w:t>
      </w:r>
      <w:r w:rsidR="00C62884">
        <w:fldChar w:fldCharType="begin"/>
      </w:r>
      <w:r w:rsidR="00C62884">
        <w:instrText xml:space="preserve"> STYLEREF 1 \s </w:instrText>
      </w:r>
      <w:r w:rsidR="00C62884">
        <w:fldChar w:fldCharType="separate"/>
      </w:r>
      <w:r w:rsidR="007F5336">
        <w:rPr>
          <w:noProof/>
        </w:rPr>
        <w:t>7</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3</w:t>
      </w:r>
      <w:r w:rsidR="00C62884">
        <w:fldChar w:fldCharType="end"/>
      </w:r>
      <w:bookmarkEnd w:id="1454"/>
      <w:r w:rsidR="00FB3FE4" w:rsidRPr="00C27BEB">
        <w:t xml:space="preserve">: </w:t>
      </w:r>
      <w:r w:rsidR="008645FA" w:rsidRPr="00C27BEB">
        <w:t xml:space="preserve"> Long term trends in a) phosphate (HPO</w:t>
      </w:r>
      <w:r w:rsidR="008645FA" w:rsidRPr="0046394E">
        <w:rPr>
          <w:vertAlign w:val="subscript"/>
        </w:rPr>
        <w:t>4</w:t>
      </w:r>
      <w:r w:rsidR="008645FA" w:rsidRPr="0046394E">
        <w:rPr>
          <w:vertAlign w:val="superscript"/>
        </w:rPr>
        <w:t>2–</w:t>
      </w:r>
      <w:r w:rsidR="008645FA" w:rsidRPr="00C27BEB">
        <w:t>), b) ammonium (NH</w:t>
      </w:r>
      <w:r w:rsidR="008645FA" w:rsidRPr="0046394E">
        <w:rPr>
          <w:vertAlign w:val="subscript"/>
        </w:rPr>
        <w:t>4</w:t>
      </w:r>
      <w:r w:rsidR="008645FA" w:rsidRPr="0046394E">
        <w:rPr>
          <w:vertAlign w:val="superscript"/>
        </w:rPr>
        <w:t>+</w:t>
      </w:r>
      <w:r w:rsidR="008645FA" w:rsidRPr="00C27BEB">
        <w:t>), c) nitrate/nitrite (NO</w:t>
      </w:r>
      <w:r w:rsidR="008645FA" w:rsidRPr="0046394E">
        <w:rPr>
          <w:vertAlign w:val="subscript"/>
        </w:rPr>
        <w:t>X</w:t>
      </w:r>
      <w:r w:rsidR="008645FA" w:rsidRPr="00C27BEB">
        <w:t>), d) silicate (SiO</w:t>
      </w:r>
      <w:r w:rsidR="008645FA" w:rsidRPr="0046394E">
        <w:rPr>
          <w:vertAlign w:val="subscript"/>
        </w:rPr>
        <w:t>4</w:t>
      </w:r>
      <w:r w:rsidR="008645FA" w:rsidRPr="00C27BEB">
        <w:t>), e) NO</w:t>
      </w:r>
      <w:r w:rsidR="008645FA" w:rsidRPr="0046394E">
        <w:rPr>
          <w:vertAlign w:val="subscript"/>
        </w:rPr>
        <w:t>X</w:t>
      </w:r>
      <w:r w:rsidR="008645FA" w:rsidRPr="00C27BEB">
        <w:t xml:space="preserve"> to HPO</w:t>
      </w:r>
      <w:r w:rsidR="008645FA" w:rsidRPr="0046394E">
        <w:rPr>
          <w:vertAlign w:val="subscript"/>
        </w:rPr>
        <w:t>4</w:t>
      </w:r>
      <w:r w:rsidR="008645FA" w:rsidRPr="0046394E">
        <w:rPr>
          <w:vertAlign w:val="superscript"/>
        </w:rPr>
        <w:t>2–</w:t>
      </w:r>
      <w:r w:rsidR="008645FA" w:rsidRPr="00C27BEB">
        <w:t xml:space="preserve"> molar ratio, f) SiO</w:t>
      </w:r>
      <w:r w:rsidR="008645FA" w:rsidRPr="0046394E">
        <w:rPr>
          <w:vertAlign w:val="subscript"/>
        </w:rPr>
        <w:t>4</w:t>
      </w:r>
      <w:r w:rsidR="008645FA" w:rsidRPr="00C27BEB">
        <w:t xml:space="preserve"> to NO</w:t>
      </w:r>
      <w:r w:rsidR="008645FA" w:rsidRPr="0046394E">
        <w:rPr>
          <w:vertAlign w:val="subscript"/>
        </w:rPr>
        <w:t>X</w:t>
      </w:r>
      <w:r w:rsidR="008645FA" w:rsidRPr="00C27BEB">
        <w:t xml:space="preserve"> molar ratio and g) SiO</w:t>
      </w:r>
      <w:r w:rsidR="008645FA" w:rsidRPr="0046394E">
        <w:rPr>
          <w:vertAlign w:val="subscript"/>
        </w:rPr>
        <w:t>4</w:t>
      </w:r>
      <w:r w:rsidR="008645FA" w:rsidRPr="00C27BEB">
        <w:t xml:space="preserve"> to HPO</w:t>
      </w:r>
      <w:r w:rsidR="008645FA" w:rsidRPr="0046394E">
        <w:rPr>
          <w:vertAlign w:val="subscript"/>
        </w:rPr>
        <w:t>4</w:t>
      </w:r>
      <w:r w:rsidR="008645FA" w:rsidRPr="0046394E">
        <w:rPr>
          <w:vertAlign w:val="superscript"/>
        </w:rPr>
        <w:t>2–</w:t>
      </w:r>
      <w:r w:rsidR="008645FA" w:rsidRPr="00C27BEB">
        <w:t xml:space="preserve"> molar ratio.</w:t>
      </w:r>
      <w:r w:rsidR="008F6D8B">
        <w:t xml:space="preserve"> </w:t>
      </w:r>
      <w:r w:rsidR="008645FA" w:rsidRPr="00C27BEB">
        <w:rPr>
          <w:rStyle w:val="IntenseReference"/>
        </w:rPr>
        <w:t>Black dots indicate field observations and blue line represents the trend line fitted by generalized additive mixed effects models (GAMMs).</w:t>
      </w:r>
      <w:bookmarkEnd w:id="1453"/>
      <w:bookmarkEnd w:id="1455"/>
      <w:r w:rsidR="008645FA" w:rsidRPr="00C27BEB">
        <w:rPr>
          <w:rStyle w:val="IntenseReference"/>
        </w:rPr>
        <w:t xml:space="preserve"> </w:t>
      </w:r>
    </w:p>
    <w:p w14:paraId="5F22F31D" w14:textId="77777777" w:rsidR="008645FA" w:rsidRPr="00C51DE2" w:rsidRDefault="008645FA" w:rsidP="008645FA">
      <w:pPr>
        <w:autoSpaceDE w:val="0"/>
        <w:autoSpaceDN w:val="0"/>
        <w:adjustRightInd w:val="0"/>
        <w:spacing w:line="480" w:lineRule="auto"/>
        <w:rPr>
          <w:rFonts w:eastAsiaTheme="minorHAnsi"/>
          <w:lang w:val="en-AU"/>
        </w:rPr>
      </w:pPr>
    </w:p>
    <w:p w14:paraId="5F22F31E" w14:textId="77777777" w:rsidR="008645FA" w:rsidRPr="001377DA" w:rsidRDefault="008645FA" w:rsidP="008645FA">
      <w:pPr>
        <w:autoSpaceDE w:val="0"/>
        <w:autoSpaceDN w:val="0"/>
        <w:adjustRightInd w:val="0"/>
        <w:spacing w:line="480" w:lineRule="auto"/>
        <w:ind w:firstLine="284"/>
        <w:rPr>
          <w:rFonts w:eastAsiaTheme="minorHAnsi"/>
          <w:lang w:val="en-AU"/>
        </w:rPr>
        <w:sectPr w:rsidR="008645FA" w:rsidRPr="001377DA" w:rsidSect="00786386">
          <w:pgSz w:w="16838" w:h="11906" w:orient="landscape"/>
          <w:pgMar w:top="1440" w:right="1440" w:bottom="1440" w:left="1440" w:header="709" w:footer="709" w:gutter="0"/>
          <w:cols w:space="708"/>
          <w:docGrid w:linePitch="360"/>
        </w:sectPr>
      </w:pPr>
    </w:p>
    <w:p w14:paraId="5F22F31F" w14:textId="20250D41" w:rsidR="008645FA" w:rsidRPr="003A77F5" w:rsidRDefault="008645FA" w:rsidP="008645FA">
      <w:pPr>
        <w:rPr>
          <w:lang w:val="en-AU"/>
        </w:rPr>
      </w:pPr>
      <w:r w:rsidRPr="001377DA">
        <w:rPr>
          <w:i/>
          <w:lang w:val="en-AU"/>
        </w:rPr>
        <w:t>Changes in particulate organic matter from 1989 to 2015 –</w:t>
      </w:r>
      <w:r w:rsidRPr="001377DA">
        <w:rPr>
          <w:rFonts w:eastAsiaTheme="minorHAnsi"/>
          <w:lang w:val="en-AU"/>
        </w:rPr>
        <w:t>The measurement of particulate organic carbon (</w:t>
      </w:r>
      <w:r w:rsidRPr="001377DA">
        <w:rPr>
          <w:lang w:val="en-AU"/>
        </w:rPr>
        <w:t xml:space="preserve">POC) was initiated in </w:t>
      </w:r>
      <w:r w:rsidRPr="00EC6BB8">
        <w:rPr>
          <w:lang w:val="en-AU"/>
        </w:rPr>
        <w:t xml:space="preserve">2005 and the concentrations varied over the 10 years period between </w:t>
      </w:r>
      <w:r w:rsidRPr="00C51DE2">
        <w:rPr>
          <w:lang w:val="en-AU"/>
        </w:rPr>
        <w:t xml:space="preserve">2 and 30 </w:t>
      </w:r>
      <w:r w:rsidRPr="00EC6BB8">
        <w:rPr>
          <w:lang w:val="en-AU"/>
        </w:rPr>
        <w:t>µmol L</w:t>
      </w:r>
      <w:r w:rsidRPr="00EC6BB8">
        <w:rPr>
          <w:vertAlign w:val="superscript"/>
          <w:lang w:val="en-AU"/>
        </w:rPr>
        <w:t xml:space="preserve">–1 </w:t>
      </w:r>
      <w:r w:rsidRPr="00EC6BB8">
        <w:rPr>
          <w:lang w:val="en-AU" w:eastAsia="en-GB"/>
        </w:rPr>
        <w:t>(9 ± 4</w:t>
      </w:r>
      <w:r w:rsidRPr="00EC6BB8">
        <w:rPr>
          <w:lang w:val="en-AU"/>
        </w:rPr>
        <w:t xml:space="preserve"> µmol L</w:t>
      </w:r>
      <w:r w:rsidRPr="00EC6BB8">
        <w:rPr>
          <w:vertAlign w:val="superscript"/>
          <w:lang w:val="en-AU"/>
        </w:rPr>
        <w:t>–1</w:t>
      </w:r>
      <w:r w:rsidRPr="00EC6BB8">
        <w:rPr>
          <w:rFonts w:eastAsia="AdvTimes"/>
          <w:lang w:val="en-AU"/>
        </w:rPr>
        <w:t xml:space="preserve"> (</w:t>
      </w:r>
      <w:r w:rsidR="00EB33A6">
        <w:rPr>
          <w:rFonts w:eastAsiaTheme="minorHAnsi"/>
          <w:lang w:val="en-AU"/>
        </w:rPr>
        <w:fldChar w:fldCharType="begin"/>
      </w:r>
      <w:r w:rsidR="003D550E">
        <w:rPr>
          <w:rFonts w:eastAsia="AdvTimes"/>
          <w:lang w:val="en-AU"/>
        </w:rPr>
        <w:instrText xml:space="preserve"> REF _Ref437546856 \h </w:instrText>
      </w:r>
      <w:r w:rsidR="00EB33A6">
        <w:rPr>
          <w:rFonts w:eastAsiaTheme="minorHAnsi"/>
          <w:lang w:val="en-AU"/>
        </w:rPr>
      </w:r>
      <w:r w:rsidR="00EB33A6">
        <w:rPr>
          <w:rFonts w:eastAsiaTheme="minorHAnsi"/>
          <w:lang w:val="en-AU"/>
        </w:rPr>
        <w:fldChar w:fldCharType="separate"/>
      </w:r>
      <w:r w:rsidR="007F5336" w:rsidRPr="00C27BEB">
        <w:t xml:space="preserve">Figure </w:t>
      </w:r>
      <w:r w:rsidR="007F5336">
        <w:rPr>
          <w:noProof/>
        </w:rPr>
        <w:t>7</w:t>
      </w:r>
      <w:r w:rsidR="007F5336">
        <w:noBreakHyphen/>
      </w:r>
      <w:r w:rsidR="007F5336">
        <w:rPr>
          <w:noProof/>
        </w:rPr>
        <w:t>4</w:t>
      </w:r>
      <w:r w:rsidR="00EB33A6">
        <w:rPr>
          <w:rFonts w:eastAsiaTheme="minorHAnsi"/>
          <w:lang w:val="en-AU"/>
        </w:rPr>
        <w:fldChar w:fldCharType="end"/>
      </w:r>
      <w:r w:rsidRPr="00C51DE2">
        <w:rPr>
          <w:rFonts w:eastAsiaTheme="minorHAnsi"/>
          <w:lang w:val="en-AU"/>
        </w:rPr>
        <w:t>a). P</w:t>
      </w:r>
      <w:r w:rsidRPr="00EC6BB8">
        <w:rPr>
          <w:rFonts w:eastAsia="AdvTimes"/>
          <w:lang w:val="en-AU"/>
        </w:rPr>
        <w:t>articulate nitrogen (PN) and phosphorus (PP) were measured since 1989 with concentrations varying between 0.4</w:t>
      </w:r>
      <w:r w:rsidRPr="00C51DE2">
        <w:rPr>
          <w:lang w:val="en-AU"/>
        </w:rPr>
        <w:t xml:space="preserve"> and 11.0 </w:t>
      </w:r>
      <w:r w:rsidRPr="00EC6BB8">
        <w:rPr>
          <w:lang w:val="en-AU"/>
        </w:rPr>
        <w:t>µmol L</w:t>
      </w:r>
      <w:r w:rsidRPr="00EC6BB8">
        <w:rPr>
          <w:vertAlign w:val="superscript"/>
          <w:lang w:val="en-AU"/>
        </w:rPr>
        <w:t>–1</w:t>
      </w:r>
      <w:r w:rsidRPr="00EC6BB8">
        <w:rPr>
          <w:rFonts w:eastAsia="AdvTimes"/>
          <w:lang w:val="en-AU"/>
        </w:rPr>
        <w:t xml:space="preserve"> for PN and between 0.01 and 0.88</w:t>
      </w:r>
      <w:r w:rsidRPr="00EC6BB8">
        <w:rPr>
          <w:lang w:val="en-AU"/>
        </w:rPr>
        <w:t xml:space="preserve"> µmol L</w:t>
      </w:r>
      <w:r w:rsidRPr="00EC6BB8">
        <w:rPr>
          <w:vertAlign w:val="superscript"/>
          <w:lang w:val="en-AU"/>
        </w:rPr>
        <w:t>–1</w:t>
      </w:r>
      <w:r w:rsidRPr="00EC6BB8">
        <w:rPr>
          <w:rFonts w:eastAsia="AdvTimes"/>
          <w:lang w:val="en-AU"/>
        </w:rPr>
        <w:t xml:space="preserve"> for PP (</w:t>
      </w:r>
      <w:r w:rsidR="00EB33A6">
        <w:rPr>
          <w:rFonts w:eastAsia="AdvTimes"/>
          <w:lang w:val="en-AU"/>
        </w:rPr>
        <w:fldChar w:fldCharType="begin"/>
      </w:r>
      <w:r w:rsidR="003D550E">
        <w:rPr>
          <w:rFonts w:eastAsia="AdvTimes"/>
          <w:lang w:val="en-AU"/>
        </w:rPr>
        <w:instrText xml:space="preserve"> REF _Ref437546856 \h </w:instrText>
      </w:r>
      <w:r w:rsidR="00EB33A6">
        <w:rPr>
          <w:rFonts w:eastAsia="AdvTimes"/>
          <w:lang w:val="en-AU"/>
        </w:rPr>
      </w:r>
      <w:r w:rsidR="00EB33A6">
        <w:rPr>
          <w:rFonts w:eastAsia="AdvTimes"/>
          <w:lang w:val="en-AU"/>
        </w:rPr>
        <w:fldChar w:fldCharType="separate"/>
      </w:r>
      <w:r w:rsidR="007F5336" w:rsidRPr="00C27BEB">
        <w:t xml:space="preserve">Figure </w:t>
      </w:r>
      <w:r w:rsidR="007F5336">
        <w:rPr>
          <w:noProof/>
        </w:rPr>
        <w:t>7</w:t>
      </w:r>
      <w:r w:rsidR="007F5336">
        <w:noBreakHyphen/>
      </w:r>
      <w:r w:rsidR="007F5336">
        <w:rPr>
          <w:noProof/>
        </w:rPr>
        <w:t>4</w:t>
      </w:r>
      <w:r w:rsidR="00EB33A6">
        <w:rPr>
          <w:rFonts w:eastAsia="AdvTimes"/>
          <w:lang w:val="en-AU"/>
        </w:rPr>
        <w:fldChar w:fldCharType="end"/>
      </w:r>
      <w:r w:rsidRPr="00C51DE2">
        <w:rPr>
          <w:rFonts w:eastAsiaTheme="minorHAnsi"/>
          <w:lang w:val="en-AU"/>
        </w:rPr>
        <w:t>a</w:t>
      </w:r>
      <w:r w:rsidRPr="00EC6BB8">
        <w:rPr>
          <w:rFonts w:eastAsia="AdvTimes"/>
          <w:lang w:val="en-AU"/>
        </w:rPr>
        <w:t xml:space="preserve">). Over a seasonal cycle the particulate pool had highest concentrations </w:t>
      </w:r>
      <w:r w:rsidRPr="00C51DE2">
        <w:rPr>
          <w:rFonts w:eastAsiaTheme="minorHAnsi"/>
          <w:color w:val="000000"/>
          <w:lang w:val="en-AU"/>
        </w:rPr>
        <w:t>during the early dry followed by the wet and late dry season</w:t>
      </w:r>
      <w:r w:rsidR="00A85D89">
        <w:rPr>
          <w:rFonts w:eastAsiaTheme="minorHAnsi"/>
          <w:color w:val="000000"/>
          <w:lang w:val="en-AU"/>
        </w:rPr>
        <w:t xml:space="preserve"> </w:t>
      </w:r>
      <w:r w:rsidR="00A85D89">
        <w:rPr>
          <w:rFonts w:eastAsiaTheme="minorHAnsi"/>
          <w:lang w:val="en-AU"/>
        </w:rPr>
        <w:t>(data not shown)</w:t>
      </w:r>
      <w:r w:rsidRPr="00C51DE2">
        <w:rPr>
          <w:rFonts w:eastAsiaTheme="minorHAnsi"/>
          <w:color w:val="000000"/>
          <w:lang w:val="en-AU"/>
        </w:rPr>
        <w:t xml:space="preserve">. </w:t>
      </w:r>
      <w:r w:rsidRPr="003A77F5">
        <w:rPr>
          <w:rFonts w:eastAsiaTheme="minorHAnsi"/>
          <w:color w:val="000000"/>
          <w:lang w:val="en-AU"/>
        </w:rPr>
        <w:t xml:space="preserve">The POC concentrations showed highly fluctuating concentrations with an overall </w:t>
      </w:r>
      <w:r w:rsidRPr="00EC6BB8">
        <w:rPr>
          <w:rFonts w:eastAsia="AdvTimes"/>
          <w:lang w:val="en-AU"/>
        </w:rPr>
        <w:t>increasing trend over the last 10 years (</w:t>
      </w:r>
      <w:r w:rsidR="00EB33A6">
        <w:rPr>
          <w:rFonts w:eastAsiaTheme="minorHAnsi"/>
          <w:lang w:val="en-AU"/>
        </w:rPr>
        <w:fldChar w:fldCharType="begin"/>
      </w:r>
      <w:r w:rsidR="003D550E">
        <w:rPr>
          <w:rFonts w:eastAsia="AdvTimes"/>
          <w:lang w:val="en-AU"/>
        </w:rPr>
        <w:instrText xml:space="preserve"> REF _Ref437546856 \h </w:instrText>
      </w:r>
      <w:r w:rsidR="00EB33A6">
        <w:rPr>
          <w:rFonts w:eastAsiaTheme="minorHAnsi"/>
          <w:lang w:val="en-AU"/>
        </w:rPr>
      </w:r>
      <w:r w:rsidR="00EB33A6">
        <w:rPr>
          <w:rFonts w:eastAsiaTheme="minorHAnsi"/>
          <w:lang w:val="en-AU"/>
        </w:rPr>
        <w:fldChar w:fldCharType="separate"/>
      </w:r>
      <w:r w:rsidR="007F5336" w:rsidRPr="00C27BEB">
        <w:t xml:space="preserve">Figure </w:t>
      </w:r>
      <w:r w:rsidR="007F5336">
        <w:rPr>
          <w:noProof/>
        </w:rPr>
        <w:t>7</w:t>
      </w:r>
      <w:r w:rsidR="007F5336">
        <w:noBreakHyphen/>
      </w:r>
      <w:r w:rsidR="007F5336">
        <w:rPr>
          <w:noProof/>
        </w:rPr>
        <w:t>4</w:t>
      </w:r>
      <w:r w:rsidR="00EB33A6">
        <w:rPr>
          <w:rFonts w:eastAsiaTheme="minorHAnsi"/>
          <w:lang w:val="en-AU"/>
        </w:rPr>
        <w:fldChar w:fldCharType="end"/>
      </w:r>
      <w:r w:rsidRPr="00C51DE2">
        <w:rPr>
          <w:rFonts w:eastAsiaTheme="minorHAnsi"/>
          <w:lang w:val="en-AU"/>
        </w:rPr>
        <w:t>a).</w:t>
      </w:r>
      <w:r w:rsidRPr="00EC6BB8">
        <w:rPr>
          <w:rFonts w:eastAsia="AdvTimes"/>
          <w:lang w:val="en-AU"/>
        </w:rPr>
        <w:t xml:space="preserve"> Over the 25 year period PN showed a </w:t>
      </w:r>
      <w:r w:rsidRPr="00C51DE2">
        <w:rPr>
          <w:rFonts w:eastAsiaTheme="minorHAnsi"/>
          <w:lang w:val="en-AU"/>
        </w:rPr>
        <w:t>systematic increase</w:t>
      </w:r>
      <w:r w:rsidRPr="00EC6BB8">
        <w:rPr>
          <w:rFonts w:eastAsia="AdvTimes"/>
          <w:lang w:val="en-AU"/>
        </w:rPr>
        <w:t xml:space="preserve"> from 1989 until 2003, where after a decrease was seen between 2003 and 2004, with concentrations thereafter staying at stable levels </w:t>
      </w:r>
      <w:r w:rsidRPr="00C51DE2">
        <w:rPr>
          <w:rFonts w:eastAsiaTheme="minorHAnsi"/>
          <w:lang w:val="en-AU"/>
        </w:rPr>
        <w:t>(</w:t>
      </w:r>
      <w:r w:rsidR="00EB33A6">
        <w:rPr>
          <w:rFonts w:eastAsiaTheme="minorHAnsi"/>
          <w:lang w:val="en-AU"/>
        </w:rPr>
        <w:fldChar w:fldCharType="begin"/>
      </w:r>
      <w:r w:rsidR="003D550E">
        <w:rPr>
          <w:rFonts w:eastAsiaTheme="minorHAnsi"/>
          <w:lang w:val="en-AU"/>
        </w:rPr>
        <w:instrText xml:space="preserve"> REF _Ref437546856 \h </w:instrText>
      </w:r>
      <w:r w:rsidR="00EB33A6">
        <w:rPr>
          <w:rFonts w:eastAsiaTheme="minorHAnsi"/>
          <w:lang w:val="en-AU"/>
        </w:rPr>
      </w:r>
      <w:r w:rsidR="00EB33A6">
        <w:rPr>
          <w:rFonts w:eastAsiaTheme="minorHAnsi"/>
          <w:lang w:val="en-AU"/>
        </w:rPr>
        <w:fldChar w:fldCharType="separate"/>
      </w:r>
      <w:r w:rsidR="007F5336" w:rsidRPr="00C27BEB">
        <w:t xml:space="preserve">Figure </w:t>
      </w:r>
      <w:r w:rsidR="007F5336">
        <w:rPr>
          <w:noProof/>
        </w:rPr>
        <w:t>7</w:t>
      </w:r>
      <w:r w:rsidR="007F5336">
        <w:noBreakHyphen/>
      </w:r>
      <w:r w:rsidR="007F5336">
        <w:rPr>
          <w:noProof/>
        </w:rPr>
        <w:t>4</w:t>
      </w:r>
      <w:r w:rsidR="00EB33A6">
        <w:rPr>
          <w:rFonts w:eastAsiaTheme="minorHAnsi"/>
          <w:lang w:val="en-AU"/>
        </w:rPr>
        <w:fldChar w:fldCharType="end"/>
      </w:r>
      <w:r w:rsidRPr="00C51DE2">
        <w:rPr>
          <w:rFonts w:eastAsiaTheme="minorHAnsi"/>
          <w:lang w:val="en-AU"/>
        </w:rPr>
        <w:t>b). F</w:t>
      </w:r>
      <w:r w:rsidRPr="00EC6BB8">
        <w:rPr>
          <w:rFonts w:eastAsia="AdvTimes"/>
          <w:lang w:val="en-AU"/>
        </w:rPr>
        <w:t xml:space="preserve">rom the initiation of the time series the PP concentrations showed an </w:t>
      </w:r>
      <w:r w:rsidRPr="00C51DE2">
        <w:rPr>
          <w:rFonts w:eastAsiaTheme="minorHAnsi"/>
          <w:lang w:val="en-AU"/>
        </w:rPr>
        <w:t>oscillating pattern (increase and decrease) over approximate 5 years periods (</w:t>
      </w:r>
      <w:r w:rsidR="00EB33A6">
        <w:rPr>
          <w:rFonts w:eastAsiaTheme="minorHAnsi"/>
          <w:lang w:val="en-AU"/>
        </w:rPr>
        <w:fldChar w:fldCharType="begin"/>
      </w:r>
      <w:r w:rsidR="003D550E">
        <w:rPr>
          <w:rFonts w:eastAsiaTheme="minorHAnsi"/>
          <w:lang w:val="en-AU"/>
        </w:rPr>
        <w:instrText xml:space="preserve"> REF _Ref437546856 \h </w:instrText>
      </w:r>
      <w:r w:rsidR="00EB33A6">
        <w:rPr>
          <w:rFonts w:eastAsiaTheme="minorHAnsi"/>
          <w:lang w:val="en-AU"/>
        </w:rPr>
      </w:r>
      <w:r w:rsidR="00EB33A6">
        <w:rPr>
          <w:rFonts w:eastAsiaTheme="minorHAnsi"/>
          <w:lang w:val="en-AU"/>
        </w:rPr>
        <w:fldChar w:fldCharType="separate"/>
      </w:r>
      <w:r w:rsidR="007F5336" w:rsidRPr="00C27BEB">
        <w:t xml:space="preserve">Figure </w:t>
      </w:r>
      <w:r w:rsidR="007F5336">
        <w:rPr>
          <w:noProof/>
        </w:rPr>
        <w:t>7</w:t>
      </w:r>
      <w:r w:rsidR="007F5336">
        <w:noBreakHyphen/>
      </w:r>
      <w:r w:rsidR="007F5336">
        <w:rPr>
          <w:noProof/>
        </w:rPr>
        <w:t>4</w:t>
      </w:r>
      <w:r w:rsidR="00EB33A6">
        <w:rPr>
          <w:rFonts w:eastAsiaTheme="minorHAnsi"/>
          <w:lang w:val="en-AU"/>
        </w:rPr>
        <w:fldChar w:fldCharType="end"/>
      </w:r>
      <w:r w:rsidRPr="00C51DE2">
        <w:rPr>
          <w:rFonts w:eastAsiaTheme="minorHAnsi"/>
          <w:lang w:val="en-AU"/>
        </w:rPr>
        <w:t xml:space="preserve">c).   </w:t>
      </w:r>
    </w:p>
    <w:p w14:paraId="5F22F320" w14:textId="634D8DBC" w:rsidR="008645FA" w:rsidRDefault="008645FA" w:rsidP="004A5BF7">
      <w:pPr>
        <w:rPr>
          <w:rFonts w:eastAsiaTheme="minorHAnsi"/>
          <w:lang w:val="en-AU"/>
        </w:rPr>
      </w:pPr>
      <w:r w:rsidRPr="003A77F5">
        <w:rPr>
          <w:rFonts w:eastAsiaTheme="minorHAnsi"/>
          <w:lang w:val="en-AU"/>
        </w:rPr>
        <w:t xml:space="preserve">On average the C:N:P stoichiometry of the </w:t>
      </w:r>
      <w:r w:rsidRPr="00F77F98">
        <w:rPr>
          <w:rFonts w:eastAsiaTheme="minorHAnsi"/>
          <w:lang w:val="en-AU"/>
        </w:rPr>
        <w:t>suspended particulate fraction was 115:14:1, which slightly h</w:t>
      </w:r>
      <w:r w:rsidRPr="002A0F81">
        <w:rPr>
          <w:rFonts w:eastAsiaTheme="minorHAnsi"/>
          <w:lang w:val="en-AU"/>
        </w:rPr>
        <w:t>igher but not significantly different compared from the Redfield ratio (106:16:1, Redfield 1958), suggesting predominate a plankton origin of this material. The ratios did not show any difference on a seasonal scale</w:t>
      </w:r>
      <w:r w:rsidR="00A85D89">
        <w:rPr>
          <w:rFonts w:eastAsiaTheme="minorHAnsi"/>
          <w:lang w:val="en-AU"/>
        </w:rPr>
        <w:t xml:space="preserve"> (data not shown)</w:t>
      </w:r>
      <w:r w:rsidRPr="002A0F81">
        <w:rPr>
          <w:rFonts w:eastAsiaTheme="minorHAnsi"/>
          <w:lang w:val="en-AU"/>
        </w:rPr>
        <w:t>, but variability was found on the inter-</w:t>
      </w:r>
      <w:r w:rsidRPr="0074693A">
        <w:rPr>
          <w:rFonts w:eastAsiaTheme="minorHAnsi"/>
          <w:lang w:val="en-AU"/>
        </w:rPr>
        <w:t>annual time scales. Overall the GAMM analysis showed that over the last 10 years the POC:PON and POC:PP ratios increased and decreased respectively (</w:t>
      </w:r>
      <w:r w:rsidR="00EB33A6">
        <w:rPr>
          <w:rFonts w:eastAsiaTheme="minorHAnsi"/>
          <w:lang w:val="en-AU"/>
        </w:rPr>
        <w:fldChar w:fldCharType="begin"/>
      </w:r>
      <w:r w:rsidR="003D550E">
        <w:rPr>
          <w:rFonts w:eastAsiaTheme="minorHAnsi"/>
          <w:lang w:val="en-AU"/>
        </w:rPr>
        <w:instrText xml:space="preserve"> REF _Ref437546856 \h </w:instrText>
      </w:r>
      <w:r w:rsidR="00C079A7">
        <w:rPr>
          <w:rFonts w:eastAsiaTheme="minorHAnsi"/>
          <w:lang w:val="en-AU"/>
        </w:rPr>
        <w:instrText xml:space="preserve"> \* MERGEFORMAT </w:instrText>
      </w:r>
      <w:r w:rsidR="00EB33A6">
        <w:rPr>
          <w:rFonts w:eastAsiaTheme="minorHAnsi"/>
          <w:lang w:val="en-AU"/>
        </w:rPr>
      </w:r>
      <w:r w:rsidR="00EB33A6">
        <w:rPr>
          <w:rFonts w:eastAsiaTheme="minorHAnsi"/>
          <w:lang w:val="en-AU"/>
        </w:rPr>
        <w:fldChar w:fldCharType="separate"/>
      </w:r>
      <w:r w:rsidR="007F5336" w:rsidRPr="00C27BEB">
        <w:t xml:space="preserve">Figure </w:t>
      </w:r>
      <w:r w:rsidR="007F5336">
        <w:rPr>
          <w:noProof/>
        </w:rPr>
        <w:t>7</w:t>
      </w:r>
      <w:r w:rsidR="007F5336">
        <w:rPr>
          <w:noProof/>
        </w:rPr>
        <w:noBreakHyphen/>
        <w:t>4</w:t>
      </w:r>
      <w:r w:rsidR="00EB33A6">
        <w:rPr>
          <w:rFonts w:eastAsiaTheme="minorHAnsi"/>
          <w:lang w:val="en-AU"/>
        </w:rPr>
        <w:fldChar w:fldCharType="end"/>
      </w:r>
      <w:r w:rsidRPr="0074693A">
        <w:rPr>
          <w:rFonts w:eastAsiaTheme="minorHAnsi"/>
          <w:lang w:val="en-AU"/>
        </w:rPr>
        <w:t xml:space="preserve">d and e). The PN:PP ratio showed both periods of overall decreases (early 1990’s, early 2000s) increases (between 1992 and 2000) and periods of </w:t>
      </w:r>
      <w:r w:rsidRPr="00EC6BB8">
        <w:rPr>
          <w:lang w:val="en-AU"/>
        </w:rPr>
        <w:t xml:space="preserve">relatively stable levels (2005 to 2015) </w:t>
      </w:r>
      <w:r w:rsidRPr="00C51DE2">
        <w:rPr>
          <w:rFonts w:eastAsiaTheme="minorHAnsi"/>
          <w:lang w:val="en-AU"/>
        </w:rPr>
        <w:t>(</w:t>
      </w:r>
      <w:r w:rsidR="00EB33A6">
        <w:rPr>
          <w:rFonts w:eastAsiaTheme="minorHAnsi"/>
          <w:lang w:val="en-AU"/>
        </w:rPr>
        <w:fldChar w:fldCharType="begin"/>
      </w:r>
      <w:r w:rsidR="003D550E">
        <w:rPr>
          <w:rFonts w:eastAsiaTheme="minorHAnsi"/>
          <w:lang w:val="en-AU"/>
        </w:rPr>
        <w:instrText xml:space="preserve"> REF _Ref437546856 \h </w:instrText>
      </w:r>
      <w:r w:rsidR="00C079A7">
        <w:rPr>
          <w:rFonts w:eastAsiaTheme="minorHAnsi"/>
          <w:lang w:val="en-AU"/>
        </w:rPr>
        <w:instrText xml:space="preserve"> \* MERGEFORMAT </w:instrText>
      </w:r>
      <w:r w:rsidR="00EB33A6">
        <w:rPr>
          <w:rFonts w:eastAsiaTheme="minorHAnsi"/>
          <w:lang w:val="en-AU"/>
        </w:rPr>
      </w:r>
      <w:r w:rsidR="00EB33A6">
        <w:rPr>
          <w:rFonts w:eastAsiaTheme="minorHAnsi"/>
          <w:lang w:val="en-AU"/>
        </w:rPr>
        <w:fldChar w:fldCharType="separate"/>
      </w:r>
      <w:r w:rsidR="007F5336" w:rsidRPr="00C27BEB">
        <w:t xml:space="preserve">Figure </w:t>
      </w:r>
      <w:r w:rsidR="007F5336">
        <w:rPr>
          <w:noProof/>
        </w:rPr>
        <w:t>7</w:t>
      </w:r>
      <w:r w:rsidR="007F5336">
        <w:rPr>
          <w:noProof/>
        </w:rPr>
        <w:noBreakHyphen/>
        <w:t>4</w:t>
      </w:r>
      <w:r w:rsidR="00EB33A6">
        <w:rPr>
          <w:rFonts w:eastAsiaTheme="minorHAnsi"/>
          <w:lang w:val="en-AU"/>
        </w:rPr>
        <w:fldChar w:fldCharType="end"/>
      </w:r>
      <w:r w:rsidRPr="003A77F5">
        <w:rPr>
          <w:rFonts w:eastAsiaTheme="minorHAnsi"/>
          <w:lang w:val="en-AU"/>
        </w:rPr>
        <w:t>f).</w:t>
      </w:r>
    </w:p>
    <w:p w14:paraId="5F22F321" w14:textId="41E7B1C5" w:rsidR="00446EA5" w:rsidRPr="00C51DE2" w:rsidRDefault="00446EA5" w:rsidP="00446EA5">
      <w:pPr>
        <w:autoSpaceDE w:val="0"/>
        <w:autoSpaceDN w:val="0"/>
        <w:adjustRightInd w:val="0"/>
        <w:rPr>
          <w:rFonts w:eastAsiaTheme="minorHAnsi"/>
          <w:color w:val="231F20"/>
          <w:lang w:val="en-AU"/>
        </w:rPr>
      </w:pPr>
      <w:r w:rsidRPr="00C51DE2">
        <w:rPr>
          <w:i/>
          <w:lang w:val="en-AU"/>
        </w:rPr>
        <w:t>Trends in d</w:t>
      </w:r>
      <w:r w:rsidRPr="003A77F5">
        <w:rPr>
          <w:i/>
          <w:lang w:val="en-AU"/>
        </w:rPr>
        <w:t>issolved organic matter from 1989 to 2015</w:t>
      </w:r>
      <w:r w:rsidRPr="003A77F5">
        <w:rPr>
          <w:lang w:val="en-AU"/>
        </w:rPr>
        <w:t xml:space="preserve"> –</w:t>
      </w:r>
      <w:r w:rsidRPr="003A77F5">
        <w:rPr>
          <w:b/>
          <w:lang w:val="en-AU"/>
        </w:rPr>
        <w:t xml:space="preserve"> </w:t>
      </w:r>
      <w:r w:rsidRPr="00F77F98">
        <w:rPr>
          <w:lang w:val="en-AU"/>
        </w:rPr>
        <w:t xml:space="preserve">The dissolved organic matter pool constitutes the largest fraction of organic </w:t>
      </w:r>
      <w:r w:rsidRPr="00F77F98">
        <w:rPr>
          <w:rFonts w:eastAsiaTheme="minorHAnsi"/>
          <w:color w:val="000000"/>
          <w:lang w:val="en-AU"/>
        </w:rPr>
        <w:t xml:space="preserve">carbon, nitrogen and phosphorus species at </w:t>
      </w:r>
      <w:r>
        <w:rPr>
          <w:rFonts w:eastAsiaTheme="minorHAnsi"/>
          <w:color w:val="000000"/>
          <w:lang w:val="en-AU"/>
        </w:rPr>
        <w:t xml:space="preserve">the stations of the </w:t>
      </w:r>
      <w:r w:rsidRPr="00F77F98">
        <w:rPr>
          <w:rFonts w:eastAsiaTheme="minorHAnsi"/>
          <w:color w:val="000000"/>
          <w:lang w:val="en-AU"/>
        </w:rPr>
        <w:t>C</w:t>
      </w:r>
      <w:r>
        <w:rPr>
          <w:rFonts w:eastAsiaTheme="minorHAnsi"/>
          <w:color w:val="000000"/>
          <w:lang w:val="en-AU"/>
        </w:rPr>
        <w:t>a</w:t>
      </w:r>
      <w:r w:rsidRPr="00F77F98">
        <w:rPr>
          <w:rFonts w:eastAsiaTheme="minorHAnsi"/>
          <w:color w:val="000000"/>
          <w:lang w:val="en-AU"/>
        </w:rPr>
        <w:t>TS</w:t>
      </w:r>
      <w:r>
        <w:rPr>
          <w:rFonts w:eastAsiaTheme="minorHAnsi"/>
          <w:color w:val="000000"/>
          <w:lang w:val="en-AU"/>
        </w:rPr>
        <w:t xml:space="preserve"> and the GBR lagoon in general (Furnas et al. 2011; Schaffelke et al. 2012).</w:t>
      </w:r>
      <w:r w:rsidRPr="002A0F81">
        <w:rPr>
          <w:rFonts w:eastAsiaTheme="minorHAnsi"/>
          <w:color w:val="000000"/>
          <w:lang w:val="en-AU"/>
        </w:rPr>
        <w:t xml:space="preserve"> </w:t>
      </w:r>
      <w:r w:rsidRPr="002A0F81">
        <w:rPr>
          <w:lang w:val="en-AU"/>
        </w:rPr>
        <w:t>Dissolved organic carbon (DOC) ranged from 43 to 140 µmol l</w:t>
      </w:r>
      <w:r w:rsidRPr="0074693A">
        <w:rPr>
          <w:vertAlign w:val="superscript"/>
          <w:lang w:val="en-AU"/>
        </w:rPr>
        <w:t xml:space="preserve">-1 </w:t>
      </w:r>
      <w:r w:rsidRPr="0074693A">
        <w:rPr>
          <w:lang w:val="en-AU"/>
        </w:rPr>
        <w:t>(average:</w:t>
      </w:r>
      <w:r w:rsidRPr="0074693A">
        <w:rPr>
          <w:vertAlign w:val="superscript"/>
          <w:lang w:val="en-AU"/>
        </w:rPr>
        <w:t xml:space="preserve"> </w:t>
      </w:r>
      <w:r w:rsidRPr="00D07C74">
        <w:rPr>
          <w:lang w:val="en-AU"/>
        </w:rPr>
        <w:t>66 ± 12 µmol l</w:t>
      </w:r>
      <w:r w:rsidRPr="00D07C74">
        <w:rPr>
          <w:vertAlign w:val="superscript"/>
          <w:lang w:val="en-AU"/>
        </w:rPr>
        <w:t>-1</w:t>
      </w:r>
      <w:r w:rsidRPr="001E1058">
        <w:rPr>
          <w:lang w:val="en-AU"/>
        </w:rPr>
        <w:t>), being on average 7 times higher than POC (</w:t>
      </w:r>
      <w:r w:rsidR="00EB33A6">
        <w:rPr>
          <w:lang w:val="en-AU"/>
        </w:rPr>
        <w:fldChar w:fldCharType="begin"/>
      </w:r>
      <w:r>
        <w:rPr>
          <w:lang w:val="en-AU"/>
        </w:rPr>
        <w:instrText xml:space="preserve"> REF _Ref437546930 \h </w:instrText>
      </w:r>
      <w:r w:rsidR="00EB33A6">
        <w:rPr>
          <w:lang w:val="en-AU"/>
        </w:rPr>
      </w:r>
      <w:r w:rsidR="00EB33A6">
        <w:rPr>
          <w:lang w:val="en-AU"/>
        </w:rPr>
        <w:fldChar w:fldCharType="separate"/>
      </w:r>
      <w:r w:rsidR="007F5336">
        <w:t xml:space="preserve">Figure </w:t>
      </w:r>
      <w:r w:rsidR="007F5336">
        <w:rPr>
          <w:noProof/>
        </w:rPr>
        <w:t>7</w:t>
      </w:r>
      <w:r w:rsidR="007F5336">
        <w:noBreakHyphen/>
      </w:r>
      <w:r w:rsidR="007F5336">
        <w:rPr>
          <w:noProof/>
        </w:rPr>
        <w:t>5</w:t>
      </w:r>
      <w:r w:rsidR="00EB33A6">
        <w:rPr>
          <w:lang w:val="en-AU"/>
        </w:rPr>
        <w:fldChar w:fldCharType="end"/>
      </w:r>
      <w:r w:rsidRPr="001E1058">
        <w:rPr>
          <w:lang w:val="en-AU"/>
        </w:rPr>
        <w:t xml:space="preserve">a). </w:t>
      </w:r>
      <w:r w:rsidRPr="001E1058">
        <w:rPr>
          <w:rFonts w:eastAsiaTheme="minorHAnsi"/>
          <w:lang w:val="en-AU"/>
        </w:rPr>
        <w:t>DON and DOP dominate the</w:t>
      </w:r>
      <w:r>
        <w:rPr>
          <w:rFonts w:eastAsiaTheme="minorHAnsi"/>
          <w:lang w:val="en-AU"/>
        </w:rPr>
        <w:t xml:space="preserve"> </w:t>
      </w:r>
      <w:r w:rsidRPr="001E1058">
        <w:rPr>
          <w:rFonts w:eastAsiaTheme="minorHAnsi"/>
          <w:lang w:val="en-AU"/>
        </w:rPr>
        <w:t xml:space="preserve">TDN and TDP pools, accounting for an average 95% and 85% of the total dissolved pools, respectively. </w:t>
      </w:r>
      <w:r w:rsidRPr="001E1058">
        <w:rPr>
          <w:lang w:val="en-AU"/>
        </w:rPr>
        <w:t xml:space="preserve">The dissolved organic nutrient concentrations varied </w:t>
      </w:r>
      <w:r w:rsidRPr="00EC6BB8">
        <w:rPr>
          <w:rFonts w:eastAsia="AdvTimes"/>
          <w:lang w:val="en-AU"/>
        </w:rPr>
        <w:t xml:space="preserve">from values below the detection limit up to a maximum of 26 </w:t>
      </w:r>
      <w:r w:rsidRPr="00EC6BB8">
        <w:rPr>
          <w:lang w:val="en-AU"/>
        </w:rPr>
        <w:t>µmol L</w:t>
      </w:r>
      <w:r w:rsidRPr="00EC6BB8">
        <w:rPr>
          <w:vertAlign w:val="superscript"/>
          <w:lang w:val="en-AU"/>
        </w:rPr>
        <w:t xml:space="preserve">–1 </w:t>
      </w:r>
      <w:r w:rsidRPr="00C51DE2">
        <w:rPr>
          <w:lang w:val="en-AU"/>
        </w:rPr>
        <w:t>(average:</w:t>
      </w:r>
      <w:r w:rsidRPr="003A77F5">
        <w:rPr>
          <w:vertAlign w:val="superscript"/>
          <w:lang w:val="en-AU"/>
        </w:rPr>
        <w:t xml:space="preserve"> </w:t>
      </w:r>
      <w:r w:rsidRPr="003A77F5">
        <w:rPr>
          <w:lang w:val="en-AU"/>
        </w:rPr>
        <w:t>66 ± 12 µmol l</w:t>
      </w:r>
      <w:r w:rsidRPr="003A77F5">
        <w:rPr>
          <w:vertAlign w:val="superscript"/>
          <w:lang w:val="en-AU"/>
        </w:rPr>
        <w:t>-1</w:t>
      </w:r>
      <w:r w:rsidRPr="00F77F98">
        <w:rPr>
          <w:lang w:val="en-AU"/>
        </w:rPr>
        <w:t xml:space="preserve">) for DON and </w:t>
      </w:r>
      <w:r w:rsidRPr="00EC6BB8">
        <w:rPr>
          <w:rFonts w:eastAsia="AdvTimes"/>
          <w:lang w:val="en-AU"/>
        </w:rPr>
        <w:t>up to 4.61</w:t>
      </w:r>
      <w:r w:rsidR="00A12714">
        <w:rPr>
          <w:rFonts w:eastAsia="AdvTimes"/>
          <w:lang w:val="en-AU"/>
        </w:rPr>
        <w:t xml:space="preserve"> </w:t>
      </w:r>
      <w:r w:rsidRPr="00EC6BB8">
        <w:rPr>
          <w:lang w:val="en-AU"/>
        </w:rPr>
        <w:t>µmol L</w:t>
      </w:r>
      <w:r w:rsidRPr="00EC6BB8">
        <w:rPr>
          <w:vertAlign w:val="superscript"/>
          <w:lang w:val="en-AU"/>
        </w:rPr>
        <w:t>–1</w:t>
      </w:r>
      <w:r w:rsidRPr="00C51DE2">
        <w:rPr>
          <w:lang w:val="en-AU"/>
        </w:rPr>
        <w:t xml:space="preserve"> for DOP </w:t>
      </w:r>
      <w:r w:rsidRPr="00EC6BB8">
        <w:rPr>
          <w:lang w:val="en-AU"/>
        </w:rPr>
        <w:t>(</w:t>
      </w:r>
      <w:r w:rsidR="00EB33A6">
        <w:rPr>
          <w:lang w:val="en-AU"/>
        </w:rPr>
        <w:fldChar w:fldCharType="begin"/>
      </w:r>
      <w:r>
        <w:rPr>
          <w:lang w:val="en-AU"/>
        </w:rPr>
        <w:instrText xml:space="preserve"> REF _Ref437546930 \h </w:instrText>
      </w:r>
      <w:r w:rsidR="00EB33A6">
        <w:rPr>
          <w:lang w:val="en-AU"/>
        </w:rPr>
      </w:r>
      <w:r w:rsidR="00EB33A6">
        <w:rPr>
          <w:lang w:val="en-AU"/>
        </w:rPr>
        <w:fldChar w:fldCharType="separate"/>
      </w:r>
      <w:r w:rsidR="007F5336">
        <w:t xml:space="preserve">Figure </w:t>
      </w:r>
      <w:r w:rsidR="007F5336">
        <w:rPr>
          <w:noProof/>
        </w:rPr>
        <w:t>7</w:t>
      </w:r>
      <w:r w:rsidR="007F5336">
        <w:noBreakHyphen/>
      </w:r>
      <w:r w:rsidR="007F5336">
        <w:rPr>
          <w:noProof/>
        </w:rPr>
        <w:t>5</w:t>
      </w:r>
      <w:r w:rsidR="00EB33A6">
        <w:rPr>
          <w:lang w:val="en-AU"/>
        </w:rPr>
        <w:fldChar w:fldCharType="end"/>
      </w:r>
      <w:r w:rsidRPr="00EC6BB8">
        <w:rPr>
          <w:lang w:val="en-AU"/>
        </w:rPr>
        <w:t xml:space="preserve">c). The three DOM pools showed </w:t>
      </w:r>
      <w:r>
        <w:rPr>
          <w:lang w:val="en-AU"/>
        </w:rPr>
        <w:t>contrasting</w:t>
      </w:r>
      <w:r w:rsidRPr="00EC6BB8">
        <w:rPr>
          <w:lang w:val="en-AU"/>
        </w:rPr>
        <w:t xml:space="preserve"> seasonal patterns with DOC reaching on average highest </w:t>
      </w:r>
      <w:r w:rsidRPr="00C51DE2">
        <w:rPr>
          <w:lang w:val="en-AU"/>
        </w:rPr>
        <w:t xml:space="preserve">concentrations during the early and lowest during the late dry season, </w:t>
      </w:r>
      <w:r w:rsidRPr="00EC6BB8">
        <w:rPr>
          <w:lang w:val="en-AU"/>
        </w:rPr>
        <w:t xml:space="preserve">DON reached highest levels </w:t>
      </w:r>
      <w:r w:rsidRPr="00C51DE2">
        <w:rPr>
          <w:lang w:val="en-AU"/>
        </w:rPr>
        <w:t>during the we</w:t>
      </w:r>
      <w:r w:rsidRPr="003A77F5">
        <w:rPr>
          <w:lang w:val="en-AU"/>
        </w:rPr>
        <w:t xml:space="preserve">t and lowest during the late dry season, while </w:t>
      </w:r>
      <w:r w:rsidRPr="00EC6BB8">
        <w:rPr>
          <w:lang w:val="en-AU"/>
        </w:rPr>
        <w:t xml:space="preserve">DOP reached higher </w:t>
      </w:r>
      <w:r w:rsidRPr="00C51DE2">
        <w:rPr>
          <w:lang w:val="en-AU"/>
        </w:rPr>
        <w:t>concentrations during the late dry and</w:t>
      </w:r>
      <w:r w:rsidRPr="003A77F5">
        <w:rPr>
          <w:lang w:val="en-AU"/>
        </w:rPr>
        <w:t xml:space="preserve"> lowest during early dry season. </w:t>
      </w:r>
      <w:r w:rsidR="00C079A7">
        <w:rPr>
          <w:lang w:val="en-AU"/>
        </w:rPr>
        <w:t xml:space="preserve">These patterns are not easily explained. </w:t>
      </w:r>
      <w:r w:rsidRPr="003A77F5">
        <w:rPr>
          <w:lang w:val="en-AU"/>
        </w:rPr>
        <w:t xml:space="preserve">A recent global analysis of </w:t>
      </w:r>
      <w:r w:rsidRPr="003A77F5">
        <w:rPr>
          <w:rFonts w:eastAsiaTheme="minorHAnsi"/>
          <w:color w:val="231F20"/>
          <w:lang w:val="en-AU"/>
        </w:rPr>
        <w:t xml:space="preserve">DOM in coastal waters used element–element plots </w:t>
      </w:r>
      <w:r w:rsidR="00A12714">
        <w:rPr>
          <w:rFonts w:eastAsiaTheme="minorHAnsi"/>
          <w:color w:val="231F20"/>
          <w:lang w:val="en-AU"/>
        </w:rPr>
        <w:t xml:space="preserve">(e.g. DOC vs. DON) </w:t>
      </w:r>
      <w:r w:rsidRPr="003A77F5">
        <w:rPr>
          <w:rFonts w:eastAsiaTheme="minorHAnsi"/>
          <w:color w:val="231F20"/>
          <w:lang w:val="en-AU"/>
        </w:rPr>
        <w:t xml:space="preserve">to demonstrate that the time course of the </w:t>
      </w:r>
      <w:r w:rsidR="00601913">
        <w:rPr>
          <w:rFonts w:eastAsiaTheme="minorHAnsi"/>
          <w:color w:val="231F20"/>
          <w:lang w:val="en-AU"/>
        </w:rPr>
        <w:t xml:space="preserve">DOC, DON and DOP </w:t>
      </w:r>
      <w:r w:rsidRPr="003A77F5">
        <w:rPr>
          <w:rFonts w:eastAsiaTheme="minorHAnsi"/>
          <w:color w:val="231F20"/>
          <w:lang w:val="en-AU"/>
        </w:rPr>
        <w:t xml:space="preserve">three DOM pools is </w:t>
      </w:r>
      <w:r w:rsidR="00601913">
        <w:rPr>
          <w:rFonts w:eastAsiaTheme="minorHAnsi"/>
          <w:color w:val="231F20"/>
          <w:lang w:val="en-AU"/>
        </w:rPr>
        <w:t>are</w:t>
      </w:r>
      <w:r w:rsidR="00601913" w:rsidRPr="003A77F5">
        <w:rPr>
          <w:rFonts w:eastAsiaTheme="minorHAnsi"/>
          <w:color w:val="231F20"/>
          <w:lang w:val="en-AU"/>
        </w:rPr>
        <w:t xml:space="preserve"> </w:t>
      </w:r>
      <w:r w:rsidRPr="003A77F5">
        <w:rPr>
          <w:rFonts w:eastAsiaTheme="minorHAnsi"/>
          <w:color w:val="231F20"/>
          <w:lang w:val="en-AU"/>
        </w:rPr>
        <w:t>parallel through the seasonal cycle in coastal waters (</w:t>
      </w:r>
      <w:r w:rsidRPr="00EC6BB8">
        <w:rPr>
          <w:lang w:val="en-AU"/>
        </w:rPr>
        <w:t>Lønborg &amp; Álvarez-Salgado 2012)</w:t>
      </w:r>
      <w:r w:rsidRPr="00C51DE2">
        <w:rPr>
          <w:rFonts w:eastAsiaTheme="minorHAnsi"/>
          <w:color w:val="231F20"/>
          <w:lang w:val="en-AU"/>
        </w:rPr>
        <w:t xml:space="preserve">. </w:t>
      </w:r>
      <w:r w:rsidRPr="003A77F5">
        <w:rPr>
          <w:rFonts w:eastAsiaTheme="minorHAnsi"/>
          <w:color w:val="231F20"/>
          <w:lang w:val="en-AU"/>
        </w:rPr>
        <w:t>As we did not obtain any significant linear relationships at CaTS between the three pools suggest</w:t>
      </w:r>
      <w:r>
        <w:rPr>
          <w:rFonts w:eastAsiaTheme="minorHAnsi"/>
          <w:color w:val="231F20"/>
          <w:lang w:val="en-AU"/>
        </w:rPr>
        <w:t>s</w:t>
      </w:r>
      <w:r w:rsidRPr="003A77F5">
        <w:rPr>
          <w:rFonts w:eastAsiaTheme="minorHAnsi"/>
          <w:color w:val="231F20"/>
          <w:lang w:val="en-AU"/>
        </w:rPr>
        <w:t xml:space="preserve"> that the production and degradation pathways of the C, N and P in DOM are decoupled in this system.</w:t>
      </w:r>
      <w:r>
        <w:rPr>
          <w:rFonts w:eastAsiaTheme="minorHAnsi"/>
          <w:color w:val="231F20"/>
          <w:lang w:val="en-AU"/>
        </w:rPr>
        <w:t xml:space="preserve"> </w:t>
      </w:r>
      <w:r w:rsidRPr="00EC6BB8">
        <w:rPr>
          <w:lang w:val="en-AU"/>
        </w:rPr>
        <w:t xml:space="preserve">The average C:N:P </w:t>
      </w:r>
      <w:r w:rsidRPr="00C51DE2">
        <w:rPr>
          <w:rFonts w:eastAsiaTheme="minorHAnsi"/>
          <w:lang w:val="en-AU"/>
        </w:rPr>
        <w:t xml:space="preserve">stoichiometry of the bulk pool was 743:77:1 which was significantly greater than the Redfield ratio. The </w:t>
      </w:r>
      <w:r w:rsidRPr="003A77F5">
        <w:rPr>
          <w:rFonts w:eastAsiaTheme="minorHAnsi"/>
          <w:lang w:val="en-AU"/>
        </w:rPr>
        <w:t xml:space="preserve">DOC:DON was highly variable over yearly and inter-annual time scales with no </w:t>
      </w:r>
      <w:r w:rsidRPr="00EC6BB8">
        <w:rPr>
          <w:lang w:val="en-AU"/>
        </w:rPr>
        <w:t>clear long</w:t>
      </w:r>
      <w:r>
        <w:rPr>
          <w:lang w:val="en-AU"/>
        </w:rPr>
        <w:t>-</w:t>
      </w:r>
      <w:r w:rsidRPr="00EC6BB8">
        <w:rPr>
          <w:lang w:val="en-AU"/>
        </w:rPr>
        <w:t>term pattern (</w:t>
      </w:r>
      <w:r w:rsidR="00EB33A6">
        <w:rPr>
          <w:lang w:val="en-AU"/>
        </w:rPr>
        <w:fldChar w:fldCharType="begin"/>
      </w:r>
      <w:r>
        <w:rPr>
          <w:lang w:val="en-AU"/>
        </w:rPr>
        <w:instrText xml:space="preserve"> REF _Ref437546930 \h </w:instrText>
      </w:r>
      <w:r w:rsidR="00EB33A6">
        <w:rPr>
          <w:lang w:val="en-AU"/>
        </w:rPr>
      </w:r>
      <w:r w:rsidR="00EB33A6">
        <w:rPr>
          <w:lang w:val="en-AU"/>
        </w:rPr>
        <w:fldChar w:fldCharType="separate"/>
      </w:r>
      <w:r w:rsidR="007F5336">
        <w:t xml:space="preserve">Figure </w:t>
      </w:r>
      <w:r w:rsidR="007F5336">
        <w:rPr>
          <w:noProof/>
        </w:rPr>
        <w:t>7</w:t>
      </w:r>
      <w:r w:rsidR="007F5336">
        <w:noBreakHyphen/>
      </w:r>
      <w:r w:rsidR="007F5336">
        <w:rPr>
          <w:noProof/>
        </w:rPr>
        <w:t>5</w:t>
      </w:r>
      <w:r w:rsidR="00EB33A6">
        <w:rPr>
          <w:lang w:val="en-AU"/>
        </w:rPr>
        <w:fldChar w:fldCharType="end"/>
      </w:r>
      <w:r w:rsidRPr="00EC6BB8">
        <w:rPr>
          <w:lang w:val="en-AU"/>
        </w:rPr>
        <w:t>d). The DOC:DOP on the other hand showed a large initial increase (until 2007) followed by a decrease (until 2009), where after the ratios where mainly stable (</w:t>
      </w:r>
      <w:r w:rsidR="00EB33A6">
        <w:rPr>
          <w:lang w:val="en-AU"/>
        </w:rPr>
        <w:fldChar w:fldCharType="begin"/>
      </w:r>
      <w:r>
        <w:rPr>
          <w:lang w:val="en-AU"/>
        </w:rPr>
        <w:instrText xml:space="preserve"> REF _Ref437546930 \h </w:instrText>
      </w:r>
      <w:r w:rsidR="00EB33A6">
        <w:rPr>
          <w:lang w:val="en-AU"/>
        </w:rPr>
      </w:r>
      <w:r w:rsidR="00EB33A6">
        <w:rPr>
          <w:lang w:val="en-AU"/>
        </w:rPr>
        <w:fldChar w:fldCharType="separate"/>
      </w:r>
      <w:r w:rsidR="007F5336">
        <w:t xml:space="preserve">Figure </w:t>
      </w:r>
      <w:r w:rsidR="007F5336">
        <w:rPr>
          <w:noProof/>
        </w:rPr>
        <w:t>7</w:t>
      </w:r>
      <w:r w:rsidR="007F5336">
        <w:noBreakHyphen/>
      </w:r>
      <w:r w:rsidR="007F5336">
        <w:rPr>
          <w:noProof/>
        </w:rPr>
        <w:t>5</w:t>
      </w:r>
      <w:r w:rsidR="00EB33A6">
        <w:rPr>
          <w:lang w:val="en-AU"/>
        </w:rPr>
        <w:fldChar w:fldCharType="end"/>
      </w:r>
      <w:r w:rsidRPr="00EC6BB8">
        <w:rPr>
          <w:lang w:val="en-AU"/>
        </w:rPr>
        <w:t>e). Contrary to this the DON:DOP ratio did remained relatively stable over the 26 years period (</w:t>
      </w:r>
      <w:r w:rsidR="00EB33A6">
        <w:rPr>
          <w:lang w:val="en-AU"/>
        </w:rPr>
        <w:fldChar w:fldCharType="begin"/>
      </w:r>
      <w:r>
        <w:rPr>
          <w:lang w:val="en-AU"/>
        </w:rPr>
        <w:instrText xml:space="preserve"> REF _Ref437546930 \h </w:instrText>
      </w:r>
      <w:r w:rsidR="00EB33A6">
        <w:rPr>
          <w:lang w:val="en-AU"/>
        </w:rPr>
      </w:r>
      <w:r w:rsidR="00EB33A6">
        <w:rPr>
          <w:lang w:val="en-AU"/>
        </w:rPr>
        <w:fldChar w:fldCharType="separate"/>
      </w:r>
      <w:r w:rsidR="007F5336">
        <w:t xml:space="preserve">Figure </w:t>
      </w:r>
      <w:r w:rsidR="007F5336">
        <w:rPr>
          <w:noProof/>
        </w:rPr>
        <w:t>7</w:t>
      </w:r>
      <w:r w:rsidR="007F5336">
        <w:noBreakHyphen/>
      </w:r>
      <w:r w:rsidR="007F5336">
        <w:rPr>
          <w:noProof/>
        </w:rPr>
        <w:t>5</w:t>
      </w:r>
      <w:r w:rsidR="00EB33A6">
        <w:rPr>
          <w:lang w:val="en-AU"/>
        </w:rPr>
        <w:fldChar w:fldCharType="end"/>
      </w:r>
      <w:r w:rsidRPr="00EC6BB8">
        <w:rPr>
          <w:lang w:val="en-AU"/>
        </w:rPr>
        <w:t xml:space="preserve">e). </w:t>
      </w:r>
    </w:p>
    <w:p w14:paraId="5F22F322" w14:textId="77777777" w:rsidR="008645FA" w:rsidRPr="00EC6BB8" w:rsidRDefault="008645FA" w:rsidP="008645FA">
      <w:pPr>
        <w:spacing w:line="480" w:lineRule="auto"/>
        <w:ind w:left="284" w:hanging="284"/>
        <w:rPr>
          <w:lang w:val="en-AU"/>
        </w:rPr>
      </w:pPr>
    </w:p>
    <w:p w14:paraId="5F22F323" w14:textId="77777777" w:rsidR="008645FA" w:rsidRPr="00EC6BB8" w:rsidRDefault="008645FA" w:rsidP="008645FA">
      <w:pPr>
        <w:ind w:left="284" w:hanging="284"/>
        <w:rPr>
          <w:lang w:val="en-AU"/>
        </w:rPr>
        <w:sectPr w:rsidR="008645FA" w:rsidRPr="00EC6BB8">
          <w:pgSz w:w="11906" w:h="16838"/>
          <w:pgMar w:top="1440" w:right="1440" w:bottom="1440" w:left="1440" w:header="708" w:footer="708" w:gutter="0"/>
          <w:cols w:space="708"/>
          <w:docGrid w:linePitch="360"/>
        </w:sectPr>
      </w:pPr>
    </w:p>
    <w:p w14:paraId="5F22F324" w14:textId="1FBB3FA9" w:rsidR="008645FA" w:rsidRPr="00C51DE2" w:rsidRDefault="00822FD9" w:rsidP="0028411F">
      <w:pPr>
        <w:rPr>
          <w:lang w:val="en-AU"/>
        </w:rPr>
      </w:pPr>
      <w:r w:rsidRPr="003A77F5">
        <w:rPr>
          <w:lang w:val="en-AU"/>
        </w:rPr>
        <w:object w:dxaOrig="12961" w:dyaOrig="6481" w14:anchorId="5F232405">
          <v:shape id="_x0000_i1027" type="#_x0000_t75" alt="Panel of plots showing temporal trends in the concentrations of a) particulate organic carbon (POC), b) nitrogen (PN) and c) phosphorus (PP) over the 26 years period is shown with variations in the a) POC to PN, b) POC to PP and c) PN to PP elemental stoichiometry. Black dots indicate field observations and blue line represents the trend line fitted by generalized additive mixed effects models (GAMMs). " style="width:9in;height:327pt" o:ole="">
            <v:imagedata r:id="rId371" o:title=""/>
          </v:shape>
          <o:OLEObject Type="Embed" ProgID="AcroExch.Document.11" ShapeID="_x0000_i1027" DrawAspect="Content" ObjectID="_1536648844" r:id="rId372"/>
        </w:object>
      </w:r>
    </w:p>
    <w:p w14:paraId="5F22F325" w14:textId="77777777" w:rsidR="0028411F" w:rsidRDefault="0028411F" w:rsidP="00164E5E">
      <w:pPr>
        <w:pStyle w:val="Caption"/>
      </w:pPr>
      <w:bookmarkStart w:id="1456" w:name="_Toc436913526"/>
    </w:p>
    <w:p w14:paraId="5F22F327" w14:textId="3E4F1AA8" w:rsidR="008645FA" w:rsidRPr="00C27BEB" w:rsidRDefault="00C27BEB" w:rsidP="00164E5E">
      <w:pPr>
        <w:pStyle w:val="Caption"/>
        <w:rPr>
          <w:rStyle w:val="IntenseReference"/>
        </w:rPr>
      </w:pPr>
      <w:bookmarkStart w:id="1457" w:name="_Ref437546856"/>
      <w:bookmarkStart w:id="1458" w:name="_Toc459332411"/>
      <w:r w:rsidRPr="00C27BEB">
        <w:t xml:space="preserve">Figure </w:t>
      </w:r>
      <w:r w:rsidR="00C62884">
        <w:fldChar w:fldCharType="begin"/>
      </w:r>
      <w:r w:rsidR="00C62884">
        <w:instrText xml:space="preserve"> STYLEREF 1 \s </w:instrText>
      </w:r>
      <w:r w:rsidR="00C62884">
        <w:fldChar w:fldCharType="separate"/>
      </w:r>
      <w:r w:rsidR="007F5336">
        <w:rPr>
          <w:noProof/>
        </w:rPr>
        <w:t>7</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4</w:t>
      </w:r>
      <w:r w:rsidR="00C62884">
        <w:fldChar w:fldCharType="end"/>
      </w:r>
      <w:bookmarkEnd w:id="1457"/>
      <w:r w:rsidR="00FB3FE4" w:rsidRPr="00C27BEB">
        <w:t xml:space="preserve">: </w:t>
      </w:r>
      <w:r w:rsidR="008645FA" w:rsidRPr="00C27BEB">
        <w:t>Temporal trends in the concentrations of a) particulate organic carbon (POC), b) nitrogen (PN) and c) phosphorus (PP) over the 26 years period</w:t>
      </w:r>
      <w:r w:rsidR="008645FA" w:rsidRPr="00C27BEB">
        <w:rPr>
          <w:rStyle w:val="IntenseReference"/>
        </w:rPr>
        <w:t xml:space="preserve"> is shown with variations in the a) POC to PN, b) POC to PP and c) PN to PP elemental stoichiometry. Black dots indicate field observations and blue line represents the trend line fitted by generalized additive mixed effects models (GAMMs).</w:t>
      </w:r>
      <w:bookmarkEnd w:id="1456"/>
      <w:bookmarkEnd w:id="1458"/>
      <w:r w:rsidR="008645FA" w:rsidRPr="00C27BEB">
        <w:rPr>
          <w:rStyle w:val="IntenseReference"/>
        </w:rPr>
        <w:t xml:space="preserve"> </w:t>
      </w:r>
    </w:p>
    <w:p w14:paraId="5F22F328" w14:textId="77777777" w:rsidR="008645FA" w:rsidRPr="00EC6BB8" w:rsidRDefault="008645FA" w:rsidP="008645FA">
      <w:pPr>
        <w:rPr>
          <w:lang w:val="en-AU"/>
        </w:rPr>
        <w:sectPr w:rsidR="008645FA" w:rsidRPr="00EC6BB8" w:rsidSect="00786386">
          <w:pgSz w:w="16838" w:h="11906" w:orient="landscape"/>
          <w:pgMar w:top="1440" w:right="1440" w:bottom="1440" w:left="1440" w:header="709" w:footer="709" w:gutter="0"/>
          <w:cols w:space="708"/>
          <w:docGrid w:linePitch="360"/>
        </w:sectPr>
      </w:pPr>
    </w:p>
    <w:p w14:paraId="5F22F329" w14:textId="75938ACB" w:rsidR="008645FA" w:rsidRPr="00EC6BB8" w:rsidRDefault="00933D8F" w:rsidP="0028411F">
      <w:pPr>
        <w:rPr>
          <w:lang w:val="en-AU"/>
        </w:rPr>
      </w:pPr>
      <w:r w:rsidRPr="003A77F5">
        <w:rPr>
          <w:lang w:val="en-AU"/>
        </w:rPr>
        <w:object w:dxaOrig="12961" w:dyaOrig="6481" w14:anchorId="5F232406">
          <v:shape id="_x0000_i1028" type="#_x0000_t75" alt="Panel of plots showing the 26 years trend in the concentrations of a) dissolved organic carbon (DOC), b) nitrogen (DON) and c) phosphorus (DOP) are shown with the variations in the d) DOC:DON, e) DOC:DOP and e) DON:DOP molar ratios" style="width:9in;height:327pt" o:ole="">
            <v:imagedata r:id="rId373" o:title=""/>
          </v:shape>
          <o:OLEObject Type="Embed" ProgID="AcroExch.Document.11" ShapeID="_x0000_i1028" DrawAspect="Content" ObjectID="_1536648845" r:id="rId374"/>
        </w:object>
      </w:r>
    </w:p>
    <w:p w14:paraId="5F22F32A" w14:textId="77777777" w:rsidR="0028411F" w:rsidRDefault="0028411F" w:rsidP="00164E5E">
      <w:pPr>
        <w:pStyle w:val="Caption"/>
      </w:pPr>
      <w:bookmarkStart w:id="1459" w:name="_Toc436913527"/>
    </w:p>
    <w:p w14:paraId="5F22F32C" w14:textId="34A21E20" w:rsidR="008645FA" w:rsidRPr="00C27BEB" w:rsidRDefault="00C27BEB" w:rsidP="00164E5E">
      <w:pPr>
        <w:pStyle w:val="Caption"/>
        <w:rPr>
          <w:rStyle w:val="IntenseReference"/>
        </w:rPr>
      </w:pPr>
      <w:bookmarkStart w:id="1460" w:name="_Ref437546930"/>
      <w:bookmarkStart w:id="1461" w:name="_Toc459332412"/>
      <w:r>
        <w:t xml:space="preserve">Figure </w:t>
      </w:r>
      <w:r w:rsidR="00C62884">
        <w:fldChar w:fldCharType="begin"/>
      </w:r>
      <w:r w:rsidR="00C62884">
        <w:instrText xml:space="preserve"> STYLEREF 1 \s </w:instrText>
      </w:r>
      <w:r w:rsidR="00C62884">
        <w:fldChar w:fldCharType="separate"/>
      </w:r>
      <w:r w:rsidR="007F5336">
        <w:rPr>
          <w:noProof/>
        </w:rPr>
        <w:t>7</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5</w:t>
      </w:r>
      <w:r w:rsidR="00C62884">
        <w:fldChar w:fldCharType="end"/>
      </w:r>
      <w:bookmarkEnd w:id="1460"/>
      <w:r w:rsidR="00FB3FE4" w:rsidRPr="00EC6BB8">
        <w:t xml:space="preserve">: </w:t>
      </w:r>
      <w:r w:rsidR="008645FA" w:rsidRPr="00C51DE2">
        <w:t>The 26 years trend in the concentrations of a) dissolved organic carbon</w:t>
      </w:r>
      <w:r w:rsidR="008645FA" w:rsidRPr="003A77F5">
        <w:t xml:space="preserve"> (DOC), b) nitrogen (DON) and c) phosphorus (DOP)</w:t>
      </w:r>
      <w:r w:rsidR="008F6D8B">
        <w:t xml:space="preserve"> </w:t>
      </w:r>
      <w:r w:rsidR="008645FA" w:rsidRPr="00C27BEB">
        <w:rPr>
          <w:rStyle w:val="IntenseReference"/>
        </w:rPr>
        <w:t>are shown with the variations in the d) DOC:DON, e) DOC:DOP and e) DON:DOP molar ratios. Black dots indicate field observations and blue line represents the trend line fitted by generalized additive mixed effects models (GAMMs).</w:t>
      </w:r>
      <w:bookmarkEnd w:id="1459"/>
      <w:bookmarkEnd w:id="1461"/>
      <w:r w:rsidR="008645FA" w:rsidRPr="00C27BEB">
        <w:rPr>
          <w:rStyle w:val="IntenseReference"/>
        </w:rPr>
        <w:t xml:space="preserve"> </w:t>
      </w:r>
    </w:p>
    <w:p w14:paraId="5F22F32D" w14:textId="77777777" w:rsidR="008645FA" w:rsidRPr="00EC6BB8" w:rsidRDefault="008645FA" w:rsidP="00164E5E">
      <w:pPr>
        <w:pStyle w:val="Heading4"/>
        <w:sectPr w:rsidR="008645FA" w:rsidRPr="00EC6BB8" w:rsidSect="00786386">
          <w:pgSz w:w="16838" w:h="11906" w:orient="landscape"/>
          <w:pgMar w:top="1440" w:right="1440" w:bottom="1440" w:left="1440" w:header="709" w:footer="709" w:gutter="0"/>
          <w:cols w:space="708"/>
          <w:docGrid w:linePitch="360"/>
        </w:sectPr>
      </w:pPr>
    </w:p>
    <w:p w14:paraId="5F22F32F" w14:textId="77777777" w:rsidR="00446EA5" w:rsidRPr="00C27BEB" w:rsidRDefault="00446EA5" w:rsidP="00446EA5">
      <w:pPr>
        <w:pStyle w:val="Heading2"/>
      </w:pPr>
      <w:bookmarkStart w:id="1462" w:name="_Toc459158447"/>
      <w:bookmarkStart w:id="1463" w:name="_Toc459158720"/>
      <w:bookmarkStart w:id="1464" w:name="_Toc459159001"/>
      <w:bookmarkStart w:id="1465" w:name="_Toc459210000"/>
      <w:bookmarkStart w:id="1466" w:name="_Toc459329193"/>
      <w:bookmarkStart w:id="1467" w:name="_Toc459329552"/>
      <w:bookmarkStart w:id="1468" w:name="_Toc459329913"/>
      <w:bookmarkStart w:id="1469" w:name="_Toc459330273"/>
      <w:bookmarkStart w:id="1470" w:name="_Toc459330633"/>
      <w:bookmarkStart w:id="1471" w:name="_Toc459330993"/>
      <w:bookmarkStart w:id="1472" w:name="_Toc459331353"/>
      <w:bookmarkStart w:id="1473" w:name="_Toc459331713"/>
      <w:bookmarkStart w:id="1474" w:name="_Toc459332073"/>
      <w:bookmarkStart w:id="1475" w:name="_Toc462307466"/>
      <w:bookmarkEnd w:id="1462"/>
      <w:bookmarkEnd w:id="1463"/>
      <w:bookmarkEnd w:id="1464"/>
      <w:bookmarkEnd w:id="1465"/>
      <w:bookmarkEnd w:id="1466"/>
      <w:bookmarkEnd w:id="1467"/>
      <w:bookmarkEnd w:id="1468"/>
      <w:bookmarkEnd w:id="1469"/>
      <w:bookmarkEnd w:id="1470"/>
      <w:bookmarkEnd w:id="1471"/>
      <w:bookmarkEnd w:id="1472"/>
      <w:bookmarkEnd w:id="1473"/>
      <w:bookmarkEnd w:id="1474"/>
      <w:r w:rsidRPr="00C27BEB">
        <w:t>Discussion</w:t>
      </w:r>
      <w:bookmarkEnd w:id="1475"/>
      <w:r w:rsidRPr="00C27BEB">
        <w:t xml:space="preserve"> </w:t>
      </w:r>
    </w:p>
    <w:p w14:paraId="6096C165" w14:textId="3441F7CC" w:rsidR="00A12714" w:rsidRPr="004A5BF7" w:rsidRDefault="00446EA5" w:rsidP="00446EA5">
      <w:pPr>
        <w:rPr>
          <w:rFonts w:cs="Arial"/>
          <w:szCs w:val="22"/>
          <w:lang w:val="en-AU"/>
        </w:rPr>
      </w:pPr>
      <w:r w:rsidRPr="00C51DE2">
        <w:rPr>
          <w:rFonts w:eastAsiaTheme="minorHAnsi"/>
          <w:lang w:val="en-AU"/>
        </w:rPr>
        <w:t xml:space="preserve">Our analyses of </w:t>
      </w:r>
      <w:r w:rsidRPr="003A77F5">
        <w:rPr>
          <w:rFonts w:eastAsiaTheme="minorHAnsi"/>
          <w:lang w:val="en-AU"/>
        </w:rPr>
        <w:t xml:space="preserve">more than two decades of continuous sampling from coastal waters of the Great Barrier Reef point to </w:t>
      </w:r>
      <w:r w:rsidR="00A12714" w:rsidRPr="003A77F5">
        <w:rPr>
          <w:rFonts w:eastAsiaTheme="minorHAnsi"/>
          <w:lang w:val="en-AU"/>
        </w:rPr>
        <w:t>to</w:t>
      </w:r>
      <w:r w:rsidR="00A12714">
        <w:rPr>
          <w:rFonts w:eastAsiaTheme="minorHAnsi"/>
          <w:lang w:val="en-AU"/>
        </w:rPr>
        <w:t xml:space="preserve"> a stable system which has not experienced much change over the last 26 years in the overall water quality. Some of the variables showed no change (e.g. Particulate phosphorus), other a </w:t>
      </w:r>
      <w:r w:rsidR="00A12714" w:rsidRPr="003A77F5">
        <w:rPr>
          <w:rFonts w:cs="Arial"/>
          <w:szCs w:val="22"/>
          <w:lang w:val="en-AU"/>
        </w:rPr>
        <w:t>multi</w:t>
      </w:r>
      <w:r w:rsidR="00A12714">
        <w:rPr>
          <w:rFonts w:cs="Arial"/>
          <w:szCs w:val="22"/>
          <w:lang w:val="en-AU"/>
        </w:rPr>
        <w:t xml:space="preserve">-year pattern (e.g. </w:t>
      </w:r>
      <w:r w:rsidR="00A12714" w:rsidRPr="003A77F5">
        <w:rPr>
          <w:rFonts w:cs="Arial"/>
          <w:szCs w:val="22"/>
          <w:lang w:val="en-AU"/>
        </w:rPr>
        <w:t>chlorophyll</w:t>
      </w:r>
      <w:r w:rsidR="00A12714">
        <w:rPr>
          <w:rFonts w:cs="Arial"/>
          <w:szCs w:val="22"/>
          <w:lang w:val="en-AU"/>
        </w:rPr>
        <w:t>)</w:t>
      </w:r>
      <w:r w:rsidR="00A12714" w:rsidRPr="003A77F5">
        <w:rPr>
          <w:rFonts w:cs="Arial"/>
          <w:szCs w:val="22"/>
          <w:lang w:val="en-AU"/>
        </w:rPr>
        <w:t>,</w:t>
      </w:r>
      <w:r w:rsidR="00A12714">
        <w:rPr>
          <w:rFonts w:cs="Arial"/>
          <w:szCs w:val="22"/>
          <w:lang w:val="en-AU"/>
        </w:rPr>
        <w:t xml:space="preserve"> </w:t>
      </w:r>
      <w:r w:rsidR="00A12714" w:rsidRPr="003A77F5">
        <w:rPr>
          <w:rFonts w:cs="Arial"/>
          <w:szCs w:val="22"/>
          <w:lang w:val="en-AU"/>
        </w:rPr>
        <w:t>particulate nitrogen</w:t>
      </w:r>
      <w:r w:rsidR="00A12714">
        <w:rPr>
          <w:rFonts w:cs="Arial"/>
          <w:szCs w:val="22"/>
          <w:lang w:val="en-AU"/>
        </w:rPr>
        <w:t xml:space="preserve"> increased and </w:t>
      </w:r>
      <w:r w:rsidR="00A12714" w:rsidRPr="003A77F5">
        <w:rPr>
          <w:rFonts w:cs="Arial"/>
          <w:szCs w:val="22"/>
          <w:lang w:val="en-AU"/>
        </w:rPr>
        <w:t>dissolved org</w:t>
      </w:r>
      <w:r w:rsidR="00A12714" w:rsidRPr="00F77F98">
        <w:rPr>
          <w:rFonts w:cs="Arial"/>
          <w:szCs w:val="22"/>
          <w:lang w:val="en-AU"/>
        </w:rPr>
        <w:t>anic carbon concentrations</w:t>
      </w:r>
      <w:r w:rsidR="00A12714" w:rsidRPr="00A12714">
        <w:rPr>
          <w:rFonts w:cs="Arial"/>
          <w:szCs w:val="22"/>
          <w:lang w:val="en-AU"/>
        </w:rPr>
        <w:t xml:space="preserve"> </w:t>
      </w:r>
      <w:r w:rsidR="00A12714" w:rsidRPr="003A77F5">
        <w:rPr>
          <w:rFonts w:cs="Arial"/>
          <w:szCs w:val="22"/>
          <w:lang w:val="en-AU"/>
        </w:rPr>
        <w:t>increased</w:t>
      </w:r>
      <w:r w:rsidR="00A12714">
        <w:rPr>
          <w:rFonts w:cs="Arial"/>
          <w:szCs w:val="22"/>
          <w:lang w:val="en-AU"/>
        </w:rPr>
        <w:t>.</w:t>
      </w:r>
    </w:p>
    <w:p w14:paraId="5F22F331" w14:textId="6FBEA21C" w:rsidR="00446EA5" w:rsidRPr="003A77F5" w:rsidRDefault="00446EA5" w:rsidP="00446EA5">
      <w:pPr>
        <w:rPr>
          <w:rFonts w:eastAsiaTheme="minorHAnsi"/>
          <w:lang w:val="en-AU"/>
        </w:rPr>
      </w:pPr>
      <w:r w:rsidRPr="00C51DE2">
        <w:rPr>
          <w:rFonts w:eastAsiaTheme="minorHAnsi"/>
          <w:lang w:val="en-AU"/>
        </w:rPr>
        <w:t xml:space="preserve">Evidence of the </w:t>
      </w:r>
      <w:r w:rsidRPr="003A77F5">
        <w:rPr>
          <w:rFonts w:eastAsiaTheme="minorHAnsi"/>
          <w:lang w:val="en-AU"/>
        </w:rPr>
        <w:t xml:space="preserve">long-term changes in the </w:t>
      </w:r>
      <w:r w:rsidR="008F6D8B">
        <w:rPr>
          <w:rFonts w:eastAsiaTheme="minorHAnsi"/>
          <w:lang w:val="en-AU"/>
        </w:rPr>
        <w:t>GBR</w:t>
      </w:r>
      <w:r w:rsidRPr="003A77F5">
        <w:rPr>
          <w:rFonts w:eastAsiaTheme="minorHAnsi"/>
          <w:lang w:val="en-AU"/>
        </w:rPr>
        <w:t xml:space="preserve"> water quality has until now mainly been </w:t>
      </w:r>
      <w:r w:rsidRPr="00EC6BB8">
        <w:rPr>
          <w:lang w:val="en-AU"/>
        </w:rPr>
        <w:t>indirect</w:t>
      </w:r>
      <w:r w:rsidRPr="00C51DE2">
        <w:rPr>
          <w:rFonts w:eastAsiaTheme="minorHAnsi"/>
          <w:lang w:val="en-AU"/>
        </w:rPr>
        <w:t xml:space="preserve"> (i.e. </w:t>
      </w:r>
      <w:r w:rsidRPr="003A77F5">
        <w:rPr>
          <w:rFonts w:eastAsiaTheme="minorHAnsi"/>
          <w:lang w:val="en-AU"/>
        </w:rPr>
        <w:t>h</w:t>
      </w:r>
      <w:r w:rsidRPr="00EC6BB8">
        <w:rPr>
          <w:lang w:val="en-AU"/>
        </w:rPr>
        <w:t>istorical changes in biological communities</w:t>
      </w:r>
      <w:r w:rsidRPr="00C51DE2">
        <w:rPr>
          <w:rFonts w:eastAsiaTheme="minorHAnsi"/>
          <w:lang w:val="en-AU"/>
        </w:rPr>
        <w:t xml:space="preserve"> </w:t>
      </w:r>
      <w:r w:rsidRPr="003A77F5">
        <w:rPr>
          <w:rFonts w:eastAsiaTheme="minorHAnsi"/>
          <w:lang w:val="en-AU"/>
        </w:rPr>
        <w:t xml:space="preserve">and/or </w:t>
      </w:r>
      <w:r w:rsidRPr="00EC6BB8">
        <w:rPr>
          <w:lang w:val="en-AU"/>
        </w:rPr>
        <w:t>coral geochemical records</w:t>
      </w:r>
      <w:r w:rsidRPr="00C51DE2">
        <w:rPr>
          <w:rFonts w:eastAsiaTheme="minorHAnsi"/>
          <w:lang w:val="en-AU"/>
        </w:rPr>
        <w:t xml:space="preserve">) although </w:t>
      </w:r>
      <w:r w:rsidRPr="003A77F5">
        <w:rPr>
          <w:rFonts w:eastAsiaTheme="minorHAnsi"/>
          <w:lang w:val="en-AU"/>
        </w:rPr>
        <w:t>comparison of secchi disc reading from the 1928-29 with more recent readings have provided some evidence that mean visibility in near surface waters is now half what it was (Wolanski and Spagnol</w:t>
      </w:r>
      <w:r w:rsidR="008F6D8B">
        <w:rPr>
          <w:rFonts w:eastAsiaTheme="minorHAnsi"/>
          <w:lang w:val="en-AU"/>
        </w:rPr>
        <w:t>,</w:t>
      </w:r>
      <w:r w:rsidRPr="003A77F5">
        <w:rPr>
          <w:rFonts w:eastAsiaTheme="minorHAnsi"/>
          <w:lang w:val="en-AU"/>
        </w:rPr>
        <w:t xml:space="preserve"> 2000).</w:t>
      </w:r>
    </w:p>
    <w:p w14:paraId="268A1F2B" w14:textId="52253DA0" w:rsidR="00F17161" w:rsidRPr="00DC3B73" w:rsidRDefault="00F17161" w:rsidP="00F17161">
      <w:pPr>
        <w:autoSpaceDE w:val="0"/>
        <w:autoSpaceDN w:val="0"/>
        <w:adjustRightInd w:val="0"/>
        <w:spacing w:after="0"/>
        <w:rPr>
          <w:rFonts w:cs="Arial"/>
          <w:color w:val="1A1A1A"/>
          <w:lang w:val="en-US" w:eastAsia="en-AU"/>
        </w:rPr>
      </w:pPr>
      <w:r w:rsidRPr="00DC3B73">
        <w:rPr>
          <w:rFonts w:cs="Arial"/>
          <w:color w:val="1A1A1A"/>
          <w:szCs w:val="22"/>
          <w:lang w:val="en-US" w:eastAsia="en-AU"/>
        </w:rPr>
        <w:t xml:space="preserve">Uncertainty in what controls the cycling of key water quality variables (e.g. nitrogen) in the </w:t>
      </w:r>
      <w:r w:rsidR="008F6D8B">
        <w:rPr>
          <w:rFonts w:cs="Arial"/>
          <w:color w:val="1A1A1A"/>
          <w:szCs w:val="22"/>
          <w:lang w:val="en-US" w:eastAsia="en-AU"/>
        </w:rPr>
        <w:t>GBR</w:t>
      </w:r>
      <w:r w:rsidRPr="00DC3B73">
        <w:rPr>
          <w:rFonts w:cs="Arial"/>
          <w:color w:val="1A1A1A"/>
          <w:szCs w:val="22"/>
          <w:lang w:val="en-US" w:eastAsia="en-AU"/>
        </w:rPr>
        <w:t xml:space="preserve"> is currently large. Long term data sets, such as the one presented here can therefore provide confidence that a management policy has provided a sufficient improvement in the water quality.  </w:t>
      </w:r>
      <w:r w:rsidRPr="00DC3B73">
        <w:rPr>
          <w:rFonts w:cs="Arial"/>
          <w:szCs w:val="22"/>
        </w:rPr>
        <w:t xml:space="preserve">Our results suggest that overall </w:t>
      </w:r>
      <w:r w:rsidRPr="00DC3B73">
        <w:rPr>
          <w:rFonts w:cs="Arial"/>
        </w:rPr>
        <w:t xml:space="preserve">no major decline or improvement in the </w:t>
      </w:r>
      <w:r w:rsidRPr="00DC3B73">
        <w:rPr>
          <w:rFonts w:cs="Arial"/>
          <w:szCs w:val="22"/>
        </w:rPr>
        <w:t xml:space="preserve">water quality </w:t>
      </w:r>
      <w:r w:rsidRPr="00DC3B73">
        <w:rPr>
          <w:rFonts w:cs="Arial"/>
        </w:rPr>
        <w:t>has taken place in</w:t>
      </w:r>
      <w:r w:rsidRPr="00DC3B73">
        <w:rPr>
          <w:rFonts w:cs="Arial"/>
          <w:szCs w:val="22"/>
        </w:rPr>
        <w:t xml:space="preserve"> the Cairns Transect region </w:t>
      </w:r>
      <w:r w:rsidRPr="00DC3B73">
        <w:rPr>
          <w:rFonts w:cs="Arial"/>
        </w:rPr>
        <w:t>over the last 26 years. This casts some doubt on if the policy changes happening on land is translated into changes in the marine environment.  Therefore i</w:t>
      </w:r>
      <w:r w:rsidRPr="00DC3B73">
        <w:rPr>
          <w:rFonts w:cs="Arial"/>
          <w:color w:val="1A1A1A"/>
          <w:lang w:val="en-US" w:eastAsia="en-AU"/>
        </w:rPr>
        <w:t xml:space="preserve">f we want to better manage and understand the impact of policy changes on the marine water quality we need improved process knowledge with respect to carbon, nitrogen and phosphorus cycling on land, in rivers/lakes and in the marine system. Such knowledge will be </w:t>
      </w:r>
      <w:r w:rsidRPr="00DC3B73">
        <w:rPr>
          <w:rFonts w:cs="Arial"/>
          <w:color w:val="1A1A1A"/>
          <w:szCs w:val="22"/>
          <w:lang w:val="en-US" w:eastAsia="en-AU"/>
        </w:rPr>
        <w:t>required for effective support of policy developments</w:t>
      </w:r>
      <w:r w:rsidRPr="00DC3B73">
        <w:rPr>
          <w:rFonts w:cs="Arial"/>
          <w:color w:val="1A1A1A"/>
          <w:lang w:val="en-US" w:eastAsia="en-AU"/>
        </w:rPr>
        <w:t xml:space="preserve">. </w:t>
      </w:r>
    </w:p>
    <w:p w14:paraId="5F22F334" w14:textId="79BA123E" w:rsidR="00A85D89" w:rsidRDefault="00446EA5" w:rsidP="00446EA5">
      <w:pPr>
        <w:rPr>
          <w:lang w:val="en-AU"/>
        </w:rPr>
      </w:pPr>
      <w:r w:rsidRPr="00EC6BB8">
        <w:rPr>
          <w:lang w:val="en-AU"/>
        </w:rPr>
        <w:t xml:space="preserve">The next step is to conduct a detailed statistical analysis to determine </w:t>
      </w:r>
      <w:r>
        <w:rPr>
          <w:lang w:val="en-AU"/>
        </w:rPr>
        <w:t xml:space="preserve">which environmental factors (e.g. land clearing, river discharge) drive the </w:t>
      </w:r>
      <w:r w:rsidRPr="00EC6BB8">
        <w:rPr>
          <w:lang w:val="en-AU"/>
        </w:rPr>
        <w:t>trends found in water quality. Thereafter the results will be written up for publication in a peer reviewed journal.</w:t>
      </w:r>
    </w:p>
    <w:p w14:paraId="5F22F335" w14:textId="77777777" w:rsidR="005C4CAB" w:rsidRPr="00EC6BB8" w:rsidRDefault="005C4CAB" w:rsidP="001A5D46">
      <w:pPr>
        <w:autoSpaceDE w:val="0"/>
        <w:autoSpaceDN w:val="0"/>
        <w:adjustRightInd w:val="0"/>
        <w:rPr>
          <w:rFonts w:cs="Arial"/>
          <w:szCs w:val="22"/>
          <w:lang w:val="en-AU"/>
        </w:rPr>
      </w:pPr>
    </w:p>
    <w:p w14:paraId="5F22F336" w14:textId="1E04FEE8" w:rsidR="008467AA" w:rsidRDefault="008467AA" w:rsidP="00C27BEB">
      <w:pPr>
        <w:pStyle w:val="Heading1"/>
        <w:rPr>
          <w:rFonts w:eastAsia="Calibri"/>
        </w:rPr>
      </w:pPr>
      <w:bookmarkStart w:id="1476" w:name="_Toc436913528"/>
      <w:bookmarkStart w:id="1477" w:name="_Ref459146417"/>
      <w:bookmarkStart w:id="1478" w:name="_Toc462307467"/>
      <w:r w:rsidRPr="00C27BEB">
        <w:rPr>
          <w:rFonts w:eastAsia="Calibri"/>
        </w:rPr>
        <w:t xml:space="preserve">Case study: </w:t>
      </w:r>
      <w:r w:rsidR="0072608D">
        <w:rPr>
          <w:rFonts w:eastAsia="Calibri"/>
        </w:rPr>
        <w:t>P</w:t>
      </w:r>
      <w:r w:rsidR="0072608D" w:rsidRPr="00C27BEB">
        <w:rPr>
          <w:rFonts w:eastAsia="Calibri"/>
        </w:rPr>
        <w:t xml:space="preserve">rogressing </w:t>
      </w:r>
      <w:r w:rsidRPr="00C27BEB">
        <w:rPr>
          <w:rFonts w:eastAsia="Calibri"/>
        </w:rPr>
        <w:t xml:space="preserve">toward validated river plume </w:t>
      </w:r>
      <w:r w:rsidR="008F6D8B">
        <w:rPr>
          <w:rFonts w:eastAsia="Calibri"/>
        </w:rPr>
        <w:t>potential risk</w:t>
      </w:r>
      <w:r w:rsidR="008F6D8B" w:rsidRPr="00C27BEB">
        <w:rPr>
          <w:rFonts w:eastAsia="Calibri"/>
        </w:rPr>
        <w:t xml:space="preserve"> </w:t>
      </w:r>
      <w:r w:rsidRPr="00C27BEB">
        <w:rPr>
          <w:rFonts w:eastAsia="Calibri"/>
        </w:rPr>
        <w:t>maps</w:t>
      </w:r>
      <w:bookmarkEnd w:id="1476"/>
      <w:bookmarkEnd w:id="1477"/>
      <w:bookmarkEnd w:id="1478"/>
    </w:p>
    <w:p w14:paraId="5F22F337" w14:textId="77777777" w:rsidR="00837114" w:rsidRPr="00837114" w:rsidRDefault="00837114" w:rsidP="00837114">
      <w:pPr>
        <w:rPr>
          <w:rFonts w:eastAsia="Calibri"/>
          <w:lang w:val="en-AU"/>
        </w:rPr>
      </w:pPr>
      <w:r w:rsidRPr="00EC6BB8">
        <w:rPr>
          <w:rFonts w:cs="Arial"/>
          <w:b/>
          <w:i/>
          <w:szCs w:val="22"/>
          <w:lang w:val="en-AU"/>
        </w:rPr>
        <w:t>Authors:</w:t>
      </w:r>
      <w:r>
        <w:rPr>
          <w:rFonts w:cs="Arial"/>
          <w:b/>
          <w:i/>
          <w:szCs w:val="22"/>
          <w:lang w:val="en-AU"/>
        </w:rPr>
        <w:t xml:space="preserve"> </w:t>
      </w:r>
      <w:r w:rsidRPr="00837114">
        <w:rPr>
          <w:rFonts w:eastAsia="Calibri"/>
          <w:lang w:val="en-AU"/>
        </w:rPr>
        <w:t>Caroline Petus</w:t>
      </w:r>
      <w:r>
        <w:rPr>
          <w:rFonts w:eastAsia="Calibri"/>
          <w:lang w:val="en-AU"/>
        </w:rPr>
        <w:t>,</w:t>
      </w:r>
      <w:r w:rsidRPr="00837114">
        <w:rPr>
          <w:rFonts w:eastAsia="Calibri"/>
          <w:lang w:val="en-AU"/>
        </w:rPr>
        <w:t xml:space="preserve"> Michelle Devlin</w:t>
      </w:r>
      <w:r>
        <w:rPr>
          <w:rFonts w:eastAsia="Calibri"/>
          <w:lang w:val="en-AU"/>
        </w:rPr>
        <w:t>,</w:t>
      </w:r>
      <w:r w:rsidRPr="00837114">
        <w:rPr>
          <w:rFonts w:eastAsia="Calibri"/>
          <w:lang w:val="en-AU"/>
        </w:rPr>
        <w:t xml:space="preserve"> Angus Thompson</w:t>
      </w:r>
      <w:r>
        <w:rPr>
          <w:rFonts w:eastAsia="Calibri"/>
          <w:lang w:val="en-AU"/>
        </w:rPr>
        <w:t>,</w:t>
      </w:r>
      <w:r w:rsidRPr="00837114">
        <w:rPr>
          <w:rFonts w:eastAsia="Calibri"/>
          <w:lang w:val="en-AU"/>
        </w:rPr>
        <w:t xml:space="preserve"> Len McKenzie</w:t>
      </w:r>
      <w:r>
        <w:rPr>
          <w:rFonts w:eastAsia="Calibri"/>
          <w:lang w:val="en-AU"/>
        </w:rPr>
        <w:t>,</w:t>
      </w:r>
      <w:r w:rsidRPr="00837114">
        <w:rPr>
          <w:rFonts w:eastAsia="Calibri"/>
          <w:lang w:val="en-AU"/>
        </w:rPr>
        <w:t xml:space="preserve"> Eduardo Teixeira da Silva</w:t>
      </w:r>
      <w:r>
        <w:rPr>
          <w:rFonts w:eastAsia="Calibri"/>
          <w:lang w:val="en-AU"/>
        </w:rPr>
        <w:t>,</w:t>
      </w:r>
      <w:r w:rsidRPr="00837114">
        <w:rPr>
          <w:rFonts w:eastAsia="Calibri"/>
          <w:lang w:val="en-AU"/>
        </w:rPr>
        <w:t xml:space="preserve"> Catherine Collier</w:t>
      </w:r>
      <w:r>
        <w:rPr>
          <w:rFonts w:eastAsia="Calibri"/>
          <w:lang w:val="en-AU"/>
        </w:rPr>
        <w:t>,</w:t>
      </w:r>
      <w:r w:rsidRPr="00837114">
        <w:rPr>
          <w:rFonts w:eastAsia="Calibri"/>
          <w:lang w:val="en-AU"/>
        </w:rPr>
        <w:t xml:space="preserve"> Dieter Tracey</w:t>
      </w:r>
      <w:r>
        <w:rPr>
          <w:rFonts w:eastAsia="Calibri"/>
          <w:lang w:val="en-AU"/>
        </w:rPr>
        <w:t xml:space="preserve"> </w:t>
      </w:r>
      <w:r w:rsidRPr="00837114">
        <w:rPr>
          <w:rFonts w:eastAsia="Calibri"/>
          <w:lang w:val="en-AU"/>
        </w:rPr>
        <w:t xml:space="preserve">and Katherine Martin </w:t>
      </w:r>
    </w:p>
    <w:p w14:paraId="5F22F338" w14:textId="77777777" w:rsidR="00914B3A" w:rsidRPr="00C27BEB" w:rsidRDefault="00914B3A" w:rsidP="00C27BEB">
      <w:pPr>
        <w:pStyle w:val="Heading2"/>
      </w:pPr>
      <w:bookmarkStart w:id="1479" w:name="_Toc462307468"/>
      <w:r w:rsidRPr="00C27BEB">
        <w:t>Scope</w:t>
      </w:r>
      <w:bookmarkEnd w:id="1479"/>
    </w:p>
    <w:p w14:paraId="5F22F339" w14:textId="4F51D5CC" w:rsidR="00837114" w:rsidRDefault="00837114" w:rsidP="008C760D">
      <w:r w:rsidRPr="00837114">
        <w:t>Remote sensing products have been developed to map the spatial extent, composition and frequency of occurrence of river plumes in the Great Barrier Reef (GBR)</w:t>
      </w:r>
      <w:r w:rsidR="00756560">
        <w:t xml:space="preserve"> </w:t>
      </w:r>
      <w:r w:rsidR="00756560" w:rsidRPr="00837114">
        <w:t>and, coupled with in-situ data</w:t>
      </w:r>
      <w:r w:rsidR="00F67786">
        <w:t xml:space="preserve"> are</w:t>
      </w:r>
      <w:r w:rsidR="00756560" w:rsidRPr="00837114">
        <w:t xml:space="preserve"> used to document water quality conditions associated with the river plumes</w:t>
      </w:r>
      <w:r w:rsidR="00756560">
        <w:t xml:space="preserve"> (</w:t>
      </w:r>
      <w:r w:rsidR="00756560" w:rsidRPr="00837114">
        <w:t xml:space="preserve">Table </w:t>
      </w:r>
      <w:r w:rsidR="00756560">
        <w:t>8.</w:t>
      </w:r>
      <w:r w:rsidR="00756560" w:rsidRPr="00837114">
        <w:t>1</w:t>
      </w:r>
      <w:r w:rsidR="00756560">
        <w:t>)</w:t>
      </w:r>
      <w:r w:rsidRPr="00837114">
        <w:t xml:space="preserve">. There is, however, a need to incorporate these remote sensing products into risk assessment frameworks as management decision tools. A simple Satellite Risk Framework </w:t>
      </w:r>
      <w:r w:rsidR="00756560">
        <w:t>was</w:t>
      </w:r>
      <w:r w:rsidRPr="00837114">
        <w:t xml:space="preserve"> recently </w:t>
      </w:r>
      <w:r w:rsidR="00756560">
        <w:t>developed</w:t>
      </w:r>
      <w:r w:rsidRPr="00837114">
        <w:t xml:space="preserve"> to generate maps of ‘potential’ risk to seagrass and coral reef ecosystems in the GBR </w:t>
      </w:r>
      <w:r>
        <w:t>(Petus et al., 2014a</w:t>
      </w:r>
      <w:r w:rsidR="00D1120B">
        <w:t xml:space="preserve"> and this report</w:t>
      </w:r>
      <w:r>
        <w:t>).</w:t>
      </w:r>
      <w:r w:rsidR="0046394E">
        <w:t xml:space="preserve"> </w:t>
      </w:r>
      <w:r w:rsidRPr="00837114">
        <w:t xml:space="preserve">This framework was based on a </w:t>
      </w:r>
      <w:r w:rsidRPr="00756560">
        <w:rPr>
          <w:i/>
        </w:rPr>
        <w:t xml:space="preserve">“magnitude vs. likelihood” </w:t>
      </w:r>
      <w:r w:rsidRPr="00837114">
        <w:t>risk management approach and GBR plume water type</w:t>
      </w:r>
      <w:r>
        <w:t>s mapped from satellite imagery</w:t>
      </w:r>
      <w:r w:rsidRPr="00837114">
        <w:t xml:space="preserve">. The current study aimed to test </w:t>
      </w:r>
      <w:r w:rsidR="00302986">
        <w:t xml:space="preserve">the significance </w:t>
      </w:r>
      <w:r w:rsidRPr="00837114">
        <w:t>and refine the methods of the Satellite Risk Framework. It compared predicted pollutant concentrations in river plumes to published biological thresholds for adverse biological responses, and combined this information with measures of seagrass and coral health</w:t>
      </w:r>
      <w:r>
        <w:t>. This study</w:t>
      </w:r>
      <w:r w:rsidRPr="00837114">
        <w:t xml:space="preserve"> support</w:t>
      </w:r>
      <w:r>
        <w:t>s</w:t>
      </w:r>
      <w:r w:rsidRPr="00837114">
        <w:t xml:space="preserve"> future attempts to predict and prioritize management of the sources of contaminants in the GBR and mitigate impact that reduced water quality levels may have on the overall health of seagrasses and coral reefs.</w:t>
      </w:r>
      <w:r w:rsidR="00302986">
        <w:t xml:space="preserve"> T</w:t>
      </w:r>
      <w:r w:rsidR="00302986" w:rsidRPr="00302986">
        <w:t xml:space="preserve">he results </w:t>
      </w:r>
      <w:r w:rsidR="00302986">
        <w:t>presented here are currently under review</w:t>
      </w:r>
      <w:r w:rsidR="00302986" w:rsidRPr="00302986">
        <w:t xml:space="preserve"> for publication in </w:t>
      </w:r>
      <w:r w:rsidR="00302986">
        <w:t>the special issue of the remote sensing journal:</w:t>
      </w:r>
      <w:r w:rsidR="00302986" w:rsidRPr="00302986">
        <w:rPr>
          <w:i/>
        </w:rPr>
        <w:t xml:space="preserve"> “Remote Sensing for Coral Reef Monitoring”</w:t>
      </w:r>
      <w:r w:rsidR="007F49F1">
        <w:rPr>
          <w:i/>
        </w:rPr>
        <w:t xml:space="preserve"> </w:t>
      </w:r>
      <w:r w:rsidR="007F49F1">
        <w:t>(Petus et al., in review)</w:t>
      </w:r>
      <w:r w:rsidR="00302986" w:rsidRPr="00302986">
        <w:rPr>
          <w:i/>
        </w:rPr>
        <w:t>.</w:t>
      </w:r>
      <w:r w:rsidR="00302986">
        <w:t xml:space="preserve"> </w:t>
      </w:r>
    </w:p>
    <w:p w14:paraId="5F22F33A" w14:textId="77777777" w:rsidR="00837114" w:rsidRDefault="00837114" w:rsidP="00837114">
      <w:pPr>
        <w:pStyle w:val="Heading2"/>
      </w:pPr>
      <w:bookmarkStart w:id="1480" w:name="_Toc462307469"/>
      <w:r>
        <w:t>Introduction</w:t>
      </w:r>
      <w:bookmarkEnd w:id="1480"/>
    </w:p>
    <w:p w14:paraId="5F22F33B" w14:textId="1183CD67" w:rsidR="00D1120B" w:rsidRDefault="00D1120B" w:rsidP="008C760D">
      <w:r w:rsidRPr="00D1120B">
        <w:t>Time series of MODIS plume water type maps can help progress river plume risk assessment for the GBR by clustering water masses with different concentrations and proportions of land-sourced contaminants</w:t>
      </w:r>
      <w:r w:rsidR="007F49F1">
        <w:t>.</w:t>
      </w:r>
      <w:r w:rsidRPr="00D1120B">
        <w:t xml:space="preserve"> </w:t>
      </w:r>
      <w:r w:rsidR="007F49F1">
        <w:t>A</w:t>
      </w:r>
      <w:r w:rsidRPr="00D1120B">
        <w:t xml:space="preserve"> simple framework to produce river plume risk maps for seagrass and coral ecosystems from satellit</w:t>
      </w:r>
      <w:r>
        <w:t>e images was</w:t>
      </w:r>
      <w:r w:rsidR="007F49F1">
        <w:t>,</w:t>
      </w:r>
      <w:r>
        <w:t xml:space="preserve"> </w:t>
      </w:r>
      <w:r w:rsidR="007F49F1">
        <w:t xml:space="preserve">thus, </w:t>
      </w:r>
      <w:r>
        <w:t>recently proposed (Petus et al., 2014b)</w:t>
      </w:r>
      <w:r w:rsidRPr="00D1120B">
        <w:t xml:space="preserve">. This framework (hereafter Satellite Risk Framework) was based on established risk management approach (magnitude </w:t>
      </w:r>
      <w:r w:rsidR="00C079A7">
        <w:t>x</w:t>
      </w:r>
      <w:r w:rsidRPr="00D1120B">
        <w:t xml:space="preserve"> likelihood approach) </w:t>
      </w:r>
      <w:r w:rsidR="009C6A72">
        <w:t xml:space="preserve">and </w:t>
      </w:r>
      <w:r w:rsidRPr="00D1120B">
        <w:t xml:space="preserve">a risk matrix that assumed </w:t>
      </w:r>
      <w:r w:rsidR="009C6A72">
        <w:t xml:space="preserve">that </w:t>
      </w:r>
      <w:r w:rsidRPr="00D1120B">
        <w:t xml:space="preserve">adverse biological responses from GBR seagrass and coral ecosystems will increase with contaminant concentrations and frequency of exposure to river </w:t>
      </w:r>
      <w:r w:rsidRPr="008502F3">
        <w:t>plume (Figure A1 1</w:t>
      </w:r>
      <w:r w:rsidR="00CC7CAB">
        <w:t>,</w:t>
      </w:r>
      <w:r w:rsidR="007F49F1">
        <w:t xml:space="preserve"> </w:t>
      </w:r>
      <w:r w:rsidR="00CC7CAB" w:rsidRPr="008502F3">
        <w:t xml:space="preserve">Figure A1 </w:t>
      </w:r>
      <w:r w:rsidR="00CC7CAB">
        <w:t xml:space="preserve">2 </w:t>
      </w:r>
      <w:r w:rsidR="007F49F1">
        <w:t xml:space="preserve">and see </w:t>
      </w:r>
      <w:r w:rsidR="007F49F1" w:rsidRPr="007F49F1">
        <w:t>Table A1 3</w:t>
      </w:r>
      <w:r w:rsidR="007F49F1">
        <w:t>, for a description of the GBR plume water types: CC1 to CC6: Primary, CC5: Secondary and CC: Tertiary).</w:t>
      </w:r>
    </w:p>
    <w:p w14:paraId="5F22F33C" w14:textId="063E11C3" w:rsidR="009C6A72" w:rsidRDefault="00D1120B" w:rsidP="00D1120B">
      <w:pPr>
        <w:rPr>
          <w:lang w:val="en-AU"/>
        </w:rPr>
      </w:pPr>
      <w:r w:rsidRPr="00D1120B">
        <w:rPr>
          <w:lang w:val="en-AU"/>
        </w:rPr>
        <w:t xml:space="preserve">In this study, it was decided to work with river plume products derived from MODIS true color data to test the validity of the Satellite Risk Framework to identify ecological risk for the GBR ecosystems. This study focused on the key land-sourced contaminants for the GBR seagrasses and coral reefs, </w:t>
      </w:r>
      <w:r w:rsidRPr="007F49F1">
        <w:rPr>
          <w:i/>
          <w:lang w:val="en-AU"/>
        </w:rPr>
        <w:t>i.e.</w:t>
      </w:r>
      <w:r w:rsidRPr="00D1120B">
        <w:rPr>
          <w:lang w:val="en-AU"/>
        </w:rPr>
        <w:t xml:space="preserve">, </w:t>
      </w:r>
      <w:r w:rsidR="00302986">
        <w:rPr>
          <w:lang w:val="en-AU"/>
        </w:rPr>
        <w:t xml:space="preserve">total </w:t>
      </w:r>
      <w:r w:rsidRPr="00D1120B">
        <w:rPr>
          <w:lang w:val="en-AU"/>
        </w:rPr>
        <w:t>suspended sediments</w:t>
      </w:r>
      <w:r w:rsidR="00302986">
        <w:rPr>
          <w:lang w:val="en-AU"/>
        </w:rPr>
        <w:t xml:space="preserve"> (TSS)</w:t>
      </w:r>
      <w:r w:rsidRPr="00D1120B">
        <w:rPr>
          <w:lang w:val="en-AU"/>
        </w:rPr>
        <w:t xml:space="preserve">, </w:t>
      </w:r>
      <w:r w:rsidR="00125B86">
        <w:rPr>
          <w:lang w:val="en-AU"/>
        </w:rPr>
        <w:t>Dissolved I</w:t>
      </w:r>
      <w:r w:rsidR="00302986">
        <w:rPr>
          <w:lang w:val="en-AU"/>
        </w:rPr>
        <w:t>norganic Nitrogen</w:t>
      </w:r>
      <w:r w:rsidRPr="00D1120B">
        <w:rPr>
          <w:lang w:val="en-AU"/>
        </w:rPr>
        <w:t xml:space="preserve"> (DIN) and </w:t>
      </w:r>
      <w:r w:rsidR="00302986">
        <w:rPr>
          <w:lang w:val="en-AU"/>
        </w:rPr>
        <w:t xml:space="preserve">PSII </w:t>
      </w:r>
      <w:r w:rsidRPr="00D1120B">
        <w:rPr>
          <w:lang w:val="en-AU"/>
        </w:rPr>
        <w:t xml:space="preserve">herbicides </w:t>
      </w:r>
      <w:r w:rsidR="00125B86">
        <w:rPr>
          <w:lang w:val="en-AU"/>
        </w:rPr>
        <w:t>(Brodie et al., 2014)</w:t>
      </w:r>
      <w:r w:rsidRPr="00D1120B">
        <w:rPr>
          <w:lang w:val="en-AU"/>
        </w:rPr>
        <w:t xml:space="preserve">. It </w:t>
      </w:r>
      <w:r w:rsidR="00302986" w:rsidRPr="00D1120B">
        <w:rPr>
          <w:lang w:val="en-AU"/>
        </w:rPr>
        <w:t>build</w:t>
      </w:r>
      <w:r w:rsidR="00302986">
        <w:rPr>
          <w:lang w:val="en-AU"/>
        </w:rPr>
        <w:t>s</w:t>
      </w:r>
      <w:r w:rsidRPr="00D1120B">
        <w:rPr>
          <w:lang w:val="en-AU"/>
        </w:rPr>
        <w:t xml:space="preserve"> on methods and remote sensing products developed through MMP funding (</w:t>
      </w:r>
      <w:r w:rsidR="008F6D8B">
        <w:rPr>
          <w:lang w:val="en-AU"/>
        </w:rPr>
        <w:fldChar w:fldCharType="begin"/>
      </w:r>
      <w:r w:rsidR="008F6D8B">
        <w:rPr>
          <w:lang w:val="en-AU"/>
        </w:rPr>
        <w:instrText xml:space="preserve"> REF _Ref459155365 \h </w:instrText>
      </w:r>
      <w:r w:rsidR="008F6D8B">
        <w:rPr>
          <w:lang w:val="en-AU"/>
        </w:rPr>
      </w:r>
      <w:r w:rsidR="008F6D8B">
        <w:rPr>
          <w:lang w:val="en-AU"/>
        </w:rPr>
        <w:fldChar w:fldCharType="separate"/>
      </w:r>
      <w:r w:rsidR="007F5336">
        <w:t xml:space="preserve">Table </w:t>
      </w:r>
      <w:r w:rsidR="007F5336">
        <w:rPr>
          <w:noProof/>
        </w:rPr>
        <w:t>8</w:t>
      </w:r>
      <w:r w:rsidR="007F5336">
        <w:noBreakHyphen/>
      </w:r>
      <w:r w:rsidR="007F5336">
        <w:rPr>
          <w:noProof/>
        </w:rPr>
        <w:t>1</w:t>
      </w:r>
      <w:r w:rsidR="008F6D8B">
        <w:rPr>
          <w:lang w:val="en-AU"/>
        </w:rPr>
        <w:fldChar w:fldCharType="end"/>
      </w:r>
      <w:r w:rsidRPr="00D1120B">
        <w:rPr>
          <w:lang w:val="en-AU"/>
        </w:rPr>
        <w:t xml:space="preserve">), as well as recent case studies undertaken in the GBR </w:t>
      </w:r>
      <w:r w:rsidR="00125B86">
        <w:rPr>
          <w:lang w:val="en-AU"/>
        </w:rPr>
        <w:t>(Petus et al., 2014a,b)</w:t>
      </w:r>
      <w:r w:rsidRPr="00D1120B">
        <w:rPr>
          <w:lang w:val="en-AU"/>
        </w:rPr>
        <w:t xml:space="preserve">; but focused on broader spatial and temporal scales (GBR-wide and decadal). This study compared predicted pollutant concentrations in river plumes to published biological thresholds for adverse biological responses, and combined this information with long-term measures of seagrass and coral ecosystem health available through the MMP. </w:t>
      </w:r>
    </w:p>
    <w:p w14:paraId="5F22F33D" w14:textId="78F2FCE6" w:rsidR="00D1120B" w:rsidRPr="00D1120B" w:rsidRDefault="00D1120B" w:rsidP="00D1120B">
      <w:pPr>
        <w:rPr>
          <w:lang w:val="en-AU"/>
        </w:rPr>
      </w:pPr>
      <w:r w:rsidRPr="00D1120B">
        <w:rPr>
          <w:lang w:val="en-AU"/>
        </w:rPr>
        <w:t xml:space="preserve">The assumption of the Satellite Risk Framework </w:t>
      </w:r>
      <w:r w:rsidR="00125B86">
        <w:rPr>
          <w:lang w:val="en-AU"/>
        </w:rPr>
        <w:t>(Petus et al., 2014a)</w:t>
      </w:r>
      <w:r w:rsidR="00125B86" w:rsidRPr="00D1120B" w:rsidDel="00125B86">
        <w:rPr>
          <w:lang w:val="en-AU"/>
        </w:rPr>
        <w:t xml:space="preserve"> </w:t>
      </w:r>
      <w:r w:rsidRPr="00D1120B">
        <w:rPr>
          <w:lang w:val="en-AU"/>
        </w:rPr>
        <w:t xml:space="preserve">were tested </w:t>
      </w:r>
      <w:r w:rsidRPr="007F49F1">
        <w:rPr>
          <w:i/>
          <w:lang w:val="en-AU"/>
        </w:rPr>
        <w:t>i.e.</w:t>
      </w:r>
      <w:r w:rsidRPr="00D1120B">
        <w:rPr>
          <w:lang w:val="en-AU"/>
        </w:rPr>
        <w:t xml:space="preserve">: (i) levels of contaminants in plume waters exceed published ecological thresholds and decrease from the inshore to offshore plume water types, and; (ii) the ecosystem responses </w:t>
      </w:r>
      <w:r w:rsidR="00F67786">
        <w:rPr>
          <w:lang w:val="en-AU"/>
        </w:rPr>
        <w:t>are</w:t>
      </w:r>
      <w:r w:rsidRPr="00D1120B">
        <w:rPr>
          <w:lang w:val="en-AU"/>
        </w:rPr>
        <w:t xml:space="preserve"> linked to the local water quality conditions </w:t>
      </w:r>
      <w:r w:rsidRPr="007F49F1">
        <w:rPr>
          <w:i/>
          <w:lang w:val="en-AU"/>
        </w:rPr>
        <w:t>i.e.,</w:t>
      </w:r>
      <w:r w:rsidRPr="00D1120B">
        <w:rPr>
          <w:lang w:val="en-AU"/>
        </w:rPr>
        <w:t xml:space="preserve"> adverse biological responses </w:t>
      </w:r>
      <w:r w:rsidR="00C569C2">
        <w:rPr>
          <w:lang w:val="en-AU"/>
        </w:rPr>
        <w:t>are</w:t>
      </w:r>
      <w:r w:rsidRPr="00D1120B">
        <w:rPr>
          <w:lang w:val="en-AU"/>
        </w:rPr>
        <w:t xml:space="preserve"> correlated to increased contaminant concentrations </w:t>
      </w:r>
      <w:r w:rsidRPr="007F49F1">
        <w:rPr>
          <w:i/>
          <w:lang w:val="en-AU"/>
        </w:rPr>
        <w:t>(magnitude of the risk)</w:t>
      </w:r>
      <w:r w:rsidRPr="00D1120B">
        <w:rPr>
          <w:lang w:val="en-AU"/>
        </w:rPr>
        <w:t xml:space="preserve"> and frequency</w:t>
      </w:r>
      <w:r w:rsidR="00C569C2">
        <w:rPr>
          <w:lang w:val="en-AU"/>
        </w:rPr>
        <w:t xml:space="preserve"> of exposure to the contaminant</w:t>
      </w:r>
      <w:r w:rsidRPr="00D1120B">
        <w:rPr>
          <w:lang w:val="en-AU"/>
        </w:rPr>
        <w:t xml:space="preserve">s </w:t>
      </w:r>
      <w:r w:rsidRPr="007F49F1">
        <w:rPr>
          <w:i/>
          <w:lang w:val="en-AU"/>
        </w:rPr>
        <w:t>(likelihood of the risk).</w:t>
      </w:r>
      <w:r w:rsidRPr="00D1120B">
        <w:rPr>
          <w:lang w:val="en-AU"/>
        </w:rPr>
        <w:t xml:space="preserve">  </w:t>
      </w:r>
    </w:p>
    <w:p w14:paraId="5F22F33E" w14:textId="65625790" w:rsidR="00D1120B" w:rsidRPr="0046394E" w:rsidRDefault="008F6D8B" w:rsidP="004A5BF7">
      <w:pPr>
        <w:pStyle w:val="Caption"/>
        <w:rPr>
          <w:szCs w:val="24"/>
          <w:lang w:val="en-AU"/>
        </w:rPr>
      </w:pPr>
      <w:bookmarkStart w:id="1481" w:name="_Ref459155365"/>
      <w:bookmarkStart w:id="1482" w:name="_Toc459332165"/>
      <w:r>
        <w:t xml:space="preserve">Table </w:t>
      </w:r>
      <w:r w:rsidR="00124249">
        <w:fldChar w:fldCharType="begin"/>
      </w:r>
      <w:r w:rsidR="00124249">
        <w:instrText xml:space="preserve"> STYLEREF 1 \s </w:instrText>
      </w:r>
      <w:r w:rsidR="00124249">
        <w:fldChar w:fldCharType="separate"/>
      </w:r>
      <w:r w:rsidR="007F5336">
        <w:rPr>
          <w:noProof/>
        </w:rPr>
        <w:t>8</w:t>
      </w:r>
      <w:r w:rsidR="00124249">
        <w:fldChar w:fldCharType="end"/>
      </w:r>
      <w:r w:rsidR="00124249">
        <w:noBreakHyphen/>
      </w:r>
      <w:r w:rsidR="00124249">
        <w:fldChar w:fldCharType="begin"/>
      </w:r>
      <w:r w:rsidR="00124249">
        <w:instrText xml:space="preserve"> SEQ Table \* ARABIC \s 1 </w:instrText>
      </w:r>
      <w:r w:rsidR="00124249">
        <w:fldChar w:fldCharType="separate"/>
      </w:r>
      <w:r w:rsidR="007F5336">
        <w:rPr>
          <w:noProof/>
        </w:rPr>
        <w:t>1</w:t>
      </w:r>
      <w:r w:rsidR="00124249">
        <w:fldChar w:fldCharType="end"/>
      </w:r>
      <w:bookmarkEnd w:id="1481"/>
      <w:r>
        <w:t xml:space="preserve">: </w:t>
      </w:r>
      <w:r w:rsidR="00D1120B" w:rsidRPr="0046394E">
        <w:rPr>
          <w:szCs w:val="24"/>
          <w:lang w:val="en-AU"/>
        </w:rPr>
        <w:t>Key remote sensing methods and products developed through MMP funding and used to develop the present Satellite Risk Framework.</w:t>
      </w:r>
      <w:bookmarkEnd w:id="1482"/>
    </w:p>
    <w:tbl>
      <w:tblPr>
        <w:tblStyle w:val="TableGrid1"/>
        <w:tblW w:w="4885" w:type="pct"/>
        <w:tblInd w:w="108" w:type="dxa"/>
        <w:tblLook w:val="04A0" w:firstRow="1" w:lastRow="0" w:firstColumn="1" w:lastColumn="0" w:noHBand="0" w:noVBand="1"/>
        <w:tblCaption w:val="Table 8 1: Key remote sensing methods and products developed through MMP funding and used to develop the present Satellite Risk Framework."/>
        <w:tblDescription w:val="Summary table of key remote sensing methods and products developed through MMP funding and used to develop the present Satellite Risk Framework."/>
      </w:tblPr>
      <w:tblGrid>
        <w:gridCol w:w="2335"/>
        <w:gridCol w:w="4631"/>
        <w:gridCol w:w="2390"/>
      </w:tblGrid>
      <w:tr w:rsidR="00D1120B" w:rsidRPr="008F6D8B" w14:paraId="5F22F342" w14:textId="77777777" w:rsidTr="00933D8F">
        <w:trPr>
          <w:tblHeader/>
        </w:trPr>
        <w:tc>
          <w:tcPr>
            <w:tcW w:w="1248" w:type="pct"/>
            <w:shd w:val="clear" w:color="auto" w:fill="D9D9D9" w:themeFill="background1" w:themeFillShade="D9"/>
          </w:tcPr>
          <w:p w14:paraId="5F22F33F" w14:textId="77777777" w:rsidR="00D1120B" w:rsidRPr="004A5BF7" w:rsidRDefault="00D1120B" w:rsidP="004A5BF7">
            <w:pPr>
              <w:spacing w:before="0" w:after="0"/>
              <w:jc w:val="left"/>
              <w:rPr>
                <w:rFonts w:cs="Arial"/>
                <w:bCs/>
                <w:sz w:val="20"/>
              </w:rPr>
            </w:pPr>
            <w:r w:rsidRPr="004A5BF7">
              <w:rPr>
                <w:rFonts w:cs="Arial"/>
                <w:b/>
                <w:bCs/>
                <w:sz w:val="20"/>
              </w:rPr>
              <w:t>Product</w:t>
            </w:r>
          </w:p>
        </w:tc>
        <w:tc>
          <w:tcPr>
            <w:tcW w:w="2475" w:type="pct"/>
            <w:shd w:val="clear" w:color="auto" w:fill="D9D9D9" w:themeFill="background1" w:themeFillShade="D9"/>
          </w:tcPr>
          <w:p w14:paraId="5F22F340" w14:textId="77777777" w:rsidR="00D1120B" w:rsidRPr="004A5BF7" w:rsidRDefault="00D1120B" w:rsidP="004A5BF7">
            <w:pPr>
              <w:spacing w:before="0" w:after="0"/>
              <w:jc w:val="left"/>
              <w:rPr>
                <w:rFonts w:cs="Arial"/>
                <w:bCs/>
                <w:sz w:val="20"/>
              </w:rPr>
            </w:pPr>
            <w:r w:rsidRPr="004A5BF7">
              <w:rPr>
                <w:rFonts w:cs="Arial"/>
                <w:b/>
                <w:bCs/>
                <w:sz w:val="20"/>
              </w:rPr>
              <w:t>Management outcome</w:t>
            </w:r>
          </w:p>
        </w:tc>
        <w:tc>
          <w:tcPr>
            <w:tcW w:w="1277" w:type="pct"/>
            <w:shd w:val="clear" w:color="auto" w:fill="D9D9D9" w:themeFill="background1" w:themeFillShade="D9"/>
          </w:tcPr>
          <w:p w14:paraId="5F22F341" w14:textId="77777777" w:rsidR="00D1120B" w:rsidRPr="004A5BF7" w:rsidRDefault="00D1120B" w:rsidP="004A5BF7">
            <w:pPr>
              <w:spacing w:before="0" w:after="0"/>
              <w:jc w:val="left"/>
              <w:rPr>
                <w:rFonts w:cs="Arial"/>
                <w:b/>
                <w:bCs/>
                <w:sz w:val="20"/>
              </w:rPr>
            </w:pPr>
            <w:r w:rsidRPr="004A5BF7">
              <w:rPr>
                <w:rFonts w:cs="Arial"/>
                <w:b/>
                <w:bCs/>
                <w:sz w:val="20"/>
              </w:rPr>
              <w:t>Spatial and temporal resolution</w:t>
            </w:r>
          </w:p>
        </w:tc>
      </w:tr>
      <w:tr w:rsidR="00D1120B" w:rsidRPr="008F6D8B" w14:paraId="5F22F34F" w14:textId="77777777" w:rsidTr="004A5BF7">
        <w:trPr>
          <w:trHeight w:val="764"/>
        </w:trPr>
        <w:tc>
          <w:tcPr>
            <w:tcW w:w="1248" w:type="pct"/>
          </w:tcPr>
          <w:p w14:paraId="5F22F343" w14:textId="77777777" w:rsidR="00D1120B" w:rsidRPr="004A5BF7" w:rsidRDefault="00D1120B" w:rsidP="004A5BF7">
            <w:pPr>
              <w:spacing w:before="0" w:after="0"/>
              <w:jc w:val="left"/>
              <w:rPr>
                <w:rFonts w:cs="Arial"/>
                <w:bCs/>
                <w:sz w:val="20"/>
              </w:rPr>
            </w:pPr>
            <w:r w:rsidRPr="004A5BF7">
              <w:rPr>
                <w:rFonts w:cs="Arial"/>
                <w:b/>
                <w:bCs/>
                <w:sz w:val="20"/>
              </w:rPr>
              <w:t>River plume maps</w:t>
            </w:r>
          </w:p>
          <w:p w14:paraId="5F22F344" w14:textId="77777777" w:rsidR="00D1120B" w:rsidRPr="004A5BF7" w:rsidRDefault="00D1120B" w:rsidP="004A5BF7">
            <w:pPr>
              <w:spacing w:before="0" w:after="0"/>
              <w:jc w:val="left"/>
              <w:rPr>
                <w:rFonts w:cs="Arial"/>
                <w:bCs/>
                <w:sz w:val="20"/>
              </w:rPr>
            </w:pPr>
          </w:p>
        </w:tc>
        <w:tc>
          <w:tcPr>
            <w:tcW w:w="2475" w:type="pct"/>
          </w:tcPr>
          <w:p w14:paraId="5F22F345" w14:textId="77777777" w:rsidR="00D1120B" w:rsidRPr="004A5BF7" w:rsidRDefault="00D1120B" w:rsidP="004A5BF7">
            <w:pPr>
              <w:spacing w:before="0" w:after="0"/>
              <w:jc w:val="left"/>
              <w:rPr>
                <w:rFonts w:cs="Arial"/>
                <w:sz w:val="20"/>
              </w:rPr>
            </w:pPr>
            <w:r w:rsidRPr="004A5BF7">
              <w:rPr>
                <w:rFonts w:cs="Arial"/>
                <w:sz w:val="20"/>
              </w:rPr>
              <w:t>Illustrate the movement of riverine waters, but do not provide information on the composition of the water and WQ constituents</w:t>
            </w:r>
          </w:p>
        </w:tc>
        <w:tc>
          <w:tcPr>
            <w:tcW w:w="1277" w:type="pct"/>
            <w:vMerge w:val="restart"/>
          </w:tcPr>
          <w:p w14:paraId="5F22F346" w14:textId="77777777" w:rsidR="00D1120B" w:rsidRPr="004A5BF7" w:rsidRDefault="00D1120B" w:rsidP="004A5BF7">
            <w:pPr>
              <w:spacing w:before="0" w:after="0"/>
              <w:jc w:val="left"/>
              <w:rPr>
                <w:rFonts w:cs="Arial"/>
                <w:b/>
                <w:sz w:val="20"/>
              </w:rPr>
            </w:pPr>
            <w:r w:rsidRPr="004A5BF7">
              <w:rPr>
                <w:rFonts w:cs="Arial"/>
                <w:b/>
                <w:sz w:val="20"/>
              </w:rPr>
              <w:t>Spatial resolution</w:t>
            </w:r>
          </w:p>
          <w:p w14:paraId="5F22F347" w14:textId="77777777" w:rsidR="00D1120B" w:rsidRPr="004A5BF7" w:rsidRDefault="00D1120B" w:rsidP="004A5BF7">
            <w:pPr>
              <w:spacing w:before="0" w:after="0"/>
              <w:jc w:val="left"/>
              <w:rPr>
                <w:rFonts w:cs="Arial"/>
                <w:sz w:val="20"/>
              </w:rPr>
            </w:pPr>
            <w:r w:rsidRPr="004A5BF7">
              <w:rPr>
                <w:rFonts w:cs="Arial"/>
                <w:sz w:val="20"/>
              </w:rPr>
              <w:t>- GBR-wide scale</w:t>
            </w:r>
          </w:p>
          <w:p w14:paraId="5F22F348" w14:textId="77777777" w:rsidR="00D1120B" w:rsidRPr="004A5BF7" w:rsidRDefault="00D1120B" w:rsidP="004A5BF7">
            <w:pPr>
              <w:spacing w:before="0" w:after="0"/>
              <w:jc w:val="left"/>
              <w:rPr>
                <w:rFonts w:cs="Arial"/>
                <w:sz w:val="20"/>
              </w:rPr>
            </w:pPr>
            <w:r w:rsidRPr="004A5BF7">
              <w:rPr>
                <w:rFonts w:cs="Arial"/>
                <w:sz w:val="20"/>
              </w:rPr>
              <w:t>- NRM regions</w:t>
            </w:r>
          </w:p>
          <w:p w14:paraId="5F22F349" w14:textId="77777777" w:rsidR="00D1120B" w:rsidRPr="004A5BF7" w:rsidRDefault="00D1120B" w:rsidP="004A5BF7">
            <w:pPr>
              <w:spacing w:before="0" w:after="0"/>
              <w:jc w:val="left"/>
              <w:rPr>
                <w:rFonts w:cs="Arial"/>
                <w:sz w:val="20"/>
              </w:rPr>
            </w:pPr>
          </w:p>
          <w:p w14:paraId="5F22F34A" w14:textId="77777777" w:rsidR="00D1120B" w:rsidRPr="004A5BF7" w:rsidRDefault="00D1120B" w:rsidP="004A5BF7">
            <w:pPr>
              <w:spacing w:before="0" w:after="0"/>
              <w:jc w:val="left"/>
              <w:rPr>
                <w:rFonts w:cs="Arial"/>
                <w:b/>
                <w:sz w:val="20"/>
              </w:rPr>
            </w:pPr>
            <w:r w:rsidRPr="004A5BF7">
              <w:rPr>
                <w:rFonts w:cs="Arial"/>
                <w:b/>
                <w:sz w:val="20"/>
              </w:rPr>
              <w:t>Temporal resolution:</w:t>
            </w:r>
          </w:p>
          <w:p w14:paraId="5F22F34B" w14:textId="77777777" w:rsidR="00D1120B" w:rsidRPr="004A5BF7" w:rsidRDefault="00D1120B" w:rsidP="004A5BF7">
            <w:pPr>
              <w:spacing w:before="0" w:after="0"/>
              <w:jc w:val="left"/>
              <w:rPr>
                <w:rFonts w:cs="Arial"/>
                <w:sz w:val="20"/>
              </w:rPr>
            </w:pPr>
            <w:r w:rsidRPr="004A5BF7">
              <w:rPr>
                <w:rFonts w:cs="Arial"/>
                <w:sz w:val="20"/>
              </w:rPr>
              <w:t>- Daily</w:t>
            </w:r>
          </w:p>
          <w:p w14:paraId="5F22F34C" w14:textId="77777777" w:rsidR="00D1120B" w:rsidRPr="004A5BF7" w:rsidRDefault="00D1120B" w:rsidP="004A5BF7">
            <w:pPr>
              <w:spacing w:before="0" w:after="0"/>
              <w:jc w:val="left"/>
              <w:rPr>
                <w:rFonts w:cs="Arial"/>
                <w:sz w:val="20"/>
              </w:rPr>
            </w:pPr>
            <w:r w:rsidRPr="004A5BF7">
              <w:rPr>
                <w:rFonts w:cs="Arial"/>
                <w:sz w:val="20"/>
              </w:rPr>
              <w:t>- Weekly composites</w:t>
            </w:r>
          </w:p>
          <w:p w14:paraId="5F22F34D" w14:textId="77777777" w:rsidR="00D1120B" w:rsidRPr="004A5BF7" w:rsidRDefault="00D1120B" w:rsidP="004A5BF7">
            <w:pPr>
              <w:spacing w:before="0" w:after="0"/>
              <w:jc w:val="left"/>
              <w:rPr>
                <w:rFonts w:cs="Arial"/>
                <w:sz w:val="20"/>
              </w:rPr>
            </w:pPr>
            <w:r w:rsidRPr="004A5BF7">
              <w:rPr>
                <w:rFonts w:cs="Arial"/>
                <w:sz w:val="20"/>
              </w:rPr>
              <w:t>- Seasonal composites: focusing on the tropical wet season (December to April).</w:t>
            </w:r>
          </w:p>
          <w:p w14:paraId="5F22F34E" w14:textId="77777777" w:rsidR="00D1120B" w:rsidRPr="004A5BF7" w:rsidRDefault="00D1120B" w:rsidP="004A5BF7">
            <w:pPr>
              <w:spacing w:before="0" w:after="0"/>
              <w:jc w:val="left"/>
              <w:rPr>
                <w:rFonts w:cs="Arial"/>
                <w:sz w:val="20"/>
              </w:rPr>
            </w:pPr>
            <w:r w:rsidRPr="004A5BF7">
              <w:rPr>
                <w:rFonts w:cs="Arial"/>
                <w:sz w:val="20"/>
              </w:rPr>
              <w:t>-Multi-annual composites (mean of several wet seasons)</w:t>
            </w:r>
          </w:p>
        </w:tc>
      </w:tr>
      <w:tr w:rsidR="00D1120B" w:rsidRPr="008F6D8B" w14:paraId="5F22F353" w14:textId="77777777" w:rsidTr="004A5BF7">
        <w:tc>
          <w:tcPr>
            <w:tcW w:w="1248" w:type="pct"/>
          </w:tcPr>
          <w:p w14:paraId="5F22F350" w14:textId="77777777" w:rsidR="00D1120B" w:rsidRPr="004A5BF7" w:rsidRDefault="00D1120B" w:rsidP="004A5BF7">
            <w:pPr>
              <w:spacing w:before="0" w:after="0"/>
              <w:jc w:val="left"/>
              <w:rPr>
                <w:rFonts w:cs="Arial"/>
                <w:bCs/>
                <w:sz w:val="20"/>
              </w:rPr>
            </w:pPr>
            <w:r w:rsidRPr="004A5BF7">
              <w:rPr>
                <w:rFonts w:cs="Arial"/>
                <w:b/>
                <w:bCs/>
                <w:sz w:val="20"/>
              </w:rPr>
              <w:t>Contaminant maps</w:t>
            </w:r>
          </w:p>
        </w:tc>
        <w:tc>
          <w:tcPr>
            <w:tcW w:w="2475" w:type="pct"/>
          </w:tcPr>
          <w:p w14:paraId="5F22F351" w14:textId="77777777" w:rsidR="00D1120B" w:rsidRPr="004A5BF7" w:rsidRDefault="00D1120B" w:rsidP="004A5BF7">
            <w:pPr>
              <w:spacing w:before="0" w:after="0"/>
              <w:jc w:val="left"/>
              <w:rPr>
                <w:rFonts w:cs="Arial"/>
                <w:b/>
                <w:sz w:val="20"/>
              </w:rPr>
            </w:pPr>
            <w:r w:rsidRPr="004A5BF7">
              <w:rPr>
                <w:rFonts w:cs="Arial"/>
                <w:sz w:val="20"/>
              </w:rPr>
              <w:t xml:space="preserve">Plume water types are associated with different levels and combination of pollutants and, in combination with </w:t>
            </w:r>
            <w:r w:rsidRPr="004A5BF7">
              <w:rPr>
                <w:rFonts w:cs="Arial"/>
                <w:i/>
                <w:sz w:val="20"/>
              </w:rPr>
              <w:t>in-situ</w:t>
            </w:r>
            <w:r w:rsidRPr="004A5BF7">
              <w:rPr>
                <w:rFonts w:cs="Arial"/>
                <w:sz w:val="20"/>
              </w:rPr>
              <w:t xml:space="preserve"> WQ information, provide a broad scale approach to reporting contaminant concentrations in the GBR marine environment.</w:t>
            </w:r>
          </w:p>
        </w:tc>
        <w:tc>
          <w:tcPr>
            <w:tcW w:w="1277" w:type="pct"/>
            <w:vMerge/>
          </w:tcPr>
          <w:p w14:paraId="5F22F352" w14:textId="77777777" w:rsidR="00D1120B" w:rsidRPr="004A5BF7" w:rsidRDefault="00D1120B" w:rsidP="00302986">
            <w:pPr>
              <w:spacing w:before="0" w:after="0"/>
              <w:jc w:val="center"/>
              <w:rPr>
                <w:rFonts w:cs="Arial"/>
                <w:sz w:val="20"/>
              </w:rPr>
            </w:pPr>
          </w:p>
        </w:tc>
      </w:tr>
      <w:tr w:rsidR="00D1120B" w:rsidRPr="008F6D8B" w14:paraId="5F22F357" w14:textId="77777777" w:rsidTr="004A5BF7">
        <w:tc>
          <w:tcPr>
            <w:tcW w:w="1248" w:type="pct"/>
          </w:tcPr>
          <w:p w14:paraId="5F22F354" w14:textId="77777777" w:rsidR="00D1120B" w:rsidRPr="004A5BF7" w:rsidRDefault="00D1120B" w:rsidP="004A5BF7">
            <w:pPr>
              <w:spacing w:before="0" w:after="0"/>
              <w:jc w:val="left"/>
              <w:rPr>
                <w:rFonts w:cs="Arial"/>
                <w:bCs/>
                <w:sz w:val="20"/>
              </w:rPr>
            </w:pPr>
            <w:r w:rsidRPr="004A5BF7">
              <w:rPr>
                <w:rFonts w:cs="Arial"/>
                <w:b/>
                <w:bCs/>
                <w:sz w:val="20"/>
              </w:rPr>
              <w:t>Potential river plume risk maps</w:t>
            </w:r>
          </w:p>
        </w:tc>
        <w:tc>
          <w:tcPr>
            <w:tcW w:w="2475" w:type="pct"/>
          </w:tcPr>
          <w:p w14:paraId="5F22F355" w14:textId="77777777" w:rsidR="00D1120B" w:rsidRPr="004A5BF7" w:rsidRDefault="00D1120B" w:rsidP="004A5BF7">
            <w:pPr>
              <w:spacing w:before="0" w:after="0"/>
              <w:jc w:val="left"/>
              <w:rPr>
                <w:rFonts w:cs="Arial"/>
                <w:sz w:val="20"/>
              </w:rPr>
            </w:pPr>
            <w:r w:rsidRPr="004A5BF7">
              <w:rPr>
                <w:rFonts w:cs="Arial"/>
                <w:sz w:val="20"/>
              </w:rPr>
              <w:t>Preliminary product aiming to evaluate the potential risk of GBR ecosystems from river plume exposure</w:t>
            </w:r>
          </w:p>
        </w:tc>
        <w:tc>
          <w:tcPr>
            <w:tcW w:w="1277" w:type="pct"/>
            <w:vMerge/>
          </w:tcPr>
          <w:p w14:paraId="5F22F356" w14:textId="77777777" w:rsidR="00D1120B" w:rsidRPr="004A5BF7" w:rsidRDefault="00D1120B" w:rsidP="00302986">
            <w:pPr>
              <w:spacing w:before="0" w:after="0"/>
              <w:jc w:val="center"/>
              <w:rPr>
                <w:rFonts w:cs="Arial"/>
                <w:sz w:val="20"/>
              </w:rPr>
            </w:pPr>
          </w:p>
        </w:tc>
      </w:tr>
      <w:tr w:rsidR="00D1120B" w:rsidRPr="008F6D8B" w14:paraId="5F22F35C" w14:textId="77777777" w:rsidTr="004A5BF7">
        <w:tc>
          <w:tcPr>
            <w:tcW w:w="1248" w:type="pct"/>
          </w:tcPr>
          <w:p w14:paraId="5F22F358" w14:textId="77777777" w:rsidR="00D1120B" w:rsidRPr="004A5BF7" w:rsidRDefault="00D1120B" w:rsidP="004A5BF7">
            <w:pPr>
              <w:spacing w:before="0" w:after="0"/>
              <w:jc w:val="left"/>
              <w:rPr>
                <w:rFonts w:cs="Arial"/>
                <w:bCs/>
                <w:sz w:val="20"/>
              </w:rPr>
            </w:pPr>
            <w:r w:rsidRPr="004A5BF7">
              <w:rPr>
                <w:rFonts w:cs="Arial"/>
                <w:b/>
                <w:bCs/>
                <w:sz w:val="20"/>
              </w:rPr>
              <w:t>Exposure assessment of the coral reefs and seagrass meadows</w:t>
            </w:r>
          </w:p>
        </w:tc>
        <w:tc>
          <w:tcPr>
            <w:tcW w:w="2475" w:type="pct"/>
          </w:tcPr>
          <w:p w14:paraId="5F22F35A" w14:textId="4FD3D612" w:rsidR="00D1120B" w:rsidRPr="004A5BF7" w:rsidRDefault="00D1120B" w:rsidP="004A5BF7">
            <w:pPr>
              <w:pStyle w:val="ListParagraph"/>
              <w:spacing w:before="0" w:after="0"/>
              <w:ind w:left="0"/>
              <w:jc w:val="left"/>
              <w:rPr>
                <w:rFonts w:cs="Arial"/>
                <w:color w:val="000000"/>
                <w:sz w:val="20"/>
                <w:szCs w:val="20"/>
              </w:rPr>
            </w:pPr>
            <w:r w:rsidRPr="004A5BF7">
              <w:rPr>
                <w:rFonts w:cs="Arial"/>
                <w:color w:val="000000"/>
                <w:sz w:val="20"/>
              </w:rPr>
              <w:t>Assess the exposure of key GBR ecosystems to plume exposure and potential risk from the river plume exposure.</w:t>
            </w:r>
          </w:p>
        </w:tc>
        <w:tc>
          <w:tcPr>
            <w:tcW w:w="1277" w:type="pct"/>
            <w:vMerge/>
          </w:tcPr>
          <w:p w14:paraId="5F22F35B" w14:textId="77777777" w:rsidR="00D1120B" w:rsidRPr="004A5BF7" w:rsidRDefault="00D1120B" w:rsidP="00302986">
            <w:pPr>
              <w:spacing w:before="0" w:after="0"/>
              <w:jc w:val="center"/>
              <w:rPr>
                <w:rFonts w:cs="Arial"/>
                <w:sz w:val="20"/>
              </w:rPr>
            </w:pPr>
          </w:p>
        </w:tc>
      </w:tr>
    </w:tbl>
    <w:p w14:paraId="5F22F35D" w14:textId="77777777" w:rsidR="009C6A72" w:rsidRDefault="009C6A72" w:rsidP="009C6A72">
      <w:pPr>
        <w:pStyle w:val="Heading2"/>
      </w:pPr>
      <w:bookmarkStart w:id="1483" w:name="_Toc462307470"/>
      <w:r>
        <w:t>Methods</w:t>
      </w:r>
      <w:bookmarkEnd w:id="1483"/>
    </w:p>
    <w:p w14:paraId="67EEA018" w14:textId="77777777" w:rsidR="004B6360" w:rsidRPr="004B6360" w:rsidRDefault="004B6360" w:rsidP="004B6360">
      <w:pPr>
        <w:rPr>
          <w:i/>
          <w:lang w:val="en-AU"/>
        </w:rPr>
      </w:pPr>
      <w:r w:rsidRPr="004B6360">
        <w:rPr>
          <w:i/>
          <w:lang w:val="en-AU"/>
        </w:rPr>
        <w:t xml:space="preserve">Supervised classification using spectral signatures </w:t>
      </w:r>
    </w:p>
    <w:p w14:paraId="7E0488AE" w14:textId="790E5199" w:rsidR="008F6D8B" w:rsidRPr="004B6360" w:rsidRDefault="004B6360" w:rsidP="008F6D8B">
      <w:pPr>
        <w:rPr>
          <w:lang w:val="en-AU"/>
        </w:rPr>
      </w:pPr>
      <w:r w:rsidRPr="004B6360">
        <w:rPr>
          <w:lang w:val="en-AU"/>
        </w:rPr>
        <w:t>Daily MODIS Level-0 data are acquired from the NASA Ocean Colour website (http://oceancolour.gsfc.nasa.gov) and converted into true colour images with a spatial resolution of about 500 ×500 m using SeaWiFS Data Analysis System (SeaDAS; Baith et al., 2001). The true-colour images are then spectrally enhanced (from red-green-blue to hue-saturation-intensity colour system) and classified to six colour categories</w:t>
      </w:r>
      <w:r>
        <w:rPr>
          <w:lang w:val="en-AU"/>
        </w:rPr>
        <w:t xml:space="preserve"> (colour class 1 (CC1) to 6 (CC6))</w:t>
      </w:r>
      <w:r w:rsidRPr="004B6360">
        <w:rPr>
          <w:lang w:val="en-AU"/>
        </w:rPr>
        <w:t xml:space="preserve"> through a supervised classification using spectral signatures from plume water in the GBR</w:t>
      </w:r>
      <w:r>
        <w:rPr>
          <w:lang w:val="en-AU"/>
        </w:rPr>
        <w:t xml:space="preserve"> (</w:t>
      </w:r>
      <w:r>
        <w:rPr>
          <w:rFonts w:cs="Arial"/>
          <w:szCs w:val="22"/>
          <w:lang w:val="en-AU" w:eastAsia="en-AU"/>
        </w:rPr>
        <w:t xml:space="preserve">Álvarez-Romero et al., </w:t>
      </w:r>
      <w:r w:rsidRPr="003A77F5">
        <w:rPr>
          <w:rFonts w:cs="Arial"/>
          <w:szCs w:val="22"/>
          <w:lang w:val="en-AU" w:eastAsia="en-AU"/>
        </w:rPr>
        <w:t>2013</w:t>
      </w:r>
      <w:r>
        <w:rPr>
          <w:rFonts w:cs="Arial"/>
          <w:szCs w:val="22"/>
          <w:lang w:val="en-AU" w:eastAsia="en-AU"/>
        </w:rPr>
        <w:t>)</w:t>
      </w:r>
      <w:r w:rsidRPr="004B6360">
        <w:rPr>
          <w:lang w:val="en-AU"/>
        </w:rPr>
        <w:t xml:space="preserve">. The six colour classes are further reclassified into three flood plume water types (primary, secondary, tertiary) corresponding to the three water types defined by e.g., Devlin and Schaffelke (2009) and Devlin et al. (2012a).  </w:t>
      </w:r>
    </w:p>
    <w:p w14:paraId="5F22F35E" w14:textId="77777777" w:rsidR="00D53E55" w:rsidRDefault="009C6A72" w:rsidP="004A5BF7">
      <w:pPr>
        <w:rPr>
          <w:rFonts w:cs="Arial"/>
          <w:szCs w:val="22"/>
          <w:lang w:val="en-AU" w:eastAsia="en-AU"/>
        </w:rPr>
      </w:pPr>
      <w:r w:rsidRPr="009C6A72">
        <w:rPr>
          <w:i/>
          <w:lang w:val="en-AU"/>
        </w:rPr>
        <w:t>Mapping of the GBR plume water types</w:t>
      </w:r>
    </w:p>
    <w:p w14:paraId="5F22F35F" w14:textId="7DB43220" w:rsidR="009C6A72" w:rsidRDefault="008467AA" w:rsidP="004A5BF7">
      <w:pPr>
        <w:rPr>
          <w:rFonts w:cs="Arial"/>
          <w:szCs w:val="22"/>
          <w:lang w:val="en-AU" w:eastAsia="en-AU"/>
        </w:rPr>
      </w:pPr>
      <w:r w:rsidRPr="003A77F5">
        <w:rPr>
          <w:rFonts w:cs="Arial"/>
          <w:szCs w:val="22"/>
          <w:lang w:val="en-AU" w:eastAsia="en-AU"/>
        </w:rPr>
        <w:t>The method of Álvarez-Romero et al. (2013) was used to classify 10 years of GBR MODIS images and to produce</w:t>
      </w:r>
      <w:r w:rsidR="00385DD1">
        <w:rPr>
          <w:rFonts w:cs="Arial"/>
          <w:szCs w:val="22"/>
          <w:lang w:val="en-AU" w:eastAsia="en-AU"/>
        </w:rPr>
        <w:t xml:space="preserve"> weekly</w:t>
      </w:r>
      <w:r w:rsidRPr="003A77F5">
        <w:rPr>
          <w:rFonts w:cs="Arial"/>
          <w:szCs w:val="22"/>
          <w:lang w:val="en-AU" w:eastAsia="en-AU"/>
        </w:rPr>
        <w:t xml:space="preserve"> plume water type maps for the wet season 2005 (</w:t>
      </w:r>
      <w:r w:rsidRPr="007F49F1">
        <w:rPr>
          <w:rFonts w:cs="Arial"/>
          <w:i/>
          <w:szCs w:val="22"/>
          <w:lang w:val="en-AU" w:eastAsia="en-AU"/>
        </w:rPr>
        <w:t>i.e.</w:t>
      </w:r>
      <w:r w:rsidRPr="003A77F5">
        <w:rPr>
          <w:rFonts w:cs="Arial"/>
          <w:szCs w:val="22"/>
          <w:lang w:val="en-AU" w:eastAsia="en-AU"/>
        </w:rPr>
        <w:t>, December 2004 to April 2005) to the wet season 2014 (</w:t>
      </w:r>
      <w:r w:rsidRPr="007F49F1">
        <w:rPr>
          <w:rFonts w:cs="Arial"/>
          <w:i/>
          <w:szCs w:val="22"/>
          <w:lang w:val="en-AU" w:eastAsia="en-AU"/>
        </w:rPr>
        <w:t>i.e.</w:t>
      </w:r>
      <w:r w:rsidRPr="003A77F5">
        <w:rPr>
          <w:rFonts w:cs="Arial"/>
          <w:szCs w:val="22"/>
          <w:lang w:val="en-AU" w:eastAsia="en-AU"/>
        </w:rPr>
        <w:t>, December 2013 to April 2014) and create a multi-</w:t>
      </w:r>
      <w:r w:rsidR="00385DD1">
        <w:rPr>
          <w:rFonts w:cs="Arial"/>
          <w:szCs w:val="22"/>
          <w:lang w:val="en-AU" w:eastAsia="en-AU"/>
        </w:rPr>
        <w:t>annual</w:t>
      </w:r>
      <w:r w:rsidRPr="003A77F5">
        <w:rPr>
          <w:rFonts w:cs="Arial"/>
          <w:szCs w:val="22"/>
          <w:lang w:val="en-AU" w:eastAsia="en-AU"/>
        </w:rPr>
        <w:t xml:space="preserve"> composite map</w:t>
      </w:r>
      <w:r w:rsidR="009C6A72">
        <w:rPr>
          <w:rFonts w:cs="Arial"/>
          <w:szCs w:val="22"/>
          <w:lang w:val="en-AU" w:eastAsia="en-AU"/>
        </w:rPr>
        <w:t>s</w:t>
      </w:r>
      <w:r w:rsidR="00385DD1">
        <w:rPr>
          <w:rFonts w:cs="Arial"/>
          <w:szCs w:val="22"/>
          <w:lang w:val="en-AU" w:eastAsia="en-AU"/>
        </w:rPr>
        <w:t xml:space="preserve"> (2005</w:t>
      </w:r>
      <w:r w:rsidR="008F6D8B">
        <w:rPr>
          <w:rFonts w:cs="Arial"/>
          <w:szCs w:val="22"/>
          <w:lang w:val="en-AU" w:eastAsia="en-AU"/>
        </w:rPr>
        <w:t xml:space="preserve"> to </w:t>
      </w:r>
      <w:r w:rsidR="00385DD1">
        <w:rPr>
          <w:rFonts w:cs="Arial"/>
          <w:szCs w:val="22"/>
          <w:lang w:val="en-AU" w:eastAsia="en-AU"/>
        </w:rPr>
        <w:t>2014)</w:t>
      </w:r>
      <w:r w:rsidRPr="003A77F5">
        <w:rPr>
          <w:rFonts w:cs="Arial"/>
          <w:szCs w:val="22"/>
          <w:lang w:val="en-AU" w:eastAsia="en-AU"/>
        </w:rPr>
        <w:t>. The Cape York regi</w:t>
      </w:r>
      <w:r w:rsidRPr="00F77F98">
        <w:rPr>
          <w:rFonts w:cs="Arial"/>
          <w:szCs w:val="22"/>
          <w:lang w:val="en-AU" w:eastAsia="en-AU"/>
        </w:rPr>
        <w:t xml:space="preserve">on was removed from this analysis as it </w:t>
      </w:r>
      <w:r w:rsidR="00C079A7">
        <w:rPr>
          <w:rFonts w:cs="Arial"/>
          <w:szCs w:val="22"/>
          <w:lang w:val="en-AU" w:eastAsia="en-AU"/>
        </w:rPr>
        <w:t xml:space="preserve">is </w:t>
      </w:r>
      <w:r w:rsidRPr="00F77F98">
        <w:rPr>
          <w:rFonts w:cs="Arial"/>
          <w:szCs w:val="22"/>
          <w:lang w:val="en-AU" w:eastAsia="en-AU"/>
        </w:rPr>
        <w:t xml:space="preserve">a shallow environment where the remote sensing methods </w:t>
      </w:r>
      <w:r w:rsidR="00307B2F">
        <w:rPr>
          <w:rFonts w:cs="Arial"/>
          <w:szCs w:val="22"/>
          <w:lang w:val="en-AU" w:eastAsia="en-AU"/>
        </w:rPr>
        <w:t>have been problematic</w:t>
      </w:r>
      <w:r w:rsidRPr="00F77F98">
        <w:rPr>
          <w:rFonts w:cs="Arial"/>
          <w:szCs w:val="22"/>
          <w:lang w:val="en-AU" w:eastAsia="en-AU"/>
        </w:rPr>
        <w:t>.</w:t>
      </w:r>
    </w:p>
    <w:p w14:paraId="5F22F360" w14:textId="77777777" w:rsidR="00D53E55" w:rsidRDefault="008467AA" w:rsidP="009C6A72">
      <w:pPr>
        <w:pStyle w:val="MText"/>
        <w:spacing w:line="240" w:lineRule="auto"/>
        <w:ind w:firstLine="0"/>
        <w:rPr>
          <w:rFonts w:ascii="Arial" w:hAnsi="Arial"/>
          <w:i/>
          <w:color w:val="auto"/>
          <w:sz w:val="22"/>
          <w:lang w:val="en-AU" w:eastAsia="en-US"/>
        </w:rPr>
      </w:pPr>
      <w:r w:rsidRPr="009C6A72">
        <w:rPr>
          <w:rFonts w:ascii="Arial" w:hAnsi="Arial"/>
          <w:i/>
          <w:color w:val="auto"/>
          <w:sz w:val="22"/>
          <w:lang w:val="en-AU" w:eastAsia="en-US"/>
        </w:rPr>
        <w:t>In-situ water Quality data</w:t>
      </w:r>
      <w:r w:rsidR="009C6A72">
        <w:rPr>
          <w:rFonts w:ascii="Arial" w:hAnsi="Arial"/>
          <w:i/>
          <w:color w:val="auto"/>
          <w:sz w:val="22"/>
          <w:lang w:val="en-AU" w:eastAsia="en-US"/>
        </w:rPr>
        <w:t xml:space="preserve"> in plume waters</w:t>
      </w:r>
    </w:p>
    <w:p w14:paraId="5F22F361" w14:textId="32193BD6" w:rsidR="009C6A72" w:rsidRDefault="009C6A72" w:rsidP="009C6A72">
      <w:pPr>
        <w:pStyle w:val="MText"/>
        <w:spacing w:line="240" w:lineRule="auto"/>
        <w:ind w:firstLine="0"/>
        <w:rPr>
          <w:rFonts w:ascii="Arial" w:hAnsi="Arial" w:cs="Arial"/>
          <w:color w:val="auto"/>
          <w:sz w:val="22"/>
          <w:szCs w:val="22"/>
          <w:lang w:val="en-AU" w:eastAsia="en-AU"/>
        </w:rPr>
      </w:pPr>
      <w:r w:rsidRPr="009C6A72">
        <w:rPr>
          <w:rFonts w:ascii="Arial" w:hAnsi="Arial" w:cs="Arial"/>
          <w:color w:val="auto"/>
          <w:sz w:val="22"/>
          <w:szCs w:val="22"/>
          <w:lang w:val="en-AU" w:eastAsia="en-AU"/>
        </w:rPr>
        <w:t>Avera</w:t>
      </w:r>
      <w:r>
        <w:rPr>
          <w:rFonts w:ascii="Arial" w:hAnsi="Arial" w:cs="Arial"/>
          <w:color w:val="auto"/>
          <w:sz w:val="22"/>
          <w:szCs w:val="22"/>
          <w:lang w:val="en-AU" w:eastAsia="en-AU"/>
        </w:rPr>
        <w:t>ge concentrations of TSS, PSII and Chl-a</w:t>
      </w:r>
      <w:r w:rsidRPr="009C6A72">
        <w:rPr>
          <w:rFonts w:ascii="Arial" w:hAnsi="Arial" w:cs="Arial"/>
          <w:color w:val="auto"/>
          <w:sz w:val="22"/>
          <w:szCs w:val="22"/>
          <w:lang w:val="en-AU" w:eastAsia="en-AU"/>
        </w:rPr>
        <w:t xml:space="preserve"> in each plume water type were calculated for every wet season (from 2005 to 2014), by comparing the weekly plume water type composite maps and in-situ water quality measurements collected as part of the Wet Season Program of the MMP. In-situ water quality values </w:t>
      </w:r>
      <w:r>
        <w:rPr>
          <w:rFonts w:ascii="Arial" w:hAnsi="Arial" w:cs="Arial"/>
          <w:color w:val="auto"/>
          <w:sz w:val="22"/>
          <w:szCs w:val="22"/>
          <w:lang w:val="en-AU" w:eastAsia="en-AU"/>
        </w:rPr>
        <w:t>were</w:t>
      </w:r>
      <w:r w:rsidRPr="009C6A72">
        <w:rPr>
          <w:rFonts w:ascii="Arial" w:hAnsi="Arial" w:cs="Arial"/>
          <w:color w:val="auto"/>
          <w:sz w:val="22"/>
          <w:szCs w:val="22"/>
          <w:lang w:val="en-AU" w:eastAsia="en-AU"/>
        </w:rPr>
        <w:t xml:space="preserve"> assigned to weekly water masses CC1 to CC6 based on their location and data extraction were performed using</w:t>
      </w:r>
      <w:r w:rsidR="00F67786">
        <w:rPr>
          <w:rFonts w:ascii="Arial" w:hAnsi="Arial" w:cs="Arial"/>
          <w:color w:val="auto"/>
          <w:sz w:val="22"/>
          <w:szCs w:val="22"/>
          <w:lang w:val="en-AU" w:eastAsia="en-AU"/>
        </w:rPr>
        <w:t xml:space="preserve"> the statistical software package</w:t>
      </w:r>
      <w:r w:rsidRPr="009C6A72">
        <w:rPr>
          <w:rFonts w:ascii="Arial" w:hAnsi="Arial" w:cs="Arial"/>
          <w:color w:val="auto"/>
          <w:sz w:val="22"/>
          <w:szCs w:val="22"/>
          <w:lang w:val="en-AU" w:eastAsia="en-AU"/>
        </w:rPr>
        <w:t xml:space="preserve"> </w:t>
      </w:r>
      <w:r w:rsidRPr="007F49F1">
        <w:rPr>
          <w:rFonts w:ascii="Arial" w:hAnsi="Arial" w:cs="Arial"/>
          <w:i/>
          <w:color w:val="auto"/>
          <w:sz w:val="22"/>
          <w:szCs w:val="22"/>
          <w:lang w:val="en-AU" w:eastAsia="en-AU"/>
        </w:rPr>
        <w:t>R 3.1</w:t>
      </w:r>
      <w:r w:rsidRPr="009C6A72">
        <w:rPr>
          <w:rFonts w:ascii="Arial" w:hAnsi="Arial" w:cs="Arial"/>
          <w:color w:val="auto"/>
          <w:sz w:val="22"/>
          <w:szCs w:val="22"/>
          <w:lang w:val="en-AU" w:eastAsia="en-AU"/>
        </w:rPr>
        <w:t xml:space="preserve">. The mean </w:t>
      </w:r>
      <w:r w:rsidR="00385DD1">
        <w:rPr>
          <w:rFonts w:ascii="Arial" w:hAnsi="Arial" w:cs="Arial"/>
          <w:color w:val="auto"/>
          <w:sz w:val="22"/>
          <w:szCs w:val="22"/>
          <w:lang w:val="en-AU" w:eastAsia="en-AU"/>
        </w:rPr>
        <w:t xml:space="preserve">multi-annual </w:t>
      </w:r>
      <w:r w:rsidRPr="009C6A72">
        <w:rPr>
          <w:rFonts w:ascii="Arial" w:hAnsi="Arial" w:cs="Arial"/>
          <w:color w:val="auto"/>
          <w:sz w:val="22"/>
          <w:szCs w:val="22"/>
          <w:lang w:val="en-AU" w:eastAsia="en-AU"/>
        </w:rPr>
        <w:t>value (</w:t>
      </w:r>
      <w:r w:rsidR="004B6360" w:rsidRPr="004B6360">
        <w:rPr>
          <w:rFonts w:ascii="Arial" w:hAnsi="Arial" w:cs="Arial"/>
          <w:color w:val="auto"/>
          <w:sz w:val="22"/>
          <w:szCs w:val="22"/>
          <w:lang w:val="en-AU" w:eastAsia="en-AU"/>
        </w:rPr>
        <w:t>mean of several wet seasons</w:t>
      </w:r>
      <w:r w:rsidRPr="009C6A72">
        <w:rPr>
          <w:rFonts w:ascii="Arial" w:hAnsi="Arial" w:cs="Arial"/>
          <w:color w:val="auto"/>
          <w:sz w:val="22"/>
          <w:szCs w:val="22"/>
          <w:lang w:val="en-AU" w:eastAsia="en-AU"/>
        </w:rPr>
        <w:t xml:space="preserve"> ± standard error) was then calculated for each water type over the 2005-2014 sampling </w:t>
      </w:r>
      <w:r w:rsidRPr="00D53E55">
        <w:rPr>
          <w:rFonts w:ascii="Arial" w:hAnsi="Arial" w:cs="Arial"/>
          <w:color w:val="auto"/>
          <w:sz w:val="22"/>
          <w:szCs w:val="22"/>
          <w:lang w:val="en-AU" w:eastAsia="en-AU"/>
        </w:rPr>
        <w:t>period</w:t>
      </w:r>
      <w:r w:rsidR="00D53E55" w:rsidRPr="00D53E55">
        <w:rPr>
          <w:rFonts w:ascii="Arial" w:hAnsi="Arial" w:cs="Arial"/>
          <w:color w:val="auto"/>
          <w:sz w:val="22"/>
          <w:szCs w:val="22"/>
          <w:lang w:val="en-AU" w:eastAsia="en-AU"/>
        </w:rPr>
        <w:t xml:space="preserve"> (</w:t>
      </w:r>
      <w:r w:rsidR="008F6D8B">
        <w:rPr>
          <w:rFonts w:ascii="Arial" w:hAnsi="Arial" w:cs="Arial"/>
          <w:color w:val="auto"/>
          <w:sz w:val="22"/>
          <w:szCs w:val="22"/>
          <w:lang w:val="en-AU" w:eastAsia="en-AU"/>
        </w:rPr>
        <w:fldChar w:fldCharType="begin"/>
      </w:r>
      <w:r w:rsidR="008F6D8B">
        <w:rPr>
          <w:rFonts w:ascii="Arial" w:hAnsi="Arial" w:cs="Arial"/>
          <w:color w:val="auto"/>
          <w:sz w:val="22"/>
          <w:szCs w:val="22"/>
          <w:lang w:val="en-AU" w:eastAsia="en-AU"/>
        </w:rPr>
        <w:instrText xml:space="preserve"> REF _Ref459155503 \h  \* MERGEFORMAT </w:instrText>
      </w:r>
      <w:r w:rsidR="008F6D8B">
        <w:rPr>
          <w:rFonts w:ascii="Arial" w:hAnsi="Arial" w:cs="Arial"/>
          <w:color w:val="auto"/>
          <w:sz w:val="22"/>
          <w:szCs w:val="22"/>
          <w:lang w:val="en-AU" w:eastAsia="en-AU"/>
        </w:rPr>
      </w:r>
      <w:r w:rsidR="008F6D8B">
        <w:rPr>
          <w:rFonts w:ascii="Arial" w:hAnsi="Arial" w:cs="Arial"/>
          <w:color w:val="auto"/>
          <w:sz w:val="22"/>
          <w:szCs w:val="22"/>
          <w:lang w:val="en-AU" w:eastAsia="en-AU"/>
        </w:rPr>
        <w:fldChar w:fldCharType="separate"/>
      </w:r>
      <w:r w:rsidR="007F5336" w:rsidRPr="007F5336">
        <w:rPr>
          <w:rFonts w:ascii="Arial" w:hAnsi="Arial" w:cs="Arial"/>
          <w:color w:val="auto"/>
          <w:sz w:val="22"/>
          <w:szCs w:val="22"/>
          <w:lang w:val="en-AU" w:eastAsia="en-AU"/>
        </w:rPr>
        <w:t>Figure 8</w:t>
      </w:r>
      <w:r w:rsidR="007F5336" w:rsidRPr="007F5336">
        <w:rPr>
          <w:rFonts w:ascii="Arial" w:hAnsi="Arial" w:cs="Arial"/>
          <w:color w:val="auto"/>
          <w:sz w:val="22"/>
          <w:szCs w:val="22"/>
          <w:lang w:val="en-AU" w:eastAsia="en-AU"/>
        </w:rPr>
        <w:noBreakHyphen/>
        <w:t>1</w:t>
      </w:r>
      <w:r w:rsidR="008F6D8B">
        <w:rPr>
          <w:rFonts w:ascii="Arial" w:hAnsi="Arial" w:cs="Arial"/>
          <w:color w:val="auto"/>
          <w:sz w:val="22"/>
          <w:szCs w:val="22"/>
          <w:lang w:val="en-AU" w:eastAsia="en-AU"/>
        </w:rPr>
        <w:fldChar w:fldCharType="end"/>
      </w:r>
      <w:r w:rsidR="008F6D8B">
        <w:rPr>
          <w:rFonts w:ascii="Arial" w:hAnsi="Arial" w:cs="Arial"/>
          <w:color w:val="auto"/>
          <w:sz w:val="22"/>
          <w:szCs w:val="22"/>
          <w:lang w:val="en-AU" w:eastAsia="en-AU"/>
        </w:rPr>
        <w:t>A</w:t>
      </w:r>
      <w:r w:rsidR="00D53E55" w:rsidRPr="00D53E55">
        <w:rPr>
          <w:rFonts w:ascii="Arial" w:hAnsi="Arial" w:cs="Arial"/>
          <w:color w:val="auto"/>
          <w:sz w:val="22"/>
          <w:szCs w:val="22"/>
          <w:lang w:val="en-AU" w:eastAsia="en-AU"/>
        </w:rPr>
        <w:t>)</w:t>
      </w:r>
      <w:r w:rsidRPr="00D53E55">
        <w:rPr>
          <w:rFonts w:ascii="Arial" w:hAnsi="Arial" w:cs="Arial"/>
          <w:color w:val="auto"/>
          <w:sz w:val="22"/>
          <w:szCs w:val="22"/>
          <w:lang w:val="en-AU" w:eastAsia="en-AU"/>
        </w:rPr>
        <w:t>.</w:t>
      </w:r>
      <w:r w:rsidRPr="009C6A72">
        <w:rPr>
          <w:rFonts w:ascii="Arial" w:hAnsi="Arial" w:cs="Arial"/>
          <w:color w:val="auto"/>
          <w:sz w:val="22"/>
          <w:szCs w:val="22"/>
          <w:lang w:val="en-AU" w:eastAsia="en-AU"/>
        </w:rPr>
        <w:t xml:space="preserve"> </w:t>
      </w:r>
    </w:p>
    <w:p w14:paraId="5F22F362" w14:textId="77777777" w:rsidR="00D53E55" w:rsidRPr="00D53E55" w:rsidRDefault="008502F3" w:rsidP="009C6A72">
      <w:pPr>
        <w:pStyle w:val="MText"/>
        <w:spacing w:line="240" w:lineRule="auto"/>
        <w:ind w:firstLine="0"/>
        <w:rPr>
          <w:rFonts w:ascii="Arial" w:hAnsi="Arial"/>
          <w:i/>
          <w:color w:val="auto"/>
          <w:sz w:val="22"/>
          <w:lang w:val="en-AU" w:eastAsia="en-US"/>
        </w:rPr>
      </w:pPr>
      <w:r w:rsidRPr="00D53E55">
        <w:rPr>
          <w:rFonts w:ascii="Arial" w:hAnsi="Arial"/>
          <w:i/>
          <w:color w:val="auto"/>
          <w:sz w:val="22"/>
          <w:lang w:val="en-AU" w:eastAsia="en-US"/>
        </w:rPr>
        <w:t>Biological health data</w:t>
      </w:r>
    </w:p>
    <w:p w14:paraId="5F22F363" w14:textId="2D7090BF" w:rsidR="00302986" w:rsidRDefault="008502F3" w:rsidP="009C6A72">
      <w:pPr>
        <w:pStyle w:val="MText"/>
        <w:spacing w:line="240" w:lineRule="auto"/>
        <w:ind w:firstLine="0"/>
        <w:rPr>
          <w:rFonts w:ascii="Arial" w:hAnsi="Arial"/>
          <w:color w:val="auto"/>
          <w:sz w:val="22"/>
          <w:lang w:val="en-AU" w:eastAsia="en-US"/>
        </w:rPr>
      </w:pPr>
      <w:r w:rsidRPr="00385DD1">
        <w:rPr>
          <w:rFonts w:ascii="Arial" w:hAnsi="Arial"/>
          <w:color w:val="auto"/>
          <w:sz w:val="22"/>
          <w:lang w:val="en-AU" w:eastAsia="en-US"/>
        </w:rPr>
        <w:t>Seagrass monitoring under the MMP and Seagrass-Watch occurred from 2005 to 2014 at 23 locations inside the marine park boundary (McKenzie et al., 2012</w:t>
      </w:r>
      <w:r w:rsidR="008F6D8B">
        <w:rPr>
          <w:rFonts w:ascii="Arial" w:hAnsi="Arial"/>
          <w:color w:val="auto"/>
          <w:sz w:val="22"/>
          <w:lang w:val="en-AU" w:eastAsia="en-US"/>
        </w:rPr>
        <w:t xml:space="preserve">, </w:t>
      </w:r>
      <w:r w:rsidRPr="00385DD1">
        <w:rPr>
          <w:rFonts w:ascii="Arial" w:hAnsi="Arial"/>
          <w:color w:val="auto"/>
          <w:sz w:val="22"/>
          <w:lang w:val="en-AU" w:eastAsia="en-US"/>
        </w:rPr>
        <w:t>2014). The late dry season cover data were selected in this study to capture the status of seagrass post wet season. A high macroalgal cover is widely accepted as an indicator of reef degradation</w:t>
      </w:r>
      <w:r>
        <w:rPr>
          <w:rFonts w:ascii="Arial" w:hAnsi="Arial"/>
          <w:color w:val="auto"/>
          <w:sz w:val="22"/>
          <w:lang w:val="en-AU" w:eastAsia="en-US"/>
        </w:rPr>
        <w:t>. M</w:t>
      </w:r>
      <w:r w:rsidRPr="00385DD1">
        <w:rPr>
          <w:rFonts w:ascii="Arial" w:hAnsi="Arial"/>
          <w:color w:val="auto"/>
          <w:sz w:val="22"/>
          <w:lang w:val="en-AU" w:eastAsia="en-US"/>
        </w:rPr>
        <w:t>acroalgae data from the Coral Reef Monitoring of the MMP were used here as an indicator of coral reef responses to plume exposure. We considered the proportion of the total cover of algae on a reef that is comprised of macroalgae</w:t>
      </w:r>
      <w:r>
        <w:rPr>
          <w:rFonts w:ascii="Arial" w:hAnsi="Arial"/>
          <w:color w:val="auto"/>
          <w:sz w:val="22"/>
          <w:lang w:val="en-AU" w:eastAsia="en-US"/>
        </w:rPr>
        <w:t xml:space="preserve"> (</w:t>
      </w:r>
      <w:r w:rsidRPr="008502F3">
        <w:rPr>
          <w:rFonts w:ascii="Arial" w:hAnsi="Arial" w:cs="Arial"/>
          <w:sz w:val="22"/>
          <w:szCs w:val="22"/>
          <w:lang w:val="en-AU"/>
        </w:rPr>
        <w:t>MAp</w:t>
      </w:r>
      <w:r>
        <w:rPr>
          <w:rFonts w:ascii="Arial" w:hAnsi="Arial" w:cs="Arial"/>
          <w:sz w:val="22"/>
          <w:szCs w:val="22"/>
          <w:lang w:val="en-AU"/>
        </w:rPr>
        <w:t>)</w:t>
      </w:r>
      <w:r w:rsidRPr="00385DD1">
        <w:rPr>
          <w:rFonts w:ascii="Arial" w:hAnsi="Arial"/>
          <w:color w:val="auto"/>
          <w:sz w:val="22"/>
          <w:lang w:val="en-AU" w:eastAsia="en-US"/>
        </w:rPr>
        <w:t>, as opposed to the cover of macroalgae per se, as this allows the standardisation of macroalgae cover for space occupied by corals, loose sediments and other reef biota.</w:t>
      </w:r>
    </w:p>
    <w:p w14:paraId="49CFF0C7" w14:textId="77777777" w:rsidR="008F6D8B" w:rsidRDefault="008F6D8B" w:rsidP="009C6A72">
      <w:pPr>
        <w:pStyle w:val="MText"/>
        <w:spacing w:line="240" w:lineRule="auto"/>
        <w:ind w:firstLine="0"/>
        <w:rPr>
          <w:rFonts w:ascii="Arial" w:hAnsi="Arial"/>
          <w:color w:val="auto"/>
          <w:sz w:val="22"/>
          <w:lang w:val="en-AU" w:eastAsia="en-US"/>
        </w:rPr>
      </w:pPr>
    </w:p>
    <w:p w14:paraId="14FD0CD3" w14:textId="77777777" w:rsidR="008F6D8B" w:rsidRDefault="008F6D8B" w:rsidP="009C6A72">
      <w:pPr>
        <w:pStyle w:val="MText"/>
        <w:spacing w:line="240" w:lineRule="auto"/>
        <w:ind w:firstLine="0"/>
        <w:rPr>
          <w:rFonts w:ascii="Arial" w:hAnsi="Arial" w:cs="Arial"/>
          <w:color w:val="auto"/>
          <w:sz w:val="22"/>
          <w:szCs w:val="22"/>
          <w:lang w:val="en-AU" w:eastAsia="en-AU"/>
        </w:rPr>
      </w:pPr>
    </w:p>
    <w:p w14:paraId="5F22F364" w14:textId="77777777" w:rsidR="009C6A72" w:rsidRPr="001377DA" w:rsidRDefault="009C6A72" w:rsidP="009C6A72">
      <w:pPr>
        <w:pStyle w:val="MText"/>
        <w:spacing w:line="240" w:lineRule="auto"/>
        <w:ind w:firstLine="0"/>
        <w:rPr>
          <w:rFonts w:asciiTheme="minorHAnsi" w:hAnsiTheme="minorHAnsi"/>
          <w:i/>
          <w:color w:val="auto"/>
          <w:sz w:val="22"/>
          <w:szCs w:val="24"/>
          <w:u w:val="single"/>
          <w:lang w:val="en-AU" w:eastAsia="en-AU"/>
        </w:rPr>
        <w:sectPr w:rsidR="009C6A72" w:rsidRPr="001377DA" w:rsidSect="008467AA">
          <w:pgSz w:w="11906" w:h="16838"/>
          <w:pgMar w:top="1440" w:right="1106" w:bottom="1440" w:left="1440" w:header="708" w:footer="708" w:gutter="0"/>
          <w:cols w:space="708"/>
          <w:docGrid w:linePitch="360"/>
        </w:sectPr>
      </w:pPr>
    </w:p>
    <w:p w14:paraId="5F22F365" w14:textId="77777777" w:rsidR="008467AA" w:rsidRPr="001377DA" w:rsidRDefault="00837114" w:rsidP="008467AA">
      <w:pPr>
        <w:pStyle w:val="MText"/>
        <w:spacing w:before="240"/>
        <w:ind w:firstLine="0"/>
        <w:jc w:val="center"/>
        <w:rPr>
          <w:rFonts w:asciiTheme="minorHAnsi" w:hAnsiTheme="minorHAnsi"/>
          <w:i/>
          <w:color w:val="auto"/>
          <w:sz w:val="22"/>
          <w:szCs w:val="24"/>
          <w:u w:val="single"/>
          <w:lang w:val="en-AU" w:eastAsia="en-AU"/>
        </w:rPr>
      </w:pPr>
      <w:r>
        <w:rPr>
          <w:rFonts w:asciiTheme="minorHAnsi" w:hAnsiTheme="minorHAnsi"/>
          <w:i/>
          <w:noProof/>
          <w:color w:val="auto"/>
          <w:sz w:val="22"/>
          <w:szCs w:val="24"/>
          <w:u w:val="single"/>
          <w:lang w:val="en-AU" w:eastAsia="en-AU"/>
        </w:rPr>
        <w:drawing>
          <wp:inline distT="0" distB="0" distL="0" distR="0" wp14:anchorId="5F232407" wp14:editId="0D93EB9C">
            <wp:extent cx="7707086" cy="4922964"/>
            <wp:effectExtent l="0" t="0" r="8255" b="0"/>
            <wp:docPr id="21" name="Picture 21" descr="Conceptual model of the satellite risk framework presented in this study, data sources and main processes." title="Figure 8 1:  Conceptual model the satellite risk framework presented in this study, data sources and main proces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3_v2.jpg"/>
                    <pic:cNvPicPr/>
                  </pic:nvPicPr>
                  <pic:blipFill>
                    <a:blip r:embed="rId375">
                      <a:extLst>
                        <a:ext uri="{28A0092B-C50C-407E-A947-70E740481C1C}">
                          <a14:useLocalDpi xmlns:a14="http://schemas.microsoft.com/office/drawing/2010/main" val="0"/>
                        </a:ext>
                      </a:extLst>
                    </a:blip>
                    <a:stretch>
                      <a:fillRect/>
                    </a:stretch>
                  </pic:blipFill>
                  <pic:spPr>
                    <a:xfrm>
                      <a:off x="0" y="0"/>
                      <a:ext cx="7702474" cy="4920018"/>
                    </a:xfrm>
                    <a:prstGeom prst="rect">
                      <a:avLst/>
                    </a:prstGeom>
                  </pic:spPr>
                </pic:pic>
              </a:graphicData>
            </a:graphic>
          </wp:inline>
        </w:drawing>
      </w:r>
    </w:p>
    <w:p w14:paraId="5F22F366" w14:textId="20AAB4BD" w:rsidR="008467AA" w:rsidRPr="00C27BEB" w:rsidRDefault="008467AA" w:rsidP="00164E5E">
      <w:pPr>
        <w:pStyle w:val="Caption"/>
      </w:pPr>
      <w:bookmarkStart w:id="1484" w:name="_Ref459155503"/>
      <w:bookmarkStart w:id="1485" w:name="_Ref437586256"/>
      <w:bookmarkStart w:id="1486" w:name="_Toc436913529"/>
      <w:bookmarkStart w:id="1487" w:name="_Toc459332413"/>
      <w:r w:rsidRPr="00C27BEB">
        <w:t xml:space="preserve">Figure </w:t>
      </w:r>
      <w:r w:rsidR="00C62884">
        <w:fldChar w:fldCharType="begin"/>
      </w:r>
      <w:r w:rsidR="00C62884">
        <w:instrText xml:space="preserve"> STYLEREF 1 \s </w:instrText>
      </w:r>
      <w:r w:rsidR="00C62884">
        <w:fldChar w:fldCharType="separate"/>
      </w:r>
      <w:r w:rsidR="007F5336">
        <w:rPr>
          <w:noProof/>
        </w:rPr>
        <w:t>8</w:t>
      </w:r>
      <w:r w:rsidR="00C62884">
        <w:fldChar w:fldCharType="end"/>
      </w:r>
      <w:r w:rsidR="00C62884">
        <w:noBreakHyphen/>
      </w:r>
      <w:r w:rsidR="00C62884">
        <w:fldChar w:fldCharType="begin"/>
      </w:r>
      <w:r w:rsidR="00C62884">
        <w:instrText xml:space="preserve"> SEQ Figure \* ARABIC \s 1 </w:instrText>
      </w:r>
      <w:r w:rsidR="00C62884">
        <w:fldChar w:fldCharType="separate"/>
      </w:r>
      <w:r w:rsidR="007F5336">
        <w:rPr>
          <w:noProof/>
        </w:rPr>
        <w:t>1</w:t>
      </w:r>
      <w:r w:rsidR="00C62884">
        <w:fldChar w:fldCharType="end"/>
      </w:r>
      <w:bookmarkEnd w:id="1484"/>
      <w:bookmarkEnd w:id="1485"/>
      <w:r w:rsidRPr="00C27BEB">
        <w:t xml:space="preserve">:  </w:t>
      </w:r>
      <w:bookmarkEnd w:id="1486"/>
      <w:r w:rsidR="00574B0D" w:rsidRPr="00574B0D">
        <w:t xml:space="preserve">Conceptual model </w:t>
      </w:r>
      <w:r w:rsidR="00933D8F">
        <w:t xml:space="preserve">of </w:t>
      </w:r>
      <w:r w:rsidR="00574B0D" w:rsidRPr="00574B0D">
        <w:t>the satellite risk framework presented in this study, data sources and main processes</w:t>
      </w:r>
      <w:r w:rsidR="00124249">
        <w:t>.</w:t>
      </w:r>
      <w:bookmarkEnd w:id="1487"/>
    </w:p>
    <w:p w14:paraId="5F22F367" w14:textId="77777777" w:rsidR="008467AA" w:rsidRPr="008467AA" w:rsidRDefault="008467AA" w:rsidP="008467AA">
      <w:pPr>
        <w:pStyle w:val="MText"/>
        <w:spacing w:before="240"/>
        <w:ind w:firstLine="0"/>
        <w:rPr>
          <w:rFonts w:asciiTheme="minorHAnsi" w:hAnsiTheme="minorHAnsi"/>
          <w:i/>
          <w:color w:val="auto"/>
          <w:sz w:val="22"/>
          <w:szCs w:val="24"/>
          <w:u w:val="single"/>
          <w:lang w:val="en-AU" w:eastAsia="en-AU"/>
        </w:rPr>
        <w:sectPr w:rsidR="008467AA" w:rsidRPr="008467AA" w:rsidSect="009E2498">
          <w:pgSz w:w="16838" w:h="11906" w:orient="landscape"/>
          <w:pgMar w:top="1440" w:right="1440" w:bottom="1440" w:left="1440" w:header="709" w:footer="709" w:gutter="0"/>
          <w:cols w:space="708"/>
          <w:docGrid w:linePitch="360"/>
        </w:sectPr>
      </w:pPr>
    </w:p>
    <w:p w14:paraId="5F22F368" w14:textId="77777777" w:rsidR="00D53E55" w:rsidRDefault="008502F3" w:rsidP="008502F3">
      <w:pPr>
        <w:pStyle w:val="MText"/>
        <w:spacing w:line="240" w:lineRule="auto"/>
        <w:ind w:firstLine="0"/>
        <w:rPr>
          <w:rFonts w:ascii="Arial" w:hAnsi="Arial"/>
          <w:i/>
          <w:color w:val="auto"/>
          <w:sz w:val="22"/>
          <w:lang w:val="en-AU" w:eastAsia="en-US"/>
        </w:rPr>
      </w:pPr>
      <w:r>
        <w:rPr>
          <w:rFonts w:ascii="Arial" w:hAnsi="Arial"/>
          <w:i/>
          <w:color w:val="auto"/>
          <w:sz w:val="22"/>
          <w:lang w:val="en-AU" w:eastAsia="en-US"/>
        </w:rPr>
        <w:t>Magnitude Score</w:t>
      </w:r>
    </w:p>
    <w:p w14:paraId="5F22F369" w14:textId="7D17E148" w:rsidR="008502F3" w:rsidRDefault="008502F3" w:rsidP="008502F3">
      <w:pPr>
        <w:pStyle w:val="MText"/>
        <w:spacing w:line="240" w:lineRule="auto"/>
        <w:ind w:firstLine="0"/>
        <w:rPr>
          <w:rFonts w:ascii="Arial" w:hAnsi="Arial" w:cs="Arial"/>
          <w:color w:val="auto"/>
          <w:sz w:val="22"/>
          <w:szCs w:val="22"/>
          <w:lang w:val="en-AU" w:eastAsia="en-AU"/>
        </w:rPr>
      </w:pPr>
      <w:r w:rsidRPr="009C6A72">
        <w:rPr>
          <w:rFonts w:ascii="Arial" w:hAnsi="Arial" w:cs="Arial"/>
          <w:color w:val="auto"/>
          <w:sz w:val="22"/>
          <w:szCs w:val="22"/>
          <w:lang w:val="en-AU" w:eastAsia="en-AU"/>
        </w:rPr>
        <w:t xml:space="preserve">Ratios between predicted TSS, PSII </w:t>
      </w:r>
      <w:r w:rsidR="00124249">
        <w:rPr>
          <w:rFonts w:ascii="Arial" w:hAnsi="Arial" w:cs="Arial"/>
          <w:color w:val="auto"/>
          <w:sz w:val="22"/>
          <w:szCs w:val="22"/>
          <w:lang w:val="en-AU" w:eastAsia="en-AU"/>
        </w:rPr>
        <w:t xml:space="preserve">herbicide </w:t>
      </w:r>
      <w:r w:rsidRPr="009C6A72">
        <w:rPr>
          <w:rFonts w:ascii="Arial" w:hAnsi="Arial" w:cs="Arial"/>
          <w:color w:val="auto"/>
          <w:sz w:val="22"/>
          <w:szCs w:val="22"/>
          <w:lang w:val="en-AU" w:eastAsia="en-AU"/>
        </w:rPr>
        <w:t>and Chl-a concentrations in river plumes and ecological thresholds were calculated and summed for each plume water type. The ecological</w:t>
      </w:r>
      <w:r>
        <w:rPr>
          <w:rFonts w:ascii="Arial" w:hAnsi="Arial" w:cs="Arial"/>
          <w:color w:val="auto"/>
          <w:sz w:val="22"/>
          <w:szCs w:val="22"/>
          <w:lang w:val="en-AU" w:eastAsia="en-AU"/>
        </w:rPr>
        <w:t xml:space="preserve"> </w:t>
      </w:r>
      <w:r w:rsidRPr="009C6A72">
        <w:rPr>
          <w:rFonts w:ascii="Arial" w:hAnsi="Arial" w:cs="Arial"/>
          <w:color w:val="auto"/>
          <w:sz w:val="22"/>
          <w:szCs w:val="22"/>
          <w:lang w:val="en-AU" w:eastAsia="en-AU"/>
        </w:rPr>
        <w:t xml:space="preserve">thresholds used were those published in Brodie et al. </w:t>
      </w:r>
      <w:r w:rsidR="00125B86">
        <w:rPr>
          <w:rFonts w:ascii="Arial" w:hAnsi="Arial" w:cs="Arial"/>
          <w:color w:val="auto"/>
          <w:sz w:val="22"/>
          <w:szCs w:val="22"/>
          <w:lang w:val="en-AU" w:eastAsia="en-AU"/>
        </w:rPr>
        <w:t>(2013</w:t>
      </w:r>
      <w:r w:rsidR="00124249">
        <w:rPr>
          <w:rFonts w:ascii="Arial" w:hAnsi="Arial" w:cs="Arial"/>
          <w:color w:val="auto"/>
          <w:sz w:val="22"/>
          <w:szCs w:val="22"/>
          <w:lang w:val="en-AU" w:eastAsia="en-AU"/>
        </w:rPr>
        <w:t>b</w:t>
      </w:r>
      <w:r w:rsidR="00125B86">
        <w:rPr>
          <w:rFonts w:ascii="Arial" w:hAnsi="Arial" w:cs="Arial"/>
          <w:color w:val="auto"/>
          <w:sz w:val="22"/>
          <w:szCs w:val="22"/>
          <w:lang w:val="en-AU" w:eastAsia="en-AU"/>
        </w:rPr>
        <w:t>)</w:t>
      </w:r>
      <w:r w:rsidR="00125B86" w:rsidRPr="009C6A72">
        <w:rPr>
          <w:rFonts w:ascii="Arial" w:hAnsi="Arial" w:cs="Arial"/>
          <w:color w:val="auto"/>
          <w:sz w:val="22"/>
          <w:szCs w:val="22"/>
          <w:lang w:val="en-AU" w:eastAsia="en-AU"/>
        </w:rPr>
        <w:t xml:space="preserve">, </w:t>
      </w:r>
      <w:r w:rsidRPr="007F49F1">
        <w:rPr>
          <w:rFonts w:ascii="Arial" w:hAnsi="Arial" w:cs="Arial"/>
          <w:i/>
          <w:color w:val="auto"/>
          <w:sz w:val="22"/>
          <w:szCs w:val="22"/>
          <w:lang w:val="en-AU" w:eastAsia="en-AU"/>
        </w:rPr>
        <w:t>i.e.</w:t>
      </w:r>
      <w:r w:rsidRPr="009C6A72">
        <w:rPr>
          <w:rFonts w:ascii="Arial" w:hAnsi="Arial" w:cs="Arial"/>
          <w:color w:val="auto"/>
          <w:sz w:val="22"/>
          <w:szCs w:val="22"/>
          <w:lang w:val="en-AU" w:eastAsia="en-AU"/>
        </w:rPr>
        <w:t>, TSS = 7 mg L</w:t>
      </w:r>
      <w:r w:rsidRPr="00385DD1">
        <w:rPr>
          <w:rFonts w:ascii="Arial" w:hAnsi="Arial" w:cs="Arial"/>
          <w:color w:val="auto"/>
          <w:sz w:val="22"/>
          <w:szCs w:val="22"/>
          <w:vertAlign w:val="superscript"/>
          <w:lang w:val="en-AU" w:eastAsia="en-AU"/>
        </w:rPr>
        <w:t>-1</w:t>
      </w:r>
      <w:r w:rsidRPr="009C6A72">
        <w:rPr>
          <w:rFonts w:ascii="Arial" w:hAnsi="Arial" w:cs="Arial"/>
          <w:color w:val="auto"/>
          <w:sz w:val="22"/>
          <w:szCs w:val="22"/>
          <w:lang w:val="en-AU" w:eastAsia="en-AU"/>
        </w:rPr>
        <w:t>, Chl-a = 0.45 µg L</w:t>
      </w:r>
      <w:r w:rsidRPr="00385DD1">
        <w:rPr>
          <w:rFonts w:ascii="Arial" w:hAnsi="Arial" w:cs="Arial"/>
          <w:color w:val="auto"/>
          <w:sz w:val="22"/>
          <w:szCs w:val="22"/>
          <w:vertAlign w:val="superscript"/>
          <w:lang w:val="en-AU" w:eastAsia="en-AU"/>
        </w:rPr>
        <w:t>-1</w:t>
      </w:r>
      <w:r w:rsidRPr="009C6A72">
        <w:rPr>
          <w:rFonts w:ascii="Arial" w:hAnsi="Arial" w:cs="Arial"/>
          <w:color w:val="auto"/>
          <w:sz w:val="22"/>
          <w:szCs w:val="22"/>
          <w:lang w:val="en-AU" w:eastAsia="en-AU"/>
        </w:rPr>
        <w:t xml:space="preserve"> and PSII = 0.1 µg L</w:t>
      </w:r>
      <w:r w:rsidRPr="00385DD1">
        <w:rPr>
          <w:rFonts w:ascii="Arial" w:hAnsi="Arial" w:cs="Arial"/>
          <w:color w:val="auto"/>
          <w:sz w:val="22"/>
          <w:szCs w:val="22"/>
          <w:vertAlign w:val="superscript"/>
          <w:lang w:val="en-AU" w:eastAsia="en-AU"/>
        </w:rPr>
        <w:t>-1</w:t>
      </w:r>
      <w:r w:rsidRPr="009C6A72">
        <w:rPr>
          <w:rFonts w:ascii="Arial" w:hAnsi="Arial" w:cs="Arial"/>
          <w:color w:val="auto"/>
          <w:sz w:val="22"/>
          <w:szCs w:val="22"/>
          <w:lang w:val="en-AU" w:eastAsia="en-AU"/>
        </w:rPr>
        <w:t>. A cumulative risk magnitude score was then calculated for each plume water type by normalising across plume water type</w:t>
      </w:r>
      <w:r w:rsidR="00FC4B8B">
        <w:rPr>
          <w:rFonts w:ascii="Arial" w:hAnsi="Arial" w:cs="Arial"/>
          <w:color w:val="auto"/>
          <w:sz w:val="22"/>
          <w:szCs w:val="22"/>
          <w:lang w:val="en-AU" w:eastAsia="en-AU"/>
        </w:rPr>
        <w:t>s</w:t>
      </w:r>
      <w:r>
        <w:rPr>
          <w:rFonts w:ascii="Arial" w:hAnsi="Arial" w:cs="Arial"/>
          <w:color w:val="auto"/>
          <w:sz w:val="22"/>
          <w:szCs w:val="22"/>
          <w:lang w:val="en-AU" w:eastAsia="en-AU"/>
        </w:rPr>
        <w:t xml:space="preserve"> </w:t>
      </w:r>
      <w:r w:rsidRPr="009C6A72">
        <w:rPr>
          <w:rFonts w:ascii="Arial" w:hAnsi="Arial" w:cs="Arial"/>
          <w:color w:val="auto"/>
          <w:sz w:val="22"/>
          <w:szCs w:val="22"/>
          <w:lang w:val="en-AU" w:eastAsia="en-AU"/>
        </w:rPr>
        <w:t>(hereafter Magnitude Score or MS</w:t>
      </w:r>
      <w:r w:rsidRPr="00385DD1">
        <w:rPr>
          <w:rFonts w:ascii="Arial" w:hAnsi="Arial" w:cs="Arial"/>
          <w:color w:val="auto"/>
          <w:sz w:val="22"/>
          <w:szCs w:val="22"/>
          <w:vertAlign w:val="subscript"/>
          <w:lang w:val="en-AU" w:eastAsia="en-AU"/>
        </w:rPr>
        <w:t>CCx</w:t>
      </w:r>
      <w:r w:rsidR="00D53E55">
        <w:rPr>
          <w:rFonts w:ascii="Arial" w:hAnsi="Arial" w:cs="Arial"/>
          <w:color w:val="auto"/>
          <w:sz w:val="22"/>
          <w:szCs w:val="22"/>
          <w:lang w:val="en-AU" w:eastAsia="en-AU"/>
        </w:rPr>
        <w:t>) (</w:t>
      </w:r>
      <w:r w:rsidR="00124249">
        <w:rPr>
          <w:rFonts w:ascii="Arial" w:hAnsi="Arial" w:cs="Arial"/>
          <w:color w:val="auto"/>
          <w:sz w:val="22"/>
          <w:szCs w:val="22"/>
          <w:lang w:val="en-AU" w:eastAsia="en-AU"/>
        </w:rPr>
        <w:fldChar w:fldCharType="begin"/>
      </w:r>
      <w:r w:rsidR="00124249">
        <w:rPr>
          <w:rFonts w:ascii="Arial" w:hAnsi="Arial" w:cs="Arial"/>
          <w:color w:val="auto"/>
          <w:sz w:val="22"/>
          <w:szCs w:val="22"/>
          <w:lang w:val="en-AU" w:eastAsia="en-AU"/>
        </w:rPr>
        <w:instrText xml:space="preserve"> REF _Ref459155503 \h  \* MERGEFORMAT </w:instrText>
      </w:r>
      <w:r w:rsidR="00124249">
        <w:rPr>
          <w:rFonts w:ascii="Arial" w:hAnsi="Arial" w:cs="Arial"/>
          <w:color w:val="auto"/>
          <w:sz w:val="22"/>
          <w:szCs w:val="22"/>
          <w:lang w:val="en-AU" w:eastAsia="en-AU"/>
        </w:rPr>
      </w:r>
      <w:r w:rsidR="00124249">
        <w:rPr>
          <w:rFonts w:ascii="Arial" w:hAnsi="Arial" w:cs="Arial"/>
          <w:color w:val="auto"/>
          <w:sz w:val="22"/>
          <w:szCs w:val="22"/>
          <w:lang w:val="en-AU" w:eastAsia="en-AU"/>
        </w:rPr>
        <w:fldChar w:fldCharType="separate"/>
      </w:r>
      <w:r w:rsidR="007F5336" w:rsidRPr="007F5336">
        <w:rPr>
          <w:rFonts w:ascii="Arial" w:hAnsi="Arial" w:cs="Arial"/>
          <w:color w:val="auto"/>
          <w:sz w:val="22"/>
          <w:szCs w:val="22"/>
          <w:lang w:val="en-AU" w:eastAsia="en-AU"/>
        </w:rPr>
        <w:t>Figure 8</w:t>
      </w:r>
      <w:r w:rsidR="007F5336" w:rsidRPr="007F5336">
        <w:rPr>
          <w:rFonts w:ascii="Arial" w:hAnsi="Arial" w:cs="Arial"/>
          <w:color w:val="auto"/>
          <w:sz w:val="22"/>
          <w:szCs w:val="22"/>
          <w:lang w:val="en-AU" w:eastAsia="en-AU"/>
        </w:rPr>
        <w:noBreakHyphen/>
        <w:t>1</w:t>
      </w:r>
      <w:r w:rsidR="00124249">
        <w:rPr>
          <w:rFonts w:ascii="Arial" w:hAnsi="Arial" w:cs="Arial"/>
          <w:color w:val="auto"/>
          <w:sz w:val="22"/>
          <w:szCs w:val="22"/>
          <w:lang w:val="en-AU" w:eastAsia="en-AU"/>
        </w:rPr>
        <w:fldChar w:fldCharType="end"/>
      </w:r>
      <w:r w:rsidR="00D53E55">
        <w:rPr>
          <w:rFonts w:ascii="Arial" w:hAnsi="Arial" w:cs="Arial"/>
          <w:color w:val="auto"/>
          <w:sz w:val="22"/>
          <w:szCs w:val="22"/>
          <w:lang w:val="en-AU" w:eastAsia="en-AU"/>
        </w:rPr>
        <w:t>B).</w:t>
      </w:r>
    </w:p>
    <w:p w14:paraId="5F22F36A" w14:textId="77777777" w:rsidR="00D53E55" w:rsidRDefault="00385DD1" w:rsidP="00302986">
      <w:pPr>
        <w:pStyle w:val="MText"/>
        <w:spacing w:line="240" w:lineRule="auto"/>
        <w:ind w:firstLine="0"/>
        <w:rPr>
          <w:rFonts w:ascii="Arial" w:hAnsi="Arial"/>
          <w:i/>
          <w:color w:val="auto"/>
          <w:sz w:val="22"/>
          <w:lang w:val="en-AU" w:eastAsia="en-US"/>
        </w:rPr>
      </w:pPr>
      <w:r>
        <w:rPr>
          <w:rFonts w:ascii="Arial" w:hAnsi="Arial"/>
          <w:i/>
          <w:color w:val="auto"/>
          <w:sz w:val="22"/>
          <w:lang w:val="en-AU" w:eastAsia="en-US"/>
        </w:rPr>
        <w:t>Likelihood Score</w:t>
      </w:r>
    </w:p>
    <w:p w14:paraId="5F22F36B" w14:textId="6ED99869" w:rsidR="00385DD1" w:rsidRDefault="00385DD1" w:rsidP="00302986">
      <w:pPr>
        <w:pStyle w:val="MText"/>
        <w:spacing w:line="240" w:lineRule="auto"/>
        <w:ind w:firstLine="0"/>
        <w:rPr>
          <w:rFonts w:ascii="Arial" w:hAnsi="Arial"/>
          <w:color w:val="auto"/>
          <w:sz w:val="22"/>
          <w:lang w:val="en-AU" w:eastAsia="en-US"/>
        </w:rPr>
      </w:pPr>
      <w:r w:rsidRPr="00385DD1">
        <w:rPr>
          <w:rFonts w:ascii="Arial" w:hAnsi="Arial"/>
          <w:color w:val="auto"/>
          <w:sz w:val="22"/>
          <w:lang w:val="en-AU" w:eastAsia="en-US"/>
        </w:rPr>
        <w:t xml:space="preserve">The likelihood of exposure to each color class at the seagrass and coral sites locations was extracted from the multi-annual water type frequency maps using ArcMap. A 3 × 3 km buffer was created around each monitoring sites and the multi-annual (2005 - 2014) frequency values value of each pixel was extracted from the buffered area. Each seagrass and coral monitoring site </w:t>
      </w:r>
      <w:r w:rsidRPr="00D53E55">
        <w:rPr>
          <w:rFonts w:ascii="Arial" w:hAnsi="Arial"/>
          <w:color w:val="auto"/>
          <w:sz w:val="22"/>
          <w:lang w:val="en-AU" w:eastAsia="en-US"/>
        </w:rPr>
        <w:t xml:space="preserve">was then assigned </w:t>
      </w:r>
      <w:r w:rsidR="008502F3" w:rsidRPr="00D53E55">
        <w:rPr>
          <w:rFonts w:ascii="Arial" w:hAnsi="Arial"/>
          <w:color w:val="auto"/>
          <w:sz w:val="22"/>
          <w:lang w:val="en-AU" w:eastAsia="en-US"/>
        </w:rPr>
        <w:t>a multi-annual Likelihood Score</w:t>
      </w:r>
      <w:r w:rsidRPr="00D53E55">
        <w:rPr>
          <w:rFonts w:ascii="Arial" w:hAnsi="Arial"/>
          <w:color w:val="auto"/>
          <w:sz w:val="22"/>
          <w:lang w:val="en-AU" w:eastAsia="en-US"/>
        </w:rPr>
        <w:t xml:space="preserve"> based on the averaged values extracted (</w:t>
      </w:r>
      <w:r w:rsidR="008502F3" w:rsidRPr="00D53E55">
        <w:rPr>
          <w:rFonts w:ascii="Arial" w:hAnsi="Arial"/>
          <w:color w:val="auto"/>
          <w:sz w:val="22"/>
          <w:lang w:val="en-AU" w:eastAsia="en-US"/>
        </w:rPr>
        <w:t>LS</w:t>
      </w:r>
      <w:r w:rsidR="008502F3" w:rsidRPr="00D53E55">
        <w:rPr>
          <w:rFonts w:ascii="Arial" w:hAnsi="Arial"/>
          <w:color w:val="auto"/>
          <w:sz w:val="22"/>
          <w:vertAlign w:val="subscript"/>
          <w:lang w:val="en-AU" w:eastAsia="en-US"/>
        </w:rPr>
        <w:t>CCx</w:t>
      </w:r>
      <w:r w:rsidRPr="00D53E55">
        <w:rPr>
          <w:rFonts w:ascii="Arial" w:hAnsi="Arial"/>
          <w:color w:val="auto"/>
          <w:sz w:val="22"/>
          <w:lang w:val="en-AU" w:eastAsia="en-US"/>
        </w:rPr>
        <w:t>)</w:t>
      </w:r>
      <w:r w:rsidR="00D53E55" w:rsidRPr="00D53E55">
        <w:rPr>
          <w:rFonts w:ascii="Arial" w:hAnsi="Arial"/>
          <w:color w:val="auto"/>
          <w:sz w:val="22"/>
          <w:lang w:val="en-AU" w:eastAsia="en-US"/>
        </w:rPr>
        <w:t xml:space="preserve"> (</w:t>
      </w:r>
      <w:r w:rsidR="00124249">
        <w:rPr>
          <w:rFonts w:ascii="Arial" w:hAnsi="Arial" w:cs="Arial"/>
          <w:color w:val="auto"/>
          <w:sz w:val="22"/>
          <w:szCs w:val="22"/>
          <w:lang w:val="en-AU" w:eastAsia="en-AU"/>
        </w:rPr>
        <w:fldChar w:fldCharType="begin"/>
      </w:r>
      <w:r w:rsidR="00124249">
        <w:rPr>
          <w:rFonts w:ascii="Arial" w:hAnsi="Arial" w:cs="Arial"/>
          <w:color w:val="auto"/>
          <w:sz w:val="22"/>
          <w:szCs w:val="22"/>
          <w:lang w:val="en-AU" w:eastAsia="en-AU"/>
        </w:rPr>
        <w:instrText xml:space="preserve"> REF _Ref459155503 \h  \* MERGEFORMAT </w:instrText>
      </w:r>
      <w:r w:rsidR="00124249">
        <w:rPr>
          <w:rFonts w:ascii="Arial" w:hAnsi="Arial" w:cs="Arial"/>
          <w:color w:val="auto"/>
          <w:sz w:val="22"/>
          <w:szCs w:val="22"/>
          <w:lang w:val="en-AU" w:eastAsia="en-AU"/>
        </w:rPr>
      </w:r>
      <w:r w:rsidR="00124249">
        <w:rPr>
          <w:rFonts w:ascii="Arial" w:hAnsi="Arial" w:cs="Arial"/>
          <w:color w:val="auto"/>
          <w:sz w:val="22"/>
          <w:szCs w:val="22"/>
          <w:lang w:val="en-AU" w:eastAsia="en-AU"/>
        </w:rPr>
        <w:fldChar w:fldCharType="separate"/>
      </w:r>
      <w:r w:rsidR="007F5336" w:rsidRPr="007F5336">
        <w:rPr>
          <w:rFonts w:ascii="Arial" w:hAnsi="Arial" w:cs="Arial"/>
          <w:color w:val="auto"/>
          <w:sz w:val="22"/>
          <w:szCs w:val="22"/>
          <w:lang w:val="en-AU" w:eastAsia="en-AU"/>
        </w:rPr>
        <w:t>Figure 8</w:t>
      </w:r>
      <w:r w:rsidR="007F5336" w:rsidRPr="007F5336">
        <w:rPr>
          <w:rFonts w:ascii="Arial" w:hAnsi="Arial" w:cs="Arial"/>
          <w:color w:val="auto"/>
          <w:sz w:val="22"/>
          <w:szCs w:val="22"/>
          <w:lang w:val="en-AU" w:eastAsia="en-AU"/>
        </w:rPr>
        <w:noBreakHyphen/>
        <w:t>1</w:t>
      </w:r>
      <w:r w:rsidR="00124249">
        <w:rPr>
          <w:rFonts w:ascii="Arial" w:hAnsi="Arial" w:cs="Arial"/>
          <w:color w:val="auto"/>
          <w:sz w:val="22"/>
          <w:szCs w:val="22"/>
          <w:lang w:val="en-AU" w:eastAsia="en-AU"/>
        </w:rPr>
        <w:fldChar w:fldCharType="end"/>
      </w:r>
      <w:r w:rsidR="00D53E55" w:rsidRPr="00D53E55">
        <w:rPr>
          <w:rFonts w:ascii="Arial" w:hAnsi="Arial"/>
          <w:color w:val="auto"/>
          <w:sz w:val="22"/>
          <w:lang w:val="en-AU" w:eastAsia="en-US"/>
        </w:rPr>
        <w:t>C)</w:t>
      </w:r>
      <w:r w:rsidR="00D53E55">
        <w:rPr>
          <w:rFonts w:ascii="Arial" w:hAnsi="Arial"/>
          <w:color w:val="auto"/>
          <w:sz w:val="22"/>
          <w:lang w:val="en-AU" w:eastAsia="en-US"/>
        </w:rPr>
        <w:t>.</w:t>
      </w:r>
    </w:p>
    <w:p w14:paraId="5F22F36C" w14:textId="77777777" w:rsidR="00D53E55" w:rsidRDefault="00302986" w:rsidP="00302986">
      <w:pPr>
        <w:rPr>
          <w:i/>
          <w:lang w:val="en-AU"/>
        </w:rPr>
      </w:pPr>
      <w:r w:rsidRPr="00E40358">
        <w:rPr>
          <w:i/>
          <w:lang w:val="en-AU"/>
        </w:rPr>
        <w:t>Risk Score</w:t>
      </w:r>
    </w:p>
    <w:p w14:paraId="5F22F36D" w14:textId="577137B4" w:rsidR="00302986" w:rsidRPr="00F24DDC" w:rsidRDefault="00302986" w:rsidP="00302986">
      <w:pPr>
        <w:rPr>
          <w:szCs w:val="24"/>
          <w:lang w:val="en-AU"/>
        </w:rPr>
      </w:pPr>
      <w:r w:rsidRPr="00302986">
        <w:rPr>
          <w:lang w:val="en-AU"/>
        </w:rPr>
        <w:t xml:space="preserve">The probability of exceeding ecological thresholds concentrations from exposure to river plumes </w:t>
      </w:r>
      <w:r w:rsidRPr="007F49F1">
        <w:rPr>
          <w:i/>
          <w:lang w:val="en-AU"/>
        </w:rPr>
        <w:t>i.e.</w:t>
      </w:r>
      <w:r w:rsidRPr="00302986">
        <w:rPr>
          <w:lang w:val="en-AU"/>
        </w:rPr>
        <w:t>, the ‘potential’ river plume risk to seagrass and coral reef ecosystems was estimated by multiplying each respective MS</w:t>
      </w:r>
      <w:r w:rsidRPr="00302986">
        <w:rPr>
          <w:vertAlign w:val="subscript"/>
          <w:lang w:val="en-AU"/>
        </w:rPr>
        <w:t>CCx</w:t>
      </w:r>
      <w:r w:rsidRPr="00302986">
        <w:rPr>
          <w:lang w:val="en-AU"/>
        </w:rPr>
        <w:t xml:space="preserve"> by its LS</w:t>
      </w:r>
      <w:r w:rsidRPr="00302986">
        <w:rPr>
          <w:vertAlign w:val="subscript"/>
          <w:lang w:val="en-AU"/>
        </w:rPr>
        <w:t xml:space="preserve">CCx </w:t>
      </w:r>
      <w:r w:rsidR="008502F3">
        <w:rPr>
          <w:vertAlign w:val="subscript"/>
          <w:lang w:val="en-AU"/>
        </w:rPr>
        <w:t xml:space="preserve"> </w:t>
      </w:r>
      <w:r w:rsidR="008502F3">
        <w:rPr>
          <w:lang w:val="en-AU"/>
        </w:rPr>
        <w:t>(Magnitude x Likelihood score</w:t>
      </w:r>
      <w:r w:rsidR="00FC4B8B">
        <w:rPr>
          <w:lang w:val="en-AU"/>
        </w:rPr>
        <w:t>s</w:t>
      </w:r>
      <w:r w:rsidR="008502F3">
        <w:rPr>
          <w:lang w:val="en-AU"/>
        </w:rPr>
        <w:t xml:space="preserve">) </w:t>
      </w:r>
      <w:r w:rsidRPr="00302986">
        <w:rPr>
          <w:lang w:val="en-AU"/>
        </w:rPr>
        <w:t>and normalising over all monitored sites (</w:t>
      </w:r>
      <w:r w:rsidR="008502F3">
        <w:rPr>
          <w:lang w:val="en-AU"/>
        </w:rPr>
        <w:t>Rs’</w:t>
      </w:r>
      <w:r w:rsidR="008502F3" w:rsidRPr="008502F3">
        <w:rPr>
          <w:vertAlign w:val="subscript"/>
          <w:lang w:val="en-AU"/>
        </w:rPr>
        <w:t>site</w:t>
      </w:r>
      <w:r w:rsidRPr="00302986">
        <w:rPr>
          <w:lang w:val="en-AU"/>
        </w:rPr>
        <w:t>)</w:t>
      </w:r>
      <w:r w:rsidR="00D53E55">
        <w:rPr>
          <w:lang w:val="en-AU"/>
        </w:rPr>
        <w:t xml:space="preserve"> (</w:t>
      </w:r>
      <w:r w:rsidR="00124249">
        <w:rPr>
          <w:rFonts w:cs="Arial"/>
          <w:szCs w:val="22"/>
          <w:lang w:val="en-AU" w:eastAsia="en-AU"/>
        </w:rPr>
        <w:fldChar w:fldCharType="begin"/>
      </w:r>
      <w:r w:rsidR="00124249">
        <w:rPr>
          <w:rFonts w:cs="Arial"/>
          <w:szCs w:val="22"/>
          <w:lang w:val="en-AU" w:eastAsia="en-AU"/>
        </w:rPr>
        <w:instrText xml:space="preserve"> REF _Ref459155503 \h  \* MERGEFORMAT </w:instrText>
      </w:r>
      <w:r w:rsidR="00124249">
        <w:rPr>
          <w:rFonts w:cs="Arial"/>
          <w:szCs w:val="22"/>
          <w:lang w:val="en-AU" w:eastAsia="en-AU"/>
        </w:rPr>
      </w:r>
      <w:r w:rsidR="00124249">
        <w:rPr>
          <w:rFonts w:cs="Arial"/>
          <w:szCs w:val="22"/>
          <w:lang w:val="en-AU" w:eastAsia="en-AU"/>
        </w:rPr>
        <w:fldChar w:fldCharType="separate"/>
      </w:r>
      <w:r w:rsidR="007F5336" w:rsidRPr="007F5336">
        <w:rPr>
          <w:rFonts w:cs="Arial"/>
          <w:szCs w:val="22"/>
          <w:lang w:val="en-AU" w:eastAsia="en-AU"/>
        </w:rPr>
        <w:t>Figure 8</w:t>
      </w:r>
      <w:r w:rsidR="007F5336" w:rsidRPr="007F5336">
        <w:rPr>
          <w:rFonts w:cs="Arial"/>
          <w:szCs w:val="22"/>
          <w:lang w:val="en-AU" w:eastAsia="en-AU"/>
        </w:rPr>
        <w:noBreakHyphen/>
        <w:t>1</w:t>
      </w:r>
      <w:r w:rsidR="00124249">
        <w:rPr>
          <w:rFonts w:cs="Arial"/>
          <w:szCs w:val="22"/>
          <w:lang w:val="en-AU" w:eastAsia="en-AU"/>
        </w:rPr>
        <w:fldChar w:fldCharType="end"/>
      </w:r>
      <w:r w:rsidR="00D53E55" w:rsidRPr="004A5BF7">
        <w:rPr>
          <w:lang w:val="en-AU"/>
        </w:rPr>
        <w:t>D</w:t>
      </w:r>
      <w:r w:rsidR="00D53E55">
        <w:rPr>
          <w:i/>
          <w:lang w:val="en-AU"/>
        </w:rPr>
        <w:t>)</w:t>
      </w:r>
      <w:r w:rsidRPr="00302986">
        <w:rPr>
          <w:lang w:val="en-AU"/>
        </w:rPr>
        <w:t xml:space="preserve">.  </w:t>
      </w:r>
    </w:p>
    <w:p w14:paraId="5F22F36E" w14:textId="77777777" w:rsidR="008C760D" w:rsidRDefault="00302986" w:rsidP="008502F3">
      <w:pPr>
        <w:pStyle w:val="MText"/>
        <w:spacing w:line="240" w:lineRule="auto"/>
        <w:ind w:firstLine="0"/>
        <w:rPr>
          <w:rFonts w:ascii="Arial" w:hAnsi="Arial"/>
          <w:i/>
          <w:color w:val="auto"/>
          <w:sz w:val="22"/>
          <w:lang w:val="en-AU" w:eastAsia="en-US"/>
        </w:rPr>
      </w:pPr>
      <w:r w:rsidRPr="00302986">
        <w:rPr>
          <w:rFonts w:ascii="Arial" w:hAnsi="Arial"/>
          <w:i/>
          <w:color w:val="auto"/>
          <w:sz w:val="22"/>
          <w:lang w:val="en-AU" w:eastAsia="en-US"/>
        </w:rPr>
        <w:t>Relationships between exposure risk and ecosystem response</w:t>
      </w:r>
    </w:p>
    <w:p w14:paraId="5F22F36F" w14:textId="2A1042A0" w:rsidR="008502F3" w:rsidRDefault="008502F3" w:rsidP="008502F3">
      <w:pPr>
        <w:pStyle w:val="MText"/>
        <w:spacing w:line="240" w:lineRule="auto"/>
        <w:ind w:firstLine="0"/>
        <w:rPr>
          <w:szCs w:val="24"/>
          <w:lang w:val="en-AU"/>
        </w:rPr>
      </w:pPr>
      <w:r w:rsidRPr="008502F3">
        <w:rPr>
          <w:rFonts w:ascii="Arial" w:hAnsi="Arial" w:cs="Arial"/>
          <w:sz w:val="22"/>
          <w:szCs w:val="22"/>
          <w:lang w:val="en-AU"/>
        </w:rPr>
        <w:t>The seagrass and macroalgae cover data available through the MMP were used as bio-indicators of ecosystem response to test the initial validity of the risk maps</w:t>
      </w:r>
      <w:r w:rsidR="008C760D">
        <w:rPr>
          <w:rFonts w:ascii="Arial" w:hAnsi="Arial" w:cs="Arial"/>
          <w:sz w:val="22"/>
          <w:szCs w:val="22"/>
          <w:lang w:val="en-AU"/>
        </w:rPr>
        <w:t xml:space="preserve"> </w:t>
      </w:r>
      <w:r w:rsidR="008C760D" w:rsidRPr="008C760D">
        <w:rPr>
          <w:rFonts w:ascii="Arial" w:hAnsi="Arial" w:cs="Arial"/>
          <w:sz w:val="22"/>
          <w:szCs w:val="22"/>
          <w:lang w:val="en-AU"/>
        </w:rPr>
        <w:t>(</w:t>
      </w:r>
      <w:r w:rsidR="00124249">
        <w:rPr>
          <w:rFonts w:ascii="Arial" w:hAnsi="Arial" w:cs="Arial"/>
          <w:color w:val="auto"/>
          <w:sz w:val="22"/>
          <w:szCs w:val="22"/>
          <w:lang w:val="en-AU" w:eastAsia="en-AU"/>
        </w:rPr>
        <w:fldChar w:fldCharType="begin"/>
      </w:r>
      <w:r w:rsidR="00124249">
        <w:rPr>
          <w:rFonts w:ascii="Arial" w:hAnsi="Arial" w:cs="Arial"/>
          <w:color w:val="auto"/>
          <w:sz w:val="22"/>
          <w:szCs w:val="22"/>
          <w:lang w:val="en-AU" w:eastAsia="en-AU"/>
        </w:rPr>
        <w:instrText xml:space="preserve"> REF _Ref459155503 \h  \* MERGEFORMAT </w:instrText>
      </w:r>
      <w:r w:rsidR="00124249">
        <w:rPr>
          <w:rFonts w:ascii="Arial" w:hAnsi="Arial" w:cs="Arial"/>
          <w:color w:val="auto"/>
          <w:sz w:val="22"/>
          <w:szCs w:val="22"/>
          <w:lang w:val="en-AU" w:eastAsia="en-AU"/>
        </w:rPr>
      </w:r>
      <w:r w:rsidR="00124249">
        <w:rPr>
          <w:rFonts w:ascii="Arial" w:hAnsi="Arial" w:cs="Arial"/>
          <w:color w:val="auto"/>
          <w:sz w:val="22"/>
          <w:szCs w:val="22"/>
          <w:lang w:val="en-AU" w:eastAsia="en-AU"/>
        </w:rPr>
        <w:fldChar w:fldCharType="separate"/>
      </w:r>
      <w:r w:rsidR="007F5336" w:rsidRPr="007F5336">
        <w:rPr>
          <w:rFonts w:ascii="Arial" w:hAnsi="Arial" w:cs="Arial"/>
          <w:color w:val="auto"/>
          <w:sz w:val="22"/>
          <w:szCs w:val="22"/>
          <w:lang w:val="en-AU" w:eastAsia="en-AU"/>
        </w:rPr>
        <w:t>Figure 8</w:t>
      </w:r>
      <w:r w:rsidR="007F5336" w:rsidRPr="007F5336">
        <w:rPr>
          <w:rFonts w:ascii="Arial" w:hAnsi="Arial" w:cs="Arial"/>
          <w:color w:val="auto"/>
          <w:sz w:val="22"/>
          <w:szCs w:val="22"/>
          <w:lang w:val="en-AU" w:eastAsia="en-AU"/>
        </w:rPr>
        <w:noBreakHyphen/>
        <w:t>1</w:t>
      </w:r>
      <w:r w:rsidR="00124249">
        <w:rPr>
          <w:rFonts w:ascii="Arial" w:hAnsi="Arial" w:cs="Arial"/>
          <w:color w:val="auto"/>
          <w:sz w:val="22"/>
          <w:szCs w:val="22"/>
          <w:lang w:val="en-AU" w:eastAsia="en-AU"/>
        </w:rPr>
        <w:fldChar w:fldCharType="end"/>
      </w:r>
      <w:r w:rsidR="008C760D" w:rsidRPr="008C760D">
        <w:rPr>
          <w:rFonts w:ascii="Arial" w:hAnsi="Arial" w:cs="Arial"/>
          <w:sz w:val="22"/>
          <w:szCs w:val="22"/>
          <w:lang w:val="en-AU"/>
        </w:rPr>
        <w:t>E)</w:t>
      </w:r>
      <w:r w:rsidRPr="008C760D">
        <w:rPr>
          <w:rFonts w:ascii="Arial" w:hAnsi="Arial" w:cs="Arial"/>
          <w:sz w:val="22"/>
          <w:szCs w:val="22"/>
          <w:lang w:val="en-AU"/>
        </w:rPr>
        <w:t xml:space="preserve">. </w:t>
      </w:r>
      <w:r w:rsidRPr="008502F3">
        <w:rPr>
          <w:rFonts w:ascii="Arial" w:hAnsi="Arial" w:cs="Arial"/>
          <w:sz w:val="22"/>
          <w:szCs w:val="22"/>
          <w:lang w:val="en-AU"/>
        </w:rPr>
        <w:t xml:space="preserve">The long-term (2005 </w:t>
      </w:r>
      <w:r w:rsidR="00124249">
        <w:rPr>
          <w:rFonts w:ascii="Arial" w:hAnsi="Arial" w:cs="Arial"/>
          <w:sz w:val="22"/>
          <w:szCs w:val="22"/>
          <w:lang w:val="en-AU"/>
        </w:rPr>
        <w:t>to</w:t>
      </w:r>
      <w:r w:rsidR="00124249" w:rsidRPr="008502F3">
        <w:rPr>
          <w:rFonts w:ascii="Arial" w:hAnsi="Arial" w:cs="Arial"/>
          <w:sz w:val="22"/>
          <w:szCs w:val="22"/>
          <w:lang w:val="en-AU"/>
        </w:rPr>
        <w:t xml:space="preserve"> </w:t>
      </w:r>
      <w:r w:rsidRPr="008502F3">
        <w:rPr>
          <w:rFonts w:ascii="Arial" w:hAnsi="Arial" w:cs="Arial"/>
          <w:sz w:val="22"/>
          <w:szCs w:val="22"/>
          <w:lang w:val="en-AU"/>
        </w:rPr>
        <w:t xml:space="preserve">2014) response of seagrass and coral ecosystem to river plume exposure was evaluated by calculating </w:t>
      </w:r>
      <w:r w:rsidRPr="008502F3">
        <w:rPr>
          <w:rFonts w:ascii="Arial" w:hAnsi="Arial" w:cs="Arial"/>
          <w:i/>
          <w:sz w:val="22"/>
          <w:szCs w:val="22"/>
          <w:lang w:val="en-AU"/>
        </w:rPr>
        <w:t>(i)</w:t>
      </w:r>
      <w:r w:rsidRPr="008502F3">
        <w:rPr>
          <w:rFonts w:ascii="Arial" w:hAnsi="Arial" w:cs="Arial"/>
          <w:sz w:val="22"/>
          <w:szCs w:val="22"/>
          <w:lang w:val="en-AU"/>
        </w:rPr>
        <w:t xml:space="preserve"> the changes in seagrass cover and proportion of macroalgae in the algal communities across years 2005 and 2014</w:t>
      </w:r>
      <w:r>
        <w:rPr>
          <w:rFonts w:ascii="Arial" w:hAnsi="Arial" w:cs="Arial"/>
          <w:sz w:val="22"/>
          <w:szCs w:val="22"/>
          <w:lang w:val="en-AU"/>
        </w:rPr>
        <w:t xml:space="preserve"> (</w:t>
      </w:r>
      <w:r w:rsidRPr="008502F3">
        <w:rPr>
          <w:rFonts w:ascii="Arial" w:hAnsi="Arial" w:cs="Arial"/>
          <w:sz w:val="22"/>
          <w:szCs w:val="22"/>
          <w:lang w:val="en-AU"/>
        </w:rPr>
        <w:t>∆BioIndicator</w:t>
      </w:r>
      <w:r>
        <w:rPr>
          <w:rFonts w:ascii="Arial" w:hAnsi="Arial" w:cs="Arial"/>
          <w:sz w:val="22"/>
          <w:szCs w:val="22"/>
          <w:lang w:val="en-AU"/>
        </w:rPr>
        <w:t>)</w:t>
      </w:r>
      <w:r w:rsidRPr="008502F3">
        <w:rPr>
          <w:rFonts w:ascii="Arial" w:hAnsi="Arial" w:cs="Arial"/>
          <w:sz w:val="22"/>
          <w:szCs w:val="22"/>
          <w:lang w:val="en-AU"/>
        </w:rPr>
        <w:t xml:space="preserve"> and </w:t>
      </w:r>
      <w:r w:rsidRPr="008502F3">
        <w:rPr>
          <w:rFonts w:ascii="Arial" w:hAnsi="Arial" w:cs="Arial"/>
          <w:i/>
          <w:sz w:val="22"/>
          <w:szCs w:val="22"/>
          <w:lang w:val="en-AU"/>
        </w:rPr>
        <w:t xml:space="preserve">(ii) </w:t>
      </w:r>
      <w:r w:rsidRPr="008502F3">
        <w:rPr>
          <w:rFonts w:ascii="Arial" w:hAnsi="Arial" w:cs="Arial"/>
          <w:sz w:val="22"/>
          <w:szCs w:val="22"/>
          <w:lang w:val="en-AU"/>
        </w:rPr>
        <w:t xml:space="preserve">the mean multi-annual seagrass cover and MAp </w:t>
      </w:r>
      <w:r>
        <w:rPr>
          <w:rFonts w:ascii="Arial" w:hAnsi="Arial" w:cs="Arial"/>
          <w:sz w:val="22"/>
          <w:szCs w:val="22"/>
          <w:lang w:val="en-AU"/>
        </w:rPr>
        <w:t>(M</w:t>
      </w:r>
      <w:r w:rsidRPr="008502F3">
        <w:rPr>
          <w:rFonts w:ascii="Arial" w:hAnsi="Arial" w:cs="Arial"/>
          <w:sz w:val="22"/>
          <w:szCs w:val="22"/>
          <w:lang w:val="en-AU"/>
        </w:rPr>
        <w:t>BioIndicator</w:t>
      </w:r>
      <w:r>
        <w:rPr>
          <w:rFonts w:ascii="Arial" w:hAnsi="Arial" w:cs="Arial"/>
          <w:sz w:val="22"/>
          <w:szCs w:val="22"/>
          <w:lang w:val="en-AU"/>
        </w:rPr>
        <w:t xml:space="preserve">). </w:t>
      </w:r>
      <w:r w:rsidRPr="008502F3">
        <w:rPr>
          <w:rFonts w:ascii="Arial" w:hAnsi="Arial" w:cs="Arial"/>
          <w:sz w:val="22"/>
          <w:szCs w:val="22"/>
          <w:lang w:val="en-AU"/>
        </w:rPr>
        <w:t xml:space="preserve">Finally, the hypothesis that long-term (2005 </w:t>
      </w:r>
      <w:r w:rsidR="00124249">
        <w:rPr>
          <w:rFonts w:ascii="Arial" w:hAnsi="Arial" w:cs="Arial"/>
          <w:sz w:val="22"/>
          <w:szCs w:val="22"/>
          <w:lang w:val="en-AU"/>
        </w:rPr>
        <w:t>to</w:t>
      </w:r>
      <w:r w:rsidR="00124249" w:rsidRPr="008502F3">
        <w:rPr>
          <w:rFonts w:ascii="Arial" w:hAnsi="Arial" w:cs="Arial"/>
          <w:sz w:val="22"/>
          <w:szCs w:val="22"/>
          <w:lang w:val="en-AU"/>
        </w:rPr>
        <w:t xml:space="preserve"> </w:t>
      </w:r>
      <w:r w:rsidRPr="008502F3">
        <w:rPr>
          <w:rFonts w:ascii="Arial" w:hAnsi="Arial" w:cs="Arial"/>
          <w:sz w:val="22"/>
          <w:szCs w:val="22"/>
          <w:lang w:val="en-AU"/>
        </w:rPr>
        <w:t>2014) responses of coral reefs and seagrass meadows will be influenced by contaminant concentrations and frequency of exposure to the contaminant concentrations were investigated by correlating biological bio-indicator responses to their risk score at the site and NRM regional scales (RS’</w:t>
      </w:r>
      <w:r w:rsidRPr="008502F3">
        <w:rPr>
          <w:rFonts w:ascii="Arial" w:hAnsi="Arial" w:cs="Arial"/>
          <w:sz w:val="22"/>
          <w:szCs w:val="22"/>
          <w:vertAlign w:val="subscript"/>
          <w:lang w:val="en-AU"/>
        </w:rPr>
        <w:t>NRM</w:t>
      </w:r>
      <w:r w:rsidR="00C569C2">
        <w:rPr>
          <w:rFonts w:ascii="Arial" w:hAnsi="Arial" w:cs="Arial"/>
          <w:sz w:val="22"/>
          <w:szCs w:val="22"/>
          <w:lang w:val="en-AU"/>
        </w:rPr>
        <w:t>)</w:t>
      </w:r>
      <w:r w:rsidR="006915CF" w:rsidRPr="006915CF">
        <w:rPr>
          <w:rFonts w:ascii="Arial" w:hAnsi="Arial" w:cs="Arial"/>
          <w:sz w:val="22"/>
          <w:szCs w:val="22"/>
          <w:lang w:val="en-AU"/>
        </w:rPr>
        <w:t>.</w:t>
      </w:r>
    </w:p>
    <w:p w14:paraId="5F22F370" w14:textId="77777777" w:rsidR="008502F3" w:rsidRDefault="008502F3" w:rsidP="008502F3">
      <w:pPr>
        <w:pStyle w:val="Heading2"/>
      </w:pPr>
      <w:bookmarkStart w:id="1488" w:name="_Toc462307471"/>
      <w:r w:rsidRPr="00F24DDC">
        <w:t>Results</w:t>
      </w:r>
      <w:bookmarkEnd w:id="1488"/>
    </w:p>
    <w:p w14:paraId="55055458" w14:textId="59786D2D" w:rsidR="00A058D6" w:rsidRDefault="00A058D6" w:rsidP="008C760D">
      <w:pPr>
        <w:rPr>
          <w:szCs w:val="24"/>
          <w:lang w:val="en-AU"/>
        </w:rPr>
      </w:pPr>
      <w:r>
        <w:rPr>
          <w:szCs w:val="24"/>
          <w:lang w:val="en-AU"/>
        </w:rPr>
        <w:t xml:space="preserve">The multi-annual risk map shows that the area of high potential risk is confined to the coastal waters. </w:t>
      </w:r>
    </w:p>
    <w:p w14:paraId="5F22F371" w14:textId="488187E3" w:rsidR="00CC7CAB" w:rsidRDefault="008C760D" w:rsidP="008C760D">
      <w:pPr>
        <w:rPr>
          <w:i/>
          <w:lang w:val="en-AU"/>
        </w:rPr>
      </w:pPr>
      <w:r w:rsidRPr="00574B0D">
        <w:rPr>
          <w:i/>
          <w:lang w:val="en-AU"/>
        </w:rPr>
        <w:t xml:space="preserve">Contaminant concentrations across river plumes water types </w:t>
      </w:r>
    </w:p>
    <w:p w14:paraId="5F22F372" w14:textId="151F1EB6" w:rsidR="008C760D" w:rsidRPr="00F24DDC" w:rsidRDefault="008C760D" w:rsidP="008C760D">
      <w:pPr>
        <w:rPr>
          <w:lang w:val="en-AU"/>
        </w:rPr>
      </w:pPr>
      <w:r w:rsidRPr="00F24DDC">
        <w:rPr>
          <w:lang w:val="en-AU"/>
        </w:rPr>
        <w:t>Mean mul</w:t>
      </w:r>
      <w:r>
        <w:rPr>
          <w:lang w:val="en-AU"/>
        </w:rPr>
        <w:t>ti-annual concentrations of TSS and</w:t>
      </w:r>
      <w:r w:rsidRPr="00F24DDC">
        <w:rPr>
          <w:lang w:val="en-AU"/>
        </w:rPr>
        <w:t xml:space="preserve"> Chl-a were over the </w:t>
      </w:r>
      <w:r>
        <w:rPr>
          <w:lang w:val="en-AU"/>
        </w:rPr>
        <w:t>ecological</w:t>
      </w:r>
      <w:r w:rsidRPr="00F24DDC">
        <w:rPr>
          <w:lang w:val="en-AU"/>
        </w:rPr>
        <w:t xml:space="preserve"> thresholds in all plume water types</w:t>
      </w:r>
      <w:r>
        <w:rPr>
          <w:lang w:val="en-AU"/>
        </w:rPr>
        <w:t>, except in CC6</w:t>
      </w:r>
      <w:r w:rsidR="00CC7CAB" w:rsidRPr="00CC7CAB">
        <w:rPr>
          <w:lang w:val="en-AU"/>
        </w:rPr>
        <w:t xml:space="preserve"> </w:t>
      </w:r>
      <w:r w:rsidR="00A058D6">
        <w:rPr>
          <w:lang w:val="en-AU"/>
        </w:rPr>
        <w:t xml:space="preserve">where </w:t>
      </w:r>
      <w:r w:rsidR="00CC7CAB">
        <w:rPr>
          <w:lang w:val="en-AU"/>
        </w:rPr>
        <w:t>RS</w:t>
      </w:r>
      <w:r w:rsidR="00CC7CAB" w:rsidRPr="00882929">
        <w:rPr>
          <w:vertAlign w:val="subscript"/>
          <w:lang w:val="en-AU"/>
        </w:rPr>
        <w:t>CC6</w:t>
      </w:r>
      <w:r w:rsidR="00CC7CAB">
        <w:rPr>
          <w:lang w:val="en-AU"/>
        </w:rPr>
        <w:t xml:space="preserve"> was scored </w:t>
      </w:r>
      <w:r w:rsidR="00CC7CAB">
        <w:rPr>
          <w:szCs w:val="24"/>
          <w:lang w:val="en-AU"/>
        </w:rPr>
        <w:t>as zero</w:t>
      </w:r>
      <w:r>
        <w:rPr>
          <w:lang w:val="en-AU"/>
        </w:rPr>
        <w:t xml:space="preserve"> (</w:t>
      </w:r>
      <w:r w:rsidR="00124249">
        <w:rPr>
          <w:lang w:val="en-AU"/>
        </w:rPr>
        <w:fldChar w:fldCharType="begin"/>
      </w:r>
      <w:r w:rsidR="00124249">
        <w:rPr>
          <w:lang w:val="en-AU"/>
        </w:rPr>
        <w:instrText xml:space="preserve"> REF _Ref459155770 \h </w:instrText>
      </w:r>
      <w:r w:rsidR="00124249">
        <w:rPr>
          <w:lang w:val="en-AU"/>
        </w:rPr>
      </w:r>
      <w:r w:rsidR="00124249">
        <w:rPr>
          <w:lang w:val="en-AU"/>
        </w:rPr>
        <w:fldChar w:fldCharType="separate"/>
      </w:r>
      <w:r w:rsidR="007F5336">
        <w:t xml:space="preserve">Table </w:t>
      </w:r>
      <w:r w:rsidR="007F5336">
        <w:rPr>
          <w:noProof/>
        </w:rPr>
        <w:t>8</w:t>
      </w:r>
      <w:r w:rsidR="007F5336">
        <w:noBreakHyphen/>
      </w:r>
      <w:r w:rsidR="007F5336">
        <w:rPr>
          <w:noProof/>
        </w:rPr>
        <w:t>2</w:t>
      </w:r>
      <w:r w:rsidR="00124249">
        <w:rPr>
          <w:lang w:val="en-AU"/>
        </w:rPr>
        <w:fldChar w:fldCharType="end"/>
      </w:r>
      <w:r>
        <w:rPr>
          <w:lang w:val="en-AU"/>
        </w:rPr>
        <w:t>)</w:t>
      </w:r>
      <w:r w:rsidRPr="00F24DDC">
        <w:rPr>
          <w:lang w:val="en-AU"/>
        </w:rPr>
        <w:t xml:space="preserve">. However, estimated mean PSII concentrations were all under PSII = 0.1. Ratios of </w:t>
      </w:r>
      <w:r>
        <w:rPr>
          <w:lang w:val="en-AU"/>
        </w:rPr>
        <w:t>contaminant</w:t>
      </w:r>
      <w:r w:rsidRPr="00F24DDC">
        <w:rPr>
          <w:lang w:val="en-AU"/>
        </w:rPr>
        <w:t xml:space="preserve"> concentrations against </w:t>
      </w:r>
      <w:r>
        <w:rPr>
          <w:lang w:val="en-AU"/>
        </w:rPr>
        <w:t>ecological</w:t>
      </w:r>
      <w:r w:rsidRPr="00F24DDC">
        <w:rPr>
          <w:lang w:val="en-AU"/>
        </w:rPr>
        <w:t xml:space="preserve"> thresholds increased across the plume water gradient (toward the inshore CC1 plume water type). Mean concentrations of TSS and Chl-a were more than </w:t>
      </w:r>
      <w:r>
        <w:rPr>
          <w:lang w:val="en-AU"/>
        </w:rPr>
        <w:t>1.5</w:t>
      </w:r>
      <w:r w:rsidRPr="00F24DDC">
        <w:rPr>
          <w:lang w:val="en-AU"/>
        </w:rPr>
        <w:t xml:space="preserve"> and </w:t>
      </w:r>
      <w:r>
        <w:rPr>
          <w:lang w:val="en-AU"/>
        </w:rPr>
        <w:t>4.0</w:t>
      </w:r>
      <w:r w:rsidRPr="00F24DDC">
        <w:rPr>
          <w:lang w:val="en-AU"/>
        </w:rPr>
        <w:t xml:space="preserve"> time</w:t>
      </w:r>
      <w:r>
        <w:rPr>
          <w:lang w:val="en-AU"/>
        </w:rPr>
        <w:t>s</w:t>
      </w:r>
      <w:r w:rsidRPr="00F24DDC">
        <w:rPr>
          <w:lang w:val="en-AU"/>
        </w:rPr>
        <w:t xml:space="preserve"> higher than threshold concentrations in the CC3, respectively</w:t>
      </w:r>
      <w:r>
        <w:rPr>
          <w:lang w:val="en-AU"/>
        </w:rPr>
        <w:t>,</w:t>
      </w:r>
      <w:r w:rsidRPr="00F24DDC">
        <w:rPr>
          <w:lang w:val="en-AU"/>
        </w:rPr>
        <w:t xml:space="preserve"> and</w:t>
      </w:r>
      <w:r>
        <w:rPr>
          <w:lang w:val="en-AU"/>
        </w:rPr>
        <w:t xml:space="preserve"> about 5</w:t>
      </w:r>
      <w:r w:rsidRPr="00F24DDC">
        <w:rPr>
          <w:lang w:val="en-AU"/>
        </w:rPr>
        <w:t xml:space="preserve"> time</w:t>
      </w:r>
      <w:r>
        <w:rPr>
          <w:lang w:val="en-AU"/>
        </w:rPr>
        <w:t>s</w:t>
      </w:r>
      <w:r w:rsidRPr="00F24DDC">
        <w:rPr>
          <w:lang w:val="en-AU"/>
        </w:rPr>
        <w:t xml:space="preserve"> higher </w:t>
      </w:r>
      <w:r>
        <w:rPr>
          <w:lang w:val="en-AU"/>
        </w:rPr>
        <w:t xml:space="preserve">in the </w:t>
      </w:r>
      <w:r w:rsidRPr="00F24DDC">
        <w:rPr>
          <w:lang w:val="en-AU"/>
        </w:rPr>
        <w:t xml:space="preserve">CC1. As a results, the normalised </w:t>
      </w:r>
      <w:r>
        <w:rPr>
          <w:lang w:val="en-AU"/>
        </w:rPr>
        <w:t>Magnitude Score</w:t>
      </w:r>
      <w:r w:rsidRPr="00F24DDC">
        <w:rPr>
          <w:lang w:val="en-AU"/>
        </w:rPr>
        <w:t xml:space="preserve"> increased from the offshore (MS</w:t>
      </w:r>
      <w:r w:rsidRPr="00F24DDC">
        <w:rPr>
          <w:vertAlign w:val="subscript"/>
          <w:lang w:val="en-AU"/>
        </w:rPr>
        <w:t>CC6</w:t>
      </w:r>
      <w:r w:rsidRPr="00F24DDC">
        <w:rPr>
          <w:lang w:val="en-AU"/>
        </w:rPr>
        <w:t xml:space="preserve"> = 0) to the inshore (MS</w:t>
      </w:r>
      <w:r w:rsidRPr="00F24DDC">
        <w:rPr>
          <w:vertAlign w:val="subscript"/>
          <w:lang w:val="en-AU"/>
        </w:rPr>
        <w:t>CC1</w:t>
      </w:r>
      <w:r w:rsidRPr="00F24DDC">
        <w:rPr>
          <w:lang w:val="en-AU"/>
        </w:rPr>
        <w:t xml:space="preserve"> = 10) plume waters, with a sharp increase of the </w:t>
      </w:r>
      <w:r>
        <w:rPr>
          <w:lang w:val="en-AU"/>
        </w:rPr>
        <w:t>M</w:t>
      </w:r>
      <w:r w:rsidRPr="00F24DDC">
        <w:rPr>
          <w:lang w:val="en-AU"/>
        </w:rPr>
        <w:t xml:space="preserve">agnitude </w:t>
      </w:r>
      <w:r>
        <w:rPr>
          <w:lang w:val="en-AU"/>
        </w:rPr>
        <w:t>S</w:t>
      </w:r>
      <w:r w:rsidRPr="00F24DDC">
        <w:rPr>
          <w:lang w:val="en-AU"/>
        </w:rPr>
        <w:t>core in the CC1 vs. CC2 or CC3 (MS</w:t>
      </w:r>
      <w:r w:rsidRPr="00F24DDC">
        <w:rPr>
          <w:vertAlign w:val="subscript"/>
          <w:lang w:val="en-AU"/>
        </w:rPr>
        <w:t>CC2</w:t>
      </w:r>
      <w:r>
        <w:rPr>
          <w:vertAlign w:val="subscript"/>
          <w:lang w:val="en-AU"/>
        </w:rPr>
        <w:t>/</w:t>
      </w:r>
      <w:r w:rsidRPr="00882929">
        <w:rPr>
          <w:vertAlign w:val="subscript"/>
          <w:lang w:val="en-AU"/>
        </w:rPr>
        <w:t xml:space="preserve"> </w:t>
      </w:r>
      <w:r w:rsidRPr="00F24DDC">
        <w:rPr>
          <w:vertAlign w:val="subscript"/>
          <w:lang w:val="en-AU"/>
        </w:rPr>
        <w:t>CC</w:t>
      </w:r>
      <w:r>
        <w:rPr>
          <w:vertAlign w:val="subscript"/>
          <w:lang w:val="en-AU"/>
        </w:rPr>
        <w:t>3</w:t>
      </w:r>
      <w:r w:rsidRPr="00F24DDC">
        <w:rPr>
          <w:lang w:val="en-AU"/>
        </w:rPr>
        <w:t xml:space="preserve"> </w:t>
      </w:r>
      <w:r>
        <w:rPr>
          <w:lang w:val="en-AU"/>
        </w:rPr>
        <w:t>= 5</w:t>
      </w:r>
      <w:r w:rsidRPr="00F24DDC">
        <w:rPr>
          <w:lang w:val="en-AU"/>
        </w:rPr>
        <w:t xml:space="preserve">). </w:t>
      </w:r>
    </w:p>
    <w:p w14:paraId="5F22F373" w14:textId="77777777" w:rsidR="00CC7CAB" w:rsidRDefault="008C760D" w:rsidP="008C760D">
      <w:pPr>
        <w:rPr>
          <w:i/>
          <w:lang w:val="en-AU"/>
        </w:rPr>
      </w:pPr>
      <w:r w:rsidRPr="00574B0D">
        <w:rPr>
          <w:i/>
          <w:lang w:val="en-AU"/>
        </w:rPr>
        <w:t xml:space="preserve">Seagrass meadows and proportion of macroalgae in the algal communities </w:t>
      </w:r>
    </w:p>
    <w:p w14:paraId="5F22F374" w14:textId="4B970A03" w:rsidR="008C760D" w:rsidRDefault="008C760D" w:rsidP="008C760D">
      <w:pPr>
        <w:rPr>
          <w:lang w:val="en-AU"/>
        </w:rPr>
      </w:pPr>
      <w:r w:rsidRPr="00545C0D">
        <w:rPr>
          <w:lang w:val="en-AU"/>
        </w:rPr>
        <w:t xml:space="preserve">Seagrass meadows of the GBR </w:t>
      </w:r>
      <w:r>
        <w:rPr>
          <w:lang w:val="en-AU"/>
        </w:rPr>
        <w:t>showed</w:t>
      </w:r>
      <w:r w:rsidRPr="00545C0D">
        <w:rPr>
          <w:lang w:val="en-AU"/>
        </w:rPr>
        <w:t xml:space="preserve"> declining trajectories since 2005 throughout </w:t>
      </w:r>
      <w:r>
        <w:rPr>
          <w:lang w:val="en-AU"/>
        </w:rPr>
        <w:t>all</w:t>
      </w:r>
      <w:r w:rsidRPr="00545C0D">
        <w:rPr>
          <w:lang w:val="en-AU"/>
        </w:rPr>
        <w:t xml:space="preserve"> of the</w:t>
      </w:r>
      <w:r>
        <w:rPr>
          <w:lang w:val="en-AU"/>
        </w:rPr>
        <w:t xml:space="preserve"> regions of the GBR (</w:t>
      </w:r>
      <w:r w:rsidRPr="00545C0D">
        <w:rPr>
          <w:lang w:val="en-AU"/>
        </w:rPr>
        <w:t>a</w:t>
      </w:r>
      <w:r>
        <w:rPr>
          <w:lang w:val="en-AU"/>
        </w:rPr>
        <w:t>:</w:t>
      </w:r>
      <w:r w:rsidRPr="00545C0D">
        <w:rPr>
          <w:lang w:val="en-AU"/>
        </w:rPr>
        <w:t xml:space="preserve"> black arrows</w:t>
      </w:r>
      <w:r>
        <w:rPr>
          <w:lang w:val="en-AU"/>
        </w:rPr>
        <w:t xml:space="preserve"> and</w:t>
      </w:r>
      <w:r w:rsidR="00124249">
        <w:rPr>
          <w:lang w:val="en-AU"/>
        </w:rPr>
        <w:t xml:space="preserve"> </w:t>
      </w:r>
      <w:r w:rsidR="00124249">
        <w:rPr>
          <w:lang w:val="en-AU"/>
        </w:rPr>
        <w:fldChar w:fldCharType="begin"/>
      </w:r>
      <w:r w:rsidR="00124249">
        <w:rPr>
          <w:lang w:val="en-AU"/>
        </w:rPr>
        <w:instrText xml:space="preserve"> REF _Ref459156009 \h </w:instrText>
      </w:r>
      <w:r w:rsidR="00124249">
        <w:rPr>
          <w:lang w:val="en-AU"/>
        </w:rPr>
      </w:r>
      <w:r w:rsidR="00124249">
        <w:rPr>
          <w:lang w:val="en-AU"/>
        </w:rPr>
        <w:fldChar w:fldCharType="separate"/>
      </w:r>
      <w:r w:rsidR="007F5336">
        <w:t xml:space="preserve">Table </w:t>
      </w:r>
      <w:r w:rsidR="007F5336">
        <w:rPr>
          <w:noProof/>
        </w:rPr>
        <w:t>8</w:t>
      </w:r>
      <w:r w:rsidR="007F5336">
        <w:noBreakHyphen/>
      </w:r>
      <w:r w:rsidR="007F5336">
        <w:rPr>
          <w:noProof/>
        </w:rPr>
        <w:t>3</w:t>
      </w:r>
      <w:r w:rsidR="00124249">
        <w:rPr>
          <w:lang w:val="en-AU"/>
        </w:rPr>
        <w:fldChar w:fldCharType="end"/>
      </w:r>
      <w:r w:rsidRPr="00545C0D">
        <w:rPr>
          <w:lang w:val="en-AU"/>
        </w:rPr>
        <w:t>).</w:t>
      </w:r>
      <w:r>
        <w:rPr>
          <w:lang w:val="en-AU"/>
        </w:rPr>
        <w:t xml:space="preserve"> Maximum</w:t>
      </w:r>
      <w:r w:rsidRPr="00697109">
        <w:rPr>
          <w:lang w:val="en-AU"/>
        </w:rPr>
        <w:t xml:space="preserve"> changes in seagrass </w:t>
      </w:r>
      <w:r>
        <w:rPr>
          <w:lang w:val="en-AU"/>
        </w:rPr>
        <w:t>across the studied period (2005 to 2014) were measured in the Burnett-Mary NRM region with a loss of 43.20% of cover, though the mean multi-annual c</w:t>
      </w:r>
      <w:r w:rsidR="0046394E">
        <w:rPr>
          <w:lang w:val="en-AU"/>
        </w:rPr>
        <w:t>over was maintained at about 12</w:t>
      </w:r>
      <w:r>
        <w:rPr>
          <w:lang w:val="en-AU"/>
        </w:rPr>
        <w:t>% (M</w:t>
      </w:r>
      <w:r w:rsidRPr="002849DB">
        <w:rPr>
          <w:vertAlign w:val="subscript"/>
          <w:lang w:val="en-AU"/>
        </w:rPr>
        <w:t>BM</w:t>
      </w:r>
      <w:r>
        <w:rPr>
          <w:lang w:val="en-AU"/>
        </w:rPr>
        <w:t>). Minimum changes were measured in the Mackay-Whitsundays (</w:t>
      </w:r>
      <w:r w:rsidRPr="002849DB">
        <w:rPr>
          <w:lang w:val="en-AU"/>
        </w:rPr>
        <w:t>Δ</w:t>
      </w:r>
      <w:r>
        <w:rPr>
          <w:rFonts w:ascii="Calibri" w:hAnsi="Calibri"/>
          <w:sz w:val="20"/>
          <w:vertAlign w:val="subscript"/>
          <w:lang w:eastAsia="en-AU"/>
        </w:rPr>
        <w:t>MW</w:t>
      </w:r>
      <w:r>
        <w:rPr>
          <w:lang w:val="en-AU"/>
        </w:rPr>
        <w:t xml:space="preserve">= </w:t>
      </w:r>
      <w:r w:rsidRPr="004163A9">
        <w:rPr>
          <w:lang w:val="en-AU"/>
        </w:rPr>
        <w:t>-7.05</w:t>
      </w:r>
      <w:r>
        <w:rPr>
          <w:lang w:val="en-AU"/>
        </w:rPr>
        <w:t>%) and the Wet Tropics (</w:t>
      </w:r>
      <w:r w:rsidRPr="002849DB">
        <w:rPr>
          <w:lang w:val="en-AU"/>
        </w:rPr>
        <w:t>Δ</w:t>
      </w:r>
      <w:r>
        <w:rPr>
          <w:rFonts w:ascii="Calibri" w:hAnsi="Calibri"/>
          <w:sz w:val="20"/>
          <w:vertAlign w:val="subscript"/>
          <w:lang w:eastAsia="en-AU"/>
        </w:rPr>
        <w:t>MW</w:t>
      </w:r>
      <w:r>
        <w:rPr>
          <w:lang w:val="en-AU"/>
        </w:rPr>
        <w:t xml:space="preserve">= </w:t>
      </w:r>
      <w:r w:rsidRPr="004163A9">
        <w:rPr>
          <w:lang w:val="en-AU"/>
        </w:rPr>
        <w:t>-7.</w:t>
      </w:r>
      <w:r w:rsidR="0046394E">
        <w:rPr>
          <w:lang w:val="en-AU"/>
        </w:rPr>
        <w:t>50</w:t>
      </w:r>
      <w:r>
        <w:rPr>
          <w:lang w:val="en-AU"/>
        </w:rPr>
        <w:t xml:space="preserve">%).  Mean multi-annual cover for both these regions were about </w:t>
      </w:r>
      <w:r w:rsidRPr="00E27FA2">
        <w:t>15.33</w:t>
      </w:r>
      <w:r w:rsidRPr="002849DB">
        <w:rPr>
          <w:lang w:val="en-AU"/>
        </w:rPr>
        <w:t>%</w:t>
      </w:r>
      <w:r>
        <w:rPr>
          <w:lang w:val="en-AU"/>
        </w:rPr>
        <w:t xml:space="preserve"> and </w:t>
      </w:r>
      <w:r w:rsidRPr="00E27FA2">
        <w:rPr>
          <w:lang w:val="en-AU"/>
        </w:rPr>
        <w:t>14.98</w:t>
      </w:r>
      <w:r w:rsidRPr="00DE5F0D">
        <w:rPr>
          <w:lang w:val="en-AU"/>
        </w:rPr>
        <w:t>% respectively</w:t>
      </w:r>
      <w:r>
        <w:rPr>
          <w:rFonts w:ascii="Calibri" w:hAnsi="Calibri"/>
          <w:sz w:val="20"/>
          <w:lang w:eastAsia="en-AU"/>
        </w:rPr>
        <w:t>.</w:t>
      </w:r>
      <w:r>
        <w:rPr>
          <w:lang w:val="en-AU"/>
        </w:rPr>
        <w:t xml:space="preserve"> At the site level, maximum</w:t>
      </w:r>
      <w:r w:rsidRPr="00697109">
        <w:rPr>
          <w:lang w:val="en-AU"/>
        </w:rPr>
        <w:t xml:space="preserve"> changes</w:t>
      </w:r>
      <w:r>
        <w:rPr>
          <w:lang w:val="en-AU"/>
        </w:rPr>
        <w:t xml:space="preserve"> were measured at the </w:t>
      </w:r>
      <w:r w:rsidRPr="002849DB">
        <w:rPr>
          <w:lang w:val="en-AU"/>
        </w:rPr>
        <w:t>Urangan</w:t>
      </w:r>
      <w:r>
        <w:rPr>
          <w:lang w:val="en-AU"/>
        </w:rPr>
        <w:t xml:space="preserve"> site (</w:t>
      </w:r>
      <w:r w:rsidR="00124249">
        <w:rPr>
          <w:lang w:val="en-AU"/>
        </w:rPr>
        <w:fldChar w:fldCharType="begin"/>
      </w:r>
      <w:r w:rsidR="00124249">
        <w:rPr>
          <w:lang w:val="en-AU"/>
        </w:rPr>
        <w:instrText xml:space="preserve"> REF _Ref459156009 \h </w:instrText>
      </w:r>
      <w:r w:rsidR="00124249">
        <w:rPr>
          <w:lang w:val="en-AU"/>
        </w:rPr>
      </w:r>
      <w:r w:rsidR="00124249">
        <w:rPr>
          <w:lang w:val="en-AU"/>
        </w:rPr>
        <w:fldChar w:fldCharType="separate"/>
      </w:r>
      <w:r w:rsidR="007F5336">
        <w:t xml:space="preserve">Table </w:t>
      </w:r>
      <w:r w:rsidR="007F5336">
        <w:rPr>
          <w:noProof/>
        </w:rPr>
        <w:t>8</w:t>
      </w:r>
      <w:r w:rsidR="007F5336">
        <w:noBreakHyphen/>
      </w:r>
      <w:r w:rsidR="007F5336">
        <w:rPr>
          <w:noProof/>
        </w:rPr>
        <w:t>3</w:t>
      </w:r>
      <w:r w:rsidR="00124249">
        <w:rPr>
          <w:lang w:val="en-AU"/>
        </w:rPr>
        <w:fldChar w:fldCharType="end"/>
      </w:r>
      <w:r>
        <w:rPr>
          <w:lang w:val="en-AU"/>
        </w:rPr>
        <w:t xml:space="preserve">: </w:t>
      </w:r>
      <w:r w:rsidRPr="002849DB">
        <w:rPr>
          <w:lang w:val="en-AU"/>
        </w:rPr>
        <w:t>Δ</w:t>
      </w:r>
      <w:r w:rsidRPr="00DD7E6C">
        <w:rPr>
          <w:vertAlign w:val="subscript"/>
          <w:lang w:val="en-AU"/>
        </w:rPr>
        <w:t>UG</w:t>
      </w:r>
      <w:r>
        <w:rPr>
          <w:lang w:val="en-AU"/>
        </w:rPr>
        <w:t xml:space="preserve"> =</w:t>
      </w:r>
      <w:r w:rsidRPr="00DD7E6C">
        <w:rPr>
          <w:lang w:val="en-AU"/>
        </w:rPr>
        <w:t>-54.10</w:t>
      </w:r>
      <w:r>
        <w:rPr>
          <w:lang w:val="en-AU"/>
        </w:rPr>
        <w:t>%) and minimum changes at the Gladstone Harbour site (</w:t>
      </w:r>
      <w:r w:rsidRPr="002849DB">
        <w:rPr>
          <w:lang w:val="en-AU"/>
        </w:rPr>
        <w:t>Δ</w:t>
      </w:r>
      <w:r w:rsidRPr="00DD7E6C">
        <w:rPr>
          <w:vertAlign w:val="subscript"/>
          <w:lang w:val="en-AU"/>
        </w:rPr>
        <w:t>GH</w:t>
      </w:r>
      <w:r>
        <w:rPr>
          <w:lang w:val="en-AU"/>
        </w:rPr>
        <w:t xml:space="preserve"> = </w:t>
      </w:r>
      <w:r w:rsidRPr="00DD7E6C">
        <w:rPr>
          <w:lang w:val="en-AU"/>
        </w:rPr>
        <w:t>-1.40</w:t>
      </w:r>
      <w:r>
        <w:rPr>
          <w:lang w:val="en-AU"/>
        </w:rPr>
        <w:t xml:space="preserve">%).  </w:t>
      </w:r>
    </w:p>
    <w:p w14:paraId="5F22F375" w14:textId="68DA8DE8" w:rsidR="008C760D" w:rsidRPr="0046394E" w:rsidRDefault="008C760D" w:rsidP="008C760D">
      <w:pPr>
        <w:rPr>
          <w:rFonts w:cs="Arial"/>
          <w:szCs w:val="22"/>
          <w:lang w:val="en-AU"/>
        </w:rPr>
      </w:pPr>
      <w:r w:rsidRPr="0046394E">
        <w:rPr>
          <w:rFonts w:cs="Arial"/>
          <w:szCs w:val="22"/>
          <w:lang w:val="en-AU"/>
        </w:rPr>
        <w:t>The proportion of macroalgae in coral reef algal communities (MAp) was highly variable through time and between regions (</w:t>
      </w:r>
      <w:r w:rsidR="00124249">
        <w:rPr>
          <w:rFonts w:cs="Arial"/>
          <w:szCs w:val="22"/>
          <w:lang w:val="en-AU"/>
        </w:rPr>
        <w:fldChar w:fldCharType="begin"/>
      </w:r>
      <w:r w:rsidR="00124249">
        <w:rPr>
          <w:rFonts w:cs="Arial"/>
          <w:szCs w:val="22"/>
          <w:lang w:val="en-AU"/>
        </w:rPr>
        <w:instrText xml:space="preserve"> REF _Ref459156043 \h </w:instrText>
      </w:r>
      <w:r w:rsidR="00124249">
        <w:rPr>
          <w:rFonts w:cs="Arial"/>
          <w:szCs w:val="22"/>
          <w:lang w:val="en-AU"/>
        </w:rPr>
      </w:r>
      <w:r w:rsidR="00124249">
        <w:rPr>
          <w:rFonts w:cs="Arial"/>
          <w:szCs w:val="22"/>
          <w:lang w:val="en-AU"/>
        </w:rPr>
        <w:fldChar w:fldCharType="separate"/>
      </w:r>
      <w:r w:rsidR="007F5336" w:rsidRPr="004A5BF7">
        <w:rPr>
          <w:rStyle w:val="FigureChar"/>
          <w:rFonts w:ascii="Arial" w:hAnsi="Arial"/>
          <w:sz w:val="18"/>
          <w:lang w:val="en-US"/>
        </w:rPr>
        <w:t xml:space="preserve">Figure </w:t>
      </w:r>
      <w:r w:rsidR="007F5336">
        <w:rPr>
          <w:rStyle w:val="FigureChar"/>
          <w:rFonts w:ascii="Arial" w:hAnsi="Arial"/>
          <w:noProof/>
          <w:sz w:val="18"/>
          <w:lang w:val="en-US"/>
        </w:rPr>
        <w:t>8</w:t>
      </w:r>
      <w:r w:rsidR="007F5336">
        <w:rPr>
          <w:rStyle w:val="FigureChar"/>
          <w:rFonts w:ascii="Arial" w:hAnsi="Arial"/>
          <w:sz w:val="18"/>
          <w:lang w:val="en-US"/>
        </w:rPr>
        <w:noBreakHyphen/>
      </w:r>
      <w:r w:rsidR="007F5336">
        <w:rPr>
          <w:rStyle w:val="FigureChar"/>
          <w:rFonts w:ascii="Arial" w:hAnsi="Arial"/>
          <w:noProof/>
          <w:sz w:val="18"/>
          <w:lang w:val="en-US"/>
        </w:rPr>
        <w:t>2</w:t>
      </w:r>
      <w:r w:rsidR="00124249">
        <w:rPr>
          <w:rFonts w:cs="Arial"/>
          <w:szCs w:val="22"/>
          <w:lang w:val="en-AU"/>
        </w:rPr>
        <w:fldChar w:fldCharType="end"/>
      </w:r>
      <w:r w:rsidRPr="0046394E">
        <w:rPr>
          <w:rFonts w:cs="Arial"/>
          <w:szCs w:val="22"/>
          <w:lang w:val="en-AU"/>
        </w:rPr>
        <w:t>b: black arrows and</w:t>
      </w:r>
      <w:r w:rsidR="00124249">
        <w:rPr>
          <w:rFonts w:cs="Arial"/>
          <w:szCs w:val="22"/>
          <w:lang w:val="en-AU"/>
        </w:rPr>
        <w:t xml:space="preserve"> </w:t>
      </w:r>
      <w:r w:rsidR="00124249">
        <w:rPr>
          <w:rFonts w:cs="Arial"/>
          <w:szCs w:val="22"/>
          <w:lang w:val="en-AU"/>
        </w:rPr>
        <w:fldChar w:fldCharType="begin"/>
      </w:r>
      <w:r w:rsidR="00124249">
        <w:rPr>
          <w:rFonts w:cs="Arial"/>
          <w:szCs w:val="22"/>
          <w:lang w:val="en-AU"/>
        </w:rPr>
        <w:instrText xml:space="preserve"> REF _Ref459156058 \h  \* MERGEFORMAT </w:instrText>
      </w:r>
      <w:r w:rsidR="00124249">
        <w:rPr>
          <w:rFonts w:cs="Arial"/>
          <w:szCs w:val="22"/>
          <w:lang w:val="en-AU"/>
        </w:rPr>
      </w:r>
      <w:r w:rsidR="00124249">
        <w:rPr>
          <w:rFonts w:cs="Arial"/>
          <w:szCs w:val="22"/>
          <w:lang w:val="en-AU"/>
        </w:rPr>
        <w:fldChar w:fldCharType="separate"/>
      </w:r>
      <w:r w:rsidR="007F5336" w:rsidRPr="007F5336">
        <w:rPr>
          <w:rFonts w:cs="Arial"/>
          <w:szCs w:val="22"/>
          <w:lang w:val="en-AU"/>
        </w:rPr>
        <w:t>Table 8</w:t>
      </w:r>
      <w:r w:rsidR="007F5336" w:rsidRPr="007F5336">
        <w:rPr>
          <w:rFonts w:cs="Arial"/>
          <w:szCs w:val="22"/>
          <w:lang w:val="en-AU"/>
        </w:rPr>
        <w:noBreakHyphen/>
        <w:t>4</w:t>
      </w:r>
      <w:r w:rsidR="00124249">
        <w:rPr>
          <w:rFonts w:cs="Arial"/>
          <w:szCs w:val="22"/>
          <w:lang w:val="en-AU"/>
        </w:rPr>
        <w:fldChar w:fldCharType="end"/>
      </w:r>
      <w:r w:rsidRPr="0046394E">
        <w:rPr>
          <w:rFonts w:cs="Arial"/>
          <w:szCs w:val="22"/>
          <w:lang w:val="en-AU"/>
        </w:rPr>
        <w:t>) compared to that of seagrass meadows. The Fitzroy region showed a clear increasing trend of MAp across the years 2005 to 2014 (Δ</w:t>
      </w:r>
      <w:r w:rsidRPr="0046394E">
        <w:rPr>
          <w:rFonts w:cs="Arial"/>
          <w:szCs w:val="22"/>
          <w:vertAlign w:val="subscript"/>
          <w:lang w:val="en-AU"/>
        </w:rPr>
        <w:t xml:space="preserve">Fi </w:t>
      </w:r>
      <w:r w:rsidRPr="0046394E">
        <w:rPr>
          <w:rFonts w:cs="Arial"/>
          <w:szCs w:val="22"/>
        </w:rPr>
        <w:t xml:space="preserve">= </w:t>
      </w:r>
      <w:r w:rsidRPr="0046394E">
        <w:rPr>
          <w:rFonts w:cs="Arial"/>
          <w:szCs w:val="22"/>
          <w:lang w:val="en-AU"/>
        </w:rPr>
        <w:t>+ 32.7%) and the highest mean multi-annual proportion of the GBR regions (M</w:t>
      </w:r>
      <w:r w:rsidRPr="0046394E">
        <w:rPr>
          <w:rFonts w:cs="Arial"/>
          <w:szCs w:val="22"/>
          <w:vertAlign w:val="subscript"/>
          <w:lang w:val="en-AU"/>
        </w:rPr>
        <w:t xml:space="preserve">Fi </w:t>
      </w:r>
      <w:r w:rsidRPr="0046394E">
        <w:rPr>
          <w:rFonts w:cs="Arial"/>
          <w:szCs w:val="22"/>
          <w:lang w:val="en-AU"/>
        </w:rPr>
        <w:t>= 41.0%). Increasing trends were also observed at the Wet Tropic reefs (Δ</w:t>
      </w:r>
      <w:r w:rsidRPr="0046394E">
        <w:rPr>
          <w:rFonts w:cs="Arial"/>
          <w:szCs w:val="22"/>
          <w:vertAlign w:val="subscript"/>
          <w:lang w:eastAsia="en-AU"/>
        </w:rPr>
        <w:t xml:space="preserve">WT </w:t>
      </w:r>
      <w:r w:rsidRPr="0046394E">
        <w:rPr>
          <w:rFonts w:cs="Arial"/>
          <w:szCs w:val="22"/>
        </w:rPr>
        <w:t xml:space="preserve">= </w:t>
      </w:r>
      <w:r w:rsidRPr="0046394E">
        <w:rPr>
          <w:rFonts w:cs="Arial"/>
          <w:szCs w:val="22"/>
          <w:lang w:val="en-AU"/>
        </w:rPr>
        <w:t>+</w:t>
      </w:r>
      <w:r w:rsidRPr="0046394E">
        <w:rPr>
          <w:rFonts w:cs="Arial"/>
          <w:szCs w:val="22"/>
          <w:lang w:eastAsia="en-AU"/>
        </w:rPr>
        <w:t> </w:t>
      </w:r>
      <w:r w:rsidRPr="0046394E">
        <w:rPr>
          <w:rFonts w:cs="Arial"/>
          <w:szCs w:val="22"/>
          <w:lang w:val="en-AU"/>
        </w:rPr>
        <w:t>7.8%), while a decrease in the proportion of macroalgae was measured in the Burdekin region (Δ</w:t>
      </w:r>
      <w:r w:rsidRPr="0046394E">
        <w:rPr>
          <w:rFonts w:cs="Arial"/>
          <w:szCs w:val="22"/>
          <w:vertAlign w:val="subscript"/>
          <w:lang w:val="en-AU"/>
        </w:rPr>
        <w:t>B</w:t>
      </w:r>
      <w:r w:rsidRPr="0046394E">
        <w:rPr>
          <w:rFonts w:cs="Arial"/>
          <w:szCs w:val="22"/>
          <w:vertAlign w:val="subscript"/>
          <w:lang w:eastAsia="en-AU"/>
        </w:rPr>
        <w:t xml:space="preserve">u </w:t>
      </w:r>
      <w:r w:rsidRPr="0046394E">
        <w:rPr>
          <w:rFonts w:cs="Arial"/>
          <w:szCs w:val="22"/>
          <w:lang w:val="en-AU"/>
        </w:rPr>
        <w:t>=</w:t>
      </w:r>
      <w:r w:rsidRPr="0046394E">
        <w:rPr>
          <w:rFonts w:cs="Arial"/>
          <w:szCs w:val="22"/>
        </w:rPr>
        <w:t xml:space="preserve"> </w:t>
      </w:r>
      <w:r w:rsidR="003E25ED">
        <w:rPr>
          <w:rFonts w:cs="Arial"/>
          <w:szCs w:val="22"/>
          <w:lang w:val="en-AU"/>
        </w:rPr>
        <w:t>- 11.</w:t>
      </w:r>
      <w:r w:rsidRPr="0046394E">
        <w:rPr>
          <w:rFonts w:cs="Arial"/>
          <w:szCs w:val="22"/>
          <w:lang w:val="en-AU"/>
        </w:rPr>
        <w:t>1%).  No trend could be observed on the Mackay-Whitsunday reefs (Δ</w:t>
      </w:r>
      <w:r w:rsidRPr="0046394E">
        <w:rPr>
          <w:rFonts w:cs="Arial"/>
          <w:szCs w:val="22"/>
          <w:vertAlign w:val="subscript"/>
          <w:lang w:val="en-AU"/>
        </w:rPr>
        <w:t xml:space="preserve">MW </w:t>
      </w:r>
      <w:r w:rsidRPr="0046394E">
        <w:rPr>
          <w:rFonts w:cs="Arial"/>
          <w:szCs w:val="22"/>
          <w:lang w:eastAsia="en-AU"/>
        </w:rPr>
        <w:t xml:space="preserve">= </w:t>
      </w:r>
      <w:r w:rsidRPr="0046394E">
        <w:rPr>
          <w:rFonts w:cs="Arial"/>
          <w:szCs w:val="22"/>
          <w:lang w:val="en-AU"/>
        </w:rPr>
        <w:t xml:space="preserve">+ 2.5%), with macroalgae only common at the </w:t>
      </w:r>
      <w:r w:rsidR="00CC7CAB" w:rsidRPr="0046394E">
        <w:rPr>
          <w:rFonts w:cs="Arial"/>
          <w:szCs w:val="22"/>
          <w:lang w:val="en-AU"/>
        </w:rPr>
        <w:t xml:space="preserve">Pine Island </w:t>
      </w:r>
      <w:r w:rsidRPr="0046394E">
        <w:rPr>
          <w:rFonts w:cs="Arial"/>
          <w:szCs w:val="22"/>
          <w:lang w:val="en-AU"/>
        </w:rPr>
        <w:t xml:space="preserve">and </w:t>
      </w:r>
      <w:r w:rsidR="00CC7CAB" w:rsidRPr="0046394E">
        <w:rPr>
          <w:rFonts w:cs="Arial"/>
          <w:szCs w:val="22"/>
          <w:lang w:val="en-AU"/>
        </w:rPr>
        <w:t xml:space="preserve">Seaforth Island </w:t>
      </w:r>
      <w:r w:rsidRPr="0046394E">
        <w:rPr>
          <w:rFonts w:cs="Arial"/>
          <w:szCs w:val="22"/>
          <w:lang w:val="en-AU"/>
        </w:rPr>
        <w:t>sites where it has maintained a reasonably consistent representation in the algal communities (Δ</w:t>
      </w:r>
      <w:r w:rsidRPr="0046394E">
        <w:rPr>
          <w:rFonts w:cs="Arial"/>
          <w:szCs w:val="22"/>
          <w:vertAlign w:val="subscript"/>
          <w:lang w:val="en-AU"/>
        </w:rPr>
        <w:t>PI</w:t>
      </w:r>
      <w:r w:rsidRPr="0046394E">
        <w:rPr>
          <w:rFonts w:cs="Arial"/>
          <w:szCs w:val="22"/>
          <w:lang w:val="en-AU"/>
        </w:rPr>
        <w:t xml:space="preserve"> = </w:t>
      </w:r>
      <w:r w:rsidRPr="0046394E">
        <w:rPr>
          <w:rFonts w:cs="Arial"/>
          <w:szCs w:val="22"/>
          <w:lang w:eastAsia="en-AU"/>
        </w:rPr>
        <w:t>8.9</w:t>
      </w:r>
      <w:r w:rsidRPr="0046394E">
        <w:rPr>
          <w:rFonts w:cs="Arial"/>
          <w:szCs w:val="22"/>
          <w:lang w:val="en-AU"/>
        </w:rPr>
        <w:t>%, Δ</w:t>
      </w:r>
      <w:r w:rsidRPr="0046394E">
        <w:rPr>
          <w:rFonts w:cs="Arial"/>
          <w:szCs w:val="22"/>
          <w:vertAlign w:val="subscript"/>
          <w:lang w:val="en-AU"/>
        </w:rPr>
        <w:t>SI</w:t>
      </w:r>
      <w:r w:rsidRPr="0046394E">
        <w:rPr>
          <w:rFonts w:cs="Arial"/>
          <w:szCs w:val="22"/>
          <w:lang w:val="en-AU"/>
        </w:rPr>
        <w:t xml:space="preserve"> = 7.0 %, M</w:t>
      </w:r>
      <w:r w:rsidRPr="0046394E">
        <w:rPr>
          <w:rFonts w:cs="Arial"/>
          <w:szCs w:val="22"/>
          <w:vertAlign w:val="subscript"/>
          <w:lang w:val="en-AU"/>
        </w:rPr>
        <w:t>PI</w:t>
      </w:r>
      <w:r w:rsidRPr="0046394E">
        <w:rPr>
          <w:rFonts w:cs="Arial"/>
          <w:szCs w:val="22"/>
          <w:lang w:val="en-AU"/>
        </w:rPr>
        <w:t xml:space="preserve"> = 31.0% and M</w:t>
      </w:r>
      <w:r w:rsidRPr="0046394E">
        <w:rPr>
          <w:rFonts w:cs="Arial"/>
          <w:szCs w:val="22"/>
          <w:vertAlign w:val="subscript"/>
          <w:lang w:val="en-AU"/>
        </w:rPr>
        <w:t>SI</w:t>
      </w:r>
      <w:r w:rsidRPr="0046394E">
        <w:rPr>
          <w:rFonts w:cs="Arial"/>
          <w:szCs w:val="22"/>
          <w:lang w:val="en-AU"/>
        </w:rPr>
        <w:t xml:space="preserve"> = 31.8%).</w:t>
      </w:r>
    </w:p>
    <w:p w14:paraId="5F22F378" w14:textId="152F9BE5" w:rsidR="008502F3" w:rsidRPr="0046394E" w:rsidRDefault="00124249" w:rsidP="004A5BF7">
      <w:pPr>
        <w:pStyle w:val="Caption"/>
        <w:keepNext/>
        <w:rPr>
          <w:rFonts w:cs="Arial"/>
          <w:szCs w:val="18"/>
          <w:lang w:val="en-AU"/>
        </w:rPr>
      </w:pPr>
      <w:bookmarkStart w:id="1489" w:name="_Ref459155770"/>
      <w:bookmarkStart w:id="1490" w:name="_Toc459332166"/>
      <w:r>
        <w:t xml:space="preserve">Table </w:t>
      </w:r>
      <w:r>
        <w:fldChar w:fldCharType="begin"/>
      </w:r>
      <w:r>
        <w:instrText xml:space="preserve"> STYLEREF 1 \s </w:instrText>
      </w:r>
      <w:r>
        <w:fldChar w:fldCharType="separate"/>
      </w:r>
      <w:r w:rsidR="007F5336">
        <w:rPr>
          <w:noProof/>
        </w:rPr>
        <w:t>8</w:t>
      </w:r>
      <w:r>
        <w:fldChar w:fldCharType="end"/>
      </w:r>
      <w:r>
        <w:noBreakHyphen/>
      </w:r>
      <w:r>
        <w:fldChar w:fldCharType="begin"/>
      </w:r>
      <w:r>
        <w:instrText xml:space="preserve"> SEQ Table \* ARABIC \s 1 </w:instrText>
      </w:r>
      <w:r>
        <w:fldChar w:fldCharType="separate"/>
      </w:r>
      <w:r w:rsidR="007F5336">
        <w:rPr>
          <w:noProof/>
        </w:rPr>
        <w:t>2</w:t>
      </w:r>
      <w:r>
        <w:fldChar w:fldCharType="end"/>
      </w:r>
      <w:bookmarkEnd w:id="1489"/>
      <w:r>
        <w:t xml:space="preserve">: </w:t>
      </w:r>
      <w:r>
        <w:rPr>
          <w:rFonts w:cs="Arial"/>
          <w:szCs w:val="18"/>
          <w:lang w:val="en-AU"/>
        </w:rPr>
        <w:t>C</w:t>
      </w:r>
      <w:r w:rsidR="008502F3" w:rsidRPr="0046394E">
        <w:rPr>
          <w:rFonts w:cs="Arial"/>
          <w:szCs w:val="18"/>
          <w:lang w:val="en-AU"/>
        </w:rPr>
        <w:t>ontaminant concentration in each plume water type (</w:t>
      </w:r>
      <w:r w:rsidR="008502F3" w:rsidRPr="0046394E">
        <w:rPr>
          <w:rFonts w:cs="Arial"/>
          <w:szCs w:val="18"/>
          <w:lang w:eastAsia="en-AU"/>
        </w:rPr>
        <w:t>TSSp</w:t>
      </w:r>
      <w:r w:rsidR="008502F3" w:rsidRPr="0046394E">
        <w:rPr>
          <w:rFonts w:cs="Arial"/>
          <w:szCs w:val="18"/>
          <w:vertAlign w:val="subscript"/>
          <w:lang w:eastAsia="en-AU"/>
        </w:rPr>
        <w:t>CCx</w:t>
      </w:r>
      <w:r w:rsidR="008502F3" w:rsidRPr="0046394E">
        <w:rPr>
          <w:rFonts w:cs="Arial"/>
          <w:szCs w:val="18"/>
          <w:lang w:eastAsia="en-AU"/>
        </w:rPr>
        <w:t>,</w:t>
      </w:r>
      <w:r w:rsidR="008502F3" w:rsidRPr="0046394E">
        <w:rPr>
          <w:rFonts w:cs="Arial"/>
          <w:szCs w:val="18"/>
          <w:lang w:val="en-AU"/>
        </w:rPr>
        <w:t xml:space="preserve"> </w:t>
      </w:r>
      <w:r w:rsidR="008502F3" w:rsidRPr="0046394E">
        <w:rPr>
          <w:rFonts w:cs="Arial"/>
          <w:szCs w:val="18"/>
          <w:lang w:eastAsia="en-AU"/>
        </w:rPr>
        <w:t>Chl-ap</w:t>
      </w:r>
      <w:r w:rsidR="008502F3" w:rsidRPr="0046394E">
        <w:rPr>
          <w:rFonts w:cs="Arial"/>
          <w:szCs w:val="18"/>
          <w:vertAlign w:val="subscript"/>
          <w:lang w:eastAsia="en-AU"/>
        </w:rPr>
        <w:t>CCx</w:t>
      </w:r>
      <w:r w:rsidR="008502F3" w:rsidRPr="0046394E">
        <w:rPr>
          <w:rFonts w:cs="Arial"/>
          <w:szCs w:val="18"/>
          <w:lang w:eastAsia="en-AU"/>
        </w:rPr>
        <w:t>, PSIIp</w:t>
      </w:r>
      <w:r w:rsidR="008502F3" w:rsidRPr="0046394E">
        <w:rPr>
          <w:rFonts w:cs="Arial"/>
          <w:szCs w:val="18"/>
          <w:vertAlign w:val="subscript"/>
          <w:lang w:eastAsia="en-AU"/>
        </w:rPr>
        <w:t>CCx</w:t>
      </w:r>
      <w:r w:rsidR="008502F3" w:rsidRPr="0046394E">
        <w:rPr>
          <w:rFonts w:cs="Arial"/>
          <w:szCs w:val="18"/>
          <w:lang w:val="en-AU"/>
        </w:rPr>
        <w:t>) is compared by ratio to published ecological threshold values for consequences and effects (</w:t>
      </w:r>
      <w:r w:rsidR="008502F3" w:rsidRPr="0046394E">
        <w:rPr>
          <w:rFonts w:cs="Arial"/>
          <w:szCs w:val="18"/>
          <w:lang w:eastAsia="en-AU"/>
        </w:rPr>
        <w:t>TSSt</w:t>
      </w:r>
      <w:r w:rsidR="008502F3" w:rsidRPr="0046394E">
        <w:rPr>
          <w:rFonts w:cs="Arial"/>
          <w:szCs w:val="18"/>
          <w:vertAlign w:val="subscript"/>
          <w:lang w:eastAsia="en-AU"/>
        </w:rPr>
        <w:t>CCx</w:t>
      </w:r>
      <w:r w:rsidR="008502F3" w:rsidRPr="0046394E">
        <w:rPr>
          <w:rFonts w:cs="Arial"/>
          <w:szCs w:val="18"/>
          <w:lang w:eastAsia="en-AU"/>
        </w:rPr>
        <w:t>,</w:t>
      </w:r>
      <w:r w:rsidR="008502F3" w:rsidRPr="0046394E">
        <w:rPr>
          <w:rFonts w:cs="Arial"/>
          <w:szCs w:val="18"/>
          <w:lang w:val="en-AU"/>
        </w:rPr>
        <w:t xml:space="preserve"> </w:t>
      </w:r>
      <w:r w:rsidR="008502F3" w:rsidRPr="0046394E">
        <w:rPr>
          <w:rFonts w:cs="Arial"/>
          <w:szCs w:val="18"/>
          <w:lang w:eastAsia="en-AU"/>
        </w:rPr>
        <w:t>Chl-at</w:t>
      </w:r>
      <w:r w:rsidR="008502F3" w:rsidRPr="0046394E">
        <w:rPr>
          <w:rFonts w:cs="Arial"/>
          <w:szCs w:val="18"/>
          <w:vertAlign w:val="subscript"/>
          <w:lang w:eastAsia="en-AU"/>
        </w:rPr>
        <w:t>CCx</w:t>
      </w:r>
      <w:r w:rsidR="008502F3" w:rsidRPr="0046394E">
        <w:rPr>
          <w:rFonts w:cs="Arial"/>
          <w:szCs w:val="18"/>
          <w:lang w:eastAsia="en-AU"/>
        </w:rPr>
        <w:t>, PSIIt</w:t>
      </w:r>
      <w:r w:rsidR="008502F3" w:rsidRPr="0046394E">
        <w:rPr>
          <w:rFonts w:cs="Arial"/>
          <w:szCs w:val="18"/>
          <w:vertAlign w:val="subscript"/>
          <w:lang w:eastAsia="en-AU"/>
        </w:rPr>
        <w:t>CCx</w:t>
      </w:r>
      <w:r w:rsidR="008502F3" w:rsidRPr="0046394E">
        <w:rPr>
          <w:rFonts w:cs="Arial"/>
          <w:szCs w:val="18"/>
          <w:lang w:val="en-AU"/>
        </w:rPr>
        <w:t>). Ratios are summed (</w:t>
      </w:r>
      <w:r w:rsidR="008502F3" w:rsidRPr="0046394E">
        <w:rPr>
          <w:rFonts w:cs="Arial"/>
          <w:szCs w:val="18"/>
          <w:lang w:eastAsia="en-AU"/>
        </w:rPr>
        <w:t>R</w:t>
      </w:r>
      <w:r w:rsidR="008502F3" w:rsidRPr="0046394E">
        <w:rPr>
          <w:rFonts w:cs="Arial"/>
          <w:szCs w:val="18"/>
          <w:vertAlign w:val="subscript"/>
          <w:lang w:eastAsia="en-AU"/>
        </w:rPr>
        <w:t>CCx</w:t>
      </w:r>
      <w:r w:rsidR="008502F3" w:rsidRPr="0046394E">
        <w:rPr>
          <w:rFonts w:cs="Arial"/>
          <w:szCs w:val="18"/>
          <w:lang w:eastAsia="en-AU"/>
        </w:rPr>
        <w:t xml:space="preserve">) </w:t>
      </w:r>
      <w:r w:rsidR="008502F3" w:rsidRPr="0046394E">
        <w:rPr>
          <w:rFonts w:cs="Arial"/>
          <w:szCs w:val="18"/>
          <w:lang w:val="en-AU"/>
        </w:rPr>
        <w:t>and normalised across plume water type in order to calculate a Magnitude Score for each plume water type (MS</w:t>
      </w:r>
      <w:r w:rsidR="008502F3" w:rsidRPr="0046394E">
        <w:rPr>
          <w:rFonts w:cs="Arial"/>
          <w:szCs w:val="18"/>
          <w:vertAlign w:val="subscript"/>
          <w:lang w:val="en-AU"/>
        </w:rPr>
        <w:t>CCx</w:t>
      </w:r>
      <w:r w:rsidR="008502F3" w:rsidRPr="0046394E">
        <w:rPr>
          <w:rFonts w:cs="Arial"/>
          <w:szCs w:val="18"/>
          <w:lang w:val="en-AU"/>
        </w:rPr>
        <w:t>).</w:t>
      </w:r>
      <w:r w:rsidR="00FC4B8B" w:rsidRPr="0046394E">
        <w:t xml:space="preserve"> </w:t>
      </w:r>
      <w:r w:rsidR="00FC4B8B" w:rsidRPr="0046394E">
        <w:rPr>
          <w:rFonts w:cs="Arial"/>
          <w:szCs w:val="18"/>
          <w:lang w:val="en-AU"/>
        </w:rPr>
        <w:t>A</w:t>
      </w:r>
      <w:r w:rsidR="00FC4B8B" w:rsidRPr="0046394E">
        <w:t xml:space="preserve"> </w:t>
      </w:r>
      <w:r w:rsidR="00FC4B8B" w:rsidRPr="0046394E">
        <w:rPr>
          <w:rFonts w:cs="Arial"/>
          <w:szCs w:val="18"/>
          <w:lang w:val="en-AU"/>
        </w:rPr>
        <w:t xml:space="preserve">linear model applied on the data to estimate the multi-annual mean PSII </w:t>
      </w:r>
      <w:r>
        <w:rPr>
          <w:rFonts w:cs="Arial"/>
          <w:szCs w:val="18"/>
          <w:lang w:val="en-AU"/>
        </w:rPr>
        <w:t xml:space="preserve">herbicide </w:t>
      </w:r>
      <w:r w:rsidR="00FC4B8B" w:rsidRPr="0046394E">
        <w:rPr>
          <w:rFonts w:cs="Arial"/>
          <w:szCs w:val="18"/>
          <w:lang w:val="en-AU"/>
        </w:rPr>
        <w:t>concentrations per plume water type and the Wet Tropics data are used as surrogate for the GBR.</w:t>
      </w:r>
      <w:bookmarkEnd w:id="1490"/>
    </w:p>
    <w:tbl>
      <w:tblPr>
        <w:tblStyle w:val="TableGrid1"/>
        <w:tblW w:w="5000" w:type="pct"/>
        <w:tblLook w:val="04A0" w:firstRow="1" w:lastRow="0" w:firstColumn="1" w:lastColumn="0" w:noHBand="0" w:noVBand="1"/>
        <w:tblCaption w:val="Table 8 2: Contaminant concentration in each plume water type (TSSpCCx, Chl-apCCx, PSIIpCCx) is compared by ratio to published ecological threshold values for consequences and effects (TSStCCx, Chl-atCCx, PSIItCCx). "/>
        <w:tblDescription w:val="Table showing contaminant concentration in each plume water type (TSSpCCx, Chl-apCCx, PSIIpCCx) is compared by ratio to published ecological threshold values for consequences and effects (TSStCCx, Chl-atCCx, PSIItCCx). Ratios are summed (RCCx) and normalised across plume water type in order to calculate a Magnitude Score for each plume water type (MSCCx). A linear model applied on the data to estimate the multi-annual mean PSII herbicide concentrations per plume water type and the Wet Tropics data are used as surrogate for the GBR."/>
      </w:tblPr>
      <w:tblGrid>
        <w:gridCol w:w="1716"/>
        <w:gridCol w:w="1534"/>
        <w:gridCol w:w="1767"/>
        <w:gridCol w:w="932"/>
        <w:gridCol w:w="1098"/>
        <w:gridCol w:w="1098"/>
        <w:gridCol w:w="1098"/>
      </w:tblGrid>
      <w:tr w:rsidR="00FC4B8B" w:rsidRPr="00124249" w14:paraId="5F22F37D" w14:textId="77777777" w:rsidTr="00933D8F">
        <w:trPr>
          <w:trHeight w:val="300"/>
          <w:tblHeader/>
        </w:trPr>
        <w:tc>
          <w:tcPr>
            <w:tcW w:w="928" w:type="pct"/>
            <w:vMerge w:val="restart"/>
            <w:shd w:val="clear" w:color="auto" w:fill="D9D9D9" w:themeFill="background1" w:themeFillShade="D9"/>
            <w:vAlign w:val="center"/>
            <w:hideMark/>
          </w:tcPr>
          <w:p w14:paraId="5F22F379" w14:textId="77777777" w:rsidR="00FC4B8B" w:rsidRPr="004A5BF7" w:rsidRDefault="00FC4B8B" w:rsidP="004A5BF7">
            <w:pPr>
              <w:spacing w:before="0" w:after="0"/>
              <w:jc w:val="left"/>
              <w:rPr>
                <w:rFonts w:cs="Arial"/>
                <w:b/>
                <w:bCs/>
                <w:color w:val="000000"/>
                <w:sz w:val="18"/>
                <w:szCs w:val="18"/>
                <w:lang w:val="en-AU" w:eastAsia="en-AU"/>
              </w:rPr>
            </w:pPr>
            <w:r w:rsidRPr="004A5BF7">
              <w:rPr>
                <w:rFonts w:cs="Arial"/>
                <w:b/>
                <w:bCs/>
                <w:color w:val="000000"/>
                <w:sz w:val="18"/>
                <w:szCs w:val="18"/>
                <w:lang w:val="en-AU" w:eastAsia="en-AU"/>
              </w:rPr>
              <w:t> </w:t>
            </w:r>
          </w:p>
        </w:tc>
        <w:tc>
          <w:tcPr>
            <w:tcW w:w="830" w:type="pct"/>
            <w:shd w:val="clear" w:color="auto" w:fill="D9D9D9" w:themeFill="background1" w:themeFillShade="D9"/>
            <w:noWrap/>
            <w:vAlign w:val="center"/>
            <w:hideMark/>
          </w:tcPr>
          <w:p w14:paraId="5F22F37A" w14:textId="77777777" w:rsidR="00FC4B8B" w:rsidRPr="004A5BF7" w:rsidRDefault="00FC4B8B" w:rsidP="00124249">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Tertiary</w:t>
            </w:r>
          </w:p>
        </w:tc>
        <w:tc>
          <w:tcPr>
            <w:tcW w:w="956" w:type="pct"/>
            <w:shd w:val="clear" w:color="auto" w:fill="D9D9D9" w:themeFill="background1" w:themeFillShade="D9"/>
            <w:noWrap/>
            <w:vAlign w:val="center"/>
            <w:hideMark/>
          </w:tcPr>
          <w:p w14:paraId="5F22F37B" w14:textId="77777777" w:rsidR="00FC4B8B" w:rsidRPr="004A5BF7" w:rsidRDefault="00FC4B8B" w:rsidP="00124249">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Secondary</w:t>
            </w:r>
          </w:p>
        </w:tc>
        <w:tc>
          <w:tcPr>
            <w:tcW w:w="2285" w:type="pct"/>
            <w:gridSpan w:val="4"/>
            <w:shd w:val="clear" w:color="auto" w:fill="D9D9D9" w:themeFill="background1" w:themeFillShade="D9"/>
            <w:noWrap/>
            <w:vAlign w:val="center"/>
            <w:hideMark/>
          </w:tcPr>
          <w:p w14:paraId="5F22F37C" w14:textId="77777777" w:rsidR="00FC4B8B" w:rsidRPr="004A5BF7" w:rsidRDefault="00FC4B8B" w:rsidP="00124249">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Primary</w:t>
            </w:r>
          </w:p>
        </w:tc>
      </w:tr>
      <w:tr w:rsidR="00FC4B8B" w:rsidRPr="00124249" w14:paraId="5F22F385" w14:textId="77777777" w:rsidTr="00933D8F">
        <w:trPr>
          <w:trHeight w:val="315"/>
          <w:tblHeader/>
        </w:trPr>
        <w:tc>
          <w:tcPr>
            <w:tcW w:w="928" w:type="pct"/>
            <w:vMerge/>
            <w:shd w:val="clear" w:color="auto" w:fill="D9D9D9" w:themeFill="background1" w:themeFillShade="D9"/>
            <w:vAlign w:val="center"/>
            <w:hideMark/>
          </w:tcPr>
          <w:p w14:paraId="5F22F37E" w14:textId="77777777" w:rsidR="00FC4B8B" w:rsidRPr="004A5BF7" w:rsidRDefault="00FC4B8B" w:rsidP="00124249">
            <w:pPr>
              <w:spacing w:before="0" w:after="0"/>
              <w:jc w:val="left"/>
              <w:rPr>
                <w:rFonts w:cs="Arial"/>
                <w:b/>
                <w:bCs/>
                <w:color w:val="000000"/>
                <w:sz w:val="18"/>
                <w:szCs w:val="18"/>
                <w:lang w:val="en-AU" w:eastAsia="en-AU"/>
              </w:rPr>
            </w:pPr>
          </w:p>
        </w:tc>
        <w:tc>
          <w:tcPr>
            <w:tcW w:w="830" w:type="pct"/>
            <w:shd w:val="clear" w:color="auto" w:fill="D9D9D9" w:themeFill="background1" w:themeFillShade="D9"/>
            <w:noWrap/>
            <w:vAlign w:val="center"/>
            <w:hideMark/>
          </w:tcPr>
          <w:p w14:paraId="5F22F37F" w14:textId="77777777" w:rsidR="00FC4B8B" w:rsidRPr="004A5BF7" w:rsidRDefault="00FC4B8B" w:rsidP="00124249">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CC6</w:t>
            </w:r>
          </w:p>
        </w:tc>
        <w:tc>
          <w:tcPr>
            <w:tcW w:w="956" w:type="pct"/>
            <w:shd w:val="clear" w:color="auto" w:fill="D9D9D9" w:themeFill="background1" w:themeFillShade="D9"/>
            <w:noWrap/>
            <w:vAlign w:val="center"/>
            <w:hideMark/>
          </w:tcPr>
          <w:p w14:paraId="5F22F380" w14:textId="77777777" w:rsidR="00FC4B8B" w:rsidRPr="004A5BF7" w:rsidRDefault="00FC4B8B" w:rsidP="00124249">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CC5</w:t>
            </w:r>
          </w:p>
        </w:tc>
        <w:tc>
          <w:tcPr>
            <w:tcW w:w="504" w:type="pct"/>
            <w:shd w:val="clear" w:color="auto" w:fill="D9D9D9" w:themeFill="background1" w:themeFillShade="D9"/>
            <w:noWrap/>
            <w:vAlign w:val="center"/>
            <w:hideMark/>
          </w:tcPr>
          <w:p w14:paraId="5F22F381" w14:textId="77777777" w:rsidR="00FC4B8B" w:rsidRPr="004A5BF7" w:rsidRDefault="00FC4B8B" w:rsidP="00124249">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CC4</w:t>
            </w:r>
          </w:p>
        </w:tc>
        <w:tc>
          <w:tcPr>
            <w:tcW w:w="594" w:type="pct"/>
            <w:shd w:val="clear" w:color="auto" w:fill="D9D9D9" w:themeFill="background1" w:themeFillShade="D9"/>
            <w:noWrap/>
            <w:vAlign w:val="center"/>
            <w:hideMark/>
          </w:tcPr>
          <w:p w14:paraId="5F22F382" w14:textId="77777777" w:rsidR="00FC4B8B" w:rsidRPr="004A5BF7" w:rsidRDefault="00FC4B8B" w:rsidP="00124249">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CC3</w:t>
            </w:r>
          </w:p>
        </w:tc>
        <w:tc>
          <w:tcPr>
            <w:tcW w:w="594" w:type="pct"/>
            <w:shd w:val="clear" w:color="auto" w:fill="D9D9D9" w:themeFill="background1" w:themeFillShade="D9"/>
            <w:noWrap/>
            <w:vAlign w:val="center"/>
            <w:hideMark/>
          </w:tcPr>
          <w:p w14:paraId="5F22F383" w14:textId="77777777" w:rsidR="00FC4B8B" w:rsidRPr="004A5BF7" w:rsidRDefault="00FC4B8B" w:rsidP="00124249">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CC2</w:t>
            </w:r>
          </w:p>
        </w:tc>
        <w:tc>
          <w:tcPr>
            <w:tcW w:w="594" w:type="pct"/>
            <w:shd w:val="clear" w:color="auto" w:fill="D9D9D9" w:themeFill="background1" w:themeFillShade="D9"/>
            <w:noWrap/>
            <w:vAlign w:val="center"/>
            <w:hideMark/>
          </w:tcPr>
          <w:p w14:paraId="5F22F384" w14:textId="77777777" w:rsidR="00FC4B8B" w:rsidRPr="004A5BF7" w:rsidRDefault="00FC4B8B" w:rsidP="00124249">
            <w:pPr>
              <w:spacing w:before="0" w:after="0"/>
              <w:jc w:val="center"/>
              <w:rPr>
                <w:rFonts w:cs="Arial"/>
                <w:b/>
                <w:bCs/>
                <w:color w:val="000000"/>
                <w:sz w:val="18"/>
                <w:szCs w:val="18"/>
                <w:lang w:val="en-AU" w:eastAsia="en-AU"/>
              </w:rPr>
            </w:pPr>
            <w:r w:rsidRPr="004A5BF7">
              <w:rPr>
                <w:rFonts w:cs="Arial"/>
                <w:b/>
                <w:bCs/>
                <w:color w:val="000000"/>
                <w:sz w:val="18"/>
                <w:szCs w:val="18"/>
                <w:lang w:val="en-AU" w:eastAsia="en-AU"/>
              </w:rPr>
              <w:t>CC1</w:t>
            </w:r>
          </w:p>
        </w:tc>
      </w:tr>
      <w:tr w:rsidR="00FC4B8B" w:rsidRPr="00124249" w14:paraId="5F22F38D" w14:textId="77777777" w:rsidTr="004A5BF7">
        <w:trPr>
          <w:trHeight w:val="315"/>
        </w:trPr>
        <w:tc>
          <w:tcPr>
            <w:tcW w:w="928" w:type="pct"/>
            <w:noWrap/>
            <w:vAlign w:val="center"/>
            <w:hideMark/>
          </w:tcPr>
          <w:p w14:paraId="5F22F386" w14:textId="77777777" w:rsidR="00FC4B8B" w:rsidRPr="004A5BF7" w:rsidRDefault="00FC4B8B" w:rsidP="004A5BF7">
            <w:pPr>
              <w:spacing w:before="0" w:after="0"/>
              <w:jc w:val="left"/>
              <w:rPr>
                <w:rFonts w:cs="Arial"/>
                <w:color w:val="000000"/>
                <w:sz w:val="18"/>
                <w:szCs w:val="18"/>
                <w:lang w:val="en-AU" w:eastAsia="en-AU"/>
              </w:rPr>
            </w:pPr>
            <w:r w:rsidRPr="004A5BF7">
              <w:rPr>
                <w:rFonts w:cs="Arial"/>
                <w:color w:val="000000"/>
                <w:sz w:val="18"/>
                <w:szCs w:val="18"/>
                <w:lang w:val="en-AU" w:eastAsia="en-AU"/>
              </w:rPr>
              <w:t>TSS (mg L</w:t>
            </w:r>
            <w:r w:rsidRPr="004A5BF7">
              <w:rPr>
                <w:rFonts w:cs="Arial"/>
                <w:color w:val="000000"/>
                <w:sz w:val="18"/>
                <w:szCs w:val="18"/>
                <w:vertAlign w:val="superscript"/>
                <w:lang w:val="en-AU" w:eastAsia="en-AU"/>
              </w:rPr>
              <w:t>-1</w:t>
            </w:r>
            <w:r w:rsidRPr="004A5BF7">
              <w:rPr>
                <w:rFonts w:cs="Arial"/>
                <w:color w:val="000000"/>
                <w:sz w:val="18"/>
                <w:szCs w:val="18"/>
                <w:lang w:val="en-AU" w:eastAsia="en-AU"/>
              </w:rPr>
              <w:t>)</w:t>
            </w:r>
          </w:p>
        </w:tc>
        <w:tc>
          <w:tcPr>
            <w:tcW w:w="830" w:type="pct"/>
            <w:noWrap/>
            <w:vAlign w:val="center"/>
            <w:hideMark/>
          </w:tcPr>
          <w:p w14:paraId="5F22F387"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5.66</w:t>
            </w:r>
          </w:p>
        </w:tc>
        <w:tc>
          <w:tcPr>
            <w:tcW w:w="956" w:type="pct"/>
            <w:noWrap/>
            <w:vAlign w:val="center"/>
            <w:hideMark/>
          </w:tcPr>
          <w:p w14:paraId="5F22F388"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6.10</w:t>
            </w:r>
          </w:p>
        </w:tc>
        <w:tc>
          <w:tcPr>
            <w:tcW w:w="504" w:type="pct"/>
            <w:noWrap/>
            <w:vAlign w:val="center"/>
            <w:hideMark/>
          </w:tcPr>
          <w:p w14:paraId="5F22F389"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7.33</w:t>
            </w:r>
          </w:p>
        </w:tc>
        <w:tc>
          <w:tcPr>
            <w:tcW w:w="594" w:type="pct"/>
            <w:noWrap/>
            <w:vAlign w:val="center"/>
            <w:hideMark/>
          </w:tcPr>
          <w:p w14:paraId="5F22F38A"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10.62</w:t>
            </w:r>
          </w:p>
        </w:tc>
        <w:tc>
          <w:tcPr>
            <w:tcW w:w="594" w:type="pct"/>
            <w:noWrap/>
            <w:vAlign w:val="center"/>
            <w:hideMark/>
          </w:tcPr>
          <w:p w14:paraId="5F22F38B"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10.52</w:t>
            </w:r>
          </w:p>
        </w:tc>
        <w:tc>
          <w:tcPr>
            <w:tcW w:w="594" w:type="pct"/>
            <w:noWrap/>
            <w:vAlign w:val="center"/>
            <w:hideMark/>
          </w:tcPr>
          <w:p w14:paraId="5F22F38C"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33.97</w:t>
            </w:r>
          </w:p>
        </w:tc>
      </w:tr>
      <w:tr w:rsidR="00FC4B8B" w:rsidRPr="00124249" w14:paraId="5F22F395" w14:textId="77777777" w:rsidTr="004A5BF7">
        <w:trPr>
          <w:trHeight w:val="300"/>
        </w:trPr>
        <w:tc>
          <w:tcPr>
            <w:tcW w:w="928" w:type="pct"/>
            <w:noWrap/>
            <w:vAlign w:val="center"/>
            <w:hideMark/>
          </w:tcPr>
          <w:p w14:paraId="5F22F38E" w14:textId="77777777" w:rsidR="00FC4B8B" w:rsidRPr="004A5BF7" w:rsidRDefault="00FC4B8B" w:rsidP="004A5BF7">
            <w:pPr>
              <w:spacing w:before="0" w:after="0"/>
              <w:jc w:val="left"/>
              <w:rPr>
                <w:rFonts w:cs="Arial"/>
                <w:color w:val="000000"/>
                <w:sz w:val="18"/>
                <w:szCs w:val="18"/>
                <w:lang w:val="en-AU" w:eastAsia="en-AU"/>
              </w:rPr>
            </w:pPr>
            <w:r w:rsidRPr="004A5BF7">
              <w:rPr>
                <w:rFonts w:cs="Arial"/>
                <w:color w:val="000000"/>
                <w:sz w:val="18"/>
                <w:szCs w:val="18"/>
                <w:lang w:val="en-AU" w:eastAsia="en-AU"/>
              </w:rPr>
              <w:t>Chl-a (µg L</w:t>
            </w:r>
            <w:r w:rsidRPr="004A5BF7">
              <w:rPr>
                <w:rFonts w:cs="Arial"/>
                <w:color w:val="000000"/>
                <w:sz w:val="18"/>
                <w:szCs w:val="18"/>
                <w:vertAlign w:val="superscript"/>
                <w:lang w:val="en-AU" w:eastAsia="en-AU"/>
              </w:rPr>
              <w:t>-1</w:t>
            </w:r>
            <w:r w:rsidRPr="004A5BF7">
              <w:rPr>
                <w:rFonts w:cs="Arial"/>
                <w:color w:val="000000"/>
                <w:sz w:val="18"/>
                <w:szCs w:val="18"/>
                <w:lang w:val="en-AU" w:eastAsia="en-AU"/>
              </w:rPr>
              <w:t>)</w:t>
            </w:r>
          </w:p>
        </w:tc>
        <w:tc>
          <w:tcPr>
            <w:tcW w:w="830" w:type="pct"/>
            <w:noWrap/>
            <w:vAlign w:val="center"/>
            <w:hideMark/>
          </w:tcPr>
          <w:p w14:paraId="5F22F38F"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0.42</w:t>
            </w:r>
          </w:p>
        </w:tc>
        <w:tc>
          <w:tcPr>
            <w:tcW w:w="956" w:type="pct"/>
            <w:noWrap/>
            <w:vAlign w:val="center"/>
            <w:hideMark/>
          </w:tcPr>
          <w:p w14:paraId="5F22F390"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0.86</w:t>
            </w:r>
          </w:p>
        </w:tc>
        <w:tc>
          <w:tcPr>
            <w:tcW w:w="504" w:type="pct"/>
            <w:noWrap/>
            <w:vAlign w:val="center"/>
            <w:hideMark/>
          </w:tcPr>
          <w:p w14:paraId="5F22F391"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1.44</w:t>
            </w:r>
          </w:p>
        </w:tc>
        <w:tc>
          <w:tcPr>
            <w:tcW w:w="594" w:type="pct"/>
            <w:noWrap/>
            <w:vAlign w:val="center"/>
            <w:hideMark/>
          </w:tcPr>
          <w:p w14:paraId="5F22F392"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1.95</w:t>
            </w:r>
          </w:p>
        </w:tc>
        <w:tc>
          <w:tcPr>
            <w:tcW w:w="594" w:type="pct"/>
            <w:noWrap/>
            <w:vAlign w:val="center"/>
            <w:hideMark/>
          </w:tcPr>
          <w:p w14:paraId="5F22F393"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2.14</w:t>
            </w:r>
          </w:p>
        </w:tc>
        <w:tc>
          <w:tcPr>
            <w:tcW w:w="594" w:type="pct"/>
            <w:noWrap/>
            <w:vAlign w:val="center"/>
            <w:hideMark/>
          </w:tcPr>
          <w:p w14:paraId="5F22F394"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2.41</w:t>
            </w:r>
          </w:p>
        </w:tc>
      </w:tr>
      <w:tr w:rsidR="00FC4B8B" w:rsidRPr="00124249" w14:paraId="5F22F39D" w14:textId="77777777" w:rsidTr="004A5BF7">
        <w:trPr>
          <w:trHeight w:val="300"/>
        </w:trPr>
        <w:tc>
          <w:tcPr>
            <w:tcW w:w="928" w:type="pct"/>
            <w:noWrap/>
            <w:vAlign w:val="center"/>
            <w:hideMark/>
          </w:tcPr>
          <w:p w14:paraId="5F22F396" w14:textId="77777777" w:rsidR="00FC4B8B" w:rsidRPr="004A5BF7" w:rsidRDefault="00FC4B8B" w:rsidP="004A5BF7">
            <w:pPr>
              <w:spacing w:before="0" w:after="0"/>
              <w:jc w:val="left"/>
              <w:rPr>
                <w:rFonts w:cs="Arial"/>
                <w:color w:val="000000"/>
                <w:sz w:val="18"/>
                <w:szCs w:val="18"/>
                <w:lang w:val="en-AU" w:eastAsia="en-AU"/>
              </w:rPr>
            </w:pPr>
            <w:r w:rsidRPr="004A5BF7">
              <w:rPr>
                <w:rFonts w:cs="Arial"/>
                <w:color w:val="000000"/>
                <w:sz w:val="18"/>
                <w:szCs w:val="18"/>
                <w:lang w:val="en-AU" w:eastAsia="en-AU"/>
              </w:rPr>
              <w:t>PSII (µg L</w:t>
            </w:r>
            <w:r w:rsidRPr="004A5BF7">
              <w:rPr>
                <w:rFonts w:cs="Arial"/>
                <w:color w:val="000000"/>
                <w:sz w:val="18"/>
                <w:szCs w:val="18"/>
                <w:vertAlign w:val="superscript"/>
                <w:lang w:val="en-AU" w:eastAsia="en-AU"/>
              </w:rPr>
              <w:t>-1</w:t>
            </w:r>
            <w:r w:rsidRPr="004A5BF7">
              <w:rPr>
                <w:rFonts w:cs="Arial"/>
                <w:color w:val="000000"/>
                <w:sz w:val="18"/>
                <w:szCs w:val="18"/>
                <w:lang w:val="en-AU" w:eastAsia="en-AU"/>
              </w:rPr>
              <w:t>)</w:t>
            </w:r>
          </w:p>
        </w:tc>
        <w:tc>
          <w:tcPr>
            <w:tcW w:w="830" w:type="pct"/>
            <w:noWrap/>
            <w:vAlign w:val="center"/>
            <w:hideMark/>
          </w:tcPr>
          <w:p w14:paraId="5F22F397"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0.01</w:t>
            </w:r>
          </w:p>
        </w:tc>
        <w:tc>
          <w:tcPr>
            <w:tcW w:w="956" w:type="pct"/>
            <w:noWrap/>
            <w:vAlign w:val="center"/>
            <w:hideMark/>
          </w:tcPr>
          <w:p w14:paraId="5F22F398"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0.01</w:t>
            </w:r>
          </w:p>
        </w:tc>
        <w:tc>
          <w:tcPr>
            <w:tcW w:w="504" w:type="pct"/>
            <w:noWrap/>
            <w:vAlign w:val="center"/>
            <w:hideMark/>
          </w:tcPr>
          <w:p w14:paraId="5F22F399"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0.02</w:t>
            </w:r>
          </w:p>
        </w:tc>
        <w:tc>
          <w:tcPr>
            <w:tcW w:w="594" w:type="pct"/>
            <w:noWrap/>
            <w:vAlign w:val="center"/>
            <w:hideMark/>
          </w:tcPr>
          <w:p w14:paraId="5F22F39A"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0.03</w:t>
            </w:r>
          </w:p>
        </w:tc>
        <w:tc>
          <w:tcPr>
            <w:tcW w:w="594" w:type="pct"/>
            <w:noWrap/>
            <w:vAlign w:val="center"/>
            <w:hideMark/>
          </w:tcPr>
          <w:p w14:paraId="5F22F39B"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0.03</w:t>
            </w:r>
          </w:p>
        </w:tc>
        <w:tc>
          <w:tcPr>
            <w:tcW w:w="594" w:type="pct"/>
            <w:noWrap/>
            <w:vAlign w:val="center"/>
            <w:hideMark/>
          </w:tcPr>
          <w:p w14:paraId="5F22F39C"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0.04</w:t>
            </w:r>
          </w:p>
        </w:tc>
      </w:tr>
      <w:tr w:rsidR="00FC4B8B" w:rsidRPr="00124249" w14:paraId="5F22F3A0" w14:textId="77777777" w:rsidTr="004A5BF7">
        <w:trPr>
          <w:trHeight w:val="300"/>
        </w:trPr>
        <w:tc>
          <w:tcPr>
            <w:tcW w:w="928" w:type="pct"/>
            <w:shd w:val="clear" w:color="auto" w:fill="auto"/>
            <w:noWrap/>
            <w:vAlign w:val="center"/>
            <w:hideMark/>
          </w:tcPr>
          <w:p w14:paraId="5F22F39E" w14:textId="77777777" w:rsidR="00FC4B8B" w:rsidRPr="004A5BF7" w:rsidRDefault="00FC4B8B" w:rsidP="004A5BF7">
            <w:pPr>
              <w:spacing w:before="0" w:after="0"/>
              <w:jc w:val="left"/>
              <w:rPr>
                <w:rFonts w:cs="Arial"/>
                <w:color w:val="000000"/>
                <w:sz w:val="18"/>
                <w:szCs w:val="18"/>
                <w:lang w:val="en-AU" w:eastAsia="en-AU"/>
              </w:rPr>
            </w:pPr>
            <w:r w:rsidRPr="004A5BF7">
              <w:rPr>
                <w:rFonts w:cs="Arial"/>
                <w:color w:val="000000"/>
                <w:sz w:val="18"/>
                <w:szCs w:val="18"/>
                <w:lang w:val="en-AU" w:eastAsia="en-AU"/>
              </w:rPr>
              <w:t>ET</w:t>
            </w:r>
            <w:r w:rsidRPr="004A5BF7">
              <w:rPr>
                <w:rFonts w:cs="Arial"/>
                <w:color w:val="000000"/>
                <w:sz w:val="18"/>
                <w:szCs w:val="18"/>
                <w:vertAlign w:val="subscript"/>
                <w:lang w:val="en-AU" w:eastAsia="en-AU"/>
              </w:rPr>
              <w:t xml:space="preserve">TSS </w:t>
            </w:r>
          </w:p>
        </w:tc>
        <w:tc>
          <w:tcPr>
            <w:tcW w:w="4072" w:type="pct"/>
            <w:gridSpan w:val="6"/>
            <w:shd w:val="clear" w:color="auto" w:fill="auto"/>
            <w:noWrap/>
            <w:vAlign w:val="center"/>
            <w:hideMark/>
          </w:tcPr>
          <w:p w14:paraId="5F22F39F"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7</w:t>
            </w:r>
          </w:p>
        </w:tc>
      </w:tr>
      <w:tr w:rsidR="00FC4B8B" w:rsidRPr="00124249" w14:paraId="5F22F3A3" w14:textId="77777777" w:rsidTr="004A5BF7">
        <w:trPr>
          <w:trHeight w:val="300"/>
        </w:trPr>
        <w:tc>
          <w:tcPr>
            <w:tcW w:w="928" w:type="pct"/>
            <w:shd w:val="clear" w:color="auto" w:fill="auto"/>
            <w:noWrap/>
            <w:vAlign w:val="center"/>
            <w:hideMark/>
          </w:tcPr>
          <w:p w14:paraId="5F22F3A1" w14:textId="77777777" w:rsidR="00FC4B8B" w:rsidRPr="004A5BF7" w:rsidRDefault="00FC4B8B" w:rsidP="004A5BF7">
            <w:pPr>
              <w:spacing w:before="0" w:after="0"/>
              <w:jc w:val="left"/>
              <w:rPr>
                <w:rFonts w:cs="Arial"/>
                <w:color w:val="000000"/>
                <w:sz w:val="18"/>
                <w:szCs w:val="18"/>
                <w:lang w:val="en-AU" w:eastAsia="en-AU"/>
              </w:rPr>
            </w:pPr>
            <w:r w:rsidRPr="004A5BF7">
              <w:rPr>
                <w:rFonts w:cs="Arial"/>
                <w:color w:val="000000"/>
                <w:sz w:val="18"/>
                <w:szCs w:val="18"/>
                <w:lang w:val="en-AU" w:eastAsia="en-AU"/>
              </w:rPr>
              <w:t>ET</w:t>
            </w:r>
            <w:r w:rsidRPr="004A5BF7">
              <w:rPr>
                <w:rFonts w:cs="Arial"/>
                <w:color w:val="000000"/>
                <w:sz w:val="18"/>
                <w:szCs w:val="18"/>
                <w:vertAlign w:val="subscript"/>
                <w:lang w:val="en-AU" w:eastAsia="en-AU"/>
              </w:rPr>
              <w:t xml:space="preserve">Chl-a </w:t>
            </w:r>
          </w:p>
        </w:tc>
        <w:tc>
          <w:tcPr>
            <w:tcW w:w="4072" w:type="pct"/>
            <w:gridSpan w:val="6"/>
            <w:shd w:val="clear" w:color="auto" w:fill="auto"/>
            <w:noWrap/>
            <w:vAlign w:val="center"/>
            <w:hideMark/>
          </w:tcPr>
          <w:p w14:paraId="5F22F3A2" w14:textId="33DC7242" w:rsidR="00FC4B8B" w:rsidRPr="004A5BF7" w:rsidRDefault="00583B5A"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0.63</w:t>
            </w:r>
          </w:p>
        </w:tc>
      </w:tr>
      <w:tr w:rsidR="00FC4B8B" w:rsidRPr="00124249" w14:paraId="5F22F3A6" w14:textId="77777777" w:rsidTr="004A5BF7">
        <w:trPr>
          <w:trHeight w:val="345"/>
        </w:trPr>
        <w:tc>
          <w:tcPr>
            <w:tcW w:w="928" w:type="pct"/>
            <w:shd w:val="clear" w:color="auto" w:fill="auto"/>
            <w:noWrap/>
            <w:vAlign w:val="center"/>
            <w:hideMark/>
          </w:tcPr>
          <w:p w14:paraId="5F22F3A4" w14:textId="77777777" w:rsidR="00FC4B8B" w:rsidRPr="004A5BF7" w:rsidRDefault="00FC4B8B" w:rsidP="004A5BF7">
            <w:pPr>
              <w:spacing w:before="0" w:after="0"/>
              <w:jc w:val="left"/>
              <w:rPr>
                <w:rFonts w:cs="Arial"/>
                <w:color w:val="000000"/>
                <w:sz w:val="18"/>
                <w:szCs w:val="18"/>
                <w:lang w:val="en-AU" w:eastAsia="en-AU"/>
              </w:rPr>
            </w:pPr>
            <w:r w:rsidRPr="004A5BF7">
              <w:rPr>
                <w:rFonts w:cs="Arial"/>
                <w:color w:val="000000"/>
                <w:sz w:val="18"/>
                <w:szCs w:val="18"/>
                <w:lang w:val="en-AU" w:eastAsia="en-AU"/>
              </w:rPr>
              <w:t>ET</w:t>
            </w:r>
            <w:r w:rsidRPr="004A5BF7">
              <w:rPr>
                <w:rFonts w:cs="Arial"/>
                <w:color w:val="000000"/>
                <w:sz w:val="18"/>
                <w:szCs w:val="18"/>
                <w:vertAlign w:val="subscript"/>
                <w:lang w:val="en-AU" w:eastAsia="en-AU"/>
              </w:rPr>
              <w:t xml:space="preserve">PSII </w:t>
            </w:r>
          </w:p>
        </w:tc>
        <w:tc>
          <w:tcPr>
            <w:tcW w:w="4072" w:type="pct"/>
            <w:gridSpan w:val="6"/>
            <w:shd w:val="clear" w:color="auto" w:fill="auto"/>
            <w:noWrap/>
            <w:vAlign w:val="center"/>
            <w:hideMark/>
          </w:tcPr>
          <w:p w14:paraId="5F22F3A5"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0.1</w:t>
            </w:r>
          </w:p>
        </w:tc>
      </w:tr>
      <w:tr w:rsidR="00FC4B8B" w:rsidRPr="00124249" w14:paraId="5F22F3AE" w14:textId="77777777" w:rsidTr="004A5BF7">
        <w:trPr>
          <w:trHeight w:val="300"/>
        </w:trPr>
        <w:tc>
          <w:tcPr>
            <w:tcW w:w="928" w:type="pct"/>
            <w:shd w:val="clear" w:color="auto" w:fill="auto"/>
            <w:noWrap/>
            <w:vAlign w:val="center"/>
            <w:hideMark/>
          </w:tcPr>
          <w:p w14:paraId="5F22F3A7" w14:textId="77777777" w:rsidR="00FC4B8B" w:rsidRPr="004A5BF7" w:rsidRDefault="00FC4B8B" w:rsidP="004A5BF7">
            <w:pPr>
              <w:spacing w:before="0" w:after="0"/>
              <w:jc w:val="left"/>
              <w:rPr>
                <w:rFonts w:cs="Arial"/>
                <w:color w:val="000000"/>
                <w:sz w:val="18"/>
                <w:szCs w:val="18"/>
                <w:lang w:val="en-AU" w:eastAsia="en-AU"/>
              </w:rPr>
            </w:pPr>
            <w:r w:rsidRPr="004A5BF7">
              <w:rPr>
                <w:rFonts w:cs="Arial"/>
                <w:color w:val="000000"/>
                <w:sz w:val="18"/>
                <w:szCs w:val="18"/>
                <w:lang w:val="en-AU" w:eastAsia="en-AU"/>
              </w:rPr>
              <w:t>R</w:t>
            </w:r>
            <w:r w:rsidRPr="004A5BF7">
              <w:rPr>
                <w:rFonts w:cs="Arial"/>
                <w:color w:val="000000"/>
                <w:sz w:val="18"/>
                <w:szCs w:val="18"/>
                <w:vertAlign w:val="subscript"/>
                <w:lang w:val="en-AU" w:eastAsia="en-AU"/>
              </w:rPr>
              <w:t>TSS</w:t>
            </w:r>
          </w:p>
        </w:tc>
        <w:tc>
          <w:tcPr>
            <w:tcW w:w="830" w:type="pct"/>
            <w:shd w:val="clear" w:color="auto" w:fill="auto"/>
            <w:noWrap/>
            <w:vAlign w:val="center"/>
            <w:hideMark/>
          </w:tcPr>
          <w:p w14:paraId="5F22F3A8"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0.8</w:t>
            </w:r>
          </w:p>
        </w:tc>
        <w:tc>
          <w:tcPr>
            <w:tcW w:w="956" w:type="pct"/>
            <w:shd w:val="clear" w:color="auto" w:fill="auto"/>
            <w:noWrap/>
            <w:vAlign w:val="center"/>
            <w:hideMark/>
          </w:tcPr>
          <w:p w14:paraId="5F22F3A9"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0.9</w:t>
            </w:r>
          </w:p>
        </w:tc>
        <w:tc>
          <w:tcPr>
            <w:tcW w:w="504" w:type="pct"/>
            <w:shd w:val="clear" w:color="auto" w:fill="auto"/>
            <w:noWrap/>
            <w:vAlign w:val="center"/>
            <w:hideMark/>
          </w:tcPr>
          <w:p w14:paraId="5F22F3AA"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1.0</w:t>
            </w:r>
          </w:p>
        </w:tc>
        <w:tc>
          <w:tcPr>
            <w:tcW w:w="594" w:type="pct"/>
            <w:shd w:val="clear" w:color="auto" w:fill="auto"/>
            <w:noWrap/>
            <w:vAlign w:val="center"/>
            <w:hideMark/>
          </w:tcPr>
          <w:p w14:paraId="5F22F3AB"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1.52</w:t>
            </w:r>
          </w:p>
        </w:tc>
        <w:tc>
          <w:tcPr>
            <w:tcW w:w="594" w:type="pct"/>
            <w:shd w:val="clear" w:color="auto" w:fill="auto"/>
            <w:noWrap/>
            <w:vAlign w:val="center"/>
            <w:hideMark/>
          </w:tcPr>
          <w:p w14:paraId="5F22F3AC"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1.50</w:t>
            </w:r>
          </w:p>
        </w:tc>
        <w:tc>
          <w:tcPr>
            <w:tcW w:w="594" w:type="pct"/>
            <w:shd w:val="clear" w:color="auto" w:fill="auto"/>
            <w:noWrap/>
            <w:vAlign w:val="center"/>
            <w:hideMark/>
          </w:tcPr>
          <w:p w14:paraId="5F22F3AD"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4.85</w:t>
            </w:r>
          </w:p>
        </w:tc>
      </w:tr>
      <w:tr w:rsidR="00FC4B8B" w:rsidRPr="00124249" w14:paraId="5F22F3B6" w14:textId="77777777" w:rsidTr="004A5BF7">
        <w:trPr>
          <w:trHeight w:val="300"/>
        </w:trPr>
        <w:tc>
          <w:tcPr>
            <w:tcW w:w="928" w:type="pct"/>
            <w:shd w:val="clear" w:color="auto" w:fill="auto"/>
            <w:noWrap/>
            <w:vAlign w:val="center"/>
            <w:hideMark/>
          </w:tcPr>
          <w:p w14:paraId="5F22F3AF" w14:textId="77777777" w:rsidR="00FC4B8B" w:rsidRPr="004A5BF7" w:rsidRDefault="00FC4B8B" w:rsidP="004A5BF7">
            <w:pPr>
              <w:spacing w:before="0" w:after="0"/>
              <w:jc w:val="left"/>
              <w:rPr>
                <w:rFonts w:cs="Arial"/>
                <w:color w:val="000000"/>
                <w:sz w:val="18"/>
                <w:szCs w:val="18"/>
                <w:lang w:val="en-AU" w:eastAsia="en-AU"/>
              </w:rPr>
            </w:pPr>
            <w:r w:rsidRPr="004A5BF7">
              <w:rPr>
                <w:rFonts w:cs="Arial"/>
                <w:color w:val="000000"/>
                <w:sz w:val="18"/>
                <w:szCs w:val="18"/>
                <w:lang w:val="en-AU" w:eastAsia="en-AU"/>
              </w:rPr>
              <w:t>R</w:t>
            </w:r>
            <w:r w:rsidRPr="004A5BF7">
              <w:rPr>
                <w:rFonts w:cs="Arial"/>
                <w:color w:val="000000"/>
                <w:sz w:val="18"/>
                <w:szCs w:val="18"/>
                <w:vertAlign w:val="subscript"/>
                <w:lang w:val="en-AU" w:eastAsia="en-AU"/>
              </w:rPr>
              <w:t>Chla</w:t>
            </w:r>
          </w:p>
        </w:tc>
        <w:tc>
          <w:tcPr>
            <w:tcW w:w="830" w:type="pct"/>
            <w:shd w:val="clear" w:color="auto" w:fill="auto"/>
            <w:noWrap/>
            <w:vAlign w:val="center"/>
            <w:hideMark/>
          </w:tcPr>
          <w:p w14:paraId="5F22F3B0"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0.9</w:t>
            </w:r>
          </w:p>
        </w:tc>
        <w:tc>
          <w:tcPr>
            <w:tcW w:w="956" w:type="pct"/>
            <w:shd w:val="clear" w:color="auto" w:fill="auto"/>
            <w:noWrap/>
            <w:vAlign w:val="center"/>
            <w:hideMark/>
          </w:tcPr>
          <w:p w14:paraId="5F22F3B1"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1.9</w:t>
            </w:r>
          </w:p>
        </w:tc>
        <w:tc>
          <w:tcPr>
            <w:tcW w:w="504" w:type="pct"/>
            <w:shd w:val="clear" w:color="auto" w:fill="auto"/>
            <w:noWrap/>
            <w:vAlign w:val="center"/>
            <w:hideMark/>
          </w:tcPr>
          <w:p w14:paraId="5F22F3B2"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3.2</w:t>
            </w:r>
          </w:p>
        </w:tc>
        <w:tc>
          <w:tcPr>
            <w:tcW w:w="594" w:type="pct"/>
            <w:shd w:val="clear" w:color="auto" w:fill="auto"/>
            <w:noWrap/>
            <w:vAlign w:val="center"/>
            <w:hideMark/>
          </w:tcPr>
          <w:p w14:paraId="5F22F3B3"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4.33</w:t>
            </w:r>
          </w:p>
        </w:tc>
        <w:tc>
          <w:tcPr>
            <w:tcW w:w="594" w:type="pct"/>
            <w:shd w:val="clear" w:color="auto" w:fill="auto"/>
            <w:noWrap/>
            <w:vAlign w:val="center"/>
            <w:hideMark/>
          </w:tcPr>
          <w:p w14:paraId="5F22F3B4"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4.76</w:t>
            </w:r>
          </w:p>
        </w:tc>
        <w:tc>
          <w:tcPr>
            <w:tcW w:w="594" w:type="pct"/>
            <w:shd w:val="clear" w:color="auto" w:fill="auto"/>
            <w:noWrap/>
            <w:vAlign w:val="center"/>
            <w:hideMark/>
          </w:tcPr>
          <w:p w14:paraId="5F22F3B5"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5.36</w:t>
            </w:r>
          </w:p>
        </w:tc>
      </w:tr>
      <w:tr w:rsidR="00FC4B8B" w:rsidRPr="00124249" w14:paraId="5F22F3BE" w14:textId="77777777" w:rsidTr="004A5BF7">
        <w:trPr>
          <w:trHeight w:val="375"/>
        </w:trPr>
        <w:tc>
          <w:tcPr>
            <w:tcW w:w="928" w:type="pct"/>
            <w:shd w:val="clear" w:color="auto" w:fill="auto"/>
            <w:noWrap/>
            <w:vAlign w:val="center"/>
            <w:hideMark/>
          </w:tcPr>
          <w:p w14:paraId="5F22F3B7" w14:textId="77777777" w:rsidR="00FC4B8B" w:rsidRPr="004A5BF7" w:rsidRDefault="00FC4B8B" w:rsidP="004A5BF7">
            <w:pPr>
              <w:spacing w:before="0" w:after="0"/>
              <w:jc w:val="left"/>
              <w:rPr>
                <w:rFonts w:cs="Arial"/>
                <w:color w:val="000000"/>
                <w:sz w:val="18"/>
                <w:szCs w:val="18"/>
                <w:lang w:val="en-AU" w:eastAsia="en-AU"/>
              </w:rPr>
            </w:pPr>
            <w:r w:rsidRPr="004A5BF7">
              <w:rPr>
                <w:rFonts w:cs="Arial"/>
                <w:color w:val="000000"/>
                <w:sz w:val="18"/>
                <w:szCs w:val="18"/>
                <w:lang w:val="en-AU" w:eastAsia="en-AU"/>
              </w:rPr>
              <w:t>R</w:t>
            </w:r>
            <w:r w:rsidRPr="004A5BF7">
              <w:rPr>
                <w:rFonts w:cs="Arial"/>
                <w:color w:val="000000"/>
                <w:sz w:val="18"/>
                <w:szCs w:val="18"/>
                <w:vertAlign w:val="subscript"/>
                <w:lang w:val="en-AU" w:eastAsia="en-AU"/>
              </w:rPr>
              <w:t>PSII</w:t>
            </w:r>
          </w:p>
        </w:tc>
        <w:tc>
          <w:tcPr>
            <w:tcW w:w="830" w:type="pct"/>
            <w:shd w:val="clear" w:color="auto" w:fill="auto"/>
            <w:noWrap/>
            <w:vAlign w:val="center"/>
            <w:hideMark/>
          </w:tcPr>
          <w:p w14:paraId="5F22F3B8"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0.1</w:t>
            </w:r>
          </w:p>
        </w:tc>
        <w:tc>
          <w:tcPr>
            <w:tcW w:w="956" w:type="pct"/>
            <w:shd w:val="clear" w:color="auto" w:fill="auto"/>
            <w:noWrap/>
            <w:vAlign w:val="center"/>
            <w:hideMark/>
          </w:tcPr>
          <w:p w14:paraId="5F22F3B9"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0.1</w:t>
            </w:r>
          </w:p>
        </w:tc>
        <w:tc>
          <w:tcPr>
            <w:tcW w:w="504" w:type="pct"/>
            <w:shd w:val="clear" w:color="auto" w:fill="auto"/>
            <w:noWrap/>
            <w:vAlign w:val="center"/>
            <w:hideMark/>
          </w:tcPr>
          <w:p w14:paraId="5F22F3BA"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0.2</w:t>
            </w:r>
          </w:p>
        </w:tc>
        <w:tc>
          <w:tcPr>
            <w:tcW w:w="594" w:type="pct"/>
            <w:shd w:val="clear" w:color="auto" w:fill="auto"/>
            <w:noWrap/>
            <w:vAlign w:val="center"/>
            <w:hideMark/>
          </w:tcPr>
          <w:p w14:paraId="5F22F3BB"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0.3</w:t>
            </w:r>
          </w:p>
        </w:tc>
        <w:tc>
          <w:tcPr>
            <w:tcW w:w="594" w:type="pct"/>
            <w:shd w:val="clear" w:color="auto" w:fill="auto"/>
            <w:noWrap/>
            <w:vAlign w:val="center"/>
            <w:hideMark/>
          </w:tcPr>
          <w:p w14:paraId="5F22F3BC"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0.3</w:t>
            </w:r>
          </w:p>
        </w:tc>
        <w:tc>
          <w:tcPr>
            <w:tcW w:w="594" w:type="pct"/>
            <w:shd w:val="clear" w:color="auto" w:fill="auto"/>
            <w:noWrap/>
            <w:vAlign w:val="center"/>
            <w:hideMark/>
          </w:tcPr>
          <w:p w14:paraId="5F22F3BD"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0.4</w:t>
            </w:r>
          </w:p>
        </w:tc>
      </w:tr>
      <w:tr w:rsidR="00FC4B8B" w:rsidRPr="00124249" w14:paraId="5F22F3C6" w14:textId="77777777" w:rsidTr="004A5BF7">
        <w:trPr>
          <w:trHeight w:val="375"/>
        </w:trPr>
        <w:tc>
          <w:tcPr>
            <w:tcW w:w="928" w:type="pct"/>
            <w:shd w:val="clear" w:color="auto" w:fill="auto"/>
            <w:vAlign w:val="center"/>
            <w:hideMark/>
          </w:tcPr>
          <w:p w14:paraId="5F22F3BF" w14:textId="77777777" w:rsidR="00FC4B8B" w:rsidRPr="004A5BF7" w:rsidRDefault="00FC4B8B" w:rsidP="004A5BF7">
            <w:pPr>
              <w:spacing w:before="0" w:after="0"/>
              <w:jc w:val="left"/>
              <w:rPr>
                <w:rFonts w:cs="Arial"/>
                <w:color w:val="000000"/>
                <w:sz w:val="18"/>
                <w:szCs w:val="18"/>
                <w:lang w:val="en-AU" w:eastAsia="en-AU"/>
              </w:rPr>
            </w:pPr>
            <w:r w:rsidRPr="004A5BF7">
              <w:rPr>
                <w:rFonts w:cs="Arial"/>
                <w:color w:val="000000"/>
                <w:sz w:val="18"/>
                <w:szCs w:val="18"/>
                <w:lang w:val="en-AU" w:eastAsia="en-AU"/>
              </w:rPr>
              <w:t>ΣR</w:t>
            </w:r>
          </w:p>
        </w:tc>
        <w:tc>
          <w:tcPr>
            <w:tcW w:w="830" w:type="pct"/>
            <w:shd w:val="clear" w:color="auto" w:fill="auto"/>
            <w:noWrap/>
            <w:vAlign w:val="center"/>
            <w:hideMark/>
          </w:tcPr>
          <w:p w14:paraId="5F22F3C0"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1.8</w:t>
            </w:r>
          </w:p>
        </w:tc>
        <w:tc>
          <w:tcPr>
            <w:tcW w:w="956" w:type="pct"/>
            <w:shd w:val="clear" w:color="auto" w:fill="auto"/>
            <w:noWrap/>
            <w:vAlign w:val="center"/>
            <w:hideMark/>
          </w:tcPr>
          <w:p w14:paraId="5F22F3C1"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2.9</w:t>
            </w:r>
          </w:p>
        </w:tc>
        <w:tc>
          <w:tcPr>
            <w:tcW w:w="504" w:type="pct"/>
            <w:shd w:val="clear" w:color="auto" w:fill="auto"/>
            <w:noWrap/>
            <w:vAlign w:val="center"/>
            <w:hideMark/>
          </w:tcPr>
          <w:p w14:paraId="5F22F3C2"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4.4</w:t>
            </w:r>
          </w:p>
        </w:tc>
        <w:tc>
          <w:tcPr>
            <w:tcW w:w="594" w:type="pct"/>
            <w:shd w:val="clear" w:color="auto" w:fill="auto"/>
            <w:noWrap/>
            <w:vAlign w:val="center"/>
            <w:hideMark/>
          </w:tcPr>
          <w:p w14:paraId="5F22F3C3"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6.2</w:t>
            </w:r>
          </w:p>
        </w:tc>
        <w:tc>
          <w:tcPr>
            <w:tcW w:w="594" w:type="pct"/>
            <w:shd w:val="clear" w:color="auto" w:fill="auto"/>
            <w:noWrap/>
            <w:vAlign w:val="center"/>
            <w:hideMark/>
          </w:tcPr>
          <w:p w14:paraId="5F22F3C4"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6.6</w:t>
            </w:r>
          </w:p>
        </w:tc>
        <w:tc>
          <w:tcPr>
            <w:tcW w:w="594" w:type="pct"/>
            <w:shd w:val="clear" w:color="auto" w:fill="auto"/>
            <w:noWrap/>
            <w:vAlign w:val="center"/>
            <w:hideMark/>
          </w:tcPr>
          <w:p w14:paraId="5F22F3C5"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10.6</w:t>
            </w:r>
          </w:p>
        </w:tc>
      </w:tr>
      <w:tr w:rsidR="00FC4B8B" w:rsidRPr="00124249" w14:paraId="5F22F3CE" w14:textId="77777777" w:rsidTr="004A5BF7">
        <w:trPr>
          <w:trHeight w:val="390"/>
        </w:trPr>
        <w:tc>
          <w:tcPr>
            <w:tcW w:w="928" w:type="pct"/>
            <w:shd w:val="clear" w:color="auto" w:fill="auto"/>
            <w:vAlign w:val="center"/>
            <w:hideMark/>
          </w:tcPr>
          <w:p w14:paraId="5F22F3C7" w14:textId="77777777" w:rsidR="00FC4B8B" w:rsidRPr="004A5BF7" w:rsidRDefault="00FC4B8B" w:rsidP="004A5BF7">
            <w:pPr>
              <w:spacing w:before="0" w:after="0"/>
              <w:jc w:val="left"/>
              <w:rPr>
                <w:rFonts w:cs="Arial"/>
                <w:color w:val="000000"/>
                <w:sz w:val="18"/>
                <w:szCs w:val="18"/>
                <w:lang w:val="en-AU" w:eastAsia="en-AU"/>
              </w:rPr>
            </w:pPr>
            <w:r w:rsidRPr="004A5BF7">
              <w:rPr>
                <w:rFonts w:cs="Arial"/>
                <w:color w:val="000000"/>
                <w:sz w:val="18"/>
                <w:szCs w:val="18"/>
                <w:lang w:val="en-AU" w:eastAsia="en-AU"/>
              </w:rPr>
              <w:t>MS</w:t>
            </w:r>
          </w:p>
        </w:tc>
        <w:tc>
          <w:tcPr>
            <w:tcW w:w="830" w:type="pct"/>
            <w:shd w:val="clear" w:color="auto" w:fill="auto"/>
            <w:noWrap/>
            <w:vAlign w:val="center"/>
            <w:hideMark/>
          </w:tcPr>
          <w:p w14:paraId="5F22F3C8"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0</w:t>
            </w:r>
          </w:p>
        </w:tc>
        <w:tc>
          <w:tcPr>
            <w:tcW w:w="956" w:type="pct"/>
            <w:shd w:val="clear" w:color="auto" w:fill="auto"/>
            <w:noWrap/>
            <w:vAlign w:val="center"/>
            <w:hideMark/>
          </w:tcPr>
          <w:p w14:paraId="5F22F3C9"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1</w:t>
            </w:r>
          </w:p>
        </w:tc>
        <w:tc>
          <w:tcPr>
            <w:tcW w:w="504" w:type="pct"/>
            <w:shd w:val="clear" w:color="auto" w:fill="auto"/>
            <w:noWrap/>
            <w:vAlign w:val="center"/>
            <w:hideMark/>
          </w:tcPr>
          <w:p w14:paraId="5F22F3CA"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3</w:t>
            </w:r>
          </w:p>
        </w:tc>
        <w:tc>
          <w:tcPr>
            <w:tcW w:w="594" w:type="pct"/>
            <w:shd w:val="clear" w:color="auto" w:fill="auto"/>
            <w:noWrap/>
            <w:vAlign w:val="center"/>
            <w:hideMark/>
          </w:tcPr>
          <w:p w14:paraId="5F22F3CB"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5</w:t>
            </w:r>
          </w:p>
        </w:tc>
        <w:tc>
          <w:tcPr>
            <w:tcW w:w="594" w:type="pct"/>
            <w:shd w:val="clear" w:color="auto" w:fill="auto"/>
            <w:noWrap/>
            <w:vAlign w:val="center"/>
            <w:hideMark/>
          </w:tcPr>
          <w:p w14:paraId="5F22F3CC"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5</w:t>
            </w:r>
          </w:p>
        </w:tc>
        <w:tc>
          <w:tcPr>
            <w:tcW w:w="594" w:type="pct"/>
            <w:shd w:val="clear" w:color="auto" w:fill="auto"/>
            <w:noWrap/>
            <w:vAlign w:val="center"/>
            <w:hideMark/>
          </w:tcPr>
          <w:p w14:paraId="5F22F3CD" w14:textId="77777777" w:rsidR="00FC4B8B" w:rsidRPr="004A5BF7" w:rsidRDefault="00FC4B8B" w:rsidP="00124249">
            <w:pPr>
              <w:spacing w:before="0" w:after="0"/>
              <w:jc w:val="center"/>
              <w:rPr>
                <w:rFonts w:cs="Arial"/>
                <w:color w:val="000000"/>
                <w:sz w:val="18"/>
                <w:szCs w:val="18"/>
                <w:lang w:val="en-AU" w:eastAsia="en-AU"/>
              </w:rPr>
            </w:pPr>
            <w:r w:rsidRPr="004A5BF7">
              <w:rPr>
                <w:rFonts w:cs="Arial"/>
                <w:color w:val="000000"/>
                <w:sz w:val="18"/>
                <w:szCs w:val="18"/>
                <w:lang w:val="en-AU" w:eastAsia="en-AU"/>
              </w:rPr>
              <w:t>10</w:t>
            </w:r>
          </w:p>
        </w:tc>
      </w:tr>
    </w:tbl>
    <w:p w14:paraId="5F22F3CF" w14:textId="77777777" w:rsidR="00FC4B8B" w:rsidRPr="008502F3" w:rsidRDefault="00FC4B8B" w:rsidP="008502F3">
      <w:pPr>
        <w:rPr>
          <w:b/>
          <w:i/>
          <w:lang w:val="en-AU"/>
        </w:rPr>
      </w:pPr>
    </w:p>
    <w:p w14:paraId="5F22F3D0" w14:textId="77777777" w:rsidR="007E0542" w:rsidRDefault="007E0542" w:rsidP="007E0542">
      <w:pPr>
        <w:jc w:val="center"/>
        <w:rPr>
          <w:lang w:val="en-AU"/>
        </w:rPr>
      </w:pPr>
      <w:r>
        <w:rPr>
          <w:noProof/>
          <w:lang w:val="en-AU" w:eastAsia="en-AU"/>
        </w:rPr>
        <w:drawing>
          <wp:inline distT="0" distB="0" distL="0" distR="0" wp14:anchorId="5F232409" wp14:editId="1979A3BD">
            <wp:extent cx="4572000" cy="7716255"/>
            <wp:effectExtent l="0" t="0" r="0" b="0"/>
            <wp:docPr id="26" name="Picture 8" descr="Panel of plots showing a) Seagrass abundance (% cover) and b) proportion of macroalgae in the algal communities at each reef collected though out the MMP. GH: Gladstone Harbor, SB: Shoalwater Bay, MP: Middle point and PKI: Peak Island. Black line with white circles represents the averaged values per NRM regions and light grey lines values of each monitored sites. Interpolated data are symbolised with dashed grey lines. Multi-annual trends are indicated with a black arrow." title="Figure 8 2:  a) Seagrass abundance (% cover) and b) proportion of macroalgae in the algal communities at each reef collected though out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6" cstate="print">
                      <a:extLst>
                        <a:ext uri="{28A0092B-C50C-407E-A947-70E740481C1C}">
                          <a14:useLocalDpi xmlns:a14="http://schemas.microsoft.com/office/drawing/2010/main" val="0"/>
                        </a:ext>
                      </a:extLst>
                    </a:blip>
                    <a:srcRect/>
                    <a:stretch>
                      <a:fillRect/>
                    </a:stretch>
                  </pic:blipFill>
                  <pic:spPr bwMode="auto">
                    <a:xfrm>
                      <a:off x="0" y="0"/>
                      <a:ext cx="4572000" cy="7716255"/>
                    </a:xfrm>
                    <a:prstGeom prst="rect">
                      <a:avLst/>
                    </a:prstGeom>
                    <a:noFill/>
                    <a:ln>
                      <a:noFill/>
                    </a:ln>
                  </pic:spPr>
                </pic:pic>
              </a:graphicData>
            </a:graphic>
          </wp:inline>
        </w:drawing>
      </w:r>
    </w:p>
    <w:p w14:paraId="5F22F3D1" w14:textId="77777777" w:rsidR="007E0542" w:rsidRPr="00574B0D" w:rsidRDefault="007E0542" w:rsidP="007E0542">
      <w:pPr>
        <w:jc w:val="center"/>
        <w:rPr>
          <w:rFonts w:cs="Arial"/>
          <w:b/>
          <w:sz w:val="18"/>
          <w:szCs w:val="18"/>
          <w:lang w:val="en-AU"/>
        </w:rPr>
      </w:pPr>
    </w:p>
    <w:p w14:paraId="5F22F3D2" w14:textId="7BC59FF0" w:rsidR="007E0542" w:rsidRPr="004A5BF7" w:rsidRDefault="00124249" w:rsidP="004A5BF7">
      <w:pPr>
        <w:pStyle w:val="Caption"/>
      </w:pPr>
      <w:bookmarkStart w:id="1491" w:name="_Ref459156043"/>
      <w:bookmarkStart w:id="1492" w:name="_Toc459332414"/>
      <w:r w:rsidRPr="004A5BF7">
        <w:rPr>
          <w:rStyle w:val="FigureChar"/>
          <w:rFonts w:ascii="Arial" w:hAnsi="Arial"/>
          <w:sz w:val="18"/>
          <w:lang w:val="en-US"/>
        </w:rPr>
        <w:t xml:space="preserve">Figure </w:t>
      </w:r>
      <w:r w:rsidR="00C62884">
        <w:rPr>
          <w:rStyle w:val="FigureChar"/>
          <w:rFonts w:ascii="Arial" w:hAnsi="Arial"/>
          <w:sz w:val="18"/>
          <w:lang w:val="en-US"/>
        </w:rPr>
        <w:fldChar w:fldCharType="begin"/>
      </w:r>
      <w:r w:rsidR="00C62884">
        <w:rPr>
          <w:rStyle w:val="FigureChar"/>
          <w:rFonts w:ascii="Arial" w:hAnsi="Arial"/>
          <w:sz w:val="18"/>
          <w:lang w:val="en-US"/>
        </w:rPr>
        <w:instrText xml:space="preserve"> STYLEREF 1 \s </w:instrText>
      </w:r>
      <w:r w:rsidR="00C62884">
        <w:rPr>
          <w:rStyle w:val="FigureChar"/>
          <w:rFonts w:ascii="Arial" w:hAnsi="Arial"/>
          <w:sz w:val="18"/>
          <w:lang w:val="en-US"/>
        </w:rPr>
        <w:fldChar w:fldCharType="separate"/>
      </w:r>
      <w:r w:rsidR="007F5336">
        <w:rPr>
          <w:rStyle w:val="FigureChar"/>
          <w:rFonts w:ascii="Arial" w:hAnsi="Arial"/>
          <w:noProof/>
          <w:sz w:val="18"/>
          <w:lang w:val="en-US"/>
        </w:rPr>
        <w:t>8</w:t>
      </w:r>
      <w:r w:rsidR="00C62884">
        <w:rPr>
          <w:rStyle w:val="FigureChar"/>
          <w:rFonts w:ascii="Arial" w:hAnsi="Arial"/>
          <w:sz w:val="18"/>
          <w:lang w:val="en-US"/>
        </w:rPr>
        <w:fldChar w:fldCharType="end"/>
      </w:r>
      <w:r w:rsidR="00C62884">
        <w:rPr>
          <w:rStyle w:val="FigureChar"/>
          <w:rFonts w:ascii="Arial" w:hAnsi="Arial"/>
          <w:sz w:val="18"/>
          <w:lang w:val="en-US"/>
        </w:rPr>
        <w:noBreakHyphen/>
      </w:r>
      <w:r w:rsidR="00C62884">
        <w:rPr>
          <w:rStyle w:val="FigureChar"/>
          <w:rFonts w:ascii="Arial" w:hAnsi="Arial"/>
          <w:sz w:val="18"/>
          <w:lang w:val="en-US"/>
        </w:rPr>
        <w:fldChar w:fldCharType="begin"/>
      </w:r>
      <w:r w:rsidR="00C62884">
        <w:rPr>
          <w:rStyle w:val="FigureChar"/>
          <w:rFonts w:ascii="Arial" w:hAnsi="Arial"/>
          <w:sz w:val="18"/>
          <w:lang w:val="en-US"/>
        </w:rPr>
        <w:instrText xml:space="preserve"> SEQ Figure \* ARABIC \s 1 </w:instrText>
      </w:r>
      <w:r w:rsidR="00C62884">
        <w:rPr>
          <w:rStyle w:val="FigureChar"/>
          <w:rFonts w:ascii="Arial" w:hAnsi="Arial"/>
          <w:sz w:val="18"/>
          <w:lang w:val="en-US"/>
        </w:rPr>
        <w:fldChar w:fldCharType="separate"/>
      </w:r>
      <w:r w:rsidR="007F5336">
        <w:rPr>
          <w:rStyle w:val="FigureChar"/>
          <w:rFonts w:ascii="Arial" w:hAnsi="Arial"/>
          <w:noProof/>
          <w:sz w:val="18"/>
          <w:lang w:val="en-US"/>
        </w:rPr>
        <w:t>2</w:t>
      </w:r>
      <w:r w:rsidR="00C62884">
        <w:rPr>
          <w:rStyle w:val="FigureChar"/>
          <w:rFonts w:ascii="Arial" w:hAnsi="Arial"/>
          <w:sz w:val="18"/>
          <w:lang w:val="en-US"/>
        </w:rPr>
        <w:fldChar w:fldCharType="end"/>
      </w:r>
      <w:bookmarkEnd w:id="1491"/>
      <w:r w:rsidRPr="004A5BF7">
        <w:rPr>
          <w:rStyle w:val="FigureChar"/>
          <w:rFonts w:ascii="Arial" w:hAnsi="Arial"/>
          <w:sz w:val="18"/>
          <w:lang w:val="en-US"/>
        </w:rPr>
        <w:t xml:space="preserve">:  </w:t>
      </w:r>
      <w:r w:rsidR="007E0542" w:rsidRPr="004A5BF7">
        <w:rPr>
          <w:rStyle w:val="FigureChar"/>
          <w:rFonts w:ascii="Arial" w:hAnsi="Arial"/>
          <w:sz w:val="18"/>
          <w:lang w:val="en-US"/>
        </w:rPr>
        <w:t>a) Seagrass abundance (% cover) and b) proportion of macroalgae in the algal communities at</w:t>
      </w:r>
      <w:r w:rsidR="007E0542" w:rsidRPr="004A5BF7">
        <w:t xml:space="preserve"> each reef collected though out the MMP. GH: Gladstone Harbor, SB: Shoalwater Bay, MP: Middle point and PKI: Peak Island. Black line </w:t>
      </w:r>
      <w:r w:rsidR="00E74407" w:rsidRPr="004A5BF7">
        <w:t xml:space="preserve">with white circles </w:t>
      </w:r>
      <w:r w:rsidR="007E0542" w:rsidRPr="004A5BF7">
        <w:t>represents the averaged values per NRM regions and light grey lines values of each monitored sites. Interpolated data are symbolised with dashed grey lines. Multi-annual trends are indicated with a black arrow.</w:t>
      </w:r>
      <w:bookmarkEnd w:id="1492"/>
    </w:p>
    <w:p w14:paraId="5F22F3D3" w14:textId="38138AA3" w:rsidR="00E40358" w:rsidRDefault="00E40358" w:rsidP="00E40358">
      <w:pPr>
        <w:spacing w:after="240"/>
        <w:rPr>
          <w:szCs w:val="24"/>
          <w:lang w:val="en-AU"/>
        </w:rPr>
      </w:pPr>
      <w:r>
        <w:rPr>
          <w:szCs w:val="24"/>
          <w:lang w:val="en-AU"/>
        </w:rPr>
        <w:t>M</w:t>
      </w:r>
      <w:r w:rsidRPr="00F24DDC">
        <w:rPr>
          <w:szCs w:val="24"/>
          <w:lang w:val="en-AU"/>
        </w:rPr>
        <w:t>ulti-annual changes in seagrass cover across sites</w:t>
      </w:r>
      <w:r>
        <w:rPr>
          <w:szCs w:val="24"/>
          <w:lang w:val="en-AU"/>
        </w:rPr>
        <w:t xml:space="preserve"> were</w:t>
      </w:r>
      <w:r w:rsidRPr="00F24DDC">
        <w:rPr>
          <w:szCs w:val="24"/>
          <w:lang w:val="en-AU"/>
        </w:rPr>
        <w:t xml:space="preserve"> negatively correlated to their </w:t>
      </w:r>
      <w:r>
        <w:rPr>
          <w:szCs w:val="24"/>
          <w:lang w:val="en-AU"/>
        </w:rPr>
        <w:t>risk scores</w:t>
      </w:r>
      <w:r>
        <w:rPr>
          <w:szCs w:val="24"/>
          <w:vertAlign w:val="subscript"/>
          <w:lang w:val="en-AU"/>
        </w:rPr>
        <w:t xml:space="preserve"> </w:t>
      </w:r>
      <w:r w:rsidRPr="004C6225">
        <w:rPr>
          <w:szCs w:val="24"/>
          <w:lang w:val="en-AU"/>
        </w:rPr>
        <w:t>(</w:t>
      </w:r>
      <w:r w:rsidR="00124249">
        <w:rPr>
          <w:szCs w:val="24"/>
          <w:lang w:val="en-AU"/>
        </w:rPr>
        <w:fldChar w:fldCharType="begin"/>
      </w:r>
      <w:r w:rsidR="00124249">
        <w:rPr>
          <w:szCs w:val="24"/>
          <w:lang w:val="en-AU"/>
        </w:rPr>
        <w:instrText xml:space="preserve"> REF _Ref459156009 \h </w:instrText>
      </w:r>
      <w:r w:rsidR="00124249">
        <w:rPr>
          <w:szCs w:val="24"/>
          <w:lang w:val="en-AU"/>
        </w:rPr>
      </w:r>
      <w:r w:rsidR="00124249">
        <w:rPr>
          <w:szCs w:val="24"/>
          <w:lang w:val="en-AU"/>
        </w:rPr>
        <w:fldChar w:fldCharType="separate"/>
      </w:r>
      <w:r w:rsidR="007F5336">
        <w:t xml:space="preserve">Table </w:t>
      </w:r>
      <w:r w:rsidR="007F5336">
        <w:rPr>
          <w:noProof/>
        </w:rPr>
        <w:t>8</w:t>
      </w:r>
      <w:r w:rsidR="007F5336">
        <w:noBreakHyphen/>
      </w:r>
      <w:r w:rsidR="007F5336">
        <w:rPr>
          <w:noProof/>
        </w:rPr>
        <w:t>3</w:t>
      </w:r>
      <w:r w:rsidR="00124249">
        <w:rPr>
          <w:szCs w:val="24"/>
          <w:lang w:val="en-AU"/>
        </w:rPr>
        <w:fldChar w:fldCharType="end"/>
      </w:r>
      <w:r>
        <w:rPr>
          <w:szCs w:val="24"/>
          <w:lang w:val="en-AU"/>
        </w:rPr>
        <w:t>:</w:t>
      </w:r>
      <w:r w:rsidRPr="004C6225">
        <w:t xml:space="preserve"> </w:t>
      </w:r>
      <w:r w:rsidRPr="004C6225">
        <w:rPr>
          <w:szCs w:val="24"/>
          <w:lang w:val="en-AU"/>
        </w:rPr>
        <w:t>Δ</w:t>
      </w:r>
      <w:r w:rsidRPr="004C6225">
        <w:rPr>
          <w:szCs w:val="24"/>
          <w:vertAlign w:val="subscript"/>
          <w:lang w:val="en-AU"/>
        </w:rPr>
        <w:t>site</w:t>
      </w:r>
      <w:r>
        <w:rPr>
          <w:szCs w:val="24"/>
          <w:lang w:val="en-AU"/>
        </w:rPr>
        <w:t xml:space="preserve"> and R</w:t>
      </w:r>
      <w:r w:rsidRPr="00F24DDC">
        <w:rPr>
          <w:szCs w:val="24"/>
          <w:lang w:val="en-AU"/>
        </w:rPr>
        <w:t>S</w:t>
      </w:r>
      <w:r w:rsidRPr="00F24DDC">
        <w:rPr>
          <w:szCs w:val="24"/>
          <w:vertAlign w:val="subscript"/>
          <w:lang w:val="en-AU"/>
        </w:rPr>
        <w:t>site</w:t>
      </w:r>
      <w:r>
        <w:rPr>
          <w:szCs w:val="24"/>
          <w:lang w:val="en-AU"/>
        </w:rPr>
        <w:t>);</w:t>
      </w:r>
      <w:r w:rsidRPr="00F24DDC">
        <w:rPr>
          <w:szCs w:val="24"/>
          <w:lang w:val="en-AU"/>
        </w:rPr>
        <w:t xml:space="preserve"> </w:t>
      </w:r>
      <w:r>
        <w:rPr>
          <w:szCs w:val="24"/>
          <w:lang w:val="en-AU"/>
        </w:rPr>
        <w:t xml:space="preserve">but </w:t>
      </w:r>
      <w:r w:rsidRPr="00F24DDC">
        <w:rPr>
          <w:szCs w:val="24"/>
          <w:lang w:val="en-AU"/>
        </w:rPr>
        <w:t>Gladstone Harbo</w:t>
      </w:r>
      <w:r w:rsidR="00124249">
        <w:rPr>
          <w:szCs w:val="24"/>
          <w:lang w:val="en-AU"/>
        </w:rPr>
        <w:t>u</w:t>
      </w:r>
      <w:r w:rsidRPr="00F24DDC">
        <w:rPr>
          <w:szCs w:val="24"/>
          <w:lang w:val="en-AU"/>
        </w:rPr>
        <w:t>r and Midge Point were outliers of the observed relationship</w:t>
      </w:r>
      <w:r>
        <w:rPr>
          <w:szCs w:val="24"/>
          <w:lang w:val="en-AU"/>
        </w:rPr>
        <w:t xml:space="preserve"> </w:t>
      </w:r>
      <w:r w:rsidRPr="00F24DDC">
        <w:rPr>
          <w:szCs w:val="24"/>
          <w:lang w:val="en-AU"/>
        </w:rPr>
        <w:t>(</w:t>
      </w:r>
      <w:r w:rsidR="00476957">
        <w:rPr>
          <w:szCs w:val="24"/>
          <w:lang w:val="en-AU"/>
        </w:rPr>
        <w:fldChar w:fldCharType="begin"/>
      </w:r>
      <w:r w:rsidR="00476957">
        <w:rPr>
          <w:szCs w:val="24"/>
          <w:lang w:val="en-AU"/>
        </w:rPr>
        <w:instrText xml:space="preserve"> REF _Ref461194905 \h </w:instrText>
      </w:r>
      <w:r w:rsidR="00476957">
        <w:rPr>
          <w:szCs w:val="24"/>
          <w:lang w:val="en-AU"/>
        </w:rPr>
      </w:r>
      <w:r w:rsidR="00476957">
        <w:rPr>
          <w:szCs w:val="24"/>
          <w:lang w:val="en-AU"/>
        </w:rPr>
        <w:fldChar w:fldCharType="separate"/>
      </w:r>
      <w:r w:rsidR="007F5336" w:rsidRPr="004A5BF7">
        <w:t xml:space="preserve">Figure </w:t>
      </w:r>
      <w:r w:rsidR="007F5336">
        <w:rPr>
          <w:noProof/>
        </w:rPr>
        <w:t>8</w:t>
      </w:r>
      <w:r w:rsidR="007F5336">
        <w:noBreakHyphen/>
      </w:r>
      <w:r w:rsidR="007F5336">
        <w:rPr>
          <w:noProof/>
        </w:rPr>
        <w:t>3</w:t>
      </w:r>
      <w:r w:rsidR="00476957">
        <w:rPr>
          <w:szCs w:val="24"/>
          <w:lang w:val="en-AU"/>
        </w:rPr>
        <w:fldChar w:fldCharType="end"/>
      </w:r>
      <w:r w:rsidRPr="00F24DDC">
        <w:rPr>
          <w:szCs w:val="24"/>
          <w:lang w:val="en-AU"/>
        </w:rPr>
        <w:t>a</w:t>
      </w:r>
      <w:r>
        <w:rPr>
          <w:szCs w:val="24"/>
          <w:lang w:val="en-AU"/>
        </w:rPr>
        <w:t>: R</w:t>
      </w:r>
      <w:r w:rsidRPr="00885EF1">
        <w:rPr>
          <w:szCs w:val="24"/>
          <w:vertAlign w:val="superscript"/>
          <w:lang w:val="en-AU"/>
        </w:rPr>
        <w:t>2</w:t>
      </w:r>
      <w:r>
        <w:rPr>
          <w:szCs w:val="24"/>
          <w:lang w:val="en-AU"/>
        </w:rPr>
        <w:t xml:space="preserve"> = 0.47, p &lt; 0.05</w:t>
      </w:r>
      <w:r w:rsidRPr="00F24DDC">
        <w:rPr>
          <w:szCs w:val="24"/>
          <w:lang w:val="en-AU"/>
        </w:rPr>
        <w:t xml:space="preserve">). At the </w:t>
      </w:r>
      <w:r>
        <w:rPr>
          <w:szCs w:val="24"/>
          <w:lang w:val="en-AU"/>
        </w:rPr>
        <w:t>regional (NRM)</w:t>
      </w:r>
      <w:r w:rsidRPr="00F24DDC">
        <w:rPr>
          <w:szCs w:val="24"/>
          <w:lang w:val="en-AU"/>
        </w:rPr>
        <w:t xml:space="preserve"> scale, </w:t>
      </w:r>
      <w:r>
        <w:rPr>
          <w:szCs w:val="24"/>
          <w:lang w:val="en-AU"/>
        </w:rPr>
        <w:t>no significant relationship was found between</w:t>
      </w:r>
      <w:r w:rsidRPr="004C6225">
        <w:rPr>
          <w:szCs w:val="24"/>
          <w:lang w:val="en-AU"/>
        </w:rPr>
        <w:t xml:space="preserve"> Δ</w:t>
      </w:r>
      <w:r>
        <w:rPr>
          <w:szCs w:val="24"/>
          <w:vertAlign w:val="subscript"/>
          <w:lang w:val="en-AU"/>
        </w:rPr>
        <w:t>NRM</w:t>
      </w:r>
      <w:r>
        <w:rPr>
          <w:szCs w:val="24"/>
          <w:lang w:val="en-AU"/>
        </w:rPr>
        <w:t xml:space="preserve"> and R</w:t>
      </w:r>
      <w:r w:rsidRPr="00F24DDC">
        <w:rPr>
          <w:szCs w:val="24"/>
          <w:lang w:val="en-AU"/>
        </w:rPr>
        <w:t>S</w:t>
      </w:r>
      <w:r>
        <w:rPr>
          <w:szCs w:val="24"/>
          <w:vertAlign w:val="subscript"/>
          <w:lang w:val="en-AU"/>
        </w:rPr>
        <w:t>NRM</w:t>
      </w:r>
      <w:r>
        <w:rPr>
          <w:szCs w:val="24"/>
          <w:lang w:val="en-AU"/>
        </w:rPr>
        <w:t xml:space="preserve"> </w:t>
      </w:r>
      <w:r w:rsidRPr="00F24DDC">
        <w:rPr>
          <w:szCs w:val="24"/>
          <w:lang w:val="en-AU"/>
        </w:rPr>
        <w:t>(</w:t>
      </w:r>
      <w:r w:rsidR="00124249">
        <w:rPr>
          <w:szCs w:val="24"/>
          <w:lang w:val="en-AU"/>
        </w:rPr>
        <w:fldChar w:fldCharType="begin"/>
      </w:r>
      <w:r w:rsidR="00124249">
        <w:rPr>
          <w:szCs w:val="24"/>
          <w:lang w:val="en-AU"/>
        </w:rPr>
        <w:instrText xml:space="preserve"> REF _Ref459156009 \h  \* MERGEFORMAT </w:instrText>
      </w:r>
      <w:r w:rsidR="00124249">
        <w:rPr>
          <w:szCs w:val="24"/>
          <w:lang w:val="en-AU"/>
        </w:rPr>
      </w:r>
      <w:r w:rsidR="00124249">
        <w:rPr>
          <w:szCs w:val="24"/>
          <w:lang w:val="en-AU"/>
        </w:rPr>
        <w:fldChar w:fldCharType="separate"/>
      </w:r>
      <w:r w:rsidR="007F5336" w:rsidRPr="007F5336">
        <w:rPr>
          <w:szCs w:val="24"/>
          <w:lang w:val="en-AU"/>
        </w:rPr>
        <w:t>Table 8</w:t>
      </w:r>
      <w:r w:rsidR="007F5336" w:rsidRPr="007F5336">
        <w:rPr>
          <w:szCs w:val="24"/>
          <w:lang w:val="en-AU"/>
        </w:rPr>
        <w:noBreakHyphen/>
        <w:t>3</w:t>
      </w:r>
      <w:r w:rsidR="00124249">
        <w:rPr>
          <w:szCs w:val="24"/>
          <w:lang w:val="en-AU"/>
        </w:rPr>
        <w:fldChar w:fldCharType="end"/>
      </w:r>
      <w:r w:rsidR="00124249">
        <w:rPr>
          <w:szCs w:val="24"/>
          <w:lang w:val="en-AU"/>
        </w:rPr>
        <w:t xml:space="preserve"> </w:t>
      </w:r>
      <w:r>
        <w:rPr>
          <w:szCs w:val="24"/>
          <w:lang w:val="en-AU"/>
        </w:rPr>
        <w:t xml:space="preserve">and </w:t>
      </w:r>
      <w:r w:rsidR="007E173A">
        <w:rPr>
          <w:szCs w:val="24"/>
          <w:lang w:val="en-AU"/>
        </w:rPr>
        <w:fldChar w:fldCharType="begin"/>
      </w:r>
      <w:r w:rsidR="007E173A">
        <w:rPr>
          <w:szCs w:val="24"/>
          <w:lang w:val="en-AU"/>
        </w:rPr>
        <w:instrText xml:space="preserve"> REF _Ref461194905 \h </w:instrText>
      </w:r>
      <w:r w:rsidR="007E173A">
        <w:rPr>
          <w:szCs w:val="24"/>
          <w:lang w:val="en-AU"/>
        </w:rPr>
      </w:r>
      <w:r w:rsidR="007E173A">
        <w:rPr>
          <w:szCs w:val="24"/>
          <w:lang w:val="en-AU"/>
        </w:rPr>
        <w:fldChar w:fldCharType="separate"/>
      </w:r>
      <w:r w:rsidR="007F5336" w:rsidRPr="004A5BF7">
        <w:t xml:space="preserve">Figure </w:t>
      </w:r>
      <w:r w:rsidR="007F5336">
        <w:rPr>
          <w:noProof/>
        </w:rPr>
        <w:t>8</w:t>
      </w:r>
      <w:r w:rsidR="007F5336">
        <w:noBreakHyphen/>
      </w:r>
      <w:r w:rsidR="007F5336">
        <w:rPr>
          <w:noProof/>
        </w:rPr>
        <w:t>3</w:t>
      </w:r>
      <w:r w:rsidR="007E173A">
        <w:rPr>
          <w:szCs w:val="24"/>
          <w:lang w:val="en-AU"/>
        </w:rPr>
        <w:fldChar w:fldCharType="end"/>
      </w:r>
      <w:r>
        <w:rPr>
          <w:szCs w:val="24"/>
          <w:lang w:val="en-AU"/>
        </w:rPr>
        <w:t>b,</w:t>
      </w:r>
      <w:r w:rsidRPr="004C6225">
        <w:rPr>
          <w:szCs w:val="24"/>
          <w:lang w:val="en-AU"/>
        </w:rPr>
        <w:t xml:space="preserve"> </w:t>
      </w:r>
      <w:r>
        <w:rPr>
          <w:szCs w:val="24"/>
          <w:lang w:val="en-AU"/>
        </w:rPr>
        <w:t>R</w:t>
      </w:r>
      <w:r w:rsidRPr="00885EF1">
        <w:rPr>
          <w:szCs w:val="24"/>
          <w:vertAlign w:val="superscript"/>
          <w:lang w:val="en-AU"/>
        </w:rPr>
        <w:t>2</w:t>
      </w:r>
      <w:r>
        <w:rPr>
          <w:szCs w:val="24"/>
          <w:lang w:val="en-AU"/>
        </w:rPr>
        <w:t xml:space="preserve"> = 0.61, ns.</w:t>
      </w:r>
      <w:r w:rsidRPr="00F24DDC">
        <w:rPr>
          <w:szCs w:val="24"/>
          <w:lang w:val="en-AU"/>
        </w:rPr>
        <w:t>)</w:t>
      </w:r>
      <w:r>
        <w:rPr>
          <w:szCs w:val="24"/>
          <w:lang w:val="en-AU"/>
        </w:rPr>
        <w:t xml:space="preserve">. However, the </w:t>
      </w:r>
      <w:r w:rsidRPr="00F24DDC">
        <w:rPr>
          <w:szCs w:val="24"/>
          <w:lang w:val="en-AU"/>
        </w:rPr>
        <w:t>relatively lower loss</w:t>
      </w:r>
      <w:r>
        <w:rPr>
          <w:szCs w:val="24"/>
          <w:lang w:val="en-AU"/>
        </w:rPr>
        <w:t xml:space="preserve"> of cover</w:t>
      </w:r>
      <w:r w:rsidRPr="00F24DDC">
        <w:rPr>
          <w:szCs w:val="24"/>
          <w:lang w:val="en-AU"/>
        </w:rPr>
        <w:t xml:space="preserve"> in the Wet Tropics and </w:t>
      </w:r>
      <w:r w:rsidR="00486555" w:rsidRPr="00F24DDC">
        <w:rPr>
          <w:szCs w:val="24"/>
          <w:lang w:val="en-AU"/>
        </w:rPr>
        <w:t>Mack</w:t>
      </w:r>
      <w:r w:rsidR="00486555">
        <w:rPr>
          <w:szCs w:val="24"/>
          <w:lang w:val="en-AU"/>
        </w:rPr>
        <w:t>a</w:t>
      </w:r>
      <w:r w:rsidR="00486555" w:rsidRPr="00F24DDC">
        <w:rPr>
          <w:szCs w:val="24"/>
          <w:lang w:val="en-AU"/>
        </w:rPr>
        <w:t>y</w:t>
      </w:r>
      <w:r w:rsidR="00124249">
        <w:rPr>
          <w:szCs w:val="24"/>
          <w:lang w:val="en-AU"/>
        </w:rPr>
        <w:t xml:space="preserve"> </w:t>
      </w:r>
      <w:r w:rsidRPr="00F24DDC">
        <w:rPr>
          <w:szCs w:val="24"/>
          <w:lang w:val="en-AU"/>
        </w:rPr>
        <w:t>Whitsunday regions (</w:t>
      </w:r>
      <w:r w:rsidRPr="004C6225">
        <w:rPr>
          <w:szCs w:val="24"/>
          <w:lang w:val="en-AU"/>
        </w:rPr>
        <w:t>Δ</w:t>
      </w:r>
      <w:r w:rsidRPr="00F24DDC">
        <w:rPr>
          <w:szCs w:val="24"/>
          <w:vertAlign w:val="subscript"/>
          <w:lang w:val="en-AU"/>
        </w:rPr>
        <w:t>WT</w:t>
      </w:r>
      <w:r w:rsidRPr="00F24DDC">
        <w:rPr>
          <w:szCs w:val="24"/>
          <w:lang w:val="en-AU"/>
        </w:rPr>
        <w:t xml:space="preserve"> = </w:t>
      </w:r>
      <w:r w:rsidR="0046394E">
        <w:rPr>
          <w:szCs w:val="24"/>
          <w:lang w:val="en-AU"/>
        </w:rPr>
        <w:t>-7.50</w:t>
      </w:r>
      <w:r>
        <w:rPr>
          <w:szCs w:val="24"/>
          <w:lang w:val="en-AU"/>
        </w:rPr>
        <w:t>%</w:t>
      </w:r>
      <w:r w:rsidRPr="00F24DDC">
        <w:rPr>
          <w:szCs w:val="24"/>
          <w:lang w:val="en-AU"/>
        </w:rPr>
        <w:t xml:space="preserve"> and </w:t>
      </w:r>
      <w:r w:rsidRPr="004C6225">
        <w:rPr>
          <w:szCs w:val="24"/>
          <w:lang w:val="en-AU"/>
        </w:rPr>
        <w:t>Δ</w:t>
      </w:r>
      <w:r w:rsidRPr="00F24DDC">
        <w:rPr>
          <w:szCs w:val="24"/>
          <w:vertAlign w:val="subscript"/>
          <w:lang w:val="en-AU"/>
        </w:rPr>
        <w:t>MW</w:t>
      </w:r>
      <w:r w:rsidRPr="00F24DDC">
        <w:rPr>
          <w:szCs w:val="24"/>
          <w:lang w:val="en-AU"/>
        </w:rPr>
        <w:t xml:space="preserve">= </w:t>
      </w:r>
      <w:r w:rsidR="0046394E">
        <w:rPr>
          <w:szCs w:val="24"/>
          <w:lang w:val="en-AU"/>
        </w:rPr>
        <w:t>-7.05</w:t>
      </w:r>
      <w:r>
        <w:rPr>
          <w:szCs w:val="24"/>
          <w:lang w:val="en-AU"/>
        </w:rPr>
        <w:t>%</w:t>
      </w:r>
      <w:r w:rsidRPr="00F24DDC">
        <w:rPr>
          <w:szCs w:val="24"/>
          <w:lang w:val="en-AU"/>
        </w:rPr>
        <w:t xml:space="preserve">) were associated with the lowest regional </w:t>
      </w:r>
      <w:r>
        <w:rPr>
          <w:szCs w:val="24"/>
          <w:lang w:val="en-AU"/>
        </w:rPr>
        <w:t>R</w:t>
      </w:r>
      <w:r w:rsidRPr="00F24DDC">
        <w:rPr>
          <w:szCs w:val="24"/>
          <w:lang w:val="en-AU"/>
        </w:rPr>
        <w:t xml:space="preserve">isk </w:t>
      </w:r>
      <w:r>
        <w:rPr>
          <w:szCs w:val="24"/>
          <w:lang w:val="en-AU"/>
        </w:rPr>
        <w:t>S</w:t>
      </w:r>
      <w:r w:rsidRPr="00F24DDC">
        <w:rPr>
          <w:szCs w:val="24"/>
          <w:lang w:val="en-AU"/>
        </w:rPr>
        <w:t>cores (</w:t>
      </w:r>
      <w:r>
        <w:rPr>
          <w:szCs w:val="24"/>
          <w:lang w:val="en-AU"/>
        </w:rPr>
        <w:t>R</w:t>
      </w:r>
      <w:r w:rsidRPr="00F24DDC">
        <w:rPr>
          <w:szCs w:val="24"/>
          <w:lang w:val="en-AU"/>
        </w:rPr>
        <w:t>S</w:t>
      </w:r>
      <w:r w:rsidRPr="00F24DDC">
        <w:rPr>
          <w:szCs w:val="24"/>
          <w:vertAlign w:val="subscript"/>
          <w:lang w:val="en-AU"/>
        </w:rPr>
        <w:t>WT</w:t>
      </w:r>
      <w:r w:rsidRPr="00F24DDC">
        <w:rPr>
          <w:szCs w:val="24"/>
          <w:lang w:val="en-AU"/>
        </w:rPr>
        <w:t xml:space="preserve"> = 0.1</w:t>
      </w:r>
      <w:r>
        <w:rPr>
          <w:szCs w:val="24"/>
          <w:lang w:val="en-AU"/>
        </w:rPr>
        <w:t>1</w:t>
      </w:r>
      <w:r w:rsidRPr="00F24DDC">
        <w:rPr>
          <w:szCs w:val="24"/>
          <w:lang w:val="en-AU"/>
        </w:rPr>
        <w:t xml:space="preserve"> and </w:t>
      </w:r>
      <w:r>
        <w:rPr>
          <w:szCs w:val="24"/>
          <w:lang w:val="en-AU"/>
        </w:rPr>
        <w:t>R</w:t>
      </w:r>
      <w:r w:rsidRPr="00F24DDC">
        <w:rPr>
          <w:szCs w:val="24"/>
          <w:lang w:val="en-AU"/>
        </w:rPr>
        <w:t>S</w:t>
      </w:r>
      <w:r w:rsidRPr="00F24DDC">
        <w:rPr>
          <w:szCs w:val="24"/>
          <w:vertAlign w:val="subscript"/>
          <w:lang w:val="en-AU"/>
        </w:rPr>
        <w:t>MW</w:t>
      </w:r>
      <w:r w:rsidRPr="00F24DDC">
        <w:rPr>
          <w:szCs w:val="24"/>
          <w:lang w:val="en-AU"/>
        </w:rPr>
        <w:t>= 0.2</w:t>
      </w:r>
      <w:r>
        <w:rPr>
          <w:szCs w:val="24"/>
          <w:lang w:val="en-AU"/>
        </w:rPr>
        <w:t>5</w:t>
      </w:r>
      <w:r w:rsidRPr="00F24DDC">
        <w:rPr>
          <w:szCs w:val="24"/>
          <w:lang w:val="en-AU"/>
        </w:rPr>
        <w:t xml:space="preserve">). Inversely, the higher loss in </w:t>
      </w:r>
      <w:r>
        <w:rPr>
          <w:szCs w:val="24"/>
          <w:lang w:val="en-AU"/>
        </w:rPr>
        <w:t xml:space="preserve">cover observed in </w:t>
      </w:r>
      <w:r w:rsidRPr="00F24DDC">
        <w:rPr>
          <w:szCs w:val="24"/>
          <w:lang w:val="en-AU"/>
        </w:rPr>
        <w:t xml:space="preserve">the Burnett-Mary region </w:t>
      </w:r>
      <w:r>
        <w:rPr>
          <w:szCs w:val="24"/>
          <w:lang w:val="en-AU"/>
        </w:rPr>
        <w:t>(</w:t>
      </w:r>
      <w:r w:rsidRPr="004C6225">
        <w:rPr>
          <w:szCs w:val="24"/>
          <w:lang w:val="en-AU"/>
        </w:rPr>
        <w:t>Δ</w:t>
      </w:r>
      <w:r>
        <w:rPr>
          <w:szCs w:val="24"/>
          <w:vertAlign w:val="subscript"/>
          <w:lang w:val="en-AU"/>
        </w:rPr>
        <w:t>BM</w:t>
      </w:r>
      <w:r w:rsidRPr="00F24DDC">
        <w:rPr>
          <w:szCs w:val="24"/>
          <w:lang w:val="en-AU"/>
        </w:rPr>
        <w:t xml:space="preserve"> = </w:t>
      </w:r>
      <w:r w:rsidR="0046394E">
        <w:rPr>
          <w:szCs w:val="24"/>
          <w:lang w:val="en-AU"/>
        </w:rPr>
        <w:t>-43.20</w:t>
      </w:r>
      <w:r>
        <w:rPr>
          <w:szCs w:val="24"/>
          <w:lang w:val="en-AU"/>
        </w:rPr>
        <w:t xml:space="preserve">%) </w:t>
      </w:r>
      <w:r w:rsidRPr="00F24DDC">
        <w:rPr>
          <w:szCs w:val="24"/>
          <w:lang w:val="en-AU"/>
        </w:rPr>
        <w:t xml:space="preserve">was associated with the highest </w:t>
      </w:r>
      <w:r>
        <w:rPr>
          <w:szCs w:val="24"/>
          <w:lang w:val="en-AU"/>
        </w:rPr>
        <w:t>R</w:t>
      </w:r>
      <w:r w:rsidRPr="00F24DDC">
        <w:rPr>
          <w:szCs w:val="24"/>
          <w:lang w:val="en-AU"/>
        </w:rPr>
        <w:t xml:space="preserve">isk </w:t>
      </w:r>
      <w:r>
        <w:rPr>
          <w:szCs w:val="24"/>
          <w:lang w:val="en-AU"/>
        </w:rPr>
        <w:t>S</w:t>
      </w:r>
      <w:r w:rsidRPr="00F24DDC">
        <w:rPr>
          <w:szCs w:val="24"/>
          <w:lang w:val="en-AU"/>
        </w:rPr>
        <w:t>core (</w:t>
      </w:r>
      <w:r>
        <w:rPr>
          <w:szCs w:val="24"/>
          <w:lang w:val="en-AU"/>
        </w:rPr>
        <w:t>R</w:t>
      </w:r>
      <w:r w:rsidRPr="00F24DDC">
        <w:rPr>
          <w:szCs w:val="24"/>
          <w:lang w:val="en-AU"/>
        </w:rPr>
        <w:t>S</w:t>
      </w:r>
      <w:r w:rsidRPr="00F24DDC">
        <w:rPr>
          <w:szCs w:val="24"/>
          <w:vertAlign w:val="subscript"/>
          <w:lang w:val="en-AU"/>
        </w:rPr>
        <w:t>BM</w:t>
      </w:r>
      <w:r w:rsidRPr="00F24DDC">
        <w:rPr>
          <w:szCs w:val="24"/>
          <w:lang w:val="en-AU"/>
        </w:rPr>
        <w:t xml:space="preserve"> = 0.</w:t>
      </w:r>
      <w:r>
        <w:rPr>
          <w:szCs w:val="24"/>
          <w:lang w:val="en-AU"/>
        </w:rPr>
        <w:t>59</w:t>
      </w:r>
      <w:r w:rsidRPr="00F24DDC">
        <w:rPr>
          <w:szCs w:val="24"/>
          <w:lang w:val="en-AU"/>
        </w:rPr>
        <w:t xml:space="preserve">). </w:t>
      </w:r>
      <w:r>
        <w:rPr>
          <w:szCs w:val="24"/>
          <w:lang w:val="en-AU"/>
        </w:rPr>
        <w:t xml:space="preserve">No significant relationships were found between the mean multi-annual seagrass </w:t>
      </w:r>
      <w:r w:rsidRPr="00576955">
        <w:rPr>
          <w:szCs w:val="24"/>
          <w:lang w:val="en-AU"/>
        </w:rPr>
        <w:t>cover</w:t>
      </w:r>
      <w:r>
        <w:rPr>
          <w:szCs w:val="24"/>
          <w:lang w:val="en-AU"/>
        </w:rPr>
        <w:t xml:space="preserve"> values and the risk scores at the site and regional scales (</w:t>
      </w:r>
      <w:r w:rsidR="007E173A">
        <w:rPr>
          <w:szCs w:val="24"/>
          <w:lang w:val="en-AU"/>
        </w:rPr>
        <w:fldChar w:fldCharType="begin"/>
      </w:r>
      <w:r w:rsidR="007E173A">
        <w:rPr>
          <w:szCs w:val="24"/>
          <w:lang w:val="en-AU"/>
        </w:rPr>
        <w:instrText xml:space="preserve"> REF _Ref461194905 \h </w:instrText>
      </w:r>
      <w:r w:rsidR="007E173A">
        <w:rPr>
          <w:szCs w:val="24"/>
          <w:lang w:val="en-AU"/>
        </w:rPr>
      </w:r>
      <w:r w:rsidR="007E173A">
        <w:rPr>
          <w:szCs w:val="24"/>
          <w:lang w:val="en-AU"/>
        </w:rPr>
        <w:fldChar w:fldCharType="separate"/>
      </w:r>
      <w:r w:rsidR="007F5336" w:rsidRPr="004A5BF7">
        <w:t xml:space="preserve">Figure </w:t>
      </w:r>
      <w:r w:rsidR="007F5336">
        <w:rPr>
          <w:noProof/>
        </w:rPr>
        <w:t>8</w:t>
      </w:r>
      <w:r w:rsidR="007F5336">
        <w:noBreakHyphen/>
      </w:r>
      <w:r w:rsidR="007F5336">
        <w:rPr>
          <w:noProof/>
        </w:rPr>
        <w:t>3</w:t>
      </w:r>
      <w:r w:rsidR="007E173A">
        <w:rPr>
          <w:szCs w:val="24"/>
          <w:lang w:val="en-AU"/>
        </w:rPr>
        <w:fldChar w:fldCharType="end"/>
      </w:r>
      <w:r>
        <w:rPr>
          <w:szCs w:val="24"/>
          <w:lang w:val="en-AU"/>
        </w:rPr>
        <w:t xml:space="preserve">c and </w:t>
      </w:r>
      <w:r w:rsidR="007E173A">
        <w:rPr>
          <w:szCs w:val="24"/>
          <w:lang w:val="en-AU"/>
        </w:rPr>
        <w:fldChar w:fldCharType="begin"/>
      </w:r>
      <w:r w:rsidR="007E173A">
        <w:rPr>
          <w:szCs w:val="24"/>
          <w:lang w:val="en-AU"/>
        </w:rPr>
        <w:instrText xml:space="preserve"> REF _Ref461194905 \h </w:instrText>
      </w:r>
      <w:r w:rsidR="007E173A">
        <w:rPr>
          <w:szCs w:val="24"/>
          <w:lang w:val="en-AU"/>
        </w:rPr>
      </w:r>
      <w:r w:rsidR="007E173A">
        <w:rPr>
          <w:szCs w:val="24"/>
          <w:lang w:val="en-AU"/>
        </w:rPr>
        <w:fldChar w:fldCharType="separate"/>
      </w:r>
      <w:r w:rsidR="007F5336" w:rsidRPr="004A5BF7">
        <w:t xml:space="preserve">Figure </w:t>
      </w:r>
      <w:r w:rsidR="007F5336">
        <w:rPr>
          <w:noProof/>
        </w:rPr>
        <w:t>8</w:t>
      </w:r>
      <w:r w:rsidR="007F5336">
        <w:noBreakHyphen/>
      </w:r>
      <w:r w:rsidR="007F5336">
        <w:rPr>
          <w:noProof/>
        </w:rPr>
        <w:t>3</w:t>
      </w:r>
      <w:r w:rsidR="007E173A">
        <w:rPr>
          <w:szCs w:val="24"/>
          <w:lang w:val="en-AU"/>
        </w:rPr>
        <w:fldChar w:fldCharType="end"/>
      </w:r>
      <w:r>
        <w:rPr>
          <w:szCs w:val="24"/>
          <w:lang w:val="en-AU"/>
        </w:rPr>
        <w:t xml:space="preserve">d). </w:t>
      </w:r>
    </w:p>
    <w:p w14:paraId="5F22F3D4" w14:textId="23245196" w:rsidR="00574B0D" w:rsidRDefault="00124249" w:rsidP="004A5BF7">
      <w:pPr>
        <w:pStyle w:val="Caption"/>
      </w:pPr>
      <w:bookmarkStart w:id="1493" w:name="_Ref459156009"/>
      <w:bookmarkStart w:id="1494" w:name="_Toc459332167"/>
      <w:r>
        <w:t xml:space="preserve">Table </w:t>
      </w:r>
      <w:r>
        <w:fldChar w:fldCharType="begin"/>
      </w:r>
      <w:r>
        <w:instrText xml:space="preserve"> STYLEREF 1 \s </w:instrText>
      </w:r>
      <w:r>
        <w:fldChar w:fldCharType="separate"/>
      </w:r>
      <w:r w:rsidR="007F5336">
        <w:rPr>
          <w:noProof/>
        </w:rPr>
        <w:t>8</w:t>
      </w:r>
      <w:r>
        <w:fldChar w:fldCharType="end"/>
      </w:r>
      <w:r>
        <w:noBreakHyphen/>
      </w:r>
      <w:r>
        <w:fldChar w:fldCharType="begin"/>
      </w:r>
      <w:r>
        <w:instrText xml:space="preserve"> SEQ Table \* ARABIC \s 1 </w:instrText>
      </w:r>
      <w:r>
        <w:fldChar w:fldCharType="separate"/>
      </w:r>
      <w:r w:rsidR="007F5336">
        <w:rPr>
          <w:noProof/>
        </w:rPr>
        <w:t>3</w:t>
      </w:r>
      <w:r>
        <w:fldChar w:fldCharType="end"/>
      </w:r>
      <w:bookmarkEnd w:id="1493"/>
      <w:r>
        <w:t xml:space="preserve">: </w:t>
      </w:r>
      <w:r w:rsidR="00574B0D" w:rsidRPr="00574B0D">
        <w:t>Magnitude Score (MS</w:t>
      </w:r>
      <w:r w:rsidR="00574B0D" w:rsidRPr="007E0542">
        <w:rPr>
          <w:vertAlign w:val="subscript"/>
        </w:rPr>
        <w:t>CCx</w:t>
      </w:r>
      <w:r w:rsidR="00574B0D" w:rsidRPr="00574B0D">
        <w:t>) of each plume water type, Likelihood Score (LS</w:t>
      </w:r>
      <w:r w:rsidR="00574B0D" w:rsidRPr="007E0542">
        <w:rPr>
          <w:vertAlign w:val="subscript"/>
        </w:rPr>
        <w:t>CCx</w:t>
      </w:r>
      <w:r w:rsidR="00574B0D" w:rsidRPr="00574B0D">
        <w:t>) at the seagrass sites locations and Risk Scores (RS</w:t>
      </w:r>
      <w:r w:rsidR="00574B0D" w:rsidRPr="007E0542">
        <w:rPr>
          <w:vertAlign w:val="subscript"/>
        </w:rPr>
        <w:t>site</w:t>
      </w:r>
      <w:r w:rsidR="00574B0D" w:rsidRPr="00574B0D">
        <w:t xml:space="preserve"> and RS</w:t>
      </w:r>
      <w:r w:rsidR="00574B0D" w:rsidRPr="007E0542">
        <w:rPr>
          <w:vertAlign w:val="subscript"/>
        </w:rPr>
        <w:t>NRM</w:t>
      </w:r>
      <w:r w:rsidR="00574B0D" w:rsidRPr="00574B0D">
        <w:t xml:space="preserve">) at the seagrass site and NRM scales. </w:t>
      </w:r>
      <w:bookmarkEnd w:id="1494"/>
    </w:p>
    <w:tbl>
      <w:tblPr>
        <w:tblStyle w:val="TableGrid1"/>
        <w:tblW w:w="5055" w:type="pct"/>
        <w:tblLook w:val="04A0" w:firstRow="1" w:lastRow="0" w:firstColumn="1" w:lastColumn="0" w:noHBand="0" w:noVBand="1"/>
        <w:tblCaption w:val="Table 8 3: Magnitude Score (MSCCx) of each plume water type, Likelihood Score (LSCCx) at the seagrass sites locations and Risk Scores (RSsite and RSNRM) at the seagrass site and NRM scales. "/>
        <w:tblDescription w:val="Table showing magnitude Score (MSCCx) of each plume water type, Likelihood Score (LSCCx) at the seagrass sites locations and Risk Scores (RSsite and RSNRM) at the seagrass site and NRM scales. "/>
      </w:tblPr>
      <w:tblGrid>
        <w:gridCol w:w="1266"/>
        <w:gridCol w:w="665"/>
        <w:gridCol w:w="612"/>
        <w:gridCol w:w="612"/>
        <w:gridCol w:w="612"/>
        <w:gridCol w:w="612"/>
        <w:gridCol w:w="612"/>
        <w:gridCol w:w="612"/>
        <w:gridCol w:w="594"/>
        <w:gridCol w:w="666"/>
        <w:gridCol w:w="670"/>
        <w:gridCol w:w="670"/>
        <w:gridCol w:w="617"/>
        <w:gridCol w:w="617"/>
      </w:tblGrid>
      <w:tr w:rsidR="00574B0D" w:rsidRPr="00B930DE" w14:paraId="5F22F3DE" w14:textId="77777777" w:rsidTr="003E25ED">
        <w:trPr>
          <w:trHeight w:val="313"/>
          <w:tblHeader/>
        </w:trPr>
        <w:tc>
          <w:tcPr>
            <w:tcW w:w="1014" w:type="pct"/>
            <w:gridSpan w:val="2"/>
            <w:shd w:val="clear" w:color="auto" w:fill="D9D9D9" w:themeFill="background1" w:themeFillShade="D9"/>
            <w:noWrap/>
          </w:tcPr>
          <w:p w14:paraId="5F22F3D5"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Colour Class</w:t>
            </w:r>
          </w:p>
        </w:tc>
        <w:tc>
          <w:tcPr>
            <w:tcW w:w="320" w:type="pct"/>
            <w:shd w:val="clear" w:color="auto" w:fill="D9D9D9" w:themeFill="background1" w:themeFillShade="D9"/>
            <w:noWrap/>
          </w:tcPr>
          <w:p w14:paraId="5F22F3D6"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CC1</w:t>
            </w:r>
          </w:p>
        </w:tc>
        <w:tc>
          <w:tcPr>
            <w:tcW w:w="320" w:type="pct"/>
            <w:shd w:val="clear" w:color="auto" w:fill="D9D9D9" w:themeFill="background1" w:themeFillShade="D9"/>
            <w:noWrap/>
          </w:tcPr>
          <w:p w14:paraId="5F22F3D7"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CC2</w:t>
            </w:r>
          </w:p>
        </w:tc>
        <w:tc>
          <w:tcPr>
            <w:tcW w:w="320" w:type="pct"/>
            <w:shd w:val="clear" w:color="auto" w:fill="D9D9D9" w:themeFill="background1" w:themeFillShade="D9"/>
            <w:noWrap/>
          </w:tcPr>
          <w:p w14:paraId="5F22F3D8"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CC3</w:t>
            </w:r>
          </w:p>
        </w:tc>
        <w:tc>
          <w:tcPr>
            <w:tcW w:w="320" w:type="pct"/>
            <w:shd w:val="clear" w:color="auto" w:fill="D9D9D9" w:themeFill="background1" w:themeFillShade="D9"/>
            <w:noWrap/>
          </w:tcPr>
          <w:p w14:paraId="5F22F3D9"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CC4</w:t>
            </w:r>
          </w:p>
        </w:tc>
        <w:tc>
          <w:tcPr>
            <w:tcW w:w="320" w:type="pct"/>
            <w:shd w:val="clear" w:color="auto" w:fill="D9D9D9" w:themeFill="background1" w:themeFillShade="D9"/>
            <w:noWrap/>
          </w:tcPr>
          <w:p w14:paraId="5F22F3DA"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CC5</w:t>
            </w:r>
          </w:p>
        </w:tc>
        <w:tc>
          <w:tcPr>
            <w:tcW w:w="320" w:type="pct"/>
            <w:shd w:val="clear" w:color="auto" w:fill="D9D9D9" w:themeFill="background1" w:themeFillShade="D9"/>
            <w:noWrap/>
          </w:tcPr>
          <w:p w14:paraId="5F22F3DB"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CC6</w:t>
            </w:r>
          </w:p>
        </w:tc>
        <w:tc>
          <w:tcPr>
            <w:tcW w:w="660" w:type="pct"/>
            <w:gridSpan w:val="2"/>
            <w:shd w:val="clear" w:color="auto" w:fill="D9D9D9" w:themeFill="background1" w:themeFillShade="D9"/>
            <w:noWrap/>
          </w:tcPr>
          <w:p w14:paraId="5F22F3DC"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Risk Scores</w:t>
            </w:r>
          </w:p>
        </w:tc>
        <w:tc>
          <w:tcPr>
            <w:tcW w:w="1403" w:type="pct"/>
            <w:gridSpan w:val="4"/>
            <w:shd w:val="clear" w:color="auto" w:fill="D9D9D9" w:themeFill="background1" w:themeFillShade="D9"/>
            <w:noWrap/>
          </w:tcPr>
          <w:p w14:paraId="5F22F3DD"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seagrass cover</w:t>
            </w:r>
          </w:p>
        </w:tc>
      </w:tr>
      <w:tr w:rsidR="00574B0D" w:rsidRPr="00B930DE" w14:paraId="5F22F3E9" w14:textId="77777777" w:rsidTr="003E25ED">
        <w:trPr>
          <w:trHeight w:val="313"/>
          <w:tblHeader/>
        </w:trPr>
        <w:tc>
          <w:tcPr>
            <w:tcW w:w="1014" w:type="pct"/>
            <w:gridSpan w:val="2"/>
            <w:shd w:val="clear" w:color="auto" w:fill="D9D9D9" w:themeFill="background1" w:themeFillShade="D9"/>
            <w:noWrap/>
            <w:hideMark/>
          </w:tcPr>
          <w:p w14:paraId="5F22F3DF"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Magnitude score MS</w:t>
            </w:r>
            <w:r w:rsidRPr="00B930DE">
              <w:rPr>
                <w:rFonts w:cs="Arial"/>
                <w:sz w:val="16"/>
                <w:szCs w:val="18"/>
                <w:vertAlign w:val="subscript"/>
                <w:lang w:eastAsia="en-AU"/>
              </w:rPr>
              <w:t>CCx:</w:t>
            </w:r>
          </w:p>
        </w:tc>
        <w:tc>
          <w:tcPr>
            <w:tcW w:w="320" w:type="pct"/>
            <w:shd w:val="clear" w:color="auto" w:fill="D9D9D9" w:themeFill="background1" w:themeFillShade="D9"/>
            <w:noWrap/>
            <w:hideMark/>
          </w:tcPr>
          <w:p w14:paraId="5F22F3E0"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10</w:t>
            </w:r>
          </w:p>
        </w:tc>
        <w:tc>
          <w:tcPr>
            <w:tcW w:w="320" w:type="pct"/>
            <w:shd w:val="clear" w:color="auto" w:fill="D9D9D9" w:themeFill="background1" w:themeFillShade="D9"/>
            <w:noWrap/>
            <w:hideMark/>
          </w:tcPr>
          <w:p w14:paraId="5F22F3E1"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5</w:t>
            </w:r>
          </w:p>
        </w:tc>
        <w:tc>
          <w:tcPr>
            <w:tcW w:w="320" w:type="pct"/>
            <w:shd w:val="clear" w:color="auto" w:fill="D9D9D9" w:themeFill="background1" w:themeFillShade="D9"/>
            <w:noWrap/>
            <w:hideMark/>
          </w:tcPr>
          <w:p w14:paraId="5F22F3E2"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3</w:t>
            </w:r>
          </w:p>
        </w:tc>
        <w:tc>
          <w:tcPr>
            <w:tcW w:w="320" w:type="pct"/>
            <w:shd w:val="clear" w:color="auto" w:fill="D9D9D9" w:themeFill="background1" w:themeFillShade="D9"/>
            <w:noWrap/>
            <w:hideMark/>
          </w:tcPr>
          <w:p w14:paraId="5F22F3E3"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3</w:t>
            </w:r>
          </w:p>
        </w:tc>
        <w:tc>
          <w:tcPr>
            <w:tcW w:w="320" w:type="pct"/>
            <w:shd w:val="clear" w:color="auto" w:fill="D9D9D9" w:themeFill="background1" w:themeFillShade="D9"/>
            <w:noWrap/>
            <w:hideMark/>
          </w:tcPr>
          <w:p w14:paraId="5F22F3E4"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1</w:t>
            </w:r>
          </w:p>
        </w:tc>
        <w:tc>
          <w:tcPr>
            <w:tcW w:w="320" w:type="pct"/>
            <w:shd w:val="clear" w:color="auto" w:fill="D9D9D9" w:themeFill="background1" w:themeFillShade="D9"/>
            <w:noWrap/>
            <w:hideMark/>
          </w:tcPr>
          <w:p w14:paraId="5F22F3E5"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w:t>
            </w:r>
          </w:p>
        </w:tc>
        <w:tc>
          <w:tcPr>
            <w:tcW w:w="311" w:type="pct"/>
            <w:vMerge w:val="restart"/>
            <w:shd w:val="clear" w:color="auto" w:fill="D9D9D9" w:themeFill="background1" w:themeFillShade="D9"/>
            <w:noWrap/>
            <w:hideMark/>
          </w:tcPr>
          <w:p w14:paraId="5F22F3E6"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RS</w:t>
            </w:r>
            <w:r w:rsidRPr="00B930DE">
              <w:rPr>
                <w:rFonts w:cs="Arial"/>
                <w:sz w:val="16"/>
                <w:szCs w:val="18"/>
                <w:vertAlign w:val="subscript"/>
                <w:lang w:eastAsia="en-AU"/>
              </w:rPr>
              <w:t>site</w:t>
            </w:r>
          </w:p>
        </w:tc>
        <w:tc>
          <w:tcPr>
            <w:tcW w:w="349" w:type="pct"/>
            <w:vMerge w:val="restart"/>
            <w:shd w:val="clear" w:color="auto" w:fill="D9D9D9" w:themeFill="background1" w:themeFillShade="D9"/>
            <w:noWrap/>
            <w:hideMark/>
          </w:tcPr>
          <w:p w14:paraId="5F22F3E7"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RS</w:t>
            </w:r>
            <w:r w:rsidRPr="00B930DE">
              <w:rPr>
                <w:rFonts w:cs="Arial"/>
                <w:sz w:val="16"/>
                <w:szCs w:val="18"/>
                <w:vertAlign w:val="subscript"/>
                <w:lang w:eastAsia="en-AU"/>
              </w:rPr>
              <w:t>NRM</w:t>
            </w:r>
          </w:p>
        </w:tc>
        <w:tc>
          <w:tcPr>
            <w:tcW w:w="1403" w:type="pct"/>
            <w:gridSpan w:val="4"/>
            <w:shd w:val="clear" w:color="auto" w:fill="D9D9D9" w:themeFill="background1" w:themeFillShade="D9"/>
            <w:noWrap/>
            <w:hideMark/>
          </w:tcPr>
          <w:p w14:paraId="5F22F3E8" w14:textId="77777777" w:rsidR="00574B0D" w:rsidRPr="00B930DE" w:rsidRDefault="00574B0D" w:rsidP="00B930DE">
            <w:pPr>
              <w:spacing w:before="0" w:after="0"/>
              <w:jc w:val="center"/>
              <w:rPr>
                <w:rFonts w:cs="Arial"/>
                <w:sz w:val="16"/>
                <w:szCs w:val="18"/>
                <w:lang w:eastAsia="en-AU"/>
              </w:rPr>
            </w:pPr>
          </w:p>
        </w:tc>
      </w:tr>
      <w:tr w:rsidR="00574B0D" w:rsidRPr="00B930DE" w14:paraId="5F22F3F7" w14:textId="77777777" w:rsidTr="003E25ED">
        <w:trPr>
          <w:trHeight w:val="315"/>
          <w:tblHeader/>
        </w:trPr>
        <w:tc>
          <w:tcPr>
            <w:tcW w:w="1014" w:type="pct"/>
            <w:gridSpan w:val="2"/>
            <w:shd w:val="clear" w:color="auto" w:fill="D9D9D9" w:themeFill="background1" w:themeFillShade="D9"/>
            <w:noWrap/>
            <w:hideMark/>
          </w:tcPr>
          <w:p w14:paraId="5F22F3EA"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Likelihood Score:</w:t>
            </w:r>
          </w:p>
        </w:tc>
        <w:tc>
          <w:tcPr>
            <w:tcW w:w="320" w:type="pct"/>
            <w:shd w:val="clear" w:color="auto" w:fill="D9D9D9" w:themeFill="background1" w:themeFillShade="D9"/>
            <w:noWrap/>
            <w:hideMark/>
          </w:tcPr>
          <w:p w14:paraId="5F22F3EB"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LS</w:t>
            </w:r>
            <w:r w:rsidRPr="00B930DE">
              <w:rPr>
                <w:rFonts w:cs="Arial"/>
                <w:sz w:val="16"/>
                <w:szCs w:val="18"/>
                <w:vertAlign w:val="subscript"/>
                <w:lang w:eastAsia="en-AU"/>
              </w:rPr>
              <w:t>CC1</w:t>
            </w:r>
          </w:p>
        </w:tc>
        <w:tc>
          <w:tcPr>
            <w:tcW w:w="320" w:type="pct"/>
            <w:shd w:val="clear" w:color="auto" w:fill="D9D9D9" w:themeFill="background1" w:themeFillShade="D9"/>
            <w:noWrap/>
            <w:hideMark/>
          </w:tcPr>
          <w:p w14:paraId="5F22F3EC"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LS</w:t>
            </w:r>
            <w:r w:rsidRPr="00B930DE">
              <w:rPr>
                <w:rFonts w:cs="Arial"/>
                <w:sz w:val="16"/>
                <w:szCs w:val="18"/>
                <w:vertAlign w:val="subscript"/>
                <w:lang w:eastAsia="en-AU"/>
              </w:rPr>
              <w:t>CC2</w:t>
            </w:r>
          </w:p>
        </w:tc>
        <w:tc>
          <w:tcPr>
            <w:tcW w:w="320" w:type="pct"/>
            <w:shd w:val="clear" w:color="auto" w:fill="D9D9D9" w:themeFill="background1" w:themeFillShade="D9"/>
            <w:noWrap/>
            <w:hideMark/>
          </w:tcPr>
          <w:p w14:paraId="5F22F3ED"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LS</w:t>
            </w:r>
            <w:r w:rsidRPr="00B930DE">
              <w:rPr>
                <w:rFonts w:cs="Arial"/>
                <w:sz w:val="16"/>
                <w:szCs w:val="18"/>
                <w:vertAlign w:val="subscript"/>
                <w:lang w:eastAsia="en-AU"/>
              </w:rPr>
              <w:t>CC3</w:t>
            </w:r>
          </w:p>
        </w:tc>
        <w:tc>
          <w:tcPr>
            <w:tcW w:w="320" w:type="pct"/>
            <w:shd w:val="clear" w:color="auto" w:fill="D9D9D9" w:themeFill="background1" w:themeFillShade="D9"/>
            <w:noWrap/>
            <w:hideMark/>
          </w:tcPr>
          <w:p w14:paraId="5F22F3EE"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LS</w:t>
            </w:r>
            <w:r w:rsidRPr="00B930DE">
              <w:rPr>
                <w:rFonts w:cs="Arial"/>
                <w:sz w:val="16"/>
                <w:szCs w:val="18"/>
                <w:vertAlign w:val="subscript"/>
                <w:lang w:eastAsia="en-AU"/>
              </w:rPr>
              <w:t>CC4</w:t>
            </w:r>
          </w:p>
        </w:tc>
        <w:tc>
          <w:tcPr>
            <w:tcW w:w="320" w:type="pct"/>
            <w:shd w:val="clear" w:color="auto" w:fill="D9D9D9" w:themeFill="background1" w:themeFillShade="D9"/>
            <w:noWrap/>
            <w:hideMark/>
          </w:tcPr>
          <w:p w14:paraId="5F22F3EF"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LS</w:t>
            </w:r>
            <w:r w:rsidRPr="00B930DE">
              <w:rPr>
                <w:rFonts w:cs="Arial"/>
                <w:sz w:val="16"/>
                <w:szCs w:val="18"/>
                <w:vertAlign w:val="subscript"/>
                <w:lang w:eastAsia="en-AU"/>
              </w:rPr>
              <w:t>CC5</w:t>
            </w:r>
          </w:p>
        </w:tc>
        <w:tc>
          <w:tcPr>
            <w:tcW w:w="320" w:type="pct"/>
            <w:shd w:val="clear" w:color="auto" w:fill="D9D9D9" w:themeFill="background1" w:themeFillShade="D9"/>
            <w:noWrap/>
            <w:hideMark/>
          </w:tcPr>
          <w:p w14:paraId="5F22F3F0"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LS</w:t>
            </w:r>
            <w:r w:rsidRPr="00B930DE">
              <w:rPr>
                <w:rFonts w:cs="Arial"/>
                <w:sz w:val="16"/>
                <w:szCs w:val="18"/>
                <w:vertAlign w:val="subscript"/>
                <w:lang w:eastAsia="en-AU"/>
              </w:rPr>
              <w:t>CC6</w:t>
            </w:r>
          </w:p>
        </w:tc>
        <w:tc>
          <w:tcPr>
            <w:tcW w:w="311" w:type="pct"/>
            <w:vMerge/>
            <w:shd w:val="clear" w:color="auto" w:fill="D9D9D9" w:themeFill="background1" w:themeFillShade="D9"/>
            <w:hideMark/>
          </w:tcPr>
          <w:p w14:paraId="5F22F3F1" w14:textId="77777777" w:rsidR="00574B0D" w:rsidRPr="00B930DE" w:rsidRDefault="00574B0D" w:rsidP="00B930DE">
            <w:pPr>
              <w:spacing w:before="0" w:after="0"/>
              <w:jc w:val="center"/>
              <w:rPr>
                <w:rFonts w:cs="Arial"/>
                <w:sz w:val="16"/>
                <w:szCs w:val="18"/>
                <w:lang w:eastAsia="en-AU"/>
              </w:rPr>
            </w:pPr>
          </w:p>
        </w:tc>
        <w:tc>
          <w:tcPr>
            <w:tcW w:w="349" w:type="pct"/>
            <w:vMerge/>
            <w:shd w:val="clear" w:color="auto" w:fill="D9D9D9" w:themeFill="background1" w:themeFillShade="D9"/>
            <w:hideMark/>
          </w:tcPr>
          <w:p w14:paraId="5F22F3F2" w14:textId="77777777" w:rsidR="00574B0D" w:rsidRPr="00B930DE" w:rsidRDefault="00574B0D" w:rsidP="00B930DE">
            <w:pPr>
              <w:spacing w:before="0" w:after="0"/>
              <w:jc w:val="center"/>
              <w:rPr>
                <w:rFonts w:cs="Arial"/>
                <w:sz w:val="16"/>
                <w:szCs w:val="18"/>
                <w:lang w:eastAsia="en-AU"/>
              </w:rPr>
            </w:pPr>
          </w:p>
        </w:tc>
        <w:tc>
          <w:tcPr>
            <w:tcW w:w="351" w:type="pct"/>
            <w:shd w:val="clear" w:color="auto" w:fill="D9D9D9" w:themeFill="background1" w:themeFillShade="D9"/>
            <w:noWrap/>
            <w:hideMark/>
          </w:tcPr>
          <w:p w14:paraId="5F22F3F3"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Δ</w:t>
            </w:r>
            <w:r w:rsidRPr="00B930DE">
              <w:rPr>
                <w:rFonts w:cs="Arial"/>
                <w:sz w:val="16"/>
                <w:szCs w:val="18"/>
                <w:vertAlign w:val="subscript"/>
                <w:lang w:eastAsia="en-AU"/>
              </w:rPr>
              <w:t>site</w:t>
            </w:r>
          </w:p>
        </w:tc>
        <w:tc>
          <w:tcPr>
            <w:tcW w:w="351" w:type="pct"/>
            <w:shd w:val="clear" w:color="auto" w:fill="D9D9D9" w:themeFill="background1" w:themeFillShade="D9"/>
            <w:noWrap/>
            <w:hideMark/>
          </w:tcPr>
          <w:p w14:paraId="5F22F3F4"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Δ</w:t>
            </w:r>
            <w:r w:rsidRPr="00B930DE">
              <w:rPr>
                <w:rFonts w:cs="Arial"/>
                <w:sz w:val="16"/>
                <w:szCs w:val="18"/>
                <w:vertAlign w:val="subscript"/>
                <w:lang w:eastAsia="en-AU"/>
              </w:rPr>
              <w:t>NRM</w:t>
            </w:r>
          </w:p>
        </w:tc>
        <w:tc>
          <w:tcPr>
            <w:tcW w:w="378" w:type="pct"/>
            <w:shd w:val="clear" w:color="auto" w:fill="D9D9D9" w:themeFill="background1" w:themeFillShade="D9"/>
          </w:tcPr>
          <w:p w14:paraId="5F22F3F5"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M</w:t>
            </w:r>
            <w:r w:rsidRPr="00B930DE">
              <w:rPr>
                <w:rFonts w:cs="Arial"/>
                <w:sz w:val="16"/>
                <w:szCs w:val="18"/>
                <w:vertAlign w:val="subscript"/>
                <w:lang w:eastAsia="en-AU"/>
              </w:rPr>
              <w:t>site</w:t>
            </w:r>
          </w:p>
        </w:tc>
        <w:tc>
          <w:tcPr>
            <w:tcW w:w="323" w:type="pct"/>
            <w:shd w:val="clear" w:color="auto" w:fill="D9D9D9" w:themeFill="background1" w:themeFillShade="D9"/>
          </w:tcPr>
          <w:p w14:paraId="5F22F3F6"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M</w:t>
            </w:r>
            <w:r w:rsidRPr="00B930DE">
              <w:rPr>
                <w:rFonts w:cs="Arial"/>
                <w:sz w:val="16"/>
                <w:szCs w:val="18"/>
                <w:vertAlign w:val="subscript"/>
                <w:lang w:eastAsia="en-AU"/>
              </w:rPr>
              <w:t>NRM</w:t>
            </w:r>
          </w:p>
        </w:tc>
      </w:tr>
      <w:tr w:rsidR="00574B0D" w:rsidRPr="00B930DE" w14:paraId="5F22F407" w14:textId="77777777" w:rsidTr="004A5BF7">
        <w:trPr>
          <w:trHeight w:val="315"/>
        </w:trPr>
        <w:tc>
          <w:tcPr>
            <w:tcW w:w="660" w:type="pct"/>
            <w:vMerge w:val="restart"/>
            <w:noWrap/>
            <w:hideMark/>
          </w:tcPr>
          <w:p w14:paraId="5F22F3F8"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Burdekin</w:t>
            </w:r>
          </w:p>
          <w:p w14:paraId="5F22F3F9"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(Bu)</w:t>
            </w:r>
          </w:p>
        </w:tc>
        <w:tc>
          <w:tcPr>
            <w:tcW w:w="354" w:type="pct"/>
            <w:noWrap/>
            <w:hideMark/>
          </w:tcPr>
          <w:p w14:paraId="5F22F3FA"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JR</w:t>
            </w:r>
          </w:p>
        </w:tc>
        <w:tc>
          <w:tcPr>
            <w:tcW w:w="320" w:type="pct"/>
            <w:noWrap/>
            <w:hideMark/>
          </w:tcPr>
          <w:p w14:paraId="5F22F3FB"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0.18</w:t>
            </w:r>
          </w:p>
        </w:tc>
        <w:tc>
          <w:tcPr>
            <w:tcW w:w="320" w:type="pct"/>
            <w:noWrap/>
            <w:hideMark/>
          </w:tcPr>
          <w:p w14:paraId="5F22F3FC"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0.31</w:t>
            </w:r>
          </w:p>
        </w:tc>
        <w:tc>
          <w:tcPr>
            <w:tcW w:w="320" w:type="pct"/>
            <w:noWrap/>
            <w:hideMark/>
          </w:tcPr>
          <w:p w14:paraId="5F22F3FD"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0.11</w:t>
            </w:r>
          </w:p>
        </w:tc>
        <w:tc>
          <w:tcPr>
            <w:tcW w:w="320" w:type="pct"/>
            <w:noWrap/>
            <w:hideMark/>
          </w:tcPr>
          <w:p w14:paraId="5F22F3FE"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0.20</w:t>
            </w:r>
          </w:p>
        </w:tc>
        <w:tc>
          <w:tcPr>
            <w:tcW w:w="320" w:type="pct"/>
            <w:noWrap/>
            <w:hideMark/>
          </w:tcPr>
          <w:p w14:paraId="5F22F3FF"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0.04</w:t>
            </w:r>
          </w:p>
        </w:tc>
        <w:tc>
          <w:tcPr>
            <w:tcW w:w="320" w:type="pct"/>
            <w:noWrap/>
            <w:hideMark/>
          </w:tcPr>
          <w:p w14:paraId="5F22F400"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11" w:type="pct"/>
            <w:noWrap/>
            <w:hideMark/>
          </w:tcPr>
          <w:p w14:paraId="5F22F401"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1.00</w:t>
            </w:r>
          </w:p>
        </w:tc>
        <w:tc>
          <w:tcPr>
            <w:tcW w:w="349" w:type="pct"/>
            <w:noWrap/>
            <w:hideMark/>
          </w:tcPr>
          <w:p w14:paraId="5F22F402"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0.47</w:t>
            </w:r>
          </w:p>
        </w:tc>
        <w:tc>
          <w:tcPr>
            <w:tcW w:w="351" w:type="pct"/>
            <w:noWrap/>
            <w:hideMark/>
          </w:tcPr>
          <w:p w14:paraId="5F22F403" w14:textId="77777777" w:rsidR="00574B0D" w:rsidRPr="00B930DE" w:rsidRDefault="00574B0D" w:rsidP="00B930DE">
            <w:pPr>
              <w:spacing w:before="0" w:after="0"/>
              <w:jc w:val="center"/>
              <w:rPr>
                <w:rFonts w:cs="Arial"/>
                <w:sz w:val="16"/>
                <w:szCs w:val="18"/>
                <w:lang w:eastAsia="en-AU"/>
              </w:rPr>
            </w:pPr>
          </w:p>
        </w:tc>
        <w:tc>
          <w:tcPr>
            <w:tcW w:w="351" w:type="pct"/>
            <w:noWrap/>
            <w:hideMark/>
          </w:tcPr>
          <w:p w14:paraId="5F22F404"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-17.53</w:t>
            </w:r>
          </w:p>
        </w:tc>
        <w:tc>
          <w:tcPr>
            <w:tcW w:w="378" w:type="pct"/>
          </w:tcPr>
          <w:p w14:paraId="5F22F405"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6.21</w:t>
            </w:r>
          </w:p>
        </w:tc>
        <w:tc>
          <w:tcPr>
            <w:tcW w:w="323" w:type="pct"/>
          </w:tcPr>
          <w:p w14:paraId="5F22F406"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18.40</w:t>
            </w:r>
          </w:p>
        </w:tc>
      </w:tr>
      <w:tr w:rsidR="00574B0D" w:rsidRPr="00B930DE" w14:paraId="5F22F416" w14:textId="77777777" w:rsidTr="004A5BF7">
        <w:trPr>
          <w:trHeight w:val="300"/>
        </w:trPr>
        <w:tc>
          <w:tcPr>
            <w:tcW w:w="660" w:type="pct"/>
            <w:vMerge/>
            <w:hideMark/>
          </w:tcPr>
          <w:p w14:paraId="5F22F408" w14:textId="77777777" w:rsidR="00574B0D" w:rsidRPr="00B930DE" w:rsidRDefault="00574B0D" w:rsidP="00B930DE">
            <w:pPr>
              <w:spacing w:before="0" w:after="0"/>
              <w:jc w:val="center"/>
              <w:rPr>
                <w:rFonts w:cs="Arial"/>
                <w:sz w:val="16"/>
                <w:szCs w:val="18"/>
                <w:lang w:eastAsia="en-AU"/>
              </w:rPr>
            </w:pPr>
          </w:p>
        </w:tc>
        <w:tc>
          <w:tcPr>
            <w:tcW w:w="354" w:type="pct"/>
            <w:noWrap/>
            <w:hideMark/>
          </w:tcPr>
          <w:p w14:paraId="5F22F409"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MI</w:t>
            </w:r>
          </w:p>
        </w:tc>
        <w:tc>
          <w:tcPr>
            <w:tcW w:w="320" w:type="pct"/>
            <w:noWrap/>
            <w:hideMark/>
          </w:tcPr>
          <w:p w14:paraId="5F22F40A"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20" w:type="pct"/>
            <w:noWrap/>
            <w:hideMark/>
          </w:tcPr>
          <w:p w14:paraId="5F22F40B"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0.01</w:t>
            </w:r>
          </w:p>
        </w:tc>
        <w:tc>
          <w:tcPr>
            <w:tcW w:w="320" w:type="pct"/>
            <w:noWrap/>
            <w:hideMark/>
          </w:tcPr>
          <w:p w14:paraId="5F22F40C"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0.01</w:t>
            </w:r>
          </w:p>
        </w:tc>
        <w:tc>
          <w:tcPr>
            <w:tcW w:w="320" w:type="pct"/>
            <w:noWrap/>
            <w:hideMark/>
          </w:tcPr>
          <w:p w14:paraId="5F22F40D"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0.15</w:t>
            </w:r>
          </w:p>
        </w:tc>
        <w:tc>
          <w:tcPr>
            <w:tcW w:w="320" w:type="pct"/>
            <w:noWrap/>
            <w:hideMark/>
          </w:tcPr>
          <w:p w14:paraId="5F22F40E"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0.74</w:t>
            </w:r>
          </w:p>
        </w:tc>
        <w:tc>
          <w:tcPr>
            <w:tcW w:w="320" w:type="pct"/>
            <w:noWrap/>
            <w:hideMark/>
          </w:tcPr>
          <w:p w14:paraId="5F22F40F"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0.01</w:t>
            </w:r>
          </w:p>
        </w:tc>
        <w:tc>
          <w:tcPr>
            <w:tcW w:w="311" w:type="pct"/>
            <w:noWrap/>
            <w:hideMark/>
          </w:tcPr>
          <w:p w14:paraId="5F22F410"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0.25</w:t>
            </w:r>
          </w:p>
        </w:tc>
        <w:tc>
          <w:tcPr>
            <w:tcW w:w="349" w:type="pct"/>
            <w:noWrap/>
            <w:hideMark/>
          </w:tcPr>
          <w:p w14:paraId="5F22F411" w14:textId="77777777" w:rsidR="00574B0D" w:rsidRPr="00B930DE" w:rsidRDefault="00574B0D" w:rsidP="00B930DE">
            <w:pPr>
              <w:spacing w:before="0" w:after="0"/>
              <w:jc w:val="center"/>
              <w:rPr>
                <w:rFonts w:cs="Arial"/>
                <w:sz w:val="16"/>
                <w:szCs w:val="18"/>
                <w:lang w:eastAsia="en-AU"/>
              </w:rPr>
            </w:pPr>
          </w:p>
        </w:tc>
        <w:tc>
          <w:tcPr>
            <w:tcW w:w="351" w:type="pct"/>
            <w:noWrap/>
            <w:hideMark/>
          </w:tcPr>
          <w:p w14:paraId="5F22F412"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-13.80</w:t>
            </w:r>
          </w:p>
        </w:tc>
        <w:tc>
          <w:tcPr>
            <w:tcW w:w="351" w:type="pct"/>
            <w:noWrap/>
            <w:hideMark/>
          </w:tcPr>
          <w:p w14:paraId="5F22F413" w14:textId="77777777" w:rsidR="00574B0D" w:rsidRPr="00B930DE" w:rsidRDefault="00574B0D" w:rsidP="00B930DE">
            <w:pPr>
              <w:spacing w:before="0" w:after="0"/>
              <w:jc w:val="center"/>
              <w:rPr>
                <w:rFonts w:cs="Arial"/>
                <w:sz w:val="16"/>
                <w:szCs w:val="18"/>
                <w:lang w:eastAsia="en-AU"/>
              </w:rPr>
            </w:pPr>
          </w:p>
        </w:tc>
        <w:tc>
          <w:tcPr>
            <w:tcW w:w="378" w:type="pct"/>
          </w:tcPr>
          <w:p w14:paraId="5F22F414"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24.37</w:t>
            </w:r>
          </w:p>
        </w:tc>
        <w:tc>
          <w:tcPr>
            <w:tcW w:w="323" w:type="pct"/>
          </w:tcPr>
          <w:p w14:paraId="5F22F415" w14:textId="77777777" w:rsidR="00574B0D" w:rsidRPr="00B930DE" w:rsidRDefault="00574B0D" w:rsidP="00B930DE">
            <w:pPr>
              <w:spacing w:before="0" w:after="0"/>
              <w:jc w:val="center"/>
              <w:rPr>
                <w:rFonts w:cs="Arial"/>
                <w:sz w:val="16"/>
                <w:szCs w:val="18"/>
                <w:lang w:eastAsia="en-AU"/>
              </w:rPr>
            </w:pPr>
          </w:p>
        </w:tc>
      </w:tr>
      <w:tr w:rsidR="00574B0D" w:rsidRPr="00B930DE" w14:paraId="5F22F425" w14:textId="77777777" w:rsidTr="004A5BF7">
        <w:trPr>
          <w:trHeight w:val="300"/>
        </w:trPr>
        <w:tc>
          <w:tcPr>
            <w:tcW w:w="660" w:type="pct"/>
            <w:vMerge/>
            <w:hideMark/>
          </w:tcPr>
          <w:p w14:paraId="5F22F417" w14:textId="77777777" w:rsidR="00574B0D" w:rsidRPr="00B930DE" w:rsidRDefault="00574B0D" w:rsidP="00B930DE">
            <w:pPr>
              <w:spacing w:before="0" w:after="0"/>
              <w:jc w:val="center"/>
              <w:rPr>
                <w:rFonts w:cs="Arial"/>
                <w:sz w:val="16"/>
                <w:szCs w:val="18"/>
                <w:lang w:eastAsia="en-AU"/>
              </w:rPr>
            </w:pPr>
          </w:p>
        </w:tc>
        <w:tc>
          <w:tcPr>
            <w:tcW w:w="354" w:type="pct"/>
            <w:noWrap/>
            <w:hideMark/>
          </w:tcPr>
          <w:p w14:paraId="5F22F418"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MI^</w:t>
            </w:r>
          </w:p>
        </w:tc>
        <w:tc>
          <w:tcPr>
            <w:tcW w:w="320" w:type="pct"/>
            <w:noWrap/>
            <w:hideMark/>
          </w:tcPr>
          <w:p w14:paraId="5F22F419"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20" w:type="pct"/>
            <w:noWrap/>
            <w:hideMark/>
          </w:tcPr>
          <w:p w14:paraId="5F22F41A"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20" w:type="pct"/>
            <w:noWrap/>
            <w:hideMark/>
          </w:tcPr>
          <w:p w14:paraId="5F22F41B"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0.01</w:t>
            </w:r>
          </w:p>
        </w:tc>
        <w:tc>
          <w:tcPr>
            <w:tcW w:w="320" w:type="pct"/>
            <w:noWrap/>
            <w:hideMark/>
          </w:tcPr>
          <w:p w14:paraId="5F22F41C"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0.12</w:t>
            </w:r>
          </w:p>
        </w:tc>
        <w:tc>
          <w:tcPr>
            <w:tcW w:w="320" w:type="pct"/>
            <w:noWrap/>
            <w:hideMark/>
          </w:tcPr>
          <w:p w14:paraId="5F22F41D"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0.78</w:t>
            </w:r>
          </w:p>
        </w:tc>
        <w:tc>
          <w:tcPr>
            <w:tcW w:w="320" w:type="pct"/>
            <w:noWrap/>
            <w:hideMark/>
          </w:tcPr>
          <w:p w14:paraId="5F22F41E"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0.01</w:t>
            </w:r>
          </w:p>
        </w:tc>
        <w:tc>
          <w:tcPr>
            <w:tcW w:w="311" w:type="pct"/>
            <w:noWrap/>
            <w:hideMark/>
          </w:tcPr>
          <w:p w14:paraId="5F22F41F"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0.23</w:t>
            </w:r>
          </w:p>
        </w:tc>
        <w:tc>
          <w:tcPr>
            <w:tcW w:w="349" w:type="pct"/>
            <w:noWrap/>
            <w:hideMark/>
          </w:tcPr>
          <w:p w14:paraId="5F22F420" w14:textId="77777777" w:rsidR="00574B0D" w:rsidRPr="00B930DE" w:rsidRDefault="00574B0D" w:rsidP="00B930DE">
            <w:pPr>
              <w:spacing w:before="0" w:after="0"/>
              <w:jc w:val="center"/>
              <w:rPr>
                <w:rFonts w:cs="Arial"/>
                <w:sz w:val="16"/>
                <w:szCs w:val="18"/>
                <w:lang w:eastAsia="en-AU"/>
              </w:rPr>
            </w:pPr>
          </w:p>
        </w:tc>
        <w:tc>
          <w:tcPr>
            <w:tcW w:w="351" w:type="pct"/>
            <w:noWrap/>
            <w:hideMark/>
          </w:tcPr>
          <w:p w14:paraId="5F22F421"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-26.20</w:t>
            </w:r>
          </w:p>
        </w:tc>
        <w:tc>
          <w:tcPr>
            <w:tcW w:w="351" w:type="pct"/>
            <w:noWrap/>
            <w:hideMark/>
          </w:tcPr>
          <w:p w14:paraId="5F22F422" w14:textId="77777777" w:rsidR="00574B0D" w:rsidRPr="00B930DE" w:rsidRDefault="00574B0D" w:rsidP="00B930DE">
            <w:pPr>
              <w:spacing w:before="0" w:after="0"/>
              <w:jc w:val="center"/>
              <w:rPr>
                <w:rFonts w:cs="Arial"/>
                <w:sz w:val="16"/>
                <w:szCs w:val="18"/>
                <w:lang w:eastAsia="en-AU"/>
              </w:rPr>
            </w:pPr>
          </w:p>
        </w:tc>
        <w:tc>
          <w:tcPr>
            <w:tcW w:w="378" w:type="pct"/>
          </w:tcPr>
          <w:p w14:paraId="5F22F423"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30.88</w:t>
            </w:r>
          </w:p>
        </w:tc>
        <w:tc>
          <w:tcPr>
            <w:tcW w:w="323" w:type="pct"/>
          </w:tcPr>
          <w:p w14:paraId="5F22F424" w14:textId="77777777" w:rsidR="00574B0D" w:rsidRPr="00B930DE" w:rsidRDefault="00574B0D" w:rsidP="00B930DE">
            <w:pPr>
              <w:spacing w:before="0" w:after="0"/>
              <w:jc w:val="center"/>
              <w:rPr>
                <w:rFonts w:cs="Arial"/>
                <w:sz w:val="16"/>
                <w:szCs w:val="18"/>
                <w:lang w:eastAsia="en-AU"/>
              </w:rPr>
            </w:pPr>
          </w:p>
        </w:tc>
      </w:tr>
      <w:tr w:rsidR="00574B0D" w:rsidRPr="00B930DE" w14:paraId="5F22F434" w14:textId="77777777" w:rsidTr="004A5BF7">
        <w:trPr>
          <w:trHeight w:val="300"/>
        </w:trPr>
        <w:tc>
          <w:tcPr>
            <w:tcW w:w="660" w:type="pct"/>
            <w:vMerge/>
            <w:hideMark/>
          </w:tcPr>
          <w:p w14:paraId="5F22F426" w14:textId="77777777" w:rsidR="00574B0D" w:rsidRPr="00B930DE" w:rsidRDefault="00574B0D" w:rsidP="00B930DE">
            <w:pPr>
              <w:spacing w:before="0" w:after="0"/>
              <w:jc w:val="center"/>
              <w:rPr>
                <w:rFonts w:cs="Arial"/>
                <w:sz w:val="16"/>
                <w:szCs w:val="18"/>
                <w:lang w:eastAsia="en-AU"/>
              </w:rPr>
            </w:pPr>
          </w:p>
        </w:tc>
        <w:tc>
          <w:tcPr>
            <w:tcW w:w="354" w:type="pct"/>
            <w:noWrap/>
            <w:hideMark/>
          </w:tcPr>
          <w:p w14:paraId="5F22F427"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TSV</w:t>
            </w:r>
          </w:p>
        </w:tc>
        <w:tc>
          <w:tcPr>
            <w:tcW w:w="320" w:type="pct"/>
            <w:noWrap/>
            <w:hideMark/>
          </w:tcPr>
          <w:p w14:paraId="5F22F428"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0.01</w:t>
            </w:r>
          </w:p>
        </w:tc>
        <w:tc>
          <w:tcPr>
            <w:tcW w:w="320" w:type="pct"/>
            <w:noWrap/>
            <w:hideMark/>
          </w:tcPr>
          <w:p w14:paraId="5F22F429"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0.07</w:t>
            </w:r>
          </w:p>
        </w:tc>
        <w:tc>
          <w:tcPr>
            <w:tcW w:w="320" w:type="pct"/>
            <w:noWrap/>
            <w:hideMark/>
          </w:tcPr>
          <w:p w14:paraId="5F22F42A"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0.04</w:t>
            </w:r>
          </w:p>
        </w:tc>
        <w:tc>
          <w:tcPr>
            <w:tcW w:w="320" w:type="pct"/>
            <w:noWrap/>
            <w:hideMark/>
          </w:tcPr>
          <w:p w14:paraId="5F22F42B"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0.33</w:t>
            </w:r>
          </w:p>
        </w:tc>
        <w:tc>
          <w:tcPr>
            <w:tcW w:w="320" w:type="pct"/>
            <w:noWrap/>
            <w:hideMark/>
          </w:tcPr>
          <w:p w14:paraId="5F22F42C"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0.39</w:t>
            </w:r>
          </w:p>
        </w:tc>
        <w:tc>
          <w:tcPr>
            <w:tcW w:w="320" w:type="pct"/>
            <w:noWrap/>
            <w:hideMark/>
          </w:tcPr>
          <w:p w14:paraId="5F22F42D"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11" w:type="pct"/>
            <w:noWrap/>
            <w:hideMark/>
          </w:tcPr>
          <w:p w14:paraId="5F22F42E"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0.42</w:t>
            </w:r>
          </w:p>
        </w:tc>
        <w:tc>
          <w:tcPr>
            <w:tcW w:w="349" w:type="pct"/>
            <w:noWrap/>
            <w:hideMark/>
          </w:tcPr>
          <w:p w14:paraId="5F22F42F" w14:textId="77777777" w:rsidR="00574B0D" w:rsidRPr="00B930DE" w:rsidRDefault="00574B0D" w:rsidP="00B930DE">
            <w:pPr>
              <w:spacing w:before="0" w:after="0"/>
              <w:jc w:val="center"/>
              <w:rPr>
                <w:rFonts w:cs="Arial"/>
                <w:sz w:val="16"/>
                <w:szCs w:val="18"/>
                <w:lang w:eastAsia="en-AU"/>
              </w:rPr>
            </w:pPr>
          </w:p>
        </w:tc>
        <w:tc>
          <w:tcPr>
            <w:tcW w:w="351" w:type="pct"/>
            <w:noWrap/>
            <w:hideMark/>
          </w:tcPr>
          <w:p w14:paraId="5F22F430"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-12.60</w:t>
            </w:r>
          </w:p>
        </w:tc>
        <w:tc>
          <w:tcPr>
            <w:tcW w:w="351" w:type="pct"/>
            <w:noWrap/>
            <w:hideMark/>
          </w:tcPr>
          <w:p w14:paraId="5F22F431" w14:textId="77777777" w:rsidR="00574B0D" w:rsidRPr="00B930DE" w:rsidRDefault="00574B0D" w:rsidP="00B930DE">
            <w:pPr>
              <w:spacing w:before="0" w:after="0"/>
              <w:jc w:val="center"/>
              <w:rPr>
                <w:rFonts w:cs="Arial"/>
                <w:sz w:val="16"/>
                <w:szCs w:val="18"/>
                <w:lang w:eastAsia="en-AU"/>
              </w:rPr>
            </w:pPr>
          </w:p>
        </w:tc>
        <w:tc>
          <w:tcPr>
            <w:tcW w:w="378" w:type="pct"/>
          </w:tcPr>
          <w:p w14:paraId="5F22F432"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12.13</w:t>
            </w:r>
          </w:p>
        </w:tc>
        <w:tc>
          <w:tcPr>
            <w:tcW w:w="323" w:type="pct"/>
          </w:tcPr>
          <w:p w14:paraId="5F22F433" w14:textId="77777777" w:rsidR="00574B0D" w:rsidRPr="00B930DE" w:rsidRDefault="00574B0D" w:rsidP="00B930DE">
            <w:pPr>
              <w:spacing w:before="0" w:after="0"/>
              <w:jc w:val="center"/>
              <w:rPr>
                <w:rFonts w:cs="Arial"/>
                <w:sz w:val="16"/>
                <w:szCs w:val="18"/>
                <w:lang w:eastAsia="en-AU"/>
              </w:rPr>
            </w:pPr>
          </w:p>
        </w:tc>
      </w:tr>
      <w:tr w:rsidR="00574B0D" w:rsidRPr="00B930DE" w14:paraId="5F22F444" w14:textId="77777777" w:rsidTr="004A5BF7">
        <w:trPr>
          <w:trHeight w:val="300"/>
        </w:trPr>
        <w:tc>
          <w:tcPr>
            <w:tcW w:w="660" w:type="pct"/>
            <w:vMerge w:val="restart"/>
            <w:noWrap/>
            <w:hideMark/>
          </w:tcPr>
          <w:p w14:paraId="5F22F435"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Burnett-Mary</w:t>
            </w:r>
          </w:p>
          <w:p w14:paraId="5F22F436"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(BM)</w:t>
            </w:r>
          </w:p>
        </w:tc>
        <w:tc>
          <w:tcPr>
            <w:tcW w:w="354" w:type="pct"/>
            <w:noWrap/>
            <w:hideMark/>
          </w:tcPr>
          <w:p w14:paraId="5F22F437"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RD</w:t>
            </w:r>
          </w:p>
        </w:tc>
        <w:tc>
          <w:tcPr>
            <w:tcW w:w="320" w:type="pct"/>
            <w:noWrap/>
            <w:hideMark/>
          </w:tcPr>
          <w:p w14:paraId="5F22F438"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0.06</w:t>
            </w:r>
          </w:p>
        </w:tc>
        <w:tc>
          <w:tcPr>
            <w:tcW w:w="320" w:type="pct"/>
            <w:noWrap/>
            <w:hideMark/>
          </w:tcPr>
          <w:p w14:paraId="5F22F439"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0.15</w:t>
            </w:r>
          </w:p>
        </w:tc>
        <w:tc>
          <w:tcPr>
            <w:tcW w:w="320" w:type="pct"/>
            <w:noWrap/>
            <w:hideMark/>
          </w:tcPr>
          <w:p w14:paraId="5F22F43A"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0.11</w:t>
            </w:r>
          </w:p>
        </w:tc>
        <w:tc>
          <w:tcPr>
            <w:tcW w:w="320" w:type="pct"/>
            <w:noWrap/>
            <w:hideMark/>
          </w:tcPr>
          <w:p w14:paraId="5F22F43B"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0.38</w:t>
            </w:r>
          </w:p>
        </w:tc>
        <w:tc>
          <w:tcPr>
            <w:tcW w:w="320" w:type="pct"/>
            <w:noWrap/>
            <w:hideMark/>
          </w:tcPr>
          <w:p w14:paraId="5F22F43C"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0.09</w:t>
            </w:r>
          </w:p>
        </w:tc>
        <w:tc>
          <w:tcPr>
            <w:tcW w:w="320" w:type="pct"/>
            <w:noWrap/>
            <w:hideMark/>
          </w:tcPr>
          <w:p w14:paraId="5F22F43D"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11" w:type="pct"/>
            <w:noWrap/>
            <w:hideMark/>
          </w:tcPr>
          <w:p w14:paraId="5F22F43E"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0.65</w:t>
            </w:r>
          </w:p>
        </w:tc>
        <w:tc>
          <w:tcPr>
            <w:tcW w:w="349" w:type="pct"/>
            <w:noWrap/>
            <w:hideMark/>
          </w:tcPr>
          <w:p w14:paraId="5F22F43F"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0.59</w:t>
            </w:r>
          </w:p>
        </w:tc>
        <w:tc>
          <w:tcPr>
            <w:tcW w:w="351" w:type="pct"/>
            <w:noWrap/>
            <w:hideMark/>
          </w:tcPr>
          <w:p w14:paraId="5F22F440"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-32.30</w:t>
            </w:r>
          </w:p>
        </w:tc>
        <w:tc>
          <w:tcPr>
            <w:tcW w:w="351" w:type="pct"/>
            <w:noWrap/>
            <w:hideMark/>
          </w:tcPr>
          <w:p w14:paraId="5F22F441"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-43.20</w:t>
            </w:r>
          </w:p>
        </w:tc>
        <w:tc>
          <w:tcPr>
            <w:tcW w:w="378" w:type="pct"/>
          </w:tcPr>
          <w:p w14:paraId="5F22F442"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14.50</w:t>
            </w:r>
          </w:p>
        </w:tc>
        <w:tc>
          <w:tcPr>
            <w:tcW w:w="323" w:type="pct"/>
          </w:tcPr>
          <w:p w14:paraId="5F22F443"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12.42</w:t>
            </w:r>
          </w:p>
        </w:tc>
      </w:tr>
      <w:tr w:rsidR="00574B0D" w:rsidRPr="00B930DE" w14:paraId="5F22F453" w14:textId="77777777" w:rsidTr="004A5BF7">
        <w:trPr>
          <w:trHeight w:val="300"/>
        </w:trPr>
        <w:tc>
          <w:tcPr>
            <w:tcW w:w="660" w:type="pct"/>
            <w:vMerge/>
            <w:hideMark/>
          </w:tcPr>
          <w:p w14:paraId="5F22F445" w14:textId="77777777" w:rsidR="00574B0D" w:rsidRPr="00B930DE" w:rsidRDefault="00574B0D" w:rsidP="00B930DE">
            <w:pPr>
              <w:spacing w:before="0" w:after="0"/>
              <w:jc w:val="center"/>
              <w:rPr>
                <w:rFonts w:cs="Arial"/>
                <w:sz w:val="16"/>
                <w:szCs w:val="18"/>
                <w:lang w:eastAsia="en-AU"/>
              </w:rPr>
            </w:pPr>
          </w:p>
        </w:tc>
        <w:tc>
          <w:tcPr>
            <w:tcW w:w="354" w:type="pct"/>
            <w:noWrap/>
            <w:hideMark/>
          </w:tcPr>
          <w:p w14:paraId="5F22F446"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UG</w:t>
            </w:r>
          </w:p>
        </w:tc>
        <w:tc>
          <w:tcPr>
            <w:tcW w:w="320" w:type="pct"/>
            <w:noWrap/>
            <w:hideMark/>
          </w:tcPr>
          <w:p w14:paraId="5F22F447"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0.05</w:t>
            </w:r>
          </w:p>
        </w:tc>
        <w:tc>
          <w:tcPr>
            <w:tcW w:w="320" w:type="pct"/>
            <w:noWrap/>
            <w:hideMark/>
          </w:tcPr>
          <w:p w14:paraId="5F22F448"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0.07</w:t>
            </w:r>
          </w:p>
        </w:tc>
        <w:tc>
          <w:tcPr>
            <w:tcW w:w="320" w:type="pct"/>
            <w:noWrap/>
            <w:hideMark/>
          </w:tcPr>
          <w:p w14:paraId="5F22F449"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0.05</w:t>
            </w:r>
          </w:p>
        </w:tc>
        <w:tc>
          <w:tcPr>
            <w:tcW w:w="320" w:type="pct"/>
            <w:noWrap/>
            <w:hideMark/>
          </w:tcPr>
          <w:p w14:paraId="5F22F44A"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0.32</w:t>
            </w:r>
          </w:p>
        </w:tc>
        <w:tc>
          <w:tcPr>
            <w:tcW w:w="320" w:type="pct"/>
            <w:noWrap/>
            <w:hideMark/>
          </w:tcPr>
          <w:p w14:paraId="5F22F44B"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0.37</w:t>
            </w:r>
          </w:p>
        </w:tc>
        <w:tc>
          <w:tcPr>
            <w:tcW w:w="320" w:type="pct"/>
            <w:noWrap/>
            <w:hideMark/>
          </w:tcPr>
          <w:p w14:paraId="5F22F44C"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11" w:type="pct"/>
            <w:noWrap/>
            <w:hideMark/>
          </w:tcPr>
          <w:p w14:paraId="5F22F44D"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0.52</w:t>
            </w:r>
          </w:p>
        </w:tc>
        <w:tc>
          <w:tcPr>
            <w:tcW w:w="349" w:type="pct"/>
            <w:noWrap/>
            <w:hideMark/>
          </w:tcPr>
          <w:p w14:paraId="5F22F44E" w14:textId="77777777" w:rsidR="00574B0D" w:rsidRPr="00B930DE" w:rsidRDefault="00574B0D" w:rsidP="00B930DE">
            <w:pPr>
              <w:spacing w:before="0" w:after="0"/>
              <w:jc w:val="center"/>
              <w:rPr>
                <w:rFonts w:cs="Arial"/>
                <w:sz w:val="16"/>
                <w:szCs w:val="18"/>
                <w:lang w:eastAsia="en-AU"/>
              </w:rPr>
            </w:pPr>
          </w:p>
        </w:tc>
        <w:tc>
          <w:tcPr>
            <w:tcW w:w="351" w:type="pct"/>
            <w:noWrap/>
            <w:hideMark/>
          </w:tcPr>
          <w:p w14:paraId="5F22F44F"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-54.10</w:t>
            </w:r>
          </w:p>
        </w:tc>
        <w:tc>
          <w:tcPr>
            <w:tcW w:w="351" w:type="pct"/>
            <w:noWrap/>
            <w:hideMark/>
          </w:tcPr>
          <w:p w14:paraId="5F22F450" w14:textId="77777777" w:rsidR="00574B0D" w:rsidRPr="00B930DE" w:rsidRDefault="00574B0D" w:rsidP="00B930DE">
            <w:pPr>
              <w:spacing w:before="0" w:after="0"/>
              <w:jc w:val="center"/>
              <w:rPr>
                <w:rFonts w:cs="Arial"/>
                <w:sz w:val="16"/>
                <w:szCs w:val="18"/>
                <w:lang w:eastAsia="en-AU"/>
              </w:rPr>
            </w:pPr>
          </w:p>
        </w:tc>
        <w:tc>
          <w:tcPr>
            <w:tcW w:w="378" w:type="pct"/>
          </w:tcPr>
          <w:p w14:paraId="5F22F451"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10.34</w:t>
            </w:r>
          </w:p>
        </w:tc>
        <w:tc>
          <w:tcPr>
            <w:tcW w:w="323" w:type="pct"/>
          </w:tcPr>
          <w:p w14:paraId="5F22F452" w14:textId="77777777" w:rsidR="00574B0D" w:rsidRPr="00B930DE" w:rsidRDefault="00574B0D" w:rsidP="00B930DE">
            <w:pPr>
              <w:spacing w:before="0" w:after="0"/>
              <w:jc w:val="center"/>
              <w:rPr>
                <w:rFonts w:cs="Arial"/>
                <w:sz w:val="16"/>
                <w:szCs w:val="18"/>
                <w:lang w:eastAsia="en-AU"/>
              </w:rPr>
            </w:pPr>
          </w:p>
        </w:tc>
      </w:tr>
      <w:tr w:rsidR="00574B0D" w:rsidRPr="00B930DE" w14:paraId="5F22F463" w14:textId="77777777" w:rsidTr="004A5BF7">
        <w:trPr>
          <w:trHeight w:val="300"/>
        </w:trPr>
        <w:tc>
          <w:tcPr>
            <w:tcW w:w="660" w:type="pct"/>
            <w:vMerge w:val="restart"/>
            <w:noWrap/>
            <w:hideMark/>
          </w:tcPr>
          <w:p w14:paraId="5F22F454"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Fitzroy</w:t>
            </w:r>
          </w:p>
          <w:p w14:paraId="5F22F455"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(Fi)</w:t>
            </w:r>
          </w:p>
        </w:tc>
        <w:tc>
          <w:tcPr>
            <w:tcW w:w="354" w:type="pct"/>
            <w:noWrap/>
            <w:hideMark/>
          </w:tcPr>
          <w:p w14:paraId="5F22F456"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GH</w:t>
            </w:r>
          </w:p>
        </w:tc>
        <w:tc>
          <w:tcPr>
            <w:tcW w:w="320" w:type="pct"/>
            <w:noWrap/>
            <w:hideMark/>
          </w:tcPr>
          <w:p w14:paraId="5F22F457"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0.03</w:t>
            </w:r>
          </w:p>
        </w:tc>
        <w:tc>
          <w:tcPr>
            <w:tcW w:w="320" w:type="pct"/>
            <w:noWrap/>
            <w:hideMark/>
          </w:tcPr>
          <w:p w14:paraId="5F22F458"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0.18</w:t>
            </w:r>
          </w:p>
        </w:tc>
        <w:tc>
          <w:tcPr>
            <w:tcW w:w="320" w:type="pct"/>
            <w:noWrap/>
            <w:hideMark/>
          </w:tcPr>
          <w:p w14:paraId="5F22F459"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0.17</w:t>
            </w:r>
          </w:p>
        </w:tc>
        <w:tc>
          <w:tcPr>
            <w:tcW w:w="320" w:type="pct"/>
            <w:noWrap/>
            <w:hideMark/>
          </w:tcPr>
          <w:p w14:paraId="5F22F45A"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0.47</w:t>
            </w:r>
          </w:p>
        </w:tc>
        <w:tc>
          <w:tcPr>
            <w:tcW w:w="320" w:type="pct"/>
            <w:noWrap/>
            <w:hideMark/>
          </w:tcPr>
          <w:p w14:paraId="5F22F45B"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0.06</w:t>
            </w:r>
          </w:p>
        </w:tc>
        <w:tc>
          <w:tcPr>
            <w:tcW w:w="320" w:type="pct"/>
            <w:noWrap/>
            <w:hideMark/>
          </w:tcPr>
          <w:p w14:paraId="5F22F45C"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11" w:type="pct"/>
            <w:noWrap/>
            <w:hideMark/>
          </w:tcPr>
          <w:p w14:paraId="5F22F45D"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0.71</w:t>
            </w:r>
          </w:p>
        </w:tc>
        <w:tc>
          <w:tcPr>
            <w:tcW w:w="349" w:type="pct"/>
            <w:noWrap/>
            <w:hideMark/>
          </w:tcPr>
          <w:p w14:paraId="5F22F45E"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0.43</w:t>
            </w:r>
          </w:p>
        </w:tc>
        <w:tc>
          <w:tcPr>
            <w:tcW w:w="351" w:type="pct"/>
            <w:noWrap/>
            <w:hideMark/>
          </w:tcPr>
          <w:p w14:paraId="5F22F45F"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-1.40</w:t>
            </w:r>
          </w:p>
        </w:tc>
        <w:tc>
          <w:tcPr>
            <w:tcW w:w="351" w:type="pct"/>
            <w:noWrap/>
            <w:hideMark/>
          </w:tcPr>
          <w:p w14:paraId="5F22F460"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-10.13</w:t>
            </w:r>
          </w:p>
        </w:tc>
        <w:tc>
          <w:tcPr>
            <w:tcW w:w="378" w:type="pct"/>
          </w:tcPr>
          <w:p w14:paraId="5F22F461"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28.19</w:t>
            </w:r>
          </w:p>
        </w:tc>
        <w:tc>
          <w:tcPr>
            <w:tcW w:w="323" w:type="pct"/>
          </w:tcPr>
          <w:p w14:paraId="5F22F462"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18.12</w:t>
            </w:r>
          </w:p>
        </w:tc>
      </w:tr>
      <w:tr w:rsidR="00574B0D" w:rsidRPr="00B930DE" w14:paraId="5F22F472" w14:textId="77777777" w:rsidTr="004A5BF7">
        <w:trPr>
          <w:trHeight w:val="300"/>
        </w:trPr>
        <w:tc>
          <w:tcPr>
            <w:tcW w:w="660" w:type="pct"/>
            <w:vMerge/>
            <w:hideMark/>
          </w:tcPr>
          <w:p w14:paraId="5F22F464" w14:textId="77777777" w:rsidR="00574B0D" w:rsidRPr="00B930DE" w:rsidRDefault="00574B0D" w:rsidP="00B930DE">
            <w:pPr>
              <w:spacing w:before="0" w:after="0"/>
              <w:jc w:val="center"/>
              <w:rPr>
                <w:rFonts w:cs="Arial"/>
                <w:sz w:val="16"/>
                <w:szCs w:val="18"/>
                <w:lang w:eastAsia="en-AU"/>
              </w:rPr>
            </w:pPr>
          </w:p>
        </w:tc>
        <w:tc>
          <w:tcPr>
            <w:tcW w:w="354" w:type="pct"/>
            <w:noWrap/>
            <w:hideMark/>
          </w:tcPr>
          <w:p w14:paraId="5F22F465"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GK</w:t>
            </w:r>
          </w:p>
        </w:tc>
        <w:tc>
          <w:tcPr>
            <w:tcW w:w="320" w:type="pct"/>
            <w:noWrap/>
            <w:hideMark/>
          </w:tcPr>
          <w:p w14:paraId="5F22F466"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0.01</w:t>
            </w:r>
          </w:p>
        </w:tc>
        <w:tc>
          <w:tcPr>
            <w:tcW w:w="320" w:type="pct"/>
            <w:noWrap/>
            <w:hideMark/>
          </w:tcPr>
          <w:p w14:paraId="5F22F467"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0.01</w:t>
            </w:r>
          </w:p>
        </w:tc>
        <w:tc>
          <w:tcPr>
            <w:tcW w:w="320" w:type="pct"/>
            <w:noWrap/>
            <w:hideMark/>
          </w:tcPr>
          <w:p w14:paraId="5F22F468"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0.01</w:t>
            </w:r>
          </w:p>
        </w:tc>
        <w:tc>
          <w:tcPr>
            <w:tcW w:w="320" w:type="pct"/>
            <w:noWrap/>
            <w:hideMark/>
          </w:tcPr>
          <w:p w14:paraId="5F22F469"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0.09</w:t>
            </w:r>
          </w:p>
        </w:tc>
        <w:tc>
          <w:tcPr>
            <w:tcW w:w="320" w:type="pct"/>
            <w:noWrap/>
            <w:hideMark/>
          </w:tcPr>
          <w:p w14:paraId="5F22F46A"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0.74</w:t>
            </w:r>
          </w:p>
        </w:tc>
        <w:tc>
          <w:tcPr>
            <w:tcW w:w="320" w:type="pct"/>
            <w:noWrap/>
            <w:hideMark/>
          </w:tcPr>
          <w:p w14:paraId="5F22F46B"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0.05</w:t>
            </w:r>
          </w:p>
        </w:tc>
        <w:tc>
          <w:tcPr>
            <w:tcW w:w="311" w:type="pct"/>
            <w:noWrap/>
            <w:hideMark/>
          </w:tcPr>
          <w:p w14:paraId="5F22F46C"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0.24</w:t>
            </w:r>
          </w:p>
        </w:tc>
        <w:tc>
          <w:tcPr>
            <w:tcW w:w="349" w:type="pct"/>
            <w:noWrap/>
            <w:hideMark/>
          </w:tcPr>
          <w:p w14:paraId="5F22F46D" w14:textId="77777777" w:rsidR="00574B0D" w:rsidRPr="00B930DE" w:rsidRDefault="00574B0D" w:rsidP="00B930DE">
            <w:pPr>
              <w:spacing w:before="0" w:after="0"/>
              <w:jc w:val="center"/>
              <w:rPr>
                <w:rFonts w:cs="Arial"/>
                <w:sz w:val="16"/>
                <w:szCs w:val="18"/>
                <w:lang w:eastAsia="en-AU"/>
              </w:rPr>
            </w:pPr>
          </w:p>
        </w:tc>
        <w:tc>
          <w:tcPr>
            <w:tcW w:w="351" w:type="pct"/>
            <w:noWrap/>
            <w:hideMark/>
          </w:tcPr>
          <w:p w14:paraId="5F22F46E"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-4.60</w:t>
            </w:r>
          </w:p>
        </w:tc>
        <w:tc>
          <w:tcPr>
            <w:tcW w:w="351" w:type="pct"/>
            <w:noWrap/>
            <w:hideMark/>
          </w:tcPr>
          <w:p w14:paraId="5F22F46F" w14:textId="77777777" w:rsidR="00574B0D" w:rsidRPr="00B930DE" w:rsidRDefault="00574B0D" w:rsidP="00B930DE">
            <w:pPr>
              <w:spacing w:before="0" w:after="0"/>
              <w:jc w:val="center"/>
              <w:rPr>
                <w:rFonts w:cs="Arial"/>
                <w:sz w:val="16"/>
                <w:szCs w:val="18"/>
                <w:lang w:eastAsia="en-AU"/>
              </w:rPr>
            </w:pPr>
          </w:p>
        </w:tc>
        <w:tc>
          <w:tcPr>
            <w:tcW w:w="378" w:type="pct"/>
          </w:tcPr>
          <w:p w14:paraId="5F22F470"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3.28</w:t>
            </w:r>
          </w:p>
        </w:tc>
        <w:tc>
          <w:tcPr>
            <w:tcW w:w="323" w:type="pct"/>
          </w:tcPr>
          <w:p w14:paraId="5F22F471" w14:textId="77777777" w:rsidR="00574B0D" w:rsidRPr="00B930DE" w:rsidRDefault="00574B0D" w:rsidP="00B930DE">
            <w:pPr>
              <w:spacing w:before="0" w:after="0"/>
              <w:jc w:val="center"/>
              <w:rPr>
                <w:rFonts w:cs="Arial"/>
                <w:sz w:val="16"/>
                <w:szCs w:val="18"/>
                <w:lang w:eastAsia="en-AU"/>
              </w:rPr>
            </w:pPr>
          </w:p>
        </w:tc>
      </w:tr>
      <w:tr w:rsidR="00574B0D" w:rsidRPr="00B930DE" w14:paraId="5F22F481" w14:textId="77777777" w:rsidTr="004A5BF7">
        <w:trPr>
          <w:trHeight w:val="300"/>
        </w:trPr>
        <w:tc>
          <w:tcPr>
            <w:tcW w:w="660" w:type="pct"/>
            <w:vMerge/>
            <w:hideMark/>
          </w:tcPr>
          <w:p w14:paraId="5F22F473" w14:textId="77777777" w:rsidR="00574B0D" w:rsidRPr="00B930DE" w:rsidRDefault="00574B0D" w:rsidP="00B930DE">
            <w:pPr>
              <w:spacing w:before="0" w:after="0"/>
              <w:jc w:val="center"/>
              <w:rPr>
                <w:rFonts w:cs="Arial"/>
                <w:sz w:val="16"/>
                <w:szCs w:val="18"/>
                <w:lang w:eastAsia="en-AU"/>
              </w:rPr>
            </w:pPr>
          </w:p>
        </w:tc>
        <w:tc>
          <w:tcPr>
            <w:tcW w:w="354" w:type="pct"/>
            <w:noWrap/>
            <w:hideMark/>
          </w:tcPr>
          <w:p w14:paraId="5F22F474"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SWB</w:t>
            </w:r>
          </w:p>
        </w:tc>
        <w:tc>
          <w:tcPr>
            <w:tcW w:w="320" w:type="pct"/>
            <w:noWrap/>
            <w:hideMark/>
          </w:tcPr>
          <w:p w14:paraId="5F22F475"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0.02</w:t>
            </w:r>
          </w:p>
        </w:tc>
        <w:tc>
          <w:tcPr>
            <w:tcW w:w="320" w:type="pct"/>
            <w:noWrap/>
            <w:hideMark/>
          </w:tcPr>
          <w:p w14:paraId="5F22F476"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0.05</w:t>
            </w:r>
          </w:p>
        </w:tc>
        <w:tc>
          <w:tcPr>
            <w:tcW w:w="320" w:type="pct"/>
            <w:noWrap/>
            <w:hideMark/>
          </w:tcPr>
          <w:p w14:paraId="5F22F477"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0.02</w:t>
            </w:r>
          </w:p>
        </w:tc>
        <w:tc>
          <w:tcPr>
            <w:tcW w:w="320" w:type="pct"/>
            <w:noWrap/>
            <w:hideMark/>
          </w:tcPr>
          <w:p w14:paraId="5F22F478"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0.15</w:t>
            </w:r>
          </w:p>
        </w:tc>
        <w:tc>
          <w:tcPr>
            <w:tcW w:w="320" w:type="pct"/>
            <w:noWrap/>
            <w:hideMark/>
          </w:tcPr>
          <w:p w14:paraId="5F22F479"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0.61</w:t>
            </w:r>
          </w:p>
        </w:tc>
        <w:tc>
          <w:tcPr>
            <w:tcW w:w="320" w:type="pct"/>
            <w:noWrap/>
            <w:hideMark/>
          </w:tcPr>
          <w:p w14:paraId="5F22F47A"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11" w:type="pct"/>
            <w:noWrap/>
            <w:hideMark/>
          </w:tcPr>
          <w:p w14:paraId="5F22F47B"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0.33</w:t>
            </w:r>
          </w:p>
        </w:tc>
        <w:tc>
          <w:tcPr>
            <w:tcW w:w="349" w:type="pct"/>
            <w:noWrap/>
            <w:hideMark/>
          </w:tcPr>
          <w:p w14:paraId="5F22F47C" w14:textId="77777777" w:rsidR="00574B0D" w:rsidRPr="00B930DE" w:rsidRDefault="00574B0D" w:rsidP="00B930DE">
            <w:pPr>
              <w:spacing w:before="0" w:after="0"/>
              <w:jc w:val="center"/>
              <w:rPr>
                <w:rFonts w:cs="Arial"/>
                <w:sz w:val="16"/>
                <w:szCs w:val="18"/>
                <w:lang w:eastAsia="en-AU"/>
              </w:rPr>
            </w:pPr>
          </w:p>
        </w:tc>
        <w:tc>
          <w:tcPr>
            <w:tcW w:w="351" w:type="pct"/>
            <w:noWrap/>
            <w:hideMark/>
          </w:tcPr>
          <w:p w14:paraId="5F22F47D"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-24.40</w:t>
            </w:r>
          </w:p>
        </w:tc>
        <w:tc>
          <w:tcPr>
            <w:tcW w:w="351" w:type="pct"/>
            <w:noWrap/>
            <w:hideMark/>
          </w:tcPr>
          <w:p w14:paraId="5F22F47E" w14:textId="77777777" w:rsidR="00574B0D" w:rsidRPr="00B930DE" w:rsidRDefault="00574B0D" w:rsidP="00B930DE">
            <w:pPr>
              <w:spacing w:before="0" w:after="0"/>
              <w:jc w:val="center"/>
              <w:rPr>
                <w:rFonts w:cs="Arial"/>
                <w:sz w:val="16"/>
                <w:szCs w:val="18"/>
                <w:lang w:eastAsia="en-AU"/>
              </w:rPr>
            </w:pPr>
          </w:p>
        </w:tc>
        <w:tc>
          <w:tcPr>
            <w:tcW w:w="378" w:type="pct"/>
          </w:tcPr>
          <w:p w14:paraId="5F22F47F"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22.88</w:t>
            </w:r>
          </w:p>
        </w:tc>
        <w:tc>
          <w:tcPr>
            <w:tcW w:w="323" w:type="pct"/>
          </w:tcPr>
          <w:p w14:paraId="5F22F480" w14:textId="77777777" w:rsidR="00574B0D" w:rsidRPr="00B930DE" w:rsidRDefault="00574B0D" w:rsidP="00B930DE">
            <w:pPr>
              <w:spacing w:before="0" w:after="0"/>
              <w:jc w:val="center"/>
              <w:rPr>
                <w:rFonts w:cs="Arial"/>
                <w:sz w:val="16"/>
                <w:szCs w:val="18"/>
                <w:lang w:eastAsia="en-AU"/>
              </w:rPr>
            </w:pPr>
          </w:p>
        </w:tc>
      </w:tr>
      <w:tr w:rsidR="00574B0D" w:rsidRPr="00B930DE" w14:paraId="5F22F491" w14:textId="77777777" w:rsidTr="004A5BF7">
        <w:trPr>
          <w:trHeight w:val="300"/>
        </w:trPr>
        <w:tc>
          <w:tcPr>
            <w:tcW w:w="660" w:type="pct"/>
            <w:vMerge w:val="restart"/>
            <w:noWrap/>
            <w:hideMark/>
          </w:tcPr>
          <w:p w14:paraId="5F22F482"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Mackay-Whits.</w:t>
            </w:r>
          </w:p>
          <w:p w14:paraId="5F22F483"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(MW)</w:t>
            </w:r>
          </w:p>
        </w:tc>
        <w:tc>
          <w:tcPr>
            <w:tcW w:w="354" w:type="pct"/>
            <w:noWrap/>
            <w:hideMark/>
          </w:tcPr>
          <w:p w14:paraId="5F22F484"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HM</w:t>
            </w:r>
          </w:p>
        </w:tc>
        <w:tc>
          <w:tcPr>
            <w:tcW w:w="320" w:type="pct"/>
            <w:noWrap/>
            <w:hideMark/>
          </w:tcPr>
          <w:p w14:paraId="5F22F485"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20" w:type="pct"/>
            <w:noWrap/>
            <w:hideMark/>
          </w:tcPr>
          <w:p w14:paraId="5F22F486"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20" w:type="pct"/>
            <w:noWrap/>
            <w:hideMark/>
          </w:tcPr>
          <w:p w14:paraId="5F22F487"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20" w:type="pct"/>
            <w:noWrap/>
            <w:hideMark/>
          </w:tcPr>
          <w:p w14:paraId="5F22F488"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0.01</w:t>
            </w:r>
          </w:p>
        </w:tc>
        <w:tc>
          <w:tcPr>
            <w:tcW w:w="320" w:type="pct"/>
            <w:noWrap/>
            <w:hideMark/>
          </w:tcPr>
          <w:p w14:paraId="5F22F489"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0.72</w:t>
            </w:r>
          </w:p>
        </w:tc>
        <w:tc>
          <w:tcPr>
            <w:tcW w:w="320" w:type="pct"/>
            <w:noWrap/>
            <w:hideMark/>
          </w:tcPr>
          <w:p w14:paraId="5F22F48A"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0.11</w:t>
            </w:r>
          </w:p>
        </w:tc>
        <w:tc>
          <w:tcPr>
            <w:tcW w:w="311" w:type="pct"/>
            <w:noWrap/>
            <w:hideMark/>
          </w:tcPr>
          <w:p w14:paraId="5F22F48B"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0.14</w:t>
            </w:r>
          </w:p>
        </w:tc>
        <w:tc>
          <w:tcPr>
            <w:tcW w:w="349" w:type="pct"/>
            <w:noWrap/>
            <w:hideMark/>
          </w:tcPr>
          <w:p w14:paraId="5F22F48C"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0.25</w:t>
            </w:r>
          </w:p>
        </w:tc>
        <w:tc>
          <w:tcPr>
            <w:tcW w:w="351" w:type="pct"/>
            <w:noWrap/>
            <w:hideMark/>
          </w:tcPr>
          <w:p w14:paraId="5F22F48D"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-6.20</w:t>
            </w:r>
          </w:p>
        </w:tc>
        <w:tc>
          <w:tcPr>
            <w:tcW w:w="351" w:type="pct"/>
            <w:noWrap/>
            <w:hideMark/>
          </w:tcPr>
          <w:p w14:paraId="5F22F48E"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-7.05</w:t>
            </w:r>
          </w:p>
        </w:tc>
        <w:tc>
          <w:tcPr>
            <w:tcW w:w="378" w:type="pct"/>
          </w:tcPr>
          <w:p w14:paraId="5F22F48F"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6.63</w:t>
            </w:r>
          </w:p>
        </w:tc>
        <w:tc>
          <w:tcPr>
            <w:tcW w:w="323" w:type="pct"/>
          </w:tcPr>
          <w:p w14:paraId="5F22F490"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15.33</w:t>
            </w:r>
          </w:p>
        </w:tc>
      </w:tr>
      <w:tr w:rsidR="00574B0D" w:rsidRPr="00B930DE" w14:paraId="5F22F4A0" w14:textId="77777777" w:rsidTr="004A5BF7">
        <w:trPr>
          <w:trHeight w:val="300"/>
        </w:trPr>
        <w:tc>
          <w:tcPr>
            <w:tcW w:w="660" w:type="pct"/>
            <w:vMerge/>
            <w:hideMark/>
          </w:tcPr>
          <w:p w14:paraId="5F22F492" w14:textId="77777777" w:rsidR="00574B0D" w:rsidRPr="00B930DE" w:rsidRDefault="00574B0D" w:rsidP="00B930DE">
            <w:pPr>
              <w:spacing w:before="0" w:after="0"/>
              <w:jc w:val="center"/>
              <w:rPr>
                <w:rFonts w:cs="Arial"/>
                <w:sz w:val="16"/>
                <w:szCs w:val="18"/>
                <w:lang w:eastAsia="en-AU"/>
              </w:rPr>
            </w:pPr>
          </w:p>
        </w:tc>
        <w:tc>
          <w:tcPr>
            <w:tcW w:w="354" w:type="pct"/>
            <w:noWrap/>
            <w:hideMark/>
          </w:tcPr>
          <w:p w14:paraId="5F22F493"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MP</w:t>
            </w:r>
          </w:p>
        </w:tc>
        <w:tc>
          <w:tcPr>
            <w:tcW w:w="320" w:type="pct"/>
            <w:noWrap/>
            <w:hideMark/>
          </w:tcPr>
          <w:p w14:paraId="5F22F494"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0.01</w:t>
            </w:r>
          </w:p>
        </w:tc>
        <w:tc>
          <w:tcPr>
            <w:tcW w:w="320" w:type="pct"/>
            <w:noWrap/>
            <w:hideMark/>
          </w:tcPr>
          <w:p w14:paraId="5F22F495"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0.04</w:t>
            </w:r>
          </w:p>
        </w:tc>
        <w:tc>
          <w:tcPr>
            <w:tcW w:w="320" w:type="pct"/>
            <w:noWrap/>
            <w:hideMark/>
          </w:tcPr>
          <w:p w14:paraId="5F22F496"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0.05</w:t>
            </w:r>
          </w:p>
        </w:tc>
        <w:tc>
          <w:tcPr>
            <w:tcW w:w="320" w:type="pct"/>
            <w:noWrap/>
            <w:hideMark/>
          </w:tcPr>
          <w:p w14:paraId="5F22F497"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0.32</w:t>
            </w:r>
          </w:p>
        </w:tc>
        <w:tc>
          <w:tcPr>
            <w:tcW w:w="320" w:type="pct"/>
            <w:noWrap/>
            <w:hideMark/>
          </w:tcPr>
          <w:p w14:paraId="5F22F498"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0.35</w:t>
            </w:r>
          </w:p>
        </w:tc>
        <w:tc>
          <w:tcPr>
            <w:tcW w:w="320" w:type="pct"/>
            <w:noWrap/>
            <w:hideMark/>
          </w:tcPr>
          <w:p w14:paraId="5F22F499"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11" w:type="pct"/>
            <w:noWrap/>
            <w:hideMark/>
          </w:tcPr>
          <w:p w14:paraId="5F22F49A"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0.37</w:t>
            </w:r>
          </w:p>
        </w:tc>
        <w:tc>
          <w:tcPr>
            <w:tcW w:w="349" w:type="pct"/>
            <w:noWrap/>
            <w:hideMark/>
          </w:tcPr>
          <w:p w14:paraId="5F22F49B" w14:textId="77777777" w:rsidR="00574B0D" w:rsidRPr="00B930DE" w:rsidRDefault="00574B0D" w:rsidP="00B930DE">
            <w:pPr>
              <w:spacing w:before="0" w:after="0"/>
              <w:jc w:val="center"/>
              <w:rPr>
                <w:rFonts w:cs="Arial"/>
                <w:sz w:val="16"/>
                <w:szCs w:val="18"/>
                <w:lang w:eastAsia="en-AU"/>
              </w:rPr>
            </w:pPr>
          </w:p>
        </w:tc>
        <w:tc>
          <w:tcPr>
            <w:tcW w:w="351" w:type="pct"/>
            <w:noWrap/>
            <w:hideMark/>
          </w:tcPr>
          <w:p w14:paraId="5F22F49C"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9.40</w:t>
            </w:r>
          </w:p>
        </w:tc>
        <w:tc>
          <w:tcPr>
            <w:tcW w:w="351" w:type="pct"/>
            <w:noWrap/>
            <w:hideMark/>
          </w:tcPr>
          <w:p w14:paraId="5F22F49D" w14:textId="77777777" w:rsidR="00574B0D" w:rsidRPr="00B930DE" w:rsidRDefault="00574B0D" w:rsidP="00B930DE">
            <w:pPr>
              <w:spacing w:before="0" w:after="0"/>
              <w:jc w:val="center"/>
              <w:rPr>
                <w:rFonts w:cs="Arial"/>
                <w:sz w:val="16"/>
                <w:szCs w:val="18"/>
                <w:lang w:eastAsia="en-AU"/>
              </w:rPr>
            </w:pPr>
          </w:p>
        </w:tc>
        <w:tc>
          <w:tcPr>
            <w:tcW w:w="378" w:type="pct"/>
          </w:tcPr>
          <w:p w14:paraId="5F22F49E"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22.70</w:t>
            </w:r>
          </w:p>
        </w:tc>
        <w:tc>
          <w:tcPr>
            <w:tcW w:w="323" w:type="pct"/>
          </w:tcPr>
          <w:p w14:paraId="5F22F49F" w14:textId="77777777" w:rsidR="00574B0D" w:rsidRPr="00B930DE" w:rsidRDefault="00574B0D" w:rsidP="00B930DE">
            <w:pPr>
              <w:spacing w:before="0" w:after="0"/>
              <w:jc w:val="center"/>
              <w:rPr>
                <w:rFonts w:cs="Arial"/>
                <w:sz w:val="16"/>
                <w:szCs w:val="18"/>
                <w:lang w:eastAsia="en-AU"/>
              </w:rPr>
            </w:pPr>
          </w:p>
        </w:tc>
      </w:tr>
      <w:tr w:rsidR="00574B0D" w:rsidRPr="00B930DE" w14:paraId="5F22F4AF" w14:textId="77777777" w:rsidTr="004A5BF7">
        <w:trPr>
          <w:trHeight w:val="300"/>
        </w:trPr>
        <w:tc>
          <w:tcPr>
            <w:tcW w:w="660" w:type="pct"/>
            <w:vMerge/>
            <w:hideMark/>
          </w:tcPr>
          <w:p w14:paraId="5F22F4A1" w14:textId="77777777" w:rsidR="00574B0D" w:rsidRPr="00B930DE" w:rsidRDefault="00574B0D" w:rsidP="00B930DE">
            <w:pPr>
              <w:spacing w:before="0" w:after="0"/>
              <w:jc w:val="center"/>
              <w:rPr>
                <w:rFonts w:cs="Arial"/>
                <w:sz w:val="16"/>
                <w:szCs w:val="18"/>
                <w:lang w:eastAsia="en-AU"/>
              </w:rPr>
            </w:pPr>
          </w:p>
        </w:tc>
        <w:tc>
          <w:tcPr>
            <w:tcW w:w="354" w:type="pct"/>
            <w:noWrap/>
            <w:hideMark/>
          </w:tcPr>
          <w:p w14:paraId="5F22F4A2"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PI</w:t>
            </w:r>
          </w:p>
        </w:tc>
        <w:tc>
          <w:tcPr>
            <w:tcW w:w="320" w:type="pct"/>
            <w:noWrap/>
            <w:hideMark/>
          </w:tcPr>
          <w:p w14:paraId="5F22F4A3"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20" w:type="pct"/>
            <w:noWrap/>
            <w:hideMark/>
          </w:tcPr>
          <w:p w14:paraId="5F22F4A4"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0.01</w:t>
            </w:r>
          </w:p>
        </w:tc>
        <w:tc>
          <w:tcPr>
            <w:tcW w:w="320" w:type="pct"/>
            <w:noWrap/>
            <w:hideMark/>
          </w:tcPr>
          <w:p w14:paraId="5F22F4A5"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0.01</w:t>
            </w:r>
          </w:p>
        </w:tc>
        <w:tc>
          <w:tcPr>
            <w:tcW w:w="320" w:type="pct"/>
            <w:noWrap/>
            <w:hideMark/>
          </w:tcPr>
          <w:p w14:paraId="5F22F4A6"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0.06</w:t>
            </w:r>
          </w:p>
        </w:tc>
        <w:tc>
          <w:tcPr>
            <w:tcW w:w="320" w:type="pct"/>
            <w:noWrap/>
            <w:hideMark/>
          </w:tcPr>
          <w:p w14:paraId="5F22F4A7"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0.65</w:t>
            </w:r>
          </w:p>
        </w:tc>
        <w:tc>
          <w:tcPr>
            <w:tcW w:w="320" w:type="pct"/>
            <w:noWrap/>
            <w:hideMark/>
          </w:tcPr>
          <w:p w14:paraId="5F22F4A8"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0.01</w:t>
            </w:r>
          </w:p>
        </w:tc>
        <w:tc>
          <w:tcPr>
            <w:tcW w:w="311" w:type="pct"/>
            <w:noWrap/>
            <w:hideMark/>
          </w:tcPr>
          <w:p w14:paraId="5F22F4A9"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0.17</w:t>
            </w:r>
          </w:p>
        </w:tc>
        <w:tc>
          <w:tcPr>
            <w:tcW w:w="349" w:type="pct"/>
            <w:noWrap/>
            <w:hideMark/>
          </w:tcPr>
          <w:p w14:paraId="5F22F4AA" w14:textId="77777777" w:rsidR="00574B0D" w:rsidRPr="00B930DE" w:rsidRDefault="00574B0D" w:rsidP="00B930DE">
            <w:pPr>
              <w:spacing w:before="0" w:after="0"/>
              <w:jc w:val="center"/>
              <w:rPr>
                <w:rFonts w:cs="Arial"/>
                <w:sz w:val="16"/>
                <w:szCs w:val="18"/>
                <w:lang w:eastAsia="en-AU"/>
              </w:rPr>
            </w:pPr>
          </w:p>
        </w:tc>
        <w:tc>
          <w:tcPr>
            <w:tcW w:w="351" w:type="pct"/>
            <w:noWrap/>
            <w:hideMark/>
          </w:tcPr>
          <w:p w14:paraId="5F22F4AB"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-10.30</w:t>
            </w:r>
          </w:p>
        </w:tc>
        <w:tc>
          <w:tcPr>
            <w:tcW w:w="351" w:type="pct"/>
            <w:noWrap/>
            <w:hideMark/>
          </w:tcPr>
          <w:p w14:paraId="5F22F4AC" w14:textId="77777777" w:rsidR="00574B0D" w:rsidRPr="00B930DE" w:rsidRDefault="00574B0D" w:rsidP="00B930DE">
            <w:pPr>
              <w:spacing w:before="0" w:after="0"/>
              <w:jc w:val="center"/>
              <w:rPr>
                <w:rFonts w:cs="Arial"/>
                <w:sz w:val="16"/>
                <w:szCs w:val="18"/>
                <w:lang w:eastAsia="en-AU"/>
              </w:rPr>
            </w:pPr>
          </w:p>
        </w:tc>
        <w:tc>
          <w:tcPr>
            <w:tcW w:w="378" w:type="pct"/>
          </w:tcPr>
          <w:p w14:paraId="5F22F4AD"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19.64</w:t>
            </w:r>
          </w:p>
        </w:tc>
        <w:tc>
          <w:tcPr>
            <w:tcW w:w="323" w:type="pct"/>
          </w:tcPr>
          <w:p w14:paraId="5F22F4AE" w14:textId="77777777" w:rsidR="00574B0D" w:rsidRPr="00B930DE" w:rsidRDefault="00574B0D" w:rsidP="00B930DE">
            <w:pPr>
              <w:spacing w:before="0" w:after="0"/>
              <w:jc w:val="center"/>
              <w:rPr>
                <w:rFonts w:cs="Arial"/>
                <w:sz w:val="16"/>
                <w:szCs w:val="18"/>
                <w:lang w:eastAsia="en-AU"/>
              </w:rPr>
            </w:pPr>
          </w:p>
        </w:tc>
      </w:tr>
      <w:tr w:rsidR="00574B0D" w:rsidRPr="00B930DE" w14:paraId="5F22F4BE" w14:textId="77777777" w:rsidTr="004A5BF7">
        <w:trPr>
          <w:trHeight w:val="300"/>
        </w:trPr>
        <w:tc>
          <w:tcPr>
            <w:tcW w:w="660" w:type="pct"/>
            <w:vMerge/>
            <w:hideMark/>
          </w:tcPr>
          <w:p w14:paraId="5F22F4B0" w14:textId="77777777" w:rsidR="00574B0D" w:rsidRPr="00B930DE" w:rsidRDefault="00574B0D" w:rsidP="00B930DE">
            <w:pPr>
              <w:spacing w:before="0" w:after="0"/>
              <w:jc w:val="center"/>
              <w:rPr>
                <w:rFonts w:cs="Arial"/>
                <w:sz w:val="16"/>
                <w:szCs w:val="18"/>
                <w:lang w:eastAsia="en-AU"/>
              </w:rPr>
            </w:pPr>
          </w:p>
        </w:tc>
        <w:tc>
          <w:tcPr>
            <w:tcW w:w="354" w:type="pct"/>
            <w:noWrap/>
            <w:hideMark/>
          </w:tcPr>
          <w:p w14:paraId="5F22F4B1"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SI</w:t>
            </w:r>
          </w:p>
        </w:tc>
        <w:tc>
          <w:tcPr>
            <w:tcW w:w="320" w:type="pct"/>
            <w:noWrap/>
            <w:hideMark/>
          </w:tcPr>
          <w:p w14:paraId="5F22F4B2"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0.03</w:t>
            </w:r>
          </w:p>
        </w:tc>
        <w:tc>
          <w:tcPr>
            <w:tcW w:w="320" w:type="pct"/>
            <w:noWrap/>
            <w:hideMark/>
          </w:tcPr>
          <w:p w14:paraId="5F22F4B3"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0.07</w:t>
            </w:r>
          </w:p>
        </w:tc>
        <w:tc>
          <w:tcPr>
            <w:tcW w:w="320" w:type="pct"/>
            <w:noWrap/>
            <w:hideMark/>
          </w:tcPr>
          <w:p w14:paraId="5F22F4B4"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0.03</w:t>
            </w:r>
          </w:p>
        </w:tc>
        <w:tc>
          <w:tcPr>
            <w:tcW w:w="320" w:type="pct"/>
            <w:noWrap/>
            <w:hideMark/>
          </w:tcPr>
          <w:p w14:paraId="5F22F4B5"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0.19</w:t>
            </w:r>
          </w:p>
        </w:tc>
        <w:tc>
          <w:tcPr>
            <w:tcW w:w="320" w:type="pct"/>
            <w:noWrap/>
            <w:hideMark/>
          </w:tcPr>
          <w:p w14:paraId="5F22F4B6"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0.33</w:t>
            </w:r>
          </w:p>
        </w:tc>
        <w:tc>
          <w:tcPr>
            <w:tcW w:w="320" w:type="pct"/>
            <w:noWrap/>
            <w:hideMark/>
          </w:tcPr>
          <w:p w14:paraId="5F22F4B7"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11" w:type="pct"/>
            <w:noWrap/>
            <w:hideMark/>
          </w:tcPr>
          <w:p w14:paraId="5F22F4B8"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0.33</w:t>
            </w:r>
          </w:p>
        </w:tc>
        <w:tc>
          <w:tcPr>
            <w:tcW w:w="349" w:type="pct"/>
            <w:noWrap/>
            <w:hideMark/>
          </w:tcPr>
          <w:p w14:paraId="5F22F4B9" w14:textId="77777777" w:rsidR="00574B0D" w:rsidRPr="00B930DE" w:rsidRDefault="00574B0D" w:rsidP="00B930DE">
            <w:pPr>
              <w:spacing w:before="0" w:after="0"/>
              <w:jc w:val="center"/>
              <w:rPr>
                <w:rFonts w:cs="Arial"/>
                <w:sz w:val="16"/>
                <w:szCs w:val="18"/>
                <w:lang w:eastAsia="en-AU"/>
              </w:rPr>
            </w:pPr>
          </w:p>
        </w:tc>
        <w:tc>
          <w:tcPr>
            <w:tcW w:w="351" w:type="pct"/>
            <w:noWrap/>
            <w:hideMark/>
          </w:tcPr>
          <w:p w14:paraId="5F22F4BA"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-21.10</w:t>
            </w:r>
          </w:p>
        </w:tc>
        <w:tc>
          <w:tcPr>
            <w:tcW w:w="351" w:type="pct"/>
            <w:noWrap/>
            <w:hideMark/>
          </w:tcPr>
          <w:p w14:paraId="5F22F4BB" w14:textId="77777777" w:rsidR="00574B0D" w:rsidRPr="00B930DE" w:rsidRDefault="00574B0D" w:rsidP="00B930DE">
            <w:pPr>
              <w:spacing w:before="0" w:after="0"/>
              <w:jc w:val="center"/>
              <w:rPr>
                <w:rFonts w:cs="Arial"/>
                <w:sz w:val="16"/>
                <w:szCs w:val="18"/>
                <w:lang w:eastAsia="en-AU"/>
              </w:rPr>
            </w:pPr>
          </w:p>
        </w:tc>
        <w:tc>
          <w:tcPr>
            <w:tcW w:w="378" w:type="pct"/>
          </w:tcPr>
          <w:p w14:paraId="5F22F4BC"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12.32</w:t>
            </w:r>
          </w:p>
        </w:tc>
        <w:tc>
          <w:tcPr>
            <w:tcW w:w="323" w:type="pct"/>
          </w:tcPr>
          <w:p w14:paraId="5F22F4BD" w14:textId="77777777" w:rsidR="00574B0D" w:rsidRPr="00B930DE" w:rsidRDefault="00574B0D" w:rsidP="00B930DE">
            <w:pPr>
              <w:spacing w:before="0" w:after="0"/>
              <w:jc w:val="center"/>
              <w:rPr>
                <w:rFonts w:cs="Arial"/>
                <w:sz w:val="16"/>
                <w:szCs w:val="18"/>
                <w:lang w:eastAsia="en-AU"/>
              </w:rPr>
            </w:pPr>
          </w:p>
        </w:tc>
      </w:tr>
      <w:tr w:rsidR="00574B0D" w:rsidRPr="00B930DE" w14:paraId="5F22F4CE" w14:textId="77777777" w:rsidTr="004A5BF7">
        <w:trPr>
          <w:trHeight w:val="300"/>
        </w:trPr>
        <w:tc>
          <w:tcPr>
            <w:tcW w:w="660" w:type="pct"/>
            <w:vMerge w:val="restart"/>
            <w:noWrap/>
            <w:hideMark/>
          </w:tcPr>
          <w:p w14:paraId="5F22F4BF"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Wet Tropics</w:t>
            </w:r>
          </w:p>
          <w:p w14:paraId="5F22F4C0"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(WT)</w:t>
            </w:r>
          </w:p>
        </w:tc>
        <w:tc>
          <w:tcPr>
            <w:tcW w:w="354" w:type="pct"/>
            <w:noWrap/>
            <w:hideMark/>
          </w:tcPr>
          <w:p w14:paraId="5F22F4C1"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DI</w:t>
            </w:r>
          </w:p>
        </w:tc>
        <w:tc>
          <w:tcPr>
            <w:tcW w:w="320" w:type="pct"/>
            <w:noWrap/>
            <w:hideMark/>
          </w:tcPr>
          <w:p w14:paraId="5F22F4C2"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20" w:type="pct"/>
            <w:noWrap/>
            <w:hideMark/>
          </w:tcPr>
          <w:p w14:paraId="5F22F4C3"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0.01</w:t>
            </w:r>
          </w:p>
        </w:tc>
        <w:tc>
          <w:tcPr>
            <w:tcW w:w="320" w:type="pct"/>
            <w:noWrap/>
            <w:hideMark/>
          </w:tcPr>
          <w:p w14:paraId="5F22F4C4"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0.01</w:t>
            </w:r>
          </w:p>
        </w:tc>
        <w:tc>
          <w:tcPr>
            <w:tcW w:w="320" w:type="pct"/>
            <w:noWrap/>
            <w:hideMark/>
          </w:tcPr>
          <w:p w14:paraId="5F22F4C5"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0.11</w:t>
            </w:r>
          </w:p>
        </w:tc>
        <w:tc>
          <w:tcPr>
            <w:tcW w:w="320" w:type="pct"/>
            <w:noWrap/>
            <w:hideMark/>
          </w:tcPr>
          <w:p w14:paraId="5F22F4C6"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0.69</w:t>
            </w:r>
          </w:p>
        </w:tc>
        <w:tc>
          <w:tcPr>
            <w:tcW w:w="320" w:type="pct"/>
            <w:noWrap/>
            <w:hideMark/>
          </w:tcPr>
          <w:p w14:paraId="5F22F4C7"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0.04</w:t>
            </w:r>
          </w:p>
        </w:tc>
        <w:tc>
          <w:tcPr>
            <w:tcW w:w="311" w:type="pct"/>
            <w:noWrap/>
            <w:hideMark/>
          </w:tcPr>
          <w:p w14:paraId="5F22F4C8"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0.22</w:t>
            </w:r>
          </w:p>
        </w:tc>
        <w:tc>
          <w:tcPr>
            <w:tcW w:w="349" w:type="pct"/>
            <w:noWrap/>
            <w:hideMark/>
          </w:tcPr>
          <w:p w14:paraId="5F22F4C9"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0.11</w:t>
            </w:r>
          </w:p>
        </w:tc>
        <w:tc>
          <w:tcPr>
            <w:tcW w:w="351" w:type="pct"/>
            <w:noWrap/>
            <w:hideMark/>
          </w:tcPr>
          <w:p w14:paraId="5F22F4CA"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-12.10</w:t>
            </w:r>
          </w:p>
        </w:tc>
        <w:tc>
          <w:tcPr>
            <w:tcW w:w="351" w:type="pct"/>
            <w:noWrap/>
            <w:hideMark/>
          </w:tcPr>
          <w:p w14:paraId="5F22F4CB"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-7.50</w:t>
            </w:r>
          </w:p>
        </w:tc>
        <w:tc>
          <w:tcPr>
            <w:tcW w:w="378" w:type="pct"/>
          </w:tcPr>
          <w:p w14:paraId="5F22F4CC"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6.83</w:t>
            </w:r>
          </w:p>
        </w:tc>
        <w:tc>
          <w:tcPr>
            <w:tcW w:w="323" w:type="pct"/>
          </w:tcPr>
          <w:p w14:paraId="5F22F4CD"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14.98</w:t>
            </w:r>
          </w:p>
        </w:tc>
      </w:tr>
      <w:tr w:rsidR="00574B0D" w:rsidRPr="00B930DE" w14:paraId="5F22F4DD" w14:textId="77777777" w:rsidTr="004A5BF7">
        <w:trPr>
          <w:trHeight w:val="300"/>
        </w:trPr>
        <w:tc>
          <w:tcPr>
            <w:tcW w:w="660" w:type="pct"/>
            <w:vMerge/>
            <w:hideMark/>
          </w:tcPr>
          <w:p w14:paraId="5F22F4CF" w14:textId="77777777" w:rsidR="00574B0D" w:rsidRPr="00B930DE" w:rsidRDefault="00574B0D" w:rsidP="00B930DE">
            <w:pPr>
              <w:spacing w:before="0" w:after="0"/>
              <w:jc w:val="center"/>
              <w:rPr>
                <w:rFonts w:cs="Arial"/>
                <w:sz w:val="16"/>
                <w:szCs w:val="18"/>
                <w:lang w:eastAsia="en-AU"/>
              </w:rPr>
            </w:pPr>
          </w:p>
        </w:tc>
        <w:tc>
          <w:tcPr>
            <w:tcW w:w="354" w:type="pct"/>
            <w:noWrap/>
            <w:hideMark/>
          </w:tcPr>
          <w:p w14:paraId="5F22F4D0"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DI^</w:t>
            </w:r>
          </w:p>
        </w:tc>
        <w:tc>
          <w:tcPr>
            <w:tcW w:w="320" w:type="pct"/>
            <w:noWrap/>
            <w:hideMark/>
          </w:tcPr>
          <w:p w14:paraId="5F22F4D1"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20" w:type="pct"/>
            <w:noWrap/>
            <w:hideMark/>
          </w:tcPr>
          <w:p w14:paraId="5F22F4D2"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20" w:type="pct"/>
            <w:noWrap/>
            <w:hideMark/>
          </w:tcPr>
          <w:p w14:paraId="5F22F4D3"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0.01</w:t>
            </w:r>
          </w:p>
        </w:tc>
        <w:tc>
          <w:tcPr>
            <w:tcW w:w="320" w:type="pct"/>
            <w:noWrap/>
            <w:hideMark/>
          </w:tcPr>
          <w:p w14:paraId="5F22F4D4"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0.08</w:t>
            </w:r>
          </w:p>
        </w:tc>
        <w:tc>
          <w:tcPr>
            <w:tcW w:w="320" w:type="pct"/>
            <w:noWrap/>
            <w:hideMark/>
          </w:tcPr>
          <w:p w14:paraId="5F22F4D5"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0.65</w:t>
            </w:r>
          </w:p>
        </w:tc>
        <w:tc>
          <w:tcPr>
            <w:tcW w:w="320" w:type="pct"/>
            <w:noWrap/>
            <w:hideMark/>
          </w:tcPr>
          <w:p w14:paraId="5F22F4D6"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0.12</w:t>
            </w:r>
          </w:p>
        </w:tc>
        <w:tc>
          <w:tcPr>
            <w:tcW w:w="311" w:type="pct"/>
            <w:noWrap/>
            <w:hideMark/>
          </w:tcPr>
          <w:p w14:paraId="5F22F4D7"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0.18</w:t>
            </w:r>
          </w:p>
        </w:tc>
        <w:tc>
          <w:tcPr>
            <w:tcW w:w="349" w:type="pct"/>
            <w:noWrap/>
            <w:hideMark/>
          </w:tcPr>
          <w:p w14:paraId="5F22F4D8" w14:textId="77777777" w:rsidR="00574B0D" w:rsidRPr="00B930DE" w:rsidRDefault="00574B0D" w:rsidP="00B930DE">
            <w:pPr>
              <w:spacing w:before="0" w:after="0"/>
              <w:jc w:val="center"/>
              <w:rPr>
                <w:rFonts w:cs="Arial"/>
                <w:sz w:val="16"/>
                <w:szCs w:val="18"/>
                <w:lang w:eastAsia="en-AU"/>
              </w:rPr>
            </w:pPr>
          </w:p>
        </w:tc>
        <w:tc>
          <w:tcPr>
            <w:tcW w:w="351" w:type="pct"/>
            <w:noWrap/>
            <w:hideMark/>
          </w:tcPr>
          <w:p w14:paraId="5F22F4D9"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-5.40</w:t>
            </w:r>
          </w:p>
        </w:tc>
        <w:tc>
          <w:tcPr>
            <w:tcW w:w="351" w:type="pct"/>
            <w:noWrap/>
            <w:hideMark/>
          </w:tcPr>
          <w:p w14:paraId="5F22F4DA" w14:textId="77777777" w:rsidR="00574B0D" w:rsidRPr="00B930DE" w:rsidRDefault="00574B0D" w:rsidP="00B930DE">
            <w:pPr>
              <w:spacing w:before="0" w:after="0"/>
              <w:jc w:val="center"/>
              <w:rPr>
                <w:rFonts w:cs="Arial"/>
                <w:sz w:val="16"/>
                <w:szCs w:val="18"/>
                <w:lang w:eastAsia="en-AU"/>
              </w:rPr>
            </w:pPr>
          </w:p>
        </w:tc>
        <w:tc>
          <w:tcPr>
            <w:tcW w:w="378" w:type="pct"/>
          </w:tcPr>
          <w:p w14:paraId="5F22F4DB"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3.44</w:t>
            </w:r>
          </w:p>
        </w:tc>
        <w:tc>
          <w:tcPr>
            <w:tcW w:w="323" w:type="pct"/>
          </w:tcPr>
          <w:p w14:paraId="5F22F4DC" w14:textId="77777777" w:rsidR="00574B0D" w:rsidRPr="00B930DE" w:rsidRDefault="00574B0D" w:rsidP="00B930DE">
            <w:pPr>
              <w:spacing w:before="0" w:after="0"/>
              <w:jc w:val="center"/>
              <w:rPr>
                <w:rFonts w:cs="Arial"/>
                <w:sz w:val="16"/>
                <w:szCs w:val="18"/>
                <w:lang w:eastAsia="en-AU"/>
              </w:rPr>
            </w:pPr>
          </w:p>
        </w:tc>
      </w:tr>
      <w:tr w:rsidR="00574B0D" w:rsidRPr="00B930DE" w14:paraId="5F22F4EC" w14:textId="77777777" w:rsidTr="004A5BF7">
        <w:trPr>
          <w:trHeight w:val="300"/>
        </w:trPr>
        <w:tc>
          <w:tcPr>
            <w:tcW w:w="660" w:type="pct"/>
            <w:vMerge/>
            <w:hideMark/>
          </w:tcPr>
          <w:p w14:paraId="5F22F4DE" w14:textId="77777777" w:rsidR="00574B0D" w:rsidRPr="00B930DE" w:rsidRDefault="00574B0D" w:rsidP="00B930DE">
            <w:pPr>
              <w:spacing w:before="0" w:after="0"/>
              <w:jc w:val="center"/>
              <w:rPr>
                <w:rFonts w:cs="Arial"/>
                <w:sz w:val="16"/>
                <w:szCs w:val="18"/>
                <w:lang w:eastAsia="en-AU"/>
              </w:rPr>
            </w:pPr>
          </w:p>
        </w:tc>
        <w:tc>
          <w:tcPr>
            <w:tcW w:w="354" w:type="pct"/>
            <w:noWrap/>
            <w:hideMark/>
          </w:tcPr>
          <w:p w14:paraId="5F22F4DF"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GI</w:t>
            </w:r>
          </w:p>
        </w:tc>
        <w:tc>
          <w:tcPr>
            <w:tcW w:w="320" w:type="pct"/>
            <w:noWrap/>
            <w:hideMark/>
          </w:tcPr>
          <w:p w14:paraId="5F22F4E0"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20" w:type="pct"/>
            <w:noWrap/>
            <w:hideMark/>
          </w:tcPr>
          <w:p w14:paraId="5F22F4E1"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0.01</w:t>
            </w:r>
          </w:p>
        </w:tc>
        <w:tc>
          <w:tcPr>
            <w:tcW w:w="320" w:type="pct"/>
            <w:noWrap/>
            <w:hideMark/>
          </w:tcPr>
          <w:p w14:paraId="5F22F4E2"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20" w:type="pct"/>
            <w:noWrap/>
            <w:hideMark/>
          </w:tcPr>
          <w:p w14:paraId="5F22F4E3"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0.01</w:t>
            </w:r>
          </w:p>
        </w:tc>
        <w:tc>
          <w:tcPr>
            <w:tcW w:w="320" w:type="pct"/>
            <w:noWrap/>
            <w:hideMark/>
          </w:tcPr>
          <w:p w14:paraId="5F22F4E4"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0.19</w:t>
            </w:r>
          </w:p>
        </w:tc>
        <w:tc>
          <w:tcPr>
            <w:tcW w:w="320" w:type="pct"/>
            <w:noWrap/>
            <w:hideMark/>
          </w:tcPr>
          <w:p w14:paraId="5F22F4E5"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0.27</w:t>
            </w:r>
          </w:p>
        </w:tc>
        <w:tc>
          <w:tcPr>
            <w:tcW w:w="311" w:type="pct"/>
            <w:noWrap/>
            <w:hideMark/>
          </w:tcPr>
          <w:p w14:paraId="5F22F4E6"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0.01</w:t>
            </w:r>
          </w:p>
        </w:tc>
        <w:tc>
          <w:tcPr>
            <w:tcW w:w="349" w:type="pct"/>
            <w:noWrap/>
            <w:hideMark/>
          </w:tcPr>
          <w:p w14:paraId="5F22F4E7" w14:textId="77777777" w:rsidR="00574B0D" w:rsidRPr="00B930DE" w:rsidRDefault="00574B0D" w:rsidP="00B930DE">
            <w:pPr>
              <w:spacing w:before="0" w:after="0"/>
              <w:jc w:val="center"/>
              <w:rPr>
                <w:rFonts w:cs="Arial"/>
                <w:sz w:val="16"/>
                <w:szCs w:val="18"/>
                <w:lang w:eastAsia="en-AU"/>
              </w:rPr>
            </w:pPr>
          </w:p>
        </w:tc>
        <w:tc>
          <w:tcPr>
            <w:tcW w:w="351" w:type="pct"/>
            <w:noWrap/>
            <w:hideMark/>
          </w:tcPr>
          <w:p w14:paraId="5F22F4E8"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-5.10</w:t>
            </w:r>
          </w:p>
        </w:tc>
        <w:tc>
          <w:tcPr>
            <w:tcW w:w="351" w:type="pct"/>
            <w:noWrap/>
            <w:hideMark/>
          </w:tcPr>
          <w:p w14:paraId="5F22F4E9" w14:textId="77777777" w:rsidR="00574B0D" w:rsidRPr="00B930DE" w:rsidRDefault="00574B0D" w:rsidP="00B930DE">
            <w:pPr>
              <w:spacing w:before="0" w:after="0"/>
              <w:jc w:val="center"/>
              <w:rPr>
                <w:rFonts w:cs="Arial"/>
                <w:sz w:val="16"/>
                <w:szCs w:val="18"/>
                <w:lang w:eastAsia="en-AU"/>
              </w:rPr>
            </w:pPr>
          </w:p>
        </w:tc>
        <w:tc>
          <w:tcPr>
            <w:tcW w:w="378" w:type="pct"/>
          </w:tcPr>
          <w:p w14:paraId="5F22F4EA"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32.69</w:t>
            </w:r>
          </w:p>
        </w:tc>
        <w:tc>
          <w:tcPr>
            <w:tcW w:w="323" w:type="pct"/>
          </w:tcPr>
          <w:p w14:paraId="5F22F4EB" w14:textId="77777777" w:rsidR="00574B0D" w:rsidRPr="00B930DE" w:rsidRDefault="00574B0D" w:rsidP="00B930DE">
            <w:pPr>
              <w:spacing w:before="0" w:after="0"/>
              <w:jc w:val="center"/>
              <w:rPr>
                <w:rFonts w:cs="Arial"/>
                <w:sz w:val="16"/>
                <w:szCs w:val="18"/>
                <w:lang w:eastAsia="en-AU"/>
              </w:rPr>
            </w:pPr>
          </w:p>
        </w:tc>
      </w:tr>
      <w:tr w:rsidR="00574B0D" w:rsidRPr="00B930DE" w14:paraId="5F22F4FB" w14:textId="77777777" w:rsidTr="004A5BF7">
        <w:trPr>
          <w:trHeight w:val="300"/>
        </w:trPr>
        <w:tc>
          <w:tcPr>
            <w:tcW w:w="660" w:type="pct"/>
            <w:vMerge/>
            <w:hideMark/>
          </w:tcPr>
          <w:p w14:paraId="5F22F4ED" w14:textId="77777777" w:rsidR="00574B0D" w:rsidRPr="00B930DE" w:rsidRDefault="00574B0D" w:rsidP="00B930DE">
            <w:pPr>
              <w:spacing w:before="0" w:after="0"/>
              <w:jc w:val="center"/>
              <w:rPr>
                <w:rFonts w:cs="Arial"/>
                <w:sz w:val="16"/>
                <w:szCs w:val="18"/>
                <w:lang w:eastAsia="en-AU"/>
              </w:rPr>
            </w:pPr>
          </w:p>
        </w:tc>
        <w:tc>
          <w:tcPr>
            <w:tcW w:w="354" w:type="pct"/>
            <w:noWrap/>
            <w:hideMark/>
          </w:tcPr>
          <w:p w14:paraId="5F22F4EE"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GI^</w:t>
            </w:r>
          </w:p>
        </w:tc>
        <w:tc>
          <w:tcPr>
            <w:tcW w:w="320" w:type="pct"/>
            <w:noWrap/>
            <w:hideMark/>
          </w:tcPr>
          <w:p w14:paraId="5F22F4EF"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20" w:type="pct"/>
            <w:noWrap/>
            <w:hideMark/>
          </w:tcPr>
          <w:p w14:paraId="5F22F4F0"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0.01</w:t>
            </w:r>
          </w:p>
        </w:tc>
        <w:tc>
          <w:tcPr>
            <w:tcW w:w="320" w:type="pct"/>
            <w:noWrap/>
            <w:hideMark/>
          </w:tcPr>
          <w:p w14:paraId="5F22F4F1"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20" w:type="pct"/>
            <w:noWrap/>
            <w:hideMark/>
          </w:tcPr>
          <w:p w14:paraId="5F22F4F2"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0.01</w:t>
            </w:r>
          </w:p>
        </w:tc>
        <w:tc>
          <w:tcPr>
            <w:tcW w:w="320" w:type="pct"/>
            <w:noWrap/>
            <w:hideMark/>
          </w:tcPr>
          <w:p w14:paraId="5F22F4F3"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0.16</w:t>
            </w:r>
          </w:p>
        </w:tc>
        <w:tc>
          <w:tcPr>
            <w:tcW w:w="320" w:type="pct"/>
            <w:noWrap/>
            <w:hideMark/>
          </w:tcPr>
          <w:p w14:paraId="5F22F4F4"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0.30</w:t>
            </w:r>
          </w:p>
        </w:tc>
        <w:tc>
          <w:tcPr>
            <w:tcW w:w="311" w:type="pct"/>
            <w:noWrap/>
            <w:hideMark/>
          </w:tcPr>
          <w:p w14:paraId="5F22F4F5"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0.00</w:t>
            </w:r>
          </w:p>
        </w:tc>
        <w:tc>
          <w:tcPr>
            <w:tcW w:w="349" w:type="pct"/>
            <w:noWrap/>
            <w:hideMark/>
          </w:tcPr>
          <w:p w14:paraId="5F22F4F6" w14:textId="77777777" w:rsidR="00574B0D" w:rsidRPr="00B930DE" w:rsidRDefault="00574B0D" w:rsidP="00B930DE">
            <w:pPr>
              <w:spacing w:before="0" w:after="0"/>
              <w:jc w:val="center"/>
              <w:rPr>
                <w:rFonts w:cs="Arial"/>
                <w:sz w:val="16"/>
                <w:szCs w:val="18"/>
                <w:lang w:eastAsia="en-AU"/>
              </w:rPr>
            </w:pPr>
          </w:p>
        </w:tc>
        <w:tc>
          <w:tcPr>
            <w:tcW w:w="351" w:type="pct"/>
            <w:noWrap/>
            <w:hideMark/>
          </w:tcPr>
          <w:p w14:paraId="5F22F4F7"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-8.10</w:t>
            </w:r>
          </w:p>
        </w:tc>
        <w:tc>
          <w:tcPr>
            <w:tcW w:w="351" w:type="pct"/>
            <w:noWrap/>
            <w:hideMark/>
          </w:tcPr>
          <w:p w14:paraId="5F22F4F8" w14:textId="77777777" w:rsidR="00574B0D" w:rsidRPr="00B930DE" w:rsidRDefault="00574B0D" w:rsidP="00B930DE">
            <w:pPr>
              <w:spacing w:before="0" w:after="0"/>
              <w:jc w:val="center"/>
              <w:rPr>
                <w:rFonts w:cs="Arial"/>
                <w:sz w:val="16"/>
                <w:szCs w:val="18"/>
                <w:lang w:eastAsia="en-AU"/>
              </w:rPr>
            </w:pPr>
          </w:p>
        </w:tc>
        <w:tc>
          <w:tcPr>
            <w:tcW w:w="378" w:type="pct"/>
          </w:tcPr>
          <w:p w14:paraId="5F22F4F9"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42.48</w:t>
            </w:r>
          </w:p>
        </w:tc>
        <w:tc>
          <w:tcPr>
            <w:tcW w:w="323" w:type="pct"/>
          </w:tcPr>
          <w:p w14:paraId="5F22F4FA" w14:textId="77777777" w:rsidR="00574B0D" w:rsidRPr="00B930DE" w:rsidRDefault="00574B0D" w:rsidP="00B930DE">
            <w:pPr>
              <w:spacing w:before="0" w:after="0"/>
              <w:jc w:val="center"/>
              <w:rPr>
                <w:rFonts w:cs="Arial"/>
                <w:sz w:val="16"/>
                <w:szCs w:val="18"/>
                <w:lang w:eastAsia="en-AU"/>
              </w:rPr>
            </w:pPr>
          </w:p>
        </w:tc>
      </w:tr>
      <w:tr w:rsidR="00574B0D" w:rsidRPr="00B930DE" w14:paraId="5F22F50A" w14:textId="77777777" w:rsidTr="004A5BF7">
        <w:trPr>
          <w:trHeight w:val="300"/>
        </w:trPr>
        <w:tc>
          <w:tcPr>
            <w:tcW w:w="660" w:type="pct"/>
            <w:vMerge/>
            <w:hideMark/>
          </w:tcPr>
          <w:p w14:paraId="5F22F4FC" w14:textId="77777777" w:rsidR="00574B0D" w:rsidRPr="00B930DE" w:rsidRDefault="00574B0D" w:rsidP="00B930DE">
            <w:pPr>
              <w:spacing w:before="0" w:after="0"/>
              <w:jc w:val="center"/>
              <w:rPr>
                <w:rFonts w:cs="Arial"/>
                <w:sz w:val="16"/>
                <w:szCs w:val="18"/>
                <w:lang w:eastAsia="en-AU"/>
              </w:rPr>
            </w:pPr>
          </w:p>
        </w:tc>
        <w:tc>
          <w:tcPr>
            <w:tcW w:w="354" w:type="pct"/>
            <w:noWrap/>
            <w:hideMark/>
          </w:tcPr>
          <w:p w14:paraId="5F22F4FD"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LB</w:t>
            </w:r>
          </w:p>
        </w:tc>
        <w:tc>
          <w:tcPr>
            <w:tcW w:w="320" w:type="pct"/>
            <w:noWrap/>
            <w:hideMark/>
          </w:tcPr>
          <w:p w14:paraId="5F22F4FE"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20" w:type="pct"/>
            <w:noWrap/>
            <w:hideMark/>
          </w:tcPr>
          <w:p w14:paraId="5F22F4FF"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0.02</w:t>
            </w:r>
          </w:p>
        </w:tc>
        <w:tc>
          <w:tcPr>
            <w:tcW w:w="320" w:type="pct"/>
            <w:noWrap/>
            <w:hideMark/>
          </w:tcPr>
          <w:p w14:paraId="5F22F500"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0.02</w:t>
            </w:r>
          </w:p>
        </w:tc>
        <w:tc>
          <w:tcPr>
            <w:tcW w:w="320" w:type="pct"/>
            <w:noWrap/>
            <w:hideMark/>
          </w:tcPr>
          <w:p w14:paraId="5F22F501"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0.23</w:t>
            </w:r>
          </w:p>
        </w:tc>
        <w:tc>
          <w:tcPr>
            <w:tcW w:w="320" w:type="pct"/>
            <w:noWrap/>
            <w:hideMark/>
          </w:tcPr>
          <w:p w14:paraId="5F22F502"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0.53</w:t>
            </w:r>
          </w:p>
        </w:tc>
        <w:tc>
          <w:tcPr>
            <w:tcW w:w="320" w:type="pct"/>
            <w:noWrap/>
            <w:hideMark/>
          </w:tcPr>
          <w:p w14:paraId="5F22F503"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0.01</w:t>
            </w:r>
          </w:p>
        </w:tc>
        <w:tc>
          <w:tcPr>
            <w:tcW w:w="311" w:type="pct"/>
            <w:noWrap/>
            <w:hideMark/>
          </w:tcPr>
          <w:p w14:paraId="5F22F504"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0.29</w:t>
            </w:r>
          </w:p>
        </w:tc>
        <w:tc>
          <w:tcPr>
            <w:tcW w:w="349" w:type="pct"/>
            <w:noWrap/>
            <w:hideMark/>
          </w:tcPr>
          <w:p w14:paraId="5F22F505" w14:textId="77777777" w:rsidR="00574B0D" w:rsidRPr="00B930DE" w:rsidRDefault="00574B0D" w:rsidP="00B930DE">
            <w:pPr>
              <w:spacing w:before="0" w:after="0"/>
              <w:jc w:val="center"/>
              <w:rPr>
                <w:rFonts w:cs="Arial"/>
                <w:sz w:val="16"/>
                <w:szCs w:val="18"/>
                <w:lang w:eastAsia="en-AU"/>
              </w:rPr>
            </w:pPr>
          </w:p>
        </w:tc>
        <w:tc>
          <w:tcPr>
            <w:tcW w:w="351" w:type="pct"/>
            <w:noWrap/>
            <w:hideMark/>
          </w:tcPr>
          <w:p w14:paraId="5F22F506"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-3.20</w:t>
            </w:r>
          </w:p>
        </w:tc>
        <w:tc>
          <w:tcPr>
            <w:tcW w:w="351" w:type="pct"/>
            <w:noWrap/>
            <w:hideMark/>
          </w:tcPr>
          <w:p w14:paraId="5F22F507" w14:textId="77777777" w:rsidR="00574B0D" w:rsidRPr="00B930DE" w:rsidRDefault="00574B0D" w:rsidP="00B930DE">
            <w:pPr>
              <w:spacing w:before="0" w:after="0"/>
              <w:jc w:val="center"/>
              <w:rPr>
                <w:rFonts w:cs="Arial"/>
                <w:sz w:val="16"/>
                <w:szCs w:val="18"/>
                <w:lang w:eastAsia="en-AU"/>
              </w:rPr>
            </w:pPr>
          </w:p>
        </w:tc>
        <w:tc>
          <w:tcPr>
            <w:tcW w:w="378" w:type="pct"/>
          </w:tcPr>
          <w:p w14:paraId="5F22F508"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2.69</w:t>
            </w:r>
          </w:p>
        </w:tc>
        <w:tc>
          <w:tcPr>
            <w:tcW w:w="323" w:type="pct"/>
          </w:tcPr>
          <w:p w14:paraId="5F22F509" w14:textId="77777777" w:rsidR="00574B0D" w:rsidRPr="00B930DE" w:rsidRDefault="00574B0D" w:rsidP="00B930DE">
            <w:pPr>
              <w:spacing w:before="0" w:after="0"/>
              <w:jc w:val="center"/>
              <w:rPr>
                <w:rFonts w:cs="Arial"/>
                <w:sz w:val="16"/>
                <w:szCs w:val="18"/>
                <w:lang w:eastAsia="en-AU"/>
              </w:rPr>
            </w:pPr>
          </w:p>
        </w:tc>
      </w:tr>
      <w:tr w:rsidR="00574B0D" w:rsidRPr="00B930DE" w14:paraId="5F22F519" w14:textId="77777777" w:rsidTr="004A5BF7">
        <w:trPr>
          <w:trHeight w:val="300"/>
        </w:trPr>
        <w:tc>
          <w:tcPr>
            <w:tcW w:w="660" w:type="pct"/>
            <w:vMerge/>
            <w:hideMark/>
          </w:tcPr>
          <w:p w14:paraId="5F22F50B" w14:textId="77777777" w:rsidR="00574B0D" w:rsidRPr="00B930DE" w:rsidRDefault="00574B0D" w:rsidP="00B930DE">
            <w:pPr>
              <w:spacing w:before="0" w:after="0"/>
              <w:jc w:val="center"/>
              <w:rPr>
                <w:rFonts w:cs="Arial"/>
                <w:sz w:val="16"/>
                <w:szCs w:val="18"/>
                <w:lang w:eastAsia="en-AU"/>
              </w:rPr>
            </w:pPr>
          </w:p>
        </w:tc>
        <w:tc>
          <w:tcPr>
            <w:tcW w:w="354" w:type="pct"/>
            <w:noWrap/>
            <w:hideMark/>
          </w:tcPr>
          <w:p w14:paraId="5F22F50C"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LI</w:t>
            </w:r>
          </w:p>
        </w:tc>
        <w:tc>
          <w:tcPr>
            <w:tcW w:w="320" w:type="pct"/>
            <w:noWrap/>
            <w:hideMark/>
          </w:tcPr>
          <w:p w14:paraId="5F22F50D"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20" w:type="pct"/>
            <w:noWrap/>
            <w:hideMark/>
          </w:tcPr>
          <w:p w14:paraId="5F22F50E"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20" w:type="pct"/>
            <w:noWrap/>
            <w:hideMark/>
          </w:tcPr>
          <w:p w14:paraId="5F22F50F"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20" w:type="pct"/>
            <w:noWrap/>
            <w:hideMark/>
          </w:tcPr>
          <w:p w14:paraId="5F22F510"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0.02</w:t>
            </w:r>
          </w:p>
        </w:tc>
        <w:tc>
          <w:tcPr>
            <w:tcW w:w="320" w:type="pct"/>
            <w:noWrap/>
            <w:hideMark/>
          </w:tcPr>
          <w:p w14:paraId="5F22F511"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0.20</w:t>
            </w:r>
          </w:p>
        </w:tc>
        <w:tc>
          <w:tcPr>
            <w:tcW w:w="320" w:type="pct"/>
            <w:noWrap/>
            <w:hideMark/>
          </w:tcPr>
          <w:p w14:paraId="5F22F512"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0.50</w:t>
            </w:r>
          </w:p>
        </w:tc>
        <w:tc>
          <w:tcPr>
            <w:tcW w:w="311" w:type="pct"/>
            <w:noWrap/>
            <w:hideMark/>
          </w:tcPr>
          <w:p w14:paraId="5F22F513"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0.02</w:t>
            </w:r>
          </w:p>
        </w:tc>
        <w:tc>
          <w:tcPr>
            <w:tcW w:w="349" w:type="pct"/>
            <w:noWrap/>
            <w:hideMark/>
          </w:tcPr>
          <w:p w14:paraId="5F22F514" w14:textId="77777777" w:rsidR="00574B0D" w:rsidRPr="00B930DE" w:rsidRDefault="00574B0D" w:rsidP="00B930DE">
            <w:pPr>
              <w:spacing w:before="0" w:after="0"/>
              <w:jc w:val="center"/>
              <w:rPr>
                <w:rFonts w:cs="Arial"/>
                <w:sz w:val="16"/>
                <w:szCs w:val="18"/>
                <w:lang w:eastAsia="en-AU"/>
              </w:rPr>
            </w:pPr>
          </w:p>
        </w:tc>
        <w:tc>
          <w:tcPr>
            <w:tcW w:w="351" w:type="pct"/>
            <w:noWrap/>
            <w:hideMark/>
          </w:tcPr>
          <w:p w14:paraId="5F22F515"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-12.30</w:t>
            </w:r>
          </w:p>
        </w:tc>
        <w:tc>
          <w:tcPr>
            <w:tcW w:w="351" w:type="pct"/>
            <w:noWrap/>
            <w:hideMark/>
          </w:tcPr>
          <w:p w14:paraId="5F22F516" w14:textId="77777777" w:rsidR="00574B0D" w:rsidRPr="00B930DE" w:rsidRDefault="00574B0D" w:rsidP="00B930DE">
            <w:pPr>
              <w:spacing w:before="0" w:after="0"/>
              <w:jc w:val="center"/>
              <w:rPr>
                <w:rFonts w:cs="Arial"/>
                <w:sz w:val="16"/>
                <w:szCs w:val="18"/>
                <w:lang w:eastAsia="en-AU"/>
              </w:rPr>
            </w:pPr>
          </w:p>
        </w:tc>
        <w:tc>
          <w:tcPr>
            <w:tcW w:w="378" w:type="pct"/>
          </w:tcPr>
          <w:p w14:paraId="5F22F517"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10.53</w:t>
            </w:r>
          </w:p>
        </w:tc>
        <w:tc>
          <w:tcPr>
            <w:tcW w:w="323" w:type="pct"/>
          </w:tcPr>
          <w:p w14:paraId="5F22F518" w14:textId="77777777" w:rsidR="00574B0D" w:rsidRPr="00B930DE" w:rsidRDefault="00574B0D" w:rsidP="00B930DE">
            <w:pPr>
              <w:spacing w:before="0" w:after="0"/>
              <w:jc w:val="center"/>
              <w:rPr>
                <w:rFonts w:cs="Arial"/>
                <w:sz w:val="16"/>
                <w:szCs w:val="18"/>
                <w:lang w:eastAsia="en-AU"/>
              </w:rPr>
            </w:pPr>
          </w:p>
        </w:tc>
      </w:tr>
      <w:tr w:rsidR="00574B0D" w:rsidRPr="00B930DE" w14:paraId="5F22F528" w14:textId="77777777" w:rsidTr="004A5BF7">
        <w:trPr>
          <w:trHeight w:val="300"/>
        </w:trPr>
        <w:tc>
          <w:tcPr>
            <w:tcW w:w="660" w:type="pct"/>
            <w:vMerge/>
            <w:hideMark/>
          </w:tcPr>
          <w:p w14:paraId="5F22F51A" w14:textId="77777777" w:rsidR="00574B0D" w:rsidRPr="00B930DE" w:rsidRDefault="00574B0D" w:rsidP="00B930DE">
            <w:pPr>
              <w:spacing w:before="0" w:after="0"/>
              <w:jc w:val="center"/>
              <w:rPr>
                <w:rFonts w:cs="Arial"/>
                <w:sz w:val="16"/>
                <w:szCs w:val="18"/>
                <w:lang w:eastAsia="en-AU"/>
              </w:rPr>
            </w:pPr>
          </w:p>
        </w:tc>
        <w:tc>
          <w:tcPr>
            <w:tcW w:w="354" w:type="pct"/>
            <w:noWrap/>
            <w:hideMark/>
          </w:tcPr>
          <w:p w14:paraId="5F22F51B"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LI^</w:t>
            </w:r>
          </w:p>
        </w:tc>
        <w:tc>
          <w:tcPr>
            <w:tcW w:w="320" w:type="pct"/>
            <w:noWrap/>
            <w:hideMark/>
          </w:tcPr>
          <w:p w14:paraId="5F22F51C"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20" w:type="pct"/>
            <w:noWrap/>
            <w:hideMark/>
          </w:tcPr>
          <w:p w14:paraId="5F22F51D"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20" w:type="pct"/>
            <w:noWrap/>
            <w:hideMark/>
          </w:tcPr>
          <w:p w14:paraId="5F22F51E"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20" w:type="pct"/>
            <w:noWrap/>
            <w:hideMark/>
          </w:tcPr>
          <w:p w14:paraId="5F22F51F"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0.02</w:t>
            </w:r>
          </w:p>
        </w:tc>
        <w:tc>
          <w:tcPr>
            <w:tcW w:w="320" w:type="pct"/>
            <w:noWrap/>
            <w:hideMark/>
          </w:tcPr>
          <w:p w14:paraId="5F22F520"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0.13</w:t>
            </w:r>
          </w:p>
        </w:tc>
        <w:tc>
          <w:tcPr>
            <w:tcW w:w="320" w:type="pct"/>
            <w:noWrap/>
            <w:hideMark/>
          </w:tcPr>
          <w:p w14:paraId="5F22F521"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0.42</w:t>
            </w:r>
          </w:p>
        </w:tc>
        <w:tc>
          <w:tcPr>
            <w:tcW w:w="311" w:type="pct"/>
            <w:noWrap/>
            <w:hideMark/>
          </w:tcPr>
          <w:p w14:paraId="5F22F522"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0.00</w:t>
            </w:r>
          </w:p>
        </w:tc>
        <w:tc>
          <w:tcPr>
            <w:tcW w:w="349" w:type="pct"/>
            <w:noWrap/>
            <w:hideMark/>
          </w:tcPr>
          <w:p w14:paraId="5F22F523" w14:textId="77777777" w:rsidR="00574B0D" w:rsidRPr="00B930DE" w:rsidRDefault="00574B0D" w:rsidP="00B930DE">
            <w:pPr>
              <w:spacing w:before="0" w:after="0"/>
              <w:jc w:val="center"/>
              <w:rPr>
                <w:rFonts w:cs="Arial"/>
                <w:sz w:val="16"/>
                <w:szCs w:val="18"/>
                <w:lang w:eastAsia="en-AU"/>
              </w:rPr>
            </w:pPr>
          </w:p>
        </w:tc>
        <w:tc>
          <w:tcPr>
            <w:tcW w:w="351" w:type="pct"/>
            <w:noWrap/>
            <w:hideMark/>
          </w:tcPr>
          <w:p w14:paraId="5F22F524"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-12.00</w:t>
            </w:r>
          </w:p>
        </w:tc>
        <w:tc>
          <w:tcPr>
            <w:tcW w:w="351" w:type="pct"/>
            <w:noWrap/>
            <w:hideMark/>
          </w:tcPr>
          <w:p w14:paraId="5F22F525" w14:textId="77777777" w:rsidR="00574B0D" w:rsidRPr="00B930DE" w:rsidRDefault="00574B0D" w:rsidP="00B930DE">
            <w:pPr>
              <w:spacing w:before="0" w:after="0"/>
              <w:jc w:val="center"/>
              <w:rPr>
                <w:rFonts w:cs="Arial"/>
                <w:sz w:val="16"/>
                <w:szCs w:val="18"/>
                <w:lang w:eastAsia="en-AU"/>
              </w:rPr>
            </w:pPr>
          </w:p>
        </w:tc>
        <w:tc>
          <w:tcPr>
            <w:tcW w:w="378" w:type="pct"/>
          </w:tcPr>
          <w:p w14:paraId="5F22F526"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11.01</w:t>
            </w:r>
          </w:p>
        </w:tc>
        <w:tc>
          <w:tcPr>
            <w:tcW w:w="323" w:type="pct"/>
          </w:tcPr>
          <w:p w14:paraId="5F22F527" w14:textId="77777777" w:rsidR="00574B0D" w:rsidRPr="00B930DE" w:rsidRDefault="00574B0D" w:rsidP="00B930DE">
            <w:pPr>
              <w:spacing w:before="0" w:after="0"/>
              <w:jc w:val="center"/>
              <w:rPr>
                <w:rFonts w:cs="Arial"/>
                <w:sz w:val="16"/>
                <w:szCs w:val="18"/>
                <w:lang w:eastAsia="en-AU"/>
              </w:rPr>
            </w:pPr>
          </w:p>
        </w:tc>
      </w:tr>
      <w:tr w:rsidR="00574B0D" w:rsidRPr="00B930DE" w14:paraId="5F22F537" w14:textId="77777777" w:rsidTr="004A5BF7">
        <w:trPr>
          <w:trHeight w:val="300"/>
        </w:trPr>
        <w:tc>
          <w:tcPr>
            <w:tcW w:w="660" w:type="pct"/>
            <w:vMerge/>
            <w:hideMark/>
          </w:tcPr>
          <w:p w14:paraId="5F22F529" w14:textId="77777777" w:rsidR="00574B0D" w:rsidRPr="00B930DE" w:rsidRDefault="00574B0D" w:rsidP="00B930DE">
            <w:pPr>
              <w:spacing w:before="0" w:after="0"/>
              <w:jc w:val="center"/>
              <w:rPr>
                <w:rFonts w:cs="Arial"/>
                <w:sz w:val="16"/>
                <w:szCs w:val="18"/>
                <w:lang w:eastAsia="en-AU"/>
              </w:rPr>
            </w:pPr>
          </w:p>
        </w:tc>
        <w:tc>
          <w:tcPr>
            <w:tcW w:w="354" w:type="pct"/>
            <w:noWrap/>
            <w:hideMark/>
          </w:tcPr>
          <w:p w14:paraId="5F22F52A"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YP</w:t>
            </w:r>
          </w:p>
        </w:tc>
        <w:tc>
          <w:tcPr>
            <w:tcW w:w="320" w:type="pct"/>
            <w:noWrap/>
            <w:hideMark/>
          </w:tcPr>
          <w:p w14:paraId="5F22F52B"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20" w:type="pct"/>
            <w:noWrap/>
            <w:hideMark/>
          </w:tcPr>
          <w:p w14:paraId="5F22F52C"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20" w:type="pct"/>
            <w:noWrap/>
            <w:hideMark/>
          </w:tcPr>
          <w:p w14:paraId="5F22F52D"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0.00</w:t>
            </w:r>
          </w:p>
        </w:tc>
        <w:tc>
          <w:tcPr>
            <w:tcW w:w="320" w:type="pct"/>
            <w:noWrap/>
            <w:hideMark/>
          </w:tcPr>
          <w:p w14:paraId="5F22F52E"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0.05</w:t>
            </w:r>
          </w:p>
        </w:tc>
        <w:tc>
          <w:tcPr>
            <w:tcW w:w="320" w:type="pct"/>
            <w:noWrap/>
            <w:hideMark/>
          </w:tcPr>
          <w:p w14:paraId="5F22F52F"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0.60</w:t>
            </w:r>
          </w:p>
        </w:tc>
        <w:tc>
          <w:tcPr>
            <w:tcW w:w="320" w:type="pct"/>
            <w:noWrap/>
            <w:hideMark/>
          </w:tcPr>
          <w:p w14:paraId="5F22F530"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0.10</w:t>
            </w:r>
          </w:p>
        </w:tc>
        <w:tc>
          <w:tcPr>
            <w:tcW w:w="311" w:type="pct"/>
            <w:noWrap/>
            <w:hideMark/>
          </w:tcPr>
          <w:p w14:paraId="5F22F531"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0.13</w:t>
            </w:r>
          </w:p>
        </w:tc>
        <w:tc>
          <w:tcPr>
            <w:tcW w:w="349" w:type="pct"/>
            <w:noWrap/>
            <w:hideMark/>
          </w:tcPr>
          <w:p w14:paraId="5F22F532" w14:textId="77777777" w:rsidR="00574B0D" w:rsidRPr="00B930DE" w:rsidRDefault="00574B0D" w:rsidP="00B930DE">
            <w:pPr>
              <w:spacing w:before="0" w:after="0"/>
              <w:jc w:val="center"/>
              <w:rPr>
                <w:rFonts w:cs="Arial"/>
                <w:sz w:val="16"/>
                <w:szCs w:val="18"/>
                <w:lang w:eastAsia="en-AU"/>
              </w:rPr>
            </w:pPr>
          </w:p>
        </w:tc>
        <w:tc>
          <w:tcPr>
            <w:tcW w:w="351" w:type="pct"/>
            <w:noWrap/>
            <w:hideMark/>
          </w:tcPr>
          <w:p w14:paraId="5F22F533" w14:textId="77777777" w:rsidR="00574B0D" w:rsidRPr="00B930DE" w:rsidRDefault="00574B0D" w:rsidP="00B930DE">
            <w:pPr>
              <w:spacing w:before="0" w:after="0"/>
              <w:jc w:val="center"/>
              <w:rPr>
                <w:rFonts w:cs="Arial"/>
                <w:sz w:val="16"/>
                <w:szCs w:val="18"/>
                <w:lang w:eastAsia="en-AU"/>
              </w:rPr>
            </w:pPr>
            <w:r w:rsidRPr="00B930DE">
              <w:rPr>
                <w:rFonts w:cs="Arial"/>
                <w:sz w:val="16"/>
                <w:szCs w:val="18"/>
                <w:lang w:eastAsia="en-AU"/>
              </w:rPr>
              <w:t>-1.80</w:t>
            </w:r>
          </w:p>
        </w:tc>
        <w:tc>
          <w:tcPr>
            <w:tcW w:w="351" w:type="pct"/>
            <w:noWrap/>
            <w:hideMark/>
          </w:tcPr>
          <w:p w14:paraId="5F22F534" w14:textId="77777777" w:rsidR="00574B0D" w:rsidRPr="00B930DE" w:rsidRDefault="00574B0D" w:rsidP="00B930DE">
            <w:pPr>
              <w:spacing w:before="0" w:after="0"/>
              <w:jc w:val="center"/>
              <w:rPr>
                <w:rFonts w:cs="Arial"/>
                <w:sz w:val="16"/>
                <w:szCs w:val="18"/>
                <w:lang w:eastAsia="en-AU"/>
              </w:rPr>
            </w:pPr>
          </w:p>
        </w:tc>
        <w:tc>
          <w:tcPr>
            <w:tcW w:w="378" w:type="pct"/>
          </w:tcPr>
          <w:p w14:paraId="5F22F535" w14:textId="77777777" w:rsidR="00574B0D" w:rsidRPr="00B930DE" w:rsidRDefault="00574B0D" w:rsidP="00B930DE">
            <w:pPr>
              <w:spacing w:before="0" w:after="0"/>
              <w:jc w:val="center"/>
              <w:rPr>
                <w:rFonts w:cs="Arial"/>
                <w:sz w:val="16"/>
                <w:szCs w:val="18"/>
                <w:lang w:eastAsia="en-AU"/>
              </w:rPr>
            </w:pPr>
            <w:r w:rsidRPr="00B930DE">
              <w:rPr>
                <w:rFonts w:cs="Arial"/>
                <w:sz w:val="16"/>
                <w:szCs w:val="18"/>
              </w:rPr>
              <w:t>10.20</w:t>
            </w:r>
          </w:p>
        </w:tc>
        <w:tc>
          <w:tcPr>
            <w:tcW w:w="323" w:type="pct"/>
          </w:tcPr>
          <w:p w14:paraId="5F22F536" w14:textId="77777777" w:rsidR="00574B0D" w:rsidRPr="00B930DE" w:rsidRDefault="00574B0D" w:rsidP="00B930DE">
            <w:pPr>
              <w:spacing w:before="0" w:after="0"/>
              <w:jc w:val="center"/>
              <w:rPr>
                <w:rFonts w:cs="Arial"/>
                <w:sz w:val="16"/>
                <w:szCs w:val="18"/>
                <w:lang w:eastAsia="en-AU"/>
              </w:rPr>
            </w:pPr>
          </w:p>
        </w:tc>
      </w:tr>
    </w:tbl>
    <w:p w14:paraId="5F22F538" w14:textId="77777777" w:rsidR="00E40358" w:rsidRDefault="00E40358" w:rsidP="00574B0D">
      <w:pPr>
        <w:spacing w:after="240"/>
        <w:rPr>
          <w:szCs w:val="24"/>
          <w:lang w:val="en-AU"/>
        </w:rPr>
      </w:pPr>
    </w:p>
    <w:p w14:paraId="5F22F539" w14:textId="49C0BC0A" w:rsidR="00B930DE" w:rsidRDefault="00B930DE" w:rsidP="00B930DE">
      <w:pPr>
        <w:rPr>
          <w:lang w:val="en-AU"/>
        </w:rPr>
      </w:pPr>
      <w:r w:rsidRPr="00F24DDC">
        <w:rPr>
          <w:szCs w:val="24"/>
          <w:lang w:val="en-AU"/>
        </w:rPr>
        <w:t xml:space="preserve">Multi-annual trends in MAp </w:t>
      </w:r>
      <w:r>
        <w:rPr>
          <w:szCs w:val="24"/>
          <w:lang w:val="en-AU"/>
        </w:rPr>
        <w:t xml:space="preserve">were </w:t>
      </w:r>
      <w:r w:rsidRPr="00F24DDC">
        <w:rPr>
          <w:szCs w:val="24"/>
          <w:lang w:val="en-AU"/>
        </w:rPr>
        <w:t xml:space="preserve">highly variable </w:t>
      </w:r>
      <w:r>
        <w:rPr>
          <w:szCs w:val="24"/>
          <w:lang w:val="en-AU"/>
        </w:rPr>
        <w:t xml:space="preserve">both </w:t>
      </w:r>
      <w:r w:rsidRPr="00F24DDC">
        <w:rPr>
          <w:szCs w:val="24"/>
          <w:lang w:val="en-AU"/>
        </w:rPr>
        <w:t xml:space="preserve">through time and </w:t>
      </w:r>
      <w:r>
        <w:rPr>
          <w:szCs w:val="24"/>
          <w:lang w:val="en-AU"/>
        </w:rPr>
        <w:t xml:space="preserve">between </w:t>
      </w:r>
      <w:r w:rsidRPr="00F24DDC">
        <w:rPr>
          <w:szCs w:val="24"/>
          <w:lang w:val="en-AU"/>
        </w:rPr>
        <w:t>regions (</w:t>
      </w:r>
      <w:r w:rsidR="00124249">
        <w:rPr>
          <w:szCs w:val="24"/>
          <w:lang w:val="en-AU"/>
        </w:rPr>
        <w:fldChar w:fldCharType="begin"/>
      </w:r>
      <w:r w:rsidR="00124249">
        <w:rPr>
          <w:szCs w:val="24"/>
          <w:lang w:val="en-AU"/>
        </w:rPr>
        <w:instrText xml:space="preserve"> REF _Ref459156043 \h </w:instrText>
      </w:r>
      <w:r w:rsidR="00124249">
        <w:rPr>
          <w:szCs w:val="24"/>
          <w:lang w:val="en-AU"/>
        </w:rPr>
      </w:r>
      <w:r w:rsidR="00124249">
        <w:rPr>
          <w:szCs w:val="24"/>
          <w:lang w:val="en-AU"/>
        </w:rPr>
        <w:fldChar w:fldCharType="separate"/>
      </w:r>
      <w:r w:rsidR="007F5336" w:rsidRPr="004A5BF7">
        <w:rPr>
          <w:rStyle w:val="FigureChar"/>
          <w:rFonts w:ascii="Arial" w:hAnsi="Arial"/>
          <w:sz w:val="18"/>
          <w:lang w:val="en-US"/>
        </w:rPr>
        <w:t xml:space="preserve">Figure </w:t>
      </w:r>
      <w:r w:rsidR="007F5336">
        <w:rPr>
          <w:rStyle w:val="FigureChar"/>
          <w:rFonts w:ascii="Arial" w:hAnsi="Arial"/>
          <w:noProof/>
          <w:sz w:val="18"/>
          <w:lang w:val="en-US"/>
        </w:rPr>
        <w:t>8</w:t>
      </w:r>
      <w:r w:rsidR="007F5336">
        <w:rPr>
          <w:rStyle w:val="FigureChar"/>
          <w:rFonts w:ascii="Arial" w:hAnsi="Arial"/>
          <w:sz w:val="18"/>
          <w:lang w:val="en-US"/>
        </w:rPr>
        <w:noBreakHyphen/>
      </w:r>
      <w:r w:rsidR="007F5336">
        <w:rPr>
          <w:rStyle w:val="FigureChar"/>
          <w:rFonts w:ascii="Arial" w:hAnsi="Arial"/>
          <w:noProof/>
          <w:sz w:val="18"/>
          <w:lang w:val="en-US"/>
        </w:rPr>
        <w:t>2</w:t>
      </w:r>
      <w:r w:rsidR="00124249">
        <w:rPr>
          <w:szCs w:val="24"/>
          <w:lang w:val="en-AU"/>
        </w:rPr>
        <w:fldChar w:fldCharType="end"/>
      </w:r>
      <w:r w:rsidRPr="00F24DDC">
        <w:rPr>
          <w:szCs w:val="24"/>
          <w:lang w:val="en-AU"/>
        </w:rPr>
        <w:t xml:space="preserve">b) and the interactions between </w:t>
      </w:r>
      <w:r>
        <w:rPr>
          <w:szCs w:val="24"/>
          <w:lang w:val="en-AU"/>
        </w:rPr>
        <w:t>risk scores</w:t>
      </w:r>
      <w:r w:rsidRPr="00F24DDC">
        <w:rPr>
          <w:szCs w:val="24"/>
          <w:lang w:val="en-AU"/>
        </w:rPr>
        <w:t xml:space="preserve"> and multi-annual changes in </w:t>
      </w:r>
      <w:r>
        <w:rPr>
          <w:szCs w:val="24"/>
          <w:lang w:val="en-AU"/>
        </w:rPr>
        <w:t>MAp</w:t>
      </w:r>
      <w:r w:rsidRPr="00F24DDC">
        <w:rPr>
          <w:szCs w:val="24"/>
          <w:lang w:val="en-AU"/>
        </w:rPr>
        <w:t xml:space="preserve"> were more complex (</w:t>
      </w:r>
      <w:r w:rsidR="00124249">
        <w:rPr>
          <w:szCs w:val="24"/>
          <w:lang w:val="en-AU"/>
        </w:rPr>
        <w:fldChar w:fldCharType="begin"/>
      </w:r>
      <w:r w:rsidR="00124249">
        <w:rPr>
          <w:szCs w:val="24"/>
          <w:lang w:val="en-AU"/>
        </w:rPr>
        <w:instrText xml:space="preserve"> REF _Ref459156058 \h  \* MERGEFORMAT </w:instrText>
      </w:r>
      <w:r w:rsidR="00124249">
        <w:rPr>
          <w:szCs w:val="24"/>
          <w:lang w:val="en-AU"/>
        </w:rPr>
      </w:r>
      <w:r w:rsidR="00124249">
        <w:rPr>
          <w:szCs w:val="24"/>
          <w:lang w:val="en-AU"/>
        </w:rPr>
        <w:fldChar w:fldCharType="separate"/>
      </w:r>
      <w:r w:rsidR="007F5336" w:rsidRPr="007F5336">
        <w:rPr>
          <w:szCs w:val="24"/>
          <w:lang w:val="en-AU"/>
        </w:rPr>
        <w:t>Table 8</w:t>
      </w:r>
      <w:r w:rsidR="007F5336" w:rsidRPr="007F5336">
        <w:rPr>
          <w:szCs w:val="24"/>
          <w:lang w:val="en-AU"/>
        </w:rPr>
        <w:noBreakHyphen/>
        <w:t>4</w:t>
      </w:r>
      <w:r w:rsidR="00124249">
        <w:rPr>
          <w:szCs w:val="24"/>
          <w:lang w:val="en-AU"/>
        </w:rPr>
        <w:fldChar w:fldCharType="end"/>
      </w:r>
      <w:r w:rsidR="00124249">
        <w:rPr>
          <w:szCs w:val="24"/>
          <w:lang w:val="en-AU"/>
        </w:rPr>
        <w:t xml:space="preserve"> </w:t>
      </w:r>
      <w:r w:rsidRPr="00F24DDC">
        <w:rPr>
          <w:szCs w:val="24"/>
          <w:lang w:val="en-AU"/>
        </w:rPr>
        <w:t xml:space="preserve">and </w:t>
      </w:r>
      <w:r w:rsidR="00124249">
        <w:rPr>
          <w:szCs w:val="24"/>
          <w:lang w:val="en-AU"/>
        </w:rPr>
        <w:fldChar w:fldCharType="begin"/>
      </w:r>
      <w:r w:rsidR="00124249">
        <w:rPr>
          <w:szCs w:val="24"/>
          <w:lang w:val="en-AU"/>
        </w:rPr>
        <w:instrText xml:space="preserve"> REF _Ref459156184 \h  \* MERGEFORMAT </w:instrText>
      </w:r>
      <w:r w:rsidR="00124249">
        <w:rPr>
          <w:szCs w:val="24"/>
          <w:lang w:val="en-AU"/>
        </w:rPr>
      </w:r>
      <w:r w:rsidR="00124249">
        <w:rPr>
          <w:szCs w:val="24"/>
          <w:lang w:val="en-AU"/>
        </w:rPr>
        <w:fldChar w:fldCharType="separate"/>
      </w:r>
      <w:r w:rsidR="007F5336" w:rsidRPr="007F5336">
        <w:rPr>
          <w:szCs w:val="24"/>
          <w:lang w:val="en-AU"/>
        </w:rPr>
        <w:t>Figure 8</w:t>
      </w:r>
      <w:r w:rsidR="007F5336" w:rsidRPr="007F5336">
        <w:rPr>
          <w:szCs w:val="24"/>
          <w:lang w:val="en-AU"/>
        </w:rPr>
        <w:noBreakHyphen/>
        <w:t>4</w:t>
      </w:r>
      <w:r w:rsidR="00124249">
        <w:rPr>
          <w:szCs w:val="24"/>
          <w:lang w:val="en-AU"/>
        </w:rPr>
        <w:fldChar w:fldCharType="end"/>
      </w:r>
      <w:r>
        <w:rPr>
          <w:szCs w:val="24"/>
          <w:lang w:val="en-AU"/>
        </w:rPr>
        <w:t>a</w:t>
      </w:r>
      <w:r w:rsidRPr="00F24DDC">
        <w:rPr>
          <w:szCs w:val="24"/>
          <w:lang w:val="en-AU"/>
        </w:rPr>
        <w:t>). A</w:t>
      </w:r>
      <w:r>
        <w:rPr>
          <w:szCs w:val="24"/>
          <w:lang w:val="en-AU"/>
        </w:rPr>
        <w:t>t the site scale, a</w:t>
      </w:r>
      <w:r w:rsidRPr="00F24DDC">
        <w:rPr>
          <w:szCs w:val="24"/>
          <w:lang w:val="en-AU"/>
        </w:rPr>
        <w:t xml:space="preserve"> slight increase of the </w:t>
      </w:r>
      <w:r w:rsidRPr="004C6225">
        <w:rPr>
          <w:szCs w:val="24"/>
          <w:lang w:val="en-AU"/>
        </w:rPr>
        <w:t>Δ</w:t>
      </w:r>
      <w:r w:rsidRPr="004A5BF7">
        <w:rPr>
          <w:szCs w:val="24"/>
          <w:lang w:val="en-AU"/>
        </w:rPr>
        <w:t xml:space="preserve">site </w:t>
      </w:r>
      <w:r w:rsidRPr="00F24DDC">
        <w:rPr>
          <w:szCs w:val="24"/>
          <w:lang w:val="en-AU"/>
        </w:rPr>
        <w:t xml:space="preserve">with increased </w:t>
      </w:r>
      <w:r>
        <w:rPr>
          <w:szCs w:val="24"/>
          <w:lang w:val="en-AU"/>
        </w:rPr>
        <w:t>R</w:t>
      </w:r>
      <w:r w:rsidRPr="00F24DDC">
        <w:rPr>
          <w:szCs w:val="24"/>
          <w:lang w:val="en-AU"/>
        </w:rPr>
        <w:t>S</w:t>
      </w:r>
      <w:r w:rsidRPr="004A5BF7">
        <w:rPr>
          <w:szCs w:val="24"/>
          <w:lang w:val="en-AU"/>
        </w:rPr>
        <w:t>site</w:t>
      </w:r>
      <w:r w:rsidRPr="00F24DDC">
        <w:rPr>
          <w:szCs w:val="24"/>
          <w:lang w:val="en-AU"/>
        </w:rPr>
        <w:t xml:space="preserve"> values was observable, but </w:t>
      </w:r>
      <w:r>
        <w:rPr>
          <w:szCs w:val="24"/>
          <w:lang w:val="en-AU"/>
        </w:rPr>
        <w:t xml:space="preserve">was </w:t>
      </w:r>
      <w:r w:rsidRPr="00F24DDC">
        <w:rPr>
          <w:szCs w:val="24"/>
          <w:lang w:val="en-AU"/>
        </w:rPr>
        <w:t>not significant (</w:t>
      </w:r>
      <w:r w:rsidR="00124249">
        <w:rPr>
          <w:szCs w:val="24"/>
          <w:lang w:val="en-AU"/>
        </w:rPr>
        <w:fldChar w:fldCharType="begin"/>
      </w:r>
      <w:r w:rsidR="00124249">
        <w:rPr>
          <w:szCs w:val="24"/>
          <w:lang w:val="en-AU"/>
        </w:rPr>
        <w:instrText xml:space="preserve"> REF _Ref459156184 \h  \* MERGEFORMAT </w:instrText>
      </w:r>
      <w:r w:rsidR="00124249">
        <w:rPr>
          <w:szCs w:val="24"/>
          <w:lang w:val="en-AU"/>
        </w:rPr>
      </w:r>
      <w:r w:rsidR="00124249">
        <w:rPr>
          <w:szCs w:val="24"/>
          <w:lang w:val="en-AU"/>
        </w:rPr>
        <w:fldChar w:fldCharType="separate"/>
      </w:r>
      <w:r w:rsidR="007F5336" w:rsidRPr="007F5336">
        <w:rPr>
          <w:szCs w:val="24"/>
          <w:lang w:val="en-AU"/>
        </w:rPr>
        <w:t>Figure 8</w:t>
      </w:r>
      <w:r w:rsidR="007F5336" w:rsidRPr="007F5336">
        <w:rPr>
          <w:szCs w:val="24"/>
          <w:lang w:val="en-AU"/>
        </w:rPr>
        <w:noBreakHyphen/>
        <w:t>4</w:t>
      </w:r>
      <w:r w:rsidR="00124249">
        <w:rPr>
          <w:szCs w:val="24"/>
          <w:lang w:val="en-AU"/>
        </w:rPr>
        <w:fldChar w:fldCharType="end"/>
      </w:r>
      <w:r w:rsidRPr="00F24DDC">
        <w:rPr>
          <w:szCs w:val="24"/>
          <w:lang w:val="en-AU"/>
        </w:rPr>
        <w:t>a</w:t>
      </w:r>
      <w:r>
        <w:rPr>
          <w:szCs w:val="24"/>
          <w:lang w:val="en-AU"/>
        </w:rPr>
        <w:t>, R</w:t>
      </w:r>
      <w:r w:rsidRPr="00CE150E">
        <w:rPr>
          <w:szCs w:val="24"/>
          <w:vertAlign w:val="superscript"/>
          <w:lang w:val="en-AU"/>
        </w:rPr>
        <w:t>2</w:t>
      </w:r>
      <w:r>
        <w:rPr>
          <w:szCs w:val="24"/>
          <w:lang w:val="en-AU"/>
        </w:rPr>
        <w:t xml:space="preserve"> = 0.04, ns.</w:t>
      </w:r>
      <w:r w:rsidRPr="00F24DDC">
        <w:rPr>
          <w:szCs w:val="24"/>
          <w:lang w:val="en-AU"/>
        </w:rPr>
        <w:t xml:space="preserve">). At the </w:t>
      </w:r>
      <w:r>
        <w:rPr>
          <w:szCs w:val="24"/>
          <w:lang w:val="en-AU"/>
        </w:rPr>
        <w:t>regional</w:t>
      </w:r>
      <w:r w:rsidRPr="00F24DDC">
        <w:rPr>
          <w:szCs w:val="24"/>
          <w:lang w:val="en-AU"/>
        </w:rPr>
        <w:t xml:space="preserve"> scale, trends were clearer though </w:t>
      </w:r>
      <w:r>
        <w:rPr>
          <w:szCs w:val="24"/>
          <w:lang w:val="en-AU"/>
        </w:rPr>
        <w:t xml:space="preserve">still </w:t>
      </w:r>
      <w:r w:rsidRPr="00F24DDC">
        <w:rPr>
          <w:szCs w:val="24"/>
          <w:lang w:val="en-AU"/>
        </w:rPr>
        <w:t>not significant</w:t>
      </w:r>
      <w:r>
        <w:rPr>
          <w:szCs w:val="24"/>
          <w:lang w:val="en-AU"/>
        </w:rPr>
        <w:t xml:space="preserve"> (</w:t>
      </w:r>
      <w:r w:rsidR="00124249">
        <w:rPr>
          <w:szCs w:val="24"/>
          <w:lang w:val="en-AU"/>
        </w:rPr>
        <w:fldChar w:fldCharType="begin"/>
      </w:r>
      <w:r w:rsidR="00124249">
        <w:rPr>
          <w:szCs w:val="24"/>
          <w:lang w:val="en-AU"/>
        </w:rPr>
        <w:instrText xml:space="preserve"> REF _Ref459156184 \h  \* MERGEFORMAT </w:instrText>
      </w:r>
      <w:r w:rsidR="00124249">
        <w:rPr>
          <w:szCs w:val="24"/>
          <w:lang w:val="en-AU"/>
        </w:rPr>
      </w:r>
      <w:r w:rsidR="00124249">
        <w:rPr>
          <w:szCs w:val="24"/>
          <w:lang w:val="en-AU"/>
        </w:rPr>
        <w:fldChar w:fldCharType="separate"/>
      </w:r>
      <w:r w:rsidR="007F5336" w:rsidRPr="007F5336">
        <w:rPr>
          <w:szCs w:val="24"/>
          <w:lang w:val="en-AU"/>
        </w:rPr>
        <w:t>Figure 8</w:t>
      </w:r>
      <w:r w:rsidR="007F5336" w:rsidRPr="007F5336">
        <w:rPr>
          <w:szCs w:val="24"/>
          <w:lang w:val="en-AU"/>
        </w:rPr>
        <w:noBreakHyphen/>
        <w:t>4</w:t>
      </w:r>
      <w:r w:rsidR="00124249">
        <w:rPr>
          <w:szCs w:val="24"/>
          <w:lang w:val="en-AU"/>
        </w:rPr>
        <w:fldChar w:fldCharType="end"/>
      </w:r>
      <w:r w:rsidRPr="00F24DDC">
        <w:rPr>
          <w:szCs w:val="24"/>
          <w:lang w:val="en-AU"/>
        </w:rPr>
        <w:t>a</w:t>
      </w:r>
      <w:r>
        <w:rPr>
          <w:szCs w:val="24"/>
          <w:lang w:val="en-AU"/>
        </w:rPr>
        <w:t>, R</w:t>
      </w:r>
      <w:r w:rsidRPr="00CE150E">
        <w:rPr>
          <w:szCs w:val="24"/>
          <w:vertAlign w:val="superscript"/>
          <w:lang w:val="en-AU"/>
        </w:rPr>
        <w:t>2</w:t>
      </w:r>
      <w:r>
        <w:rPr>
          <w:szCs w:val="24"/>
          <w:lang w:val="en-AU"/>
        </w:rPr>
        <w:t xml:space="preserve"> = 0.52, ns.). R</w:t>
      </w:r>
      <w:r w:rsidRPr="00F24DDC">
        <w:rPr>
          <w:szCs w:val="24"/>
          <w:lang w:val="en-AU"/>
        </w:rPr>
        <w:t xml:space="preserve">elatively stable multi-annual trends in the MAp </w:t>
      </w:r>
      <w:r>
        <w:rPr>
          <w:szCs w:val="24"/>
          <w:lang w:val="en-AU"/>
        </w:rPr>
        <w:t>cover</w:t>
      </w:r>
      <w:r w:rsidRPr="00F24DDC">
        <w:rPr>
          <w:szCs w:val="24"/>
          <w:lang w:val="en-AU"/>
        </w:rPr>
        <w:t xml:space="preserve"> of the </w:t>
      </w:r>
      <w:r w:rsidR="00486555" w:rsidRPr="00F24DDC">
        <w:rPr>
          <w:szCs w:val="24"/>
          <w:lang w:val="en-AU"/>
        </w:rPr>
        <w:t>Mack</w:t>
      </w:r>
      <w:r w:rsidR="00486555">
        <w:rPr>
          <w:szCs w:val="24"/>
          <w:lang w:val="en-AU"/>
        </w:rPr>
        <w:t>a</w:t>
      </w:r>
      <w:r w:rsidR="00486555" w:rsidRPr="00F24DDC">
        <w:rPr>
          <w:szCs w:val="24"/>
          <w:lang w:val="en-AU"/>
        </w:rPr>
        <w:t>y</w:t>
      </w:r>
      <w:r w:rsidR="00124249">
        <w:rPr>
          <w:szCs w:val="24"/>
          <w:lang w:val="en-AU"/>
        </w:rPr>
        <w:t xml:space="preserve"> </w:t>
      </w:r>
      <w:r w:rsidRPr="00F24DDC">
        <w:rPr>
          <w:szCs w:val="24"/>
          <w:lang w:val="en-AU"/>
        </w:rPr>
        <w:t>Whitsunday</w:t>
      </w:r>
      <w:r>
        <w:rPr>
          <w:szCs w:val="24"/>
          <w:lang w:val="en-AU"/>
        </w:rPr>
        <w:t xml:space="preserve"> or loss of M</w:t>
      </w:r>
      <w:r w:rsidR="00486555">
        <w:rPr>
          <w:szCs w:val="24"/>
          <w:lang w:val="en-AU"/>
        </w:rPr>
        <w:t>A</w:t>
      </w:r>
      <w:r>
        <w:rPr>
          <w:szCs w:val="24"/>
          <w:lang w:val="en-AU"/>
        </w:rPr>
        <w:t xml:space="preserve">p cover in the </w:t>
      </w:r>
      <w:r w:rsidRPr="00F24DDC">
        <w:rPr>
          <w:szCs w:val="24"/>
          <w:lang w:val="en-AU"/>
        </w:rPr>
        <w:t xml:space="preserve">Wet Tropics and Burdekin regions were associated with the similar low regional </w:t>
      </w:r>
      <w:r>
        <w:rPr>
          <w:szCs w:val="24"/>
          <w:lang w:val="en-AU"/>
        </w:rPr>
        <w:t>Risk Scores</w:t>
      </w:r>
      <w:r w:rsidRPr="00F24DDC">
        <w:rPr>
          <w:szCs w:val="24"/>
          <w:lang w:val="en-AU"/>
        </w:rPr>
        <w:t xml:space="preserve"> (</w:t>
      </w:r>
      <w:r w:rsidR="00124249">
        <w:rPr>
          <w:szCs w:val="24"/>
          <w:lang w:val="en-AU"/>
        </w:rPr>
        <w:fldChar w:fldCharType="begin"/>
      </w:r>
      <w:r w:rsidR="00124249">
        <w:rPr>
          <w:szCs w:val="24"/>
          <w:lang w:val="en-AU"/>
        </w:rPr>
        <w:instrText xml:space="preserve"> REF _Ref459156058 \h  \* MERGEFORMAT </w:instrText>
      </w:r>
      <w:r w:rsidR="00124249">
        <w:rPr>
          <w:szCs w:val="24"/>
          <w:lang w:val="en-AU"/>
        </w:rPr>
      </w:r>
      <w:r w:rsidR="00124249">
        <w:rPr>
          <w:szCs w:val="24"/>
          <w:lang w:val="en-AU"/>
        </w:rPr>
        <w:fldChar w:fldCharType="separate"/>
      </w:r>
      <w:r w:rsidR="007F5336" w:rsidRPr="007F5336">
        <w:rPr>
          <w:szCs w:val="24"/>
          <w:lang w:val="en-AU"/>
        </w:rPr>
        <w:t>Table 8</w:t>
      </w:r>
      <w:r w:rsidR="007F5336" w:rsidRPr="007F5336">
        <w:rPr>
          <w:szCs w:val="24"/>
          <w:lang w:val="en-AU"/>
        </w:rPr>
        <w:noBreakHyphen/>
        <w:t>4</w:t>
      </w:r>
      <w:r w:rsidR="00124249">
        <w:rPr>
          <w:szCs w:val="24"/>
          <w:lang w:val="en-AU"/>
        </w:rPr>
        <w:fldChar w:fldCharType="end"/>
      </w:r>
      <w:r w:rsidRPr="00F24DDC">
        <w:rPr>
          <w:szCs w:val="24"/>
          <w:lang w:val="en-AU"/>
        </w:rPr>
        <w:t xml:space="preserve"> and </w:t>
      </w:r>
      <w:r w:rsidR="00124249">
        <w:rPr>
          <w:szCs w:val="24"/>
          <w:lang w:val="en-AU"/>
        </w:rPr>
        <w:fldChar w:fldCharType="begin"/>
      </w:r>
      <w:r w:rsidR="00124249">
        <w:rPr>
          <w:szCs w:val="24"/>
          <w:lang w:val="en-AU"/>
        </w:rPr>
        <w:instrText xml:space="preserve"> REF _Ref459156184 \h  \* MERGEFORMAT </w:instrText>
      </w:r>
      <w:r w:rsidR="00124249">
        <w:rPr>
          <w:szCs w:val="24"/>
          <w:lang w:val="en-AU"/>
        </w:rPr>
      </w:r>
      <w:r w:rsidR="00124249">
        <w:rPr>
          <w:szCs w:val="24"/>
          <w:lang w:val="en-AU"/>
        </w:rPr>
        <w:fldChar w:fldCharType="separate"/>
      </w:r>
      <w:r w:rsidR="007F5336" w:rsidRPr="007F5336">
        <w:rPr>
          <w:szCs w:val="24"/>
          <w:lang w:val="en-AU"/>
        </w:rPr>
        <w:t>Figure 8</w:t>
      </w:r>
      <w:r w:rsidR="007F5336" w:rsidRPr="007F5336">
        <w:rPr>
          <w:szCs w:val="24"/>
          <w:lang w:val="en-AU"/>
        </w:rPr>
        <w:noBreakHyphen/>
        <w:t>4</w:t>
      </w:r>
      <w:r w:rsidR="00124249">
        <w:rPr>
          <w:szCs w:val="24"/>
          <w:lang w:val="en-AU"/>
        </w:rPr>
        <w:fldChar w:fldCharType="end"/>
      </w:r>
      <w:r w:rsidRPr="00F24DDC">
        <w:rPr>
          <w:szCs w:val="24"/>
          <w:lang w:val="en-AU"/>
        </w:rPr>
        <w:t xml:space="preserve">b: </w:t>
      </w:r>
      <w:r>
        <w:rPr>
          <w:szCs w:val="24"/>
          <w:lang w:val="en-AU"/>
        </w:rPr>
        <w:t>R</w:t>
      </w:r>
      <w:r w:rsidRPr="00F24DDC">
        <w:rPr>
          <w:szCs w:val="24"/>
          <w:lang w:val="en-AU"/>
        </w:rPr>
        <w:t>S</w:t>
      </w:r>
      <w:r w:rsidRPr="00F24DDC">
        <w:rPr>
          <w:szCs w:val="24"/>
          <w:vertAlign w:val="subscript"/>
          <w:lang w:val="en-AU"/>
        </w:rPr>
        <w:t>NRM</w:t>
      </w:r>
      <w:r w:rsidRPr="00F24DDC">
        <w:rPr>
          <w:szCs w:val="24"/>
          <w:lang w:val="en-AU"/>
        </w:rPr>
        <w:t xml:space="preserve"> = 0.</w:t>
      </w:r>
      <w:r>
        <w:rPr>
          <w:szCs w:val="24"/>
          <w:lang w:val="en-AU"/>
        </w:rPr>
        <w:t>18</w:t>
      </w:r>
      <w:r w:rsidRPr="00F24DDC">
        <w:rPr>
          <w:szCs w:val="24"/>
          <w:lang w:val="en-AU"/>
        </w:rPr>
        <w:t xml:space="preserve"> – 0.3</w:t>
      </w:r>
      <w:r>
        <w:rPr>
          <w:szCs w:val="24"/>
          <w:lang w:val="en-AU"/>
        </w:rPr>
        <w:t>2</w:t>
      </w:r>
      <w:r w:rsidRPr="00F24DDC">
        <w:rPr>
          <w:szCs w:val="24"/>
          <w:lang w:val="en-AU"/>
        </w:rPr>
        <w:t xml:space="preserve">). Inversely, the </w:t>
      </w:r>
      <w:r>
        <w:rPr>
          <w:szCs w:val="24"/>
          <w:lang w:val="en-AU"/>
        </w:rPr>
        <w:t>increasing trend in MAp cover</w:t>
      </w:r>
      <w:r w:rsidRPr="00F24DDC">
        <w:rPr>
          <w:szCs w:val="24"/>
          <w:lang w:val="en-AU"/>
        </w:rPr>
        <w:t xml:space="preserve"> observed in the Fitzroy region was associated with the highest </w:t>
      </w:r>
      <w:r>
        <w:rPr>
          <w:szCs w:val="24"/>
          <w:lang w:val="en-AU"/>
        </w:rPr>
        <w:t>Risk Scores</w:t>
      </w:r>
      <w:r w:rsidRPr="00F24DDC">
        <w:rPr>
          <w:szCs w:val="24"/>
          <w:lang w:val="en-AU"/>
        </w:rPr>
        <w:t xml:space="preserve"> (</w:t>
      </w:r>
      <w:r>
        <w:rPr>
          <w:szCs w:val="24"/>
          <w:lang w:val="en-AU"/>
        </w:rPr>
        <w:t>R</w:t>
      </w:r>
      <w:r w:rsidRPr="00F24DDC">
        <w:rPr>
          <w:szCs w:val="24"/>
          <w:lang w:val="en-AU"/>
        </w:rPr>
        <w:t>S</w:t>
      </w:r>
      <w:r w:rsidRPr="00F24DDC">
        <w:rPr>
          <w:szCs w:val="24"/>
          <w:vertAlign w:val="subscript"/>
          <w:lang w:val="en-AU"/>
        </w:rPr>
        <w:t>Fitz.</w:t>
      </w:r>
      <w:r w:rsidRPr="00F24DDC">
        <w:rPr>
          <w:szCs w:val="24"/>
          <w:lang w:val="en-AU"/>
        </w:rPr>
        <w:t xml:space="preserve"> = </w:t>
      </w:r>
      <w:r w:rsidRPr="00F24DDC">
        <w:rPr>
          <w:szCs w:val="24"/>
          <w:lang w:val="en-AU" w:eastAsia="en-AU"/>
        </w:rPr>
        <w:t>0.</w:t>
      </w:r>
      <w:r>
        <w:rPr>
          <w:szCs w:val="24"/>
          <w:lang w:val="en-AU" w:eastAsia="en-AU"/>
        </w:rPr>
        <w:t>58</w:t>
      </w:r>
      <w:r w:rsidRPr="00F24DDC">
        <w:rPr>
          <w:szCs w:val="24"/>
          <w:lang w:val="en-AU"/>
        </w:rPr>
        <w:t xml:space="preserve">). </w:t>
      </w:r>
      <w:r>
        <w:rPr>
          <w:szCs w:val="24"/>
          <w:lang w:val="en-AU"/>
        </w:rPr>
        <w:t xml:space="preserve">Stronger relationships were observed by considering the mean multi-annual </w:t>
      </w:r>
      <w:r w:rsidRPr="00F24DDC">
        <w:rPr>
          <w:szCs w:val="24"/>
          <w:lang w:val="en-AU"/>
        </w:rPr>
        <w:t>MAp</w:t>
      </w:r>
      <w:r>
        <w:rPr>
          <w:szCs w:val="24"/>
          <w:lang w:val="en-AU"/>
        </w:rPr>
        <w:t xml:space="preserve"> values rather than the </w:t>
      </w:r>
      <w:r w:rsidRPr="00F24DDC">
        <w:rPr>
          <w:szCs w:val="24"/>
          <w:lang w:val="en-AU"/>
        </w:rPr>
        <w:t>MAp</w:t>
      </w:r>
      <w:r>
        <w:rPr>
          <w:szCs w:val="24"/>
          <w:lang w:val="en-AU"/>
        </w:rPr>
        <w:t xml:space="preserve"> changes across years 2005 to 2014 (</w:t>
      </w:r>
      <w:r w:rsidR="00124249">
        <w:rPr>
          <w:szCs w:val="24"/>
          <w:lang w:val="en-AU"/>
        </w:rPr>
        <w:fldChar w:fldCharType="begin"/>
      </w:r>
      <w:r w:rsidR="00124249">
        <w:rPr>
          <w:szCs w:val="24"/>
          <w:lang w:val="en-AU"/>
        </w:rPr>
        <w:instrText xml:space="preserve"> REF _Ref459156184 \h  \* MERGEFORMAT </w:instrText>
      </w:r>
      <w:r w:rsidR="00124249">
        <w:rPr>
          <w:szCs w:val="24"/>
          <w:lang w:val="en-AU"/>
        </w:rPr>
      </w:r>
      <w:r w:rsidR="00124249">
        <w:rPr>
          <w:szCs w:val="24"/>
          <w:lang w:val="en-AU"/>
        </w:rPr>
        <w:fldChar w:fldCharType="separate"/>
      </w:r>
      <w:r w:rsidR="007F5336" w:rsidRPr="007F5336">
        <w:rPr>
          <w:szCs w:val="24"/>
          <w:lang w:val="en-AU"/>
        </w:rPr>
        <w:t>Figure 8</w:t>
      </w:r>
      <w:r w:rsidR="007F5336" w:rsidRPr="007F5336">
        <w:rPr>
          <w:szCs w:val="24"/>
          <w:lang w:val="en-AU"/>
        </w:rPr>
        <w:noBreakHyphen/>
        <w:t>4</w:t>
      </w:r>
      <w:r w:rsidR="00124249">
        <w:rPr>
          <w:szCs w:val="24"/>
          <w:lang w:val="en-AU"/>
        </w:rPr>
        <w:fldChar w:fldCharType="end"/>
      </w:r>
      <w:r>
        <w:rPr>
          <w:szCs w:val="24"/>
          <w:lang w:val="en-AU"/>
        </w:rPr>
        <w:t xml:space="preserve">c and </w:t>
      </w:r>
      <w:r w:rsidR="00124249">
        <w:rPr>
          <w:szCs w:val="24"/>
          <w:lang w:val="en-AU"/>
        </w:rPr>
        <w:fldChar w:fldCharType="begin"/>
      </w:r>
      <w:r w:rsidR="00124249">
        <w:rPr>
          <w:szCs w:val="24"/>
          <w:lang w:val="en-AU"/>
        </w:rPr>
        <w:instrText xml:space="preserve"> REF _Ref459156184 \h  \* MERGEFORMAT </w:instrText>
      </w:r>
      <w:r w:rsidR="00124249">
        <w:rPr>
          <w:szCs w:val="24"/>
          <w:lang w:val="en-AU"/>
        </w:rPr>
      </w:r>
      <w:r w:rsidR="00124249">
        <w:rPr>
          <w:szCs w:val="24"/>
          <w:lang w:val="en-AU"/>
        </w:rPr>
        <w:fldChar w:fldCharType="separate"/>
      </w:r>
      <w:r w:rsidR="007F5336" w:rsidRPr="007F5336">
        <w:rPr>
          <w:szCs w:val="24"/>
          <w:lang w:val="en-AU"/>
        </w:rPr>
        <w:t>Figure 8</w:t>
      </w:r>
      <w:r w:rsidR="007F5336" w:rsidRPr="007F5336">
        <w:rPr>
          <w:szCs w:val="24"/>
          <w:lang w:val="en-AU"/>
        </w:rPr>
        <w:noBreakHyphen/>
        <w:t>4</w:t>
      </w:r>
      <w:r w:rsidR="00124249">
        <w:rPr>
          <w:szCs w:val="24"/>
          <w:lang w:val="en-AU"/>
        </w:rPr>
        <w:fldChar w:fldCharType="end"/>
      </w:r>
      <w:r>
        <w:rPr>
          <w:szCs w:val="24"/>
          <w:lang w:val="en-AU"/>
        </w:rPr>
        <w:t xml:space="preserve">d vs. </w:t>
      </w:r>
      <w:r w:rsidR="00124249">
        <w:rPr>
          <w:szCs w:val="24"/>
          <w:lang w:val="en-AU"/>
        </w:rPr>
        <w:fldChar w:fldCharType="begin"/>
      </w:r>
      <w:r w:rsidR="00124249">
        <w:rPr>
          <w:szCs w:val="24"/>
          <w:lang w:val="en-AU"/>
        </w:rPr>
        <w:instrText xml:space="preserve"> REF _Ref459156184 \h  \* MERGEFORMAT </w:instrText>
      </w:r>
      <w:r w:rsidR="00124249">
        <w:rPr>
          <w:szCs w:val="24"/>
          <w:lang w:val="en-AU"/>
        </w:rPr>
      </w:r>
      <w:r w:rsidR="00124249">
        <w:rPr>
          <w:szCs w:val="24"/>
          <w:lang w:val="en-AU"/>
        </w:rPr>
        <w:fldChar w:fldCharType="separate"/>
      </w:r>
      <w:r w:rsidR="007F5336" w:rsidRPr="007F5336">
        <w:rPr>
          <w:szCs w:val="24"/>
          <w:lang w:val="en-AU"/>
        </w:rPr>
        <w:t>Figure 8</w:t>
      </w:r>
      <w:r w:rsidR="007F5336" w:rsidRPr="007F5336">
        <w:rPr>
          <w:szCs w:val="24"/>
          <w:lang w:val="en-AU"/>
        </w:rPr>
        <w:noBreakHyphen/>
        <w:t>4</w:t>
      </w:r>
      <w:r w:rsidR="00124249">
        <w:rPr>
          <w:szCs w:val="24"/>
          <w:lang w:val="en-AU"/>
        </w:rPr>
        <w:fldChar w:fldCharType="end"/>
      </w:r>
      <w:r>
        <w:rPr>
          <w:szCs w:val="24"/>
          <w:lang w:val="en-AU"/>
        </w:rPr>
        <w:t xml:space="preserve">a and </w:t>
      </w:r>
      <w:r w:rsidR="00124249">
        <w:rPr>
          <w:szCs w:val="24"/>
          <w:lang w:val="en-AU"/>
        </w:rPr>
        <w:fldChar w:fldCharType="begin"/>
      </w:r>
      <w:r w:rsidR="00124249">
        <w:rPr>
          <w:szCs w:val="24"/>
          <w:lang w:val="en-AU"/>
        </w:rPr>
        <w:instrText xml:space="preserve"> REF _Ref459156184 \h  \* MERGEFORMAT </w:instrText>
      </w:r>
      <w:r w:rsidR="00124249">
        <w:rPr>
          <w:szCs w:val="24"/>
          <w:lang w:val="en-AU"/>
        </w:rPr>
      </w:r>
      <w:r w:rsidR="00124249">
        <w:rPr>
          <w:szCs w:val="24"/>
          <w:lang w:val="en-AU"/>
        </w:rPr>
        <w:fldChar w:fldCharType="separate"/>
      </w:r>
      <w:r w:rsidR="007F5336" w:rsidRPr="007F5336">
        <w:rPr>
          <w:szCs w:val="24"/>
          <w:lang w:val="en-AU"/>
        </w:rPr>
        <w:t>Figure 8</w:t>
      </w:r>
      <w:r w:rsidR="007F5336" w:rsidRPr="007F5336">
        <w:rPr>
          <w:szCs w:val="24"/>
          <w:lang w:val="en-AU"/>
        </w:rPr>
        <w:noBreakHyphen/>
        <w:t>4</w:t>
      </w:r>
      <w:r w:rsidR="00124249">
        <w:rPr>
          <w:szCs w:val="24"/>
          <w:lang w:val="en-AU"/>
        </w:rPr>
        <w:fldChar w:fldCharType="end"/>
      </w:r>
      <w:r>
        <w:rPr>
          <w:szCs w:val="24"/>
          <w:lang w:val="en-AU"/>
        </w:rPr>
        <w:t xml:space="preserve">b). Significant relationships were observed </w:t>
      </w:r>
      <w:r w:rsidRPr="00F24DDC">
        <w:rPr>
          <w:lang w:val="en-AU"/>
        </w:rPr>
        <w:t xml:space="preserve">and suggested an increase of the multi-annual proportion of macroalgae with increased risk magnitude scores, at both the site </w:t>
      </w:r>
      <w:r>
        <w:rPr>
          <w:szCs w:val="24"/>
          <w:lang w:val="en-AU"/>
        </w:rPr>
        <w:t>(</w:t>
      </w:r>
      <w:r w:rsidR="00124249">
        <w:rPr>
          <w:szCs w:val="24"/>
          <w:lang w:val="en-AU"/>
        </w:rPr>
        <w:fldChar w:fldCharType="begin"/>
      </w:r>
      <w:r w:rsidR="00124249">
        <w:rPr>
          <w:szCs w:val="24"/>
          <w:lang w:val="en-AU"/>
        </w:rPr>
        <w:instrText xml:space="preserve"> REF _Ref459156184 \h  \* MERGEFORMAT </w:instrText>
      </w:r>
      <w:r w:rsidR="00124249">
        <w:rPr>
          <w:szCs w:val="24"/>
          <w:lang w:val="en-AU"/>
        </w:rPr>
      </w:r>
      <w:r w:rsidR="00124249">
        <w:rPr>
          <w:szCs w:val="24"/>
          <w:lang w:val="en-AU"/>
        </w:rPr>
        <w:fldChar w:fldCharType="separate"/>
      </w:r>
      <w:r w:rsidR="007F5336" w:rsidRPr="007F5336">
        <w:rPr>
          <w:szCs w:val="24"/>
          <w:lang w:val="en-AU"/>
        </w:rPr>
        <w:t>Figure 8</w:t>
      </w:r>
      <w:r w:rsidR="007F5336" w:rsidRPr="007F5336">
        <w:rPr>
          <w:szCs w:val="24"/>
          <w:lang w:val="en-AU"/>
        </w:rPr>
        <w:noBreakHyphen/>
        <w:t>4</w:t>
      </w:r>
      <w:r w:rsidR="00124249">
        <w:rPr>
          <w:szCs w:val="24"/>
          <w:lang w:val="en-AU"/>
        </w:rPr>
        <w:fldChar w:fldCharType="end"/>
      </w:r>
      <w:r>
        <w:rPr>
          <w:szCs w:val="24"/>
          <w:lang w:val="en-AU"/>
        </w:rPr>
        <w:t>c, R</w:t>
      </w:r>
      <w:r w:rsidRPr="00CE150E">
        <w:rPr>
          <w:szCs w:val="24"/>
          <w:vertAlign w:val="superscript"/>
          <w:lang w:val="en-AU"/>
        </w:rPr>
        <w:t>2</w:t>
      </w:r>
      <w:r>
        <w:rPr>
          <w:szCs w:val="24"/>
          <w:lang w:val="en-AU"/>
        </w:rPr>
        <w:t xml:space="preserve"> = 0.42, p &lt;0.05) </w:t>
      </w:r>
      <w:r w:rsidRPr="00F24DDC">
        <w:rPr>
          <w:lang w:val="en-AU"/>
        </w:rPr>
        <w:t>and regional scales</w:t>
      </w:r>
      <w:r>
        <w:rPr>
          <w:lang w:val="en-AU"/>
        </w:rPr>
        <w:t xml:space="preserve"> (</w:t>
      </w:r>
      <w:r w:rsidR="00124249">
        <w:rPr>
          <w:szCs w:val="24"/>
          <w:lang w:val="en-AU"/>
        </w:rPr>
        <w:fldChar w:fldCharType="begin"/>
      </w:r>
      <w:r w:rsidR="00124249">
        <w:rPr>
          <w:szCs w:val="24"/>
          <w:lang w:val="en-AU"/>
        </w:rPr>
        <w:instrText xml:space="preserve"> REF _Ref459156184 \h  \* MERGEFORMAT </w:instrText>
      </w:r>
      <w:r w:rsidR="00124249">
        <w:rPr>
          <w:szCs w:val="24"/>
          <w:lang w:val="en-AU"/>
        </w:rPr>
      </w:r>
      <w:r w:rsidR="00124249">
        <w:rPr>
          <w:szCs w:val="24"/>
          <w:lang w:val="en-AU"/>
        </w:rPr>
        <w:fldChar w:fldCharType="separate"/>
      </w:r>
      <w:r w:rsidR="007F5336" w:rsidRPr="007F5336">
        <w:rPr>
          <w:szCs w:val="24"/>
          <w:lang w:val="en-AU"/>
        </w:rPr>
        <w:t>Figure 8</w:t>
      </w:r>
      <w:r w:rsidR="007F5336" w:rsidRPr="007F5336">
        <w:rPr>
          <w:szCs w:val="24"/>
          <w:lang w:val="en-AU"/>
        </w:rPr>
        <w:noBreakHyphen/>
        <w:t>4</w:t>
      </w:r>
      <w:r w:rsidR="00124249">
        <w:rPr>
          <w:szCs w:val="24"/>
          <w:lang w:val="en-AU"/>
        </w:rPr>
        <w:fldChar w:fldCharType="end"/>
      </w:r>
      <w:r>
        <w:rPr>
          <w:szCs w:val="24"/>
          <w:lang w:val="en-AU"/>
        </w:rPr>
        <w:t>d, R</w:t>
      </w:r>
      <w:r w:rsidRPr="00CE150E">
        <w:rPr>
          <w:szCs w:val="24"/>
          <w:vertAlign w:val="superscript"/>
          <w:lang w:val="en-AU"/>
        </w:rPr>
        <w:t>2</w:t>
      </w:r>
      <w:r>
        <w:rPr>
          <w:szCs w:val="24"/>
          <w:lang w:val="en-AU"/>
        </w:rPr>
        <w:t xml:space="preserve"> = 0.96, p &lt;0.05)</w:t>
      </w:r>
      <w:r w:rsidRPr="00F24DDC">
        <w:rPr>
          <w:lang w:val="en-AU"/>
        </w:rPr>
        <w:t xml:space="preserve">. </w:t>
      </w:r>
    </w:p>
    <w:p w14:paraId="5F22F53A" w14:textId="23896D97" w:rsidR="00574B0D" w:rsidRPr="0046394E" w:rsidRDefault="00124249" w:rsidP="00574B0D">
      <w:pPr>
        <w:spacing w:after="240"/>
        <w:rPr>
          <w:i/>
          <w:lang w:val="en-AU"/>
        </w:rPr>
      </w:pPr>
      <w:bookmarkStart w:id="1495" w:name="_Ref459156058"/>
      <w:bookmarkStart w:id="1496" w:name="_Toc459332168"/>
      <w:r w:rsidRPr="004A5BF7">
        <w:rPr>
          <w:rFonts w:cs="Arial"/>
          <w:sz w:val="18"/>
          <w:szCs w:val="18"/>
          <w:lang w:val="en-AU"/>
        </w:rPr>
        <w:t xml:space="preserve">Table </w:t>
      </w:r>
      <w:r w:rsidRPr="004A5BF7">
        <w:rPr>
          <w:rFonts w:cs="Arial"/>
          <w:sz w:val="18"/>
          <w:szCs w:val="18"/>
          <w:lang w:val="en-AU"/>
        </w:rPr>
        <w:fldChar w:fldCharType="begin"/>
      </w:r>
      <w:r w:rsidRPr="004A5BF7">
        <w:rPr>
          <w:rFonts w:cs="Arial"/>
          <w:sz w:val="18"/>
          <w:szCs w:val="18"/>
          <w:lang w:val="en-AU"/>
        </w:rPr>
        <w:instrText xml:space="preserve"> STYLEREF 1 \s </w:instrText>
      </w:r>
      <w:r w:rsidRPr="004A5BF7">
        <w:rPr>
          <w:rFonts w:cs="Arial"/>
          <w:sz w:val="18"/>
          <w:szCs w:val="18"/>
          <w:lang w:val="en-AU"/>
        </w:rPr>
        <w:fldChar w:fldCharType="separate"/>
      </w:r>
      <w:r w:rsidR="007F5336">
        <w:rPr>
          <w:rFonts w:cs="Arial"/>
          <w:noProof/>
          <w:sz w:val="18"/>
          <w:szCs w:val="18"/>
          <w:lang w:val="en-AU"/>
        </w:rPr>
        <w:t>8</w:t>
      </w:r>
      <w:r w:rsidRPr="004A5BF7">
        <w:rPr>
          <w:rFonts w:cs="Arial"/>
          <w:sz w:val="18"/>
          <w:szCs w:val="18"/>
          <w:lang w:val="en-AU"/>
        </w:rPr>
        <w:fldChar w:fldCharType="end"/>
      </w:r>
      <w:r w:rsidRPr="004A5BF7">
        <w:rPr>
          <w:rFonts w:cs="Arial"/>
          <w:sz w:val="18"/>
          <w:szCs w:val="18"/>
          <w:lang w:val="en-AU"/>
        </w:rPr>
        <w:noBreakHyphen/>
      </w:r>
      <w:r w:rsidRPr="004A5BF7">
        <w:rPr>
          <w:rFonts w:cs="Arial"/>
          <w:sz w:val="18"/>
          <w:szCs w:val="18"/>
          <w:lang w:val="en-AU"/>
        </w:rPr>
        <w:fldChar w:fldCharType="begin"/>
      </w:r>
      <w:r w:rsidRPr="004A5BF7">
        <w:rPr>
          <w:rFonts w:cs="Arial"/>
          <w:sz w:val="18"/>
          <w:szCs w:val="18"/>
          <w:lang w:val="en-AU"/>
        </w:rPr>
        <w:instrText xml:space="preserve"> SEQ Table \* ARABIC \s 1 </w:instrText>
      </w:r>
      <w:r w:rsidRPr="004A5BF7">
        <w:rPr>
          <w:rFonts w:cs="Arial"/>
          <w:sz w:val="18"/>
          <w:szCs w:val="18"/>
          <w:lang w:val="en-AU"/>
        </w:rPr>
        <w:fldChar w:fldCharType="separate"/>
      </w:r>
      <w:r w:rsidR="007F5336">
        <w:rPr>
          <w:rFonts w:cs="Arial"/>
          <w:noProof/>
          <w:sz w:val="18"/>
          <w:szCs w:val="18"/>
          <w:lang w:val="en-AU"/>
        </w:rPr>
        <w:t>4</w:t>
      </w:r>
      <w:r w:rsidRPr="004A5BF7">
        <w:rPr>
          <w:rFonts w:cs="Arial"/>
          <w:sz w:val="18"/>
          <w:szCs w:val="18"/>
          <w:lang w:val="en-AU"/>
        </w:rPr>
        <w:fldChar w:fldCharType="end"/>
      </w:r>
      <w:bookmarkEnd w:id="1495"/>
      <w:r w:rsidRPr="004A5BF7">
        <w:rPr>
          <w:rFonts w:cs="Arial"/>
          <w:sz w:val="18"/>
          <w:szCs w:val="18"/>
          <w:lang w:val="en-AU"/>
        </w:rPr>
        <w:t xml:space="preserve">: </w:t>
      </w:r>
      <w:r w:rsidR="00574B0D" w:rsidRPr="0046394E">
        <w:rPr>
          <w:rFonts w:cs="Arial"/>
          <w:sz w:val="18"/>
          <w:szCs w:val="18"/>
          <w:lang w:val="en-AU"/>
        </w:rPr>
        <w:t>Magnitude Score (MS</w:t>
      </w:r>
      <w:r w:rsidR="00574B0D" w:rsidRPr="004A5BF7">
        <w:rPr>
          <w:rFonts w:cs="Arial"/>
          <w:sz w:val="18"/>
          <w:szCs w:val="18"/>
          <w:lang w:val="en-AU"/>
        </w:rPr>
        <w:t>CCx</w:t>
      </w:r>
      <w:r w:rsidR="00574B0D" w:rsidRPr="0046394E">
        <w:rPr>
          <w:rFonts w:cs="Arial"/>
          <w:sz w:val="18"/>
          <w:szCs w:val="18"/>
          <w:lang w:val="en-AU"/>
        </w:rPr>
        <w:t>) of each plume water type, Likelihood Score (LS</w:t>
      </w:r>
      <w:r w:rsidR="00574B0D" w:rsidRPr="004A5BF7">
        <w:rPr>
          <w:rFonts w:cs="Arial"/>
          <w:sz w:val="18"/>
          <w:szCs w:val="18"/>
          <w:lang w:val="en-AU"/>
        </w:rPr>
        <w:t>CCx</w:t>
      </w:r>
      <w:r w:rsidR="00574B0D" w:rsidRPr="0046394E">
        <w:rPr>
          <w:rFonts w:cs="Arial"/>
          <w:sz w:val="18"/>
          <w:szCs w:val="18"/>
          <w:lang w:val="en-AU"/>
        </w:rPr>
        <w:t>) at the seagrass sites locations and Risk Scores (RS</w:t>
      </w:r>
      <w:r w:rsidR="00574B0D" w:rsidRPr="0046394E">
        <w:rPr>
          <w:rFonts w:cs="Arial"/>
          <w:sz w:val="18"/>
          <w:szCs w:val="18"/>
          <w:vertAlign w:val="subscript"/>
          <w:lang w:val="en-AU"/>
        </w:rPr>
        <w:t>site</w:t>
      </w:r>
      <w:r w:rsidR="00574B0D" w:rsidRPr="0046394E">
        <w:rPr>
          <w:rFonts w:cs="Arial"/>
          <w:sz w:val="18"/>
          <w:szCs w:val="18"/>
          <w:lang w:val="en-AU"/>
        </w:rPr>
        <w:t xml:space="preserve"> and RS</w:t>
      </w:r>
      <w:r w:rsidR="00574B0D" w:rsidRPr="0046394E">
        <w:rPr>
          <w:rFonts w:cs="Arial"/>
          <w:sz w:val="18"/>
          <w:szCs w:val="18"/>
          <w:vertAlign w:val="subscript"/>
          <w:lang w:val="en-AU"/>
        </w:rPr>
        <w:t>NRM</w:t>
      </w:r>
      <w:r w:rsidR="00574B0D" w:rsidRPr="0046394E">
        <w:rPr>
          <w:rFonts w:cs="Arial"/>
          <w:sz w:val="18"/>
          <w:szCs w:val="18"/>
          <w:lang w:val="en-AU"/>
        </w:rPr>
        <w:t>) at the coral site and NRM scales.</w:t>
      </w:r>
      <w:bookmarkEnd w:id="1496"/>
      <w:r w:rsidR="00574B0D" w:rsidRPr="0046394E">
        <w:rPr>
          <w:rFonts w:cs="Arial"/>
          <w:sz w:val="18"/>
          <w:szCs w:val="18"/>
          <w:lang w:val="en-AU"/>
        </w:rPr>
        <w:t xml:space="preserve"> </w:t>
      </w:r>
    </w:p>
    <w:tbl>
      <w:tblPr>
        <w:tblStyle w:val="TableGrid1"/>
        <w:tblW w:w="5097" w:type="pct"/>
        <w:tblLook w:val="04A0" w:firstRow="1" w:lastRow="0" w:firstColumn="1" w:lastColumn="0" w:noHBand="0" w:noVBand="1"/>
        <w:tblCaption w:val="Table 8 4: Magnitude Score (MSCCx) of each plume water type, Likelihood Score (LSCCx) at the seagrass sites locations and Risk Scores (RSsite and RSNRM) at the coral site and NRM scales. "/>
        <w:tblDescription w:val="Table showing magnitude Score (MSCCx) of each plume water type, Likelihood Score (LSCCx) at the seagrass sites locations and Risk Scores (RSsite and RSNRM) at the coral site and NRM scales. "/>
      </w:tblPr>
      <w:tblGrid>
        <w:gridCol w:w="1273"/>
        <w:gridCol w:w="643"/>
        <w:gridCol w:w="612"/>
        <w:gridCol w:w="612"/>
        <w:gridCol w:w="612"/>
        <w:gridCol w:w="612"/>
        <w:gridCol w:w="612"/>
        <w:gridCol w:w="612"/>
        <w:gridCol w:w="594"/>
        <w:gridCol w:w="666"/>
        <w:gridCol w:w="670"/>
        <w:gridCol w:w="670"/>
        <w:gridCol w:w="617"/>
        <w:gridCol w:w="617"/>
      </w:tblGrid>
      <w:tr w:rsidR="00574B0D" w:rsidRPr="00B930DE" w14:paraId="5F22F544" w14:textId="77777777" w:rsidTr="003E25ED">
        <w:trPr>
          <w:trHeight w:val="360"/>
          <w:tblHeader/>
        </w:trPr>
        <w:tc>
          <w:tcPr>
            <w:tcW w:w="1017" w:type="pct"/>
            <w:gridSpan w:val="2"/>
            <w:shd w:val="clear" w:color="auto" w:fill="D9D9D9" w:themeFill="background1" w:themeFillShade="D9"/>
            <w:noWrap/>
          </w:tcPr>
          <w:p w14:paraId="5F22F53B" w14:textId="77777777" w:rsidR="00574B0D" w:rsidRPr="00B930DE" w:rsidDel="0065692D" w:rsidRDefault="00574B0D" w:rsidP="00B930DE">
            <w:pPr>
              <w:spacing w:before="0" w:after="0"/>
              <w:jc w:val="center"/>
              <w:rPr>
                <w:rFonts w:cs="Arial"/>
                <w:sz w:val="16"/>
                <w:lang w:eastAsia="en-AU"/>
              </w:rPr>
            </w:pPr>
            <w:r w:rsidRPr="00B930DE">
              <w:rPr>
                <w:rFonts w:cs="Arial"/>
                <w:sz w:val="16"/>
                <w:lang w:eastAsia="en-AU"/>
              </w:rPr>
              <w:t>Colour Class</w:t>
            </w:r>
          </w:p>
        </w:tc>
        <w:tc>
          <w:tcPr>
            <w:tcW w:w="325" w:type="pct"/>
            <w:shd w:val="clear" w:color="auto" w:fill="D9D9D9" w:themeFill="background1" w:themeFillShade="D9"/>
            <w:noWrap/>
          </w:tcPr>
          <w:p w14:paraId="5F22F53C" w14:textId="77777777" w:rsidR="00574B0D" w:rsidRPr="00B930DE" w:rsidRDefault="00574B0D" w:rsidP="00B930DE">
            <w:pPr>
              <w:spacing w:before="0" w:after="0"/>
              <w:jc w:val="center"/>
              <w:rPr>
                <w:rFonts w:cs="Arial"/>
                <w:sz w:val="16"/>
                <w:lang w:eastAsia="en-AU"/>
              </w:rPr>
            </w:pPr>
            <w:r w:rsidRPr="00B930DE">
              <w:rPr>
                <w:rFonts w:cs="Arial"/>
                <w:sz w:val="16"/>
                <w:lang w:eastAsia="en-AU"/>
              </w:rPr>
              <w:t>CC1</w:t>
            </w:r>
          </w:p>
        </w:tc>
        <w:tc>
          <w:tcPr>
            <w:tcW w:w="325" w:type="pct"/>
            <w:shd w:val="clear" w:color="auto" w:fill="D9D9D9" w:themeFill="background1" w:themeFillShade="D9"/>
            <w:noWrap/>
          </w:tcPr>
          <w:p w14:paraId="5F22F53D" w14:textId="77777777" w:rsidR="00574B0D" w:rsidRPr="00B930DE" w:rsidRDefault="00574B0D" w:rsidP="00B930DE">
            <w:pPr>
              <w:spacing w:before="0" w:after="0"/>
              <w:jc w:val="center"/>
              <w:rPr>
                <w:rFonts w:cs="Arial"/>
                <w:sz w:val="16"/>
                <w:lang w:eastAsia="en-AU"/>
              </w:rPr>
            </w:pPr>
            <w:r w:rsidRPr="00B930DE">
              <w:rPr>
                <w:rFonts w:cs="Arial"/>
                <w:sz w:val="16"/>
                <w:lang w:eastAsia="en-AU"/>
              </w:rPr>
              <w:t>CC2</w:t>
            </w:r>
          </w:p>
        </w:tc>
        <w:tc>
          <w:tcPr>
            <w:tcW w:w="325" w:type="pct"/>
            <w:shd w:val="clear" w:color="auto" w:fill="D9D9D9" w:themeFill="background1" w:themeFillShade="D9"/>
            <w:noWrap/>
          </w:tcPr>
          <w:p w14:paraId="5F22F53E" w14:textId="77777777" w:rsidR="00574B0D" w:rsidRPr="00B930DE" w:rsidRDefault="00574B0D" w:rsidP="00B930DE">
            <w:pPr>
              <w:spacing w:before="0" w:after="0"/>
              <w:jc w:val="center"/>
              <w:rPr>
                <w:rFonts w:cs="Arial"/>
                <w:sz w:val="16"/>
                <w:lang w:eastAsia="en-AU"/>
              </w:rPr>
            </w:pPr>
            <w:r w:rsidRPr="00B930DE">
              <w:rPr>
                <w:rFonts w:cs="Arial"/>
                <w:sz w:val="16"/>
                <w:lang w:eastAsia="en-AU"/>
              </w:rPr>
              <w:t>CC3</w:t>
            </w:r>
          </w:p>
        </w:tc>
        <w:tc>
          <w:tcPr>
            <w:tcW w:w="325" w:type="pct"/>
            <w:shd w:val="clear" w:color="auto" w:fill="D9D9D9" w:themeFill="background1" w:themeFillShade="D9"/>
            <w:noWrap/>
          </w:tcPr>
          <w:p w14:paraId="5F22F53F" w14:textId="77777777" w:rsidR="00574B0D" w:rsidRPr="00B930DE" w:rsidRDefault="00574B0D" w:rsidP="00B930DE">
            <w:pPr>
              <w:spacing w:before="0" w:after="0"/>
              <w:jc w:val="center"/>
              <w:rPr>
                <w:rFonts w:cs="Arial"/>
                <w:sz w:val="16"/>
                <w:lang w:eastAsia="en-AU"/>
              </w:rPr>
            </w:pPr>
            <w:r w:rsidRPr="00B930DE">
              <w:rPr>
                <w:rFonts w:cs="Arial"/>
                <w:sz w:val="16"/>
                <w:lang w:eastAsia="en-AU"/>
              </w:rPr>
              <w:t>CC4</w:t>
            </w:r>
          </w:p>
        </w:tc>
        <w:tc>
          <w:tcPr>
            <w:tcW w:w="325" w:type="pct"/>
            <w:shd w:val="clear" w:color="auto" w:fill="D9D9D9" w:themeFill="background1" w:themeFillShade="D9"/>
            <w:noWrap/>
          </w:tcPr>
          <w:p w14:paraId="5F22F540" w14:textId="77777777" w:rsidR="00574B0D" w:rsidRPr="00B930DE" w:rsidRDefault="00574B0D" w:rsidP="00B930DE">
            <w:pPr>
              <w:spacing w:before="0" w:after="0"/>
              <w:jc w:val="center"/>
              <w:rPr>
                <w:rFonts w:cs="Arial"/>
                <w:sz w:val="16"/>
                <w:lang w:eastAsia="en-AU"/>
              </w:rPr>
            </w:pPr>
            <w:r w:rsidRPr="00B930DE">
              <w:rPr>
                <w:rFonts w:cs="Arial"/>
                <w:sz w:val="16"/>
                <w:lang w:eastAsia="en-AU"/>
              </w:rPr>
              <w:t>CC5</w:t>
            </w:r>
          </w:p>
        </w:tc>
        <w:tc>
          <w:tcPr>
            <w:tcW w:w="325" w:type="pct"/>
            <w:shd w:val="clear" w:color="auto" w:fill="D9D9D9" w:themeFill="background1" w:themeFillShade="D9"/>
            <w:noWrap/>
          </w:tcPr>
          <w:p w14:paraId="5F22F541" w14:textId="77777777" w:rsidR="00574B0D" w:rsidRPr="00B930DE" w:rsidRDefault="00574B0D" w:rsidP="00B930DE">
            <w:pPr>
              <w:spacing w:before="0" w:after="0"/>
              <w:jc w:val="center"/>
              <w:rPr>
                <w:rFonts w:cs="Arial"/>
                <w:sz w:val="16"/>
                <w:lang w:eastAsia="en-AU"/>
              </w:rPr>
            </w:pPr>
            <w:r w:rsidRPr="00B930DE">
              <w:rPr>
                <w:rFonts w:cs="Arial"/>
                <w:sz w:val="16"/>
                <w:lang w:eastAsia="en-AU"/>
              </w:rPr>
              <w:t>CC6</w:t>
            </w:r>
          </w:p>
        </w:tc>
        <w:tc>
          <w:tcPr>
            <w:tcW w:w="669" w:type="pct"/>
            <w:gridSpan w:val="2"/>
            <w:shd w:val="clear" w:color="auto" w:fill="D9D9D9" w:themeFill="background1" w:themeFillShade="D9"/>
            <w:noWrap/>
          </w:tcPr>
          <w:p w14:paraId="5F22F542" w14:textId="77777777" w:rsidR="00574B0D" w:rsidRPr="00B930DE" w:rsidRDefault="00574B0D" w:rsidP="00B930DE">
            <w:pPr>
              <w:spacing w:before="0" w:after="0"/>
              <w:jc w:val="center"/>
              <w:rPr>
                <w:rFonts w:cs="Arial"/>
                <w:sz w:val="16"/>
                <w:lang w:eastAsia="en-AU"/>
              </w:rPr>
            </w:pPr>
            <w:r w:rsidRPr="00B930DE">
              <w:rPr>
                <w:rFonts w:cs="Arial"/>
                <w:sz w:val="16"/>
                <w:lang w:eastAsia="en-AU"/>
              </w:rPr>
              <w:t>Risk Scores</w:t>
            </w:r>
          </w:p>
        </w:tc>
        <w:tc>
          <w:tcPr>
            <w:tcW w:w="1366" w:type="pct"/>
            <w:gridSpan w:val="4"/>
            <w:shd w:val="clear" w:color="auto" w:fill="D9D9D9" w:themeFill="background1" w:themeFillShade="D9"/>
            <w:noWrap/>
          </w:tcPr>
          <w:p w14:paraId="5F22F543" w14:textId="77777777" w:rsidR="00574B0D" w:rsidRPr="00B930DE" w:rsidRDefault="00574B0D" w:rsidP="00B930DE">
            <w:pPr>
              <w:spacing w:before="0" w:after="0"/>
              <w:jc w:val="center"/>
              <w:rPr>
                <w:rFonts w:cs="Arial"/>
                <w:sz w:val="16"/>
                <w:lang w:eastAsia="en-AU"/>
              </w:rPr>
            </w:pPr>
            <w:r w:rsidRPr="00B930DE">
              <w:rPr>
                <w:rFonts w:cs="Arial"/>
                <w:sz w:val="16"/>
                <w:lang w:eastAsia="en-AU"/>
              </w:rPr>
              <w:t>MAp cover</w:t>
            </w:r>
          </w:p>
        </w:tc>
      </w:tr>
      <w:tr w:rsidR="00574B0D" w:rsidRPr="00B930DE" w14:paraId="5F22F551" w14:textId="77777777" w:rsidTr="003E25ED">
        <w:trPr>
          <w:trHeight w:val="360"/>
          <w:tblHeader/>
        </w:trPr>
        <w:tc>
          <w:tcPr>
            <w:tcW w:w="1017" w:type="pct"/>
            <w:gridSpan w:val="2"/>
            <w:shd w:val="clear" w:color="auto" w:fill="D9D9D9" w:themeFill="background1" w:themeFillShade="D9"/>
            <w:noWrap/>
            <w:hideMark/>
          </w:tcPr>
          <w:p w14:paraId="5F22F545" w14:textId="77777777" w:rsidR="00574B0D" w:rsidRPr="00B930DE" w:rsidRDefault="00574B0D" w:rsidP="00B930DE">
            <w:pPr>
              <w:spacing w:before="0" w:after="0"/>
              <w:jc w:val="center"/>
              <w:rPr>
                <w:rFonts w:cs="Arial"/>
                <w:sz w:val="16"/>
                <w:lang w:eastAsia="en-AU"/>
              </w:rPr>
            </w:pPr>
            <w:r w:rsidRPr="00B930DE">
              <w:rPr>
                <w:rFonts w:cs="Arial"/>
                <w:sz w:val="16"/>
                <w:lang w:eastAsia="en-AU"/>
              </w:rPr>
              <w:t>Magnitude score MS</w:t>
            </w:r>
            <w:r w:rsidRPr="00B930DE">
              <w:rPr>
                <w:rFonts w:cs="Arial"/>
                <w:sz w:val="16"/>
                <w:vertAlign w:val="subscript"/>
                <w:lang w:eastAsia="en-AU"/>
              </w:rPr>
              <w:t>CCx:</w:t>
            </w:r>
          </w:p>
        </w:tc>
        <w:tc>
          <w:tcPr>
            <w:tcW w:w="325" w:type="pct"/>
            <w:shd w:val="clear" w:color="auto" w:fill="D9D9D9" w:themeFill="background1" w:themeFillShade="D9"/>
            <w:noWrap/>
            <w:hideMark/>
          </w:tcPr>
          <w:p w14:paraId="5F22F546" w14:textId="77777777" w:rsidR="00574B0D" w:rsidRPr="00B930DE" w:rsidRDefault="00574B0D" w:rsidP="00B930DE">
            <w:pPr>
              <w:spacing w:before="0" w:after="0"/>
              <w:jc w:val="center"/>
              <w:rPr>
                <w:rFonts w:cs="Arial"/>
                <w:sz w:val="16"/>
                <w:lang w:eastAsia="en-AU"/>
              </w:rPr>
            </w:pPr>
            <w:r w:rsidRPr="00B930DE">
              <w:rPr>
                <w:rFonts w:cs="Arial"/>
                <w:sz w:val="16"/>
                <w:lang w:eastAsia="en-AU"/>
              </w:rPr>
              <w:t>10</w:t>
            </w:r>
          </w:p>
        </w:tc>
        <w:tc>
          <w:tcPr>
            <w:tcW w:w="325" w:type="pct"/>
            <w:shd w:val="clear" w:color="auto" w:fill="D9D9D9" w:themeFill="background1" w:themeFillShade="D9"/>
            <w:noWrap/>
            <w:hideMark/>
          </w:tcPr>
          <w:p w14:paraId="5F22F547" w14:textId="77777777" w:rsidR="00574B0D" w:rsidRPr="00B930DE" w:rsidRDefault="00574B0D" w:rsidP="00B930DE">
            <w:pPr>
              <w:spacing w:before="0" w:after="0"/>
              <w:jc w:val="center"/>
              <w:rPr>
                <w:rFonts w:cs="Arial"/>
                <w:sz w:val="16"/>
                <w:lang w:eastAsia="en-AU"/>
              </w:rPr>
            </w:pPr>
            <w:r w:rsidRPr="00B930DE">
              <w:rPr>
                <w:rFonts w:cs="Arial"/>
                <w:sz w:val="16"/>
                <w:lang w:eastAsia="en-AU"/>
              </w:rPr>
              <w:t>5</w:t>
            </w:r>
          </w:p>
        </w:tc>
        <w:tc>
          <w:tcPr>
            <w:tcW w:w="325" w:type="pct"/>
            <w:shd w:val="clear" w:color="auto" w:fill="D9D9D9" w:themeFill="background1" w:themeFillShade="D9"/>
            <w:noWrap/>
            <w:hideMark/>
          </w:tcPr>
          <w:p w14:paraId="5F22F548" w14:textId="77777777" w:rsidR="00574B0D" w:rsidRPr="00B930DE" w:rsidRDefault="00574B0D" w:rsidP="00B930DE">
            <w:pPr>
              <w:spacing w:before="0" w:after="0"/>
              <w:jc w:val="center"/>
              <w:rPr>
                <w:rFonts w:cs="Arial"/>
                <w:sz w:val="16"/>
                <w:lang w:eastAsia="en-AU"/>
              </w:rPr>
            </w:pPr>
            <w:r w:rsidRPr="00B930DE">
              <w:rPr>
                <w:rFonts w:cs="Arial"/>
                <w:sz w:val="16"/>
                <w:lang w:eastAsia="en-AU"/>
              </w:rPr>
              <w:t>3</w:t>
            </w:r>
          </w:p>
        </w:tc>
        <w:tc>
          <w:tcPr>
            <w:tcW w:w="325" w:type="pct"/>
            <w:shd w:val="clear" w:color="auto" w:fill="D9D9D9" w:themeFill="background1" w:themeFillShade="D9"/>
            <w:noWrap/>
            <w:hideMark/>
          </w:tcPr>
          <w:p w14:paraId="5F22F549" w14:textId="77777777" w:rsidR="00574B0D" w:rsidRPr="00B930DE" w:rsidRDefault="00574B0D" w:rsidP="00B930DE">
            <w:pPr>
              <w:spacing w:before="0" w:after="0"/>
              <w:jc w:val="center"/>
              <w:rPr>
                <w:rFonts w:cs="Arial"/>
                <w:sz w:val="16"/>
                <w:lang w:eastAsia="en-AU"/>
              </w:rPr>
            </w:pPr>
            <w:r w:rsidRPr="00B930DE">
              <w:rPr>
                <w:rFonts w:cs="Arial"/>
                <w:sz w:val="16"/>
                <w:lang w:eastAsia="en-AU"/>
              </w:rPr>
              <w:t>3</w:t>
            </w:r>
          </w:p>
        </w:tc>
        <w:tc>
          <w:tcPr>
            <w:tcW w:w="325" w:type="pct"/>
            <w:shd w:val="clear" w:color="auto" w:fill="D9D9D9" w:themeFill="background1" w:themeFillShade="D9"/>
            <w:noWrap/>
            <w:hideMark/>
          </w:tcPr>
          <w:p w14:paraId="5F22F54A" w14:textId="77777777" w:rsidR="00574B0D" w:rsidRPr="00B930DE" w:rsidRDefault="00574B0D" w:rsidP="00B930DE">
            <w:pPr>
              <w:spacing w:before="0" w:after="0"/>
              <w:jc w:val="center"/>
              <w:rPr>
                <w:rFonts w:cs="Arial"/>
                <w:sz w:val="16"/>
                <w:lang w:eastAsia="en-AU"/>
              </w:rPr>
            </w:pPr>
            <w:r w:rsidRPr="00B930DE">
              <w:rPr>
                <w:rFonts w:cs="Arial"/>
                <w:sz w:val="16"/>
                <w:lang w:eastAsia="en-AU"/>
              </w:rPr>
              <w:t>1</w:t>
            </w:r>
          </w:p>
        </w:tc>
        <w:tc>
          <w:tcPr>
            <w:tcW w:w="325" w:type="pct"/>
            <w:shd w:val="clear" w:color="auto" w:fill="D9D9D9" w:themeFill="background1" w:themeFillShade="D9"/>
            <w:noWrap/>
            <w:hideMark/>
          </w:tcPr>
          <w:p w14:paraId="5F22F54B" w14:textId="77777777" w:rsidR="00574B0D" w:rsidRPr="00B930DE" w:rsidRDefault="00574B0D" w:rsidP="00B930DE">
            <w:pPr>
              <w:spacing w:before="0" w:after="0"/>
              <w:jc w:val="center"/>
              <w:rPr>
                <w:rFonts w:cs="Arial"/>
                <w:sz w:val="16"/>
                <w:lang w:eastAsia="en-AU"/>
              </w:rPr>
            </w:pPr>
            <w:r w:rsidRPr="00B930DE">
              <w:rPr>
                <w:rFonts w:cs="Arial"/>
                <w:sz w:val="16"/>
                <w:lang w:eastAsia="en-AU"/>
              </w:rPr>
              <w:t>0</w:t>
            </w:r>
          </w:p>
        </w:tc>
        <w:tc>
          <w:tcPr>
            <w:tcW w:w="315" w:type="pct"/>
            <w:vMerge w:val="restart"/>
            <w:shd w:val="clear" w:color="auto" w:fill="D9D9D9" w:themeFill="background1" w:themeFillShade="D9"/>
            <w:noWrap/>
            <w:hideMark/>
          </w:tcPr>
          <w:p w14:paraId="5F22F54C" w14:textId="77777777" w:rsidR="00574B0D" w:rsidRPr="00B930DE" w:rsidRDefault="00574B0D" w:rsidP="00B930DE">
            <w:pPr>
              <w:spacing w:before="0" w:after="0"/>
              <w:jc w:val="center"/>
              <w:rPr>
                <w:rFonts w:cs="Arial"/>
                <w:sz w:val="16"/>
                <w:lang w:eastAsia="en-AU"/>
              </w:rPr>
            </w:pPr>
            <w:r w:rsidRPr="00B930DE">
              <w:rPr>
                <w:rFonts w:cs="Arial"/>
                <w:sz w:val="16"/>
                <w:lang w:eastAsia="en-AU"/>
              </w:rPr>
              <w:t>RS</w:t>
            </w:r>
            <w:r w:rsidRPr="00B930DE">
              <w:rPr>
                <w:rFonts w:cs="Arial"/>
                <w:sz w:val="16"/>
                <w:vertAlign w:val="subscript"/>
                <w:lang w:eastAsia="en-AU"/>
              </w:rPr>
              <w:t>site</w:t>
            </w:r>
          </w:p>
        </w:tc>
        <w:tc>
          <w:tcPr>
            <w:tcW w:w="353" w:type="pct"/>
            <w:vMerge w:val="restart"/>
            <w:shd w:val="clear" w:color="auto" w:fill="D9D9D9" w:themeFill="background1" w:themeFillShade="D9"/>
            <w:noWrap/>
            <w:hideMark/>
          </w:tcPr>
          <w:p w14:paraId="5F22F54D" w14:textId="77777777" w:rsidR="00574B0D" w:rsidRPr="00B930DE" w:rsidRDefault="00574B0D" w:rsidP="00B930DE">
            <w:pPr>
              <w:spacing w:before="0" w:after="0"/>
              <w:jc w:val="center"/>
              <w:rPr>
                <w:rFonts w:cs="Arial"/>
                <w:sz w:val="16"/>
                <w:lang w:eastAsia="en-AU"/>
              </w:rPr>
            </w:pPr>
            <w:r w:rsidRPr="00B930DE">
              <w:rPr>
                <w:rFonts w:cs="Arial"/>
                <w:sz w:val="16"/>
                <w:lang w:eastAsia="en-AU"/>
              </w:rPr>
              <w:t>RS</w:t>
            </w:r>
            <w:r w:rsidRPr="00B930DE">
              <w:rPr>
                <w:rFonts w:cs="Arial"/>
                <w:sz w:val="16"/>
                <w:vertAlign w:val="subscript"/>
                <w:lang w:eastAsia="en-AU"/>
              </w:rPr>
              <w:t>NRM</w:t>
            </w:r>
          </w:p>
        </w:tc>
        <w:tc>
          <w:tcPr>
            <w:tcW w:w="711" w:type="pct"/>
            <w:gridSpan w:val="2"/>
            <w:shd w:val="clear" w:color="auto" w:fill="D9D9D9" w:themeFill="background1" w:themeFillShade="D9"/>
            <w:noWrap/>
            <w:hideMark/>
          </w:tcPr>
          <w:p w14:paraId="5F22F54E" w14:textId="77777777" w:rsidR="00574B0D" w:rsidRPr="00B930DE" w:rsidRDefault="00574B0D" w:rsidP="00B930DE">
            <w:pPr>
              <w:spacing w:before="0" w:after="0"/>
              <w:jc w:val="center"/>
              <w:rPr>
                <w:rFonts w:cs="Arial"/>
                <w:sz w:val="16"/>
                <w:lang w:eastAsia="en-AU"/>
              </w:rPr>
            </w:pPr>
          </w:p>
        </w:tc>
        <w:tc>
          <w:tcPr>
            <w:tcW w:w="327" w:type="pct"/>
            <w:shd w:val="clear" w:color="auto" w:fill="D9D9D9" w:themeFill="background1" w:themeFillShade="D9"/>
          </w:tcPr>
          <w:p w14:paraId="5F22F54F" w14:textId="77777777" w:rsidR="00574B0D" w:rsidRPr="00B930DE" w:rsidRDefault="00574B0D" w:rsidP="00B930DE">
            <w:pPr>
              <w:spacing w:before="0" w:after="0"/>
              <w:jc w:val="center"/>
              <w:rPr>
                <w:rFonts w:cs="Arial"/>
                <w:sz w:val="16"/>
                <w:lang w:eastAsia="en-AU"/>
              </w:rPr>
            </w:pPr>
          </w:p>
        </w:tc>
        <w:tc>
          <w:tcPr>
            <w:tcW w:w="327" w:type="pct"/>
            <w:shd w:val="clear" w:color="auto" w:fill="D9D9D9" w:themeFill="background1" w:themeFillShade="D9"/>
          </w:tcPr>
          <w:p w14:paraId="5F22F550" w14:textId="77777777" w:rsidR="00574B0D" w:rsidRPr="00B930DE" w:rsidRDefault="00574B0D" w:rsidP="00B930DE">
            <w:pPr>
              <w:spacing w:before="0" w:after="0"/>
              <w:jc w:val="center"/>
              <w:rPr>
                <w:rFonts w:cs="Arial"/>
                <w:sz w:val="16"/>
                <w:lang w:eastAsia="en-AU"/>
              </w:rPr>
            </w:pPr>
          </w:p>
        </w:tc>
      </w:tr>
      <w:tr w:rsidR="00574B0D" w:rsidRPr="00B930DE" w14:paraId="5F22F55F" w14:textId="77777777" w:rsidTr="003E25ED">
        <w:trPr>
          <w:trHeight w:val="315"/>
          <w:tblHeader/>
        </w:trPr>
        <w:tc>
          <w:tcPr>
            <w:tcW w:w="1017" w:type="pct"/>
            <w:gridSpan w:val="2"/>
            <w:shd w:val="clear" w:color="auto" w:fill="D9D9D9" w:themeFill="background1" w:themeFillShade="D9"/>
            <w:noWrap/>
            <w:hideMark/>
          </w:tcPr>
          <w:p w14:paraId="5F22F552" w14:textId="77777777" w:rsidR="00574B0D" w:rsidRPr="00B930DE" w:rsidRDefault="00574B0D" w:rsidP="00B930DE">
            <w:pPr>
              <w:spacing w:before="0" w:after="0"/>
              <w:jc w:val="center"/>
              <w:rPr>
                <w:rFonts w:cs="Arial"/>
                <w:sz w:val="16"/>
                <w:lang w:eastAsia="en-AU"/>
              </w:rPr>
            </w:pPr>
            <w:r w:rsidRPr="00B930DE">
              <w:rPr>
                <w:rFonts w:cs="Arial"/>
                <w:sz w:val="16"/>
                <w:lang w:eastAsia="en-AU"/>
              </w:rPr>
              <w:t>Likelihood Score:</w:t>
            </w:r>
          </w:p>
        </w:tc>
        <w:tc>
          <w:tcPr>
            <w:tcW w:w="325" w:type="pct"/>
            <w:shd w:val="clear" w:color="auto" w:fill="D9D9D9" w:themeFill="background1" w:themeFillShade="D9"/>
            <w:noWrap/>
            <w:hideMark/>
          </w:tcPr>
          <w:p w14:paraId="5F22F553" w14:textId="77777777" w:rsidR="00574B0D" w:rsidRPr="00B930DE" w:rsidRDefault="00574B0D" w:rsidP="00B930DE">
            <w:pPr>
              <w:spacing w:before="0" w:after="0"/>
              <w:jc w:val="center"/>
              <w:rPr>
                <w:rFonts w:cs="Arial"/>
                <w:sz w:val="16"/>
                <w:lang w:eastAsia="en-AU"/>
              </w:rPr>
            </w:pPr>
            <w:r w:rsidRPr="00B930DE">
              <w:rPr>
                <w:rFonts w:cs="Arial"/>
                <w:sz w:val="16"/>
                <w:lang w:eastAsia="en-AU"/>
              </w:rPr>
              <w:t>LS</w:t>
            </w:r>
            <w:r w:rsidRPr="00B930DE">
              <w:rPr>
                <w:rFonts w:cs="Arial"/>
                <w:sz w:val="16"/>
                <w:vertAlign w:val="subscript"/>
                <w:lang w:eastAsia="en-AU"/>
              </w:rPr>
              <w:t>CC1</w:t>
            </w:r>
          </w:p>
        </w:tc>
        <w:tc>
          <w:tcPr>
            <w:tcW w:w="325" w:type="pct"/>
            <w:shd w:val="clear" w:color="auto" w:fill="D9D9D9" w:themeFill="background1" w:themeFillShade="D9"/>
            <w:noWrap/>
            <w:hideMark/>
          </w:tcPr>
          <w:p w14:paraId="5F22F554" w14:textId="77777777" w:rsidR="00574B0D" w:rsidRPr="00B930DE" w:rsidRDefault="00574B0D" w:rsidP="00B930DE">
            <w:pPr>
              <w:spacing w:before="0" w:after="0"/>
              <w:jc w:val="center"/>
              <w:rPr>
                <w:rFonts w:cs="Arial"/>
                <w:sz w:val="16"/>
                <w:lang w:eastAsia="en-AU"/>
              </w:rPr>
            </w:pPr>
            <w:r w:rsidRPr="00B930DE">
              <w:rPr>
                <w:rFonts w:cs="Arial"/>
                <w:sz w:val="16"/>
                <w:lang w:eastAsia="en-AU"/>
              </w:rPr>
              <w:t>LS</w:t>
            </w:r>
            <w:r w:rsidRPr="00B930DE">
              <w:rPr>
                <w:rFonts w:cs="Arial"/>
                <w:sz w:val="16"/>
                <w:vertAlign w:val="subscript"/>
                <w:lang w:eastAsia="en-AU"/>
              </w:rPr>
              <w:t>CC2</w:t>
            </w:r>
          </w:p>
        </w:tc>
        <w:tc>
          <w:tcPr>
            <w:tcW w:w="325" w:type="pct"/>
            <w:shd w:val="clear" w:color="auto" w:fill="D9D9D9" w:themeFill="background1" w:themeFillShade="D9"/>
            <w:noWrap/>
            <w:hideMark/>
          </w:tcPr>
          <w:p w14:paraId="5F22F555" w14:textId="77777777" w:rsidR="00574B0D" w:rsidRPr="00B930DE" w:rsidRDefault="00574B0D" w:rsidP="00B930DE">
            <w:pPr>
              <w:spacing w:before="0" w:after="0"/>
              <w:jc w:val="center"/>
              <w:rPr>
                <w:rFonts w:cs="Arial"/>
                <w:sz w:val="16"/>
                <w:lang w:eastAsia="en-AU"/>
              </w:rPr>
            </w:pPr>
            <w:r w:rsidRPr="00B930DE">
              <w:rPr>
                <w:rFonts w:cs="Arial"/>
                <w:sz w:val="16"/>
                <w:lang w:eastAsia="en-AU"/>
              </w:rPr>
              <w:t>LS</w:t>
            </w:r>
            <w:r w:rsidRPr="00B930DE">
              <w:rPr>
                <w:rFonts w:cs="Arial"/>
                <w:sz w:val="16"/>
                <w:vertAlign w:val="subscript"/>
                <w:lang w:eastAsia="en-AU"/>
              </w:rPr>
              <w:t>CC3</w:t>
            </w:r>
          </w:p>
        </w:tc>
        <w:tc>
          <w:tcPr>
            <w:tcW w:w="325" w:type="pct"/>
            <w:shd w:val="clear" w:color="auto" w:fill="D9D9D9" w:themeFill="background1" w:themeFillShade="D9"/>
            <w:noWrap/>
            <w:hideMark/>
          </w:tcPr>
          <w:p w14:paraId="5F22F556" w14:textId="77777777" w:rsidR="00574B0D" w:rsidRPr="00B930DE" w:rsidRDefault="00574B0D" w:rsidP="00B930DE">
            <w:pPr>
              <w:spacing w:before="0" w:after="0"/>
              <w:jc w:val="center"/>
              <w:rPr>
                <w:rFonts w:cs="Arial"/>
                <w:sz w:val="16"/>
                <w:lang w:eastAsia="en-AU"/>
              </w:rPr>
            </w:pPr>
            <w:r w:rsidRPr="00B930DE">
              <w:rPr>
                <w:rFonts w:cs="Arial"/>
                <w:sz w:val="16"/>
                <w:lang w:eastAsia="en-AU"/>
              </w:rPr>
              <w:t>LS</w:t>
            </w:r>
            <w:r w:rsidRPr="00B930DE">
              <w:rPr>
                <w:rFonts w:cs="Arial"/>
                <w:sz w:val="16"/>
                <w:vertAlign w:val="subscript"/>
                <w:lang w:eastAsia="en-AU"/>
              </w:rPr>
              <w:t>CC4</w:t>
            </w:r>
          </w:p>
        </w:tc>
        <w:tc>
          <w:tcPr>
            <w:tcW w:w="325" w:type="pct"/>
            <w:shd w:val="clear" w:color="auto" w:fill="D9D9D9" w:themeFill="background1" w:themeFillShade="D9"/>
            <w:noWrap/>
            <w:hideMark/>
          </w:tcPr>
          <w:p w14:paraId="5F22F557" w14:textId="77777777" w:rsidR="00574B0D" w:rsidRPr="00B930DE" w:rsidRDefault="00574B0D" w:rsidP="00B930DE">
            <w:pPr>
              <w:spacing w:before="0" w:after="0"/>
              <w:jc w:val="center"/>
              <w:rPr>
                <w:rFonts w:cs="Arial"/>
                <w:sz w:val="16"/>
                <w:lang w:eastAsia="en-AU"/>
              </w:rPr>
            </w:pPr>
            <w:r w:rsidRPr="00B930DE">
              <w:rPr>
                <w:rFonts w:cs="Arial"/>
                <w:sz w:val="16"/>
                <w:lang w:eastAsia="en-AU"/>
              </w:rPr>
              <w:t>LS</w:t>
            </w:r>
            <w:r w:rsidRPr="00B930DE">
              <w:rPr>
                <w:rFonts w:cs="Arial"/>
                <w:sz w:val="16"/>
                <w:vertAlign w:val="subscript"/>
                <w:lang w:eastAsia="en-AU"/>
              </w:rPr>
              <w:t>CC5</w:t>
            </w:r>
          </w:p>
        </w:tc>
        <w:tc>
          <w:tcPr>
            <w:tcW w:w="325" w:type="pct"/>
            <w:shd w:val="clear" w:color="auto" w:fill="D9D9D9" w:themeFill="background1" w:themeFillShade="D9"/>
            <w:noWrap/>
            <w:hideMark/>
          </w:tcPr>
          <w:p w14:paraId="5F22F558" w14:textId="77777777" w:rsidR="00574B0D" w:rsidRPr="00B930DE" w:rsidRDefault="00574B0D" w:rsidP="00B930DE">
            <w:pPr>
              <w:spacing w:before="0" w:after="0"/>
              <w:jc w:val="center"/>
              <w:rPr>
                <w:rFonts w:cs="Arial"/>
                <w:sz w:val="16"/>
                <w:lang w:eastAsia="en-AU"/>
              </w:rPr>
            </w:pPr>
            <w:r w:rsidRPr="00B930DE">
              <w:rPr>
                <w:rFonts w:cs="Arial"/>
                <w:sz w:val="16"/>
                <w:lang w:eastAsia="en-AU"/>
              </w:rPr>
              <w:t>LS</w:t>
            </w:r>
            <w:r w:rsidRPr="00B930DE">
              <w:rPr>
                <w:rFonts w:cs="Arial"/>
                <w:sz w:val="16"/>
                <w:vertAlign w:val="subscript"/>
                <w:lang w:eastAsia="en-AU"/>
              </w:rPr>
              <w:t>CC6</w:t>
            </w:r>
          </w:p>
        </w:tc>
        <w:tc>
          <w:tcPr>
            <w:tcW w:w="315" w:type="pct"/>
            <w:vMerge/>
            <w:shd w:val="clear" w:color="auto" w:fill="D9D9D9" w:themeFill="background1" w:themeFillShade="D9"/>
            <w:hideMark/>
          </w:tcPr>
          <w:p w14:paraId="5F22F559" w14:textId="77777777" w:rsidR="00574B0D" w:rsidRPr="00B930DE" w:rsidRDefault="00574B0D" w:rsidP="00B930DE">
            <w:pPr>
              <w:spacing w:before="0" w:after="0"/>
              <w:jc w:val="center"/>
              <w:rPr>
                <w:rFonts w:cs="Arial"/>
                <w:sz w:val="16"/>
                <w:lang w:eastAsia="en-AU"/>
              </w:rPr>
            </w:pPr>
          </w:p>
        </w:tc>
        <w:tc>
          <w:tcPr>
            <w:tcW w:w="353" w:type="pct"/>
            <w:vMerge/>
            <w:shd w:val="clear" w:color="auto" w:fill="D9D9D9" w:themeFill="background1" w:themeFillShade="D9"/>
            <w:hideMark/>
          </w:tcPr>
          <w:p w14:paraId="5F22F55A" w14:textId="77777777" w:rsidR="00574B0D" w:rsidRPr="00B930DE" w:rsidRDefault="00574B0D" w:rsidP="00B930DE">
            <w:pPr>
              <w:spacing w:before="0" w:after="0"/>
              <w:jc w:val="center"/>
              <w:rPr>
                <w:rFonts w:cs="Arial"/>
                <w:sz w:val="16"/>
                <w:lang w:eastAsia="en-AU"/>
              </w:rPr>
            </w:pPr>
          </w:p>
        </w:tc>
        <w:tc>
          <w:tcPr>
            <w:tcW w:w="356" w:type="pct"/>
            <w:shd w:val="clear" w:color="auto" w:fill="D9D9D9" w:themeFill="background1" w:themeFillShade="D9"/>
            <w:noWrap/>
            <w:hideMark/>
          </w:tcPr>
          <w:p w14:paraId="5F22F55B" w14:textId="77777777" w:rsidR="00574B0D" w:rsidRPr="00B930DE" w:rsidRDefault="00574B0D" w:rsidP="00B930DE">
            <w:pPr>
              <w:spacing w:before="0" w:after="0"/>
              <w:jc w:val="center"/>
              <w:rPr>
                <w:rFonts w:cs="Arial"/>
                <w:sz w:val="16"/>
                <w:lang w:eastAsia="en-AU"/>
              </w:rPr>
            </w:pPr>
            <w:r w:rsidRPr="00B930DE">
              <w:rPr>
                <w:rFonts w:cs="Arial"/>
                <w:sz w:val="16"/>
                <w:lang w:eastAsia="en-AU"/>
              </w:rPr>
              <w:t>Δ</w:t>
            </w:r>
            <w:r w:rsidRPr="00B930DE">
              <w:rPr>
                <w:rFonts w:cs="Arial"/>
                <w:sz w:val="16"/>
                <w:vertAlign w:val="subscript"/>
                <w:lang w:eastAsia="en-AU"/>
              </w:rPr>
              <w:t>site</w:t>
            </w:r>
          </w:p>
        </w:tc>
        <w:tc>
          <w:tcPr>
            <w:tcW w:w="356" w:type="pct"/>
            <w:shd w:val="clear" w:color="auto" w:fill="D9D9D9" w:themeFill="background1" w:themeFillShade="D9"/>
            <w:noWrap/>
            <w:hideMark/>
          </w:tcPr>
          <w:p w14:paraId="5F22F55C" w14:textId="77777777" w:rsidR="00574B0D" w:rsidRPr="00B930DE" w:rsidRDefault="00574B0D" w:rsidP="00B930DE">
            <w:pPr>
              <w:spacing w:before="0" w:after="0"/>
              <w:jc w:val="center"/>
              <w:rPr>
                <w:rFonts w:cs="Arial"/>
                <w:sz w:val="16"/>
                <w:lang w:eastAsia="en-AU"/>
              </w:rPr>
            </w:pPr>
            <w:r w:rsidRPr="00B930DE">
              <w:rPr>
                <w:rFonts w:cs="Arial"/>
                <w:sz w:val="16"/>
                <w:lang w:eastAsia="en-AU"/>
              </w:rPr>
              <w:t>Δ</w:t>
            </w:r>
            <w:r w:rsidRPr="00B930DE">
              <w:rPr>
                <w:rFonts w:cs="Arial"/>
                <w:sz w:val="16"/>
                <w:vertAlign w:val="subscript"/>
                <w:lang w:eastAsia="en-AU"/>
              </w:rPr>
              <w:t>NRM</w:t>
            </w:r>
          </w:p>
        </w:tc>
        <w:tc>
          <w:tcPr>
            <w:tcW w:w="327" w:type="pct"/>
            <w:shd w:val="clear" w:color="auto" w:fill="D9D9D9" w:themeFill="background1" w:themeFillShade="D9"/>
          </w:tcPr>
          <w:p w14:paraId="5F22F55D" w14:textId="77777777" w:rsidR="00574B0D" w:rsidRPr="00B930DE" w:rsidRDefault="00574B0D" w:rsidP="00B930DE">
            <w:pPr>
              <w:spacing w:before="0" w:after="0"/>
              <w:jc w:val="center"/>
              <w:rPr>
                <w:rFonts w:cs="Arial"/>
                <w:sz w:val="16"/>
              </w:rPr>
            </w:pPr>
            <w:r w:rsidRPr="00B930DE">
              <w:rPr>
                <w:rFonts w:cs="Arial"/>
                <w:sz w:val="16"/>
              </w:rPr>
              <w:t>M</w:t>
            </w:r>
            <w:r w:rsidRPr="00B930DE">
              <w:rPr>
                <w:rFonts w:cs="Arial"/>
                <w:sz w:val="16"/>
                <w:vertAlign w:val="subscript"/>
              </w:rPr>
              <w:t>site</w:t>
            </w:r>
          </w:p>
        </w:tc>
        <w:tc>
          <w:tcPr>
            <w:tcW w:w="327" w:type="pct"/>
            <w:shd w:val="clear" w:color="auto" w:fill="D9D9D9" w:themeFill="background1" w:themeFillShade="D9"/>
          </w:tcPr>
          <w:p w14:paraId="5F22F55E" w14:textId="77777777" w:rsidR="00574B0D" w:rsidRPr="00B930DE" w:rsidRDefault="00574B0D" w:rsidP="00B930DE">
            <w:pPr>
              <w:spacing w:before="0" w:after="0"/>
              <w:jc w:val="center"/>
              <w:rPr>
                <w:rFonts w:cs="Arial"/>
                <w:sz w:val="16"/>
              </w:rPr>
            </w:pPr>
            <w:r w:rsidRPr="00B930DE">
              <w:rPr>
                <w:rFonts w:cs="Arial"/>
                <w:sz w:val="16"/>
              </w:rPr>
              <w:t>M</w:t>
            </w:r>
            <w:r w:rsidRPr="00B930DE">
              <w:rPr>
                <w:rFonts w:cs="Arial"/>
                <w:sz w:val="16"/>
                <w:vertAlign w:val="subscript"/>
              </w:rPr>
              <w:t>NRM</w:t>
            </w:r>
          </w:p>
        </w:tc>
      </w:tr>
      <w:tr w:rsidR="00574B0D" w:rsidRPr="00B930DE" w14:paraId="5F22F56F" w14:textId="77777777" w:rsidTr="004A5BF7">
        <w:trPr>
          <w:trHeight w:val="300"/>
        </w:trPr>
        <w:tc>
          <w:tcPr>
            <w:tcW w:w="676" w:type="pct"/>
            <w:vMerge w:val="restart"/>
            <w:hideMark/>
          </w:tcPr>
          <w:p w14:paraId="5F22F560" w14:textId="77777777" w:rsidR="00574B0D" w:rsidRPr="00B930DE" w:rsidRDefault="00574B0D" w:rsidP="00B930DE">
            <w:pPr>
              <w:spacing w:before="0" w:after="0"/>
              <w:jc w:val="center"/>
              <w:rPr>
                <w:rFonts w:cs="Arial"/>
                <w:sz w:val="16"/>
                <w:lang w:eastAsia="en-AU"/>
              </w:rPr>
            </w:pPr>
            <w:r w:rsidRPr="00B930DE">
              <w:rPr>
                <w:rFonts w:cs="Arial"/>
                <w:sz w:val="16"/>
                <w:lang w:eastAsia="en-AU"/>
              </w:rPr>
              <w:t>Burdekin</w:t>
            </w:r>
          </w:p>
          <w:p w14:paraId="5F22F561" w14:textId="77777777" w:rsidR="00574B0D" w:rsidRPr="00B930DE" w:rsidRDefault="00574B0D" w:rsidP="00B930DE">
            <w:pPr>
              <w:spacing w:before="0" w:after="0"/>
              <w:jc w:val="center"/>
              <w:rPr>
                <w:rFonts w:cs="Arial"/>
                <w:sz w:val="16"/>
                <w:lang w:eastAsia="en-AU"/>
              </w:rPr>
            </w:pPr>
            <w:r w:rsidRPr="00B930DE">
              <w:rPr>
                <w:rFonts w:cs="Arial"/>
                <w:sz w:val="16"/>
                <w:lang w:eastAsia="en-AU"/>
              </w:rPr>
              <w:t>(Bu)</w:t>
            </w:r>
          </w:p>
        </w:tc>
        <w:tc>
          <w:tcPr>
            <w:tcW w:w="341" w:type="pct"/>
            <w:noWrap/>
            <w:hideMark/>
          </w:tcPr>
          <w:p w14:paraId="5F22F562" w14:textId="77777777" w:rsidR="00574B0D" w:rsidRPr="00B930DE" w:rsidRDefault="00574B0D" w:rsidP="00B930DE">
            <w:pPr>
              <w:spacing w:before="0" w:after="0"/>
              <w:jc w:val="center"/>
              <w:rPr>
                <w:rFonts w:cs="Arial"/>
                <w:sz w:val="16"/>
                <w:lang w:eastAsia="en-AU"/>
              </w:rPr>
            </w:pPr>
            <w:r w:rsidRPr="00B930DE">
              <w:rPr>
                <w:rFonts w:cs="Arial"/>
                <w:sz w:val="16"/>
                <w:lang w:eastAsia="en-AU"/>
              </w:rPr>
              <w:t>GB</w:t>
            </w:r>
          </w:p>
        </w:tc>
        <w:tc>
          <w:tcPr>
            <w:tcW w:w="325" w:type="pct"/>
            <w:noWrap/>
            <w:hideMark/>
          </w:tcPr>
          <w:p w14:paraId="5F22F563"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564"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565"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566" w14:textId="77777777" w:rsidR="00574B0D" w:rsidRPr="00B930DE" w:rsidRDefault="00574B0D" w:rsidP="00B930DE">
            <w:pPr>
              <w:spacing w:before="0" w:after="0"/>
              <w:jc w:val="center"/>
              <w:rPr>
                <w:rFonts w:cs="Arial"/>
                <w:sz w:val="16"/>
                <w:lang w:eastAsia="en-AU"/>
              </w:rPr>
            </w:pPr>
            <w:r w:rsidRPr="00B930DE">
              <w:rPr>
                <w:rFonts w:cs="Arial"/>
                <w:sz w:val="16"/>
                <w:lang w:eastAsia="en-AU"/>
              </w:rPr>
              <w:t>0.14</w:t>
            </w:r>
          </w:p>
        </w:tc>
        <w:tc>
          <w:tcPr>
            <w:tcW w:w="325" w:type="pct"/>
            <w:noWrap/>
            <w:hideMark/>
          </w:tcPr>
          <w:p w14:paraId="5F22F567" w14:textId="77777777" w:rsidR="00574B0D" w:rsidRPr="00B930DE" w:rsidRDefault="00574B0D" w:rsidP="00B930DE">
            <w:pPr>
              <w:spacing w:before="0" w:after="0"/>
              <w:jc w:val="center"/>
              <w:rPr>
                <w:rFonts w:cs="Arial"/>
                <w:sz w:val="16"/>
                <w:lang w:eastAsia="en-AU"/>
              </w:rPr>
            </w:pPr>
            <w:r w:rsidRPr="00B930DE">
              <w:rPr>
                <w:rFonts w:cs="Arial"/>
                <w:sz w:val="16"/>
                <w:lang w:eastAsia="en-AU"/>
              </w:rPr>
              <w:t>0.77</w:t>
            </w:r>
          </w:p>
        </w:tc>
        <w:tc>
          <w:tcPr>
            <w:tcW w:w="325" w:type="pct"/>
            <w:noWrap/>
            <w:hideMark/>
          </w:tcPr>
          <w:p w14:paraId="5F22F568" w14:textId="77777777" w:rsidR="00574B0D" w:rsidRPr="00B930DE" w:rsidRDefault="00574B0D" w:rsidP="00B930DE">
            <w:pPr>
              <w:spacing w:before="0" w:after="0"/>
              <w:jc w:val="center"/>
              <w:rPr>
                <w:rFonts w:cs="Arial"/>
                <w:sz w:val="16"/>
                <w:lang w:eastAsia="en-AU"/>
              </w:rPr>
            </w:pPr>
            <w:r w:rsidRPr="00B930DE">
              <w:rPr>
                <w:rFonts w:cs="Arial"/>
                <w:sz w:val="16"/>
                <w:lang w:eastAsia="en-AU"/>
              </w:rPr>
              <w:t>0.04</w:t>
            </w:r>
          </w:p>
        </w:tc>
        <w:tc>
          <w:tcPr>
            <w:tcW w:w="315" w:type="pct"/>
            <w:noWrap/>
            <w:hideMark/>
          </w:tcPr>
          <w:p w14:paraId="5F22F569" w14:textId="77777777" w:rsidR="00574B0D" w:rsidRPr="00B930DE" w:rsidRDefault="00574B0D" w:rsidP="00B930DE">
            <w:pPr>
              <w:spacing w:before="0" w:after="0"/>
              <w:jc w:val="center"/>
              <w:rPr>
                <w:rFonts w:cs="Arial"/>
                <w:sz w:val="16"/>
                <w:lang w:eastAsia="en-AU"/>
              </w:rPr>
            </w:pPr>
            <w:r w:rsidRPr="00B930DE">
              <w:rPr>
                <w:rFonts w:cs="Arial"/>
                <w:sz w:val="16"/>
              </w:rPr>
              <w:t>0.49</w:t>
            </w:r>
          </w:p>
        </w:tc>
        <w:tc>
          <w:tcPr>
            <w:tcW w:w="353" w:type="pct"/>
            <w:noWrap/>
            <w:hideMark/>
          </w:tcPr>
          <w:p w14:paraId="5F22F56A" w14:textId="77777777" w:rsidR="00574B0D" w:rsidRPr="00B930DE" w:rsidRDefault="00574B0D" w:rsidP="00B930DE">
            <w:pPr>
              <w:spacing w:before="0" w:after="0"/>
              <w:jc w:val="center"/>
              <w:rPr>
                <w:rFonts w:cs="Arial"/>
                <w:sz w:val="16"/>
                <w:lang w:eastAsia="en-AU"/>
              </w:rPr>
            </w:pPr>
            <w:r w:rsidRPr="00B930DE">
              <w:rPr>
                <w:rFonts w:cs="Arial"/>
                <w:sz w:val="16"/>
                <w:lang w:eastAsia="en-AU"/>
              </w:rPr>
              <w:t>0.32</w:t>
            </w:r>
          </w:p>
        </w:tc>
        <w:tc>
          <w:tcPr>
            <w:tcW w:w="356" w:type="pct"/>
            <w:noWrap/>
            <w:hideMark/>
          </w:tcPr>
          <w:p w14:paraId="5F22F56B" w14:textId="77777777" w:rsidR="00574B0D" w:rsidRPr="00B930DE" w:rsidRDefault="00574B0D" w:rsidP="00B930DE">
            <w:pPr>
              <w:spacing w:before="0" w:after="0"/>
              <w:jc w:val="center"/>
              <w:rPr>
                <w:rFonts w:cs="Arial"/>
                <w:sz w:val="16"/>
              </w:rPr>
            </w:pPr>
            <w:r w:rsidRPr="00B930DE">
              <w:rPr>
                <w:rFonts w:cs="Arial"/>
                <w:sz w:val="16"/>
              </w:rPr>
              <w:t>-6.95</w:t>
            </w:r>
          </w:p>
        </w:tc>
        <w:tc>
          <w:tcPr>
            <w:tcW w:w="356" w:type="pct"/>
            <w:noWrap/>
            <w:hideMark/>
          </w:tcPr>
          <w:p w14:paraId="5F22F56C" w14:textId="77777777" w:rsidR="00574B0D" w:rsidRPr="00B930DE" w:rsidRDefault="00574B0D" w:rsidP="00B930DE">
            <w:pPr>
              <w:spacing w:before="0" w:after="0"/>
              <w:jc w:val="center"/>
              <w:rPr>
                <w:rFonts w:cs="Arial"/>
                <w:sz w:val="16"/>
                <w:lang w:eastAsia="en-AU"/>
              </w:rPr>
            </w:pPr>
            <w:r w:rsidRPr="00B930DE">
              <w:rPr>
                <w:rFonts w:cs="Arial"/>
                <w:sz w:val="16"/>
                <w:lang w:eastAsia="en-AU"/>
              </w:rPr>
              <w:t>-11.13</w:t>
            </w:r>
          </w:p>
        </w:tc>
        <w:tc>
          <w:tcPr>
            <w:tcW w:w="327" w:type="pct"/>
          </w:tcPr>
          <w:p w14:paraId="5F22F56D" w14:textId="77777777" w:rsidR="00574B0D" w:rsidRPr="00B930DE" w:rsidRDefault="00574B0D" w:rsidP="00B930DE">
            <w:pPr>
              <w:spacing w:before="0" w:after="0"/>
              <w:jc w:val="center"/>
              <w:rPr>
                <w:rFonts w:cs="Arial"/>
                <w:sz w:val="16"/>
              </w:rPr>
            </w:pPr>
            <w:r w:rsidRPr="00B930DE">
              <w:rPr>
                <w:rFonts w:cs="Arial"/>
                <w:sz w:val="16"/>
              </w:rPr>
              <w:t>50.81</w:t>
            </w:r>
          </w:p>
        </w:tc>
        <w:tc>
          <w:tcPr>
            <w:tcW w:w="327" w:type="pct"/>
          </w:tcPr>
          <w:p w14:paraId="5F22F56E" w14:textId="77777777" w:rsidR="00574B0D" w:rsidRPr="00B930DE" w:rsidRDefault="00574B0D" w:rsidP="00B930DE">
            <w:pPr>
              <w:spacing w:before="0" w:after="0"/>
              <w:jc w:val="center"/>
              <w:rPr>
                <w:rFonts w:cs="Arial"/>
                <w:sz w:val="16"/>
                <w:lang w:eastAsia="en-AU"/>
              </w:rPr>
            </w:pPr>
            <w:r w:rsidRPr="00B930DE">
              <w:rPr>
                <w:rFonts w:cs="Arial"/>
                <w:sz w:val="16"/>
                <w:lang w:eastAsia="en-AU"/>
              </w:rPr>
              <w:t>24.08</w:t>
            </w:r>
          </w:p>
        </w:tc>
      </w:tr>
      <w:tr w:rsidR="00574B0D" w:rsidRPr="00B930DE" w14:paraId="5F22F57E" w14:textId="77777777" w:rsidTr="004A5BF7">
        <w:trPr>
          <w:trHeight w:val="300"/>
        </w:trPr>
        <w:tc>
          <w:tcPr>
            <w:tcW w:w="676" w:type="pct"/>
            <w:vMerge/>
            <w:hideMark/>
          </w:tcPr>
          <w:p w14:paraId="5F22F570" w14:textId="77777777" w:rsidR="00574B0D" w:rsidRPr="00B930DE" w:rsidRDefault="00574B0D" w:rsidP="00B930DE">
            <w:pPr>
              <w:spacing w:before="0" w:after="0"/>
              <w:jc w:val="center"/>
              <w:rPr>
                <w:rFonts w:cs="Arial"/>
                <w:sz w:val="16"/>
                <w:lang w:eastAsia="en-AU"/>
              </w:rPr>
            </w:pPr>
          </w:p>
        </w:tc>
        <w:tc>
          <w:tcPr>
            <w:tcW w:w="341" w:type="pct"/>
            <w:noWrap/>
            <w:hideMark/>
          </w:tcPr>
          <w:p w14:paraId="5F22F571" w14:textId="77777777" w:rsidR="00574B0D" w:rsidRPr="00B930DE" w:rsidRDefault="00574B0D" w:rsidP="00B930DE">
            <w:pPr>
              <w:spacing w:before="0" w:after="0"/>
              <w:jc w:val="center"/>
              <w:rPr>
                <w:rFonts w:cs="Arial"/>
                <w:sz w:val="16"/>
                <w:lang w:eastAsia="en-AU"/>
              </w:rPr>
            </w:pPr>
            <w:r w:rsidRPr="00B930DE">
              <w:rPr>
                <w:rFonts w:cs="Arial"/>
                <w:sz w:val="16"/>
                <w:lang w:eastAsia="en-AU"/>
              </w:rPr>
              <w:t>HI</w:t>
            </w:r>
          </w:p>
        </w:tc>
        <w:tc>
          <w:tcPr>
            <w:tcW w:w="325" w:type="pct"/>
            <w:noWrap/>
            <w:hideMark/>
          </w:tcPr>
          <w:p w14:paraId="5F22F572"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573"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574"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575" w14:textId="77777777" w:rsidR="00574B0D" w:rsidRPr="00B930DE" w:rsidRDefault="00574B0D" w:rsidP="00B930DE">
            <w:pPr>
              <w:spacing w:before="0" w:after="0"/>
              <w:jc w:val="center"/>
              <w:rPr>
                <w:rFonts w:cs="Arial"/>
                <w:sz w:val="16"/>
                <w:lang w:eastAsia="en-AU"/>
              </w:rPr>
            </w:pPr>
            <w:r w:rsidRPr="00B930DE">
              <w:rPr>
                <w:rFonts w:cs="Arial"/>
                <w:sz w:val="16"/>
                <w:lang w:eastAsia="en-AU"/>
              </w:rPr>
              <w:t>0.06</w:t>
            </w:r>
          </w:p>
        </w:tc>
        <w:tc>
          <w:tcPr>
            <w:tcW w:w="325" w:type="pct"/>
            <w:noWrap/>
            <w:hideMark/>
          </w:tcPr>
          <w:p w14:paraId="5F22F576" w14:textId="77777777" w:rsidR="00574B0D" w:rsidRPr="00B930DE" w:rsidRDefault="00574B0D" w:rsidP="00B930DE">
            <w:pPr>
              <w:spacing w:before="0" w:after="0"/>
              <w:jc w:val="center"/>
              <w:rPr>
                <w:rFonts w:cs="Arial"/>
                <w:sz w:val="16"/>
                <w:lang w:eastAsia="en-AU"/>
              </w:rPr>
            </w:pPr>
            <w:r w:rsidRPr="00B930DE">
              <w:rPr>
                <w:rFonts w:cs="Arial"/>
                <w:sz w:val="16"/>
                <w:lang w:eastAsia="en-AU"/>
              </w:rPr>
              <w:t>0.36</w:t>
            </w:r>
          </w:p>
        </w:tc>
        <w:tc>
          <w:tcPr>
            <w:tcW w:w="325" w:type="pct"/>
            <w:noWrap/>
            <w:hideMark/>
          </w:tcPr>
          <w:p w14:paraId="5F22F577" w14:textId="77777777" w:rsidR="00574B0D" w:rsidRPr="00B930DE" w:rsidRDefault="00574B0D" w:rsidP="00B930DE">
            <w:pPr>
              <w:spacing w:before="0" w:after="0"/>
              <w:jc w:val="center"/>
              <w:rPr>
                <w:rFonts w:cs="Arial"/>
                <w:sz w:val="16"/>
                <w:lang w:eastAsia="en-AU"/>
              </w:rPr>
            </w:pPr>
            <w:r w:rsidRPr="00B930DE">
              <w:rPr>
                <w:rFonts w:cs="Arial"/>
                <w:sz w:val="16"/>
                <w:lang w:eastAsia="en-AU"/>
              </w:rPr>
              <w:t>0.46</w:t>
            </w:r>
          </w:p>
        </w:tc>
        <w:tc>
          <w:tcPr>
            <w:tcW w:w="315" w:type="pct"/>
            <w:noWrap/>
            <w:hideMark/>
          </w:tcPr>
          <w:p w14:paraId="5F22F578" w14:textId="77777777" w:rsidR="00574B0D" w:rsidRPr="00B930DE" w:rsidRDefault="00574B0D" w:rsidP="00B930DE">
            <w:pPr>
              <w:spacing w:before="0" w:after="0"/>
              <w:jc w:val="center"/>
              <w:rPr>
                <w:rFonts w:cs="Arial"/>
                <w:sz w:val="16"/>
                <w:lang w:eastAsia="en-AU"/>
              </w:rPr>
            </w:pPr>
            <w:r w:rsidRPr="00B930DE">
              <w:rPr>
                <w:rFonts w:cs="Arial"/>
                <w:sz w:val="16"/>
              </w:rPr>
              <w:t>0.14</w:t>
            </w:r>
          </w:p>
        </w:tc>
        <w:tc>
          <w:tcPr>
            <w:tcW w:w="353" w:type="pct"/>
            <w:noWrap/>
            <w:hideMark/>
          </w:tcPr>
          <w:p w14:paraId="5F22F579" w14:textId="77777777" w:rsidR="00574B0D" w:rsidRPr="00B930DE" w:rsidRDefault="00574B0D" w:rsidP="00B930DE">
            <w:pPr>
              <w:spacing w:before="0" w:after="0"/>
              <w:jc w:val="center"/>
              <w:rPr>
                <w:rFonts w:cs="Arial"/>
                <w:sz w:val="16"/>
                <w:lang w:eastAsia="en-AU"/>
              </w:rPr>
            </w:pPr>
          </w:p>
        </w:tc>
        <w:tc>
          <w:tcPr>
            <w:tcW w:w="356" w:type="pct"/>
            <w:noWrap/>
            <w:hideMark/>
          </w:tcPr>
          <w:p w14:paraId="5F22F57A" w14:textId="77777777" w:rsidR="00574B0D" w:rsidRPr="00B930DE" w:rsidRDefault="00574B0D" w:rsidP="00B930DE">
            <w:pPr>
              <w:spacing w:before="0" w:after="0"/>
              <w:jc w:val="center"/>
              <w:rPr>
                <w:rFonts w:cs="Arial"/>
                <w:sz w:val="16"/>
              </w:rPr>
            </w:pPr>
            <w:r w:rsidRPr="00B930DE">
              <w:rPr>
                <w:rFonts w:cs="Arial"/>
                <w:sz w:val="16"/>
              </w:rPr>
              <w:t>-36.51</w:t>
            </w:r>
          </w:p>
        </w:tc>
        <w:tc>
          <w:tcPr>
            <w:tcW w:w="356" w:type="pct"/>
            <w:noWrap/>
            <w:hideMark/>
          </w:tcPr>
          <w:p w14:paraId="5F22F57B" w14:textId="77777777" w:rsidR="00574B0D" w:rsidRPr="00B930DE" w:rsidRDefault="00574B0D" w:rsidP="00B930DE">
            <w:pPr>
              <w:spacing w:before="0" w:after="0"/>
              <w:jc w:val="center"/>
              <w:rPr>
                <w:rFonts w:cs="Arial"/>
                <w:sz w:val="16"/>
                <w:lang w:eastAsia="en-AU"/>
              </w:rPr>
            </w:pPr>
          </w:p>
        </w:tc>
        <w:tc>
          <w:tcPr>
            <w:tcW w:w="327" w:type="pct"/>
          </w:tcPr>
          <w:p w14:paraId="5F22F57C" w14:textId="77777777" w:rsidR="00574B0D" w:rsidRPr="00B930DE" w:rsidRDefault="00574B0D" w:rsidP="00B930DE">
            <w:pPr>
              <w:spacing w:before="0" w:after="0"/>
              <w:jc w:val="center"/>
              <w:rPr>
                <w:rFonts w:cs="Arial"/>
                <w:sz w:val="16"/>
              </w:rPr>
            </w:pPr>
            <w:r w:rsidRPr="00B930DE">
              <w:rPr>
                <w:rFonts w:cs="Arial"/>
                <w:sz w:val="16"/>
              </w:rPr>
              <w:t>20.43</w:t>
            </w:r>
          </w:p>
        </w:tc>
        <w:tc>
          <w:tcPr>
            <w:tcW w:w="327" w:type="pct"/>
          </w:tcPr>
          <w:p w14:paraId="5F22F57D" w14:textId="77777777" w:rsidR="00574B0D" w:rsidRPr="00B930DE" w:rsidRDefault="00574B0D" w:rsidP="00B930DE">
            <w:pPr>
              <w:spacing w:before="0" w:after="0"/>
              <w:jc w:val="center"/>
              <w:rPr>
                <w:rFonts w:cs="Arial"/>
                <w:sz w:val="16"/>
                <w:lang w:eastAsia="en-AU"/>
              </w:rPr>
            </w:pPr>
          </w:p>
        </w:tc>
      </w:tr>
      <w:tr w:rsidR="00574B0D" w:rsidRPr="00B930DE" w14:paraId="5F22F58D" w14:textId="77777777" w:rsidTr="004A5BF7">
        <w:trPr>
          <w:trHeight w:val="300"/>
        </w:trPr>
        <w:tc>
          <w:tcPr>
            <w:tcW w:w="676" w:type="pct"/>
            <w:vMerge/>
            <w:hideMark/>
          </w:tcPr>
          <w:p w14:paraId="5F22F57F" w14:textId="77777777" w:rsidR="00574B0D" w:rsidRPr="00B930DE" w:rsidRDefault="00574B0D" w:rsidP="00B930DE">
            <w:pPr>
              <w:spacing w:before="0" w:after="0"/>
              <w:jc w:val="center"/>
              <w:rPr>
                <w:rFonts w:cs="Arial"/>
                <w:sz w:val="16"/>
                <w:lang w:eastAsia="en-AU"/>
              </w:rPr>
            </w:pPr>
          </w:p>
        </w:tc>
        <w:tc>
          <w:tcPr>
            <w:tcW w:w="341" w:type="pct"/>
            <w:noWrap/>
            <w:hideMark/>
          </w:tcPr>
          <w:p w14:paraId="5F22F580" w14:textId="77777777" w:rsidR="00574B0D" w:rsidRPr="00B930DE" w:rsidRDefault="00574B0D" w:rsidP="00B930DE">
            <w:pPr>
              <w:spacing w:before="0" w:after="0"/>
              <w:jc w:val="center"/>
              <w:rPr>
                <w:rFonts w:cs="Arial"/>
                <w:sz w:val="16"/>
                <w:lang w:eastAsia="en-AU"/>
              </w:rPr>
            </w:pPr>
            <w:r w:rsidRPr="00B930DE">
              <w:rPr>
                <w:rFonts w:cs="Arial"/>
                <w:sz w:val="16"/>
                <w:lang w:eastAsia="en-AU"/>
              </w:rPr>
              <w:t>LE</w:t>
            </w:r>
          </w:p>
        </w:tc>
        <w:tc>
          <w:tcPr>
            <w:tcW w:w="325" w:type="pct"/>
            <w:noWrap/>
            <w:hideMark/>
          </w:tcPr>
          <w:p w14:paraId="5F22F581"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582"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583"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584" w14:textId="77777777" w:rsidR="00574B0D" w:rsidRPr="00B930DE" w:rsidRDefault="00574B0D" w:rsidP="00B930DE">
            <w:pPr>
              <w:spacing w:before="0" w:after="0"/>
              <w:jc w:val="center"/>
              <w:rPr>
                <w:rFonts w:cs="Arial"/>
                <w:sz w:val="16"/>
                <w:lang w:eastAsia="en-AU"/>
              </w:rPr>
            </w:pPr>
            <w:r w:rsidRPr="00B930DE">
              <w:rPr>
                <w:rFonts w:cs="Arial"/>
                <w:sz w:val="16"/>
                <w:lang w:eastAsia="en-AU"/>
              </w:rPr>
              <w:t>0.22</w:t>
            </w:r>
          </w:p>
        </w:tc>
        <w:tc>
          <w:tcPr>
            <w:tcW w:w="325" w:type="pct"/>
            <w:noWrap/>
            <w:hideMark/>
          </w:tcPr>
          <w:p w14:paraId="5F22F585" w14:textId="77777777" w:rsidR="00574B0D" w:rsidRPr="00B930DE" w:rsidRDefault="00574B0D" w:rsidP="00B930DE">
            <w:pPr>
              <w:spacing w:before="0" w:after="0"/>
              <w:jc w:val="center"/>
              <w:rPr>
                <w:rFonts w:cs="Arial"/>
                <w:sz w:val="16"/>
                <w:lang w:eastAsia="en-AU"/>
              </w:rPr>
            </w:pPr>
            <w:r w:rsidRPr="00B930DE">
              <w:rPr>
                <w:rFonts w:cs="Arial"/>
                <w:sz w:val="16"/>
                <w:lang w:eastAsia="en-AU"/>
              </w:rPr>
              <w:t>0.62</w:t>
            </w:r>
          </w:p>
        </w:tc>
        <w:tc>
          <w:tcPr>
            <w:tcW w:w="325" w:type="pct"/>
            <w:noWrap/>
            <w:hideMark/>
          </w:tcPr>
          <w:p w14:paraId="5F22F586" w14:textId="77777777" w:rsidR="00574B0D" w:rsidRPr="00B930DE" w:rsidRDefault="00574B0D" w:rsidP="00B930DE">
            <w:pPr>
              <w:spacing w:before="0" w:after="0"/>
              <w:jc w:val="center"/>
              <w:rPr>
                <w:rFonts w:cs="Arial"/>
                <w:sz w:val="16"/>
                <w:lang w:eastAsia="en-AU"/>
              </w:rPr>
            </w:pPr>
            <w:r w:rsidRPr="00B930DE">
              <w:rPr>
                <w:rFonts w:cs="Arial"/>
                <w:sz w:val="16"/>
                <w:lang w:eastAsia="en-AU"/>
              </w:rPr>
              <w:t>0.03</w:t>
            </w:r>
          </w:p>
        </w:tc>
        <w:tc>
          <w:tcPr>
            <w:tcW w:w="315" w:type="pct"/>
            <w:noWrap/>
            <w:hideMark/>
          </w:tcPr>
          <w:p w14:paraId="5F22F587" w14:textId="77777777" w:rsidR="00574B0D" w:rsidRPr="00B930DE" w:rsidRDefault="00574B0D" w:rsidP="00B930DE">
            <w:pPr>
              <w:spacing w:before="0" w:after="0"/>
              <w:jc w:val="center"/>
              <w:rPr>
                <w:rFonts w:cs="Arial"/>
                <w:sz w:val="16"/>
                <w:lang w:eastAsia="en-AU"/>
              </w:rPr>
            </w:pPr>
            <w:r w:rsidRPr="00B930DE">
              <w:rPr>
                <w:rFonts w:cs="Arial"/>
                <w:sz w:val="16"/>
              </w:rPr>
              <w:t>0.59</w:t>
            </w:r>
          </w:p>
        </w:tc>
        <w:tc>
          <w:tcPr>
            <w:tcW w:w="353" w:type="pct"/>
            <w:noWrap/>
            <w:hideMark/>
          </w:tcPr>
          <w:p w14:paraId="5F22F588" w14:textId="77777777" w:rsidR="00574B0D" w:rsidRPr="00B930DE" w:rsidRDefault="00574B0D" w:rsidP="00B930DE">
            <w:pPr>
              <w:spacing w:before="0" w:after="0"/>
              <w:jc w:val="center"/>
              <w:rPr>
                <w:rFonts w:cs="Arial"/>
                <w:sz w:val="16"/>
                <w:lang w:eastAsia="en-AU"/>
              </w:rPr>
            </w:pPr>
          </w:p>
        </w:tc>
        <w:tc>
          <w:tcPr>
            <w:tcW w:w="356" w:type="pct"/>
            <w:noWrap/>
            <w:hideMark/>
          </w:tcPr>
          <w:p w14:paraId="5F22F589" w14:textId="77777777" w:rsidR="00574B0D" w:rsidRPr="00B930DE" w:rsidRDefault="00574B0D" w:rsidP="00B930DE">
            <w:pPr>
              <w:spacing w:before="0" w:after="0"/>
              <w:jc w:val="center"/>
              <w:rPr>
                <w:rFonts w:cs="Arial"/>
                <w:sz w:val="16"/>
              </w:rPr>
            </w:pPr>
            <w:r w:rsidRPr="00B930DE">
              <w:rPr>
                <w:rFonts w:cs="Arial"/>
                <w:sz w:val="16"/>
              </w:rPr>
              <w:t>-32.18</w:t>
            </w:r>
          </w:p>
        </w:tc>
        <w:tc>
          <w:tcPr>
            <w:tcW w:w="356" w:type="pct"/>
            <w:noWrap/>
            <w:hideMark/>
          </w:tcPr>
          <w:p w14:paraId="5F22F58A" w14:textId="77777777" w:rsidR="00574B0D" w:rsidRPr="00B930DE" w:rsidRDefault="00574B0D" w:rsidP="00B930DE">
            <w:pPr>
              <w:spacing w:before="0" w:after="0"/>
              <w:jc w:val="center"/>
              <w:rPr>
                <w:rFonts w:cs="Arial"/>
                <w:sz w:val="16"/>
                <w:lang w:eastAsia="en-AU"/>
              </w:rPr>
            </w:pPr>
          </w:p>
        </w:tc>
        <w:tc>
          <w:tcPr>
            <w:tcW w:w="327" w:type="pct"/>
          </w:tcPr>
          <w:p w14:paraId="5F22F58B" w14:textId="77777777" w:rsidR="00574B0D" w:rsidRPr="00B930DE" w:rsidRDefault="00574B0D" w:rsidP="00B930DE">
            <w:pPr>
              <w:spacing w:before="0" w:after="0"/>
              <w:jc w:val="center"/>
              <w:rPr>
                <w:rFonts w:cs="Arial"/>
                <w:sz w:val="16"/>
              </w:rPr>
            </w:pPr>
            <w:r w:rsidRPr="00B930DE">
              <w:rPr>
                <w:rFonts w:cs="Arial"/>
                <w:sz w:val="16"/>
              </w:rPr>
              <w:t>43.20</w:t>
            </w:r>
          </w:p>
        </w:tc>
        <w:tc>
          <w:tcPr>
            <w:tcW w:w="327" w:type="pct"/>
          </w:tcPr>
          <w:p w14:paraId="5F22F58C" w14:textId="77777777" w:rsidR="00574B0D" w:rsidRPr="00B930DE" w:rsidRDefault="00574B0D" w:rsidP="00B930DE">
            <w:pPr>
              <w:spacing w:before="0" w:after="0"/>
              <w:jc w:val="center"/>
              <w:rPr>
                <w:rFonts w:cs="Arial"/>
                <w:sz w:val="16"/>
                <w:lang w:eastAsia="en-AU"/>
              </w:rPr>
            </w:pPr>
          </w:p>
        </w:tc>
      </w:tr>
      <w:tr w:rsidR="00574B0D" w:rsidRPr="00B930DE" w14:paraId="5F22F59C" w14:textId="77777777" w:rsidTr="004A5BF7">
        <w:trPr>
          <w:trHeight w:val="300"/>
        </w:trPr>
        <w:tc>
          <w:tcPr>
            <w:tcW w:w="676" w:type="pct"/>
            <w:vMerge/>
            <w:hideMark/>
          </w:tcPr>
          <w:p w14:paraId="5F22F58E" w14:textId="77777777" w:rsidR="00574B0D" w:rsidRPr="00B930DE" w:rsidRDefault="00574B0D" w:rsidP="00B930DE">
            <w:pPr>
              <w:spacing w:before="0" w:after="0"/>
              <w:jc w:val="center"/>
              <w:rPr>
                <w:rFonts w:cs="Arial"/>
                <w:sz w:val="16"/>
                <w:lang w:eastAsia="en-AU"/>
              </w:rPr>
            </w:pPr>
          </w:p>
        </w:tc>
        <w:tc>
          <w:tcPr>
            <w:tcW w:w="341" w:type="pct"/>
            <w:noWrap/>
            <w:hideMark/>
          </w:tcPr>
          <w:p w14:paraId="5F22F58F" w14:textId="77777777" w:rsidR="00574B0D" w:rsidRPr="00B930DE" w:rsidRDefault="00574B0D" w:rsidP="00B930DE">
            <w:pPr>
              <w:spacing w:before="0" w:after="0"/>
              <w:jc w:val="center"/>
              <w:rPr>
                <w:rFonts w:cs="Arial"/>
                <w:sz w:val="16"/>
                <w:lang w:eastAsia="en-AU"/>
              </w:rPr>
            </w:pPr>
            <w:r w:rsidRPr="00B930DE">
              <w:rPr>
                <w:rFonts w:cs="Arial"/>
                <w:sz w:val="16"/>
                <w:lang w:eastAsia="en-AU"/>
              </w:rPr>
              <w:t>MR</w:t>
            </w:r>
          </w:p>
        </w:tc>
        <w:tc>
          <w:tcPr>
            <w:tcW w:w="325" w:type="pct"/>
            <w:noWrap/>
            <w:hideMark/>
          </w:tcPr>
          <w:p w14:paraId="5F22F590"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591"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592" w14:textId="77777777" w:rsidR="00574B0D" w:rsidRPr="00B930DE" w:rsidRDefault="00574B0D" w:rsidP="00B930DE">
            <w:pPr>
              <w:spacing w:before="0" w:after="0"/>
              <w:jc w:val="center"/>
              <w:rPr>
                <w:rFonts w:cs="Arial"/>
                <w:sz w:val="16"/>
                <w:lang w:eastAsia="en-AU"/>
              </w:rPr>
            </w:pPr>
            <w:r w:rsidRPr="00B930DE">
              <w:rPr>
                <w:rFonts w:cs="Arial"/>
                <w:sz w:val="16"/>
                <w:lang w:eastAsia="en-AU"/>
              </w:rPr>
              <w:t>0.02</w:t>
            </w:r>
          </w:p>
        </w:tc>
        <w:tc>
          <w:tcPr>
            <w:tcW w:w="325" w:type="pct"/>
            <w:noWrap/>
            <w:hideMark/>
          </w:tcPr>
          <w:p w14:paraId="5F22F593" w14:textId="77777777" w:rsidR="00574B0D" w:rsidRPr="00B930DE" w:rsidRDefault="00574B0D" w:rsidP="00B930DE">
            <w:pPr>
              <w:spacing w:before="0" w:after="0"/>
              <w:jc w:val="center"/>
              <w:rPr>
                <w:rFonts w:cs="Arial"/>
                <w:sz w:val="16"/>
                <w:lang w:eastAsia="en-AU"/>
              </w:rPr>
            </w:pPr>
            <w:r w:rsidRPr="00B930DE">
              <w:rPr>
                <w:rFonts w:cs="Arial"/>
                <w:sz w:val="16"/>
                <w:lang w:eastAsia="en-AU"/>
              </w:rPr>
              <w:t>0.21</w:t>
            </w:r>
          </w:p>
        </w:tc>
        <w:tc>
          <w:tcPr>
            <w:tcW w:w="325" w:type="pct"/>
            <w:noWrap/>
            <w:hideMark/>
          </w:tcPr>
          <w:p w14:paraId="5F22F594" w14:textId="77777777" w:rsidR="00574B0D" w:rsidRPr="00B930DE" w:rsidRDefault="00574B0D" w:rsidP="00B930DE">
            <w:pPr>
              <w:spacing w:before="0" w:after="0"/>
              <w:jc w:val="center"/>
              <w:rPr>
                <w:rFonts w:cs="Arial"/>
                <w:sz w:val="16"/>
                <w:lang w:eastAsia="en-AU"/>
              </w:rPr>
            </w:pPr>
            <w:r w:rsidRPr="00B930DE">
              <w:rPr>
                <w:rFonts w:cs="Arial"/>
                <w:sz w:val="16"/>
                <w:lang w:eastAsia="en-AU"/>
              </w:rPr>
              <w:t>0.69</w:t>
            </w:r>
          </w:p>
        </w:tc>
        <w:tc>
          <w:tcPr>
            <w:tcW w:w="325" w:type="pct"/>
            <w:noWrap/>
            <w:hideMark/>
          </w:tcPr>
          <w:p w14:paraId="5F22F595"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15" w:type="pct"/>
            <w:noWrap/>
            <w:hideMark/>
          </w:tcPr>
          <w:p w14:paraId="5F22F596" w14:textId="77777777" w:rsidR="00574B0D" w:rsidRPr="00B930DE" w:rsidRDefault="00574B0D" w:rsidP="00B930DE">
            <w:pPr>
              <w:spacing w:before="0" w:after="0"/>
              <w:jc w:val="center"/>
              <w:rPr>
                <w:rFonts w:cs="Arial"/>
                <w:sz w:val="16"/>
                <w:lang w:eastAsia="en-AU"/>
              </w:rPr>
            </w:pPr>
            <w:r w:rsidRPr="00B930DE">
              <w:rPr>
                <w:rFonts w:cs="Arial"/>
                <w:sz w:val="16"/>
              </w:rPr>
              <w:t>0.59</w:t>
            </w:r>
          </w:p>
        </w:tc>
        <w:tc>
          <w:tcPr>
            <w:tcW w:w="353" w:type="pct"/>
            <w:noWrap/>
            <w:hideMark/>
          </w:tcPr>
          <w:p w14:paraId="5F22F597" w14:textId="77777777" w:rsidR="00574B0D" w:rsidRPr="00B930DE" w:rsidRDefault="00574B0D" w:rsidP="00B930DE">
            <w:pPr>
              <w:spacing w:before="0" w:after="0"/>
              <w:jc w:val="center"/>
              <w:rPr>
                <w:rFonts w:cs="Arial"/>
                <w:sz w:val="16"/>
                <w:lang w:eastAsia="en-AU"/>
              </w:rPr>
            </w:pPr>
          </w:p>
        </w:tc>
        <w:tc>
          <w:tcPr>
            <w:tcW w:w="356" w:type="pct"/>
            <w:noWrap/>
          </w:tcPr>
          <w:p w14:paraId="5F22F598" w14:textId="77777777" w:rsidR="00574B0D" w:rsidRPr="00B930DE" w:rsidRDefault="00574B0D" w:rsidP="00B930DE">
            <w:pPr>
              <w:spacing w:before="0" w:after="0"/>
              <w:jc w:val="center"/>
              <w:rPr>
                <w:rFonts w:cs="Arial"/>
                <w:sz w:val="16"/>
              </w:rPr>
            </w:pPr>
            <w:r w:rsidRPr="00B930DE">
              <w:rPr>
                <w:rFonts w:cs="Arial"/>
                <w:sz w:val="16"/>
              </w:rPr>
              <w:t>14.25</w:t>
            </w:r>
          </w:p>
        </w:tc>
        <w:tc>
          <w:tcPr>
            <w:tcW w:w="356" w:type="pct"/>
            <w:noWrap/>
          </w:tcPr>
          <w:p w14:paraId="5F22F599" w14:textId="77777777" w:rsidR="00574B0D" w:rsidRPr="00B930DE" w:rsidRDefault="00574B0D" w:rsidP="00B930DE">
            <w:pPr>
              <w:spacing w:before="0" w:after="0"/>
              <w:jc w:val="center"/>
              <w:rPr>
                <w:rFonts w:cs="Arial"/>
                <w:sz w:val="16"/>
                <w:lang w:eastAsia="en-AU"/>
              </w:rPr>
            </w:pPr>
          </w:p>
        </w:tc>
        <w:tc>
          <w:tcPr>
            <w:tcW w:w="327" w:type="pct"/>
          </w:tcPr>
          <w:p w14:paraId="5F22F59A" w14:textId="77777777" w:rsidR="00574B0D" w:rsidRPr="00B930DE" w:rsidRDefault="00574B0D" w:rsidP="00B930DE">
            <w:pPr>
              <w:spacing w:before="0" w:after="0"/>
              <w:jc w:val="center"/>
              <w:rPr>
                <w:rFonts w:cs="Arial"/>
                <w:sz w:val="16"/>
              </w:rPr>
            </w:pPr>
            <w:r w:rsidRPr="00B930DE">
              <w:rPr>
                <w:rFonts w:cs="Arial"/>
                <w:sz w:val="16"/>
              </w:rPr>
              <w:t>8.17</w:t>
            </w:r>
          </w:p>
        </w:tc>
        <w:tc>
          <w:tcPr>
            <w:tcW w:w="327" w:type="pct"/>
          </w:tcPr>
          <w:p w14:paraId="5F22F59B" w14:textId="77777777" w:rsidR="00574B0D" w:rsidRPr="00B930DE" w:rsidRDefault="00574B0D" w:rsidP="00B930DE">
            <w:pPr>
              <w:spacing w:before="0" w:after="0"/>
              <w:jc w:val="center"/>
              <w:rPr>
                <w:rFonts w:cs="Arial"/>
                <w:sz w:val="16"/>
                <w:lang w:eastAsia="en-AU"/>
              </w:rPr>
            </w:pPr>
          </w:p>
        </w:tc>
      </w:tr>
      <w:tr w:rsidR="00574B0D" w:rsidRPr="00B930DE" w14:paraId="5F22F5AB" w14:textId="77777777" w:rsidTr="004A5BF7">
        <w:trPr>
          <w:trHeight w:val="300"/>
        </w:trPr>
        <w:tc>
          <w:tcPr>
            <w:tcW w:w="676" w:type="pct"/>
            <w:vMerge/>
            <w:hideMark/>
          </w:tcPr>
          <w:p w14:paraId="5F22F59D" w14:textId="77777777" w:rsidR="00574B0D" w:rsidRPr="00B930DE" w:rsidRDefault="00574B0D" w:rsidP="00B930DE">
            <w:pPr>
              <w:spacing w:before="0" w:after="0"/>
              <w:jc w:val="center"/>
              <w:rPr>
                <w:rFonts w:cs="Arial"/>
                <w:sz w:val="16"/>
                <w:lang w:eastAsia="en-AU"/>
              </w:rPr>
            </w:pPr>
          </w:p>
        </w:tc>
        <w:tc>
          <w:tcPr>
            <w:tcW w:w="341" w:type="pct"/>
            <w:noWrap/>
            <w:hideMark/>
          </w:tcPr>
          <w:p w14:paraId="5F22F59E" w14:textId="77777777" w:rsidR="00574B0D" w:rsidRPr="00B930DE" w:rsidRDefault="00574B0D" w:rsidP="00B930DE">
            <w:pPr>
              <w:spacing w:before="0" w:after="0"/>
              <w:jc w:val="center"/>
              <w:rPr>
                <w:rFonts w:cs="Arial"/>
                <w:sz w:val="16"/>
                <w:lang w:eastAsia="en-AU"/>
              </w:rPr>
            </w:pPr>
            <w:r w:rsidRPr="00B930DE">
              <w:rPr>
                <w:rFonts w:cs="Arial"/>
                <w:sz w:val="16"/>
                <w:lang w:eastAsia="en-AU"/>
              </w:rPr>
              <w:t>OIE</w:t>
            </w:r>
          </w:p>
        </w:tc>
        <w:tc>
          <w:tcPr>
            <w:tcW w:w="325" w:type="pct"/>
            <w:noWrap/>
            <w:hideMark/>
          </w:tcPr>
          <w:p w14:paraId="5F22F59F"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5A0"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5A1"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5A2" w14:textId="77777777" w:rsidR="00574B0D" w:rsidRPr="00B930DE" w:rsidRDefault="00574B0D" w:rsidP="00B930DE">
            <w:pPr>
              <w:spacing w:before="0" w:after="0"/>
              <w:jc w:val="center"/>
              <w:rPr>
                <w:rFonts w:cs="Arial"/>
                <w:sz w:val="16"/>
                <w:lang w:eastAsia="en-AU"/>
              </w:rPr>
            </w:pPr>
            <w:r w:rsidRPr="00B930DE">
              <w:rPr>
                <w:rFonts w:cs="Arial"/>
                <w:sz w:val="16"/>
                <w:lang w:eastAsia="en-AU"/>
              </w:rPr>
              <w:t>0.05</w:t>
            </w:r>
          </w:p>
        </w:tc>
        <w:tc>
          <w:tcPr>
            <w:tcW w:w="325" w:type="pct"/>
            <w:noWrap/>
            <w:hideMark/>
          </w:tcPr>
          <w:p w14:paraId="5F22F5A3" w14:textId="77777777" w:rsidR="00574B0D" w:rsidRPr="00B930DE" w:rsidRDefault="00574B0D" w:rsidP="00B930DE">
            <w:pPr>
              <w:spacing w:before="0" w:after="0"/>
              <w:jc w:val="center"/>
              <w:rPr>
                <w:rFonts w:cs="Arial"/>
                <w:sz w:val="16"/>
                <w:lang w:eastAsia="en-AU"/>
              </w:rPr>
            </w:pPr>
            <w:r w:rsidRPr="00B930DE">
              <w:rPr>
                <w:rFonts w:cs="Arial"/>
                <w:sz w:val="16"/>
                <w:lang w:eastAsia="en-AU"/>
              </w:rPr>
              <w:t>0.31</w:t>
            </w:r>
          </w:p>
        </w:tc>
        <w:tc>
          <w:tcPr>
            <w:tcW w:w="325" w:type="pct"/>
            <w:noWrap/>
            <w:hideMark/>
          </w:tcPr>
          <w:p w14:paraId="5F22F5A4" w14:textId="77777777" w:rsidR="00574B0D" w:rsidRPr="00B930DE" w:rsidRDefault="00574B0D" w:rsidP="00B930DE">
            <w:pPr>
              <w:spacing w:before="0" w:after="0"/>
              <w:jc w:val="center"/>
              <w:rPr>
                <w:rFonts w:cs="Arial"/>
                <w:sz w:val="16"/>
                <w:lang w:eastAsia="en-AU"/>
              </w:rPr>
            </w:pPr>
            <w:r w:rsidRPr="00B930DE">
              <w:rPr>
                <w:rFonts w:cs="Arial"/>
                <w:sz w:val="16"/>
                <w:lang w:eastAsia="en-AU"/>
              </w:rPr>
              <w:t>0.43</w:t>
            </w:r>
          </w:p>
        </w:tc>
        <w:tc>
          <w:tcPr>
            <w:tcW w:w="315" w:type="pct"/>
            <w:noWrap/>
            <w:hideMark/>
          </w:tcPr>
          <w:p w14:paraId="5F22F5A5" w14:textId="77777777" w:rsidR="00574B0D" w:rsidRPr="00B930DE" w:rsidRDefault="00574B0D" w:rsidP="00B930DE">
            <w:pPr>
              <w:spacing w:before="0" w:after="0"/>
              <w:jc w:val="center"/>
              <w:rPr>
                <w:rFonts w:cs="Arial"/>
                <w:sz w:val="16"/>
                <w:lang w:eastAsia="en-AU"/>
              </w:rPr>
            </w:pPr>
            <w:r w:rsidRPr="00B930DE">
              <w:rPr>
                <w:rFonts w:cs="Arial"/>
                <w:sz w:val="16"/>
              </w:rPr>
              <w:t>0.09</w:t>
            </w:r>
          </w:p>
        </w:tc>
        <w:tc>
          <w:tcPr>
            <w:tcW w:w="353" w:type="pct"/>
            <w:noWrap/>
            <w:hideMark/>
          </w:tcPr>
          <w:p w14:paraId="5F22F5A6" w14:textId="77777777" w:rsidR="00574B0D" w:rsidRPr="00B930DE" w:rsidRDefault="00574B0D" w:rsidP="00B930DE">
            <w:pPr>
              <w:spacing w:before="0" w:after="0"/>
              <w:jc w:val="center"/>
              <w:rPr>
                <w:rFonts w:cs="Arial"/>
                <w:sz w:val="16"/>
                <w:lang w:eastAsia="en-AU"/>
              </w:rPr>
            </w:pPr>
          </w:p>
        </w:tc>
        <w:tc>
          <w:tcPr>
            <w:tcW w:w="356" w:type="pct"/>
            <w:noWrap/>
          </w:tcPr>
          <w:p w14:paraId="5F22F5A7" w14:textId="77777777" w:rsidR="00574B0D" w:rsidRPr="00B930DE" w:rsidRDefault="00574B0D" w:rsidP="00B930DE">
            <w:pPr>
              <w:spacing w:before="0" w:after="0"/>
              <w:jc w:val="center"/>
              <w:rPr>
                <w:rFonts w:cs="Arial"/>
                <w:sz w:val="16"/>
              </w:rPr>
            </w:pPr>
            <w:r w:rsidRPr="00B930DE">
              <w:rPr>
                <w:rFonts w:cs="Arial"/>
                <w:sz w:val="16"/>
              </w:rPr>
              <w:t>3.28</w:t>
            </w:r>
          </w:p>
        </w:tc>
        <w:tc>
          <w:tcPr>
            <w:tcW w:w="356" w:type="pct"/>
            <w:noWrap/>
          </w:tcPr>
          <w:p w14:paraId="5F22F5A8" w14:textId="77777777" w:rsidR="00574B0D" w:rsidRPr="00B930DE" w:rsidRDefault="00574B0D" w:rsidP="00B930DE">
            <w:pPr>
              <w:spacing w:before="0" w:after="0"/>
              <w:jc w:val="center"/>
              <w:rPr>
                <w:rFonts w:cs="Arial"/>
                <w:sz w:val="16"/>
                <w:lang w:eastAsia="en-AU"/>
              </w:rPr>
            </w:pPr>
          </w:p>
        </w:tc>
        <w:tc>
          <w:tcPr>
            <w:tcW w:w="327" w:type="pct"/>
          </w:tcPr>
          <w:p w14:paraId="5F22F5A9" w14:textId="77777777" w:rsidR="00574B0D" w:rsidRPr="00B930DE" w:rsidRDefault="00574B0D" w:rsidP="00B930DE">
            <w:pPr>
              <w:spacing w:before="0" w:after="0"/>
              <w:jc w:val="center"/>
              <w:rPr>
                <w:rFonts w:cs="Arial"/>
                <w:sz w:val="16"/>
              </w:rPr>
            </w:pPr>
            <w:r w:rsidRPr="00B930DE">
              <w:rPr>
                <w:rFonts w:cs="Arial"/>
                <w:sz w:val="16"/>
              </w:rPr>
              <w:t>1.07</w:t>
            </w:r>
          </w:p>
        </w:tc>
        <w:tc>
          <w:tcPr>
            <w:tcW w:w="327" w:type="pct"/>
          </w:tcPr>
          <w:p w14:paraId="5F22F5AA" w14:textId="77777777" w:rsidR="00574B0D" w:rsidRPr="00B930DE" w:rsidRDefault="00574B0D" w:rsidP="00B930DE">
            <w:pPr>
              <w:spacing w:before="0" w:after="0"/>
              <w:jc w:val="center"/>
              <w:rPr>
                <w:rFonts w:cs="Arial"/>
                <w:sz w:val="16"/>
                <w:lang w:eastAsia="en-AU"/>
              </w:rPr>
            </w:pPr>
          </w:p>
        </w:tc>
      </w:tr>
      <w:tr w:rsidR="00574B0D" w:rsidRPr="00B930DE" w14:paraId="5F22F5BA" w14:textId="77777777" w:rsidTr="004A5BF7">
        <w:trPr>
          <w:trHeight w:val="300"/>
        </w:trPr>
        <w:tc>
          <w:tcPr>
            <w:tcW w:w="676" w:type="pct"/>
            <w:vMerge/>
            <w:hideMark/>
          </w:tcPr>
          <w:p w14:paraId="5F22F5AC" w14:textId="77777777" w:rsidR="00574B0D" w:rsidRPr="00B930DE" w:rsidRDefault="00574B0D" w:rsidP="00B930DE">
            <w:pPr>
              <w:spacing w:before="0" w:after="0"/>
              <w:jc w:val="center"/>
              <w:rPr>
                <w:rFonts w:cs="Arial"/>
                <w:sz w:val="16"/>
                <w:lang w:eastAsia="en-AU"/>
              </w:rPr>
            </w:pPr>
          </w:p>
        </w:tc>
        <w:tc>
          <w:tcPr>
            <w:tcW w:w="341" w:type="pct"/>
            <w:noWrap/>
            <w:hideMark/>
          </w:tcPr>
          <w:p w14:paraId="5F22F5AD" w14:textId="77777777" w:rsidR="00574B0D" w:rsidRPr="00B930DE" w:rsidRDefault="00574B0D" w:rsidP="00B930DE">
            <w:pPr>
              <w:spacing w:before="0" w:after="0"/>
              <w:jc w:val="center"/>
              <w:rPr>
                <w:rFonts w:cs="Arial"/>
                <w:sz w:val="16"/>
                <w:lang w:eastAsia="en-AU"/>
              </w:rPr>
            </w:pPr>
            <w:r w:rsidRPr="00B930DE">
              <w:rPr>
                <w:rFonts w:cs="Arial"/>
                <w:sz w:val="16"/>
                <w:lang w:eastAsia="en-AU"/>
              </w:rPr>
              <w:t>PAN</w:t>
            </w:r>
          </w:p>
        </w:tc>
        <w:tc>
          <w:tcPr>
            <w:tcW w:w="325" w:type="pct"/>
            <w:noWrap/>
            <w:hideMark/>
          </w:tcPr>
          <w:p w14:paraId="5F22F5AE"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5AF"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5B0"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5B1" w14:textId="77777777" w:rsidR="00574B0D" w:rsidRPr="00B930DE" w:rsidRDefault="00574B0D" w:rsidP="00B930DE">
            <w:pPr>
              <w:spacing w:before="0" w:after="0"/>
              <w:jc w:val="center"/>
              <w:rPr>
                <w:rFonts w:cs="Arial"/>
                <w:sz w:val="16"/>
                <w:lang w:eastAsia="en-AU"/>
              </w:rPr>
            </w:pPr>
            <w:r w:rsidRPr="00B930DE">
              <w:rPr>
                <w:rFonts w:cs="Arial"/>
                <w:sz w:val="16"/>
                <w:lang w:eastAsia="en-AU"/>
              </w:rPr>
              <w:t>0.05</w:t>
            </w:r>
          </w:p>
        </w:tc>
        <w:tc>
          <w:tcPr>
            <w:tcW w:w="325" w:type="pct"/>
            <w:noWrap/>
            <w:hideMark/>
          </w:tcPr>
          <w:p w14:paraId="5F22F5B2" w14:textId="77777777" w:rsidR="00574B0D" w:rsidRPr="00B930DE" w:rsidRDefault="00574B0D" w:rsidP="00B930DE">
            <w:pPr>
              <w:spacing w:before="0" w:after="0"/>
              <w:jc w:val="center"/>
              <w:rPr>
                <w:rFonts w:cs="Arial"/>
                <w:sz w:val="16"/>
                <w:lang w:eastAsia="en-AU"/>
              </w:rPr>
            </w:pPr>
            <w:r w:rsidRPr="00B930DE">
              <w:rPr>
                <w:rFonts w:cs="Arial"/>
                <w:sz w:val="16"/>
                <w:lang w:eastAsia="en-AU"/>
              </w:rPr>
              <w:t>0.51</w:t>
            </w:r>
          </w:p>
        </w:tc>
        <w:tc>
          <w:tcPr>
            <w:tcW w:w="325" w:type="pct"/>
            <w:noWrap/>
            <w:hideMark/>
          </w:tcPr>
          <w:p w14:paraId="5F22F5B3" w14:textId="77777777" w:rsidR="00574B0D" w:rsidRPr="00B930DE" w:rsidRDefault="00574B0D" w:rsidP="00B930DE">
            <w:pPr>
              <w:spacing w:before="0" w:after="0"/>
              <w:jc w:val="center"/>
              <w:rPr>
                <w:rFonts w:cs="Arial"/>
                <w:sz w:val="16"/>
                <w:lang w:eastAsia="en-AU"/>
              </w:rPr>
            </w:pPr>
            <w:r w:rsidRPr="00B930DE">
              <w:rPr>
                <w:rFonts w:cs="Arial"/>
                <w:sz w:val="16"/>
                <w:lang w:eastAsia="en-AU"/>
              </w:rPr>
              <w:t>0.35</w:t>
            </w:r>
          </w:p>
        </w:tc>
        <w:tc>
          <w:tcPr>
            <w:tcW w:w="315" w:type="pct"/>
            <w:noWrap/>
            <w:hideMark/>
          </w:tcPr>
          <w:p w14:paraId="5F22F5B4" w14:textId="77777777" w:rsidR="00574B0D" w:rsidRPr="00B930DE" w:rsidRDefault="00574B0D" w:rsidP="00B930DE">
            <w:pPr>
              <w:spacing w:before="0" w:after="0"/>
              <w:jc w:val="center"/>
              <w:rPr>
                <w:rFonts w:cs="Arial"/>
                <w:sz w:val="16"/>
                <w:lang w:eastAsia="en-AU"/>
              </w:rPr>
            </w:pPr>
            <w:r w:rsidRPr="00B930DE">
              <w:rPr>
                <w:rFonts w:cs="Arial"/>
                <w:sz w:val="16"/>
              </w:rPr>
              <w:t>0.20</w:t>
            </w:r>
          </w:p>
        </w:tc>
        <w:tc>
          <w:tcPr>
            <w:tcW w:w="353" w:type="pct"/>
            <w:noWrap/>
            <w:hideMark/>
          </w:tcPr>
          <w:p w14:paraId="5F22F5B5" w14:textId="77777777" w:rsidR="00574B0D" w:rsidRPr="00B930DE" w:rsidRDefault="00574B0D" w:rsidP="00B930DE">
            <w:pPr>
              <w:spacing w:before="0" w:after="0"/>
              <w:jc w:val="center"/>
              <w:rPr>
                <w:rFonts w:cs="Arial"/>
                <w:sz w:val="16"/>
                <w:lang w:eastAsia="en-AU"/>
              </w:rPr>
            </w:pPr>
          </w:p>
        </w:tc>
        <w:tc>
          <w:tcPr>
            <w:tcW w:w="356" w:type="pct"/>
            <w:noWrap/>
          </w:tcPr>
          <w:p w14:paraId="5F22F5B6" w14:textId="77777777" w:rsidR="00574B0D" w:rsidRPr="00B930DE" w:rsidRDefault="00574B0D" w:rsidP="00B930DE">
            <w:pPr>
              <w:spacing w:before="0" w:after="0"/>
              <w:jc w:val="center"/>
              <w:rPr>
                <w:rFonts w:cs="Arial"/>
                <w:sz w:val="16"/>
              </w:rPr>
            </w:pPr>
            <w:r w:rsidRPr="00B930DE">
              <w:rPr>
                <w:rFonts w:cs="Arial"/>
                <w:sz w:val="16"/>
              </w:rPr>
              <w:t>-19.69</w:t>
            </w:r>
          </w:p>
        </w:tc>
        <w:tc>
          <w:tcPr>
            <w:tcW w:w="356" w:type="pct"/>
            <w:noWrap/>
          </w:tcPr>
          <w:p w14:paraId="5F22F5B7" w14:textId="77777777" w:rsidR="00574B0D" w:rsidRPr="00B930DE" w:rsidRDefault="00574B0D" w:rsidP="00B930DE">
            <w:pPr>
              <w:spacing w:before="0" w:after="0"/>
              <w:jc w:val="center"/>
              <w:rPr>
                <w:rFonts w:cs="Arial"/>
                <w:sz w:val="16"/>
                <w:lang w:eastAsia="en-AU"/>
              </w:rPr>
            </w:pPr>
          </w:p>
        </w:tc>
        <w:tc>
          <w:tcPr>
            <w:tcW w:w="327" w:type="pct"/>
          </w:tcPr>
          <w:p w14:paraId="5F22F5B8" w14:textId="77777777" w:rsidR="00574B0D" w:rsidRPr="00B930DE" w:rsidRDefault="00574B0D" w:rsidP="00B930DE">
            <w:pPr>
              <w:spacing w:before="0" w:after="0"/>
              <w:jc w:val="center"/>
              <w:rPr>
                <w:rFonts w:cs="Arial"/>
                <w:sz w:val="16"/>
              </w:rPr>
            </w:pPr>
            <w:r w:rsidRPr="00B930DE">
              <w:rPr>
                <w:rFonts w:cs="Arial"/>
                <w:sz w:val="16"/>
              </w:rPr>
              <w:t>44.82</w:t>
            </w:r>
          </w:p>
        </w:tc>
        <w:tc>
          <w:tcPr>
            <w:tcW w:w="327" w:type="pct"/>
          </w:tcPr>
          <w:p w14:paraId="5F22F5B9" w14:textId="77777777" w:rsidR="00574B0D" w:rsidRPr="00B930DE" w:rsidRDefault="00574B0D" w:rsidP="00B930DE">
            <w:pPr>
              <w:spacing w:before="0" w:after="0"/>
              <w:jc w:val="center"/>
              <w:rPr>
                <w:rFonts w:cs="Arial"/>
                <w:sz w:val="16"/>
                <w:lang w:eastAsia="en-AU"/>
              </w:rPr>
            </w:pPr>
          </w:p>
        </w:tc>
      </w:tr>
      <w:tr w:rsidR="00574B0D" w:rsidRPr="00B930DE" w14:paraId="5F22F5C9" w14:textId="77777777" w:rsidTr="004A5BF7">
        <w:trPr>
          <w:trHeight w:val="300"/>
        </w:trPr>
        <w:tc>
          <w:tcPr>
            <w:tcW w:w="676" w:type="pct"/>
            <w:vMerge/>
            <w:hideMark/>
          </w:tcPr>
          <w:p w14:paraId="5F22F5BB" w14:textId="77777777" w:rsidR="00574B0D" w:rsidRPr="00B930DE" w:rsidRDefault="00574B0D" w:rsidP="00B930DE">
            <w:pPr>
              <w:spacing w:before="0" w:after="0"/>
              <w:jc w:val="center"/>
              <w:rPr>
                <w:rFonts w:cs="Arial"/>
                <w:sz w:val="16"/>
                <w:lang w:eastAsia="en-AU"/>
              </w:rPr>
            </w:pPr>
          </w:p>
        </w:tc>
        <w:tc>
          <w:tcPr>
            <w:tcW w:w="341" w:type="pct"/>
            <w:noWrap/>
            <w:hideMark/>
          </w:tcPr>
          <w:p w14:paraId="5F22F5BC" w14:textId="77777777" w:rsidR="00574B0D" w:rsidRPr="00B930DE" w:rsidRDefault="00574B0D" w:rsidP="00B930DE">
            <w:pPr>
              <w:spacing w:before="0" w:after="0"/>
              <w:jc w:val="center"/>
              <w:rPr>
                <w:rFonts w:cs="Arial"/>
                <w:sz w:val="16"/>
                <w:lang w:eastAsia="en-AU"/>
              </w:rPr>
            </w:pPr>
            <w:r w:rsidRPr="00B930DE">
              <w:rPr>
                <w:rFonts w:cs="Arial"/>
                <w:sz w:val="16"/>
                <w:lang w:eastAsia="en-AU"/>
              </w:rPr>
              <w:t>POIW</w:t>
            </w:r>
          </w:p>
        </w:tc>
        <w:tc>
          <w:tcPr>
            <w:tcW w:w="325" w:type="pct"/>
            <w:noWrap/>
            <w:hideMark/>
          </w:tcPr>
          <w:p w14:paraId="5F22F5BD"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5BE"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5BF"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5C0" w14:textId="77777777" w:rsidR="00574B0D" w:rsidRPr="00B930DE" w:rsidRDefault="00574B0D" w:rsidP="00B930DE">
            <w:pPr>
              <w:spacing w:before="0" w:after="0"/>
              <w:jc w:val="center"/>
              <w:rPr>
                <w:rFonts w:cs="Arial"/>
                <w:sz w:val="16"/>
                <w:lang w:eastAsia="en-AU"/>
              </w:rPr>
            </w:pPr>
            <w:r w:rsidRPr="00B930DE">
              <w:rPr>
                <w:rFonts w:cs="Arial"/>
                <w:sz w:val="16"/>
                <w:lang w:eastAsia="en-AU"/>
              </w:rPr>
              <w:t>0.06</w:t>
            </w:r>
          </w:p>
        </w:tc>
        <w:tc>
          <w:tcPr>
            <w:tcW w:w="325" w:type="pct"/>
            <w:noWrap/>
            <w:hideMark/>
          </w:tcPr>
          <w:p w14:paraId="5F22F5C1" w14:textId="77777777" w:rsidR="00574B0D" w:rsidRPr="00B930DE" w:rsidRDefault="00574B0D" w:rsidP="00B930DE">
            <w:pPr>
              <w:spacing w:before="0" w:after="0"/>
              <w:jc w:val="center"/>
              <w:rPr>
                <w:rFonts w:cs="Arial"/>
                <w:sz w:val="16"/>
                <w:lang w:eastAsia="en-AU"/>
              </w:rPr>
            </w:pPr>
            <w:r w:rsidRPr="00B930DE">
              <w:rPr>
                <w:rFonts w:cs="Arial"/>
                <w:sz w:val="16"/>
                <w:lang w:eastAsia="en-AU"/>
              </w:rPr>
              <w:t>0.32</w:t>
            </w:r>
          </w:p>
        </w:tc>
        <w:tc>
          <w:tcPr>
            <w:tcW w:w="325" w:type="pct"/>
            <w:noWrap/>
            <w:hideMark/>
          </w:tcPr>
          <w:p w14:paraId="5F22F5C2" w14:textId="77777777" w:rsidR="00574B0D" w:rsidRPr="00B930DE" w:rsidRDefault="00574B0D" w:rsidP="00B930DE">
            <w:pPr>
              <w:spacing w:before="0" w:after="0"/>
              <w:jc w:val="center"/>
              <w:rPr>
                <w:rFonts w:cs="Arial"/>
                <w:sz w:val="16"/>
                <w:lang w:eastAsia="en-AU"/>
              </w:rPr>
            </w:pPr>
            <w:r w:rsidRPr="00B930DE">
              <w:rPr>
                <w:rFonts w:cs="Arial"/>
                <w:sz w:val="16"/>
                <w:lang w:eastAsia="en-AU"/>
              </w:rPr>
              <w:t>0.46</w:t>
            </w:r>
          </w:p>
        </w:tc>
        <w:tc>
          <w:tcPr>
            <w:tcW w:w="315" w:type="pct"/>
            <w:noWrap/>
            <w:hideMark/>
          </w:tcPr>
          <w:p w14:paraId="5F22F5C3" w14:textId="77777777" w:rsidR="00574B0D" w:rsidRPr="00B930DE" w:rsidRDefault="00574B0D" w:rsidP="00B930DE">
            <w:pPr>
              <w:spacing w:before="0" w:after="0"/>
              <w:jc w:val="center"/>
              <w:rPr>
                <w:rFonts w:cs="Arial"/>
                <w:sz w:val="16"/>
                <w:lang w:eastAsia="en-AU"/>
              </w:rPr>
            </w:pPr>
            <w:r w:rsidRPr="00B930DE">
              <w:rPr>
                <w:rFonts w:cs="Arial"/>
                <w:sz w:val="16"/>
              </w:rPr>
              <w:t>0.11</w:t>
            </w:r>
          </w:p>
        </w:tc>
        <w:tc>
          <w:tcPr>
            <w:tcW w:w="353" w:type="pct"/>
            <w:noWrap/>
            <w:hideMark/>
          </w:tcPr>
          <w:p w14:paraId="5F22F5C4" w14:textId="77777777" w:rsidR="00574B0D" w:rsidRPr="00B930DE" w:rsidRDefault="00574B0D" w:rsidP="00B930DE">
            <w:pPr>
              <w:spacing w:before="0" w:after="0"/>
              <w:jc w:val="center"/>
              <w:rPr>
                <w:rFonts w:cs="Arial"/>
                <w:sz w:val="16"/>
                <w:lang w:eastAsia="en-AU"/>
              </w:rPr>
            </w:pPr>
          </w:p>
        </w:tc>
        <w:tc>
          <w:tcPr>
            <w:tcW w:w="356" w:type="pct"/>
            <w:noWrap/>
          </w:tcPr>
          <w:p w14:paraId="5F22F5C5" w14:textId="77777777" w:rsidR="00574B0D" w:rsidRPr="00B930DE" w:rsidRDefault="00574B0D" w:rsidP="00B930DE">
            <w:pPr>
              <w:spacing w:before="0" w:after="0"/>
              <w:jc w:val="center"/>
              <w:rPr>
                <w:rFonts w:cs="Arial"/>
                <w:sz w:val="16"/>
              </w:rPr>
            </w:pPr>
            <w:r w:rsidRPr="00B930DE">
              <w:rPr>
                <w:rFonts w:cs="Arial"/>
                <w:sz w:val="16"/>
              </w:rPr>
              <w:t>-0.11</w:t>
            </w:r>
          </w:p>
        </w:tc>
        <w:tc>
          <w:tcPr>
            <w:tcW w:w="356" w:type="pct"/>
            <w:noWrap/>
          </w:tcPr>
          <w:p w14:paraId="5F22F5C6" w14:textId="77777777" w:rsidR="00574B0D" w:rsidRPr="00B930DE" w:rsidRDefault="00574B0D" w:rsidP="00B930DE">
            <w:pPr>
              <w:spacing w:before="0" w:after="0"/>
              <w:jc w:val="center"/>
              <w:rPr>
                <w:rFonts w:cs="Arial"/>
                <w:sz w:val="16"/>
                <w:lang w:eastAsia="en-AU"/>
              </w:rPr>
            </w:pPr>
          </w:p>
        </w:tc>
        <w:tc>
          <w:tcPr>
            <w:tcW w:w="327" w:type="pct"/>
          </w:tcPr>
          <w:p w14:paraId="5F22F5C7" w14:textId="77777777" w:rsidR="00574B0D" w:rsidRPr="00B930DE" w:rsidRDefault="00574B0D" w:rsidP="00B930DE">
            <w:pPr>
              <w:spacing w:before="0" w:after="0"/>
              <w:jc w:val="center"/>
              <w:rPr>
                <w:rFonts w:cs="Arial"/>
                <w:sz w:val="16"/>
              </w:rPr>
            </w:pPr>
            <w:r w:rsidRPr="00B930DE">
              <w:rPr>
                <w:rFonts w:cs="Arial"/>
                <w:sz w:val="16"/>
              </w:rPr>
              <w:t>0.05</w:t>
            </w:r>
          </w:p>
        </w:tc>
        <w:tc>
          <w:tcPr>
            <w:tcW w:w="327" w:type="pct"/>
          </w:tcPr>
          <w:p w14:paraId="5F22F5C8" w14:textId="77777777" w:rsidR="00574B0D" w:rsidRPr="00B930DE" w:rsidRDefault="00574B0D" w:rsidP="00B930DE">
            <w:pPr>
              <w:spacing w:before="0" w:after="0"/>
              <w:jc w:val="center"/>
              <w:rPr>
                <w:rFonts w:cs="Arial"/>
                <w:sz w:val="16"/>
                <w:lang w:eastAsia="en-AU"/>
              </w:rPr>
            </w:pPr>
          </w:p>
        </w:tc>
      </w:tr>
      <w:tr w:rsidR="00574B0D" w:rsidRPr="00B930DE" w14:paraId="5F22F5D9" w14:textId="77777777" w:rsidTr="004A5BF7">
        <w:trPr>
          <w:trHeight w:val="300"/>
        </w:trPr>
        <w:tc>
          <w:tcPr>
            <w:tcW w:w="676" w:type="pct"/>
            <w:vMerge w:val="restart"/>
            <w:hideMark/>
          </w:tcPr>
          <w:p w14:paraId="5F22F5CA" w14:textId="77777777" w:rsidR="00574B0D" w:rsidRPr="00B930DE" w:rsidRDefault="00574B0D" w:rsidP="00B930DE">
            <w:pPr>
              <w:spacing w:before="0" w:after="0"/>
              <w:jc w:val="center"/>
              <w:rPr>
                <w:rFonts w:cs="Arial"/>
                <w:sz w:val="16"/>
                <w:lang w:eastAsia="en-AU"/>
              </w:rPr>
            </w:pPr>
            <w:r w:rsidRPr="00B930DE">
              <w:rPr>
                <w:rFonts w:cs="Arial"/>
                <w:sz w:val="16"/>
                <w:lang w:eastAsia="en-AU"/>
              </w:rPr>
              <w:t>Fitzroy</w:t>
            </w:r>
          </w:p>
          <w:p w14:paraId="5F22F5CB" w14:textId="77777777" w:rsidR="00574B0D" w:rsidRPr="00B930DE" w:rsidRDefault="00574B0D" w:rsidP="00B930DE">
            <w:pPr>
              <w:spacing w:before="0" w:after="0"/>
              <w:jc w:val="center"/>
              <w:rPr>
                <w:rFonts w:cs="Arial"/>
                <w:sz w:val="16"/>
                <w:lang w:eastAsia="en-AU"/>
              </w:rPr>
            </w:pPr>
            <w:r w:rsidRPr="00B930DE">
              <w:rPr>
                <w:rFonts w:cs="Arial"/>
                <w:sz w:val="16"/>
                <w:lang w:eastAsia="en-AU"/>
              </w:rPr>
              <w:t>(Fi)</w:t>
            </w:r>
          </w:p>
        </w:tc>
        <w:tc>
          <w:tcPr>
            <w:tcW w:w="341" w:type="pct"/>
            <w:noWrap/>
            <w:hideMark/>
          </w:tcPr>
          <w:p w14:paraId="5F22F5CC" w14:textId="77777777" w:rsidR="00574B0D" w:rsidRPr="00B930DE" w:rsidRDefault="00574B0D" w:rsidP="00B930DE">
            <w:pPr>
              <w:spacing w:before="0" w:after="0"/>
              <w:jc w:val="center"/>
              <w:rPr>
                <w:rFonts w:cs="Arial"/>
                <w:sz w:val="16"/>
                <w:lang w:eastAsia="en-AU"/>
              </w:rPr>
            </w:pPr>
            <w:r w:rsidRPr="00B930DE">
              <w:rPr>
                <w:rFonts w:cs="Arial"/>
                <w:sz w:val="16"/>
                <w:lang w:eastAsia="en-AU"/>
              </w:rPr>
              <w:t>BI</w:t>
            </w:r>
          </w:p>
        </w:tc>
        <w:tc>
          <w:tcPr>
            <w:tcW w:w="325" w:type="pct"/>
            <w:noWrap/>
            <w:hideMark/>
          </w:tcPr>
          <w:p w14:paraId="5F22F5CD"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5CE"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5CF"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5D0" w14:textId="77777777" w:rsidR="00574B0D" w:rsidRPr="00B930DE" w:rsidRDefault="00574B0D" w:rsidP="00B930DE">
            <w:pPr>
              <w:spacing w:before="0" w:after="0"/>
              <w:jc w:val="center"/>
              <w:rPr>
                <w:rFonts w:cs="Arial"/>
                <w:sz w:val="16"/>
                <w:lang w:eastAsia="en-AU"/>
              </w:rPr>
            </w:pPr>
            <w:r w:rsidRPr="00B930DE">
              <w:rPr>
                <w:rFonts w:cs="Arial"/>
                <w:sz w:val="16"/>
                <w:lang w:eastAsia="en-AU"/>
              </w:rPr>
              <w:t>0.05</w:t>
            </w:r>
          </w:p>
        </w:tc>
        <w:tc>
          <w:tcPr>
            <w:tcW w:w="325" w:type="pct"/>
            <w:noWrap/>
            <w:hideMark/>
          </w:tcPr>
          <w:p w14:paraId="5F22F5D1" w14:textId="77777777" w:rsidR="00574B0D" w:rsidRPr="00B930DE" w:rsidRDefault="00574B0D" w:rsidP="00B930DE">
            <w:pPr>
              <w:spacing w:before="0" w:after="0"/>
              <w:jc w:val="center"/>
              <w:rPr>
                <w:rFonts w:cs="Arial"/>
                <w:sz w:val="16"/>
                <w:lang w:eastAsia="en-AU"/>
              </w:rPr>
            </w:pPr>
            <w:r w:rsidRPr="00B930DE">
              <w:rPr>
                <w:rFonts w:cs="Arial"/>
                <w:sz w:val="16"/>
                <w:lang w:eastAsia="en-AU"/>
              </w:rPr>
              <w:t>0.22</w:t>
            </w:r>
          </w:p>
        </w:tc>
        <w:tc>
          <w:tcPr>
            <w:tcW w:w="325" w:type="pct"/>
            <w:noWrap/>
            <w:hideMark/>
          </w:tcPr>
          <w:p w14:paraId="5F22F5D2" w14:textId="77777777" w:rsidR="00574B0D" w:rsidRPr="00B930DE" w:rsidRDefault="00574B0D" w:rsidP="00B930DE">
            <w:pPr>
              <w:spacing w:before="0" w:after="0"/>
              <w:jc w:val="center"/>
              <w:rPr>
                <w:rFonts w:cs="Arial"/>
                <w:sz w:val="16"/>
                <w:lang w:eastAsia="en-AU"/>
              </w:rPr>
            </w:pPr>
            <w:r w:rsidRPr="00B930DE">
              <w:rPr>
                <w:rFonts w:cs="Arial"/>
                <w:sz w:val="16"/>
                <w:lang w:eastAsia="en-AU"/>
              </w:rPr>
              <w:t>0.42</w:t>
            </w:r>
          </w:p>
        </w:tc>
        <w:tc>
          <w:tcPr>
            <w:tcW w:w="315" w:type="pct"/>
            <w:noWrap/>
            <w:hideMark/>
          </w:tcPr>
          <w:p w14:paraId="5F22F5D3" w14:textId="77777777" w:rsidR="00574B0D" w:rsidRPr="00B930DE" w:rsidRDefault="00574B0D" w:rsidP="00B930DE">
            <w:pPr>
              <w:spacing w:before="0" w:after="0"/>
              <w:jc w:val="center"/>
              <w:rPr>
                <w:rFonts w:cs="Arial"/>
                <w:sz w:val="16"/>
                <w:lang w:eastAsia="en-AU"/>
              </w:rPr>
            </w:pPr>
            <w:r w:rsidRPr="00B930DE">
              <w:rPr>
                <w:rFonts w:cs="Arial"/>
                <w:sz w:val="16"/>
              </w:rPr>
              <w:t>0.13</w:t>
            </w:r>
          </w:p>
        </w:tc>
        <w:tc>
          <w:tcPr>
            <w:tcW w:w="353" w:type="pct"/>
            <w:noWrap/>
            <w:hideMark/>
          </w:tcPr>
          <w:p w14:paraId="5F22F5D4" w14:textId="77777777" w:rsidR="00574B0D" w:rsidRPr="00B930DE" w:rsidRDefault="00574B0D" w:rsidP="00B930DE">
            <w:pPr>
              <w:spacing w:before="0" w:after="0"/>
              <w:jc w:val="center"/>
              <w:rPr>
                <w:rFonts w:cs="Arial"/>
                <w:sz w:val="16"/>
                <w:lang w:eastAsia="en-AU"/>
              </w:rPr>
            </w:pPr>
            <w:r w:rsidRPr="00B930DE">
              <w:rPr>
                <w:rFonts w:cs="Arial"/>
                <w:sz w:val="16"/>
                <w:lang w:eastAsia="en-AU"/>
              </w:rPr>
              <w:t>0.58</w:t>
            </w:r>
          </w:p>
        </w:tc>
        <w:tc>
          <w:tcPr>
            <w:tcW w:w="356" w:type="pct"/>
            <w:noWrap/>
            <w:hideMark/>
          </w:tcPr>
          <w:p w14:paraId="5F22F5D5" w14:textId="77777777" w:rsidR="00574B0D" w:rsidRPr="00B930DE" w:rsidRDefault="00574B0D" w:rsidP="00B930DE">
            <w:pPr>
              <w:spacing w:before="0" w:after="0"/>
              <w:jc w:val="center"/>
              <w:rPr>
                <w:rFonts w:cs="Arial"/>
                <w:sz w:val="16"/>
              </w:rPr>
            </w:pPr>
            <w:r w:rsidRPr="00B930DE">
              <w:rPr>
                <w:rFonts w:cs="Arial"/>
                <w:sz w:val="16"/>
              </w:rPr>
              <w:t>5.68</w:t>
            </w:r>
          </w:p>
        </w:tc>
        <w:tc>
          <w:tcPr>
            <w:tcW w:w="356" w:type="pct"/>
            <w:noWrap/>
            <w:hideMark/>
          </w:tcPr>
          <w:p w14:paraId="5F22F5D6" w14:textId="77777777" w:rsidR="00574B0D" w:rsidRPr="00B930DE" w:rsidRDefault="00574B0D" w:rsidP="00B930DE">
            <w:pPr>
              <w:spacing w:before="0" w:after="0"/>
              <w:jc w:val="center"/>
              <w:rPr>
                <w:rFonts w:cs="Arial"/>
                <w:sz w:val="16"/>
                <w:lang w:eastAsia="en-AU"/>
              </w:rPr>
            </w:pPr>
            <w:r w:rsidRPr="00B930DE">
              <w:rPr>
                <w:rFonts w:cs="Arial"/>
                <w:sz w:val="16"/>
                <w:lang w:eastAsia="en-AU"/>
              </w:rPr>
              <w:t>32.73</w:t>
            </w:r>
          </w:p>
        </w:tc>
        <w:tc>
          <w:tcPr>
            <w:tcW w:w="327" w:type="pct"/>
          </w:tcPr>
          <w:p w14:paraId="5F22F5D7" w14:textId="77777777" w:rsidR="00574B0D" w:rsidRPr="00B930DE" w:rsidRDefault="00574B0D" w:rsidP="00B930DE">
            <w:pPr>
              <w:spacing w:before="0" w:after="0"/>
              <w:jc w:val="center"/>
              <w:rPr>
                <w:rFonts w:cs="Arial"/>
                <w:sz w:val="16"/>
              </w:rPr>
            </w:pPr>
            <w:r w:rsidRPr="00B930DE">
              <w:rPr>
                <w:rFonts w:cs="Arial"/>
                <w:sz w:val="16"/>
              </w:rPr>
              <w:t>2.70</w:t>
            </w:r>
          </w:p>
        </w:tc>
        <w:tc>
          <w:tcPr>
            <w:tcW w:w="327" w:type="pct"/>
          </w:tcPr>
          <w:p w14:paraId="5F22F5D8" w14:textId="77777777" w:rsidR="00574B0D" w:rsidRPr="00B930DE" w:rsidRDefault="00574B0D" w:rsidP="00B930DE">
            <w:pPr>
              <w:spacing w:before="0" w:after="0"/>
              <w:jc w:val="center"/>
              <w:rPr>
                <w:rFonts w:cs="Arial"/>
                <w:sz w:val="16"/>
                <w:lang w:eastAsia="en-AU"/>
              </w:rPr>
            </w:pPr>
            <w:r w:rsidRPr="00B930DE">
              <w:rPr>
                <w:rFonts w:cs="Arial"/>
                <w:sz w:val="16"/>
                <w:lang w:eastAsia="en-AU"/>
              </w:rPr>
              <w:t>41.00</w:t>
            </w:r>
          </w:p>
        </w:tc>
      </w:tr>
      <w:tr w:rsidR="00574B0D" w:rsidRPr="00B930DE" w14:paraId="5F22F5E8" w14:textId="77777777" w:rsidTr="004A5BF7">
        <w:trPr>
          <w:trHeight w:val="300"/>
        </w:trPr>
        <w:tc>
          <w:tcPr>
            <w:tcW w:w="676" w:type="pct"/>
            <w:vMerge/>
            <w:hideMark/>
          </w:tcPr>
          <w:p w14:paraId="5F22F5DA" w14:textId="77777777" w:rsidR="00574B0D" w:rsidRPr="00B930DE" w:rsidRDefault="00574B0D" w:rsidP="00B930DE">
            <w:pPr>
              <w:spacing w:before="0" w:after="0"/>
              <w:jc w:val="center"/>
              <w:rPr>
                <w:rFonts w:cs="Arial"/>
                <w:sz w:val="16"/>
                <w:lang w:eastAsia="en-AU"/>
              </w:rPr>
            </w:pPr>
          </w:p>
        </w:tc>
        <w:tc>
          <w:tcPr>
            <w:tcW w:w="341" w:type="pct"/>
            <w:noWrap/>
            <w:hideMark/>
          </w:tcPr>
          <w:p w14:paraId="5F22F5DB" w14:textId="77777777" w:rsidR="00574B0D" w:rsidRPr="00B930DE" w:rsidRDefault="00574B0D" w:rsidP="00B930DE">
            <w:pPr>
              <w:spacing w:before="0" w:after="0"/>
              <w:jc w:val="center"/>
              <w:rPr>
                <w:rFonts w:cs="Arial"/>
                <w:sz w:val="16"/>
                <w:lang w:eastAsia="en-AU"/>
              </w:rPr>
            </w:pPr>
            <w:r w:rsidRPr="00B930DE">
              <w:rPr>
                <w:rFonts w:cs="Arial"/>
                <w:sz w:val="16"/>
                <w:lang w:eastAsia="en-AU"/>
              </w:rPr>
              <w:t>HHI</w:t>
            </w:r>
          </w:p>
        </w:tc>
        <w:tc>
          <w:tcPr>
            <w:tcW w:w="325" w:type="pct"/>
            <w:noWrap/>
            <w:hideMark/>
          </w:tcPr>
          <w:p w14:paraId="5F22F5DC" w14:textId="77777777" w:rsidR="00574B0D" w:rsidRPr="00B930DE" w:rsidRDefault="00574B0D" w:rsidP="00B930DE">
            <w:pPr>
              <w:spacing w:before="0" w:after="0"/>
              <w:jc w:val="center"/>
              <w:rPr>
                <w:rFonts w:cs="Arial"/>
                <w:sz w:val="16"/>
                <w:lang w:eastAsia="en-AU"/>
              </w:rPr>
            </w:pPr>
            <w:r w:rsidRPr="00B930DE">
              <w:rPr>
                <w:rFonts w:cs="Arial"/>
                <w:sz w:val="16"/>
                <w:lang w:eastAsia="en-AU"/>
              </w:rPr>
              <w:t>0.02</w:t>
            </w:r>
          </w:p>
        </w:tc>
        <w:tc>
          <w:tcPr>
            <w:tcW w:w="325" w:type="pct"/>
            <w:noWrap/>
            <w:hideMark/>
          </w:tcPr>
          <w:p w14:paraId="5F22F5DD" w14:textId="77777777" w:rsidR="00574B0D" w:rsidRPr="00B930DE" w:rsidRDefault="00574B0D" w:rsidP="00B930DE">
            <w:pPr>
              <w:spacing w:before="0" w:after="0"/>
              <w:jc w:val="center"/>
              <w:rPr>
                <w:rFonts w:cs="Arial"/>
                <w:sz w:val="16"/>
                <w:lang w:eastAsia="en-AU"/>
              </w:rPr>
            </w:pPr>
            <w:r w:rsidRPr="00B930DE">
              <w:rPr>
                <w:rFonts w:cs="Arial"/>
                <w:sz w:val="16"/>
                <w:lang w:eastAsia="en-AU"/>
              </w:rPr>
              <w:t>0.02</w:t>
            </w:r>
          </w:p>
        </w:tc>
        <w:tc>
          <w:tcPr>
            <w:tcW w:w="325" w:type="pct"/>
            <w:noWrap/>
            <w:hideMark/>
          </w:tcPr>
          <w:p w14:paraId="5F22F5DE"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5DF" w14:textId="77777777" w:rsidR="00574B0D" w:rsidRPr="00B930DE" w:rsidRDefault="00574B0D" w:rsidP="00B930DE">
            <w:pPr>
              <w:spacing w:before="0" w:after="0"/>
              <w:jc w:val="center"/>
              <w:rPr>
                <w:rFonts w:cs="Arial"/>
                <w:sz w:val="16"/>
                <w:lang w:eastAsia="en-AU"/>
              </w:rPr>
            </w:pPr>
            <w:r w:rsidRPr="00B930DE">
              <w:rPr>
                <w:rFonts w:cs="Arial"/>
                <w:sz w:val="16"/>
                <w:lang w:eastAsia="en-AU"/>
              </w:rPr>
              <w:t>0.16</w:t>
            </w:r>
          </w:p>
        </w:tc>
        <w:tc>
          <w:tcPr>
            <w:tcW w:w="325" w:type="pct"/>
            <w:noWrap/>
            <w:hideMark/>
          </w:tcPr>
          <w:p w14:paraId="5F22F5E0" w14:textId="77777777" w:rsidR="00574B0D" w:rsidRPr="00B930DE" w:rsidRDefault="00574B0D" w:rsidP="00B930DE">
            <w:pPr>
              <w:spacing w:before="0" w:after="0"/>
              <w:jc w:val="center"/>
              <w:rPr>
                <w:rFonts w:cs="Arial"/>
                <w:sz w:val="16"/>
                <w:lang w:eastAsia="en-AU"/>
              </w:rPr>
            </w:pPr>
            <w:r w:rsidRPr="00B930DE">
              <w:rPr>
                <w:rFonts w:cs="Arial"/>
                <w:sz w:val="16"/>
                <w:lang w:eastAsia="en-AU"/>
              </w:rPr>
              <w:t>0.55</w:t>
            </w:r>
          </w:p>
        </w:tc>
        <w:tc>
          <w:tcPr>
            <w:tcW w:w="325" w:type="pct"/>
            <w:noWrap/>
            <w:hideMark/>
          </w:tcPr>
          <w:p w14:paraId="5F22F5E1" w14:textId="77777777" w:rsidR="00574B0D" w:rsidRPr="00B930DE" w:rsidRDefault="00574B0D" w:rsidP="00B930DE">
            <w:pPr>
              <w:spacing w:before="0" w:after="0"/>
              <w:jc w:val="center"/>
              <w:rPr>
                <w:rFonts w:cs="Arial"/>
                <w:sz w:val="16"/>
                <w:lang w:eastAsia="en-AU"/>
              </w:rPr>
            </w:pPr>
            <w:r w:rsidRPr="00B930DE">
              <w:rPr>
                <w:rFonts w:cs="Arial"/>
                <w:sz w:val="16"/>
                <w:lang w:eastAsia="en-AU"/>
              </w:rPr>
              <w:t>0.23</w:t>
            </w:r>
          </w:p>
        </w:tc>
        <w:tc>
          <w:tcPr>
            <w:tcW w:w="315" w:type="pct"/>
            <w:noWrap/>
            <w:hideMark/>
          </w:tcPr>
          <w:p w14:paraId="5F22F5E2" w14:textId="77777777" w:rsidR="00574B0D" w:rsidRPr="00B930DE" w:rsidRDefault="00574B0D" w:rsidP="00B930DE">
            <w:pPr>
              <w:spacing w:before="0" w:after="0"/>
              <w:jc w:val="center"/>
              <w:rPr>
                <w:rFonts w:cs="Arial"/>
                <w:sz w:val="16"/>
                <w:lang w:eastAsia="en-AU"/>
              </w:rPr>
            </w:pPr>
            <w:r w:rsidRPr="00B930DE">
              <w:rPr>
                <w:rFonts w:cs="Arial"/>
                <w:sz w:val="16"/>
              </w:rPr>
              <w:t>0.53</w:t>
            </w:r>
          </w:p>
        </w:tc>
        <w:tc>
          <w:tcPr>
            <w:tcW w:w="353" w:type="pct"/>
            <w:noWrap/>
            <w:hideMark/>
          </w:tcPr>
          <w:p w14:paraId="5F22F5E3" w14:textId="77777777" w:rsidR="00574B0D" w:rsidRPr="00B930DE" w:rsidRDefault="00574B0D" w:rsidP="00B930DE">
            <w:pPr>
              <w:spacing w:before="0" w:after="0"/>
              <w:jc w:val="center"/>
              <w:rPr>
                <w:rFonts w:cs="Arial"/>
                <w:sz w:val="16"/>
                <w:lang w:eastAsia="en-AU"/>
              </w:rPr>
            </w:pPr>
          </w:p>
        </w:tc>
        <w:tc>
          <w:tcPr>
            <w:tcW w:w="356" w:type="pct"/>
            <w:noWrap/>
          </w:tcPr>
          <w:p w14:paraId="5F22F5E4" w14:textId="77777777" w:rsidR="00574B0D" w:rsidRPr="00B930DE" w:rsidRDefault="00574B0D" w:rsidP="00B930DE">
            <w:pPr>
              <w:spacing w:before="0" w:after="0"/>
              <w:jc w:val="center"/>
              <w:rPr>
                <w:rFonts w:cs="Arial"/>
                <w:sz w:val="16"/>
              </w:rPr>
            </w:pPr>
            <w:r w:rsidRPr="00B930DE">
              <w:rPr>
                <w:rFonts w:cs="Arial"/>
                <w:sz w:val="16"/>
              </w:rPr>
              <w:t>69.93</w:t>
            </w:r>
          </w:p>
        </w:tc>
        <w:tc>
          <w:tcPr>
            <w:tcW w:w="356" w:type="pct"/>
            <w:noWrap/>
          </w:tcPr>
          <w:p w14:paraId="5F22F5E5" w14:textId="77777777" w:rsidR="00574B0D" w:rsidRPr="00B930DE" w:rsidRDefault="00574B0D" w:rsidP="00B930DE">
            <w:pPr>
              <w:spacing w:before="0" w:after="0"/>
              <w:jc w:val="center"/>
              <w:rPr>
                <w:rFonts w:cs="Arial"/>
                <w:sz w:val="16"/>
                <w:lang w:eastAsia="en-AU"/>
              </w:rPr>
            </w:pPr>
          </w:p>
        </w:tc>
        <w:tc>
          <w:tcPr>
            <w:tcW w:w="327" w:type="pct"/>
          </w:tcPr>
          <w:p w14:paraId="5F22F5E6" w14:textId="77777777" w:rsidR="00574B0D" w:rsidRPr="00B930DE" w:rsidRDefault="00574B0D" w:rsidP="00B930DE">
            <w:pPr>
              <w:spacing w:before="0" w:after="0"/>
              <w:jc w:val="center"/>
              <w:rPr>
                <w:rFonts w:cs="Arial"/>
                <w:sz w:val="16"/>
              </w:rPr>
            </w:pPr>
            <w:r w:rsidRPr="00B930DE">
              <w:rPr>
                <w:rFonts w:cs="Arial"/>
                <w:sz w:val="16"/>
              </w:rPr>
              <w:t>40.69</w:t>
            </w:r>
          </w:p>
        </w:tc>
        <w:tc>
          <w:tcPr>
            <w:tcW w:w="327" w:type="pct"/>
          </w:tcPr>
          <w:p w14:paraId="5F22F5E7" w14:textId="77777777" w:rsidR="00574B0D" w:rsidRPr="00B930DE" w:rsidRDefault="00574B0D" w:rsidP="00B930DE">
            <w:pPr>
              <w:spacing w:before="0" w:after="0"/>
              <w:jc w:val="center"/>
              <w:rPr>
                <w:rFonts w:cs="Arial"/>
                <w:sz w:val="16"/>
                <w:lang w:eastAsia="en-AU"/>
              </w:rPr>
            </w:pPr>
          </w:p>
        </w:tc>
      </w:tr>
      <w:tr w:rsidR="00574B0D" w:rsidRPr="00B930DE" w14:paraId="5F22F5F7" w14:textId="77777777" w:rsidTr="004A5BF7">
        <w:trPr>
          <w:trHeight w:val="300"/>
        </w:trPr>
        <w:tc>
          <w:tcPr>
            <w:tcW w:w="676" w:type="pct"/>
            <w:vMerge/>
            <w:hideMark/>
          </w:tcPr>
          <w:p w14:paraId="5F22F5E9" w14:textId="77777777" w:rsidR="00574B0D" w:rsidRPr="00B930DE" w:rsidRDefault="00574B0D" w:rsidP="00B930DE">
            <w:pPr>
              <w:spacing w:before="0" w:after="0"/>
              <w:jc w:val="center"/>
              <w:rPr>
                <w:rFonts w:cs="Arial"/>
                <w:sz w:val="16"/>
                <w:lang w:eastAsia="en-AU"/>
              </w:rPr>
            </w:pPr>
          </w:p>
        </w:tc>
        <w:tc>
          <w:tcPr>
            <w:tcW w:w="341" w:type="pct"/>
            <w:noWrap/>
            <w:hideMark/>
          </w:tcPr>
          <w:p w14:paraId="5F22F5EA" w14:textId="77777777" w:rsidR="00574B0D" w:rsidRPr="00B930DE" w:rsidRDefault="00574B0D" w:rsidP="00B930DE">
            <w:pPr>
              <w:spacing w:before="0" w:after="0"/>
              <w:jc w:val="center"/>
              <w:rPr>
                <w:rFonts w:cs="Arial"/>
                <w:sz w:val="16"/>
                <w:lang w:eastAsia="en-AU"/>
              </w:rPr>
            </w:pPr>
            <w:r w:rsidRPr="00B930DE">
              <w:rPr>
                <w:rFonts w:cs="Arial"/>
                <w:sz w:val="16"/>
                <w:lang w:eastAsia="en-AU"/>
              </w:rPr>
              <w:t>MI</w:t>
            </w:r>
          </w:p>
        </w:tc>
        <w:tc>
          <w:tcPr>
            <w:tcW w:w="325" w:type="pct"/>
            <w:noWrap/>
            <w:hideMark/>
          </w:tcPr>
          <w:p w14:paraId="5F22F5EB"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5EC"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5ED"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5EE" w14:textId="77777777" w:rsidR="00574B0D" w:rsidRPr="00B930DE" w:rsidRDefault="00574B0D" w:rsidP="00B930DE">
            <w:pPr>
              <w:spacing w:before="0" w:after="0"/>
              <w:jc w:val="center"/>
              <w:rPr>
                <w:rFonts w:cs="Arial"/>
                <w:sz w:val="16"/>
                <w:lang w:eastAsia="en-AU"/>
              </w:rPr>
            </w:pPr>
            <w:r w:rsidRPr="00B930DE">
              <w:rPr>
                <w:rFonts w:cs="Arial"/>
                <w:sz w:val="16"/>
                <w:lang w:eastAsia="en-AU"/>
              </w:rPr>
              <w:t>0.12</w:t>
            </w:r>
          </w:p>
        </w:tc>
        <w:tc>
          <w:tcPr>
            <w:tcW w:w="325" w:type="pct"/>
            <w:noWrap/>
            <w:hideMark/>
          </w:tcPr>
          <w:p w14:paraId="5F22F5EF" w14:textId="77777777" w:rsidR="00574B0D" w:rsidRPr="00B930DE" w:rsidRDefault="00574B0D" w:rsidP="00B930DE">
            <w:pPr>
              <w:spacing w:before="0" w:after="0"/>
              <w:jc w:val="center"/>
              <w:rPr>
                <w:rFonts w:cs="Arial"/>
                <w:sz w:val="16"/>
                <w:lang w:eastAsia="en-AU"/>
              </w:rPr>
            </w:pPr>
            <w:r w:rsidRPr="00B930DE">
              <w:rPr>
                <w:rFonts w:cs="Arial"/>
                <w:sz w:val="16"/>
                <w:lang w:eastAsia="en-AU"/>
              </w:rPr>
              <w:t>0.71</w:t>
            </w:r>
          </w:p>
        </w:tc>
        <w:tc>
          <w:tcPr>
            <w:tcW w:w="325" w:type="pct"/>
            <w:noWrap/>
            <w:hideMark/>
          </w:tcPr>
          <w:p w14:paraId="5F22F5F0" w14:textId="77777777" w:rsidR="00574B0D" w:rsidRPr="00B930DE" w:rsidRDefault="00574B0D" w:rsidP="00B930DE">
            <w:pPr>
              <w:spacing w:before="0" w:after="0"/>
              <w:jc w:val="center"/>
              <w:rPr>
                <w:rFonts w:cs="Arial"/>
                <w:sz w:val="16"/>
                <w:lang w:eastAsia="en-AU"/>
              </w:rPr>
            </w:pPr>
            <w:r w:rsidRPr="00B930DE">
              <w:rPr>
                <w:rFonts w:cs="Arial"/>
                <w:sz w:val="16"/>
                <w:lang w:eastAsia="en-AU"/>
              </w:rPr>
              <w:t>0.09</w:t>
            </w:r>
          </w:p>
        </w:tc>
        <w:tc>
          <w:tcPr>
            <w:tcW w:w="315" w:type="pct"/>
            <w:noWrap/>
            <w:hideMark/>
          </w:tcPr>
          <w:p w14:paraId="5F22F5F1" w14:textId="77777777" w:rsidR="00574B0D" w:rsidRPr="00B930DE" w:rsidRDefault="00574B0D" w:rsidP="00B930DE">
            <w:pPr>
              <w:spacing w:before="0" w:after="0"/>
              <w:jc w:val="center"/>
              <w:rPr>
                <w:rFonts w:cs="Arial"/>
                <w:sz w:val="16"/>
                <w:lang w:eastAsia="en-AU"/>
              </w:rPr>
            </w:pPr>
            <w:r w:rsidRPr="00B930DE">
              <w:rPr>
                <w:rFonts w:cs="Arial"/>
                <w:sz w:val="16"/>
              </w:rPr>
              <w:t>0.50</w:t>
            </w:r>
          </w:p>
        </w:tc>
        <w:tc>
          <w:tcPr>
            <w:tcW w:w="353" w:type="pct"/>
            <w:noWrap/>
            <w:hideMark/>
          </w:tcPr>
          <w:p w14:paraId="5F22F5F2" w14:textId="77777777" w:rsidR="00574B0D" w:rsidRPr="00B930DE" w:rsidRDefault="00574B0D" w:rsidP="00B930DE">
            <w:pPr>
              <w:spacing w:before="0" w:after="0"/>
              <w:jc w:val="center"/>
              <w:rPr>
                <w:rFonts w:cs="Arial"/>
                <w:sz w:val="16"/>
                <w:lang w:eastAsia="en-AU"/>
              </w:rPr>
            </w:pPr>
          </w:p>
        </w:tc>
        <w:tc>
          <w:tcPr>
            <w:tcW w:w="356" w:type="pct"/>
            <w:noWrap/>
          </w:tcPr>
          <w:p w14:paraId="5F22F5F3" w14:textId="77777777" w:rsidR="00574B0D" w:rsidRPr="00B930DE" w:rsidRDefault="00574B0D" w:rsidP="00B930DE">
            <w:pPr>
              <w:spacing w:before="0" w:after="0"/>
              <w:jc w:val="center"/>
              <w:rPr>
                <w:rFonts w:cs="Arial"/>
                <w:sz w:val="16"/>
              </w:rPr>
            </w:pPr>
            <w:r w:rsidRPr="00B930DE">
              <w:rPr>
                <w:rFonts w:cs="Arial"/>
                <w:sz w:val="16"/>
              </w:rPr>
              <w:t>59.87</w:t>
            </w:r>
          </w:p>
        </w:tc>
        <w:tc>
          <w:tcPr>
            <w:tcW w:w="356" w:type="pct"/>
            <w:noWrap/>
          </w:tcPr>
          <w:p w14:paraId="5F22F5F4" w14:textId="77777777" w:rsidR="00574B0D" w:rsidRPr="00B930DE" w:rsidRDefault="00574B0D" w:rsidP="00B930DE">
            <w:pPr>
              <w:spacing w:before="0" w:after="0"/>
              <w:jc w:val="center"/>
              <w:rPr>
                <w:rFonts w:cs="Arial"/>
                <w:sz w:val="16"/>
                <w:lang w:eastAsia="en-AU"/>
              </w:rPr>
            </w:pPr>
          </w:p>
        </w:tc>
        <w:tc>
          <w:tcPr>
            <w:tcW w:w="327" w:type="pct"/>
          </w:tcPr>
          <w:p w14:paraId="5F22F5F5" w14:textId="77777777" w:rsidR="00574B0D" w:rsidRPr="00B930DE" w:rsidRDefault="00574B0D" w:rsidP="00B930DE">
            <w:pPr>
              <w:spacing w:before="0" w:after="0"/>
              <w:jc w:val="center"/>
              <w:rPr>
                <w:rFonts w:cs="Arial"/>
                <w:sz w:val="16"/>
              </w:rPr>
            </w:pPr>
            <w:r w:rsidRPr="00B930DE">
              <w:rPr>
                <w:rFonts w:cs="Arial"/>
                <w:sz w:val="16"/>
              </w:rPr>
              <w:t>46.21</w:t>
            </w:r>
          </w:p>
        </w:tc>
        <w:tc>
          <w:tcPr>
            <w:tcW w:w="327" w:type="pct"/>
          </w:tcPr>
          <w:p w14:paraId="5F22F5F6" w14:textId="77777777" w:rsidR="00574B0D" w:rsidRPr="00B930DE" w:rsidRDefault="00574B0D" w:rsidP="00B930DE">
            <w:pPr>
              <w:spacing w:before="0" w:after="0"/>
              <w:jc w:val="center"/>
              <w:rPr>
                <w:rFonts w:cs="Arial"/>
                <w:sz w:val="16"/>
                <w:lang w:eastAsia="en-AU"/>
              </w:rPr>
            </w:pPr>
          </w:p>
        </w:tc>
      </w:tr>
      <w:tr w:rsidR="00574B0D" w:rsidRPr="00B930DE" w14:paraId="5F22F606" w14:textId="77777777" w:rsidTr="004A5BF7">
        <w:trPr>
          <w:trHeight w:val="300"/>
        </w:trPr>
        <w:tc>
          <w:tcPr>
            <w:tcW w:w="676" w:type="pct"/>
            <w:vMerge/>
            <w:hideMark/>
          </w:tcPr>
          <w:p w14:paraId="5F22F5F8" w14:textId="77777777" w:rsidR="00574B0D" w:rsidRPr="00B930DE" w:rsidRDefault="00574B0D" w:rsidP="00B930DE">
            <w:pPr>
              <w:spacing w:before="0" w:after="0"/>
              <w:jc w:val="center"/>
              <w:rPr>
                <w:rFonts w:cs="Arial"/>
                <w:sz w:val="16"/>
                <w:lang w:eastAsia="en-AU"/>
              </w:rPr>
            </w:pPr>
          </w:p>
        </w:tc>
        <w:tc>
          <w:tcPr>
            <w:tcW w:w="341" w:type="pct"/>
            <w:noWrap/>
            <w:hideMark/>
          </w:tcPr>
          <w:p w14:paraId="5F22F5F9" w14:textId="77777777" w:rsidR="00574B0D" w:rsidRPr="00B930DE" w:rsidRDefault="00574B0D" w:rsidP="00B930DE">
            <w:pPr>
              <w:spacing w:before="0" w:after="0"/>
              <w:jc w:val="center"/>
              <w:rPr>
                <w:rFonts w:cs="Arial"/>
                <w:sz w:val="16"/>
                <w:lang w:eastAsia="en-AU"/>
              </w:rPr>
            </w:pPr>
            <w:r w:rsidRPr="00B930DE">
              <w:rPr>
                <w:rFonts w:cs="Arial"/>
                <w:sz w:val="16"/>
                <w:lang w:eastAsia="en-AU"/>
              </w:rPr>
              <w:t>NKI</w:t>
            </w:r>
          </w:p>
        </w:tc>
        <w:tc>
          <w:tcPr>
            <w:tcW w:w="325" w:type="pct"/>
            <w:noWrap/>
            <w:hideMark/>
          </w:tcPr>
          <w:p w14:paraId="5F22F5FA"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5FB"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5FC"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5FD" w14:textId="77777777" w:rsidR="00574B0D" w:rsidRPr="00B930DE" w:rsidRDefault="00574B0D" w:rsidP="00B930DE">
            <w:pPr>
              <w:spacing w:before="0" w:after="0"/>
              <w:jc w:val="center"/>
              <w:rPr>
                <w:rFonts w:cs="Arial"/>
                <w:sz w:val="16"/>
                <w:lang w:eastAsia="en-AU"/>
              </w:rPr>
            </w:pPr>
            <w:r w:rsidRPr="00B930DE">
              <w:rPr>
                <w:rFonts w:cs="Arial"/>
                <w:sz w:val="16"/>
                <w:lang w:eastAsia="en-AU"/>
              </w:rPr>
              <w:t>0.12</w:t>
            </w:r>
          </w:p>
        </w:tc>
        <w:tc>
          <w:tcPr>
            <w:tcW w:w="325" w:type="pct"/>
            <w:noWrap/>
            <w:hideMark/>
          </w:tcPr>
          <w:p w14:paraId="5F22F5FE" w14:textId="77777777" w:rsidR="00574B0D" w:rsidRPr="00B930DE" w:rsidRDefault="00574B0D" w:rsidP="00B930DE">
            <w:pPr>
              <w:spacing w:before="0" w:after="0"/>
              <w:jc w:val="center"/>
              <w:rPr>
                <w:rFonts w:cs="Arial"/>
                <w:sz w:val="16"/>
                <w:lang w:eastAsia="en-AU"/>
              </w:rPr>
            </w:pPr>
            <w:r w:rsidRPr="00B930DE">
              <w:rPr>
                <w:rFonts w:cs="Arial"/>
                <w:sz w:val="16"/>
                <w:lang w:eastAsia="en-AU"/>
              </w:rPr>
              <w:t>0.55</w:t>
            </w:r>
          </w:p>
        </w:tc>
        <w:tc>
          <w:tcPr>
            <w:tcW w:w="325" w:type="pct"/>
            <w:noWrap/>
            <w:hideMark/>
          </w:tcPr>
          <w:p w14:paraId="5F22F5FF" w14:textId="77777777" w:rsidR="00574B0D" w:rsidRPr="00B930DE" w:rsidRDefault="00574B0D" w:rsidP="00B930DE">
            <w:pPr>
              <w:spacing w:before="0" w:after="0"/>
              <w:jc w:val="center"/>
              <w:rPr>
                <w:rFonts w:cs="Arial"/>
                <w:sz w:val="16"/>
                <w:lang w:eastAsia="en-AU"/>
              </w:rPr>
            </w:pPr>
            <w:r w:rsidRPr="00B930DE">
              <w:rPr>
                <w:rFonts w:cs="Arial"/>
                <w:sz w:val="16"/>
                <w:lang w:eastAsia="en-AU"/>
              </w:rPr>
              <w:t>0.24</w:t>
            </w:r>
          </w:p>
        </w:tc>
        <w:tc>
          <w:tcPr>
            <w:tcW w:w="315" w:type="pct"/>
            <w:noWrap/>
            <w:hideMark/>
          </w:tcPr>
          <w:p w14:paraId="5F22F600" w14:textId="77777777" w:rsidR="00574B0D" w:rsidRPr="00B930DE" w:rsidRDefault="00574B0D" w:rsidP="00B930DE">
            <w:pPr>
              <w:spacing w:before="0" w:after="0"/>
              <w:jc w:val="center"/>
              <w:rPr>
                <w:rFonts w:cs="Arial"/>
                <w:sz w:val="16"/>
                <w:lang w:eastAsia="en-AU"/>
              </w:rPr>
            </w:pPr>
            <w:r w:rsidRPr="00B930DE">
              <w:rPr>
                <w:rFonts w:cs="Arial"/>
                <w:sz w:val="16"/>
              </w:rPr>
              <w:t>0.39</w:t>
            </w:r>
          </w:p>
        </w:tc>
        <w:tc>
          <w:tcPr>
            <w:tcW w:w="353" w:type="pct"/>
            <w:noWrap/>
            <w:hideMark/>
          </w:tcPr>
          <w:p w14:paraId="5F22F601" w14:textId="77777777" w:rsidR="00574B0D" w:rsidRPr="00B930DE" w:rsidRDefault="00574B0D" w:rsidP="00B930DE">
            <w:pPr>
              <w:spacing w:before="0" w:after="0"/>
              <w:jc w:val="center"/>
              <w:rPr>
                <w:rFonts w:cs="Arial"/>
                <w:sz w:val="16"/>
                <w:lang w:eastAsia="en-AU"/>
              </w:rPr>
            </w:pPr>
          </w:p>
        </w:tc>
        <w:tc>
          <w:tcPr>
            <w:tcW w:w="356" w:type="pct"/>
            <w:noWrap/>
          </w:tcPr>
          <w:p w14:paraId="5F22F602" w14:textId="77777777" w:rsidR="00574B0D" w:rsidRPr="00B930DE" w:rsidRDefault="00574B0D" w:rsidP="00B930DE">
            <w:pPr>
              <w:spacing w:before="0" w:after="0"/>
              <w:jc w:val="center"/>
              <w:rPr>
                <w:rFonts w:cs="Arial"/>
                <w:sz w:val="16"/>
              </w:rPr>
            </w:pPr>
            <w:r w:rsidRPr="00B930DE">
              <w:rPr>
                <w:rFonts w:cs="Arial"/>
                <w:sz w:val="16"/>
              </w:rPr>
              <w:t>35.36</w:t>
            </w:r>
          </w:p>
        </w:tc>
        <w:tc>
          <w:tcPr>
            <w:tcW w:w="356" w:type="pct"/>
            <w:noWrap/>
          </w:tcPr>
          <w:p w14:paraId="5F22F603" w14:textId="77777777" w:rsidR="00574B0D" w:rsidRPr="00B930DE" w:rsidRDefault="00574B0D" w:rsidP="00B930DE">
            <w:pPr>
              <w:spacing w:before="0" w:after="0"/>
              <w:jc w:val="center"/>
              <w:rPr>
                <w:rFonts w:cs="Arial"/>
                <w:sz w:val="16"/>
                <w:lang w:eastAsia="en-AU"/>
              </w:rPr>
            </w:pPr>
          </w:p>
        </w:tc>
        <w:tc>
          <w:tcPr>
            <w:tcW w:w="327" w:type="pct"/>
          </w:tcPr>
          <w:p w14:paraId="5F22F604" w14:textId="77777777" w:rsidR="00574B0D" w:rsidRPr="00B930DE" w:rsidRDefault="00574B0D" w:rsidP="00B930DE">
            <w:pPr>
              <w:spacing w:before="0" w:after="0"/>
              <w:jc w:val="center"/>
              <w:rPr>
                <w:rFonts w:cs="Arial"/>
                <w:sz w:val="16"/>
              </w:rPr>
            </w:pPr>
            <w:r w:rsidRPr="00B930DE">
              <w:rPr>
                <w:rFonts w:cs="Arial"/>
                <w:sz w:val="16"/>
              </w:rPr>
              <w:t>51.53</w:t>
            </w:r>
          </w:p>
        </w:tc>
        <w:tc>
          <w:tcPr>
            <w:tcW w:w="327" w:type="pct"/>
          </w:tcPr>
          <w:p w14:paraId="5F22F605" w14:textId="77777777" w:rsidR="00574B0D" w:rsidRPr="00B930DE" w:rsidRDefault="00574B0D" w:rsidP="00B930DE">
            <w:pPr>
              <w:spacing w:before="0" w:after="0"/>
              <w:jc w:val="center"/>
              <w:rPr>
                <w:rFonts w:cs="Arial"/>
                <w:sz w:val="16"/>
                <w:lang w:eastAsia="en-AU"/>
              </w:rPr>
            </w:pPr>
          </w:p>
        </w:tc>
      </w:tr>
      <w:tr w:rsidR="00574B0D" w:rsidRPr="00B930DE" w14:paraId="5F22F615" w14:textId="77777777" w:rsidTr="004A5BF7">
        <w:trPr>
          <w:trHeight w:val="300"/>
        </w:trPr>
        <w:tc>
          <w:tcPr>
            <w:tcW w:w="676" w:type="pct"/>
            <w:vMerge/>
            <w:hideMark/>
          </w:tcPr>
          <w:p w14:paraId="5F22F607" w14:textId="77777777" w:rsidR="00574B0D" w:rsidRPr="00B930DE" w:rsidRDefault="00574B0D" w:rsidP="00B930DE">
            <w:pPr>
              <w:spacing w:before="0" w:after="0"/>
              <w:jc w:val="center"/>
              <w:rPr>
                <w:rFonts w:cs="Arial"/>
                <w:sz w:val="16"/>
                <w:lang w:eastAsia="en-AU"/>
              </w:rPr>
            </w:pPr>
          </w:p>
        </w:tc>
        <w:tc>
          <w:tcPr>
            <w:tcW w:w="341" w:type="pct"/>
            <w:noWrap/>
            <w:hideMark/>
          </w:tcPr>
          <w:p w14:paraId="5F22F608" w14:textId="77777777" w:rsidR="00574B0D" w:rsidRPr="00B930DE" w:rsidRDefault="00574B0D" w:rsidP="00B930DE">
            <w:pPr>
              <w:spacing w:before="0" w:after="0"/>
              <w:jc w:val="center"/>
              <w:rPr>
                <w:rFonts w:cs="Arial"/>
                <w:sz w:val="16"/>
                <w:lang w:eastAsia="en-AU"/>
              </w:rPr>
            </w:pPr>
            <w:r w:rsidRPr="00B930DE">
              <w:rPr>
                <w:rFonts w:cs="Arial"/>
                <w:sz w:val="16"/>
                <w:lang w:eastAsia="en-AU"/>
              </w:rPr>
              <w:t>PKI</w:t>
            </w:r>
          </w:p>
        </w:tc>
        <w:tc>
          <w:tcPr>
            <w:tcW w:w="325" w:type="pct"/>
            <w:noWrap/>
            <w:hideMark/>
          </w:tcPr>
          <w:p w14:paraId="5F22F609" w14:textId="77777777" w:rsidR="00574B0D" w:rsidRPr="00B930DE" w:rsidRDefault="00574B0D" w:rsidP="00B930DE">
            <w:pPr>
              <w:spacing w:before="0" w:after="0"/>
              <w:jc w:val="center"/>
              <w:rPr>
                <w:rFonts w:cs="Arial"/>
                <w:sz w:val="16"/>
                <w:lang w:eastAsia="en-AU"/>
              </w:rPr>
            </w:pPr>
            <w:r w:rsidRPr="00B930DE">
              <w:rPr>
                <w:rFonts w:cs="Arial"/>
                <w:sz w:val="16"/>
                <w:lang w:eastAsia="en-AU"/>
              </w:rPr>
              <w:t>0.04</w:t>
            </w:r>
          </w:p>
        </w:tc>
        <w:tc>
          <w:tcPr>
            <w:tcW w:w="325" w:type="pct"/>
            <w:noWrap/>
            <w:hideMark/>
          </w:tcPr>
          <w:p w14:paraId="5F22F60A" w14:textId="77777777" w:rsidR="00574B0D" w:rsidRPr="00B930DE" w:rsidRDefault="00574B0D" w:rsidP="00B930DE">
            <w:pPr>
              <w:spacing w:before="0" w:after="0"/>
              <w:jc w:val="center"/>
              <w:rPr>
                <w:rFonts w:cs="Arial"/>
                <w:sz w:val="16"/>
                <w:lang w:eastAsia="en-AU"/>
              </w:rPr>
            </w:pPr>
            <w:r w:rsidRPr="00B930DE">
              <w:rPr>
                <w:rFonts w:cs="Arial"/>
                <w:sz w:val="16"/>
                <w:lang w:eastAsia="en-AU"/>
              </w:rPr>
              <w:t>0.03</w:t>
            </w:r>
          </w:p>
        </w:tc>
        <w:tc>
          <w:tcPr>
            <w:tcW w:w="325" w:type="pct"/>
            <w:noWrap/>
            <w:hideMark/>
          </w:tcPr>
          <w:p w14:paraId="5F22F60B" w14:textId="77777777" w:rsidR="00574B0D" w:rsidRPr="00B930DE" w:rsidRDefault="00574B0D" w:rsidP="00B930DE">
            <w:pPr>
              <w:spacing w:before="0" w:after="0"/>
              <w:jc w:val="center"/>
              <w:rPr>
                <w:rFonts w:cs="Arial"/>
                <w:sz w:val="16"/>
                <w:lang w:eastAsia="en-AU"/>
              </w:rPr>
            </w:pPr>
            <w:r w:rsidRPr="00B930DE">
              <w:rPr>
                <w:rFonts w:cs="Arial"/>
                <w:sz w:val="16"/>
                <w:lang w:eastAsia="en-AU"/>
              </w:rPr>
              <w:t>0.04</w:t>
            </w:r>
          </w:p>
        </w:tc>
        <w:tc>
          <w:tcPr>
            <w:tcW w:w="325" w:type="pct"/>
            <w:noWrap/>
            <w:hideMark/>
          </w:tcPr>
          <w:p w14:paraId="5F22F60C" w14:textId="77777777" w:rsidR="00574B0D" w:rsidRPr="00B930DE" w:rsidRDefault="00574B0D" w:rsidP="00B930DE">
            <w:pPr>
              <w:spacing w:before="0" w:after="0"/>
              <w:jc w:val="center"/>
              <w:rPr>
                <w:rFonts w:cs="Arial"/>
                <w:sz w:val="16"/>
                <w:lang w:eastAsia="en-AU"/>
              </w:rPr>
            </w:pPr>
            <w:r w:rsidRPr="00B930DE">
              <w:rPr>
                <w:rFonts w:cs="Arial"/>
                <w:sz w:val="16"/>
                <w:lang w:eastAsia="en-AU"/>
              </w:rPr>
              <w:t>0.25</w:t>
            </w:r>
          </w:p>
        </w:tc>
        <w:tc>
          <w:tcPr>
            <w:tcW w:w="325" w:type="pct"/>
            <w:noWrap/>
            <w:hideMark/>
          </w:tcPr>
          <w:p w14:paraId="5F22F60D" w14:textId="77777777" w:rsidR="00574B0D" w:rsidRPr="00B930DE" w:rsidRDefault="00574B0D" w:rsidP="00B930DE">
            <w:pPr>
              <w:spacing w:before="0" w:after="0"/>
              <w:jc w:val="center"/>
              <w:rPr>
                <w:rFonts w:cs="Arial"/>
                <w:sz w:val="16"/>
                <w:lang w:eastAsia="en-AU"/>
              </w:rPr>
            </w:pPr>
            <w:r w:rsidRPr="00B930DE">
              <w:rPr>
                <w:rFonts w:cs="Arial"/>
                <w:sz w:val="16"/>
                <w:lang w:eastAsia="en-AU"/>
              </w:rPr>
              <w:t>0.63</w:t>
            </w:r>
          </w:p>
        </w:tc>
        <w:tc>
          <w:tcPr>
            <w:tcW w:w="325" w:type="pct"/>
            <w:noWrap/>
            <w:hideMark/>
          </w:tcPr>
          <w:p w14:paraId="5F22F60E"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15" w:type="pct"/>
            <w:noWrap/>
            <w:hideMark/>
          </w:tcPr>
          <w:p w14:paraId="5F22F60F" w14:textId="77777777" w:rsidR="00574B0D" w:rsidRPr="00B930DE" w:rsidRDefault="00574B0D" w:rsidP="00B930DE">
            <w:pPr>
              <w:spacing w:before="0" w:after="0"/>
              <w:jc w:val="center"/>
              <w:rPr>
                <w:rFonts w:cs="Arial"/>
                <w:sz w:val="16"/>
                <w:lang w:eastAsia="en-AU"/>
              </w:rPr>
            </w:pPr>
            <w:r w:rsidRPr="00B930DE">
              <w:rPr>
                <w:rFonts w:cs="Arial"/>
                <w:sz w:val="16"/>
              </w:rPr>
              <w:t>0.92</w:t>
            </w:r>
          </w:p>
        </w:tc>
        <w:tc>
          <w:tcPr>
            <w:tcW w:w="353" w:type="pct"/>
            <w:noWrap/>
            <w:hideMark/>
          </w:tcPr>
          <w:p w14:paraId="5F22F610" w14:textId="77777777" w:rsidR="00574B0D" w:rsidRPr="00B930DE" w:rsidRDefault="00574B0D" w:rsidP="00B930DE">
            <w:pPr>
              <w:spacing w:before="0" w:after="0"/>
              <w:jc w:val="center"/>
              <w:rPr>
                <w:rFonts w:cs="Arial"/>
                <w:sz w:val="16"/>
                <w:lang w:eastAsia="en-AU"/>
              </w:rPr>
            </w:pPr>
          </w:p>
        </w:tc>
        <w:tc>
          <w:tcPr>
            <w:tcW w:w="356" w:type="pct"/>
            <w:noWrap/>
          </w:tcPr>
          <w:p w14:paraId="5F22F611" w14:textId="77777777" w:rsidR="00574B0D" w:rsidRPr="00B930DE" w:rsidRDefault="00574B0D" w:rsidP="00B930DE">
            <w:pPr>
              <w:spacing w:before="0" w:after="0"/>
              <w:jc w:val="center"/>
              <w:rPr>
                <w:rFonts w:cs="Arial"/>
                <w:sz w:val="16"/>
              </w:rPr>
            </w:pPr>
            <w:r w:rsidRPr="00B930DE">
              <w:rPr>
                <w:rFonts w:cs="Arial"/>
                <w:sz w:val="16"/>
              </w:rPr>
              <w:t>-10.26</w:t>
            </w:r>
          </w:p>
        </w:tc>
        <w:tc>
          <w:tcPr>
            <w:tcW w:w="356" w:type="pct"/>
            <w:noWrap/>
          </w:tcPr>
          <w:p w14:paraId="5F22F612" w14:textId="77777777" w:rsidR="00574B0D" w:rsidRPr="00B930DE" w:rsidRDefault="00574B0D" w:rsidP="00B930DE">
            <w:pPr>
              <w:spacing w:before="0" w:after="0"/>
              <w:jc w:val="center"/>
              <w:rPr>
                <w:rFonts w:cs="Arial"/>
                <w:sz w:val="16"/>
                <w:lang w:eastAsia="en-AU"/>
              </w:rPr>
            </w:pPr>
          </w:p>
        </w:tc>
        <w:tc>
          <w:tcPr>
            <w:tcW w:w="327" w:type="pct"/>
          </w:tcPr>
          <w:p w14:paraId="5F22F613" w14:textId="77777777" w:rsidR="00574B0D" w:rsidRPr="00B930DE" w:rsidRDefault="00574B0D" w:rsidP="00B930DE">
            <w:pPr>
              <w:spacing w:before="0" w:after="0"/>
              <w:jc w:val="center"/>
              <w:rPr>
                <w:rFonts w:cs="Arial"/>
                <w:sz w:val="16"/>
              </w:rPr>
            </w:pPr>
            <w:r w:rsidRPr="00B930DE">
              <w:rPr>
                <w:rFonts w:cs="Arial"/>
                <w:sz w:val="16"/>
              </w:rPr>
              <w:t>61.59</w:t>
            </w:r>
          </w:p>
        </w:tc>
        <w:tc>
          <w:tcPr>
            <w:tcW w:w="327" w:type="pct"/>
          </w:tcPr>
          <w:p w14:paraId="5F22F614" w14:textId="77777777" w:rsidR="00574B0D" w:rsidRPr="00B930DE" w:rsidRDefault="00574B0D" w:rsidP="00B930DE">
            <w:pPr>
              <w:spacing w:before="0" w:after="0"/>
              <w:jc w:val="center"/>
              <w:rPr>
                <w:rFonts w:cs="Arial"/>
                <w:sz w:val="16"/>
                <w:lang w:eastAsia="en-AU"/>
              </w:rPr>
            </w:pPr>
          </w:p>
        </w:tc>
      </w:tr>
      <w:tr w:rsidR="00574B0D" w:rsidRPr="00B930DE" w14:paraId="5F22F624" w14:textId="77777777" w:rsidTr="004A5BF7">
        <w:trPr>
          <w:trHeight w:val="300"/>
        </w:trPr>
        <w:tc>
          <w:tcPr>
            <w:tcW w:w="676" w:type="pct"/>
            <w:vMerge/>
            <w:hideMark/>
          </w:tcPr>
          <w:p w14:paraId="5F22F616" w14:textId="77777777" w:rsidR="00574B0D" w:rsidRPr="00B930DE" w:rsidRDefault="00574B0D" w:rsidP="00B930DE">
            <w:pPr>
              <w:spacing w:before="0" w:after="0"/>
              <w:jc w:val="center"/>
              <w:rPr>
                <w:rFonts w:cs="Arial"/>
                <w:sz w:val="16"/>
                <w:lang w:eastAsia="en-AU"/>
              </w:rPr>
            </w:pPr>
          </w:p>
        </w:tc>
        <w:tc>
          <w:tcPr>
            <w:tcW w:w="341" w:type="pct"/>
            <w:noWrap/>
            <w:hideMark/>
          </w:tcPr>
          <w:p w14:paraId="5F22F617" w14:textId="77777777" w:rsidR="00574B0D" w:rsidRPr="00B930DE" w:rsidRDefault="00574B0D" w:rsidP="00B930DE">
            <w:pPr>
              <w:spacing w:before="0" w:after="0"/>
              <w:jc w:val="center"/>
              <w:rPr>
                <w:rFonts w:cs="Arial"/>
                <w:sz w:val="16"/>
                <w:lang w:eastAsia="en-AU"/>
              </w:rPr>
            </w:pPr>
            <w:r w:rsidRPr="00B930DE">
              <w:rPr>
                <w:rFonts w:cs="Arial"/>
                <w:sz w:val="16"/>
                <w:lang w:eastAsia="en-AU"/>
              </w:rPr>
              <w:t>PLI</w:t>
            </w:r>
          </w:p>
        </w:tc>
        <w:tc>
          <w:tcPr>
            <w:tcW w:w="325" w:type="pct"/>
            <w:noWrap/>
            <w:hideMark/>
          </w:tcPr>
          <w:p w14:paraId="5F22F618" w14:textId="77777777" w:rsidR="00574B0D" w:rsidRPr="00B930DE" w:rsidRDefault="00574B0D" w:rsidP="00B930DE">
            <w:pPr>
              <w:spacing w:before="0" w:after="0"/>
              <w:jc w:val="center"/>
              <w:rPr>
                <w:rFonts w:cs="Arial"/>
                <w:sz w:val="16"/>
                <w:lang w:eastAsia="en-AU"/>
              </w:rPr>
            </w:pPr>
            <w:r w:rsidRPr="00B930DE">
              <w:rPr>
                <w:rFonts w:cs="Arial"/>
                <w:sz w:val="16"/>
                <w:lang w:eastAsia="en-AU"/>
              </w:rPr>
              <w:t>0.03</w:t>
            </w:r>
          </w:p>
        </w:tc>
        <w:tc>
          <w:tcPr>
            <w:tcW w:w="325" w:type="pct"/>
            <w:noWrap/>
            <w:hideMark/>
          </w:tcPr>
          <w:p w14:paraId="5F22F619" w14:textId="77777777" w:rsidR="00574B0D" w:rsidRPr="00B930DE" w:rsidRDefault="00574B0D" w:rsidP="00B930DE">
            <w:pPr>
              <w:spacing w:before="0" w:after="0"/>
              <w:jc w:val="center"/>
              <w:rPr>
                <w:rFonts w:cs="Arial"/>
                <w:sz w:val="16"/>
                <w:lang w:eastAsia="en-AU"/>
              </w:rPr>
            </w:pPr>
            <w:r w:rsidRPr="00B930DE">
              <w:rPr>
                <w:rFonts w:cs="Arial"/>
                <w:sz w:val="16"/>
                <w:lang w:eastAsia="en-AU"/>
              </w:rPr>
              <w:t>0.05</w:t>
            </w:r>
          </w:p>
        </w:tc>
        <w:tc>
          <w:tcPr>
            <w:tcW w:w="325" w:type="pct"/>
            <w:noWrap/>
            <w:hideMark/>
          </w:tcPr>
          <w:p w14:paraId="5F22F61A" w14:textId="77777777" w:rsidR="00574B0D" w:rsidRPr="00B930DE" w:rsidRDefault="00574B0D" w:rsidP="00B930DE">
            <w:pPr>
              <w:spacing w:before="0" w:after="0"/>
              <w:jc w:val="center"/>
              <w:rPr>
                <w:rFonts w:cs="Arial"/>
                <w:sz w:val="16"/>
                <w:lang w:eastAsia="en-AU"/>
              </w:rPr>
            </w:pPr>
            <w:r w:rsidRPr="00B930DE">
              <w:rPr>
                <w:rFonts w:cs="Arial"/>
                <w:sz w:val="16"/>
                <w:lang w:eastAsia="en-AU"/>
              </w:rPr>
              <w:t>0.04</w:t>
            </w:r>
          </w:p>
        </w:tc>
        <w:tc>
          <w:tcPr>
            <w:tcW w:w="325" w:type="pct"/>
            <w:noWrap/>
            <w:hideMark/>
          </w:tcPr>
          <w:p w14:paraId="5F22F61B" w14:textId="77777777" w:rsidR="00574B0D" w:rsidRPr="00B930DE" w:rsidRDefault="00574B0D" w:rsidP="00B930DE">
            <w:pPr>
              <w:spacing w:before="0" w:after="0"/>
              <w:jc w:val="center"/>
              <w:rPr>
                <w:rFonts w:cs="Arial"/>
                <w:sz w:val="16"/>
                <w:lang w:eastAsia="en-AU"/>
              </w:rPr>
            </w:pPr>
            <w:r w:rsidRPr="00B930DE">
              <w:rPr>
                <w:rFonts w:cs="Arial"/>
                <w:sz w:val="16"/>
                <w:lang w:eastAsia="en-AU"/>
              </w:rPr>
              <w:t>0.33</w:t>
            </w:r>
          </w:p>
        </w:tc>
        <w:tc>
          <w:tcPr>
            <w:tcW w:w="325" w:type="pct"/>
            <w:noWrap/>
            <w:hideMark/>
          </w:tcPr>
          <w:p w14:paraId="5F22F61C" w14:textId="77777777" w:rsidR="00574B0D" w:rsidRPr="00B930DE" w:rsidRDefault="00574B0D" w:rsidP="00B930DE">
            <w:pPr>
              <w:spacing w:before="0" w:after="0"/>
              <w:jc w:val="center"/>
              <w:rPr>
                <w:rFonts w:cs="Arial"/>
                <w:sz w:val="16"/>
                <w:lang w:eastAsia="en-AU"/>
              </w:rPr>
            </w:pPr>
            <w:r w:rsidRPr="00B930DE">
              <w:rPr>
                <w:rFonts w:cs="Arial"/>
                <w:sz w:val="16"/>
                <w:lang w:eastAsia="en-AU"/>
              </w:rPr>
              <w:t>0.53</w:t>
            </w:r>
          </w:p>
        </w:tc>
        <w:tc>
          <w:tcPr>
            <w:tcW w:w="325" w:type="pct"/>
            <w:noWrap/>
            <w:hideMark/>
          </w:tcPr>
          <w:p w14:paraId="5F22F61D" w14:textId="77777777" w:rsidR="00574B0D" w:rsidRPr="00B930DE" w:rsidRDefault="00574B0D" w:rsidP="00B930DE">
            <w:pPr>
              <w:spacing w:before="0" w:after="0"/>
              <w:jc w:val="center"/>
              <w:rPr>
                <w:rFonts w:cs="Arial"/>
                <w:sz w:val="16"/>
                <w:lang w:eastAsia="en-AU"/>
              </w:rPr>
            </w:pPr>
            <w:r w:rsidRPr="00B930DE">
              <w:rPr>
                <w:rFonts w:cs="Arial"/>
                <w:sz w:val="16"/>
                <w:lang w:eastAsia="en-AU"/>
              </w:rPr>
              <w:t>0.03</w:t>
            </w:r>
          </w:p>
        </w:tc>
        <w:tc>
          <w:tcPr>
            <w:tcW w:w="315" w:type="pct"/>
            <w:noWrap/>
            <w:hideMark/>
          </w:tcPr>
          <w:p w14:paraId="5F22F61E" w14:textId="77777777" w:rsidR="00574B0D" w:rsidRPr="00B930DE" w:rsidRDefault="00574B0D" w:rsidP="00B930DE">
            <w:pPr>
              <w:spacing w:before="0" w:after="0"/>
              <w:jc w:val="center"/>
              <w:rPr>
                <w:rFonts w:cs="Arial"/>
                <w:sz w:val="16"/>
                <w:lang w:eastAsia="en-AU"/>
              </w:rPr>
            </w:pPr>
            <w:r w:rsidRPr="00B930DE">
              <w:rPr>
                <w:rFonts w:cs="Arial"/>
                <w:sz w:val="16"/>
              </w:rPr>
              <w:t>1.00</w:t>
            </w:r>
          </w:p>
        </w:tc>
        <w:tc>
          <w:tcPr>
            <w:tcW w:w="353" w:type="pct"/>
            <w:noWrap/>
            <w:hideMark/>
          </w:tcPr>
          <w:p w14:paraId="5F22F61F" w14:textId="77777777" w:rsidR="00574B0D" w:rsidRPr="00B930DE" w:rsidRDefault="00574B0D" w:rsidP="00B930DE">
            <w:pPr>
              <w:spacing w:before="0" w:after="0"/>
              <w:jc w:val="center"/>
              <w:rPr>
                <w:rFonts w:cs="Arial"/>
                <w:sz w:val="16"/>
                <w:lang w:eastAsia="en-AU"/>
              </w:rPr>
            </w:pPr>
          </w:p>
        </w:tc>
        <w:tc>
          <w:tcPr>
            <w:tcW w:w="356" w:type="pct"/>
            <w:noWrap/>
          </w:tcPr>
          <w:p w14:paraId="5F22F620" w14:textId="77777777" w:rsidR="00574B0D" w:rsidRPr="00B930DE" w:rsidRDefault="00574B0D" w:rsidP="00B930DE">
            <w:pPr>
              <w:spacing w:before="0" w:after="0"/>
              <w:jc w:val="center"/>
              <w:rPr>
                <w:rFonts w:cs="Arial"/>
                <w:sz w:val="16"/>
              </w:rPr>
            </w:pPr>
            <w:r w:rsidRPr="00B930DE">
              <w:rPr>
                <w:rFonts w:cs="Arial"/>
                <w:sz w:val="16"/>
              </w:rPr>
              <w:t>35.78</w:t>
            </w:r>
          </w:p>
        </w:tc>
        <w:tc>
          <w:tcPr>
            <w:tcW w:w="356" w:type="pct"/>
            <w:noWrap/>
          </w:tcPr>
          <w:p w14:paraId="5F22F621" w14:textId="77777777" w:rsidR="00574B0D" w:rsidRPr="00B930DE" w:rsidRDefault="00574B0D" w:rsidP="00B930DE">
            <w:pPr>
              <w:spacing w:before="0" w:after="0"/>
              <w:jc w:val="center"/>
              <w:rPr>
                <w:rFonts w:cs="Arial"/>
                <w:sz w:val="16"/>
                <w:lang w:eastAsia="en-AU"/>
              </w:rPr>
            </w:pPr>
          </w:p>
        </w:tc>
        <w:tc>
          <w:tcPr>
            <w:tcW w:w="327" w:type="pct"/>
          </w:tcPr>
          <w:p w14:paraId="5F22F622" w14:textId="77777777" w:rsidR="00574B0D" w:rsidRPr="00B930DE" w:rsidRDefault="00574B0D" w:rsidP="00B930DE">
            <w:pPr>
              <w:spacing w:before="0" w:after="0"/>
              <w:jc w:val="center"/>
              <w:rPr>
                <w:rFonts w:cs="Arial"/>
                <w:sz w:val="16"/>
              </w:rPr>
            </w:pPr>
            <w:r w:rsidRPr="00B930DE">
              <w:rPr>
                <w:rFonts w:cs="Arial"/>
                <w:sz w:val="16"/>
              </w:rPr>
              <w:t>43.24</w:t>
            </w:r>
          </w:p>
        </w:tc>
        <w:tc>
          <w:tcPr>
            <w:tcW w:w="327" w:type="pct"/>
          </w:tcPr>
          <w:p w14:paraId="5F22F623" w14:textId="77777777" w:rsidR="00574B0D" w:rsidRPr="00B930DE" w:rsidRDefault="00574B0D" w:rsidP="00B930DE">
            <w:pPr>
              <w:spacing w:before="0" w:after="0"/>
              <w:jc w:val="center"/>
              <w:rPr>
                <w:rFonts w:cs="Arial"/>
                <w:sz w:val="16"/>
                <w:lang w:eastAsia="en-AU"/>
              </w:rPr>
            </w:pPr>
          </w:p>
        </w:tc>
      </w:tr>
      <w:tr w:rsidR="00574B0D" w:rsidRPr="00B930DE" w14:paraId="5F22F634" w14:textId="77777777" w:rsidTr="004A5BF7">
        <w:trPr>
          <w:trHeight w:val="300"/>
        </w:trPr>
        <w:tc>
          <w:tcPr>
            <w:tcW w:w="676" w:type="pct"/>
            <w:vMerge w:val="restart"/>
            <w:hideMark/>
          </w:tcPr>
          <w:p w14:paraId="5F22F625" w14:textId="5296B6D8" w:rsidR="00574B0D" w:rsidRPr="00B930DE" w:rsidRDefault="00574B0D" w:rsidP="00B930DE">
            <w:pPr>
              <w:spacing w:before="0" w:after="0"/>
              <w:jc w:val="center"/>
              <w:rPr>
                <w:rFonts w:cs="Arial"/>
                <w:sz w:val="16"/>
                <w:lang w:eastAsia="en-AU"/>
              </w:rPr>
            </w:pPr>
            <w:r w:rsidRPr="00B930DE">
              <w:rPr>
                <w:rFonts w:cs="Arial"/>
                <w:sz w:val="16"/>
                <w:lang w:eastAsia="en-AU"/>
              </w:rPr>
              <w:t>Mackay</w:t>
            </w:r>
            <w:r w:rsidR="00124249">
              <w:rPr>
                <w:rFonts w:cs="Arial"/>
                <w:sz w:val="16"/>
                <w:lang w:eastAsia="en-AU"/>
              </w:rPr>
              <w:t xml:space="preserve"> </w:t>
            </w:r>
            <w:r w:rsidRPr="00B930DE">
              <w:rPr>
                <w:rFonts w:cs="Arial"/>
                <w:sz w:val="16"/>
                <w:lang w:eastAsia="en-AU"/>
              </w:rPr>
              <w:t>Whitsunday</w:t>
            </w:r>
          </w:p>
          <w:p w14:paraId="5F22F626" w14:textId="77777777" w:rsidR="00574B0D" w:rsidRPr="00B930DE" w:rsidRDefault="00574B0D" w:rsidP="00B930DE">
            <w:pPr>
              <w:spacing w:before="0" w:after="0"/>
              <w:jc w:val="center"/>
              <w:rPr>
                <w:rFonts w:cs="Arial"/>
                <w:sz w:val="16"/>
                <w:lang w:eastAsia="en-AU"/>
              </w:rPr>
            </w:pPr>
            <w:r w:rsidRPr="00B930DE">
              <w:rPr>
                <w:rFonts w:cs="Arial"/>
                <w:sz w:val="16"/>
                <w:lang w:eastAsia="en-AU"/>
              </w:rPr>
              <w:t>(MW)</w:t>
            </w:r>
          </w:p>
        </w:tc>
        <w:tc>
          <w:tcPr>
            <w:tcW w:w="341" w:type="pct"/>
            <w:noWrap/>
            <w:hideMark/>
          </w:tcPr>
          <w:p w14:paraId="5F22F627" w14:textId="77777777" w:rsidR="00574B0D" w:rsidRPr="00B930DE" w:rsidRDefault="00574B0D" w:rsidP="00B930DE">
            <w:pPr>
              <w:spacing w:before="0" w:after="0"/>
              <w:jc w:val="center"/>
              <w:rPr>
                <w:rFonts w:cs="Arial"/>
                <w:sz w:val="16"/>
                <w:lang w:eastAsia="en-AU"/>
              </w:rPr>
            </w:pPr>
            <w:r w:rsidRPr="00B930DE">
              <w:rPr>
                <w:rFonts w:cs="Arial"/>
                <w:sz w:val="16"/>
                <w:lang w:eastAsia="en-AU"/>
              </w:rPr>
              <w:t>DDI</w:t>
            </w:r>
          </w:p>
        </w:tc>
        <w:tc>
          <w:tcPr>
            <w:tcW w:w="325" w:type="pct"/>
            <w:noWrap/>
            <w:hideMark/>
          </w:tcPr>
          <w:p w14:paraId="5F22F628"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29"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2A"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2B" w14:textId="77777777" w:rsidR="00574B0D" w:rsidRPr="00B930DE" w:rsidRDefault="00574B0D" w:rsidP="00B930DE">
            <w:pPr>
              <w:spacing w:before="0" w:after="0"/>
              <w:jc w:val="center"/>
              <w:rPr>
                <w:rFonts w:cs="Arial"/>
                <w:sz w:val="16"/>
                <w:lang w:eastAsia="en-AU"/>
              </w:rPr>
            </w:pPr>
            <w:r w:rsidRPr="00B930DE">
              <w:rPr>
                <w:rFonts w:cs="Arial"/>
                <w:sz w:val="16"/>
                <w:lang w:eastAsia="en-AU"/>
              </w:rPr>
              <w:t>0.03</w:t>
            </w:r>
          </w:p>
        </w:tc>
        <w:tc>
          <w:tcPr>
            <w:tcW w:w="325" w:type="pct"/>
            <w:noWrap/>
            <w:hideMark/>
          </w:tcPr>
          <w:p w14:paraId="5F22F62C" w14:textId="77777777" w:rsidR="00574B0D" w:rsidRPr="00B930DE" w:rsidRDefault="00574B0D" w:rsidP="00B930DE">
            <w:pPr>
              <w:spacing w:before="0" w:after="0"/>
              <w:jc w:val="center"/>
              <w:rPr>
                <w:rFonts w:cs="Arial"/>
                <w:sz w:val="16"/>
                <w:lang w:eastAsia="en-AU"/>
              </w:rPr>
            </w:pPr>
            <w:r w:rsidRPr="00B930DE">
              <w:rPr>
                <w:rFonts w:cs="Arial"/>
                <w:sz w:val="16"/>
                <w:lang w:eastAsia="en-AU"/>
              </w:rPr>
              <w:t>0.70</w:t>
            </w:r>
          </w:p>
        </w:tc>
        <w:tc>
          <w:tcPr>
            <w:tcW w:w="325" w:type="pct"/>
            <w:noWrap/>
            <w:hideMark/>
          </w:tcPr>
          <w:p w14:paraId="5F22F62D" w14:textId="77777777" w:rsidR="00574B0D" w:rsidRPr="00B930DE" w:rsidRDefault="00574B0D" w:rsidP="00B930DE">
            <w:pPr>
              <w:spacing w:before="0" w:after="0"/>
              <w:jc w:val="center"/>
              <w:rPr>
                <w:rFonts w:cs="Arial"/>
                <w:sz w:val="16"/>
                <w:lang w:eastAsia="en-AU"/>
              </w:rPr>
            </w:pPr>
            <w:r w:rsidRPr="00B930DE">
              <w:rPr>
                <w:rFonts w:cs="Arial"/>
                <w:sz w:val="16"/>
                <w:lang w:eastAsia="en-AU"/>
              </w:rPr>
              <w:t>0.16</w:t>
            </w:r>
          </w:p>
        </w:tc>
        <w:tc>
          <w:tcPr>
            <w:tcW w:w="315" w:type="pct"/>
            <w:noWrap/>
            <w:hideMark/>
          </w:tcPr>
          <w:p w14:paraId="5F22F62E" w14:textId="77777777" w:rsidR="00574B0D" w:rsidRPr="00B930DE" w:rsidRDefault="00574B0D" w:rsidP="00B930DE">
            <w:pPr>
              <w:spacing w:before="0" w:after="0"/>
              <w:jc w:val="center"/>
              <w:rPr>
                <w:rFonts w:cs="Arial"/>
                <w:sz w:val="16"/>
                <w:lang w:eastAsia="en-AU"/>
              </w:rPr>
            </w:pPr>
            <w:r w:rsidRPr="00B930DE">
              <w:rPr>
                <w:rFonts w:cs="Arial"/>
                <w:sz w:val="16"/>
              </w:rPr>
              <w:t>0.24</w:t>
            </w:r>
          </w:p>
        </w:tc>
        <w:tc>
          <w:tcPr>
            <w:tcW w:w="353" w:type="pct"/>
            <w:noWrap/>
            <w:hideMark/>
          </w:tcPr>
          <w:p w14:paraId="5F22F62F" w14:textId="77777777" w:rsidR="00574B0D" w:rsidRPr="00B930DE" w:rsidRDefault="00574B0D" w:rsidP="00B930DE">
            <w:pPr>
              <w:spacing w:before="0" w:after="0"/>
              <w:jc w:val="center"/>
              <w:rPr>
                <w:rFonts w:cs="Arial"/>
                <w:sz w:val="16"/>
                <w:lang w:eastAsia="en-AU"/>
              </w:rPr>
            </w:pPr>
            <w:r w:rsidRPr="00B930DE">
              <w:rPr>
                <w:rFonts w:cs="Arial"/>
                <w:sz w:val="16"/>
                <w:lang w:eastAsia="en-AU"/>
              </w:rPr>
              <w:t>0.18</w:t>
            </w:r>
          </w:p>
        </w:tc>
        <w:tc>
          <w:tcPr>
            <w:tcW w:w="356" w:type="pct"/>
            <w:noWrap/>
            <w:hideMark/>
          </w:tcPr>
          <w:p w14:paraId="5F22F630" w14:textId="77777777" w:rsidR="00574B0D" w:rsidRPr="00B930DE" w:rsidRDefault="00574B0D" w:rsidP="00B930DE">
            <w:pPr>
              <w:spacing w:before="0" w:after="0"/>
              <w:jc w:val="center"/>
              <w:rPr>
                <w:rFonts w:cs="Arial"/>
                <w:sz w:val="16"/>
              </w:rPr>
            </w:pPr>
            <w:r w:rsidRPr="00B930DE">
              <w:rPr>
                <w:rFonts w:cs="Arial"/>
                <w:sz w:val="16"/>
              </w:rPr>
              <w:t>1.67</w:t>
            </w:r>
          </w:p>
        </w:tc>
        <w:tc>
          <w:tcPr>
            <w:tcW w:w="356" w:type="pct"/>
            <w:noWrap/>
            <w:hideMark/>
          </w:tcPr>
          <w:p w14:paraId="5F22F631" w14:textId="77777777" w:rsidR="00574B0D" w:rsidRPr="00B930DE" w:rsidRDefault="00574B0D" w:rsidP="00B930DE">
            <w:pPr>
              <w:spacing w:before="0" w:after="0"/>
              <w:jc w:val="center"/>
              <w:rPr>
                <w:rFonts w:cs="Arial"/>
                <w:sz w:val="16"/>
                <w:lang w:eastAsia="en-AU"/>
              </w:rPr>
            </w:pPr>
            <w:r w:rsidRPr="00B930DE">
              <w:rPr>
                <w:rFonts w:cs="Arial"/>
                <w:sz w:val="16"/>
                <w:lang w:eastAsia="en-AU"/>
              </w:rPr>
              <w:t>2.54</w:t>
            </w:r>
          </w:p>
        </w:tc>
        <w:tc>
          <w:tcPr>
            <w:tcW w:w="327" w:type="pct"/>
          </w:tcPr>
          <w:p w14:paraId="5F22F632" w14:textId="77777777" w:rsidR="00574B0D" w:rsidRPr="00B930DE" w:rsidRDefault="00574B0D" w:rsidP="00B930DE">
            <w:pPr>
              <w:spacing w:before="0" w:after="0"/>
              <w:jc w:val="center"/>
              <w:rPr>
                <w:rFonts w:cs="Arial"/>
                <w:sz w:val="16"/>
              </w:rPr>
            </w:pPr>
            <w:r w:rsidRPr="00B930DE">
              <w:rPr>
                <w:rFonts w:cs="Arial"/>
                <w:sz w:val="16"/>
              </w:rPr>
              <w:t>2.86</w:t>
            </w:r>
          </w:p>
        </w:tc>
        <w:tc>
          <w:tcPr>
            <w:tcW w:w="327" w:type="pct"/>
          </w:tcPr>
          <w:p w14:paraId="5F22F633" w14:textId="77777777" w:rsidR="00574B0D" w:rsidRPr="00B930DE" w:rsidRDefault="00574B0D" w:rsidP="00B930DE">
            <w:pPr>
              <w:spacing w:before="0" w:after="0"/>
              <w:jc w:val="center"/>
              <w:rPr>
                <w:rFonts w:cs="Arial"/>
                <w:sz w:val="16"/>
                <w:lang w:eastAsia="en-AU"/>
              </w:rPr>
            </w:pPr>
            <w:r w:rsidRPr="00B930DE">
              <w:rPr>
                <w:rFonts w:cs="Arial"/>
                <w:sz w:val="16"/>
                <w:lang w:eastAsia="en-AU"/>
              </w:rPr>
              <w:t>9.87</w:t>
            </w:r>
          </w:p>
        </w:tc>
      </w:tr>
      <w:tr w:rsidR="00574B0D" w:rsidRPr="00B930DE" w14:paraId="5F22F643" w14:textId="77777777" w:rsidTr="004A5BF7">
        <w:trPr>
          <w:trHeight w:val="300"/>
        </w:trPr>
        <w:tc>
          <w:tcPr>
            <w:tcW w:w="676" w:type="pct"/>
            <w:vMerge/>
            <w:hideMark/>
          </w:tcPr>
          <w:p w14:paraId="5F22F635" w14:textId="77777777" w:rsidR="00574B0D" w:rsidRPr="00B930DE" w:rsidRDefault="00574B0D" w:rsidP="00B930DE">
            <w:pPr>
              <w:spacing w:before="0" w:after="0"/>
              <w:jc w:val="center"/>
              <w:rPr>
                <w:rFonts w:cs="Arial"/>
                <w:sz w:val="16"/>
                <w:lang w:eastAsia="en-AU"/>
              </w:rPr>
            </w:pPr>
          </w:p>
        </w:tc>
        <w:tc>
          <w:tcPr>
            <w:tcW w:w="341" w:type="pct"/>
            <w:noWrap/>
            <w:hideMark/>
          </w:tcPr>
          <w:p w14:paraId="5F22F636" w14:textId="77777777" w:rsidR="00574B0D" w:rsidRPr="00B930DE" w:rsidRDefault="00574B0D" w:rsidP="00B930DE">
            <w:pPr>
              <w:spacing w:before="0" w:after="0"/>
              <w:jc w:val="center"/>
              <w:rPr>
                <w:rFonts w:cs="Arial"/>
                <w:sz w:val="16"/>
                <w:lang w:eastAsia="en-AU"/>
              </w:rPr>
            </w:pPr>
            <w:r w:rsidRPr="00B930DE">
              <w:rPr>
                <w:rFonts w:cs="Arial"/>
                <w:sz w:val="16"/>
                <w:lang w:eastAsia="en-AU"/>
              </w:rPr>
              <w:t>DI</w:t>
            </w:r>
          </w:p>
        </w:tc>
        <w:tc>
          <w:tcPr>
            <w:tcW w:w="325" w:type="pct"/>
            <w:noWrap/>
            <w:hideMark/>
          </w:tcPr>
          <w:p w14:paraId="5F22F637"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38"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39"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3A" w14:textId="77777777" w:rsidR="00574B0D" w:rsidRPr="00B930DE" w:rsidRDefault="00574B0D" w:rsidP="00B930DE">
            <w:pPr>
              <w:spacing w:before="0" w:after="0"/>
              <w:jc w:val="center"/>
              <w:rPr>
                <w:rFonts w:cs="Arial"/>
                <w:sz w:val="16"/>
                <w:lang w:eastAsia="en-AU"/>
              </w:rPr>
            </w:pPr>
            <w:r w:rsidRPr="00B930DE">
              <w:rPr>
                <w:rFonts w:cs="Arial"/>
                <w:sz w:val="16"/>
                <w:lang w:eastAsia="en-AU"/>
              </w:rPr>
              <w:t>0.02</w:t>
            </w:r>
          </w:p>
        </w:tc>
        <w:tc>
          <w:tcPr>
            <w:tcW w:w="325" w:type="pct"/>
            <w:noWrap/>
            <w:hideMark/>
          </w:tcPr>
          <w:p w14:paraId="5F22F63B" w14:textId="77777777" w:rsidR="00574B0D" w:rsidRPr="00B930DE" w:rsidRDefault="00574B0D" w:rsidP="00B930DE">
            <w:pPr>
              <w:spacing w:before="0" w:after="0"/>
              <w:jc w:val="center"/>
              <w:rPr>
                <w:rFonts w:cs="Arial"/>
                <w:sz w:val="16"/>
                <w:lang w:eastAsia="en-AU"/>
              </w:rPr>
            </w:pPr>
            <w:r w:rsidRPr="00B930DE">
              <w:rPr>
                <w:rFonts w:cs="Arial"/>
                <w:sz w:val="16"/>
                <w:lang w:eastAsia="en-AU"/>
              </w:rPr>
              <w:t>0.75</w:t>
            </w:r>
          </w:p>
        </w:tc>
        <w:tc>
          <w:tcPr>
            <w:tcW w:w="325" w:type="pct"/>
            <w:noWrap/>
            <w:hideMark/>
          </w:tcPr>
          <w:p w14:paraId="5F22F63C" w14:textId="77777777" w:rsidR="00574B0D" w:rsidRPr="00B930DE" w:rsidRDefault="00574B0D" w:rsidP="00B930DE">
            <w:pPr>
              <w:spacing w:before="0" w:after="0"/>
              <w:jc w:val="center"/>
              <w:rPr>
                <w:rFonts w:cs="Arial"/>
                <w:sz w:val="16"/>
                <w:lang w:eastAsia="en-AU"/>
              </w:rPr>
            </w:pPr>
            <w:r w:rsidRPr="00B930DE">
              <w:rPr>
                <w:rFonts w:cs="Arial"/>
                <w:sz w:val="16"/>
                <w:lang w:eastAsia="en-AU"/>
              </w:rPr>
              <w:t>0.08</w:t>
            </w:r>
          </w:p>
        </w:tc>
        <w:tc>
          <w:tcPr>
            <w:tcW w:w="315" w:type="pct"/>
            <w:noWrap/>
            <w:hideMark/>
          </w:tcPr>
          <w:p w14:paraId="5F22F63D" w14:textId="77777777" w:rsidR="00574B0D" w:rsidRPr="00B930DE" w:rsidRDefault="00574B0D" w:rsidP="00B930DE">
            <w:pPr>
              <w:spacing w:before="0" w:after="0"/>
              <w:jc w:val="center"/>
              <w:rPr>
                <w:rFonts w:cs="Arial"/>
                <w:sz w:val="16"/>
                <w:lang w:eastAsia="en-AU"/>
              </w:rPr>
            </w:pPr>
            <w:r w:rsidRPr="00B930DE">
              <w:rPr>
                <w:rFonts w:cs="Arial"/>
                <w:sz w:val="16"/>
              </w:rPr>
              <w:t>0.27</w:t>
            </w:r>
          </w:p>
        </w:tc>
        <w:tc>
          <w:tcPr>
            <w:tcW w:w="353" w:type="pct"/>
            <w:noWrap/>
            <w:hideMark/>
          </w:tcPr>
          <w:p w14:paraId="5F22F63E" w14:textId="77777777" w:rsidR="00574B0D" w:rsidRPr="00B930DE" w:rsidRDefault="00574B0D" w:rsidP="00B930DE">
            <w:pPr>
              <w:spacing w:before="0" w:after="0"/>
              <w:jc w:val="center"/>
              <w:rPr>
                <w:rFonts w:cs="Arial"/>
                <w:sz w:val="16"/>
                <w:lang w:eastAsia="en-AU"/>
              </w:rPr>
            </w:pPr>
          </w:p>
        </w:tc>
        <w:tc>
          <w:tcPr>
            <w:tcW w:w="356" w:type="pct"/>
            <w:noWrap/>
          </w:tcPr>
          <w:p w14:paraId="5F22F63F" w14:textId="77777777" w:rsidR="00574B0D" w:rsidRPr="00B930DE" w:rsidRDefault="00574B0D" w:rsidP="00B930DE">
            <w:pPr>
              <w:spacing w:before="0" w:after="0"/>
              <w:jc w:val="center"/>
              <w:rPr>
                <w:rFonts w:cs="Arial"/>
                <w:sz w:val="16"/>
              </w:rPr>
            </w:pPr>
            <w:r w:rsidRPr="00B930DE">
              <w:rPr>
                <w:rFonts w:cs="Arial"/>
                <w:sz w:val="16"/>
              </w:rPr>
              <w:t>-1.15</w:t>
            </w:r>
          </w:p>
        </w:tc>
        <w:tc>
          <w:tcPr>
            <w:tcW w:w="356" w:type="pct"/>
            <w:noWrap/>
          </w:tcPr>
          <w:p w14:paraId="5F22F640" w14:textId="77777777" w:rsidR="00574B0D" w:rsidRPr="00B930DE" w:rsidRDefault="00574B0D" w:rsidP="00B930DE">
            <w:pPr>
              <w:spacing w:before="0" w:after="0"/>
              <w:jc w:val="center"/>
              <w:rPr>
                <w:rFonts w:cs="Arial"/>
                <w:sz w:val="16"/>
                <w:lang w:eastAsia="en-AU"/>
              </w:rPr>
            </w:pPr>
          </w:p>
        </w:tc>
        <w:tc>
          <w:tcPr>
            <w:tcW w:w="327" w:type="pct"/>
          </w:tcPr>
          <w:p w14:paraId="5F22F641" w14:textId="77777777" w:rsidR="00574B0D" w:rsidRPr="00B930DE" w:rsidRDefault="00574B0D" w:rsidP="00B930DE">
            <w:pPr>
              <w:spacing w:before="0" w:after="0"/>
              <w:jc w:val="center"/>
              <w:rPr>
                <w:rFonts w:cs="Arial"/>
                <w:sz w:val="16"/>
              </w:rPr>
            </w:pPr>
            <w:r w:rsidRPr="00B930DE">
              <w:rPr>
                <w:rFonts w:cs="Arial"/>
                <w:sz w:val="16"/>
              </w:rPr>
              <w:t>0.33</w:t>
            </w:r>
          </w:p>
        </w:tc>
        <w:tc>
          <w:tcPr>
            <w:tcW w:w="327" w:type="pct"/>
          </w:tcPr>
          <w:p w14:paraId="5F22F642" w14:textId="77777777" w:rsidR="00574B0D" w:rsidRPr="00B930DE" w:rsidRDefault="00574B0D" w:rsidP="00B930DE">
            <w:pPr>
              <w:spacing w:before="0" w:after="0"/>
              <w:jc w:val="center"/>
              <w:rPr>
                <w:rFonts w:cs="Arial"/>
                <w:sz w:val="16"/>
                <w:lang w:eastAsia="en-AU"/>
              </w:rPr>
            </w:pPr>
          </w:p>
        </w:tc>
      </w:tr>
      <w:tr w:rsidR="00574B0D" w:rsidRPr="00B930DE" w14:paraId="5F22F652" w14:textId="77777777" w:rsidTr="004A5BF7">
        <w:trPr>
          <w:trHeight w:val="300"/>
        </w:trPr>
        <w:tc>
          <w:tcPr>
            <w:tcW w:w="676" w:type="pct"/>
            <w:vMerge/>
            <w:hideMark/>
          </w:tcPr>
          <w:p w14:paraId="5F22F644" w14:textId="77777777" w:rsidR="00574B0D" w:rsidRPr="00B930DE" w:rsidRDefault="00574B0D" w:rsidP="00B930DE">
            <w:pPr>
              <w:spacing w:before="0" w:after="0"/>
              <w:jc w:val="center"/>
              <w:rPr>
                <w:rFonts w:cs="Arial"/>
                <w:sz w:val="16"/>
                <w:lang w:eastAsia="en-AU"/>
              </w:rPr>
            </w:pPr>
          </w:p>
        </w:tc>
        <w:tc>
          <w:tcPr>
            <w:tcW w:w="341" w:type="pct"/>
            <w:noWrap/>
            <w:hideMark/>
          </w:tcPr>
          <w:p w14:paraId="5F22F645" w14:textId="77777777" w:rsidR="00574B0D" w:rsidRPr="00B930DE" w:rsidRDefault="00574B0D" w:rsidP="00B930DE">
            <w:pPr>
              <w:spacing w:before="0" w:after="0"/>
              <w:jc w:val="center"/>
              <w:rPr>
                <w:rFonts w:cs="Arial"/>
                <w:sz w:val="16"/>
                <w:lang w:eastAsia="en-AU"/>
              </w:rPr>
            </w:pPr>
            <w:r w:rsidRPr="00B930DE">
              <w:rPr>
                <w:rFonts w:cs="Arial"/>
                <w:sz w:val="16"/>
                <w:lang w:eastAsia="en-AU"/>
              </w:rPr>
              <w:t>DCI</w:t>
            </w:r>
          </w:p>
        </w:tc>
        <w:tc>
          <w:tcPr>
            <w:tcW w:w="325" w:type="pct"/>
            <w:noWrap/>
            <w:hideMark/>
          </w:tcPr>
          <w:p w14:paraId="5F22F646"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47"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48"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49"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64A" w14:textId="77777777" w:rsidR="00574B0D" w:rsidRPr="00B930DE" w:rsidRDefault="00574B0D" w:rsidP="00B930DE">
            <w:pPr>
              <w:spacing w:before="0" w:after="0"/>
              <w:jc w:val="center"/>
              <w:rPr>
                <w:rFonts w:cs="Arial"/>
                <w:sz w:val="16"/>
                <w:lang w:eastAsia="en-AU"/>
              </w:rPr>
            </w:pPr>
            <w:r w:rsidRPr="00B930DE">
              <w:rPr>
                <w:rFonts w:cs="Arial"/>
                <w:sz w:val="16"/>
                <w:lang w:eastAsia="en-AU"/>
              </w:rPr>
              <w:t>0.39</w:t>
            </w:r>
          </w:p>
        </w:tc>
        <w:tc>
          <w:tcPr>
            <w:tcW w:w="325" w:type="pct"/>
            <w:noWrap/>
            <w:hideMark/>
          </w:tcPr>
          <w:p w14:paraId="5F22F64B" w14:textId="77777777" w:rsidR="00574B0D" w:rsidRPr="00B930DE" w:rsidRDefault="00574B0D" w:rsidP="00B930DE">
            <w:pPr>
              <w:spacing w:before="0" w:after="0"/>
              <w:jc w:val="center"/>
              <w:rPr>
                <w:rFonts w:cs="Arial"/>
                <w:sz w:val="16"/>
                <w:lang w:eastAsia="en-AU"/>
              </w:rPr>
            </w:pPr>
            <w:r w:rsidRPr="00B930DE">
              <w:rPr>
                <w:rFonts w:cs="Arial"/>
                <w:sz w:val="16"/>
                <w:lang w:eastAsia="en-AU"/>
              </w:rPr>
              <w:t>0.47</w:t>
            </w:r>
          </w:p>
        </w:tc>
        <w:tc>
          <w:tcPr>
            <w:tcW w:w="315" w:type="pct"/>
            <w:noWrap/>
            <w:hideMark/>
          </w:tcPr>
          <w:p w14:paraId="5F22F64C" w14:textId="77777777" w:rsidR="00574B0D" w:rsidRPr="00B930DE" w:rsidRDefault="00574B0D" w:rsidP="00B930DE">
            <w:pPr>
              <w:spacing w:before="0" w:after="0"/>
              <w:jc w:val="center"/>
              <w:rPr>
                <w:rFonts w:cs="Arial"/>
                <w:sz w:val="16"/>
                <w:lang w:eastAsia="en-AU"/>
              </w:rPr>
            </w:pPr>
            <w:r w:rsidRPr="00B930DE">
              <w:rPr>
                <w:rFonts w:cs="Arial"/>
                <w:sz w:val="16"/>
              </w:rPr>
              <w:t>0.05</w:t>
            </w:r>
          </w:p>
        </w:tc>
        <w:tc>
          <w:tcPr>
            <w:tcW w:w="353" w:type="pct"/>
            <w:noWrap/>
            <w:hideMark/>
          </w:tcPr>
          <w:p w14:paraId="5F22F64D" w14:textId="77777777" w:rsidR="00574B0D" w:rsidRPr="00B930DE" w:rsidRDefault="00574B0D" w:rsidP="00B930DE">
            <w:pPr>
              <w:spacing w:before="0" w:after="0"/>
              <w:jc w:val="center"/>
              <w:rPr>
                <w:rFonts w:cs="Arial"/>
                <w:sz w:val="16"/>
                <w:lang w:eastAsia="en-AU"/>
              </w:rPr>
            </w:pPr>
          </w:p>
        </w:tc>
        <w:tc>
          <w:tcPr>
            <w:tcW w:w="356" w:type="pct"/>
            <w:noWrap/>
          </w:tcPr>
          <w:p w14:paraId="5F22F64E" w14:textId="77777777" w:rsidR="00574B0D" w:rsidRPr="00B930DE" w:rsidRDefault="00574B0D" w:rsidP="00B930DE">
            <w:pPr>
              <w:spacing w:before="0" w:after="0"/>
              <w:jc w:val="center"/>
              <w:rPr>
                <w:rFonts w:cs="Arial"/>
                <w:sz w:val="16"/>
              </w:rPr>
            </w:pPr>
            <w:r w:rsidRPr="00B930DE">
              <w:rPr>
                <w:rFonts w:cs="Arial"/>
                <w:sz w:val="16"/>
              </w:rPr>
              <w:t>0.25</w:t>
            </w:r>
          </w:p>
        </w:tc>
        <w:tc>
          <w:tcPr>
            <w:tcW w:w="356" w:type="pct"/>
            <w:noWrap/>
          </w:tcPr>
          <w:p w14:paraId="5F22F64F" w14:textId="77777777" w:rsidR="00574B0D" w:rsidRPr="00B930DE" w:rsidRDefault="00574B0D" w:rsidP="00B930DE">
            <w:pPr>
              <w:spacing w:before="0" w:after="0"/>
              <w:jc w:val="center"/>
              <w:rPr>
                <w:rFonts w:cs="Arial"/>
                <w:sz w:val="16"/>
                <w:lang w:eastAsia="en-AU"/>
              </w:rPr>
            </w:pPr>
          </w:p>
        </w:tc>
        <w:tc>
          <w:tcPr>
            <w:tcW w:w="327" w:type="pct"/>
          </w:tcPr>
          <w:p w14:paraId="5F22F650" w14:textId="77777777" w:rsidR="00574B0D" w:rsidRPr="00B930DE" w:rsidRDefault="00574B0D" w:rsidP="00B930DE">
            <w:pPr>
              <w:spacing w:before="0" w:after="0"/>
              <w:jc w:val="center"/>
              <w:rPr>
                <w:rFonts w:cs="Arial"/>
                <w:sz w:val="16"/>
              </w:rPr>
            </w:pPr>
            <w:r w:rsidRPr="00B930DE">
              <w:rPr>
                <w:rFonts w:cs="Arial"/>
                <w:sz w:val="16"/>
              </w:rPr>
              <w:t>0.14</w:t>
            </w:r>
          </w:p>
        </w:tc>
        <w:tc>
          <w:tcPr>
            <w:tcW w:w="327" w:type="pct"/>
          </w:tcPr>
          <w:p w14:paraId="5F22F651" w14:textId="77777777" w:rsidR="00574B0D" w:rsidRPr="00B930DE" w:rsidRDefault="00574B0D" w:rsidP="00B930DE">
            <w:pPr>
              <w:spacing w:before="0" w:after="0"/>
              <w:jc w:val="center"/>
              <w:rPr>
                <w:rFonts w:cs="Arial"/>
                <w:sz w:val="16"/>
                <w:lang w:eastAsia="en-AU"/>
              </w:rPr>
            </w:pPr>
          </w:p>
        </w:tc>
      </w:tr>
      <w:tr w:rsidR="00574B0D" w:rsidRPr="00B930DE" w14:paraId="5F22F661" w14:textId="77777777" w:rsidTr="004A5BF7">
        <w:trPr>
          <w:trHeight w:val="300"/>
        </w:trPr>
        <w:tc>
          <w:tcPr>
            <w:tcW w:w="676" w:type="pct"/>
            <w:vMerge/>
            <w:hideMark/>
          </w:tcPr>
          <w:p w14:paraId="5F22F653" w14:textId="77777777" w:rsidR="00574B0D" w:rsidRPr="00B930DE" w:rsidRDefault="00574B0D" w:rsidP="00B930DE">
            <w:pPr>
              <w:spacing w:before="0" w:after="0"/>
              <w:jc w:val="center"/>
              <w:rPr>
                <w:rFonts w:cs="Arial"/>
                <w:sz w:val="16"/>
                <w:lang w:eastAsia="en-AU"/>
              </w:rPr>
            </w:pPr>
          </w:p>
        </w:tc>
        <w:tc>
          <w:tcPr>
            <w:tcW w:w="341" w:type="pct"/>
            <w:noWrap/>
            <w:hideMark/>
          </w:tcPr>
          <w:p w14:paraId="5F22F654" w14:textId="77777777" w:rsidR="00574B0D" w:rsidRPr="00B930DE" w:rsidRDefault="00574B0D" w:rsidP="00B930DE">
            <w:pPr>
              <w:spacing w:before="0" w:after="0"/>
              <w:jc w:val="center"/>
              <w:rPr>
                <w:rFonts w:cs="Arial"/>
                <w:sz w:val="16"/>
                <w:lang w:eastAsia="en-AU"/>
              </w:rPr>
            </w:pPr>
            <w:r w:rsidRPr="00B930DE">
              <w:rPr>
                <w:rFonts w:cs="Arial"/>
                <w:sz w:val="16"/>
                <w:lang w:eastAsia="en-AU"/>
              </w:rPr>
              <w:t>HI</w:t>
            </w:r>
          </w:p>
        </w:tc>
        <w:tc>
          <w:tcPr>
            <w:tcW w:w="325" w:type="pct"/>
            <w:noWrap/>
            <w:hideMark/>
          </w:tcPr>
          <w:p w14:paraId="5F22F655"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56"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57"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58" w14:textId="77777777" w:rsidR="00574B0D" w:rsidRPr="00B930DE" w:rsidRDefault="00574B0D" w:rsidP="00B930DE">
            <w:pPr>
              <w:spacing w:before="0" w:after="0"/>
              <w:jc w:val="center"/>
              <w:rPr>
                <w:rFonts w:cs="Arial"/>
                <w:sz w:val="16"/>
                <w:lang w:eastAsia="en-AU"/>
              </w:rPr>
            </w:pPr>
            <w:r w:rsidRPr="00B930DE">
              <w:rPr>
                <w:rFonts w:cs="Arial"/>
                <w:sz w:val="16"/>
                <w:lang w:eastAsia="en-AU"/>
              </w:rPr>
              <w:t>0.02</w:t>
            </w:r>
          </w:p>
        </w:tc>
        <w:tc>
          <w:tcPr>
            <w:tcW w:w="325" w:type="pct"/>
            <w:noWrap/>
            <w:hideMark/>
          </w:tcPr>
          <w:p w14:paraId="5F22F659" w14:textId="77777777" w:rsidR="00574B0D" w:rsidRPr="00B930DE" w:rsidRDefault="00574B0D" w:rsidP="00B930DE">
            <w:pPr>
              <w:spacing w:before="0" w:after="0"/>
              <w:jc w:val="center"/>
              <w:rPr>
                <w:rFonts w:cs="Arial"/>
                <w:sz w:val="16"/>
                <w:lang w:eastAsia="en-AU"/>
              </w:rPr>
            </w:pPr>
            <w:r w:rsidRPr="00B930DE">
              <w:rPr>
                <w:rFonts w:cs="Arial"/>
                <w:sz w:val="16"/>
                <w:lang w:eastAsia="en-AU"/>
              </w:rPr>
              <w:t>0.40</w:t>
            </w:r>
          </w:p>
        </w:tc>
        <w:tc>
          <w:tcPr>
            <w:tcW w:w="325" w:type="pct"/>
            <w:noWrap/>
            <w:hideMark/>
          </w:tcPr>
          <w:p w14:paraId="5F22F65A" w14:textId="77777777" w:rsidR="00574B0D" w:rsidRPr="00B930DE" w:rsidRDefault="00574B0D" w:rsidP="00B930DE">
            <w:pPr>
              <w:spacing w:before="0" w:after="0"/>
              <w:jc w:val="center"/>
              <w:rPr>
                <w:rFonts w:cs="Arial"/>
                <w:sz w:val="16"/>
                <w:lang w:eastAsia="en-AU"/>
              </w:rPr>
            </w:pPr>
            <w:r w:rsidRPr="00B930DE">
              <w:rPr>
                <w:rFonts w:cs="Arial"/>
                <w:sz w:val="16"/>
                <w:lang w:eastAsia="en-AU"/>
              </w:rPr>
              <w:t>0.43</w:t>
            </w:r>
          </w:p>
        </w:tc>
        <w:tc>
          <w:tcPr>
            <w:tcW w:w="315" w:type="pct"/>
            <w:noWrap/>
            <w:hideMark/>
          </w:tcPr>
          <w:p w14:paraId="5F22F65B" w14:textId="77777777" w:rsidR="00574B0D" w:rsidRPr="00B930DE" w:rsidRDefault="00574B0D" w:rsidP="00B930DE">
            <w:pPr>
              <w:spacing w:before="0" w:after="0"/>
              <w:jc w:val="center"/>
              <w:rPr>
                <w:rFonts w:cs="Arial"/>
                <w:sz w:val="16"/>
                <w:lang w:eastAsia="en-AU"/>
              </w:rPr>
            </w:pPr>
            <w:r w:rsidRPr="00B930DE">
              <w:rPr>
                <w:rFonts w:cs="Arial"/>
                <w:sz w:val="16"/>
              </w:rPr>
              <w:t>0.07</w:t>
            </w:r>
          </w:p>
        </w:tc>
        <w:tc>
          <w:tcPr>
            <w:tcW w:w="353" w:type="pct"/>
            <w:noWrap/>
            <w:hideMark/>
          </w:tcPr>
          <w:p w14:paraId="5F22F65C" w14:textId="77777777" w:rsidR="00574B0D" w:rsidRPr="00B930DE" w:rsidRDefault="00574B0D" w:rsidP="00B930DE">
            <w:pPr>
              <w:spacing w:before="0" w:after="0"/>
              <w:jc w:val="center"/>
              <w:rPr>
                <w:rFonts w:cs="Arial"/>
                <w:sz w:val="16"/>
                <w:lang w:eastAsia="en-AU"/>
              </w:rPr>
            </w:pPr>
          </w:p>
        </w:tc>
        <w:tc>
          <w:tcPr>
            <w:tcW w:w="356" w:type="pct"/>
            <w:noWrap/>
          </w:tcPr>
          <w:p w14:paraId="5F22F65D" w14:textId="77777777" w:rsidR="00574B0D" w:rsidRPr="00B930DE" w:rsidRDefault="00574B0D" w:rsidP="00B930DE">
            <w:pPr>
              <w:spacing w:before="0" w:after="0"/>
              <w:jc w:val="center"/>
              <w:rPr>
                <w:rFonts w:cs="Arial"/>
                <w:sz w:val="16"/>
              </w:rPr>
            </w:pPr>
            <w:r w:rsidRPr="00B930DE">
              <w:rPr>
                <w:rFonts w:cs="Arial"/>
                <w:sz w:val="16"/>
              </w:rPr>
              <w:t>-0.15</w:t>
            </w:r>
          </w:p>
        </w:tc>
        <w:tc>
          <w:tcPr>
            <w:tcW w:w="356" w:type="pct"/>
            <w:noWrap/>
          </w:tcPr>
          <w:p w14:paraId="5F22F65E" w14:textId="77777777" w:rsidR="00574B0D" w:rsidRPr="00B930DE" w:rsidRDefault="00574B0D" w:rsidP="00B930DE">
            <w:pPr>
              <w:spacing w:before="0" w:after="0"/>
              <w:jc w:val="center"/>
              <w:rPr>
                <w:rFonts w:cs="Arial"/>
                <w:sz w:val="16"/>
                <w:lang w:eastAsia="en-AU"/>
              </w:rPr>
            </w:pPr>
          </w:p>
        </w:tc>
        <w:tc>
          <w:tcPr>
            <w:tcW w:w="327" w:type="pct"/>
          </w:tcPr>
          <w:p w14:paraId="5F22F65F" w14:textId="77777777" w:rsidR="00574B0D" w:rsidRPr="00B930DE" w:rsidRDefault="00574B0D" w:rsidP="00B930DE">
            <w:pPr>
              <w:spacing w:before="0" w:after="0"/>
              <w:jc w:val="center"/>
              <w:rPr>
                <w:rFonts w:cs="Arial"/>
                <w:sz w:val="16"/>
              </w:rPr>
            </w:pPr>
            <w:r w:rsidRPr="00B930DE">
              <w:rPr>
                <w:rFonts w:cs="Arial"/>
                <w:sz w:val="16"/>
              </w:rPr>
              <w:t>2.03</w:t>
            </w:r>
          </w:p>
        </w:tc>
        <w:tc>
          <w:tcPr>
            <w:tcW w:w="327" w:type="pct"/>
          </w:tcPr>
          <w:p w14:paraId="5F22F660" w14:textId="77777777" w:rsidR="00574B0D" w:rsidRPr="00B930DE" w:rsidRDefault="00574B0D" w:rsidP="00B930DE">
            <w:pPr>
              <w:spacing w:before="0" w:after="0"/>
              <w:jc w:val="center"/>
              <w:rPr>
                <w:rFonts w:cs="Arial"/>
                <w:sz w:val="16"/>
                <w:lang w:eastAsia="en-AU"/>
              </w:rPr>
            </w:pPr>
          </w:p>
        </w:tc>
      </w:tr>
      <w:tr w:rsidR="00574B0D" w:rsidRPr="00B930DE" w14:paraId="5F22F670" w14:textId="77777777" w:rsidTr="004A5BF7">
        <w:trPr>
          <w:trHeight w:val="300"/>
        </w:trPr>
        <w:tc>
          <w:tcPr>
            <w:tcW w:w="676" w:type="pct"/>
            <w:vMerge/>
            <w:hideMark/>
          </w:tcPr>
          <w:p w14:paraId="5F22F662" w14:textId="77777777" w:rsidR="00574B0D" w:rsidRPr="00B930DE" w:rsidRDefault="00574B0D" w:rsidP="00B930DE">
            <w:pPr>
              <w:spacing w:before="0" w:after="0"/>
              <w:jc w:val="center"/>
              <w:rPr>
                <w:rFonts w:cs="Arial"/>
                <w:sz w:val="16"/>
                <w:lang w:eastAsia="en-AU"/>
              </w:rPr>
            </w:pPr>
          </w:p>
        </w:tc>
        <w:tc>
          <w:tcPr>
            <w:tcW w:w="341" w:type="pct"/>
            <w:noWrap/>
            <w:hideMark/>
          </w:tcPr>
          <w:p w14:paraId="5F22F663" w14:textId="77777777" w:rsidR="00574B0D" w:rsidRPr="00B930DE" w:rsidRDefault="00574B0D" w:rsidP="00B930DE">
            <w:pPr>
              <w:spacing w:before="0" w:after="0"/>
              <w:jc w:val="center"/>
              <w:rPr>
                <w:rFonts w:cs="Arial"/>
                <w:sz w:val="16"/>
                <w:lang w:eastAsia="en-AU"/>
              </w:rPr>
            </w:pPr>
            <w:r w:rsidRPr="00B930DE">
              <w:rPr>
                <w:rFonts w:cs="Arial"/>
                <w:sz w:val="16"/>
                <w:lang w:eastAsia="en-AU"/>
              </w:rPr>
              <w:t>PI</w:t>
            </w:r>
          </w:p>
        </w:tc>
        <w:tc>
          <w:tcPr>
            <w:tcW w:w="325" w:type="pct"/>
            <w:noWrap/>
            <w:hideMark/>
          </w:tcPr>
          <w:p w14:paraId="5F22F664"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65"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66"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67"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668" w14:textId="77777777" w:rsidR="00574B0D" w:rsidRPr="00B930DE" w:rsidRDefault="00574B0D" w:rsidP="00B930DE">
            <w:pPr>
              <w:spacing w:before="0" w:after="0"/>
              <w:jc w:val="center"/>
              <w:rPr>
                <w:rFonts w:cs="Arial"/>
                <w:sz w:val="16"/>
                <w:lang w:eastAsia="en-AU"/>
              </w:rPr>
            </w:pPr>
            <w:r w:rsidRPr="00B930DE">
              <w:rPr>
                <w:rFonts w:cs="Arial"/>
                <w:sz w:val="16"/>
                <w:lang w:eastAsia="en-AU"/>
              </w:rPr>
              <w:t>0.70</w:t>
            </w:r>
          </w:p>
        </w:tc>
        <w:tc>
          <w:tcPr>
            <w:tcW w:w="325" w:type="pct"/>
            <w:noWrap/>
            <w:hideMark/>
          </w:tcPr>
          <w:p w14:paraId="5F22F669" w14:textId="77777777" w:rsidR="00574B0D" w:rsidRPr="00B930DE" w:rsidRDefault="00574B0D" w:rsidP="00B930DE">
            <w:pPr>
              <w:spacing w:before="0" w:after="0"/>
              <w:jc w:val="center"/>
              <w:rPr>
                <w:rFonts w:cs="Arial"/>
                <w:sz w:val="16"/>
                <w:lang w:eastAsia="en-AU"/>
              </w:rPr>
            </w:pPr>
            <w:r w:rsidRPr="00B930DE">
              <w:rPr>
                <w:rFonts w:cs="Arial"/>
                <w:sz w:val="16"/>
                <w:lang w:eastAsia="en-AU"/>
              </w:rPr>
              <w:t>0.16</w:t>
            </w:r>
          </w:p>
        </w:tc>
        <w:tc>
          <w:tcPr>
            <w:tcW w:w="315" w:type="pct"/>
            <w:noWrap/>
            <w:hideMark/>
          </w:tcPr>
          <w:p w14:paraId="5F22F66A" w14:textId="77777777" w:rsidR="00574B0D" w:rsidRPr="00B930DE" w:rsidRDefault="00574B0D" w:rsidP="00B930DE">
            <w:pPr>
              <w:spacing w:before="0" w:after="0"/>
              <w:jc w:val="center"/>
              <w:rPr>
                <w:rFonts w:cs="Arial"/>
                <w:sz w:val="16"/>
                <w:lang w:eastAsia="en-AU"/>
              </w:rPr>
            </w:pPr>
            <w:r w:rsidRPr="00B930DE">
              <w:rPr>
                <w:rFonts w:cs="Arial"/>
                <w:sz w:val="16"/>
              </w:rPr>
              <w:t>0.21</w:t>
            </w:r>
          </w:p>
        </w:tc>
        <w:tc>
          <w:tcPr>
            <w:tcW w:w="353" w:type="pct"/>
            <w:noWrap/>
            <w:hideMark/>
          </w:tcPr>
          <w:p w14:paraId="5F22F66B" w14:textId="77777777" w:rsidR="00574B0D" w:rsidRPr="00B930DE" w:rsidRDefault="00574B0D" w:rsidP="00B930DE">
            <w:pPr>
              <w:spacing w:before="0" w:after="0"/>
              <w:jc w:val="center"/>
              <w:rPr>
                <w:rFonts w:cs="Arial"/>
                <w:sz w:val="16"/>
                <w:lang w:eastAsia="en-AU"/>
              </w:rPr>
            </w:pPr>
          </w:p>
        </w:tc>
        <w:tc>
          <w:tcPr>
            <w:tcW w:w="356" w:type="pct"/>
            <w:noWrap/>
          </w:tcPr>
          <w:p w14:paraId="5F22F66C" w14:textId="77777777" w:rsidR="00574B0D" w:rsidRPr="00B930DE" w:rsidRDefault="00574B0D" w:rsidP="00B930DE">
            <w:pPr>
              <w:spacing w:before="0" w:after="0"/>
              <w:jc w:val="center"/>
              <w:rPr>
                <w:rFonts w:cs="Arial"/>
                <w:sz w:val="16"/>
              </w:rPr>
            </w:pPr>
            <w:r w:rsidRPr="00B930DE">
              <w:rPr>
                <w:rFonts w:cs="Arial"/>
                <w:sz w:val="16"/>
              </w:rPr>
              <w:t>8.88</w:t>
            </w:r>
          </w:p>
        </w:tc>
        <w:tc>
          <w:tcPr>
            <w:tcW w:w="356" w:type="pct"/>
            <w:noWrap/>
          </w:tcPr>
          <w:p w14:paraId="5F22F66D" w14:textId="77777777" w:rsidR="00574B0D" w:rsidRPr="00B930DE" w:rsidRDefault="00574B0D" w:rsidP="00B930DE">
            <w:pPr>
              <w:spacing w:before="0" w:after="0"/>
              <w:jc w:val="center"/>
              <w:rPr>
                <w:rFonts w:cs="Arial"/>
                <w:sz w:val="16"/>
                <w:lang w:eastAsia="en-AU"/>
              </w:rPr>
            </w:pPr>
          </w:p>
        </w:tc>
        <w:tc>
          <w:tcPr>
            <w:tcW w:w="327" w:type="pct"/>
          </w:tcPr>
          <w:p w14:paraId="5F22F66E" w14:textId="77777777" w:rsidR="00574B0D" w:rsidRPr="00B930DE" w:rsidRDefault="00574B0D" w:rsidP="00B930DE">
            <w:pPr>
              <w:spacing w:before="0" w:after="0"/>
              <w:jc w:val="center"/>
              <w:rPr>
                <w:rFonts w:cs="Arial"/>
                <w:sz w:val="16"/>
              </w:rPr>
            </w:pPr>
            <w:r w:rsidRPr="00B930DE">
              <w:rPr>
                <w:rFonts w:cs="Arial"/>
                <w:sz w:val="16"/>
              </w:rPr>
              <w:t>31.04</w:t>
            </w:r>
          </w:p>
        </w:tc>
        <w:tc>
          <w:tcPr>
            <w:tcW w:w="327" w:type="pct"/>
          </w:tcPr>
          <w:p w14:paraId="5F22F66F" w14:textId="77777777" w:rsidR="00574B0D" w:rsidRPr="00B930DE" w:rsidRDefault="00574B0D" w:rsidP="00B930DE">
            <w:pPr>
              <w:spacing w:before="0" w:after="0"/>
              <w:jc w:val="center"/>
              <w:rPr>
                <w:rFonts w:cs="Arial"/>
                <w:sz w:val="16"/>
                <w:lang w:eastAsia="en-AU"/>
              </w:rPr>
            </w:pPr>
          </w:p>
        </w:tc>
      </w:tr>
      <w:tr w:rsidR="00574B0D" w:rsidRPr="00B930DE" w14:paraId="5F22F67F" w14:textId="77777777" w:rsidTr="004A5BF7">
        <w:trPr>
          <w:trHeight w:val="300"/>
        </w:trPr>
        <w:tc>
          <w:tcPr>
            <w:tcW w:w="676" w:type="pct"/>
            <w:vMerge/>
            <w:hideMark/>
          </w:tcPr>
          <w:p w14:paraId="5F22F671" w14:textId="77777777" w:rsidR="00574B0D" w:rsidRPr="00B930DE" w:rsidRDefault="00574B0D" w:rsidP="00B930DE">
            <w:pPr>
              <w:spacing w:before="0" w:after="0"/>
              <w:jc w:val="center"/>
              <w:rPr>
                <w:rFonts w:cs="Arial"/>
                <w:sz w:val="16"/>
                <w:lang w:eastAsia="en-AU"/>
              </w:rPr>
            </w:pPr>
          </w:p>
        </w:tc>
        <w:tc>
          <w:tcPr>
            <w:tcW w:w="341" w:type="pct"/>
            <w:noWrap/>
            <w:hideMark/>
          </w:tcPr>
          <w:p w14:paraId="5F22F672" w14:textId="77777777" w:rsidR="00574B0D" w:rsidRPr="00B930DE" w:rsidRDefault="00574B0D" w:rsidP="00B930DE">
            <w:pPr>
              <w:spacing w:before="0" w:after="0"/>
              <w:jc w:val="center"/>
              <w:rPr>
                <w:rFonts w:cs="Arial"/>
                <w:sz w:val="16"/>
                <w:lang w:eastAsia="en-AU"/>
              </w:rPr>
            </w:pPr>
            <w:r w:rsidRPr="00B930DE">
              <w:rPr>
                <w:rFonts w:cs="Arial"/>
                <w:sz w:val="16"/>
                <w:lang w:eastAsia="en-AU"/>
              </w:rPr>
              <w:t>SI</w:t>
            </w:r>
          </w:p>
        </w:tc>
        <w:tc>
          <w:tcPr>
            <w:tcW w:w="325" w:type="pct"/>
            <w:noWrap/>
            <w:hideMark/>
          </w:tcPr>
          <w:p w14:paraId="5F22F673"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74"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75"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76"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677" w14:textId="77777777" w:rsidR="00574B0D" w:rsidRPr="00B930DE" w:rsidRDefault="00574B0D" w:rsidP="00B930DE">
            <w:pPr>
              <w:spacing w:before="0" w:after="0"/>
              <w:jc w:val="center"/>
              <w:rPr>
                <w:rFonts w:cs="Arial"/>
                <w:sz w:val="16"/>
                <w:lang w:eastAsia="en-AU"/>
              </w:rPr>
            </w:pPr>
            <w:r w:rsidRPr="00B930DE">
              <w:rPr>
                <w:rFonts w:cs="Arial"/>
                <w:sz w:val="16"/>
                <w:lang w:eastAsia="en-AU"/>
              </w:rPr>
              <w:t>0.67</w:t>
            </w:r>
          </w:p>
        </w:tc>
        <w:tc>
          <w:tcPr>
            <w:tcW w:w="325" w:type="pct"/>
            <w:noWrap/>
            <w:hideMark/>
          </w:tcPr>
          <w:p w14:paraId="5F22F678" w14:textId="77777777" w:rsidR="00574B0D" w:rsidRPr="00B930DE" w:rsidRDefault="00574B0D" w:rsidP="00B930DE">
            <w:pPr>
              <w:spacing w:before="0" w:after="0"/>
              <w:jc w:val="center"/>
              <w:rPr>
                <w:rFonts w:cs="Arial"/>
                <w:sz w:val="16"/>
                <w:lang w:eastAsia="en-AU"/>
              </w:rPr>
            </w:pPr>
            <w:r w:rsidRPr="00B930DE">
              <w:rPr>
                <w:rFonts w:cs="Arial"/>
                <w:sz w:val="16"/>
                <w:lang w:eastAsia="en-AU"/>
              </w:rPr>
              <w:t>0.22</w:t>
            </w:r>
          </w:p>
        </w:tc>
        <w:tc>
          <w:tcPr>
            <w:tcW w:w="315" w:type="pct"/>
            <w:noWrap/>
            <w:hideMark/>
          </w:tcPr>
          <w:p w14:paraId="5F22F679" w14:textId="77777777" w:rsidR="00574B0D" w:rsidRPr="00B930DE" w:rsidRDefault="00574B0D" w:rsidP="00B930DE">
            <w:pPr>
              <w:spacing w:before="0" w:after="0"/>
              <w:jc w:val="center"/>
              <w:rPr>
                <w:rFonts w:cs="Arial"/>
                <w:sz w:val="16"/>
                <w:lang w:eastAsia="en-AU"/>
              </w:rPr>
            </w:pPr>
            <w:r w:rsidRPr="00B930DE">
              <w:rPr>
                <w:rFonts w:cs="Arial"/>
                <w:sz w:val="16"/>
              </w:rPr>
              <w:t>0.19</w:t>
            </w:r>
          </w:p>
        </w:tc>
        <w:tc>
          <w:tcPr>
            <w:tcW w:w="353" w:type="pct"/>
            <w:noWrap/>
            <w:hideMark/>
          </w:tcPr>
          <w:p w14:paraId="5F22F67A" w14:textId="77777777" w:rsidR="00574B0D" w:rsidRPr="00B930DE" w:rsidRDefault="00574B0D" w:rsidP="00B930DE">
            <w:pPr>
              <w:spacing w:before="0" w:after="0"/>
              <w:jc w:val="center"/>
              <w:rPr>
                <w:rFonts w:cs="Arial"/>
                <w:sz w:val="16"/>
                <w:lang w:eastAsia="en-AU"/>
              </w:rPr>
            </w:pPr>
          </w:p>
        </w:tc>
        <w:tc>
          <w:tcPr>
            <w:tcW w:w="356" w:type="pct"/>
            <w:noWrap/>
          </w:tcPr>
          <w:p w14:paraId="5F22F67B" w14:textId="77777777" w:rsidR="00574B0D" w:rsidRPr="00B930DE" w:rsidRDefault="00574B0D" w:rsidP="00B930DE">
            <w:pPr>
              <w:spacing w:before="0" w:after="0"/>
              <w:jc w:val="center"/>
              <w:rPr>
                <w:rFonts w:cs="Arial"/>
                <w:sz w:val="16"/>
              </w:rPr>
            </w:pPr>
            <w:r w:rsidRPr="00B930DE">
              <w:rPr>
                <w:rFonts w:cs="Arial"/>
                <w:sz w:val="16"/>
              </w:rPr>
              <w:t>7.03</w:t>
            </w:r>
          </w:p>
        </w:tc>
        <w:tc>
          <w:tcPr>
            <w:tcW w:w="356" w:type="pct"/>
            <w:noWrap/>
          </w:tcPr>
          <w:p w14:paraId="5F22F67C" w14:textId="77777777" w:rsidR="00574B0D" w:rsidRPr="00B930DE" w:rsidRDefault="00574B0D" w:rsidP="00B930DE">
            <w:pPr>
              <w:spacing w:before="0" w:after="0"/>
              <w:jc w:val="center"/>
              <w:rPr>
                <w:rFonts w:cs="Arial"/>
                <w:sz w:val="16"/>
                <w:lang w:eastAsia="en-AU"/>
              </w:rPr>
            </w:pPr>
          </w:p>
        </w:tc>
        <w:tc>
          <w:tcPr>
            <w:tcW w:w="327" w:type="pct"/>
          </w:tcPr>
          <w:p w14:paraId="5F22F67D" w14:textId="77777777" w:rsidR="00574B0D" w:rsidRPr="00B930DE" w:rsidRDefault="00574B0D" w:rsidP="00B930DE">
            <w:pPr>
              <w:spacing w:before="0" w:after="0"/>
              <w:jc w:val="center"/>
              <w:rPr>
                <w:rFonts w:cs="Arial"/>
                <w:sz w:val="16"/>
              </w:rPr>
            </w:pPr>
            <w:r w:rsidRPr="00B930DE">
              <w:rPr>
                <w:rFonts w:cs="Arial"/>
                <w:sz w:val="16"/>
              </w:rPr>
              <w:t>31.80</w:t>
            </w:r>
          </w:p>
        </w:tc>
        <w:tc>
          <w:tcPr>
            <w:tcW w:w="327" w:type="pct"/>
          </w:tcPr>
          <w:p w14:paraId="5F22F67E" w14:textId="77777777" w:rsidR="00574B0D" w:rsidRPr="00B930DE" w:rsidRDefault="00574B0D" w:rsidP="00B930DE">
            <w:pPr>
              <w:spacing w:before="0" w:after="0"/>
              <w:jc w:val="center"/>
              <w:rPr>
                <w:rFonts w:cs="Arial"/>
                <w:sz w:val="16"/>
                <w:lang w:eastAsia="en-AU"/>
              </w:rPr>
            </w:pPr>
          </w:p>
        </w:tc>
      </w:tr>
      <w:tr w:rsidR="00574B0D" w:rsidRPr="00B930DE" w14:paraId="5F22F68E" w14:textId="77777777" w:rsidTr="004A5BF7">
        <w:trPr>
          <w:trHeight w:val="300"/>
        </w:trPr>
        <w:tc>
          <w:tcPr>
            <w:tcW w:w="676" w:type="pct"/>
            <w:vMerge/>
            <w:hideMark/>
          </w:tcPr>
          <w:p w14:paraId="5F22F680" w14:textId="77777777" w:rsidR="00574B0D" w:rsidRPr="00B930DE" w:rsidRDefault="00574B0D" w:rsidP="00B930DE">
            <w:pPr>
              <w:spacing w:before="0" w:after="0"/>
              <w:jc w:val="center"/>
              <w:rPr>
                <w:rFonts w:cs="Arial"/>
                <w:sz w:val="16"/>
                <w:lang w:eastAsia="en-AU"/>
              </w:rPr>
            </w:pPr>
          </w:p>
        </w:tc>
        <w:tc>
          <w:tcPr>
            <w:tcW w:w="341" w:type="pct"/>
            <w:noWrap/>
            <w:hideMark/>
          </w:tcPr>
          <w:p w14:paraId="5F22F681" w14:textId="77777777" w:rsidR="00574B0D" w:rsidRPr="00B930DE" w:rsidRDefault="00574B0D" w:rsidP="00B930DE">
            <w:pPr>
              <w:spacing w:before="0" w:after="0"/>
              <w:jc w:val="center"/>
              <w:rPr>
                <w:rFonts w:cs="Arial"/>
                <w:sz w:val="16"/>
                <w:lang w:eastAsia="en-AU"/>
              </w:rPr>
            </w:pPr>
            <w:r w:rsidRPr="00B930DE">
              <w:rPr>
                <w:rFonts w:cs="Arial"/>
                <w:sz w:val="16"/>
                <w:lang w:eastAsia="en-AU"/>
              </w:rPr>
              <w:t>STI</w:t>
            </w:r>
          </w:p>
        </w:tc>
        <w:tc>
          <w:tcPr>
            <w:tcW w:w="325" w:type="pct"/>
            <w:noWrap/>
            <w:hideMark/>
          </w:tcPr>
          <w:p w14:paraId="5F22F682"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83"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84"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85" w14:textId="77777777" w:rsidR="00574B0D" w:rsidRPr="00B930DE" w:rsidRDefault="00574B0D" w:rsidP="00B930DE">
            <w:pPr>
              <w:spacing w:before="0" w:after="0"/>
              <w:jc w:val="center"/>
              <w:rPr>
                <w:rFonts w:cs="Arial"/>
                <w:sz w:val="16"/>
                <w:lang w:eastAsia="en-AU"/>
              </w:rPr>
            </w:pPr>
            <w:r w:rsidRPr="00B930DE">
              <w:rPr>
                <w:rFonts w:cs="Arial"/>
                <w:sz w:val="16"/>
                <w:lang w:eastAsia="en-AU"/>
              </w:rPr>
              <w:t>0.02</w:t>
            </w:r>
          </w:p>
        </w:tc>
        <w:tc>
          <w:tcPr>
            <w:tcW w:w="325" w:type="pct"/>
            <w:noWrap/>
            <w:hideMark/>
          </w:tcPr>
          <w:p w14:paraId="5F22F686" w14:textId="77777777" w:rsidR="00574B0D" w:rsidRPr="00B930DE" w:rsidRDefault="00574B0D" w:rsidP="00B930DE">
            <w:pPr>
              <w:spacing w:before="0" w:after="0"/>
              <w:jc w:val="center"/>
              <w:rPr>
                <w:rFonts w:cs="Arial"/>
                <w:sz w:val="16"/>
                <w:lang w:eastAsia="en-AU"/>
              </w:rPr>
            </w:pPr>
            <w:r w:rsidRPr="00B930DE">
              <w:rPr>
                <w:rFonts w:cs="Arial"/>
                <w:sz w:val="16"/>
                <w:lang w:eastAsia="en-AU"/>
              </w:rPr>
              <w:t>0.67</w:t>
            </w:r>
          </w:p>
        </w:tc>
        <w:tc>
          <w:tcPr>
            <w:tcW w:w="325" w:type="pct"/>
            <w:noWrap/>
            <w:hideMark/>
          </w:tcPr>
          <w:p w14:paraId="5F22F687" w14:textId="77777777" w:rsidR="00574B0D" w:rsidRPr="00B930DE" w:rsidRDefault="00574B0D" w:rsidP="00B930DE">
            <w:pPr>
              <w:spacing w:before="0" w:after="0"/>
              <w:jc w:val="center"/>
              <w:rPr>
                <w:rFonts w:cs="Arial"/>
                <w:sz w:val="16"/>
                <w:lang w:eastAsia="en-AU"/>
              </w:rPr>
            </w:pPr>
            <w:r w:rsidRPr="00B930DE">
              <w:rPr>
                <w:rFonts w:cs="Arial"/>
                <w:sz w:val="16"/>
                <w:lang w:eastAsia="en-AU"/>
              </w:rPr>
              <w:t>0.14</w:t>
            </w:r>
          </w:p>
        </w:tc>
        <w:tc>
          <w:tcPr>
            <w:tcW w:w="315" w:type="pct"/>
            <w:noWrap/>
            <w:hideMark/>
          </w:tcPr>
          <w:p w14:paraId="5F22F688" w14:textId="77777777" w:rsidR="00574B0D" w:rsidRPr="00B930DE" w:rsidRDefault="00574B0D" w:rsidP="00B930DE">
            <w:pPr>
              <w:spacing w:before="0" w:after="0"/>
              <w:jc w:val="center"/>
              <w:rPr>
                <w:rFonts w:cs="Arial"/>
                <w:sz w:val="16"/>
                <w:lang w:eastAsia="en-AU"/>
              </w:rPr>
            </w:pPr>
            <w:r w:rsidRPr="00B930DE">
              <w:rPr>
                <w:rFonts w:cs="Arial"/>
                <w:sz w:val="16"/>
              </w:rPr>
              <w:t>0.21</w:t>
            </w:r>
          </w:p>
        </w:tc>
        <w:tc>
          <w:tcPr>
            <w:tcW w:w="353" w:type="pct"/>
            <w:noWrap/>
            <w:hideMark/>
          </w:tcPr>
          <w:p w14:paraId="5F22F689" w14:textId="77777777" w:rsidR="00574B0D" w:rsidRPr="00B930DE" w:rsidRDefault="00574B0D" w:rsidP="00B930DE">
            <w:pPr>
              <w:spacing w:before="0" w:after="0"/>
              <w:jc w:val="center"/>
              <w:rPr>
                <w:rFonts w:cs="Arial"/>
                <w:sz w:val="16"/>
                <w:lang w:eastAsia="en-AU"/>
              </w:rPr>
            </w:pPr>
          </w:p>
        </w:tc>
        <w:tc>
          <w:tcPr>
            <w:tcW w:w="356" w:type="pct"/>
            <w:noWrap/>
          </w:tcPr>
          <w:p w14:paraId="5F22F68A" w14:textId="77777777" w:rsidR="00574B0D" w:rsidRPr="00B930DE" w:rsidRDefault="00574B0D" w:rsidP="00B930DE">
            <w:pPr>
              <w:spacing w:before="0" w:after="0"/>
              <w:jc w:val="center"/>
              <w:rPr>
                <w:rFonts w:cs="Arial"/>
                <w:sz w:val="16"/>
              </w:rPr>
            </w:pPr>
            <w:r w:rsidRPr="00B930DE">
              <w:rPr>
                <w:rFonts w:cs="Arial"/>
                <w:sz w:val="16"/>
              </w:rPr>
              <w:t>1.26</w:t>
            </w:r>
          </w:p>
        </w:tc>
        <w:tc>
          <w:tcPr>
            <w:tcW w:w="356" w:type="pct"/>
            <w:noWrap/>
          </w:tcPr>
          <w:p w14:paraId="5F22F68B" w14:textId="77777777" w:rsidR="00574B0D" w:rsidRPr="00B930DE" w:rsidRDefault="00574B0D" w:rsidP="00B930DE">
            <w:pPr>
              <w:spacing w:before="0" w:after="0"/>
              <w:jc w:val="center"/>
              <w:rPr>
                <w:rFonts w:cs="Arial"/>
                <w:sz w:val="16"/>
                <w:lang w:eastAsia="en-AU"/>
              </w:rPr>
            </w:pPr>
          </w:p>
        </w:tc>
        <w:tc>
          <w:tcPr>
            <w:tcW w:w="327" w:type="pct"/>
          </w:tcPr>
          <w:p w14:paraId="5F22F68C" w14:textId="77777777" w:rsidR="00574B0D" w:rsidRPr="00B930DE" w:rsidRDefault="00574B0D" w:rsidP="00B930DE">
            <w:pPr>
              <w:spacing w:before="0" w:after="0"/>
              <w:jc w:val="center"/>
              <w:rPr>
                <w:rFonts w:cs="Arial"/>
                <w:sz w:val="16"/>
              </w:rPr>
            </w:pPr>
            <w:r w:rsidRPr="00B930DE">
              <w:rPr>
                <w:rFonts w:cs="Arial"/>
                <w:sz w:val="16"/>
              </w:rPr>
              <w:t>0.87</w:t>
            </w:r>
          </w:p>
        </w:tc>
        <w:tc>
          <w:tcPr>
            <w:tcW w:w="327" w:type="pct"/>
          </w:tcPr>
          <w:p w14:paraId="5F22F68D" w14:textId="77777777" w:rsidR="00574B0D" w:rsidRPr="00B930DE" w:rsidRDefault="00574B0D" w:rsidP="00B930DE">
            <w:pPr>
              <w:spacing w:before="0" w:after="0"/>
              <w:jc w:val="center"/>
              <w:rPr>
                <w:rFonts w:cs="Arial"/>
                <w:sz w:val="16"/>
                <w:lang w:eastAsia="en-AU"/>
              </w:rPr>
            </w:pPr>
          </w:p>
        </w:tc>
      </w:tr>
      <w:tr w:rsidR="00574B0D" w:rsidRPr="00B930DE" w14:paraId="5F22F69E" w14:textId="77777777" w:rsidTr="004A5BF7">
        <w:trPr>
          <w:trHeight w:val="300"/>
        </w:trPr>
        <w:tc>
          <w:tcPr>
            <w:tcW w:w="676" w:type="pct"/>
            <w:vMerge w:val="restart"/>
            <w:hideMark/>
          </w:tcPr>
          <w:p w14:paraId="5F22F68F" w14:textId="77777777" w:rsidR="00574B0D" w:rsidRPr="00B930DE" w:rsidRDefault="00574B0D" w:rsidP="00B930DE">
            <w:pPr>
              <w:spacing w:before="0" w:after="0"/>
              <w:jc w:val="center"/>
              <w:rPr>
                <w:rFonts w:cs="Arial"/>
                <w:sz w:val="16"/>
                <w:lang w:eastAsia="en-AU"/>
              </w:rPr>
            </w:pPr>
            <w:r w:rsidRPr="00B930DE">
              <w:rPr>
                <w:rFonts w:cs="Arial"/>
                <w:sz w:val="16"/>
                <w:lang w:eastAsia="en-AU"/>
              </w:rPr>
              <w:t>Wet Tropics</w:t>
            </w:r>
          </w:p>
          <w:p w14:paraId="5F22F690" w14:textId="77777777" w:rsidR="00574B0D" w:rsidRPr="00B930DE" w:rsidRDefault="00574B0D" w:rsidP="00B930DE">
            <w:pPr>
              <w:spacing w:before="0" w:after="0"/>
              <w:jc w:val="center"/>
              <w:rPr>
                <w:rFonts w:cs="Arial"/>
                <w:sz w:val="16"/>
                <w:lang w:eastAsia="en-AU"/>
              </w:rPr>
            </w:pPr>
            <w:r w:rsidRPr="00B930DE">
              <w:rPr>
                <w:rFonts w:cs="Arial"/>
                <w:sz w:val="16"/>
                <w:lang w:eastAsia="en-AU"/>
              </w:rPr>
              <w:t>(WT)</w:t>
            </w:r>
          </w:p>
        </w:tc>
        <w:tc>
          <w:tcPr>
            <w:tcW w:w="341" w:type="pct"/>
            <w:noWrap/>
            <w:hideMark/>
          </w:tcPr>
          <w:p w14:paraId="5F22F691" w14:textId="77777777" w:rsidR="00574B0D" w:rsidRPr="00B930DE" w:rsidRDefault="00574B0D" w:rsidP="00B930DE">
            <w:pPr>
              <w:spacing w:before="0" w:after="0"/>
              <w:jc w:val="center"/>
              <w:rPr>
                <w:rFonts w:cs="Arial"/>
                <w:sz w:val="16"/>
                <w:lang w:eastAsia="en-AU"/>
              </w:rPr>
            </w:pPr>
            <w:r w:rsidRPr="00B930DE">
              <w:rPr>
                <w:rFonts w:cs="Arial"/>
                <w:sz w:val="16"/>
                <w:lang w:eastAsia="en-AU"/>
              </w:rPr>
              <w:t>SIN</w:t>
            </w:r>
          </w:p>
        </w:tc>
        <w:tc>
          <w:tcPr>
            <w:tcW w:w="325" w:type="pct"/>
            <w:noWrap/>
            <w:hideMark/>
          </w:tcPr>
          <w:p w14:paraId="5F22F692"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693"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694"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95" w14:textId="77777777" w:rsidR="00574B0D" w:rsidRPr="00B930DE" w:rsidRDefault="00574B0D" w:rsidP="00B930DE">
            <w:pPr>
              <w:spacing w:before="0" w:after="0"/>
              <w:jc w:val="center"/>
              <w:rPr>
                <w:rFonts w:cs="Arial"/>
                <w:sz w:val="16"/>
                <w:lang w:eastAsia="en-AU"/>
              </w:rPr>
            </w:pPr>
            <w:r w:rsidRPr="00B930DE">
              <w:rPr>
                <w:rFonts w:cs="Arial"/>
                <w:sz w:val="16"/>
                <w:lang w:eastAsia="en-AU"/>
              </w:rPr>
              <w:t>0.06</w:t>
            </w:r>
          </w:p>
        </w:tc>
        <w:tc>
          <w:tcPr>
            <w:tcW w:w="325" w:type="pct"/>
            <w:noWrap/>
            <w:hideMark/>
          </w:tcPr>
          <w:p w14:paraId="5F22F696" w14:textId="77777777" w:rsidR="00574B0D" w:rsidRPr="00B930DE" w:rsidRDefault="00574B0D" w:rsidP="00B930DE">
            <w:pPr>
              <w:spacing w:before="0" w:after="0"/>
              <w:jc w:val="center"/>
              <w:rPr>
                <w:rFonts w:cs="Arial"/>
                <w:sz w:val="16"/>
                <w:lang w:eastAsia="en-AU"/>
              </w:rPr>
            </w:pPr>
            <w:r w:rsidRPr="00B930DE">
              <w:rPr>
                <w:rFonts w:cs="Arial"/>
                <w:sz w:val="16"/>
                <w:lang w:eastAsia="en-AU"/>
              </w:rPr>
              <w:t>0.51</w:t>
            </w:r>
          </w:p>
        </w:tc>
        <w:tc>
          <w:tcPr>
            <w:tcW w:w="325" w:type="pct"/>
            <w:noWrap/>
            <w:hideMark/>
          </w:tcPr>
          <w:p w14:paraId="5F22F697" w14:textId="77777777" w:rsidR="00574B0D" w:rsidRPr="00B930DE" w:rsidRDefault="00574B0D" w:rsidP="00B930DE">
            <w:pPr>
              <w:spacing w:before="0" w:after="0"/>
              <w:jc w:val="center"/>
              <w:rPr>
                <w:rFonts w:cs="Arial"/>
                <w:sz w:val="16"/>
                <w:lang w:eastAsia="en-AU"/>
              </w:rPr>
            </w:pPr>
            <w:r w:rsidRPr="00B930DE">
              <w:rPr>
                <w:rFonts w:cs="Arial"/>
                <w:sz w:val="16"/>
                <w:lang w:eastAsia="en-AU"/>
              </w:rPr>
              <w:t>0.24</w:t>
            </w:r>
          </w:p>
        </w:tc>
        <w:tc>
          <w:tcPr>
            <w:tcW w:w="315" w:type="pct"/>
            <w:noWrap/>
          </w:tcPr>
          <w:p w14:paraId="5F22F698" w14:textId="77777777" w:rsidR="00574B0D" w:rsidRPr="00B930DE" w:rsidRDefault="00574B0D" w:rsidP="00B930DE">
            <w:pPr>
              <w:spacing w:before="0" w:after="0"/>
              <w:jc w:val="center"/>
              <w:rPr>
                <w:rFonts w:cs="Arial"/>
                <w:sz w:val="16"/>
              </w:rPr>
            </w:pPr>
            <w:r w:rsidRPr="00B930DE">
              <w:rPr>
                <w:rFonts w:cs="Arial"/>
                <w:sz w:val="16"/>
              </w:rPr>
              <w:t>0.26</w:t>
            </w:r>
          </w:p>
        </w:tc>
        <w:tc>
          <w:tcPr>
            <w:tcW w:w="353" w:type="pct"/>
            <w:noWrap/>
            <w:hideMark/>
          </w:tcPr>
          <w:p w14:paraId="5F22F699" w14:textId="77777777" w:rsidR="00574B0D" w:rsidRPr="00B930DE" w:rsidRDefault="00574B0D" w:rsidP="00B930DE">
            <w:pPr>
              <w:spacing w:before="0" w:after="0"/>
              <w:jc w:val="center"/>
              <w:rPr>
                <w:rFonts w:cs="Arial"/>
                <w:sz w:val="16"/>
                <w:lang w:eastAsia="en-AU"/>
              </w:rPr>
            </w:pPr>
            <w:r w:rsidRPr="00B930DE">
              <w:rPr>
                <w:rFonts w:cs="Arial"/>
                <w:sz w:val="16"/>
                <w:lang w:eastAsia="en-AU"/>
              </w:rPr>
              <w:t>0.20</w:t>
            </w:r>
          </w:p>
        </w:tc>
        <w:tc>
          <w:tcPr>
            <w:tcW w:w="356" w:type="pct"/>
            <w:noWrap/>
            <w:hideMark/>
          </w:tcPr>
          <w:p w14:paraId="5F22F69A" w14:textId="77777777" w:rsidR="00574B0D" w:rsidRPr="00B930DE" w:rsidRDefault="00574B0D" w:rsidP="00B930DE">
            <w:pPr>
              <w:spacing w:before="0" w:after="0"/>
              <w:jc w:val="center"/>
              <w:rPr>
                <w:rFonts w:cs="Arial"/>
                <w:sz w:val="16"/>
              </w:rPr>
            </w:pPr>
            <w:r w:rsidRPr="00B930DE">
              <w:rPr>
                <w:rFonts w:cs="Arial"/>
                <w:sz w:val="16"/>
              </w:rPr>
              <w:t>36.92</w:t>
            </w:r>
          </w:p>
        </w:tc>
        <w:tc>
          <w:tcPr>
            <w:tcW w:w="356" w:type="pct"/>
            <w:noWrap/>
            <w:hideMark/>
          </w:tcPr>
          <w:p w14:paraId="5F22F69B" w14:textId="77777777" w:rsidR="00574B0D" w:rsidRPr="00B930DE" w:rsidRDefault="00574B0D" w:rsidP="00B930DE">
            <w:pPr>
              <w:spacing w:before="0" w:after="0"/>
              <w:jc w:val="center"/>
              <w:rPr>
                <w:rFonts w:cs="Arial"/>
                <w:sz w:val="16"/>
                <w:lang w:eastAsia="en-AU"/>
              </w:rPr>
            </w:pPr>
            <w:r w:rsidRPr="00B930DE">
              <w:rPr>
                <w:rFonts w:cs="Arial"/>
                <w:sz w:val="16"/>
                <w:lang w:eastAsia="en-AU"/>
              </w:rPr>
              <w:t>7.78</w:t>
            </w:r>
          </w:p>
        </w:tc>
        <w:tc>
          <w:tcPr>
            <w:tcW w:w="327" w:type="pct"/>
          </w:tcPr>
          <w:p w14:paraId="5F22F69C" w14:textId="77777777" w:rsidR="00574B0D" w:rsidRPr="00B930DE" w:rsidRDefault="00574B0D" w:rsidP="00B930DE">
            <w:pPr>
              <w:spacing w:before="0" w:after="0"/>
              <w:jc w:val="center"/>
              <w:rPr>
                <w:rFonts w:cs="Arial"/>
                <w:sz w:val="16"/>
              </w:rPr>
            </w:pPr>
            <w:r w:rsidRPr="00B930DE">
              <w:rPr>
                <w:rFonts w:cs="Arial"/>
                <w:sz w:val="16"/>
              </w:rPr>
              <w:t>30.62</w:t>
            </w:r>
          </w:p>
        </w:tc>
        <w:tc>
          <w:tcPr>
            <w:tcW w:w="327" w:type="pct"/>
          </w:tcPr>
          <w:p w14:paraId="5F22F69D" w14:textId="77777777" w:rsidR="00574B0D" w:rsidRPr="00B930DE" w:rsidRDefault="00574B0D" w:rsidP="00B930DE">
            <w:pPr>
              <w:spacing w:before="0" w:after="0"/>
              <w:jc w:val="center"/>
              <w:rPr>
                <w:rFonts w:cs="Arial"/>
                <w:sz w:val="16"/>
                <w:lang w:eastAsia="en-AU"/>
              </w:rPr>
            </w:pPr>
            <w:r w:rsidRPr="00B930DE">
              <w:rPr>
                <w:rFonts w:cs="Arial"/>
                <w:sz w:val="16"/>
                <w:lang w:eastAsia="en-AU"/>
              </w:rPr>
              <w:t>18.24</w:t>
            </w:r>
          </w:p>
        </w:tc>
      </w:tr>
      <w:tr w:rsidR="00574B0D" w:rsidRPr="00B930DE" w14:paraId="5F22F6AD" w14:textId="77777777" w:rsidTr="004A5BF7">
        <w:trPr>
          <w:trHeight w:val="300"/>
        </w:trPr>
        <w:tc>
          <w:tcPr>
            <w:tcW w:w="676" w:type="pct"/>
            <w:vMerge/>
            <w:hideMark/>
          </w:tcPr>
          <w:p w14:paraId="5F22F69F" w14:textId="77777777" w:rsidR="00574B0D" w:rsidRPr="00B930DE" w:rsidRDefault="00574B0D" w:rsidP="00B930DE">
            <w:pPr>
              <w:spacing w:before="0" w:after="0"/>
              <w:jc w:val="center"/>
              <w:rPr>
                <w:rFonts w:cs="Arial"/>
                <w:sz w:val="16"/>
                <w:lang w:eastAsia="en-AU"/>
              </w:rPr>
            </w:pPr>
          </w:p>
        </w:tc>
        <w:tc>
          <w:tcPr>
            <w:tcW w:w="341" w:type="pct"/>
            <w:noWrap/>
            <w:hideMark/>
          </w:tcPr>
          <w:p w14:paraId="5F22F6A0" w14:textId="77777777" w:rsidR="00574B0D" w:rsidRPr="00B930DE" w:rsidRDefault="00574B0D" w:rsidP="00B930DE">
            <w:pPr>
              <w:spacing w:before="0" w:after="0"/>
              <w:jc w:val="center"/>
              <w:rPr>
                <w:rFonts w:cs="Arial"/>
                <w:sz w:val="16"/>
                <w:lang w:eastAsia="en-AU"/>
              </w:rPr>
            </w:pPr>
            <w:r w:rsidRPr="00B930DE">
              <w:rPr>
                <w:rFonts w:cs="Arial"/>
                <w:sz w:val="16"/>
                <w:lang w:eastAsia="en-AU"/>
              </w:rPr>
              <w:t>SIS</w:t>
            </w:r>
          </w:p>
        </w:tc>
        <w:tc>
          <w:tcPr>
            <w:tcW w:w="325" w:type="pct"/>
            <w:noWrap/>
            <w:hideMark/>
          </w:tcPr>
          <w:p w14:paraId="5F22F6A1"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6A2"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6A3"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A4" w14:textId="77777777" w:rsidR="00574B0D" w:rsidRPr="00B930DE" w:rsidRDefault="00574B0D" w:rsidP="00B930DE">
            <w:pPr>
              <w:spacing w:before="0" w:after="0"/>
              <w:jc w:val="center"/>
              <w:rPr>
                <w:rFonts w:cs="Arial"/>
                <w:sz w:val="16"/>
                <w:lang w:eastAsia="en-AU"/>
              </w:rPr>
            </w:pPr>
            <w:r w:rsidRPr="00B930DE">
              <w:rPr>
                <w:rFonts w:cs="Arial"/>
                <w:sz w:val="16"/>
                <w:lang w:eastAsia="en-AU"/>
              </w:rPr>
              <w:t>0.05</w:t>
            </w:r>
          </w:p>
        </w:tc>
        <w:tc>
          <w:tcPr>
            <w:tcW w:w="325" w:type="pct"/>
            <w:noWrap/>
            <w:hideMark/>
          </w:tcPr>
          <w:p w14:paraId="5F22F6A5" w14:textId="77777777" w:rsidR="00574B0D" w:rsidRPr="00B930DE" w:rsidRDefault="00574B0D" w:rsidP="00B930DE">
            <w:pPr>
              <w:spacing w:before="0" w:after="0"/>
              <w:jc w:val="center"/>
              <w:rPr>
                <w:rFonts w:cs="Arial"/>
                <w:sz w:val="16"/>
                <w:lang w:eastAsia="en-AU"/>
              </w:rPr>
            </w:pPr>
            <w:r w:rsidRPr="00B930DE">
              <w:rPr>
                <w:rFonts w:cs="Arial"/>
                <w:sz w:val="16"/>
                <w:lang w:eastAsia="en-AU"/>
              </w:rPr>
              <w:t>0.45</w:t>
            </w:r>
          </w:p>
        </w:tc>
        <w:tc>
          <w:tcPr>
            <w:tcW w:w="325" w:type="pct"/>
            <w:noWrap/>
            <w:hideMark/>
          </w:tcPr>
          <w:p w14:paraId="5F22F6A6" w14:textId="77777777" w:rsidR="00574B0D" w:rsidRPr="00B930DE" w:rsidRDefault="00574B0D" w:rsidP="00B930DE">
            <w:pPr>
              <w:spacing w:before="0" w:after="0"/>
              <w:jc w:val="center"/>
              <w:rPr>
                <w:rFonts w:cs="Arial"/>
                <w:sz w:val="16"/>
                <w:lang w:eastAsia="en-AU"/>
              </w:rPr>
            </w:pPr>
            <w:r w:rsidRPr="00B930DE">
              <w:rPr>
                <w:rFonts w:cs="Arial"/>
                <w:sz w:val="16"/>
                <w:lang w:eastAsia="en-AU"/>
              </w:rPr>
              <w:t>0.34</w:t>
            </w:r>
          </w:p>
        </w:tc>
        <w:tc>
          <w:tcPr>
            <w:tcW w:w="315" w:type="pct"/>
            <w:noWrap/>
          </w:tcPr>
          <w:p w14:paraId="5F22F6A7" w14:textId="77777777" w:rsidR="00574B0D" w:rsidRPr="00B930DE" w:rsidRDefault="00574B0D" w:rsidP="00B930DE">
            <w:pPr>
              <w:spacing w:before="0" w:after="0"/>
              <w:jc w:val="center"/>
              <w:rPr>
                <w:rFonts w:cs="Arial"/>
                <w:sz w:val="16"/>
              </w:rPr>
            </w:pPr>
            <w:r w:rsidRPr="00B930DE">
              <w:rPr>
                <w:rFonts w:cs="Arial"/>
                <w:sz w:val="16"/>
              </w:rPr>
              <w:t>0.21</w:t>
            </w:r>
          </w:p>
        </w:tc>
        <w:tc>
          <w:tcPr>
            <w:tcW w:w="353" w:type="pct"/>
            <w:noWrap/>
            <w:hideMark/>
          </w:tcPr>
          <w:p w14:paraId="5F22F6A8" w14:textId="77777777" w:rsidR="00574B0D" w:rsidRPr="00B930DE" w:rsidRDefault="00574B0D" w:rsidP="00B930DE">
            <w:pPr>
              <w:spacing w:before="0" w:after="0"/>
              <w:jc w:val="center"/>
              <w:rPr>
                <w:rFonts w:cs="Arial"/>
                <w:sz w:val="16"/>
                <w:lang w:eastAsia="en-AU"/>
              </w:rPr>
            </w:pPr>
          </w:p>
        </w:tc>
        <w:tc>
          <w:tcPr>
            <w:tcW w:w="356" w:type="pct"/>
            <w:noWrap/>
          </w:tcPr>
          <w:p w14:paraId="5F22F6A9" w14:textId="77777777" w:rsidR="00574B0D" w:rsidRPr="00B930DE" w:rsidRDefault="00574B0D" w:rsidP="00B930DE">
            <w:pPr>
              <w:spacing w:before="0" w:after="0"/>
              <w:jc w:val="center"/>
              <w:rPr>
                <w:rFonts w:cs="Arial"/>
                <w:sz w:val="16"/>
              </w:rPr>
            </w:pPr>
            <w:r w:rsidRPr="00B930DE">
              <w:rPr>
                <w:rFonts w:cs="Arial"/>
                <w:sz w:val="16"/>
              </w:rPr>
              <w:t>0.61</w:t>
            </w:r>
          </w:p>
        </w:tc>
        <w:tc>
          <w:tcPr>
            <w:tcW w:w="356" w:type="pct"/>
            <w:noWrap/>
          </w:tcPr>
          <w:p w14:paraId="5F22F6AA" w14:textId="77777777" w:rsidR="00574B0D" w:rsidRPr="00B930DE" w:rsidRDefault="00574B0D" w:rsidP="00B930DE">
            <w:pPr>
              <w:spacing w:before="0" w:after="0"/>
              <w:jc w:val="center"/>
              <w:rPr>
                <w:rFonts w:cs="Arial"/>
                <w:sz w:val="16"/>
                <w:lang w:eastAsia="en-AU"/>
              </w:rPr>
            </w:pPr>
          </w:p>
        </w:tc>
        <w:tc>
          <w:tcPr>
            <w:tcW w:w="327" w:type="pct"/>
          </w:tcPr>
          <w:p w14:paraId="5F22F6AB" w14:textId="77777777" w:rsidR="00574B0D" w:rsidRPr="00B930DE" w:rsidRDefault="00574B0D" w:rsidP="00B930DE">
            <w:pPr>
              <w:spacing w:before="0" w:after="0"/>
              <w:jc w:val="center"/>
              <w:rPr>
                <w:rFonts w:cs="Arial"/>
                <w:sz w:val="16"/>
              </w:rPr>
            </w:pPr>
            <w:r w:rsidRPr="00B930DE">
              <w:rPr>
                <w:rFonts w:cs="Arial"/>
                <w:sz w:val="16"/>
              </w:rPr>
              <w:t>2.66</w:t>
            </w:r>
          </w:p>
        </w:tc>
        <w:tc>
          <w:tcPr>
            <w:tcW w:w="327" w:type="pct"/>
          </w:tcPr>
          <w:p w14:paraId="5F22F6AC" w14:textId="77777777" w:rsidR="00574B0D" w:rsidRPr="00B930DE" w:rsidRDefault="00574B0D" w:rsidP="00B930DE">
            <w:pPr>
              <w:spacing w:before="0" w:after="0"/>
              <w:jc w:val="center"/>
              <w:rPr>
                <w:rFonts w:cs="Arial"/>
                <w:sz w:val="16"/>
                <w:lang w:eastAsia="en-AU"/>
              </w:rPr>
            </w:pPr>
          </w:p>
        </w:tc>
      </w:tr>
      <w:tr w:rsidR="00574B0D" w:rsidRPr="00B930DE" w14:paraId="5F22F6BC" w14:textId="77777777" w:rsidTr="004A5BF7">
        <w:trPr>
          <w:trHeight w:val="300"/>
        </w:trPr>
        <w:tc>
          <w:tcPr>
            <w:tcW w:w="676" w:type="pct"/>
            <w:vMerge/>
            <w:hideMark/>
          </w:tcPr>
          <w:p w14:paraId="5F22F6AE" w14:textId="77777777" w:rsidR="00574B0D" w:rsidRPr="00B930DE" w:rsidRDefault="00574B0D" w:rsidP="00B930DE">
            <w:pPr>
              <w:spacing w:before="0" w:after="0"/>
              <w:jc w:val="center"/>
              <w:rPr>
                <w:rFonts w:cs="Arial"/>
                <w:sz w:val="16"/>
                <w:lang w:eastAsia="en-AU"/>
              </w:rPr>
            </w:pPr>
          </w:p>
        </w:tc>
        <w:tc>
          <w:tcPr>
            <w:tcW w:w="341" w:type="pct"/>
            <w:noWrap/>
            <w:hideMark/>
          </w:tcPr>
          <w:p w14:paraId="5F22F6AF" w14:textId="77777777" w:rsidR="00574B0D" w:rsidRPr="00B930DE" w:rsidRDefault="00574B0D" w:rsidP="00B930DE">
            <w:pPr>
              <w:spacing w:before="0" w:after="0"/>
              <w:jc w:val="center"/>
              <w:rPr>
                <w:rFonts w:cs="Arial"/>
                <w:sz w:val="16"/>
                <w:lang w:eastAsia="en-AU"/>
              </w:rPr>
            </w:pPr>
            <w:r w:rsidRPr="00B930DE">
              <w:rPr>
                <w:rFonts w:cs="Arial"/>
                <w:sz w:val="16"/>
                <w:lang w:eastAsia="en-AU"/>
              </w:rPr>
              <w:t>FIE</w:t>
            </w:r>
          </w:p>
        </w:tc>
        <w:tc>
          <w:tcPr>
            <w:tcW w:w="325" w:type="pct"/>
            <w:noWrap/>
            <w:hideMark/>
          </w:tcPr>
          <w:p w14:paraId="5F22F6B0"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B1"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6B2"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B3"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6B4" w14:textId="77777777" w:rsidR="00574B0D" w:rsidRPr="00B930DE" w:rsidRDefault="00574B0D" w:rsidP="00B930DE">
            <w:pPr>
              <w:spacing w:before="0" w:after="0"/>
              <w:jc w:val="center"/>
              <w:rPr>
                <w:rFonts w:cs="Arial"/>
                <w:sz w:val="16"/>
                <w:lang w:eastAsia="en-AU"/>
              </w:rPr>
            </w:pPr>
            <w:r w:rsidRPr="00B930DE">
              <w:rPr>
                <w:rFonts w:cs="Arial"/>
                <w:sz w:val="16"/>
                <w:lang w:eastAsia="en-AU"/>
              </w:rPr>
              <w:t>0.25</w:t>
            </w:r>
          </w:p>
        </w:tc>
        <w:tc>
          <w:tcPr>
            <w:tcW w:w="325" w:type="pct"/>
            <w:noWrap/>
            <w:hideMark/>
          </w:tcPr>
          <w:p w14:paraId="5F22F6B5" w14:textId="77777777" w:rsidR="00574B0D" w:rsidRPr="00B930DE" w:rsidRDefault="00574B0D" w:rsidP="00B930DE">
            <w:pPr>
              <w:spacing w:before="0" w:after="0"/>
              <w:jc w:val="center"/>
              <w:rPr>
                <w:rFonts w:cs="Arial"/>
                <w:sz w:val="16"/>
                <w:lang w:eastAsia="en-AU"/>
              </w:rPr>
            </w:pPr>
            <w:r w:rsidRPr="00B930DE">
              <w:rPr>
                <w:rFonts w:cs="Arial"/>
                <w:sz w:val="16"/>
                <w:lang w:eastAsia="en-AU"/>
              </w:rPr>
              <w:t>0.37</w:t>
            </w:r>
          </w:p>
        </w:tc>
        <w:tc>
          <w:tcPr>
            <w:tcW w:w="315" w:type="pct"/>
            <w:noWrap/>
          </w:tcPr>
          <w:p w14:paraId="5F22F6B6" w14:textId="77777777" w:rsidR="00574B0D" w:rsidRPr="00B930DE" w:rsidRDefault="00574B0D" w:rsidP="00B930DE">
            <w:pPr>
              <w:spacing w:before="0" w:after="0"/>
              <w:jc w:val="center"/>
              <w:rPr>
                <w:rFonts w:cs="Arial"/>
                <w:sz w:val="16"/>
              </w:rPr>
            </w:pPr>
            <w:r w:rsidRPr="00B930DE">
              <w:rPr>
                <w:rFonts w:cs="Arial"/>
                <w:sz w:val="16"/>
              </w:rPr>
              <w:t>0.00</w:t>
            </w:r>
          </w:p>
        </w:tc>
        <w:tc>
          <w:tcPr>
            <w:tcW w:w="353" w:type="pct"/>
            <w:noWrap/>
            <w:hideMark/>
          </w:tcPr>
          <w:p w14:paraId="5F22F6B7" w14:textId="77777777" w:rsidR="00574B0D" w:rsidRPr="00B930DE" w:rsidRDefault="00574B0D" w:rsidP="00B930DE">
            <w:pPr>
              <w:spacing w:before="0" w:after="0"/>
              <w:jc w:val="center"/>
              <w:rPr>
                <w:rFonts w:cs="Arial"/>
                <w:sz w:val="16"/>
                <w:lang w:eastAsia="en-AU"/>
              </w:rPr>
            </w:pPr>
          </w:p>
        </w:tc>
        <w:tc>
          <w:tcPr>
            <w:tcW w:w="356" w:type="pct"/>
            <w:noWrap/>
          </w:tcPr>
          <w:p w14:paraId="5F22F6B8" w14:textId="77777777" w:rsidR="00574B0D" w:rsidRPr="00B930DE" w:rsidRDefault="00574B0D" w:rsidP="00B930DE">
            <w:pPr>
              <w:spacing w:before="0" w:after="0"/>
              <w:jc w:val="center"/>
              <w:rPr>
                <w:rFonts w:cs="Arial"/>
                <w:sz w:val="16"/>
              </w:rPr>
            </w:pPr>
            <w:r w:rsidRPr="00B930DE">
              <w:rPr>
                <w:rFonts w:cs="Arial"/>
                <w:sz w:val="16"/>
              </w:rPr>
              <w:t>0.66</w:t>
            </w:r>
          </w:p>
        </w:tc>
        <w:tc>
          <w:tcPr>
            <w:tcW w:w="356" w:type="pct"/>
            <w:noWrap/>
          </w:tcPr>
          <w:p w14:paraId="5F22F6B9" w14:textId="77777777" w:rsidR="00574B0D" w:rsidRPr="00B930DE" w:rsidRDefault="00574B0D" w:rsidP="00B930DE">
            <w:pPr>
              <w:spacing w:before="0" w:after="0"/>
              <w:jc w:val="center"/>
              <w:rPr>
                <w:rFonts w:cs="Arial"/>
                <w:sz w:val="16"/>
                <w:lang w:eastAsia="en-AU"/>
              </w:rPr>
            </w:pPr>
          </w:p>
        </w:tc>
        <w:tc>
          <w:tcPr>
            <w:tcW w:w="327" w:type="pct"/>
          </w:tcPr>
          <w:p w14:paraId="5F22F6BA" w14:textId="77777777" w:rsidR="00574B0D" w:rsidRPr="00B930DE" w:rsidRDefault="00574B0D" w:rsidP="00B930DE">
            <w:pPr>
              <w:spacing w:before="0" w:after="0"/>
              <w:jc w:val="center"/>
              <w:rPr>
                <w:rFonts w:cs="Arial"/>
                <w:sz w:val="16"/>
              </w:rPr>
            </w:pPr>
            <w:r w:rsidRPr="00B930DE">
              <w:rPr>
                <w:rFonts w:cs="Arial"/>
                <w:sz w:val="16"/>
              </w:rPr>
              <w:t>0.48</w:t>
            </w:r>
          </w:p>
        </w:tc>
        <w:tc>
          <w:tcPr>
            <w:tcW w:w="327" w:type="pct"/>
          </w:tcPr>
          <w:p w14:paraId="5F22F6BB" w14:textId="77777777" w:rsidR="00574B0D" w:rsidRPr="00B930DE" w:rsidRDefault="00574B0D" w:rsidP="00B930DE">
            <w:pPr>
              <w:spacing w:before="0" w:after="0"/>
              <w:jc w:val="center"/>
              <w:rPr>
                <w:rFonts w:cs="Arial"/>
                <w:sz w:val="16"/>
                <w:lang w:eastAsia="en-AU"/>
              </w:rPr>
            </w:pPr>
          </w:p>
        </w:tc>
      </w:tr>
      <w:tr w:rsidR="00574B0D" w:rsidRPr="00B930DE" w14:paraId="5F22F6CB" w14:textId="77777777" w:rsidTr="004A5BF7">
        <w:trPr>
          <w:trHeight w:val="300"/>
        </w:trPr>
        <w:tc>
          <w:tcPr>
            <w:tcW w:w="676" w:type="pct"/>
            <w:vMerge/>
            <w:hideMark/>
          </w:tcPr>
          <w:p w14:paraId="5F22F6BD" w14:textId="77777777" w:rsidR="00574B0D" w:rsidRPr="00B930DE" w:rsidRDefault="00574B0D" w:rsidP="00B930DE">
            <w:pPr>
              <w:spacing w:before="0" w:after="0"/>
              <w:jc w:val="center"/>
              <w:rPr>
                <w:rFonts w:cs="Arial"/>
                <w:sz w:val="16"/>
                <w:lang w:eastAsia="en-AU"/>
              </w:rPr>
            </w:pPr>
          </w:p>
        </w:tc>
        <w:tc>
          <w:tcPr>
            <w:tcW w:w="341" w:type="pct"/>
            <w:noWrap/>
            <w:hideMark/>
          </w:tcPr>
          <w:p w14:paraId="5F22F6BE" w14:textId="77777777" w:rsidR="00574B0D" w:rsidRPr="00B930DE" w:rsidRDefault="00574B0D" w:rsidP="00B930DE">
            <w:pPr>
              <w:spacing w:before="0" w:after="0"/>
              <w:jc w:val="center"/>
              <w:rPr>
                <w:rFonts w:cs="Arial"/>
                <w:sz w:val="16"/>
                <w:lang w:eastAsia="en-AU"/>
              </w:rPr>
            </w:pPr>
            <w:r w:rsidRPr="00B930DE">
              <w:rPr>
                <w:rFonts w:cs="Arial"/>
                <w:sz w:val="16"/>
                <w:lang w:eastAsia="en-AU"/>
              </w:rPr>
              <w:t>FIW</w:t>
            </w:r>
          </w:p>
        </w:tc>
        <w:tc>
          <w:tcPr>
            <w:tcW w:w="325" w:type="pct"/>
            <w:noWrap/>
            <w:hideMark/>
          </w:tcPr>
          <w:p w14:paraId="5F22F6BF"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C0"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6C1"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C2"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6C3" w14:textId="77777777" w:rsidR="00574B0D" w:rsidRPr="00B930DE" w:rsidRDefault="00574B0D" w:rsidP="00B930DE">
            <w:pPr>
              <w:spacing w:before="0" w:after="0"/>
              <w:jc w:val="center"/>
              <w:rPr>
                <w:rFonts w:cs="Arial"/>
                <w:sz w:val="16"/>
                <w:lang w:eastAsia="en-AU"/>
              </w:rPr>
            </w:pPr>
            <w:r w:rsidRPr="00B930DE">
              <w:rPr>
                <w:rFonts w:cs="Arial"/>
                <w:sz w:val="16"/>
                <w:lang w:eastAsia="en-AU"/>
              </w:rPr>
              <w:t>0.42</w:t>
            </w:r>
          </w:p>
        </w:tc>
        <w:tc>
          <w:tcPr>
            <w:tcW w:w="325" w:type="pct"/>
            <w:noWrap/>
            <w:hideMark/>
          </w:tcPr>
          <w:p w14:paraId="5F22F6C4" w14:textId="77777777" w:rsidR="00574B0D" w:rsidRPr="00B930DE" w:rsidRDefault="00574B0D" w:rsidP="00B930DE">
            <w:pPr>
              <w:spacing w:before="0" w:after="0"/>
              <w:jc w:val="center"/>
              <w:rPr>
                <w:rFonts w:cs="Arial"/>
                <w:sz w:val="16"/>
                <w:lang w:eastAsia="en-AU"/>
              </w:rPr>
            </w:pPr>
            <w:r w:rsidRPr="00B930DE">
              <w:rPr>
                <w:rFonts w:cs="Arial"/>
                <w:sz w:val="16"/>
                <w:lang w:eastAsia="en-AU"/>
              </w:rPr>
              <w:t>0.38</w:t>
            </w:r>
          </w:p>
        </w:tc>
        <w:tc>
          <w:tcPr>
            <w:tcW w:w="315" w:type="pct"/>
            <w:noWrap/>
          </w:tcPr>
          <w:p w14:paraId="5F22F6C5" w14:textId="77777777" w:rsidR="00574B0D" w:rsidRPr="00B930DE" w:rsidRDefault="00574B0D" w:rsidP="00B930DE">
            <w:pPr>
              <w:spacing w:before="0" w:after="0"/>
              <w:jc w:val="center"/>
              <w:rPr>
                <w:rFonts w:cs="Arial"/>
                <w:sz w:val="16"/>
              </w:rPr>
            </w:pPr>
            <w:r w:rsidRPr="00B930DE">
              <w:rPr>
                <w:rFonts w:cs="Arial"/>
                <w:sz w:val="16"/>
              </w:rPr>
              <w:t>0.08</w:t>
            </w:r>
          </w:p>
        </w:tc>
        <w:tc>
          <w:tcPr>
            <w:tcW w:w="353" w:type="pct"/>
            <w:noWrap/>
            <w:hideMark/>
          </w:tcPr>
          <w:p w14:paraId="5F22F6C6" w14:textId="77777777" w:rsidR="00574B0D" w:rsidRPr="00B930DE" w:rsidRDefault="00574B0D" w:rsidP="00B930DE">
            <w:pPr>
              <w:spacing w:before="0" w:after="0"/>
              <w:jc w:val="center"/>
              <w:rPr>
                <w:rFonts w:cs="Arial"/>
                <w:sz w:val="16"/>
                <w:lang w:eastAsia="en-AU"/>
              </w:rPr>
            </w:pPr>
          </w:p>
        </w:tc>
        <w:tc>
          <w:tcPr>
            <w:tcW w:w="356" w:type="pct"/>
            <w:noWrap/>
          </w:tcPr>
          <w:p w14:paraId="5F22F6C7" w14:textId="77777777" w:rsidR="00574B0D" w:rsidRPr="00B930DE" w:rsidRDefault="00574B0D" w:rsidP="00B930DE">
            <w:pPr>
              <w:spacing w:before="0" w:after="0"/>
              <w:jc w:val="center"/>
              <w:rPr>
                <w:rFonts w:cs="Arial"/>
                <w:sz w:val="16"/>
              </w:rPr>
            </w:pPr>
            <w:r w:rsidRPr="00B930DE">
              <w:rPr>
                <w:rFonts w:cs="Arial"/>
                <w:sz w:val="16"/>
              </w:rPr>
              <w:t>1.12</w:t>
            </w:r>
          </w:p>
        </w:tc>
        <w:tc>
          <w:tcPr>
            <w:tcW w:w="356" w:type="pct"/>
            <w:noWrap/>
          </w:tcPr>
          <w:p w14:paraId="5F22F6C8" w14:textId="77777777" w:rsidR="00574B0D" w:rsidRPr="00B930DE" w:rsidRDefault="00574B0D" w:rsidP="00B930DE">
            <w:pPr>
              <w:spacing w:before="0" w:after="0"/>
              <w:jc w:val="center"/>
              <w:rPr>
                <w:rFonts w:cs="Arial"/>
                <w:sz w:val="16"/>
                <w:lang w:eastAsia="en-AU"/>
              </w:rPr>
            </w:pPr>
          </w:p>
        </w:tc>
        <w:tc>
          <w:tcPr>
            <w:tcW w:w="327" w:type="pct"/>
          </w:tcPr>
          <w:p w14:paraId="5F22F6C9" w14:textId="77777777" w:rsidR="00574B0D" w:rsidRPr="00B930DE" w:rsidRDefault="00574B0D" w:rsidP="00B930DE">
            <w:pPr>
              <w:spacing w:before="0" w:after="0"/>
              <w:jc w:val="center"/>
              <w:rPr>
                <w:rFonts w:cs="Arial"/>
                <w:sz w:val="16"/>
              </w:rPr>
            </w:pPr>
            <w:r w:rsidRPr="00B930DE">
              <w:rPr>
                <w:rFonts w:cs="Arial"/>
                <w:sz w:val="16"/>
              </w:rPr>
              <w:t>1.39</w:t>
            </w:r>
          </w:p>
        </w:tc>
        <w:tc>
          <w:tcPr>
            <w:tcW w:w="327" w:type="pct"/>
          </w:tcPr>
          <w:p w14:paraId="5F22F6CA" w14:textId="77777777" w:rsidR="00574B0D" w:rsidRPr="00B930DE" w:rsidRDefault="00574B0D" w:rsidP="00B930DE">
            <w:pPr>
              <w:spacing w:before="0" w:after="0"/>
              <w:jc w:val="center"/>
              <w:rPr>
                <w:rFonts w:cs="Arial"/>
                <w:sz w:val="16"/>
                <w:lang w:eastAsia="en-AU"/>
              </w:rPr>
            </w:pPr>
          </w:p>
        </w:tc>
      </w:tr>
      <w:tr w:rsidR="00574B0D" w:rsidRPr="00B930DE" w14:paraId="5F22F6DA" w14:textId="77777777" w:rsidTr="004A5BF7">
        <w:trPr>
          <w:trHeight w:val="300"/>
        </w:trPr>
        <w:tc>
          <w:tcPr>
            <w:tcW w:w="676" w:type="pct"/>
            <w:vMerge/>
            <w:hideMark/>
          </w:tcPr>
          <w:p w14:paraId="5F22F6CC" w14:textId="77777777" w:rsidR="00574B0D" w:rsidRPr="00B930DE" w:rsidRDefault="00574B0D" w:rsidP="00B930DE">
            <w:pPr>
              <w:spacing w:before="0" w:after="0"/>
              <w:jc w:val="center"/>
              <w:rPr>
                <w:rFonts w:cs="Arial"/>
                <w:sz w:val="16"/>
                <w:lang w:eastAsia="en-AU"/>
              </w:rPr>
            </w:pPr>
          </w:p>
        </w:tc>
        <w:tc>
          <w:tcPr>
            <w:tcW w:w="341" w:type="pct"/>
            <w:noWrap/>
            <w:hideMark/>
          </w:tcPr>
          <w:p w14:paraId="5F22F6CD" w14:textId="77777777" w:rsidR="00574B0D" w:rsidRPr="00B930DE" w:rsidRDefault="00574B0D" w:rsidP="00B930DE">
            <w:pPr>
              <w:spacing w:before="0" w:after="0"/>
              <w:jc w:val="center"/>
              <w:rPr>
                <w:rFonts w:cs="Arial"/>
                <w:sz w:val="16"/>
                <w:lang w:eastAsia="en-AU"/>
              </w:rPr>
            </w:pPr>
            <w:r w:rsidRPr="00B930DE">
              <w:rPr>
                <w:rFonts w:cs="Arial"/>
                <w:sz w:val="16"/>
                <w:lang w:eastAsia="en-AU"/>
              </w:rPr>
              <w:t>FGE</w:t>
            </w:r>
          </w:p>
        </w:tc>
        <w:tc>
          <w:tcPr>
            <w:tcW w:w="325" w:type="pct"/>
            <w:noWrap/>
            <w:hideMark/>
          </w:tcPr>
          <w:p w14:paraId="5F22F6CE"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CF"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6D0"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D1" w14:textId="77777777" w:rsidR="00574B0D" w:rsidRPr="00B930DE" w:rsidRDefault="00574B0D" w:rsidP="00B930DE">
            <w:pPr>
              <w:spacing w:before="0" w:after="0"/>
              <w:jc w:val="center"/>
              <w:rPr>
                <w:rFonts w:cs="Arial"/>
                <w:sz w:val="16"/>
                <w:lang w:eastAsia="en-AU"/>
              </w:rPr>
            </w:pPr>
            <w:r w:rsidRPr="00B930DE">
              <w:rPr>
                <w:rFonts w:cs="Arial"/>
                <w:sz w:val="16"/>
                <w:lang w:eastAsia="en-AU"/>
              </w:rPr>
              <w:t>0.04</w:t>
            </w:r>
          </w:p>
        </w:tc>
        <w:tc>
          <w:tcPr>
            <w:tcW w:w="325" w:type="pct"/>
            <w:noWrap/>
            <w:hideMark/>
          </w:tcPr>
          <w:p w14:paraId="5F22F6D2" w14:textId="77777777" w:rsidR="00574B0D" w:rsidRPr="00B930DE" w:rsidRDefault="00574B0D" w:rsidP="00B930DE">
            <w:pPr>
              <w:spacing w:before="0" w:after="0"/>
              <w:jc w:val="center"/>
              <w:rPr>
                <w:rFonts w:cs="Arial"/>
                <w:sz w:val="16"/>
                <w:lang w:eastAsia="en-AU"/>
              </w:rPr>
            </w:pPr>
            <w:r w:rsidRPr="00B930DE">
              <w:rPr>
                <w:rFonts w:cs="Arial"/>
                <w:sz w:val="16"/>
                <w:lang w:eastAsia="en-AU"/>
              </w:rPr>
              <w:t>0.23</w:t>
            </w:r>
          </w:p>
        </w:tc>
        <w:tc>
          <w:tcPr>
            <w:tcW w:w="325" w:type="pct"/>
            <w:noWrap/>
            <w:hideMark/>
          </w:tcPr>
          <w:p w14:paraId="5F22F6D3" w14:textId="77777777" w:rsidR="00574B0D" w:rsidRPr="00B930DE" w:rsidRDefault="00574B0D" w:rsidP="00B930DE">
            <w:pPr>
              <w:spacing w:before="0" w:after="0"/>
              <w:jc w:val="center"/>
              <w:rPr>
                <w:rFonts w:cs="Arial"/>
                <w:sz w:val="16"/>
                <w:lang w:eastAsia="en-AU"/>
              </w:rPr>
            </w:pPr>
            <w:r w:rsidRPr="00B930DE">
              <w:rPr>
                <w:rFonts w:cs="Arial"/>
                <w:sz w:val="16"/>
                <w:lang w:eastAsia="en-AU"/>
              </w:rPr>
              <w:t>0.43</w:t>
            </w:r>
          </w:p>
        </w:tc>
        <w:tc>
          <w:tcPr>
            <w:tcW w:w="315" w:type="pct"/>
            <w:noWrap/>
          </w:tcPr>
          <w:p w14:paraId="5F22F6D4" w14:textId="77777777" w:rsidR="00574B0D" w:rsidRPr="00B930DE" w:rsidRDefault="00574B0D" w:rsidP="00B930DE">
            <w:pPr>
              <w:spacing w:before="0" w:after="0"/>
              <w:jc w:val="center"/>
              <w:rPr>
                <w:rFonts w:cs="Arial"/>
                <w:sz w:val="16"/>
              </w:rPr>
            </w:pPr>
            <w:r w:rsidRPr="00B930DE">
              <w:rPr>
                <w:rFonts w:cs="Arial"/>
                <w:sz w:val="16"/>
              </w:rPr>
              <w:t>0.04</w:t>
            </w:r>
          </w:p>
        </w:tc>
        <w:tc>
          <w:tcPr>
            <w:tcW w:w="353" w:type="pct"/>
            <w:noWrap/>
            <w:hideMark/>
          </w:tcPr>
          <w:p w14:paraId="5F22F6D5" w14:textId="77777777" w:rsidR="00574B0D" w:rsidRPr="00B930DE" w:rsidRDefault="00574B0D" w:rsidP="00B930DE">
            <w:pPr>
              <w:spacing w:before="0" w:after="0"/>
              <w:jc w:val="center"/>
              <w:rPr>
                <w:rFonts w:cs="Arial"/>
                <w:sz w:val="16"/>
                <w:lang w:eastAsia="en-AU"/>
              </w:rPr>
            </w:pPr>
          </w:p>
        </w:tc>
        <w:tc>
          <w:tcPr>
            <w:tcW w:w="356" w:type="pct"/>
            <w:noWrap/>
          </w:tcPr>
          <w:p w14:paraId="5F22F6D6" w14:textId="77777777" w:rsidR="00574B0D" w:rsidRPr="00B930DE" w:rsidRDefault="00574B0D" w:rsidP="00B930DE">
            <w:pPr>
              <w:spacing w:before="0" w:after="0"/>
              <w:jc w:val="center"/>
              <w:rPr>
                <w:rFonts w:cs="Arial"/>
                <w:sz w:val="16"/>
              </w:rPr>
            </w:pPr>
            <w:r w:rsidRPr="00B930DE">
              <w:rPr>
                <w:rFonts w:cs="Arial"/>
                <w:sz w:val="16"/>
              </w:rPr>
              <w:t>37.13</w:t>
            </w:r>
          </w:p>
        </w:tc>
        <w:tc>
          <w:tcPr>
            <w:tcW w:w="356" w:type="pct"/>
            <w:noWrap/>
          </w:tcPr>
          <w:p w14:paraId="5F22F6D7" w14:textId="77777777" w:rsidR="00574B0D" w:rsidRPr="00B930DE" w:rsidRDefault="00574B0D" w:rsidP="00B930DE">
            <w:pPr>
              <w:spacing w:before="0" w:after="0"/>
              <w:jc w:val="center"/>
              <w:rPr>
                <w:rFonts w:cs="Arial"/>
                <w:sz w:val="16"/>
                <w:lang w:eastAsia="en-AU"/>
              </w:rPr>
            </w:pPr>
          </w:p>
        </w:tc>
        <w:tc>
          <w:tcPr>
            <w:tcW w:w="327" w:type="pct"/>
          </w:tcPr>
          <w:p w14:paraId="5F22F6D8" w14:textId="77777777" w:rsidR="00574B0D" w:rsidRPr="00B930DE" w:rsidRDefault="00574B0D" w:rsidP="00B930DE">
            <w:pPr>
              <w:spacing w:before="0" w:after="0"/>
              <w:jc w:val="center"/>
              <w:rPr>
                <w:rFonts w:cs="Arial"/>
                <w:sz w:val="16"/>
              </w:rPr>
            </w:pPr>
            <w:r w:rsidRPr="00B930DE">
              <w:rPr>
                <w:rFonts w:cs="Arial"/>
                <w:sz w:val="16"/>
              </w:rPr>
              <w:t>17.14</w:t>
            </w:r>
          </w:p>
        </w:tc>
        <w:tc>
          <w:tcPr>
            <w:tcW w:w="327" w:type="pct"/>
          </w:tcPr>
          <w:p w14:paraId="5F22F6D9" w14:textId="77777777" w:rsidR="00574B0D" w:rsidRPr="00B930DE" w:rsidRDefault="00574B0D" w:rsidP="00B930DE">
            <w:pPr>
              <w:spacing w:before="0" w:after="0"/>
              <w:jc w:val="center"/>
              <w:rPr>
                <w:rFonts w:cs="Arial"/>
                <w:sz w:val="16"/>
                <w:lang w:eastAsia="en-AU"/>
              </w:rPr>
            </w:pPr>
          </w:p>
        </w:tc>
      </w:tr>
      <w:tr w:rsidR="00574B0D" w:rsidRPr="00B930DE" w14:paraId="5F22F6E9" w14:textId="77777777" w:rsidTr="004A5BF7">
        <w:trPr>
          <w:trHeight w:val="300"/>
        </w:trPr>
        <w:tc>
          <w:tcPr>
            <w:tcW w:w="676" w:type="pct"/>
            <w:vMerge/>
            <w:hideMark/>
          </w:tcPr>
          <w:p w14:paraId="5F22F6DB" w14:textId="77777777" w:rsidR="00574B0D" w:rsidRPr="00B930DE" w:rsidRDefault="00574B0D" w:rsidP="00B930DE">
            <w:pPr>
              <w:spacing w:before="0" w:after="0"/>
              <w:jc w:val="center"/>
              <w:rPr>
                <w:rFonts w:cs="Arial"/>
                <w:sz w:val="16"/>
                <w:lang w:eastAsia="en-AU"/>
              </w:rPr>
            </w:pPr>
          </w:p>
        </w:tc>
        <w:tc>
          <w:tcPr>
            <w:tcW w:w="341" w:type="pct"/>
            <w:noWrap/>
            <w:hideMark/>
          </w:tcPr>
          <w:p w14:paraId="5F22F6DC" w14:textId="77777777" w:rsidR="00574B0D" w:rsidRPr="00B930DE" w:rsidRDefault="00574B0D" w:rsidP="00B930DE">
            <w:pPr>
              <w:spacing w:before="0" w:after="0"/>
              <w:jc w:val="center"/>
              <w:rPr>
                <w:rFonts w:cs="Arial"/>
                <w:sz w:val="16"/>
                <w:lang w:eastAsia="en-AU"/>
              </w:rPr>
            </w:pPr>
            <w:r w:rsidRPr="00B930DE">
              <w:rPr>
                <w:rFonts w:cs="Arial"/>
                <w:sz w:val="16"/>
                <w:lang w:eastAsia="en-AU"/>
              </w:rPr>
              <w:t>FGW</w:t>
            </w:r>
          </w:p>
        </w:tc>
        <w:tc>
          <w:tcPr>
            <w:tcW w:w="325" w:type="pct"/>
            <w:noWrap/>
            <w:hideMark/>
          </w:tcPr>
          <w:p w14:paraId="5F22F6DD"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DE"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6DF"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E0" w14:textId="77777777" w:rsidR="00574B0D" w:rsidRPr="00B930DE" w:rsidRDefault="00574B0D" w:rsidP="00B930DE">
            <w:pPr>
              <w:spacing w:before="0" w:after="0"/>
              <w:jc w:val="center"/>
              <w:rPr>
                <w:rFonts w:cs="Arial"/>
                <w:sz w:val="16"/>
                <w:lang w:eastAsia="en-AU"/>
              </w:rPr>
            </w:pPr>
            <w:r w:rsidRPr="00B930DE">
              <w:rPr>
                <w:rFonts w:cs="Arial"/>
                <w:sz w:val="16"/>
                <w:lang w:eastAsia="en-AU"/>
              </w:rPr>
              <w:t>0.04</w:t>
            </w:r>
          </w:p>
        </w:tc>
        <w:tc>
          <w:tcPr>
            <w:tcW w:w="325" w:type="pct"/>
            <w:noWrap/>
            <w:hideMark/>
          </w:tcPr>
          <w:p w14:paraId="5F22F6E1" w14:textId="77777777" w:rsidR="00574B0D" w:rsidRPr="00B930DE" w:rsidRDefault="00574B0D" w:rsidP="00B930DE">
            <w:pPr>
              <w:spacing w:before="0" w:after="0"/>
              <w:jc w:val="center"/>
              <w:rPr>
                <w:rFonts w:cs="Arial"/>
                <w:sz w:val="16"/>
                <w:lang w:eastAsia="en-AU"/>
              </w:rPr>
            </w:pPr>
            <w:r w:rsidRPr="00B930DE">
              <w:rPr>
                <w:rFonts w:cs="Arial"/>
                <w:sz w:val="16"/>
                <w:lang w:eastAsia="en-AU"/>
              </w:rPr>
              <w:t>0.21</w:t>
            </w:r>
          </w:p>
        </w:tc>
        <w:tc>
          <w:tcPr>
            <w:tcW w:w="325" w:type="pct"/>
            <w:noWrap/>
            <w:hideMark/>
          </w:tcPr>
          <w:p w14:paraId="5F22F6E2" w14:textId="77777777" w:rsidR="00574B0D" w:rsidRPr="00B930DE" w:rsidRDefault="00574B0D" w:rsidP="00B930DE">
            <w:pPr>
              <w:spacing w:before="0" w:after="0"/>
              <w:jc w:val="center"/>
              <w:rPr>
                <w:rFonts w:cs="Arial"/>
                <w:sz w:val="16"/>
                <w:lang w:eastAsia="en-AU"/>
              </w:rPr>
            </w:pPr>
            <w:r w:rsidRPr="00B930DE">
              <w:rPr>
                <w:rFonts w:cs="Arial"/>
                <w:sz w:val="16"/>
                <w:lang w:eastAsia="en-AU"/>
              </w:rPr>
              <w:t>0.39</w:t>
            </w:r>
          </w:p>
        </w:tc>
        <w:tc>
          <w:tcPr>
            <w:tcW w:w="315" w:type="pct"/>
            <w:noWrap/>
          </w:tcPr>
          <w:p w14:paraId="5F22F6E3" w14:textId="77777777" w:rsidR="00574B0D" w:rsidRPr="00B930DE" w:rsidRDefault="00574B0D" w:rsidP="00B930DE">
            <w:pPr>
              <w:spacing w:before="0" w:after="0"/>
              <w:jc w:val="center"/>
              <w:rPr>
                <w:rFonts w:cs="Arial"/>
                <w:sz w:val="16"/>
              </w:rPr>
            </w:pPr>
            <w:r w:rsidRPr="00B930DE">
              <w:rPr>
                <w:rFonts w:cs="Arial"/>
                <w:sz w:val="16"/>
              </w:rPr>
              <w:t>0.03</w:t>
            </w:r>
          </w:p>
        </w:tc>
        <w:tc>
          <w:tcPr>
            <w:tcW w:w="353" w:type="pct"/>
            <w:noWrap/>
            <w:hideMark/>
          </w:tcPr>
          <w:p w14:paraId="5F22F6E4" w14:textId="77777777" w:rsidR="00574B0D" w:rsidRPr="00B930DE" w:rsidRDefault="00574B0D" w:rsidP="00B930DE">
            <w:pPr>
              <w:spacing w:before="0" w:after="0"/>
              <w:jc w:val="center"/>
              <w:rPr>
                <w:rFonts w:cs="Arial"/>
                <w:sz w:val="16"/>
                <w:lang w:eastAsia="en-AU"/>
              </w:rPr>
            </w:pPr>
          </w:p>
        </w:tc>
        <w:tc>
          <w:tcPr>
            <w:tcW w:w="356" w:type="pct"/>
            <w:noWrap/>
          </w:tcPr>
          <w:p w14:paraId="5F22F6E5" w14:textId="77777777" w:rsidR="00574B0D" w:rsidRPr="00B930DE" w:rsidRDefault="00574B0D" w:rsidP="00B930DE">
            <w:pPr>
              <w:spacing w:before="0" w:after="0"/>
              <w:jc w:val="center"/>
              <w:rPr>
                <w:rFonts w:cs="Arial"/>
                <w:sz w:val="16"/>
              </w:rPr>
            </w:pPr>
            <w:r w:rsidRPr="00B930DE">
              <w:rPr>
                <w:rFonts w:cs="Arial"/>
                <w:sz w:val="16"/>
              </w:rPr>
              <w:t>3.06</w:t>
            </w:r>
          </w:p>
        </w:tc>
        <w:tc>
          <w:tcPr>
            <w:tcW w:w="356" w:type="pct"/>
            <w:noWrap/>
          </w:tcPr>
          <w:p w14:paraId="5F22F6E6" w14:textId="77777777" w:rsidR="00574B0D" w:rsidRPr="00B930DE" w:rsidRDefault="00574B0D" w:rsidP="00B930DE">
            <w:pPr>
              <w:spacing w:before="0" w:after="0"/>
              <w:jc w:val="center"/>
              <w:rPr>
                <w:rFonts w:cs="Arial"/>
                <w:sz w:val="16"/>
                <w:lang w:eastAsia="en-AU"/>
              </w:rPr>
            </w:pPr>
          </w:p>
        </w:tc>
        <w:tc>
          <w:tcPr>
            <w:tcW w:w="327" w:type="pct"/>
          </w:tcPr>
          <w:p w14:paraId="5F22F6E7" w14:textId="77777777" w:rsidR="00574B0D" w:rsidRPr="00B930DE" w:rsidRDefault="00574B0D" w:rsidP="00B930DE">
            <w:pPr>
              <w:spacing w:before="0" w:after="0"/>
              <w:jc w:val="center"/>
              <w:rPr>
                <w:rFonts w:cs="Arial"/>
                <w:sz w:val="16"/>
              </w:rPr>
            </w:pPr>
            <w:r w:rsidRPr="00B930DE">
              <w:rPr>
                <w:rFonts w:cs="Arial"/>
                <w:sz w:val="16"/>
              </w:rPr>
              <w:t>11.46</w:t>
            </w:r>
          </w:p>
        </w:tc>
        <w:tc>
          <w:tcPr>
            <w:tcW w:w="327" w:type="pct"/>
          </w:tcPr>
          <w:p w14:paraId="5F22F6E8" w14:textId="77777777" w:rsidR="00574B0D" w:rsidRPr="00B930DE" w:rsidRDefault="00574B0D" w:rsidP="00B930DE">
            <w:pPr>
              <w:spacing w:before="0" w:after="0"/>
              <w:jc w:val="center"/>
              <w:rPr>
                <w:rFonts w:cs="Arial"/>
                <w:sz w:val="16"/>
                <w:lang w:eastAsia="en-AU"/>
              </w:rPr>
            </w:pPr>
          </w:p>
        </w:tc>
      </w:tr>
      <w:tr w:rsidR="00574B0D" w:rsidRPr="00B930DE" w14:paraId="5F22F6F8" w14:textId="77777777" w:rsidTr="004A5BF7">
        <w:trPr>
          <w:trHeight w:val="300"/>
        </w:trPr>
        <w:tc>
          <w:tcPr>
            <w:tcW w:w="676" w:type="pct"/>
            <w:vMerge/>
            <w:hideMark/>
          </w:tcPr>
          <w:p w14:paraId="5F22F6EA" w14:textId="77777777" w:rsidR="00574B0D" w:rsidRPr="00B930DE" w:rsidRDefault="00574B0D" w:rsidP="00B930DE">
            <w:pPr>
              <w:spacing w:before="0" w:after="0"/>
              <w:jc w:val="center"/>
              <w:rPr>
                <w:rFonts w:cs="Arial"/>
                <w:sz w:val="16"/>
                <w:lang w:eastAsia="en-AU"/>
              </w:rPr>
            </w:pPr>
          </w:p>
        </w:tc>
        <w:tc>
          <w:tcPr>
            <w:tcW w:w="341" w:type="pct"/>
            <w:noWrap/>
            <w:hideMark/>
          </w:tcPr>
          <w:p w14:paraId="5F22F6EB" w14:textId="77777777" w:rsidR="00574B0D" w:rsidRPr="00B930DE" w:rsidRDefault="00574B0D" w:rsidP="00B930DE">
            <w:pPr>
              <w:spacing w:before="0" w:after="0"/>
              <w:jc w:val="center"/>
              <w:rPr>
                <w:rFonts w:cs="Arial"/>
                <w:sz w:val="16"/>
                <w:lang w:eastAsia="en-AU"/>
              </w:rPr>
            </w:pPr>
            <w:r w:rsidRPr="00B930DE">
              <w:rPr>
                <w:rFonts w:cs="Arial"/>
                <w:sz w:val="16"/>
                <w:lang w:eastAsia="en-AU"/>
              </w:rPr>
              <w:t>HIE</w:t>
            </w:r>
          </w:p>
        </w:tc>
        <w:tc>
          <w:tcPr>
            <w:tcW w:w="325" w:type="pct"/>
            <w:noWrap/>
            <w:hideMark/>
          </w:tcPr>
          <w:p w14:paraId="5F22F6EC"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ED"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EE"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EF" w14:textId="77777777" w:rsidR="00574B0D" w:rsidRPr="00B930DE" w:rsidRDefault="00574B0D" w:rsidP="00B930DE">
            <w:pPr>
              <w:spacing w:before="0" w:after="0"/>
              <w:jc w:val="center"/>
              <w:rPr>
                <w:rFonts w:cs="Arial"/>
                <w:sz w:val="16"/>
                <w:lang w:eastAsia="en-AU"/>
              </w:rPr>
            </w:pPr>
            <w:r w:rsidRPr="00B930DE">
              <w:rPr>
                <w:rFonts w:cs="Arial"/>
                <w:sz w:val="16"/>
                <w:lang w:eastAsia="en-AU"/>
              </w:rPr>
              <w:t>0.07</w:t>
            </w:r>
          </w:p>
        </w:tc>
        <w:tc>
          <w:tcPr>
            <w:tcW w:w="325" w:type="pct"/>
            <w:noWrap/>
            <w:hideMark/>
          </w:tcPr>
          <w:p w14:paraId="5F22F6F0" w14:textId="77777777" w:rsidR="00574B0D" w:rsidRPr="00B930DE" w:rsidRDefault="00574B0D" w:rsidP="00B930DE">
            <w:pPr>
              <w:spacing w:before="0" w:after="0"/>
              <w:jc w:val="center"/>
              <w:rPr>
                <w:rFonts w:cs="Arial"/>
                <w:sz w:val="16"/>
                <w:lang w:eastAsia="en-AU"/>
              </w:rPr>
            </w:pPr>
            <w:r w:rsidRPr="00B930DE">
              <w:rPr>
                <w:rFonts w:cs="Arial"/>
                <w:sz w:val="16"/>
                <w:lang w:eastAsia="en-AU"/>
              </w:rPr>
              <w:t>0.40</w:t>
            </w:r>
          </w:p>
        </w:tc>
        <w:tc>
          <w:tcPr>
            <w:tcW w:w="325" w:type="pct"/>
            <w:noWrap/>
            <w:hideMark/>
          </w:tcPr>
          <w:p w14:paraId="5F22F6F1" w14:textId="77777777" w:rsidR="00574B0D" w:rsidRPr="00B930DE" w:rsidRDefault="00574B0D" w:rsidP="00B930DE">
            <w:pPr>
              <w:spacing w:before="0" w:after="0"/>
              <w:jc w:val="center"/>
              <w:rPr>
                <w:rFonts w:cs="Arial"/>
                <w:sz w:val="16"/>
                <w:lang w:eastAsia="en-AU"/>
              </w:rPr>
            </w:pPr>
            <w:r w:rsidRPr="00B930DE">
              <w:rPr>
                <w:rFonts w:cs="Arial"/>
                <w:sz w:val="16"/>
                <w:lang w:eastAsia="en-AU"/>
              </w:rPr>
              <w:t>0.38</w:t>
            </w:r>
          </w:p>
        </w:tc>
        <w:tc>
          <w:tcPr>
            <w:tcW w:w="315" w:type="pct"/>
            <w:noWrap/>
          </w:tcPr>
          <w:p w14:paraId="5F22F6F2" w14:textId="77777777" w:rsidR="00574B0D" w:rsidRPr="00B930DE" w:rsidRDefault="00574B0D" w:rsidP="00B930DE">
            <w:pPr>
              <w:spacing w:before="0" w:after="0"/>
              <w:jc w:val="center"/>
              <w:rPr>
                <w:rFonts w:cs="Arial"/>
                <w:sz w:val="16"/>
              </w:rPr>
            </w:pPr>
            <w:r w:rsidRPr="00B930DE">
              <w:rPr>
                <w:rFonts w:cs="Arial"/>
                <w:sz w:val="16"/>
              </w:rPr>
              <w:t>0.16</w:t>
            </w:r>
          </w:p>
        </w:tc>
        <w:tc>
          <w:tcPr>
            <w:tcW w:w="353" w:type="pct"/>
            <w:noWrap/>
            <w:hideMark/>
          </w:tcPr>
          <w:p w14:paraId="5F22F6F3" w14:textId="77777777" w:rsidR="00574B0D" w:rsidRPr="00B930DE" w:rsidRDefault="00574B0D" w:rsidP="00B930DE">
            <w:pPr>
              <w:spacing w:before="0" w:after="0"/>
              <w:jc w:val="center"/>
              <w:rPr>
                <w:rFonts w:cs="Arial"/>
                <w:sz w:val="16"/>
                <w:lang w:eastAsia="en-AU"/>
              </w:rPr>
            </w:pPr>
          </w:p>
        </w:tc>
        <w:tc>
          <w:tcPr>
            <w:tcW w:w="356" w:type="pct"/>
            <w:noWrap/>
          </w:tcPr>
          <w:p w14:paraId="5F22F6F4" w14:textId="77777777" w:rsidR="00574B0D" w:rsidRPr="00B930DE" w:rsidRDefault="00574B0D" w:rsidP="00B930DE">
            <w:pPr>
              <w:spacing w:before="0" w:after="0"/>
              <w:jc w:val="center"/>
              <w:rPr>
                <w:rFonts w:cs="Arial"/>
                <w:sz w:val="16"/>
              </w:rPr>
            </w:pPr>
            <w:r w:rsidRPr="00B930DE">
              <w:rPr>
                <w:rFonts w:cs="Arial"/>
                <w:sz w:val="16"/>
              </w:rPr>
              <w:t>7.75</w:t>
            </w:r>
          </w:p>
        </w:tc>
        <w:tc>
          <w:tcPr>
            <w:tcW w:w="356" w:type="pct"/>
            <w:noWrap/>
          </w:tcPr>
          <w:p w14:paraId="5F22F6F5" w14:textId="77777777" w:rsidR="00574B0D" w:rsidRPr="00B930DE" w:rsidRDefault="00574B0D" w:rsidP="00B930DE">
            <w:pPr>
              <w:spacing w:before="0" w:after="0"/>
              <w:jc w:val="center"/>
              <w:rPr>
                <w:rFonts w:cs="Arial"/>
                <w:sz w:val="16"/>
                <w:lang w:eastAsia="en-AU"/>
              </w:rPr>
            </w:pPr>
          </w:p>
        </w:tc>
        <w:tc>
          <w:tcPr>
            <w:tcW w:w="327" w:type="pct"/>
          </w:tcPr>
          <w:p w14:paraId="5F22F6F6" w14:textId="77777777" w:rsidR="00574B0D" w:rsidRPr="00B930DE" w:rsidRDefault="00574B0D" w:rsidP="00B930DE">
            <w:pPr>
              <w:spacing w:before="0" w:after="0"/>
              <w:jc w:val="center"/>
              <w:rPr>
                <w:rFonts w:cs="Arial"/>
                <w:sz w:val="16"/>
              </w:rPr>
            </w:pPr>
            <w:r w:rsidRPr="00B930DE">
              <w:rPr>
                <w:rFonts w:cs="Arial"/>
                <w:sz w:val="16"/>
              </w:rPr>
              <w:t>2.27</w:t>
            </w:r>
          </w:p>
        </w:tc>
        <w:tc>
          <w:tcPr>
            <w:tcW w:w="327" w:type="pct"/>
          </w:tcPr>
          <w:p w14:paraId="5F22F6F7" w14:textId="77777777" w:rsidR="00574B0D" w:rsidRPr="00B930DE" w:rsidRDefault="00574B0D" w:rsidP="00B930DE">
            <w:pPr>
              <w:spacing w:before="0" w:after="0"/>
              <w:jc w:val="center"/>
              <w:rPr>
                <w:rFonts w:cs="Arial"/>
                <w:sz w:val="16"/>
                <w:lang w:eastAsia="en-AU"/>
              </w:rPr>
            </w:pPr>
          </w:p>
        </w:tc>
      </w:tr>
      <w:tr w:rsidR="00574B0D" w:rsidRPr="00B930DE" w14:paraId="5F22F707" w14:textId="77777777" w:rsidTr="004A5BF7">
        <w:trPr>
          <w:trHeight w:val="300"/>
        </w:trPr>
        <w:tc>
          <w:tcPr>
            <w:tcW w:w="676" w:type="pct"/>
            <w:vMerge/>
            <w:hideMark/>
          </w:tcPr>
          <w:p w14:paraId="5F22F6F9" w14:textId="77777777" w:rsidR="00574B0D" w:rsidRPr="00B930DE" w:rsidRDefault="00574B0D" w:rsidP="00B930DE">
            <w:pPr>
              <w:spacing w:before="0" w:after="0"/>
              <w:jc w:val="center"/>
              <w:rPr>
                <w:rFonts w:cs="Arial"/>
                <w:sz w:val="16"/>
                <w:lang w:eastAsia="en-AU"/>
              </w:rPr>
            </w:pPr>
          </w:p>
        </w:tc>
        <w:tc>
          <w:tcPr>
            <w:tcW w:w="341" w:type="pct"/>
            <w:noWrap/>
            <w:hideMark/>
          </w:tcPr>
          <w:p w14:paraId="5F22F6FA" w14:textId="77777777" w:rsidR="00574B0D" w:rsidRPr="00B930DE" w:rsidRDefault="00574B0D" w:rsidP="00B930DE">
            <w:pPr>
              <w:spacing w:before="0" w:after="0"/>
              <w:jc w:val="center"/>
              <w:rPr>
                <w:rFonts w:cs="Arial"/>
                <w:sz w:val="16"/>
                <w:lang w:eastAsia="en-AU"/>
              </w:rPr>
            </w:pPr>
            <w:r w:rsidRPr="00B930DE">
              <w:rPr>
                <w:rFonts w:cs="Arial"/>
                <w:sz w:val="16"/>
                <w:lang w:eastAsia="en-AU"/>
              </w:rPr>
              <w:t>HIW</w:t>
            </w:r>
          </w:p>
        </w:tc>
        <w:tc>
          <w:tcPr>
            <w:tcW w:w="325" w:type="pct"/>
            <w:noWrap/>
            <w:hideMark/>
          </w:tcPr>
          <w:p w14:paraId="5F22F6FB"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FC"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6FD"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6FE" w14:textId="77777777" w:rsidR="00574B0D" w:rsidRPr="00B930DE" w:rsidRDefault="00574B0D" w:rsidP="00B930DE">
            <w:pPr>
              <w:spacing w:before="0" w:after="0"/>
              <w:jc w:val="center"/>
              <w:rPr>
                <w:rFonts w:cs="Arial"/>
                <w:sz w:val="16"/>
                <w:lang w:eastAsia="en-AU"/>
              </w:rPr>
            </w:pPr>
            <w:r w:rsidRPr="00B930DE">
              <w:rPr>
                <w:rFonts w:cs="Arial"/>
                <w:sz w:val="16"/>
                <w:lang w:eastAsia="en-AU"/>
              </w:rPr>
              <w:t>0.09</w:t>
            </w:r>
          </w:p>
        </w:tc>
        <w:tc>
          <w:tcPr>
            <w:tcW w:w="325" w:type="pct"/>
            <w:noWrap/>
            <w:hideMark/>
          </w:tcPr>
          <w:p w14:paraId="5F22F6FF" w14:textId="77777777" w:rsidR="00574B0D" w:rsidRPr="00B930DE" w:rsidRDefault="00574B0D" w:rsidP="00B930DE">
            <w:pPr>
              <w:spacing w:before="0" w:after="0"/>
              <w:jc w:val="center"/>
              <w:rPr>
                <w:rFonts w:cs="Arial"/>
                <w:sz w:val="16"/>
                <w:lang w:eastAsia="en-AU"/>
              </w:rPr>
            </w:pPr>
            <w:r w:rsidRPr="00B930DE">
              <w:rPr>
                <w:rFonts w:cs="Arial"/>
                <w:sz w:val="16"/>
                <w:lang w:eastAsia="en-AU"/>
              </w:rPr>
              <w:t>0.56</w:t>
            </w:r>
          </w:p>
        </w:tc>
        <w:tc>
          <w:tcPr>
            <w:tcW w:w="325" w:type="pct"/>
            <w:noWrap/>
            <w:hideMark/>
          </w:tcPr>
          <w:p w14:paraId="5F22F700" w14:textId="77777777" w:rsidR="00574B0D" w:rsidRPr="00B930DE" w:rsidRDefault="00574B0D" w:rsidP="00B930DE">
            <w:pPr>
              <w:spacing w:before="0" w:after="0"/>
              <w:jc w:val="center"/>
              <w:rPr>
                <w:rFonts w:cs="Arial"/>
                <w:sz w:val="16"/>
                <w:lang w:eastAsia="en-AU"/>
              </w:rPr>
            </w:pPr>
            <w:r w:rsidRPr="00B930DE">
              <w:rPr>
                <w:rFonts w:cs="Arial"/>
                <w:sz w:val="16"/>
                <w:lang w:eastAsia="en-AU"/>
              </w:rPr>
              <w:t>0.25</w:t>
            </w:r>
          </w:p>
        </w:tc>
        <w:tc>
          <w:tcPr>
            <w:tcW w:w="315" w:type="pct"/>
            <w:noWrap/>
          </w:tcPr>
          <w:p w14:paraId="5F22F701" w14:textId="77777777" w:rsidR="00574B0D" w:rsidRPr="00B930DE" w:rsidRDefault="00574B0D" w:rsidP="00B930DE">
            <w:pPr>
              <w:spacing w:before="0" w:after="0"/>
              <w:jc w:val="center"/>
              <w:rPr>
                <w:rFonts w:cs="Arial"/>
                <w:sz w:val="16"/>
              </w:rPr>
            </w:pPr>
            <w:r w:rsidRPr="00B930DE">
              <w:rPr>
                <w:rFonts w:cs="Arial"/>
                <w:sz w:val="16"/>
              </w:rPr>
              <w:t>0.29</w:t>
            </w:r>
          </w:p>
        </w:tc>
        <w:tc>
          <w:tcPr>
            <w:tcW w:w="353" w:type="pct"/>
            <w:noWrap/>
            <w:hideMark/>
          </w:tcPr>
          <w:p w14:paraId="5F22F702" w14:textId="77777777" w:rsidR="00574B0D" w:rsidRPr="00B930DE" w:rsidRDefault="00574B0D" w:rsidP="00B930DE">
            <w:pPr>
              <w:spacing w:before="0" w:after="0"/>
              <w:jc w:val="center"/>
              <w:rPr>
                <w:rFonts w:cs="Arial"/>
                <w:sz w:val="16"/>
                <w:lang w:eastAsia="en-AU"/>
              </w:rPr>
            </w:pPr>
          </w:p>
        </w:tc>
        <w:tc>
          <w:tcPr>
            <w:tcW w:w="356" w:type="pct"/>
            <w:noWrap/>
          </w:tcPr>
          <w:p w14:paraId="5F22F703" w14:textId="77777777" w:rsidR="00574B0D" w:rsidRPr="00B930DE" w:rsidRDefault="00574B0D" w:rsidP="00B930DE">
            <w:pPr>
              <w:spacing w:before="0" w:after="0"/>
              <w:jc w:val="center"/>
              <w:rPr>
                <w:rFonts w:cs="Arial"/>
                <w:sz w:val="16"/>
              </w:rPr>
            </w:pPr>
            <w:r w:rsidRPr="00B930DE">
              <w:rPr>
                <w:rFonts w:cs="Arial"/>
                <w:sz w:val="16"/>
              </w:rPr>
              <w:t>3.91</w:t>
            </w:r>
          </w:p>
        </w:tc>
        <w:tc>
          <w:tcPr>
            <w:tcW w:w="356" w:type="pct"/>
            <w:noWrap/>
          </w:tcPr>
          <w:p w14:paraId="5F22F704" w14:textId="77777777" w:rsidR="00574B0D" w:rsidRPr="00B930DE" w:rsidRDefault="00574B0D" w:rsidP="00B930DE">
            <w:pPr>
              <w:spacing w:before="0" w:after="0"/>
              <w:jc w:val="center"/>
              <w:rPr>
                <w:rFonts w:cs="Arial"/>
                <w:sz w:val="16"/>
                <w:lang w:eastAsia="en-AU"/>
              </w:rPr>
            </w:pPr>
          </w:p>
        </w:tc>
        <w:tc>
          <w:tcPr>
            <w:tcW w:w="327" w:type="pct"/>
          </w:tcPr>
          <w:p w14:paraId="5F22F705" w14:textId="77777777" w:rsidR="00574B0D" w:rsidRPr="00B930DE" w:rsidRDefault="00574B0D" w:rsidP="00B930DE">
            <w:pPr>
              <w:spacing w:before="0" w:after="0"/>
              <w:jc w:val="center"/>
              <w:rPr>
                <w:rFonts w:cs="Arial"/>
                <w:sz w:val="16"/>
              </w:rPr>
            </w:pPr>
            <w:r w:rsidRPr="00B930DE">
              <w:rPr>
                <w:rFonts w:cs="Arial"/>
                <w:sz w:val="16"/>
              </w:rPr>
              <w:t>7.43</w:t>
            </w:r>
          </w:p>
        </w:tc>
        <w:tc>
          <w:tcPr>
            <w:tcW w:w="327" w:type="pct"/>
          </w:tcPr>
          <w:p w14:paraId="5F22F706" w14:textId="77777777" w:rsidR="00574B0D" w:rsidRPr="00B930DE" w:rsidRDefault="00574B0D" w:rsidP="00B930DE">
            <w:pPr>
              <w:spacing w:before="0" w:after="0"/>
              <w:jc w:val="center"/>
              <w:rPr>
                <w:rFonts w:cs="Arial"/>
                <w:sz w:val="16"/>
                <w:lang w:eastAsia="en-AU"/>
              </w:rPr>
            </w:pPr>
          </w:p>
        </w:tc>
      </w:tr>
      <w:tr w:rsidR="00574B0D" w:rsidRPr="00B930DE" w14:paraId="5F22F716" w14:textId="77777777" w:rsidTr="004A5BF7">
        <w:trPr>
          <w:trHeight w:val="300"/>
        </w:trPr>
        <w:tc>
          <w:tcPr>
            <w:tcW w:w="676" w:type="pct"/>
            <w:vMerge/>
            <w:hideMark/>
          </w:tcPr>
          <w:p w14:paraId="5F22F708" w14:textId="77777777" w:rsidR="00574B0D" w:rsidRPr="00B930DE" w:rsidRDefault="00574B0D" w:rsidP="00B930DE">
            <w:pPr>
              <w:spacing w:before="0" w:after="0"/>
              <w:jc w:val="center"/>
              <w:rPr>
                <w:rFonts w:cs="Arial"/>
                <w:sz w:val="16"/>
                <w:lang w:eastAsia="en-AU"/>
              </w:rPr>
            </w:pPr>
          </w:p>
        </w:tc>
        <w:tc>
          <w:tcPr>
            <w:tcW w:w="341" w:type="pct"/>
            <w:noWrap/>
            <w:hideMark/>
          </w:tcPr>
          <w:p w14:paraId="5F22F709" w14:textId="77777777" w:rsidR="00574B0D" w:rsidRPr="00B930DE" w:rsidRDefault="00574B0D" w:rsidP="00B930DE">
            <w:pPr>
              <w:spacing w:before="0" w:after="0"/>
              <w:jc w:val="center"/>
              <w:rPr>
                <w:rFonts w:cs="Arial"/>
                <w:sz w:val="16"/>
                <w:lang w:eastAsia="en-AU"/>
              </w:rPr>
            </w:pPr>
            <w:r w:rsidRPr="00B930DE">
              <w:rPr>
                <w:rFonts w:cs="Arial"/>
                <w:sz w:val="16"/>
                <w:lang w:eastAsia="en-AU"/>
              </w:rPr>
              <w:t>DIN</w:t>
            </w:r>
          </w:p>
        </w:tc>
        <w:tc>
          <w:tcPr>
            <w:tcW w:w="325" w:type="pct"/>
            <w:noWrap/>
            <w:hideMark/>
          </w:tcPr>
          <w:p w14:paraId="5F22F70A"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70B"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70C"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70D" w14:textId="77777777" w:rsidR="00574B0D" w:rsidRPr="00B930DE" w:rsidRDefault="00574B0D" w:rsidP="00B930DE">
            <w:pPr>
              <w:spacing w:before="0" w:after="0"/>
              <w:jc w:val="center"/>
              <w:rPr>
                <w:rFonts w:cs="Arial"/>
                <w:sz w:val="16"/>
                <w:lang w:eastAsia="en-AU"/>
              </w:rPr>
            </w:pPr>
            <w:r w:rsidRPr="00B930DE">
              <w:rPr>
                <w:rFonts w:cs="Arial"/>
                <w:sz w:val="16"/>
                <w:lang w:eastAsia="en-AU"/>
              </w:rPr>
              <w:t>0.15</w:t>
            </w:r>
          </w:p>
        </w:tc>
        <w:tc>
          <w:tcPr>
            <w:tcW w:w="325" w:type="pct"/>
            <w:noWrap/>
            <w:hideMark/>
          </w:tcPr>
          <w:p w14:paraId="5F22F70E" w14:textId="77777777" w:rsidR="00574B0D" w:rsidRPr="00B930DE" w:rsidRDefault="00574B0D" w:rsidP="00B930DE">
            <w:pPr>
              <w:spacing w:before="0" w:after="0"/>
              <w:jc w:val="center"/>
              <w:rPr>
                <w:rFonts w:cs="Arial"/>
                <w:sz w:val="16"/>
                <w:lang w:eastAsia="en-AU"/>
              </w:rPr>
            </w:pPr>
            <w:r w:rsidRPr="00B930DE">
              <w:rPr>
                <w:rFonts w:cs="Arial"/>
                <w:sz w:val="16"/>
                <w:lang w:eastAsia="en-AU"/>
              </w:rPr>
              <w:t>0.66</w:t>
            </w:r>
          </w:p>
        </w:tc>
        <w:tc>
          <w:tcPr>
            <w:tcW w:w="325" w:type="pct"/>
            <w:noWrap/>
            <w:hideMark/>
          </w:tcPr>
          <w:p w14:paraId="5F22F70F" w14:textId="77777777" w:rsidR="00574B0D" w:rsidRPr="00B930DE" w:rsidRDefault="00574B0D" w:rsidP="00B930DE">
            <w:pPr>
              <w:spacing w:before="0" w:after="0"/>
              <w:jc w:val="center"/>
              <w:rPr>
                <w:rFonts w:cs="Arial"/>
                <w:sz w:val="16"/>
                <w:lang w:eastAsia="en-AU"/>
              </w:rPr>
            </w:pPr>
            <w:r w:rsidRPr="00B930DE">
              <w:rPr>
                <w:rFonts w:cs="Arial"/>
                <w:sz w:val="16"/>
                <w:lang w:eastAsia="en-AU"/>
              </w:rPr>
              <w:t>0.08</w:t>
            </w:r>
          </w:p>
        </w:tc>
        <w:tc>
          <w:tcPr>
            <w:tcW w:w="315" w:type="pct"/>
            <w:noWrap/>
          </w:tcPr>
          <w:p w14:paraId="5F22F710" w14:textId="77777777" w:rsidR="00574B0D" w:rsidRPr="00B930DE" w:rsidRDefault="00574B0D" w:rsidP="00B930DE">
            <w:pPr>
              <w:spacing w:before="0" w:after="0"/>
              <w:jc w:val="center"/>
              <w:rPr>
                <w:rFonts w:cs="Arial"/>
                <w:sz w:val="16"/>
              </w:rPr>
            </w:pPr>
            <w:r w:rsidRPr="00B930DE">
              <w:rPr>
                <w:rFonts w:cs="Arial"/>
                <w:sz w:val="16"/>
              </w:rPr>
              <w:t>0.46</w:t>
            </w:r>
          </w:p>
        </w:tc>
        <w:tc>
          <w:tcPr>
            <w:tcW w:w="353" w:type="pct"/>
            <w:noWrap/>
            <w:hideMark/>
          </w:tcPr>
          <w:p w14:paraId="5F22F711" w14:textId="77777777" w:rsidR="00574B0D" w:rsidRPr="00B930DE" w:rsidRDefault="00574B0D" w:rsidP="00B930DE">
            <w:pPr>
              <w:spacing w:before="0" w:after="0"/>
              <w:jc w:val="center"/>
              <w:rPr>
                <w:rFonts w:cs="Arial"/>
                <w:sz w:val="16"/>
                <w:lang w:eastAsia="en-AU"/>
              </w:rPr>
            </w:pPr>
          </w:p>
        </w:tc>
        <w:tc>
          <w:tcPr>
            <w:tcW w:w="356" w:type="pct"/>
            <w:noWrap/>
          </w:tcPr>
          <w:p w14:paraId="5F22F712" w14:textId="77777777" w:rsidR="00574B0D" w:rsidRPr="00B930DE" w:rsidRDefault="00574B0D" w:rsidP="00B930DE">
            <w:pPr>
              <w:spacing w:before="0" w:after="0"/>
              <w:jc w:val="center"/>
              <w:rPr>
                <w:rFonts w:cs="Arial"/>
                <w:sz w:val="16"/>
              </w:rPr>
            </w:pPr>
            <w:r w:rsidRPr="00B930DE">
              <w:rPr>
                <w:rFonts w:cs="Arial"/>
                <w:sz w:val="16"/>
              </w:rPr>
              <w:t>-5.94</w:t>
            </w:r>
          </w:p>
        </w:tc>
        <w:tc>
          <w:tcPr>
            <w:tcW w:w="356" w:type="pct"/>
            <w:noWrap/>
          </w:tcPr>
          <w:p w14:paraId="5F22F713" w14:textId="77777777" w:rsidR="00574B0D" w:rsidRPr="00B930DE" w:rsidRDefault="00574B0D" w:rsidP="00B930DE">
            <w:pPr>
              <w:spacing w:before="0" w:after="0"/>
              <w:jc w:val="center"/>
              <w:rPr>
                <w:rFonts w:cs="Arial"/>
                <w:sz w:val="16"/>
                <w:lang w:eastAsia="en-AU"/>
              </w:rPr>
            </w:pPr>
          </w:p>
        </w:tc>
        <w:tc>
          <w:tcPr>
            <w:tcW w:w="327" w:type="pct"/>
          </w:tcPr>
          <w:p w14:paraId="5F22F714" w14:textId="77777777" w:rsidR="00574B0D" w:rsidRPr="00B930DE" w:rsidRDefault="00574B0D" w:rsidP="00B930DE">
            <w:pPr>
              <w:spacing w:before="0" w:after="0"/>
              <w:jc w:val="center"/>
              <w:rPr>
                <w:rFonts w:cs="Arial"/>
                <w:sz w:val="16"/>
              </w:rPr>
            </w:pPr>
            <w:r w:rsidRPr="00B930DE">
              <w:rPr>
                <w:rFonts w:cs="Arial"/>
                <w:sz w:val="16"/>
              </w:rPr>
              <w:t>28.55</w:t>
            </w:r>
          </w:p>
        </w:tc>
        <w:tc>
          <w:tcPr>
            <w:tcW w:w="327" w:type="pct"/>
          </w:tcPr>
          <w:p w14:paraId="5F22F715" w14:textId="77777777" w:rsidR="00574B0D" w:rsidRPr="00B930DE" w:rsidRDefault="00574B0D" w:rsidP="00B930DE">
            <w:pPr>
              <w:spacing w:before="0" w:after="0"/>
              <w:jc w:val="center"/>
              <w:rPr>
                <w:rFonts w:cs="Arial"/>
                <w:sz w:val="16"/>
                <w:lang w:eastAsia="en-AU"/>
              </w:rPr>
            </w:pPr>
          </w:p>
        </w:tc>
      </w:tr>
      <w:tr w:rsidR="00574B0D" w:rsidRPr="00B930DE" w14:paraId="5F22F725" w14:textId="77777777" w:rsidTr="004A5BF7">
        <w:trPr>
          <w:trHeight w:val="300"/>
        </w:trPr>
        <w:tc>
          <w:tcPr>
            <w:tcW w:w="676" w:type="pct"/>
            <w:vMerge/>
            <w:hideMark/>
          </w:tcPr>
          <w:p w14:paraId="5F22F717" w14:textId="77777777" w:rsidR="00574B0D" w:rsidRPr="00B930DE" w:rsidRDefault="00574B0D" w:rsidP="00B930DE">
            <w:pPr>
              <w:spacing w:before="0" w:after="0"/>
              <w:jc w:val="center"/>
              <w:rPr>
                <w:rFonts w:cs="Arial"/>
                <w:sz w:val="16"/>
                <w:lang w:eastAsia="en-AU"/>
              </w:rPr>
            </w:pPr>
          </w:p>
        </w:tc>
        <w:tc>
          <w:tcPr>
            <w:tcW w:w="341" w:type="pct"/>
            <w:noWrap/>
            <w:hideMark/>
          </w:tcPr>
          <w:p w14:paraId="5F22F718" w14:textId="77777777" w:rsidR="00574B0D" w:rsidRPr="00B930DE" w:rsidRDefault="00574B0D" w:rsidP="00B930DE">
            <w:pPr>
              <w:spacing w:before="0" w:after="0"/>
              <w:jc w:val="center"/>
              <w:rPr>
                <w:rFonts w:cs="Arial"/>
                <w:sz w:val="16"/>
                <w:lang w:eastAsia="en-AU"/>
              </w:rPr>
            </w:pPr>
            <w:r w:rsidRPr="00B930DE">
              <w:rPr>
                <w:rFonts w:cs="Arial"/>
                <w:sz w:val="16"/>
                <w:lang w:eastAsia="en-AU"/>
              </w:rPr>
              <w:t>DIS</w:t>
            </w:r>
          </w:p>
        </w:tc>
        <w:tc>
          <w:tcPr>
            <w:tcW w:w="325" w:type="pct"/>
            <w:noWrap/>
            <w:hideMark/>
          </w:tcPr>
          <w:p w14:paraId="5F22F719"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71A"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71B"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71C" w14:textId="77777777" w:rsidR="00574B0D" w:rsidRPr="00B930DE" w:rsidRDefault="00574B0D" w:rsidP="00B930DE">
            <w:pPr>
              <w:spacing w:before="0" w:after="0"/>
              <w:jc w:val="center"/>
              <w:rPr>
                <w:rFonts w:cs="Arial"/>
                <w:sz w:val="16"/>
                <w:lang w:eastAsia="en-AU"/>
              </w:rPr>
            </w:pPr>
            <w:r w:rsidRPr="00B930DE">
              <w:rPr>
                <w:rFonts w:cs="Arial"/>
                <w:sz w:val="16"/>
                <w:lang w:eastAsia="en-AU"/>
              </w:rPr>
              <w:t>0.13</w:t>
            </w:r>
          </w:p>
        </w:tc>
        <w:tc>
          <w:tcPr>
            <w:tcW w:w="325" w:type="pct"/>
            <w:noWrap/>
            <w:hideMark/>
          </w:tcPr>
          <w:p w14:paraId="5F22F71D" w14:textId="77777777" w:rsidR="00574B0D" w:rsidRPr="00B930DE" w:rsidRDefault="00574B0D" w:rsidP="00B930DE">
            <w:pPr>
              <w:spacing w:before="0" w:after="0"/>
              <w:jc w:val="center"/>
              <w:rPr>
                <w:rFonts w:cs="Arial"/>
                <w:sz w:val="16"/>
                <w:lang w:eastAsia="en-AU"/>
              </w:rPr>
            </w:pPr>
            <w:r w:rsidRPr="00B930DE">
              <w:rPr>
                <w:rFonts w:cs="Arial"/>
                <w:sz w:val="16"/>
                <w:lang w:eastAsia="en-AU"/>
              </w:rPr>
              <w:t>0.68</w:t>
            </w:r>
          </w:p>
        </w:tc>
        <w:tc>
          <w:tcPr>
            <w:tcW w:w="325" w:type="pct"/>
            <w:noWrap/>
            <w:hideMark/>
          </w:tcPr>
          <w:p w14:paraId="5F22F71E" w14:textId="77777777" w:rsidR="00574B0D" w:rsidRPr="00B930DE" w:rsidRDefault="00574B0D" w:rsidP="00B930DE">
            <w:pPr>
              <w:spacing w:before="0" w:after="0"/>
              <w:jc w:val="center"/>
              <w:rPr>
                <w:rFonts w:cs="Arial"/>
                <w:sz w:val="16"/>
                <w:lang w:eastAsia="en-AU"/>
              </w:rPr>
            </w:pPr>
            <w:r w:rsidRPr="00B930DE">
              <w:rPr>
                <w:rFonts w:cs="Arial"/>
                <w:sz w:val="16"/>
                <w:lang w:eastAsia="en-AU"/>
              </w:rPr>
              <w:t>0.08</w:t>
            </w:r>
          </w:p>
        </w:tc>
        <w:tc>
          <w:tcPr>
            <w:tcW w:w="315" w:type="pct"/>
            <w:noWrap/>
          </w:tcPr>
          <w:p w14:paraId="5F22F71F" w14:textId="77777777" w:rsidR="00574B0D" w:rsidRPr="00B930DE" w:rsidRDefault="00574B0D" w:rsidP="00B930DE">
            <w:pPr>
              <w:spacing w:before="0" w:after="0"/>
              <w:jc w:val="center"/>
              <w:rPr>
                <w:rFonts w:cs="Arial"/>
                <w:sz w:val="16"/>
              </w:rPr>
            </w:pPr>
            <w:r w:rsidRPr="00B930DE">
              <w:rPr>
                <w:rFonts w:cs="Arial"/>
                <w:sz w:val="16"/>
              </w:rPr>
              <w:t>0.43</w:t>
            </w:r>
          </w:p>
        </w:tc>
        <w:tc>
          <w:tcPr>
            <w:tcW w:w="353" w:type="pct"/>
            <w:noWrap/>
            <w:hideMark/>
          </w:tcPr>
          <w:p w14:paraId="5F22F720" w14:textId="77777777" w:rsidR="00574B0D" w:rsidRPr="00B930DE" w:rsidRDefault="00574B0D" w:rsidP="00B930DE">
            <w:pPr>
              <w:spacing w:before="0" w:after="0"/>
              <w:jc w:val="center"/>
              <w:rPr>
                <w:rFonts w:cs="Arial"/>
                <w:sz w:val="16"/>
                <w:lang w:eastAsia="en-AU"/>
              </w:rPr>
            </w:pPr>
          </w:p>
        </w:tc>
        <w:tc>
          <w:tcPr>
            <w:tcW w:w="356" w:type="pct"/>
            <w:noWrap/>
          </w:tcPr>
          <w:p w14:paraId="5F22F721" w14:textId="77777777" w:rsidR="00574B0D" w:rsidRPr="00B930DE" w:rsidRDefault="00574B0D" w:rsidP="00B930DE">
            <w:pPr>
              <w:spacing w:before="0" w:after="0"/>
              <w:jc w:val="center"/>
              <w:rPr>
                <w:rFonts w:cs="Arial"/>
                <w:sz w:val="16"/>
              </w:rPr>
            </w:pPr>
            <w:r w:rsidRPr="00B930DE">
              <w:rPr>
                <w:rFonts w:cs="Arial"/>
                <w:sz w:val="16"/>
              </w:rPr>
              <w:t>-3.85</w:t>
            </w:r>
          </w:p>
        </w:tc>
        <w:tc>
          <w:tcPr>
            <w:tcW w:w="356" w:type="pct"/>
            <w:noWrap/>
          </w:tcPr>
          <w:p w14:paraId="5F22F722" w14:textId="77777777" w:rsidR="00574B0D" w:rsidRPr="00B930DE" w:rsidRDefault="00574B0D" w:rsidP="00B930DE">
            <w:pPr>
              <w:spacing w:before="0" w:after="0"/>
              <w:jc w:val="center"/>
              <w:rPr>
                <w:rFonts w:cs="Arial"/>
                <w:sz w:val="16"/>
                <w:lang w:eastAsia="en-AU"/>
              </w:rPr>
            </w:pPr>
          </w:p>
        </w:tc>
        <w:tc>
          <w:tcPr>
            <w:tcW w:w="327" w:type="pct"/>
          </w:tcPr>
          <w:p w14:paraId="5F22F723" w14:textId="77777777" w:rsidR="00574B0D" w:rsidRPr="00B930DE" w:rsidRDefault="00574B0D" w:rsidP="00B930DE">
            <w:pPr>
              <w:spacing w:before="0" w:after="0"/>
              <w:jc w:val="center"/>
              <w:rPr>
                <w:rFonts w:cs="Arial"/>
                <w:sz w:val="16"/>
              </w:rPr>
            </w:pPr>
            <w:r w:rsidRPr="00B930DE">
              <w:rPr>
                <w:rFonts w:cs="Arial"/>
                <w:sz w:val="16"/>
              </w:rPr>
              <w:t>37.22</w:t>
            </w:r>
          </w:p>
        </w:tc>
        <w:tc>
          <w:tcPr>
            <w:tcW w:w="327" w:type="pct"/>
          </w:tcPr>
          <w:p w14:paraId="5F22F724" w14:textId="77777777" w:rsidR="00574B0D" w:rsidRPr="00B930DE" w:rsidRDefault="00574B0D" w:rsidP="00B930DE">
            <w:pPr>
              <w:spacing w:before="0" w:after="0"/>
              <w:jc w:val="center"/>
              <w:rPr>
                <w:rFonts w:cs="Arial"/>
                <w:sz w:val="16"/>
                <w:lang w:eastAsia="en-AU"/>
              </w:rPr>
            </w:pPr>
          </w:p>
        </w:tc>
      </w:tr>
      <w:tr w:rsidR="00574B0D" w:rsidRPr="00B930DE" w14:paraId="5F22F734" w14:textId="77777777" w:rsidTr="004A5BF7">
        <w:trPr>
          <w:trHeight w:val="300"/>
        </w:trPr>
        <w:tc>
          <w:tcPr>
            <w:tcW w:w="676" w:type="pct"/>
            <w:vMerge/>
            <w:hideMark/>
          </w:tcPr>
          <w:p w14:paraId="5F22F726" w14:textId="77777777" w:rsidR="00574B0D" w:rsidRPr="00B930DE" w:rsidRDefault="00574B0D" w:rsidP="00B930DE">
            <w:pPr>
              <w:spacing w:before="0" w:after="0"/>
              <w:jc w:val="center"/>
              <w:rPr>
                <w:rFonts w:cs="Arial"/>
                <w:sz w:val="16"/>
                <w:lang w:eastAsia="en-AU"/>
              </w:rPr>
            </w:pPr>
          </w:p>
        </w:tc>
        <w:tc>
          <w:tcPr>
            <w:tcW w:w="341" w:type="pct"/>
            <w:noWrap/>
            <w:hideMark/>
          </w:tcPr>
          <w:p w14:paraId="5F22F727" w14:textId="77777777" w:rsidR="00574B0D" w:rsidRPr="00B930DE" w:rsidRDefault="00574B0D" w:rsidP="00B930DE">
            <w:pPr>
              <w:spacing w:before="0" w:after="0"/>
              <w:jc w:val="center"/>
              <w:rPr>
                <w:rFonts w:cs="Arial"/>
                <w:sz w:val="16"/>
                <w:lang w:eastAsia="en-AU"/>
              </w:rPr>
            </w:pPr>
            <w:r w:rsidRPr="00B930DE">
              <w:rPr>
                <w:rFonts w:cs="Arial"/>
                <w:sz w:val="16"/>
                <w:lang w:eastAsia="en-AU"/>
              </w:rPr>
              <w:t>K</w:t>
            </w:r>
          </w:p>
        </w:tc>
        <w:tc>
          <w:tcPr>
            <w:tcW w:w="325" w:type="pct"/>
            <w:noWrap/>
            <w:hideMark/>
          </w:tcPr>
          <w:p w14:paraId="5F22F728"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729"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72A"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72B" w14:textId="77777777" w:rsidR="00574B0D" w:rsidRPr="00B930DE" w:rsidRDefault="00574B0D" w:rsidP="00B930DE">
            <w:pPr>
              <w:spacing w:before="0" w:after="0"/>
              <w:jc w:val="center"/>
              <w:rPr>
                <w:rFonts w:cs="Arial"/>
                <w:sz w:val="16"/>
                <w:lang w:eastAsia="en-AU"/>
              </w:rPr>
            </w:pPr>
            <w:r w:rsidRPr="00B930DE">
              <w:rPr>
                <w:rFonts w:cs="Arial"/>
                <w:sz w:val="16"/>
                <w:lang w:eastAsia="en-AU"/>
              </w:rPr>
              <w:t>0.07</w:t>
            </w:r>
          </w:p>
        </w:tc>
        <w:tc>
          <w:tcPr>
            <w:tcW w:w="325" w:type="pct"/>
            <w:noWrap/>
            <w:hideMark/>
          </w:tcPr>
          <w:p w14:paraId="5F22F72C" w14:textId="77777777" w:rsidR="00574B0D" w:rsidRPr="00B930DE" w:rsidRDefault="00574B0D" w:rsidP="00B930DE">
            <w:pPr>
              <w:spacing w:before="0" w:after="0"/>
              <w:jc w:val="center"/>
              <w:rPr>
                <w:rFonts w:cs="Arial"/>
                <w:sz w:val="16"/>
                <w:lang w:eastAsia="en-AU"/>
              </w:rPr>
            </w:pPr>
            <w:r w:rsidRPr="00B930DE">
              <w:rPr>
                <w:rFonts w:cs="Arial"/>
                <w:sz w:val="16"/>
                <w:lang w:eastAsia="en-AU"/>
              </w:rPr>
              <w:t>0.59</w:t>
            </w:r>
          </w:p>
        </w:tc>
        <w:tc>
          <w:tcPr>
            <w:tcW w:w="325" w:type="pct"/>
            <w:noWrap/>
            <w:hideMark/>
          </w:tcPr>
          <w:p w14:paraId="5F22F72D" w14:textId="77777777" w:rsidR="00574B0D" w:rsidRPr="00B930DE" w:rsidRDefault="00574B0D" w:rsidP="00B930DE">
            <w:pPr>
              <w:spacing w:before="0" w:after="0"/>
              <w:jc w:val="center"/>
              <w:rPr>
                <w:rFonts w:cs="Arial"/>
                <w:sz w:val="16"/>
                <w:lang w:eastAsia="en-AU"/>
              </w:rPr>
            </w:pPr>
            <w:r w:rsidRPr="00B930DE">
              <w:rPr>
                <w:rFonts w:cs="Arial"/>
                <w:sz w:val="16"/>
                <w:lang w:eastAsia="en-AU"/>
              </w:rPr>
              <w:t>0.21</w:t>
            </w:r>
          </w:p>
        </w:tc>
        <w:tc>
          <w:tcPr>
            <w:tcW w:w="315" w:type="pct"/>
            <w:noWrap/>
          </w:tcPr>
          <w:p w14:paraId="5F22F72E" w14:textId="77777777" w:rsidR="00574B0D" w:rsidRPr="00B930DE" w:rsidRDefault="00574B0D" w:rsidP="00B930DE">
            <w:pPr>
              <w:spacing w:before="0" w:after="0"/>
              <w:jc w:val="center"/>
              <w:rPr>
                <w:rFonts w:cs="Arial"/>
                <w:sz w:val="16"/>
              </w:rPr>
            </w:pPr>
            <w:r w:rsidRPr="00B930DE">
              <w:rPr>
                <w:rFonts w:cs="Arial"/>
                <w:sz w:val="16"/>
              </w:rPr>
              <w:t>0.26</w:t>
            </w:r>
          </w:p>
        </w:tc>
        <w:tc>
          <w:tcPr>
            <w:tcW w:w="353" w:type="pct"/>
            <w:noWrap/>
            <w:hideMark/>
          </w:tcPr>
          <w:p w14:paraId="5F22F72F" w14:textId="77777777" w:rsidR="00574B0D" w:rsidRPr="00B930DE" w:rsidRDefault="00574B0D" w:rsidP="00B930DE">
            <w:pPr>
              <w:spacing w:before="0" w:after="0"/>
              <w:jc w:val="center"/>
              <w:rPr>
                <w:rFonts w:cs="Arial"/>
                <w:sz w:val="16"/>
                <w:lang w:eastAsia="en-AU"/>
              </w:rPr>
            </w:pPr>
          </w:p>
        </w:tc>
        <w:tc>
          <w:tcPr>
            <w:tcW w:w="356" w:type="pct"/>
            <w:noWrap/>
          </w:tcPr>
          <w:p w14:paraId="5F22F730" w14:textId="77777777" w:rsidR="00574B0D" w:rsidRPr="00B930DE" w:rsidRDefault="00574B0D" w:rsidP="00B930DE">
            <w:pPr>
              <w:spacing w:before="0" w:after="0"/>
              <w:jc w:val="center"/>
              <w:rPr>
                <w:rFonts w:cs="Arial"/>
                <w:sz w:val="16"/>
              </w:rPr>
            </w:pPr>
            <w:r w:rsidRPr="00B930DE">
              <w:rPr>
                <w:rFonts w:cs="Arial"/>
                <w:sz w:val="16"/>
              </w:rPr>
              <w:t>9.33</w:t>
            </w:r>
          </w:p>
        </w:tc>
        <w:tc>
          <w:tcPr>
            <w:tcW w:w="356" w:type="pct"/>
            <w:noWrap/>
          </w:tcPr>
          <w:p w14:paraId="5F22F731" w14:textId="77777777" w:rsidR="00574B0D" w:rsidRPr="00B930DE" w:rsidRDefault="00574B0D" w:rsidP="00B930DE">
            <w:pPr>
              <w:spacing w:before="0" w:after="0"/>
              <w:jc w:val="center"/>
              <w:rPr>
                <w:rFonts w:cs="Arial"/>
                <w:sz w:val="16"/>
                <w:lang w:eastAsia="en-AU"/>
              </w:rPr>
            </w:pPr>
          </w:p>
        </w:tc>
        <w:tc>
          <w:tcPr>
            <w:tcW w:w="327" w:type="pct"/>
          </w:tcPr>
          <w:p w14:paraId="5F22F732" w14:textId="77777777" w:rsidR="00574B0D" w:rsidRPr="00B930DE" w:rsidRDefault="00574B0D" w:rsidP="00B930DE">
            <w:pPr>
              <w:spacing w:before="0" w:after="0"/>
              <w:jc w:val="center"/>
              <w:rPr>
                <w:rFonts w:cs="Arial"/>
                <w:sz w:val="16"/>
              </w:rPr>
            </w:pPr>
            <w:r w:rsidRPr="00B930DE">
              <w:rPr>
                <w:rFonts w:cs="Arial"/>
                <w:sz w:val="16"/>
              </w:rPr>
              <w:t>61.78</w:t>
            </w:r>
          </w:p>
        </w:tc>
        <w:tc>
          <w:tcPr>
            <w:tcW w:w="327" w:type="pct"/>
          </w:tcPr>
          <w:p w14:paraId="5F22F733" w14:textId="77777777" w:rsidR="00574B0D" w:rsidRPr="00B930DE" w:rsidRDefault="00574B0D" w:rsidP="00B930DE">
            <w:pPr>
              <w:spacing w:before="0" w:after="0"/>
              <w:jc w:val="center"/>
              <w:rPr>
                <w:rFonts w:cs="Arial"/>
                <w:sz w:val="16"/>
                <w:lang w:eastAsia="en-AU"/>
              </w:rPr>
            </w:pPr>
          </w:p>
        </w:tc>
      </w:tr>
      <w:tr w:rsidR="00574B0D" w:rsidRPr="00B930DE" w14:paraId="5F22F743" w14:textId="77777777" w:rsidTr="004A5BF7">
        <w:trPr>
          <w:trHeight w:val="300"/>
        </w:trPr>
        <w:tc>
          <w:tcPr>
            <w:tcW w:w="676" w:type="pct"/>
            <w:vMerge/>
            <w:hideMark/>
          </w:tcPr>
          <w:p w14:paraId="5F22F735" w14:textId="77777777" w:rsidR="00574B0D" w:rsidRPr="00B930DE" w:rsidRDefault="00574B0D" w:rsidP="00B930DE">
            <w:pPr>
              <w:spacing w:before="0" w:after="0"/>
              <w:jc w:val="center"/>
              <w:rPr>
                <w:rFonts w:cs="Arial"/>
                <w:sz w:val="16"/>
                <w:lang w:eastAsia="en-AU"/>
              </w:rPr>
            </w:pPr>
          </w:p>
        </w:tc>
        <w:tc>
          <w:tcPr>
            <w:tcW w:w="341" w:type="pct"/>
            <w:noWrap/>
            <w:hideMark/>
          </w:tcPr>
          <w:p w14:paraId="5F22F736" w14:textId="77777777" w:rsidR="00574B0D" w:rsidRPr="00B930DE" w:rsidRDefault="00574B0D" w:rsidP="00B930DE">
            <w:pPr>
              <w:spacing w:before="0" w:after="0"/>
              <w:jc w:val="center"/>
              <w:rPr>
                <w:rFonts w:cs="Arial"/>
                <w:sz w:val="16"/>
                <w:lang w:eastAsia="en-AU"/>
              </w:rPr>
            </w:pPr>
            <w:r w:rsidRPr="00B930DE">
              <w:rPr>
                <w:rFonts w:cs="Arial"/>
                <w:sz w:val="16"/>
                <w:lang w:eastAsia="en-AU"/>
              </w:rPr>
              <w:t>NBG</w:t>
            </w:r>
          </w:p>
        </w:tc>
        <w:tc>
          <w:tcPr>
            <w:tcW w:w="325" w:type="pct"/>
            <w:noWrap/>
            <w:hideMark/>
          </w:tcPr>
          <w:p w14:paraId="5F22F737"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738" w14:textId="77777777" w:rsidR="00574B0D" w:rsidRPr="00B930DE" w:rsidRDefault="00574B0D" w:rsidP="00B930DE">
            <w:pPr>
              <w:spacing w:before="0" w:after="0"/>
              <w:jc w:val="center"/>
              <w:rPr>
                <w:rFonts w:cs="Arial"/>
                <w:sz w:val="16"/>
                <w:lang w:eastAsia="en-AU"/>
              </w:rPr>
            </w:pPr>
            <w:r w:rsidRPr="00B930DE">
              <w:rPr>
                <w:rFonts w:cs="Arial"/>
                <w:sz w:val="16"/>
                <w:lang w:eastAsia="en-AU"/>
              </w:rPr>
              <w:t>0.00</w:t>
            </w:r>
          </w:p>
        </w:tc>
        <w:tc>
          <w:tcPr>
            <w:tcW w:w="325" w:type="pct"/>
            <w:noWrap/>
            <w:hideMark/>
          </w:tcPr>
          <w:p w14:paraId="5F22F739" w14:textId="77777777" w:rsidR="00574B0D" w:rsidRPr="00B930DE" w:rsidRDefault="00574B0D" w:rsidP="00B930DE">
            <w:pPr>
              <w:spacing w:before="0" w:after="0"/>
              <w:jc w:val="center"/>
              <w:rPr>
                <w:rFonts w:cs="Arial"/>
                <w:sz w:val="16"/>
                <w:lang w:eastAsia="en-AU"/>
              </w:rPr>
            </w:pPr>
            <w:r w:rsidRPr="00B930DE">
              <w:rPr>
                <w:rFonts w:cs="Arial"/>
                <w:sz w:val="16"/>
                <w:lang w:eastAsia="en-AU"/>
              </w:rPr>
              <w:t>0.01</w:t>
            </w:r>
          </w:p>
        </w:tc>
        <w:tc>
          <w:tcPr>
            <w:tcW w:w="325" w:type="pct"/>
            <w:noWrap/>
            <w:hideMark/>
          </w:tcPr>
          <w:p w14:paraId="5F22F73A" w14:textId="77777777" w:rsidR="00574B0D" w:rsidRPr="00B930DE" w:rsidRDefault="00574B0D" w:rsidP="00B930DE">
            <w:pPr>
              <w:spacing w:before="0" w:after="0"/>
              <w:jc w:val="center"/>
              <w:rPr>
                <w:rFonts w:cs="Arial"/>
                <w:sz w:val="16"/>
                <w:lang w:eastAsia="en-AU"/>
              </w:rPr>
            </w:pPr>
            <w:r w:rsidRPr="00B930DE">
              <w:rPr>
                <w:rFonts w:cs="Arial"/>
                <w:sz w:val="16"/>
                <w:lang w:eastAsia="en-AU"/>
              </w:rPr>
              <w:t>0.05</w:t>
            </w:r>
          </w:p>
        </w:tc>
        <w:tc>
          <w:tcPr>
            <w:tcW w:w="325" w:type="pct"/>
            <w:noWrap/>
            <w:hideMark/>
          </w:tcPr>
          <w:p w14:paraId="5F22F73B" w14:textId="77777777" w:rsidR="00574B0D" w:rsidRPr="00B930DE" w:rsidRDefault="00574B0D" w:rsidP="00B930DE">
            <w:pPr>
              <w:spacing w:before="0" w:after="0"/>
              <w:jc w:val="center"/>
              <w:rPr>
                <w:rFonts w:cs="Arial"/>
                <w:sz w:val="16"/>
                <w:lang w:eastAsia="en-AU"/>
              </w:rPr>
            </w:pPr>
            <w:r w:rsidRPr="00B930DE">
              <w:rPr>
                <w:rFonts w:cs="Arial"/>
                <w:sz w:val="16"/>
                <w:lang w:eastAsia="en-AU"/>
              </w:rPr>
              <w:t>0.58</w:t>
            </w:r>
          </w:p>
        </w:tc>
        <w:tc>
          <w:tcPr>
            <w:tcW w:w="325" w:type="pct"/>
            <w:noWrap/>
            <w:hideMark/>
          </w:tcPr>
          <w:p w14:paraId="5F22F73C" w14:textId="77777777" w:rsidR="00574B0D" w:rsidRPr="00B930DE" w:rsidRDefault="00574B0D" w:rsidP="00B930DE">
            <w:pPr>
              <w:spacing w:before="0" w:after="0"/>
              <w:jc w:val="center"/>
              <w:rPr>
                <w:rFonts w:cs="Arial"/>
                <w:sz w:val="16"/>
                <w:lang w:eastAsia="en-AU"/>
              </w:rPr>
            </w:pPr>
            <w:r w:rsidRPr="00B930DE">
              <w:rPr>
                <w:rFonts w:cs="Arial"/>
                <w:sz w:val="16"/>
                <w:lang w:eastAsia="en-AU"/>
              </w:rPr>
              <w:t>0.22</w:t>
            </w:r>
          </w:p>
        </w:tc>
        <w:tc>
          <w:tcPr>
            <w:tcW w:w="315" w:type="pct"/>
            <w:noWrap/>
          </w:tcPr>
          <w:p w14:paraId="5F22F73D" w14:textId="77777777" w:rsidR="00574B0D" w:rsidRPr="00B930DE" w:rsidRDefault="00574B0D" w:rsidP="00B930DE">
            <w:pPr>
              <w:spacing w:before="0" w:after="0"/>
              <w:jc w:val="center"/>
              <w:rPr>
                <w:rFonts w:cs="Arial"/>
                <w:sz w:val="16"/>
              </w:rPr>
            </w:pPr>
            <w:r w:rsidRPr="00B930DE">
              <w:rPr>
                <w:rFonts w:cs="Arial"/>
                <w:sz w:val="16"/>
              </w:rPr>
              <w:t>0.23</w:t>
            </w:r>
          </w:p>
        </w:tc>
        <w:tc>
          <w:tcPr>
            <w:tcW w:w="353" w:type="pct"/>
            <w:noWrap/>
            <w:hideMark/>
          </w:tcPr>
          <w:p w14:paraId="5F22F73E" w14:textId="77777777" w:rsidR="00574B0D" w:rsidRPr="00B930DE" w:rsidRDefault="00574B0D" w:rsidP="00B930DE">
            <w:pPr>
              <w:spacing w:before="0" w:after="0"/>
              <w:jc w:val="center"/>
              <w:rPr>
                <w:rFonts w:cs="Arial"/>
                <w:sz w:val="16"/>
                <w:lang w:eastAsia="en-AU"/>
              </w:rPr>
            </w:pPr>
          </w:p>
        </w:tc>
        <w:tc>
          <w:tcPr>
            <w:tcW w:w="356" w:type="pct"/>
            <w:noWrap/>
          </w:tcPr>
          <w:p w14:paraId="5F22F73F" w14:textId="77777777" w:rsidR="00574B0D" w:rsidRPr="00B930DE" w:rsidRDefault="00574B0D" w:rsidP="00B930DE">
            <w:pPr>
              <w:spacing w:before="0" w:after="0"/>
              <w:jc w:val="center"/>
              <w:rPr>
                <w:rFonts w:cs="Arial"/>
                <w:sz w:val="16"/>
              </w:rPr>
            </w:pPr>
            <w:r w:rsidRPr="00B930DE">
              <w:rPr>
                <w:rFonts w:cs="Arial"/>
                <w:sz w:val="16"/>
              </w:rPr>
              <w:t>2.70</w:t>
            </w:r>
          </w:p>
        </w:tc>
        <w:tc>
          <w:tcPr>
            <w:tcW w:w="356" w:type="pct"/>
            <w:noWrap/>
          </w:tcPr>
          <w:p w14:paraId="5F22F740" w14:textId="77777777" w:rsidR="00574B0D" w:rsidRPr="00B930DE" w:rsidRDefault="00574B0D" w:rsidP="00B930DE">
            <w:pPr>
              <w:spacing w:before="0" w:after="0"/>
              <w:jc w:val="center"/>
              <w:rPr>
                <w:rFonts w:cs="Arial"/>
                <w:sz w:val="16"/>
                <w:lang w:eastAsia="en-AU"/>
              </w:rPr>
            </w:pPr>
          </w:p>
        </w:tc>
        <w:tc>
          <w:tcPr>
            <w:tcW w:w="327" w:type="pct"/>
          </w:tcPr>
          <w:p w14:paraId="5F22F741" w14:textId="77777777" w:rsidR="00574B0D" w:rsidRPr="00B930DE" w:rsidRDefault="00574B0D" w:rsidP="00B930DE">
            <w:pPr>
              <w:spacing w:before="0" w:after="0"/>
              <w:jc w:val="center"/>
              <w:rPr>
                <w:rFonts w:cs="Arial"/>
                <w:sz w:val="16"/>
              </w:rPr>
            </w:pPr>
            <w:r w:rsidRPr="00B930DE">
              <w:rPr>
                <w:rFonts w:cs="Arial"/>
                <w:sz w:val="16"/>
              </w:rPr>
              <w:t>17.83</w:t>
            </w:r>
          </w:p>
        </w:tc>
        <w:tc>
          <w:tcPr>
            <w:tcW w:w="327" w:type="pct"/>
          </w:tcPr>
          <w:p w14:paraId="5F22F742" w14:textId="77777777" w:rsidR="00574B0D" w:rsidRPr="00B930DE" w:rsidRDefault="00574B0D" w:rsidP="00B930DE">
            <w:pPr>
              <w:spacing w:before="0" w:after="0"/>
              <w:jc w:val="center"/>
              <w:rPr>
                <w:rFonts w:cs="Arial"/>
                <w:sz w:val="16"/>
                <w:lang w:eastAsia="en-AU"/>
              </w:rPr>
            </w:pPr>
          </w:p>
        </w:tc>
      </w:tr>
    </w:tbl>
    <w:p w14:paraId="5F22F744" w14:textId="77777777" w:rsidR="00174FBE" w:rsidRDefault="00174FBE">
      <w:pPr>
        <w:spacing w:before="0" w:after="0"/>
        <w:jc w:val="left"/>
        <w:rPr>
          <w:rFonts w:eastAsiaTheme="majorEastAsia" w:cstheme="majorBidi"/>
          <w:b/>
          <w:bCs/>
          <w:sz w:val="26"/>
          <w:szCs w:val="26"/>
          <w:lang w:val="en-AU"/>
        </w:rPr>
      </w:pPr>
      <w:r>
        <w:br w:type="page"/>
      </w:r>
    </w:p>
    <w:p w14:paraId="5F22F745" w14:textId="77777777" w:rsidR="007E0542" w:rsidRPr="007E0542" w:rsidRDefault="007E0542" w:rsidP="007E0542">
      <w:pPr>
        <w:pStyle w:val="Heading2"/>
      </w:pPr>
      <w:bookmarkStart w:id="1497" w:name="_Toc462307472"/>
      <w:r w:rsidRPr="007E0542">
        <w:t xml:space="preserve">Discussion </w:t>
      </w:r>
      <w:r w:rsidR="003472B2">
        <w:t>and conclusions</w:t>
      </w:r>
      <w:bookmarkEnd w:id="1497"/>
    </w:p>
    <w:p w14:paraId="5F22F746" w14:textId="1DC596D8" w:rsidR="007E0542" w:rsidRDefault="007E0542" w:rsidP="007E0542">
      <w:pPr>
        <w:spacing w:after="240"/>
        <w:rPr>
          <w:szCs w:val="24"/>
          <w:lang w:val="en-AU"/>
        </w:rPr>
      </w:pPr>
      <w:r w:rsidRPr="00DD6ABD">
        <w:rPr>
          <w:szCs w:val="24"/>
          <w:lang w:val="en-AU"/>
        </w:rPr>
        <w:t>This study confirms that levels of TSS and Chl-a in river plume waters exceed published ecological thresholds, except in the most offshore CC6 plume water type</w:t>
      </w:r>
      <w:r w:rsidR="00A058D6">
        <w:rPr>
          <w:szCs w:val="24"/>
          <w:lang w:val="en-AU"/>
        </w:rPr>
        <w:t xml:space="preserve"> (x% of the area of plume extent)</w:t>
      </w:r>
      <w:r>
        <w:rPr>
          <w:szCs w:val="24"/>
          <w:lang w:val="en-AU"/>
        </w:rPr>
        <w:t>;</w:t>
      </w:r>
      <w:r w:rsidRPr="00DD6ABD">
        <w:rPr>
          <w:szCs w:val="24"/>
          <w:lang w:val="en-AU"/>
        </w:rPr>
        <w:t xml:space="preserve"> and generally decrease from the inshore to offshore plume water types (Table </w:t>
      </w:r>
      <w:r w:rsidR="00D06EC2">
        <w:rPr>
          <w:szCs w:val="24"/>
          <w:lang w:val="en-AU"/>
        </w:rPr>
        <w:t>8-</w:t>
      </w:r>
      <w:r w:rsidRPr="00DD6ABD">
        <w:rPr>
          <w:szCs w:val="24"/>
          <w:lang w:val="en-AU"/>
        </w:rPr>
        <w:t xml:space="preserve">2). Estimated mean </w:t>
      </w:r>
      <w:r w:rsidR="00B51D83">
        <w:rPr>
          <w:szCs w:val="24"/>
          <w:lang w:val="en-AU"/>
        </w:rPr>
        <w:t>PSII</w:t>
      </w:r>
      <w:r w:rsidRPr="00DD6ABD">
        <w:rPr>
          <w:szCs w:val="24"/>
          <w:lang w:val="en-AU"/>
        </w:rPr>
        <w:t xml:space="preserve"> levels in river plume waters were under the concentration thresholds for biological response in all plume water types and the potential risk from exposure to PSII in river plume waters was scored as zero in the Risk Scores. However, the persistence of herbicides in coastal waters </w:t>
      </w:r>
      <w:r w:rsidR="00124249" w:rsidRPr="00DD6ABD">
        <w:rPr>
          <w:szCs w:val="24"/>
          <w:lang w:val="en-AU"/>
        </w:rPr>
        <w:t xml:space="preserve">should be noted </w:t>
      </w:r>
      <w:r w:rsidR="007622AC">
        <w:rPr>
          <w:szCs w:val="24"/>
          <w:lang w:val="en-AU"/>
        </w:rPr>
        <w:t>(Wilkinson et al., 2015)</w:t>
      </w:r>
      <w:r w:rsidRPr="00DD6ABD">
        <w:rPr>
          <w:szCs w:val="24"/>
          <w:lang w:val="en-AU"/>
        </w:rPr>
        <w:t xml:space="preserve">, </w:t>
      </w:r>
      <w:r w:rsidR="000C13C7">
        <w:rPr>
          <w:szCs w:val="24"/>
          <w:lang w:val="en-AU"/>
        </w:rPr>
        <w:t xml:space="preserve">and the concern </w:t>
      </w:r>
      <w:r w:rsidRPr="00DD6ABD">
        <w:rPr>
          <w:szCs w:val="24"/>
          <w:lang w:val="en-AU"/>
        </w:rPr>
        <w:t>that sublethal chronic impacts can occur at low concentrations</w:t>
      </w:r>
      <w:r w:rsidR="00124249">
        <w:rPr>
          <w:szCs w:val="24"/>
          <w:lang w:val="en-AU"/>
        </w:rPr>
        <w:t xml:space="preserve"> (</w:t>
      </w:r>
      <w:r w:rsidR="007622AC" w:rsidRPr="00545C0D">
        <w:rPr>
          <w:noProof/>
          <w:szCs w:val="24"/>
          <w:lang w:val="en-AU"/>
        </w:rPr>
        <w:t xml:space="preserve">Negri </w:t>
      </w:r>
      <w:r w:rsidR="007622AC">
        <w:rPr>
          <w:noProof/>
          <w:szCs w:val="24"/>
          <w:lang w:val="en-AU"/>
        </w:rPr>
        <w:t>et al., (</w:t>
      </w:r>
      <w:r w:rsidR="00124249">
        <w:rPr>
          <w:noProof/>
          <w:szCs w:val="24"/>
          <w:lang w:val="en-AU"/>
        </w:rPr>
        <w:t>=</w:t>
      </w:r>
      <w:r w:rsidR="007622AC">
        <w:rPr>
          <w:noProof/>
          <w:szCs w:val="24"/>
          <w:lang w:val="en-AU"/>
        </w:rPr>
        <w:t>2015)</w:t>
      </w:r>
      <w:r w:rsidR="00021829">
        <w:rPr>
          <w:noProof/>
          <w:szCs w:val="24"/>
          <w:lang w:val="en-AU"/>
        </w:rPr>
        <w:t>, albeit generally lower than those detected here</w:t>
      </w:r>
      <w:r w:rsidR="007622AC">
        <w:rPr>
          <w:szCs w:val="24"/>
          <w:lang w:val="en-AU"/>
        </w:rPr>
        <w:t xml:space="preserve">. </w:t>
      </w:r>
    </w:p>
    <w:p w14:paraId="4BBC91F5" w14:textId="37DBFAF3" w:rsidR="00D90324" w:rsidRDefault="00DC07D4" w:rsidP="00211A02">
      <w:pPr>
        <w:autoSpaceDE w:val="0"/>
        <w:autoSpaceDN w:val="0"/>
        <w:adjustRightInd w:val="0"/>
        <w:spacing w:after="240"/>
        <w:rPr>
          <w:b/>
          <w:lang w:val="en-AU"/>
        </w:rPr>
      </w:pPr>
      <w:r>
        <w:rPr>
          <w:szCs w:val="24"/>
          <w:lang w:val="en-AU"/>
        </w:rPr>
        <w:t>The</w:t>
      </w:r>
      <w:r w:rsidR="00D24F1D">
        <w:rPr>
          <w:szCs w:val="24"/>
          <w:lang w:val="en-AU"/>
        </w:rPr>
        <w:t xml:space="preserve"> area of high potential risk is a small percentage of the whole</w:t>
      </w:r>
      <w:r>
        <w:rPr>
          <w:szCs w:val="24"/>
          <w:lang w:val="en-AU"/>
        </w:rPr>
        <w:t xml:space="preserve"> of the marine park however; </w:t>
      </w:r>
      <w:r w:rsidR="00D24F1D">
        <w:rPr>
          <w:szCs w:val="24"/>
          <w:lang w:val="en-AU"/>
        </w:rPr>
        <w:t>its importance should not be underestimated</w:t>
      </w:r>
      <w:r>
        <w:rPr>
          <w:szCs w:val="24"/>
          <w:lang w:val="en-AU"/>
        </w:rPr>
        <w:t xml:space="preserve"> as a consequence</w:t>
      </w:r>
      <w:r w:rsidR="00D24F1D">
        <w:rPr>
          <w:szCs w:val="24"/>
          <w:lang w:val="en-AU"/>
        </w:rPr>
        <w:t xml:space="preserve"> as there are many </w:t>
      </w:r>
      <w:r>
        <w:rPr>
          <w:szCs w:val="24"/>
          <w:lang w:val="en-AU"/>
        </w:rPr>
        <w:t xml:space="preserve">crucially important </w:t>
      </w:r>
      <w:r w:rsidR="00D24F1D">
        <w:rPr>
          <w:szCs w:val="24"/>
          <w:lang w:val="en-AU"/>
        </w:rPr>
        <w:t xml:space="preserve">services provided to the GBR from this coastal section. </w:t>
      </w:r>
      <w:r w:rsidR="007E0542" w:rsidRPr="00F24DDC">
        <w:rPr>
          <w:szCs w:val="24"/>
          <w:lang w:val="en-AU"/>
        </w:rPr>
        <w:t xml:space="preserve">Comparing risk </w:t>
      </w:r>
      <w:r w:rsidR="007E0542">
        <w:rPr>
          <w:szCs w:val="24"/>
          <w:lang w:val="en-AU"/>
        </w:rPr>
        <w:t>framework</w:t>
      </w:r>
      <w:r w:rsidR="007E0542" w:rsidRPr="00F24DDC">
        <w:rPr>
          <w:szCs w:val="24"/>
          <w:lang w:val="en-AU"/>
        </w:rPr>
        <w:t xml:space="preserve"> outputs with </w:t>
      </w:r>
      <w:r w:rsidR="007E0542" w:rsidRPr="00266EC1">
        <w:t xml:space="preserve">with measures of </w:t>
      </w:r>
      <w:r w:rsidR="007E0542" w:rsidRPr="00363833">
        <w:rPr>
          <w:szCs w:val="24"/>
          <w:lang w:val="en-AU"/>
        </w:rPr>
        <w:t xml:space="preserve">seagrass and coral </w:t>
      </w:r>
      <w:r w:rsidR="007E0542" w:rsidRPr="00266EC1">
        <w:t xml:space="preserve">ecosystem </w:t>
      </w:r>
      <w:r w:rsidR="007E0542">
        <w:t>health</w:t>
      </w:r>
      <w:r w:rsidR="007E0542" w:rsidRPr="00F24DDC" w:rsidDel="009A6709">
        <w:rPr>
          <w:szCs w:val="24"/>
          <w:lang w:val="en-AU"/>
        </w:rPr>
        <w:t xml:space="preserve"> </w:t>
      </w:r>
      <w:r w:rsidR="007E0542" w:rsidRPr="00F24DDC">
        <w:rPr>
          <w:szCs w:val="24"/>
          <w:lang w:val="en-AU"/>
        </w:rPr>
        <w:t xml:space="preserve">is important to validate theoretical risk </w:t>
      </w:r>
      <w:r w:rsidR="007E0542">
        <w:rPr>
          <w:szCs w:val="24"/>
          <w:lang w:val="en-AU"/>
        </w:rPr>
        <w:t>thresholds. T</w:t>
      </w:r>
      <w:r w:rsidR="007E0542" w:rsidRPr="00F24DDC">
        <w:rPr>
          <w:szCs w:val="24"/>
          <w:lang w:val="en-AU"/>
        </w:rPr>
        <w:t xml:space="preserve">he </w:t>
      </w:r>
      <w:r w:rsidR="007E0542">
        <w:rPr>
          <w:szCs w:val="24"/>
          <w:lang w:val="en-AU"/>
        </w:rPr>
        <w:t>S</w:t>
      </w:r>
      <w:r w:rsidR="007E0542" w:rsidRPr="00F24DDC">
        <w:rPr>
          <w:szCs w:val="24"/>
          <w:lang w:val="en-AU"/>
        </w:rPr>
        <w:t xml:space="preserve">atellite </w:t>
      </w:r>
      <w:r w:rsidR="007E0542">
        <w:rPr>
          <w:szCs w:val="24"/>
          <w:lang w:val="en-AU"/>
        </w:rPr>
        <w:t>R</w:t>
      </w:r>
      <w:r w:rsidR="007E0542" w:rsidRPr="00F24DDC">
        <w:rPr>
          <w:szCs w:val="24"/>
          <w:lang w:val="en-AU"/>
        </w:rPr>
        <w:t xml:space="preserve">isk </w:t>
      </w:r>
      <w:r w:rsidR="007E0542">
        <w:rPr>
          <w:szCs w:val="24"/>
          <w:lang w:val="en-AU"/>
        </w:rPr>
        <w:t>F</w:t>
      </w:r>
      <w:r w:rsidR="007E0542" w:rsidRPr="00F24DDC">
        <w:rPr>
          <w:szCs w:val="24"/>
          <w:lang w:val="en-AU"/>
        </w:rPr>
        <w:t xml:space="preserve">ramework and </w:t>
      </w:r>
      <w:r w:rsidR="007E0542">
        <w:rPr>
          <w:szCs w:val="24"/>
          <w:lang w:val="en-AU"/>
        </w:rPr>
        <w:t>R</w:t>
      </w:r>
      <w:r w:rsidR="007E0542" w:rsidRPr="00F24DDC">
        <w:rPr>
          <w:szCs w:val="24"/>
          <w:lang w:val="en-AU"/>
        </w:rPr>
        <w:t xml:space="preserve">isk </w:t>
      </w:r>
      <w:r w:rsidR="007E0542">
        <w:rPr>
          <w:szCs w:val="24"/>
          <w:lang w:val="en-AU"/>
        </w:rPr>
        <w:t>S</w:t>
      </w:r>
      <w:r w:rsidR="007E0542" w:rsidRPr="00F24DDC">
        <w:rPr>
          <w:szCs w:val="24"/>
          <w:lang w:val="en-AU"/>
        </w:rPr>
        <w:t xml:space="preserve">cores </w:t>
      </w:r>
      <w:r w:rsidR="007E0542">
        <w:rPr>
          <w:szCs w:val="24"/>
          <w:lang w:val="en-AU"/>
        </w:rPr>
        <w:t xml:space="preserve">presented in this study </w:t>
      </w:r>
      <w:r w:rsidR="007E0542" w:rsidRPr="00F24DDC">
        <w:rPr>
          <w:szCs w:val="24"/>
          <w:lang w:val="en-AU"/>
        </w:rPr>
        <w:t xml:space="preserve">were successful in demonstrating where water conditions are, on average, </w:t>
      </w:r>
      <w:r w:rsidR="007E0542">
        <w:rPr>
          <w:szCs w:val="24"/>
          <w:lang w:val="en-AU"/>
        </w:rPr>
        <w:t xml:space="preserve">associated </w:t>
      </w:r>
      <w:r w:rsidR="000C13C7">
        <w:rPr>
          <w:szCs w:val="24"/>
          <w:lang w:val="en-AU"/>
        </w:rPr>
        <w:t>with</w:t>
      </w:r>
      <w:r w:rsidR="000C13C7" w:rsidRPr="00F24DDC">
        <w:rPr>
          <w:szCs w:val="24"/>
          <w:lang w:val="en-AU"/>
        </w:rPr>
        <w:t xml:space="preserve"> </w:t>
      </w:r>
      <w:r w:rsidR="007E0542">
        <w:rPr>
          <w:szCs w:val="24"/>
          <w:lang w:val="en-AU"/>
        </w:rPr>
        <w:t>adverse ecological responses in the GBR</w:t>
      </w:r>
      <w:r w:rsidR="007E0542" w:rsidRPr="00F24DDC">
        <w:rPr>
          <w:szCs w:val="24"/>
          <w:lang w:val="en-AU"/>
        </w:rPr>
        <w:t xml:space="preserve">. </w:t>
      </w:r>
      <w:r w:rsidR="00B51D83" w:rsidRPr="00F24DDC">
        <w:rPr>
          <w:szCs w:val="24"/>
          <w:lang w:val="en-AU"/>
        </w:rPr>
        <w:t xml:space="preserve">The correlation between the multi-annual changes in </w:t>
      </w:r>
      <w:r w:rsidR="00021829">
        <w:rPr>
          <w:szCs w:val="24"/>
          <w:lang w:val="en-AU"/>
        </w:rPr>
        <w:t xml:space="preserve">coastal </w:t>
      </w:r>
      <w:r w:rsidR="00B51D83" w:rsidRPr="00F24DDC">
        <w:rPr>
          <w:szCs w:val="24"/>
          <w:lang w:val="en-AU"/>
        </w:rPr>
        <w:t xml:space="preserve">seagrass cover and </w:t>
      </w:r>
      <w:r w:rsidR="00B51D83">
        <w:rPr>
          <w:szCs w:val="24"/>
          <w:lang w:val="en-AU"/>
        </w:rPr>
        <w:t>R</w:t>
      </w:r>
      <w:r w:rsidR="00B51D83" w:rsidRPr="00F24DDC">
        <w:rPr>
          <w:szCs w:val="24"/>
          <w:lang w:val="en-AU"/>
        </w:rPr>
        <w:t xml:space="preserve">isk </w:t>
      </w:r>
      <w:r w:rsidR="00B51D83">
        <w:rPr>
          <w:szCs w:val="24"/>
          <w:lang w:val="en-AU"/>
        </w:rPr>
        <w:t>S</w:t>
      </w:r>
      <w:r w:rsidR="00B51D83" w:rsidRPr="00F24DDC">
        <w:rPr>
          <w:szCs w:val="24"/>
          <w:lang w:val="en-AU"/>
        </w:rPr>
        <w:t>cores at the site level</w:t>
      </w:r>
      <w:r w:rsidR="00B51D83">
        <w:rPr>
          <w:szCs w:val="24"/>
          <w:lang w:val="en-AU"/>
        </w:rPr>
        <w:t xml:space="preserve"> (</w:t>
      </w:r>
      <w:r w:rsidR="00476957">
        <w:rPr>
          <w:szCs w:val="24"/>
          <w:lang w:val="en-AU"/>
        </w:rPr>
        <w:fldChar w:fldCharType="begin"/>
      </w:r>
      <w:r w:rsidR="00476957">
        <w:rPr>
          <w:szCs w:val="24"/>
          <w:lang w:val="en-AU"/>
        </w:rPr>
        <w:instrText xml:space="preserve"> REF _Ref461194905 \h </w:instrText>
      </w:r>
      <w:r w:rsidR="00476957">
        <w:rPr>
          <w:szCs w:val="24"/>
          <w:lang w:val="en-AU"/>
        </w:rPr>
      </w:r>
      <w:r w:rsidR="00476957">
        <w:rPr>
          <w:szCs w:val="24"/>
          <w:lang w:val="en-AU"/>
        </w:rPr>
        <w:fldChar w:fldCharType="separate"/>
      </w:r>
      <w:r w:rsidR="007F5336" w:rsidRPr="004A5BF7">
        <w:t xml:space="preserve">Figure </w:t>
      </w:r>
      <w:r w:rsidR="007F5336">
        <w:rPr>
          <w:noProof/>
        </w:rPr>
        <w:t>8</w:t>
      </w:r>
      <w:r w:rsidR="007F5336">
        <w:noBreakHyphen/>
      </w:r>
      <w:r w:rsidR="007F5336">
        <w:rPr>
          <w:noProof/>
        </w:rPr>
        <w:t>3</w:t>
      </w:r>
      <w:r w:rsidR="00476957">
        <w:rPr>
          <w:szCs w:val="24"/>
          <w:lang w:val="en-AU"/>
        </w:rPr>
        <w:fldChar w:fldCharType="end"/>
      </w:r>
      <w:r w:rsidR="00B51D83">
        <w:rPr>
          <w:szCs w:val="24"/>
          <w:lang w:val="en-AU"/>
        </w:rPr>
        <w:t>a)</w:t>
      </w:r>
      <w:r w:rsidR="00B51D83" w:rsidRPr="00F24DDC">
        <w:rPr>
          <w:szCs w:val="24"/>
          <w:lang w:val="en-AU"/>
        </w:rPr>
        <w:t xml:space="preserve"> help </w:t>
      </w:r>
      <w:r w:rsidR="000C13C7">
        <w:rPr>
          <w:szCs w:val="24"/>
          <w:lang w:val="en-AU"/>
        </w:rPr>
        <w:t xml:space="preserve">in </w:t>
      </w:r>
      <w:r w:rsidR="00B51D83" w:rsidRPr="00F24DDC">
        <w:rPr>
          <w:szCs w:val="24"/>
          <w:lang w:val="en-AU"/>
        </w:rPr>
        <w:t>refining multiannual risk thresholds associated with loss of seagrass cover</w:t>
      </w:r>
      <w:r w:rsidR="00B51D83">
        <w:rPr>
          <w:szCs w:val="24"/>
          <w:lang w:val="en-AU"/>
        </w:rPr>
        <w:t xml:space="preserve"> (</w:t>
      </w:r>
      <w:r w:rsidR="00124249">
        <w:rPr>
          <w:szCs w:val="24"/>
          <w:lang w:val="en-AU"/>
        </w:rPr>
        <w:fldChar w:fldCharType="begin"/>
      </w:r>
      <w:r w:rsidR="00124249">
        <w:rPr>
          <w:szCs w:val="24"/>
          <w:lang w:val="en-AU"/>
        </w:rPr>
        <w:instrText xml:space="preserve"> REF _Ref459156448 \h  \* MERGEFORMAT </w:instrText>
      </w:r>
      <w:r w:rsidR="00124249">
        <w:rPr>
          <w:szCs w:val="24"/>
          <w:lang w:val="en-AU"/>
        </w:rPr>
      </w:r>
      <w:r w:rsidR="00124249">
        <w:rPr>
          <w:szCs w:val="24"/>
          <w:lang w:val="en-AU"/>
        </w:rPr>
        <w:fldChar w:fldCharType="separate"/>
      </w:r>
      <w:r w:rsidR="007F5336" w:rsidRPr="007F5336">
        <w:rPr>
          <w:szCs w:val="24"/>
          <w:lang w:val="en-AU"/>
        </w:rPr>
        <w:t>Table 8</w:t>
      </w:r>
      <w:r w:rsidR="007F5336" w:rsidRPr="007F5336">
        <w:rPr>
          <w:szCs w:val="24"/>
          <w:lang w:val="en-AU"/>
        </w:rPr>
        <w:noBreakHyphen/>
        <w:t>5</w:t>
      </w:r>
      <w:r w:rsidR="00124249">
        <w:rPr>
          <w:szCs w:val="24"/>
          <w:lang w:val="en-AU"/>
        </w:rPr>
        <w:fldChar w:fldCharType="end"/>
      </w:r>
      <w:r w:rsidR="00B51D83">
        <w:rPr>
          <w:szCs w:val="24"/>
          <w:lang w:val="en-AU"/>
        </w:rPr>
        <w:t>)</w:t>
      </w:r>
      <w:r w:rsidR="001273A9">
        <w:rPr>
          <w:szCs w:val="24"/>
          <w:lang w:val="en-AU"/>
        </w:rPr>
        <w:t>.</w:t>
      </w:r>
    </w:p>
    <w:p w14:paraId="380844B5" w14:textId="69BFAEE0" w:rsidR="00D90324" w:rsidRDefault="00D90324" w:rsidP="00B51D83">
      <w:pPr>
        <w:autoSpaceDE w:val="0"/>
        <w:autoSpaceDN w:val="0"/>
        <w:adjustRightInd w:val="0"/>
        <w:spacing w:after="240"/>
        <w:rPr>
          <w:szCs w:val="24"/>
          <w:lang w:val="en-AU"/>
        </w:rPr>
      </w:pPr>
      <w:r>
        <w:rPr>
          <w:b/>
          <w:noProof/>
          <w:lang w:val="en-AU" w:eastAsia="en-AU"/>
        </w:rPr>
        <w:drawing>
          <wp:anchor distT="0" distB="0" distL="114300" distR="114300" simplePos="0" relativeHeight="251674112" behindDoc="0" locked="0" layoutInCell="1" allowOverlap="1" wp14:anchorId="79A4BC1C" wp14:editId="1BBD98C3">
            <wp:simplePos x="0" y="0"/>
            <wp:positionH relativeFrom="column">
              <wp:posOffset>828675</wp:posOffset>
            </wp:positionH>
            <wp:positionV relativeFrom="paragraph">
              <wp:posOffset>72390</wp:posOffset>
            </wp:positionV>
            <wp:extent cx="4015105" cy="3943350"/>
            <wp:effectExtent l="0" t="0" r="4445" b="0"/>
            <wp:wrapTopAndBottom/>
            <wp:docPr id="7210" name="Picture 7210" descr="Panel of plots showing changes in (Δ, top) and mean multi-annual (M, bottom) seagrass cover compared to Risk Scores (MS) at the: a and c) site and b and d) NRM scales. MP: Midge Point and GH: Gladstone Harbour. Wt: Wet Tropics, MW: Mackay-Whitsundays, Fitz.: Fitzroy Burd.: Burdekin and BM: Burnett-Mary. Determination coefficient and p values calculated without considering the outlier sites (indicated by grey dots" title="Figure 8 3: Changes in (Δ, top) and mean multi-annual (M, bottom) seagrass cover compared to Risk Scores (MS) at the: a and c) site and b and d) NRM sc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7">
                      <a:extLst>
                        <a:ext uri="{28A0092B-C50C-407E-A947-70E740481C1C}">
                          <a14:useLocalDpi xmlns:a14="http://schemas.microsoft.com/office/drawing/2010/main" val="0"/>
                        </a:ext>
                      </a:extLst>
                    </a:blip>
                    <a:srcRect/>
                    <a:stretch>
                      <a:fillRect/>
                    </a:stretch>
                  </pic:blipFill>
                  <pic:spPr bwMode="auto">
                    <a:xfrm>
                      <a:off x="0" y="0"/>
                      <a:ext cx="4015105" cy="3943350"/>
                    </a:xfrm>
                    <a:prstGeom prst="rect">
                      <a:avLst/>
                    </a:prstGeom>
                    <a:noFill/>
                  </pic:spPr>
                </pic:pic>
              </a:graphicData>
            </a:graphic>
            <wp14:sizeRelH relativeFrom="page">
              <wp14:pctWidth>0</wp14:pctWidth>
            </wp14:sizeRelH>
            <wp14:sizeRelV relativeFrom="page">
              <wp14:pctHeight>0</wp14:pctHeight>
            </wp14:sizeRelV>
          </wp:anchor>
        </w:drawing>
      </w:r>
    </w:p>
    <w:p w14:paraId="42F58F58" w14:textId="5DA7433F" w:rsidR="00D90324" w:rsidRDefault="00D90324" w:rsidP="00211A02">
      <w:pPr>
        <w:pStyle w:val="Caption"/>
        <w:rPr>
          <w:szCs w:val="24"/>
          <w:lang w:val="en-AU"/>
        </w:rPr>
      </w:pPr>
      <w:bookmarkStart w:id="1498" w:name="_Ref461194905"/>
      <w:bookmarkStart w:id="1499" w:name="_Toc459332415"/>
      <w:r w:rsidRPr="004A5BF7">
        <w:t xml:space="preserve">Figure </w:t>
      </w:r>
      <w:r>
        <w:fldChar w:fldCharType="begin"/>
      </w:r>
      <w:r>
        <w:instrText xml:space="preserve"> STYLEREF 1 \s </w:instrText>
      </w:r>
      <w:r>
        <w:fldChar w:fldCharType="separate"/>
      </w:r>
      <w:r w:rsidR="007F5336">
        <w:rPr>
          <w:noProof/>
        </w:rPr>
        <w:t>8</w:t>
      </w:r>
      <w:r>
        <w:fldChar w:fldCharType="end"/>
      </w:r>
      <w:r>
        <w:noBreakHyphen/>
      </w:r>
      <w:r>
        <w:fldChar w:fldCharType="begin"/>
      </w:r>
      <w:r>
        <w:instrText xml:space="preserve"> SEQ Figure \* ARABIC \s 1 </w:instrText>
      </w:r>
      <w:r>
        <w:fldChar w:fldCharType="separate"/>
      </w:r>
      <w:r w:rsidR="007F5336">
        <w:rPr>
          <w:noProof/>
        </w:rPr>
        <w:t>3</w:t>
      </w:r>
      <w:r>
        <w:fldChar w:fldCharType="end"/>
      </w:r>
      <w:bookmarkEnd w:id="1498"/>
      <w:r w:rsidRPr="004A5BF7">
        <w:t>:</w:t>
      </w:r>
      <w:r w:rsidRPr="0046394E">
        <w:t xml:space="preserve"> Changes in (Δ, top) and mean multi-annual (M, bottom) seagrass cover compared to Risk Scores (MS) at the: a and c) site and b and d) NRM scales. MP: Midge Poi</w:t>
      </w:r>
      <w:r w:rsidR="003E25ED">
        <w:t>nt and GH: Gladstone Harbour. WT</w:t>
      </w:r>
      <w:r w:rsidRPr="0046394E">
        <w:t>: Wet Tropics, MW: Mackay-Whitsundays, Fitz.: Fitzroy Burd.: Burdekin and BM: Burnett-Mary. Determination coefficient and p values calculated without considering the outlier sites (indicated by grey dots).</w:t>
      </w:r>
      <w:bookmarkEnd w:id="1499"/>
    </w:p>
    <w:p w14:paraId="04C154CF" w14:textId="77777777" w:rsidR="00D90324" w:rsidRDefault="00D90324" w:rsidP="00B51D83">
      <w:pPr>
        <w:autoSpaceDE w:val="0"/>
        <w:autoSpaceDN w:val="0"/>
        <w:adjustRightInd w:val="0"/>
        <w:spacing w:after="240"/>
        <w:rPr>
          <w:szCs w:val="24"/>
          <w:lang w:val="en-AU"/>
        </w:rPr>
      </w:pPr>
    </w:p>
    <w:p w14:paraId="0514AADC" w14:textId="50D53555" w:rsidR="00D90324" w:rsidRPr="00D90324" w:rsidRDefault="00D90324" w:rsidP="00211A02">
      <w:pPr>
        <w:pStyle w:val="Caption"/>
      </w:pPr>
      <w:r w:rsidRPr="004A5BF7">
        <w:rPr>
          <w:rFonts w:cs="Arial"/>
          <w:noProof/>
          <w:szCs w:val="18"/>
          <w:lang w:val="en-AU" w:eastAsia="en-AU"/>
        </w:rPr>
        <w:drawing>
          <wp:anchor distT="0" distB="0" distL="114300" distR="114300" simplePos="0" relativeHeight="251662848" behindDoc="0" locked="0" layoutInCell="1" allowOverlap="1" wp14:anchorId="33183DA1" wp14:editId="044731B6">
            <wp:simplePos x="0" y="0"/>
            <wp:positionH relativeFrom="column">
              <wp:posOffset>899160</wp:posOffset>
            </wp:positionH>
            <wp:positionV relativeFrom="paragraph">
              <wp:posOffset>75565</wp:posOffset>
            </wp:positionV>
            <wp:extent cx="4349115" cy="4477385"/>
            <wp:effectExtent l="0" t="0" r="0" b="0"/>
            <wp:wrapTopAndBottom/>
            <wp:docPr id="46" name="Picture 10" descr="Panel of plots showing multi-annual (2005-2014) changes in (Δ, top) and mean multi-annual (M, bottom) proportion of macroalgae in the algal community compared to Risk Scores (RS) at the: a) and c) site, and b) and d) NRM scales. ns. non-significant. The dotted line in c) indicate an initial risk score threshold of about 0.2 below which there is rarely high proportion of macroalgae in the algal communities at the reef sites." title="Figure 8 4: Multi-annual (2005-2014) changes in (Δ, top) and mean multi-annual (M, bottom) proportion of macroalgae in the algal community compared to Risk Scores (RS) at the  site and NRM sc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8" cstate="print">
                      <a:extLst>
                        <a:ext uri="{28A0092B-C50C-407E-A947-70E740481C1C}">
                          <a14:useLocalDpi xmlns:a14="http://schemas.microsoft.com/office/drawing/2010/main" val="0"/>
                        </a:ext>
                      </a:extLst>
                    </a:blip>
                    <a:stretch>
                      <a:fillRect/>
                    </a:stretch>
                  </pic:blipFill>
                  <pic:spPr bwMode="auto">
                    <a:xfrm>
                      <a:off x="0" y="0"/>
                      <a:ext cx="4349115" cy="44773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F22F74C" w14:textId="31786913" w:rsidR="007E0542" w:rsidRPr="0046394E" w:rsidRDefault="00124249" w:rsidP="007E0542">
      <w:pPr>
        <w:rPr>
          <w:rFonts w:cs="Arial"/>
          <w:sz w:val="18"/>
          <w:szCs w:val="18"/>
          <w:lang w:val="en-AU"/>
        </w:rPr>
      </w:pPr>
      <w:bookmarkStart w:id="1500" w:name="_Ref459156184"/>
      <w:bookmarkStart w:id="1501" w:name="_Toc459332416"/>
      <w:r w:rsidRPr="002615B8">
        <w:rPr>
          <w:rFonts w:cs="Arial"/>
          <w:sz w:val="18"/>
          <w:szCs w:val="18"/>
          <w:lang w:val="en-AU"/>
        </w:rPr>
        <w:t xml:space="preserve">Figure </w:t>
      </w:r>
      <w:r w:rsidR="00C62884">
        <w:rPr>
          <w:rFonts w:cs="Arial"/>
          <w:sz w:val="18"/>
          <w:szCs w:val="18"/>
          <w:lang w:val="en-AU"/>
        </w:rPr>
        <w:fldChar w:fldCharType="begin"/>
      </w:r>
      <w:r w:rsidR="00C62884">
        <w:rPr>
          <w:rFonts w:cs="Arial"/>
          <w:sz w:val="18"/>
          <w:szCs w:val="18"/>
          <w:lang w:val="en-AU"/>
        </w:rPr>
        <w:instrText xml:space="preserve"> STYLEREF 1 \s </w:instrText>
      </w:r>
      <w:r w:rsidR="00C62884">
        <w:rPr>
          <w:rFonts w:cs="Arial"/>
          <w:sz w:val="18"/>
          <w:szCs w:val="18"/>
          <w:lang w:val="en-AU"/>
        </w:rPr>
        <w:fldChar w:fldCharType="separate"/>
      </w:r>
      <w:r w:rsidR="007F5336">
        <w:rPr>
          <w:rFonts w:cs="Arial"/>
          <w:noProof/>
          <w:sz w:val="18"/>
          <w:szCs w:val="18"/>
          <w:lang w:val="en-AU"/>
        </w:rPr>
        <w:t>8</w:t>
      </w:r>
      <w:r w:rsidR="00C62884">
        <w:rPr>
          <w:rFonts w:cs="Arial"/>
          <w:sz w:val="18"/>
          <w:szCs w:val="18"/>
          <w:lang w:val="en-AU"/>
        </w:rPr>
        <w:fldChar w:fldCharType="end"/>
      </w:r>
      <w:r w:rsidR="00C62884">
        <w:rPr>
          <w:rFonts w:cs="Arial"/>
          <w:sz w:val="18"/>
          <w:szCs w:val="18"/>
          <w:lang w:val="en-AU"/>
        </w:rPr>
        <w:noBreakHyphen/>
      </w:r>
      <w:r w:rsidR="00C62884">
        <w:rPr>
          <w:rFonts w:cs="Arial"/>
          <w:sz w:val="18"/>
          <w:szCs w:val="18"/>
          <w:lang w:val="en-AU"/>
        </w:rPr>
        <w:fldChar w:fldCharType="begin"/>
      </w:r>
      <w:r w:rsidR="00C62884">
        <w:rPr>
          <w:rFonts w:cs="Arial"/>
          <w:sz w:val="18"/>
          <w:szCs w:val="18"/>
          <w:lang w:val="en-AU"/>
        </w:rPr>
        <w:instrText xml:space="preserve"> SEQ Figure \* ARABIC \s 1 </w:instrText>
      </w:r>
      <w:r w:rsidR="00C62884">
        <w:rPr>
          <w:rFonts w:cs="Arial"/>
          <w:sz w:val="18"/>
          <w:szCs w:val="18"/>
          <w:lang w:val="en-AU"/>
        </w:rPr>
        <w:fldChar w:fldCharType="separate"/>
      </w:r>
      <w:r w:rsidR="007F5336">
        <w:rPr>
          <w:rFonts w:cs="Arial"/>
          <w:noProof/>
          <w:sz w:val="18"/>
          <w:szCs w:val="18"/>
          <w:lang w:val="en-AU"/>
        </w:rPr>
        <w:t>4</w:t>
      </w:r>
      <w:r w:rsidR="00C62884">
        <w:rPr>
          <w:rFonts w:cs="Arial"/>
          <w:sz w:val="18"/>
          <w:szCs w:val="18"/>
          <w:lang w:val="en-AU"/>
        </w:rPr>
        <w:fldChar w:fldCharType="end"/>
      </w:r>
      <w:bookmarkEnd w:id="1500"/>
      <w:r w:rsidRPr="002615B8">
        <w:rPr>
          <w:rFonts w:cs="Arial"/>
          <w:sz w:val="18"/>
          <w:szCs w:val="18"/>
          <w:lang w:val="en-AU"/>
        </w:rPr>
        <w:t>:</w:t>
      </w:r>
      <w:r w:rsidRPr="0046394E">
        <w:rPr>
          <w:rFonts w:cs="Arial"/>
          <w:sz w:val="18"/>
          <w:szCs w:val="18"/>
          <w:lang w:val="en-AU"/>
        </w:rPr>
        <w:t xml:space="preserve"> </w:t>
      </w:r>
      <w:r w:rsidR="007E0542" w:rsidRPr="0046394E">
        <w:rPr>
          <w:rFonts w:cs="Arial"/>
          <w:sz w:val="18"/>
          <w:szCs w:val="18"/>
          <w:lang w:val="en-AU"/>
        </w:rPr>
        <w:t>Multi-annual (2005-2014) changes in (Δ, top) and mean multi-annual (M, bottom) proportion of macroalgae in the algal community compared to Risk Scores (RS) at the: a</w:t>
      </w:r>
      <w:r w:rsidR="003E25ED">
        <w:rPr>
          <w:rFonts w:cs="Arial"/>
          <w:sz w:val="18"/>
          <w:szCs w:val="18"/>
          <w:lang w:val="en-AU"/>
        </w:rPr>
        <w:t>)</w:t>
      </w:r>
      <w:r w:rsidR="007E0542" w:rsidRPr="0046394E">
        <w:rPr>
          <w:rFonts w:cs="Arial"/>
          <w:sz w:val="18"/>
          <w:szCs w:val="18"/>
          <w:lang w:val="en-AU"/>
        </w:rPr>
        <w:t xml:space="preserve"> and c) site</w:t>
      </w:r>
      <w:r w:rsidR="003E25ED">
        <w:rPr>
          <w:rFonts w:cs="Arial"/>
          <w:sz w:val="18"/>
          <w:szCs w:val="18"/>
          <w:lang w:val="en-AU"/>
        </w:rPr>
        <w:t>,</w:t>
      </w:r>
      <w:r w:rsidR="007E0542" w:rsidRPr="0046394E">
        <w:rPr>
          <w:rFonts w:cs="Arial"/>
          <w:sz w:val="18"/>
          <w:szCs w:val="18"/>
          <w:lang w:val="en-AU"/>
        </w:rPr>
        <w:t xml:space="preserve"> and b</w:t>
      </w:r>
      <w:r w:rsidR="003E25ED">
        <w:rPr>
          <w:rFonts w:cs="Arial"/>
          <w:sz w:val="18"/>
          <w:szCs w:val="18"/>
          <w:lang w:val="en-AU"/>
        </w:rPr>
        <w:t>)</w:t>
      </w:r>
      <w:r w:rsidR="007E0542" w:rsidRPr="0046394E">
        <w:rPr>
          <w:rFonts w:cs="Arial"/>
          <w:sz w:val="18"/>
          <w:szCs w:val="18"/>
          <w:lang w:val="en-AU"/>
        </w:rPr>
        <w:t xml:space="preserve"> and d) NRM scales. ns. non-significant. The dotted line in c) indicate an initial risk score threshold of about 0.2 below which there is rarely high proportion of macroalg</w:t>
      </w:r>
      <w:r>
        <w:rPr>
          <w:rFonts w:cs="Arial"/>
          <w:sz w:val="18"/>
          <w:szCs w:val="18"/>
          <w:lang w:val="en-AU"/>
        </w:rPr>
        <w:t>a</w:t>
      </w:r>
      <w:r w:rsidR="007E0542" w:rsidRPr="0046394E">
        <w:rPr>
          <w:rFonts w:cs="Arial"/>
          <w:sz w:val="18"/>
          <w:szCs w:val="18"/>
          <w:lang w:val="en-AU"/>
        </w:rPr>
        <w:t>e in the algal communities at the reef sites.</w:t>
      </w:r>
      <w:bookmarkEnd w:id="1501"/>
    </w:p>
    <w:p w14:paraId="5F22F74D" w14:textId="77777777" w:rsidR="00B930DE" w:rsidRPr="0046394E" w:rsidRDefault="00B930DE" w:rsidP="00B930DE">
      <w:pPr>
        <w:rPr>
          <w:lang w:val="en-AU"/>
        </w:rPr>
      </w:pPr>
    </w:p>
    <w:p w14:paraId="5F22F74E" w14:textId="284F0BAA" w:rsidR="00B51D83" w:rsidRPr="0046394E" w:rsidRDefault="00124249" w:rsidP="00B51D83">
      <w:pPr>
        <w:autoSpaceDE w:val="0"/>
        <w:autoSpaceDN w:val="0"/>
        <w:adjustRightInd w:val="0"/>
        <w:spacing w:after="240"/>
        <w:rPr>
          <w:szCs w:val="24"/>
          <w:lang w:val="en-AU"/>
        </w:rPr>
      </w:pPr>
      <w:bookmarkStart w:id="1502" w:name="_Ref459156448"/>
      <w:bookmarkStart w:id="1503" w:name="_Toc459332169"/>
      <w:r w:rsidRPr="002615B8">
        <w:rPr>
          <w:rFonts w:cs="Arial"/>
          <w:sz w:val="18"/>
          <w:szCs w:val="18"/>
          <w:lang w:val="en-AU"/>
        </w:rPr>
        <w:t xml:space="preserve">Table </w:t>
      </w:r>
      <w:r w:rsidRPr="002615B8">
        <w:rPr>
          <w:rFonts w:cs="Arial"/>
          <w:sz w:val="18"/>
          <w:szCs w:val="18"/>
          <w:lang w:val="en-AU"/>
        </w:rPr>
        <w:fldChar w:fldCharType="begin"/>
      </w:r>
      <w:r w:rsidRPr="002615B8">
        <w:rPr>
          <w:rFonts w:cs="Arial"/>
          <w:sz w:val="18"/>
          <w:szCs w:val="18"/>
          <w:lang w:val="en-AU"/>
        </w:rPr>
        <w:instrText xml:space="preserve"> STYLEREF 1 \s </w:instrText>
      </w:r>
      <w:r w:rsidRPr="002615B8">
        <w:rPr>
          <w:rFonts w:cs="Arial"/>
          <w:sz w:val="18"/>
          <w:szCs w:val="18"/>
          <w:lang w:val="en-AU"/>
        </w:rPr>
        <w:fldChar w:fldCharType="separate"/>
      </w:r>
      <w:r w:rsidR="007F5336">
        <w:rPr>
          <w:rFonts w:cs="Arial"/>
          <w:noProof/>
          <w:sz w:val="18"/>
          <w:szCs w:val="18"/>
          <w:lang w:val="en-AU"/>
        </w:rPr>
        <w:t>8</w:t>
      </w:r>
      <w:r w:rsidRPr="002615B8">
        <w:rPr>
          <w:rFonts w:cs="Arial"/>
          <w:sz w:val="18"/>
          <w:szCs w:val="18"/>
          <w:lang w:val="en-AU"/>
        </w:rPr>
        <w:fldChar w:fldCharType="end"/>
      </w:r>
      <w:r w:rsidRPr="002615B8">
        <w:rPr>
          <w:rFonts w:cs="Arial"/>
          <w:sz w:val="18"/>
          <w:szCs w:val="18"/>
          <w:lang w:val="en-AU"/>
        </w:rPr>
        <w:noBreakHyphen/>
      </w:r>
      <w:r w:rsidRPr="002615B8">
        <w:rPr>
          <w:rFonts w:cs="Arial"/>
          <w:sz w:val="18"/>
          <w:szCs w:val="18"/>
          <w:lang w:val="en-AU"/>
        </w:rPr>
        <w:fldChar w:fldCharType="begin"/>
      </w:r>
      <w:r w:rsidRPr="002615B8">
        <w:rPr>
          <w:rFonts w:cs="Arial"/>
          <w:sz w:val="18"/>
          <w:szCs w:val="18"/>
          <w:lang w:val="en-AU"/>
        </w:rPr>
        <w:instrText xml:space="preserve"> SEQ Table \* ARABIC \s 1 </w:instrText>
      </w:r>
      <w:r w:rsidRPr="002615B8">
        <w:rPr>
          <w:rFonts w:cs="Arial"/>
          <w:sz w:val="18"/>
          <w:szCs w:val="18"/>
          <w:lang w:val="en-AU"/>
        </w:rPr>
        <w:fldChar w:fldCharType="separate"/>
      </w:r>
      <w:r w:rsidR="007F5336">
        <w:rPr>
          <w:rFonts w:cs="Arial"/>
          <w:noProof/>
          <w:sz w:val="18"/>
          <w:szCs w:val="18"/>
          <w:lang w:val="en-AU"/>
        </w:rPr>
        <w:t>5</w:t>
      </w:r>
      <w:r w:rsidRPr="002615B8">
        <w:rPr>
          <w:rFonts w:cs="Arial"/>
          <w:sz w:val="18"/>
          <w:szCs w:val="18"/>
          <w:lang w:val="en-AU"/>
        </w:rPr>
        <w:fldChar w:fldCharType="end"/>
      </w:r>
      <w:bookmarkEnd w:id="1502"/>
      <w:r w:rsidRPr="002615B8">
        <w:rPr>
          <w:rFonts w:cs="Arial"/>
          <w:sz w:val="18"/>
          <w:szCs w:val="18"/>
          <w:lang w:val="en-AU"/>
        </w:rPr>
        <w:t xml:space="preserve">: </w:t>
      </w:r>
      <w:r w:rsidR="00B51D83" w:rsidRPr="0046394E">
        <w:rPr>
          <w:rFonts w:cs="Arial"/>
          <w:sz w:val="18"/>
          <w:szCs w:val="18"/>
          <w:lang w:val="en-AU"/>
        </w:rPr>
        <w:t xml:space="preserve">Risk Score thresholds associated with loss of seagrass cover. The thresholds were derived from Figure </w:t>
      </w:r>
      <w:r w:rsidR="00486555">
        <w:rPr>
          <w:rFonts w:cs="Arial"/>
          <w:sz w:val="18"/>
          <w:szCs w:val="18"/>
          <w:lang w:val="en-AU"/>
        </w:rPr>
        <w:t>8-3a</w:t>
      </w:r>
      <w:r w:rsidR="00486555" w:rsidRPr="0046394E">
        <w:rPr>
          <w:rFonts w:cs="Arial"/>
          <w:sz w:val="18"/>
          <w:szCs w:val="18"/>
          <w:lang w:val="en-AU"/>
        </w:rPr>
        <w:t xml:space="preserve"> </w:t>
      </w:r>
      <w:r w:rsidR="00B51D83" w:rsidRPr="0046394E">
        <w:rPr>
          <w:rFonts w:cs="Arial"/>
          <w:sz w:val="18"/>
          <w:szCs w:val="18"/>
          <w:lang w:val="en-AU"/>
        </w:rPr>
        <w:t>(dotted lines)</w:t>
      </w:r>
      <w:r w:rsidR="0046394E">
        <w:rPr>
          <w:rFonts w:cs="Arial"/>
          <w:sz w:val="18"/>
          <w:szCs w:val="18"/>
          <w:lang w:val="en-AU"/>
        </w:rPr>
        <w:t>.</w:t>
      </w:r>
      <w:bookmarkEnd w:id="1503"/>
    </w:p>
    <w:tbl>
      <w:tblPr>
        <w:tblStyle w:val="TableGrid1"/>
        <w:tblW w:w="4695" w:type="pct"/>
        <w:tblInd w:w="108" w:type="dxa"/>
        <w:tblLook w:val="04A0" w:firstRow="1" w:lastRow="0" w:firstColumn="1" w:lastColumn="0" w:noHBand="0" w:noVBand="1"/>
        <w:tblCaption w:val="Table 8 5: Risk Score thresholds associated with loss of seagrass cover. "/>
        <w:tblDescription w:val="Table showing Risk Score thresholds associated with loss of seagrass cover. "/>
      </w:tblPr>
      <w:tblGrid>
        <w:gridCol w:w="2486"/>
        <w:gridCol w:w="2050"/>
        <w:gridCol w:w="2064"/>
        <w:gridCol w:w="2079"/>
      </w:tblGrid>
      <w:tr w:rsidR="00B51D83" w:rsidRPr="00B930DE" w14:paraId="5F22F753" w14:textId="77777777" w:rsidTr="003B41A8">
        <w:trPr>
          <w:trHeight w:val="300"/>
          <w:tblHeader/>
        </w:trPr>
        <w:tc>
          <w:tcPr>
            <w:tcW w:w="1432" w:type="pct"/>
            <w:shd w:val="clear" w:color="auto" w:fill="D9D9D9" w:themeFill="background1" w:themeFillShade="D9"/>
            <w:noWrap/>
            <w:hideMark/>
          </w:tcPr>
          <w:p w14:paraId="5F22F74F" w14:textId="77777777" w:rsidR="00B51D83" w:rsidRPr="00B930DE" w:rsidRDefault="00B51D83" w:rsidP="007D2CF5">
            <w:pPr>
              <w:jc w:val="center"/>
              <w:rPr>
                <w:rFonts w:cs="Arial"/>
                <w:b/>
                <w:bCs/>
                <w:sz w:val="20"/>
                <w:lang w:eastAsia="en-AU"/>
              </w:rPr>
            </w:pPr>
            <w:r w:rsidRPr="00B930DE">
              <w:rPr>
                <w:rFonts w:cs="Arial"/>
                <w:b/>
                <w:bCs/>
                <w:sz w:val="20"/>
                <w:lang w:eastAsia="en-AU"/>
              </w:rPr>
              <w:t>Risk</w:t>
            </w:r>
          </w:p>
        </w:tc>
        <w:tc>
          <w:tcPr>
            <w:tcW w:w="1181" w:type="pct"/>
            <w:shd w:val="clear" w:color="auto" w:fill="D9D9D9" w:themeFill="background1" w:themeFillShade="D9"/>
            <w:noWrap/>
            <w:hideMark/>
          </w:tcPr>
          <w:p w14:paraId="5F22F750" w14:textId="77777777" w:rsidR="00B51D83" w:rsidRPr="00B930DE" w:rsidRDefault="00B51D83" w:rsidP="007D2CF5">
            <w:pPr>
              <w:jc w:val="center"/>
              <w:rPr>
                <w:rFonts w:cs="Arial"/>
                <w:b/>
                <w:bCs/>
                <w:sz w:val="20"/>
                <w:lang w:eastAsia="en-AU"/>
              </w:rPr>
            </w:pPr>
            <w:r w:rsidRPr="00B930DE">
              <w:rPr>
                <w:rFonts w:cs="Arial"/>
                <w:b/>
                <w:bCs/>
                <w:sz w:val="20"/>
                <w:lang w:eastAsia="en-AU"/>
              </w:rPr>
              <w:t>I</w:t>
            </w:r>
          </w:p>
        </w:tc>
        <w:tc>
          <w:tcPr>
            <w:tcW w:w="1189" w:type="pct"/>
            <w:shd w:val="clear" w:color="auto" w:fill="D9D9D9" w:themeFill="background1" w:themeFillShade="D9"/>
            <w:noWrap/>
            <w:hideMark/>
          </w:tcPr>
          <w:p w14:paraId="5F22F751" w14:textId="77777777" w:rsidR="00B51D83" w:rsidRPr="00B930DE" w:rsidRDefault="00B51D83" w:rsidP="007D2CF5">
            <w:pPr>
              <w:jc w:val="center"/>
              <w:rPr>
                <w:rFonts w:cs="Arial"/>
                <w:b/>
                <w:bCs/>
                <w:sz w:val="20"/>
                <w:lang w:eastAsia="en-AU"/>
              </w:rPr>
            </w:pPr>
            <w:r w:rsidRPr="00B930DE">
              <w:rPr>
                <w:rFonts w:cs="Arial"/>
                <w:b/>
                <w:bCs/>
                <w:sz w:val="20"/>
                <w:lang w:eastAsia="en-AU"/>
              </w:rPr>
              <w:t>II</w:t>
            </w:r>
          </w:p>
        </w:tc>
        <w:tc>
          <w:tcPr>
            <w:tcW w:w="1198" w:type="pct"/>
            <w:shd w:val="clear" w:color="auto" w:fill="D9D9D9" w:themeFill="background1" w:themeFillShade="D9"/>
            <w:noWrap/>
            <w:hideMark/>
          </w:tcPr>
          <w:p w14:paraId="5F22F752" w14:textId="77777777" w:rsidR="00B51D83" w:rsidRPr="00B930DE" w:rsidRDefault="00B51D83" w:rsidP="007D2CF5">
            <w:pPr>
              <w:jc w:val="center"/>
              <w:rPr>
                <w:rFonts w:cs="Arial"/>
                <w:b/>
                <w:bCs/>
                <w:sz w:val="20"/>
                <w:lang w:eastAsia="en-AU"/>
              </w:rPr>
            </w:pPr>
            <w:r w:rsidRPr="00B930DE">
              <w:rPr>
                <w:rFonts w:cs="Arial"/>
                <w:b/>
                <w:bCs/>
                <w:sz w:val="20"/>
                <w:lang w:eastAsia="en-AU"/>
              </w:rPr>
              <w:t>III</w:t>
            </w:r>
          </w:p>
        </w:tc>
      </w:tr>
      <w:tr w:rsidR="00B51D83" w:rsidRPr="00B930DE" w14:paraId="5F22F758" w14:textId="77777777" w:rsidTr="003B41A8">
        <w:trPr>
          <w:trHeight w:val="300"/>
        </w:trPr>
        <w:tc>
          <w:tcPr>
            <w:tcW w:w="1432" w:type="pct"/>
            <w:noWrap/>
          </w:tcPr>
          <w:p w14:paraId="5F22F754" w14:textId="77777777" w:rsidR="00B51D83" w:rsidRPr="00B930DE" w:rsidRDefault="00B51D83" w:rsidP="007D2CF5">
            <w:pPr>
              <w:jc w:val="center"/>
              <w:rPr>
                <w:rFonts w:cs="Arial"/>
                <w:b/>
                <w:bCs/>
                <w:sz w:val="20"/>
                <w:lang w:eastAsia="en-AU"/>
              </w:rPr>
            </w:pPr>
            <w:r w:rsidRPr="00B930DE">
              <w:rPr>
                <w:rFonts w:cs="Arial"/>
                <w:b/>
                <w:bCs/>
                <w:sz w:val="20"/>
                <w:lang w:eastAsia="en-AU"/>
              </w:rPr>
              <w:t>RS</w:t>
            </w:r>
          </w:p>
        </w:tc>
        <w:tc>
          <w:tcPr>
            <w:tcW w:w="1181" w:type="pct"/>
            <w:noWrap/>
          </w:tcPr>
          <w:p w14:paraId="5F22F755" w14:textId="77777777" w:rsidR="00B51D83" w:rsidRPr="00B930DE" w:rsidRDefault="00B51D83" w:rsidP="007D2CF5">
            <w:pPr>
              <w:jc w:val="center"/>
              <w:rPr>
                <w:rFonts w:cs="Arial"/>
                <w:sz w:val="20"/>
                <w:lang w:eastAsia="en-AU"/>
              </w:rPr>
            </w:pPr>
            <w:r w:rsidRPr="00B930DE">
              <w:rPr>
                <w:rFonts w:cs="Arial"/>
                <w:sz w:val="20"/>
                <w:lang w:eastAsia="en-AU"/>
              </w:rPr>
              <w:t>0 - 0.2</w:t>
            </w:r>
          </w:p>
        </w:tc>
        <w:tc>
          <w:tcPr>
            <w:tcW w:w="1189" w:type="pct"/>
            <w:noWrap/>
          </w:tcPr>
          <w:p w14:paraId="5F22F756" w14:textId="77777777" w:rsidR="00B51D83" w:rsidRPr="00B930DE" w:rsidRDefault="00B51D83" w:rsidP="007D2CF5">
            <w:pPr>
              <w:jc w:val="center"/>
              <w:rPr>
                <w:rFonts w:cs="Arial"/>
                <w:sz w:val="20"/>
                <w:lang w:eastAsia="en-AU"/>
              </w:rPr>
            </w:pPr>
            <w:r w:rsidRPr="00B930DE">
              <w:rPr>
                <w:rFonts w:cs="Arial"/>
                <w:sz w:val="20"/>
                <w:lang w:eastAsia="en-AU"/>
              </w:rPr>
              <w:t>0.2 - 0.4</w:t>
            </w:r>
          </w:p>
        </w:tc>
        <w:tc>
          <w:tcPr>
            <w:tcW w:w="1198" w:type="pct"/>
            <w:noWrap/>
          </w:tcPr>
          <w:p w14:paraId="5F22F757" w14:textId="77777777" w:rsidR="00B51D83" w:rsidRPr="00B930DE" w:rsidRDefault="00B51D83" w:rsidP="007D2CF5">
            <w:pPr>
              <w:jc w:val="center"/>
              <w:rPr>
                <w:rFonts w:cs="Arial"/>
                <w:sz w:val="20"/>
                <w:lang w:eastAsia="en-AU"/>
              </w:rPr>
            </w:pPr>
            <w:r w:rsidRPr="00B930DE">
              <w:rPr>
                <w:rFonts w:cs="Arial"/>
                <w:sz w:val="20"/>
                <w:lang w:eastAsia="en-AU"/>
              </w:rPr>
              <w:t>&gt; 0.4</w:t>
            </w:r>
          </w:p>
        </w:tc>
      </w:tr>
      <w:tr w:rsidR="00B51D83" w:rsidRPr="00B930DE" w14:paraId="5F22F75D" w14:textId="77777777" w:rsidTr="003B41A8">
        <w:trPr>
          <w:trHeight w:val="300"/>
        </w:trPr>
        <w:tc>
          <w:tcPr>
            <w:tcW w:w="1432" w:type="pct"/>
            <w:noWrap/>
            <w:hideMark/>
          </w:tcPr>
          <w:p w14:paraId="5F22F759" w14:textId="77777777" w:rsidR="00B51D83" w:rsidRPr="00B930DE" w:rsidRDefault="00B51D83" w:rsidP="007D2CF5">
            <w:pPr>
              <w:jc w:val="center"/>
              <w:rPr>
                <w:rFonts w:cs="Arial"/>
                <w:b/>
                <w:bCs/>
                <w:sz w:val="20"/>
                <w:lang w:eastAsia="en-AU"/>
              </w:rPr>
            </w:pPr>
            <w:r w:rsidRPr="00B930DE">
              <w:rPr>
                <w:rFonts w:cs="Arial"/>
                <w:b/>
                <w:bCs/>
                <w:sz w:val="20"/>
                <w:lang w:eastAsia="en-AU"/>
              </w:rPr>
              <w:t>Δcover</w:t>
            </w:r>
          </w:p>
        </w:tc>
        <w:tc>
          <w:tcPr>
            <w:tcW w:w="1181" w:type="pct"/>
            <w:noWrap/>
            <w:hideMark/>
          </w:tcPr>
          <w:p w14:paraId="5F22F75A" w14:textId="77777777" w:rsidR="00B51D83" w:rsidRPr="00B930DE" w:rsidRDefault="00B51D83" w:rsidP="007D2CF5">
            <w:pPr>
              <w:jc w:val="center"/>
              <w:rPr>
                <w:rFonts w:cs="Arial"/>
                <w:sz w:val="20"/>
              </w:rPr>
            </w:pPr>
            <w:r w:rsidRPr="00B930DE">
              <w:rPr>
                <w:rFonts w:cs="Arial"/>
                <w:sz w:val="20"/>
              </w:rPr>
              <w:t>+ / -12</w:t>
            </w:r>
          </w:p>
        </w:tc>
        <w:tc>
          <w:tcPr>
            <w:tcW w:w="1189" w:type="pct"/>
            <w:noWrap/>
            <w:hideMark/>
          </w:tcPr>
          <w:p w14:paraId="5F22F75B" w14:textId="77777777" w:rsidR="00B51D83" w:rsidRPr="00B930DE" w:rsidRDefault="00B51D83" w:rsidP="007D2CF5">
            <w:pPr>
              <w:jc w:val="center"/>
              <w:rPr>
                <w:rFonts w:cs="Arial"/>
                <w:sz w:val="20"/>
              </w:rPr>
            </w:pPr>
            <w:r w:rsidRPr="00B930DE">
              <w:rPr>
                <w:rFonts w:cs="Arial"/>
                <w:sz w:val="20"/>
              </w:rPr>
              <w:t>-12 / -30</w:t>
            </w:r>
          </w:p>
        </w:tc>
        <w:tc>
          <w:tcPr>
            <w:tcW w:w="1198" w:type="pct"/>
            <w:noWrap/>
            <w:hideMark/>
          </w:tcPr>
          <w:p w14:paraId="5F22F75C" w14:textId="77777777" w:rsidR="00B51D83" w:rsidRPr="00B930DE" w:rsidRDefault="00B51D83" w:rsidP="007D2CF5">
            <w:pPr>
              <w:jc w:val="center"/>
              <w:rPr>
                <w:rFonts w:cs="Arial"/>
                <w:sz w:val="20"/>
              </w:rPr>
            </w:pPr>
            <w:r w:rsidRPr="00B930DE">
              <w:rPr>
                <w:rFonts w:cs="Arial"/>
                <w:sz w:val="20"/>
              </w:rPr>
              <w:t>&gt; -30</w:t>
            </w:r>
          </w:p>
        </w:tc>
      </w:tr>
    </w:tbl>
    <w:p w14:paraId="5F22F75E" w14:textId="77777777" w:rsidR="00B51D83" w:rsidRDefault="00B51D83" w:rsidP="00B51D83">
      <w:pPr>
        <w:autoSpaceDE w:val="0"/>
        <w:autoSpaceDN w:val="0"/>
        <w:adjustRightInd w:val="0"/>
        <w:spacing w:after="240"/>
        <w:rPr>
          <w:szCs w:val="24"/>
          <w:lang w:val="en-AU"/>
        </w:rPr>
      </w:pPr>
    </w:p>
    <w:p w14:paraId="5F22F75F" w14:textId="77777777" w:rsidR="00B51D83" w:rsidRDefault="00B51D83" w:rsidP="007E0542">
      <w:pPr>
        <w:rPr>
          <w:rFonts w:cs="Arial"/>
          <w:b/>
          <w:sz w:val="18"/>
          <w:szCs w:val="18"/>
          <w:lang w:val="en-AU"/>
        </w:rPr>
      </w:pPr>
    </w:p>
    <w:p w14:paraId="5F22F760" w14:textId="77777777" w:rsidR="00B51D83" w:rsidRPr="007E0542" w:rsidRDefault="00B51D83" w:rsidP="007E0542">
      <w:pPr>
        <w:rPr>
          <w:rFonts w:cs="Arial"/>
          <w:b/>
          <w:sz w:val="18"/>
          <w:szCs w:val="18"/>
          <w:lang w:val="en-AU"/>
        </w:rPr>
      </w:pPr>
    </w:p>
    <w:p w14:paraId="5F22F761" w14:textId="77777777" w:rsidR="007E0542" w:rsidRPr="00F46503" w:rsidRDefault="007E0542" w:rsidP="003E25ED">
      <w:pPr>
        <w:rPr>
          <w:lang w:val="en-AU"/>
        </w:rPr>
      </w:pPr>
      <w:r w:rsidRPr="00F24DDC">
        <w:rPr>
          <w:szCs w:val="24"/>
          <w:lang w:val="en-AU"/>
        </w:rPr>
        <w:t xml:space="preserve"> </w:t>
      </w:r>
      <w:r>
        <w:rPr>
          <w:noProof/>
          <w:lang w:val="en-AU" w:eastAsia="en-AU"/>
        </w:rPr>
        <w:drawing>
          <wp:anchor distT="0" distB="0" distL="114300" distR="114300" simplePos="0" relativeHeight="251663872" behindDoc="0" locked="0" layoutInCell="1" allowOverlap="1" wp14:anchorId="77C66C20" wp14:editId="6A6FFA80">
            <wp:simplePos x="0" y="0"/>
            <wp:positionH relativeFrom="column">
              <wp:posOffset>3810</wp:posOffset>
            </wp:positionH>
            <wp:positionV relativeFrom="paragraph">
              <wp:posOffset>161925</wp:posOffset>
            </wp:positionV>
            <wp:extent cx="6179185" cy="4678045"/>
            <wp:effectExtent l="0" t="0" r="0" b="8255"/>
            <wp:wrapTopAndBottom/>
            <wp:docPr id="27" name="Picture 11" descr="Multi-annual risk map for GBR seagrass ecosystems from river plume exposure." title="Figure 8 5: Multi-annual risk map for GBR seagrass ecosystems from river plume expos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9">
                      <a:extLst>
                        <a:ext uri="{28A0092B-C50C-407E-A947-70E740481C1C}">
                          <a14:useLocalDpi xmlns:a14="http://schemas.microsoft.com/office/drawing/2010/main" val="0"/>
                        </a:ext>
                      </a:extLst>
                    </a:blip>
                    <a:srcRect/>
                    <a:stretch>
                      <a:fillRect/>
                    </a:stretch>
                  </pic:blipFill>
                  <pic:spPr bwMode="auto">
                    <a:xfrm>
                      <a:off x="0" y="0"/>
                      <a:ext cx="6179185" cy="46780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F22F762" w14:textId="6E160894" w:rsidR="007E0542" w:rsidRPr="007E0542" w:rsidRDefault="00124249" w:rsidP="007E0542">
      <w:pPr>
        <w:rPr>
          <w:rFonts w:cs="Arial"/>
          <w:b/>
          <w:sz w:val="18"/>
          <w:szCs w:val="18"/>
          <w:lang w:val="en-AU"/>
        </w:rPr>
      </w:pPr>
      <w:bookmarkStart w:id="1504" w:name="_Toc459332417"/>
      <w:r w:rsidRPr="002615B8">
        <w:rPr>
          <w:rFonts w:cs="Arial"/>
          <w:sz w:val="18"/>
          <w:szCs w:val="18"/>
          <w:lang w:val="en-AU"/>
        </w:rPr>
        <w:t xml:space="preserve">Figure </w:t>
      </w:r>
      <w:r w:rsidR="00C62884">
        <w:rPr>
          <w:rFonts w:cs="Arial"/>
          <w:sz w:val="18"/>
          <w:szCs w:val="18"/>
          <w:lang w:val="en-AU"/>
        </w:rPr>
        <w:fldChar w:fldCharType="begin"/>
      </w:r>
      <w:r w:rsidR="00C62884">
        <w:rPr>
          <w:rFonts w:cs="Arial"/>
          <w:sz w:val="18"/>
          <w:szCs w:val="18"/>
          <w:lang w:val="en-AU"/>
        </w:rPr>
        <w:instrText xml:space="preserve"> STYLEREF 1 \s </w:instrText>
      </w:r>
      <w:r w:rsidR="00C62884">
        <w:rPr>
          <w:rFonts w:cs="Arial"/>
          <w:sz w:val="18"/>
          <w:szCs w:val="18"/>
          <w:lang w:val="en-AU"/>
        </w:rPr>
        <w:fldChar w:fldCharType="separate"/>
      </w:r>
      <w:r w:rsidR="007F5336">
        <w:rPr>
          <w:rFonts w:cs="Arial"/>
          <w:noProof/>
          <w:sz w:val="18"/>
          <w:szCs w:val="18"/>
          <w:lang w:val="en-AU"/>
        </w:rPr>
        <w:t>8</w:t>
      </w:r>
      <w:r w:rsidR="00C62884">
        <w:rPr>
          <w:rFonts w:cs="Arial"/>
          <w:sz w:val="18"/>
          <w:szCs w:val="18"/>
          <w:lang w:val="en-AU"/>
        </w:rPr>
        <w:fldChar w:fldCharType="end"/>
      </w:r>
      <w:r w:rsidR="00C62884">
        <w:rPr>
          <w:rFonts w:cs="Arial"/>
          <w:sz w:val="18"/>
          <w:szCs w:val="18"/>
          <w:lang w:val="en-AU"/>
        </w:rPr>
        <w:noBreakHyphen/>
      </w:r>
      <w:r w:rsidR="00C62884">
        <w:rPr>
          <w:rFonts w:cs="Arial"/>
          <w:sz w:val="18"/>
          <w:szCs w:val="18"/>
          <w:lang w:val="en-AU"/>
        </w:rPr>
        <w:fldChar w:fldCharType="begin"/>
      </w:r>
      <w:r w:rsidR="00C62884">
        <w:rPr>
          <w:rFonts w:cs="Arial"/>
          <w:sz w:val="18"/>
          <w:szCs w:val="18"/>
          <w:lang w:val="en-AU"/>
        </w:rPr>
        <w:instrText xml:space="preserve"> SEQ Figure \* ARABIC \s 1 </w:instrText>
      </w:r>
      <w:r w:rsidR="00C62884">
        <w:rPr>
          <w:rFonts w:cs="Arial"/>
          <w:sz w:val="18"/>
          <w:szCs w:val="18"/>
          <w:lang w:val="en-AU"/>
        </w:rPr>
        <w:fldChar w:fldCharType="separate"/>
      </w:r>
      <w:r w:rsidR="007F5336">
        <w:rPr>
          <w:rFonts w:cs="Arial"/>
          <w:noProof/>
          <w:sz w:val="18"/>
          <w:szCs w:val="18"/>
          <w:lang w:val="en-AU"/>
        </w:rPr>
        <w:t>5</w:t>
      </w:r>
      <w:r w:rsidR="00C62884">
        <w:rPr>
          <w:rFonts w:cs="Arial"/>
          <w:sz w:val="18"/>
          <w:szCs w:val="18"/>
          <w:lang w:val="en-AU"/>
        </w:rPr>
        <w:fldChar w:fldCharType="end"/>
      </w:r>
      <w:r w:rsidRPr="002615B8">
        <w:rPr>
          <w:rFonts w:cs="Arial"/>
          <w:sz w:val="18"/>
          <w:szCs w:val="18"/>
          <w:lang w:val="en-AU"/>
        </w:rPr>
        <w:t>:</w:t>
      </w:r>
      <w:r w:rsidR="007E0542" w:rsidRPr="004A5BF7">
        <w:rPr>
          <w:rFonts w:cs="Arial"/>
          <w:sz w:val="18"/>
          <w:szCs w:val="18"/>
          <w:lang w:val="en-AU"/>
        </w:rPr>
        <w:t xml:space="preserve"> Multi-annual risk map for GBR seagrass ecosystems from river plume exposure</w:t>
      </w:r>
      <w:r>
        <w:rPr>
          <w:rFonts w:cs="Arial"/>
          <w:sz w:val="18"/>
          <w:szCs w:val="18"/>
          <w:lang w:val="en-AU"/>
        </w:rPr>
        <w:t>.</w:t>
      </w:r>
      <w:bookmarkEnd w:id="1504"/>
    </w:p>
    <w:p w14:paraId="5F22F764" w14:textId="2B45A8C6" w:rsidR="00E40358" w:rsidRPr="00F24DDC" w:rsidRDefault="00B51D83" w:rsidP="00E40358">
      <w:pPr>
        <w:autoSpaceDE w:val="0"/>
        <w:autoSpaceDN w:val="0"/>
        <w:adjustRightInd w:val="0"/>
        <w:spacing w:after="240"/>
        <w:rPr>
          <w:szCs w:val="24"/>
          <w:lang w:val="en-AU"/>
        </w:rPr>
      </w:pPr>
      <w:r>
        <w:rPr>
          <w:szCs w:val="24"/>
          <w:lang w:val="en-AU"/>
        </w:rPr>
        <w:t>Th</w:t>
      </w:r>
      <w:r w:rsidR="00D950ED">
        <w:rPr>
          <w:szCs w:val="24"/>
          <w:lang w:val="en-AU"/>
        </w:rPr>
        <w:t>is</w:t>
      </w:r>
      <w:r w:rsidRPr="00F24DDC">
        <w:rPr>
          <w:szCs w:val="24"/>
          <w:lang w:val="en-AU"/>
        </w:rPr>
        <w:t xml:space="preserve"> allow</w:t>
      </w:r>
      <w:r>
        <w:rPr>
          <w:szCs w:val="24"/>
          <w:lang w:val="en-AU"/>
        </w:rPr>
        <w:t>s</w:t>
      </w:r>
      <w:r w:rsidRPr="00F24DDC">
        <w:rPr>
          <w:szCs w:val="24"/>
          <w:lang w:val="en-AU"/>
        </w:rPr>
        <w:t xml:space="preserve"> </w:t>
      </w:r>
      <w:r w:rsidR="00D950ED">
        <w:rPr>
          <w:szCs w:val="24"/>
          <w:lang w:val="en-AU"/>
        </w:rPr>
        <w:t>the development of an</w:t>
      </w:r>
      <w:r w:rsidR="00124249">
        <w:rPr>
          <w:szCs w:val="24"/>
          <w:lang w:val="en-AU"/>
        </w:rPr>
        <w:t xml:space="preserve"> </w:t>
      </w:r>
      <w:r w:rsidRPr="00F24DDC">
        <w:rPr>
          <w:szCs w:val="24"/>
          <w:lang w:val="en-AU"/>
        </w:rPr>
        <w:t xml:space="preserve">exposure map for the GBR seagrass ecosystems </w:t>
      </w:r>
      <w:r>
        <w:rPr>
          <w:szCs w:val="24"/>
          <w:lang w:val="en-AU"/>
        </w:rPr>
        <w:t xml:space="preserve">validated against seagrass health data </w:t>
      </w:r>
      <w:r w:rsidRPr="00F24DDC">
        <w:rPr>
          <w:szCs w:val="24"/>
          <w:lang w:val="en-AU"/>
        </w:rPr>
        <w:t xml:space="preserve">(Figure </w:t>
      </w:r>
      <w:r>
        <w:rPr>
          <w:szCs w:val="24"/>
          <w:lang w:val="en-AU"/>
        </w:rPr>
        <w:t>8-5a</w:t>
      </w:r>
      <w:r w:rsidRPr="00F24DDC">
        <w:rPr>
          <w:szCs w:val="24"/>
          <w:lang w:val="en-AU"/>
        </w:rPr>
        <w:t>).</w:t>
      </w:r>
      <w:r w:rsidRPr="007E0542">
        <w:rPr>
          <w:szCs w:val="24"/>
          <w:lang w:val="en-AU"/>
        </w:rPr>
        <w:t xml:space="preserve"> </w:t>
      </w:r>
      <w:r w:rsidR="00E40358">
        <w:rPr>
          <w:szCs w:val="24"/>
          <w:lang w:val="en-AU"/>
        </w:rPr>
        <w:t>Furthermore, t</w:t>
      </w:r>
      <w:r w:rsidR="00E40358" w:rsidRPr="00440F51">
        <w:rPr>
          <w:szCs w:val="24"/>
          <w:lang w:val="en-AU"/>
        </w:rPr>
        <w:t>he results o</w:t>
      </w:r>
      <w:r w:rsidR="00E40358">
        <w:rPr>
          <w:szCs w:val="24"/>
          <w:lang w:val="en-AU"/>
        </w:rPr>
        <w:t>f this initial analysis provided</w:t>
      </w:r>
      <w:r w:rsidR="00E40358" w:rsidRPr="00440F51">
        <w:rPr>
          <w:szCs w:val="24"/>
          <w:lang w:val="en-AU"/>
        </w:rPr>
        <w:t xml:space="preserve"> evidence that the</w:t>
      </w:r>
      <w:r w:rsidR="00E40358">
        <w:rPr>
          <w:szCs w:val="24"/>
          <w:lang w:val="en-AU"/>
        </w:rPr>
        <w:t xml:space="preserve"> river</w:t>
      </w:r>
      <w:r w:rsidR="00E40358" w:rsidRPr="00440F51">
        <w:rPr>
          <w:szCs w:val="24"/>
          <w:lang w:val="en-AU"/>
        </w:rPr>
        <w:t xml:space="preserve"> </w:t>
      </w:r>
      <w:r w:rsidR="00E40358">
        <w:rPr>
          <w:szCs w:val="24"/>
          <w:lang w:val="en-AU"/>
        </w:rPr>
        <w:t xml:space="preserve">plume </w:t>
      </w:r>
      <w:r w:rsidR="00E40358" w:rsidRPr="00440F51">
        <w:rPr>
          <w:szCs w:val="24"/>
          <w:lang w:val="en-AU"/>
        </w:rPr>
        <w:t xml:space="preserve">exposure does influence </w:t>
      </w:r>
      <w:r w:rsidR="00E40358">
        <w:rPr>
          <w:szCs w:val="24"/>
          <w:lang w:val="en-AU"/>
        </w:rPr>
        <w:t>macroalg</w:t>
      </w:r>
      <w:r w:rsidR="00124249">
        <w:rPr>
          <w:szCs w:val="24"/>
          <w:lang w:val="en-AU"/>
        </w:rPr>
        <w:t>a</w:t>
      </w:r>
      <w:r w:rsidR="00E40358">
        <w:rPr>
          <w:szCs w:val="24"/>
          <w:lang w:val="en-AU"/>
        </w:rPr>
        <w:t xml:space="preserve">e </w:t>
      </w:r>
      <w:r w:rsidR="00E40358" w:rsidRPr="00440F51">
        <w:rPr>
          <w:szCs w:val="24"/>
          <w:lang w:val="en-AU"/>
        </w:rPr>
        <w:t xml:space="preserve">communities </w:t>
      </w:r>
      <w:r w:rsidR="00E40358">
        <w:rPr>
          <w:szCs w:val="24"/>
          <w:lang w:val="en-AU"/>
        </w:rPr>
        <w:t>and a multi-annual Risk Score</w:t>
      </w:r>
      <w:r w:rsidR="00E40358" w:rsidRPr="00440F51">
        <w:rPr>
          <w:szCs w:val="24"/>
          <w:lang w:val="en-AU"/>
        </w:rPr>
        <w:t xml:space="preserve"> threshold of about 0.2</w:t>
      </w:r>
      <w:r w:rsidR="00E40358">
        <w:rPr>
          <w:szCs w:val="24"/>
          <w:lang w:val="en-AU"/>
        </w:rPr>
        <w:t xml:space="preserve"> can be proposed</w:t>
      </w:r>
      <w:r w:rsidR="00F67786">
        <w:rPr>
          <w:szCs w:val="24"/>
          <w:lang w:val="en-AU"/>
        </w:rPr>
        <w:t xml:space="preserve"> (which correlates to X floods per year)</w:t>
      </w:r>
      <w:r w:rsidR="00E40358" w:rsidRPr="00440F51">
        <w:rPr>
          <w:szCs w:val="24"/>
          <w:lang w:val="en-AU"/>
        </w:rPr>
        <w:t xml:space="preserve">, </w:t>
      </w:r>
      <w:r w:rsidR="00E40358">
        <w:rPr>
          <w:szCs w:val="24"/>
          <w:lang w:val="en-AU"/>
        </w:rPr>
        <w:t>above</w:t>
      </w:r>
      <w:r w:rsidR="00E40358" w:rsidRPr="00440F51">
        <w:rPr>
          <w:szCs w:val="24"/>
          <w:lang w:val="en-AU"/>
        </w:rPr>
        <w:t xml:space="preserve"> which </w:t>
      </w:r>
      <w:r w:rsidR="00E40358">
        <w:rPr>
          <w:szCs w:val="24"/>
          <w:lang w:val="en-AU"/>
        </w:rPr>
        <w:t>a</w:t>
      </w:r>
      <w:r w:rsidR="00E40358" w:rsidRPr="00440F51">
        <w:rPr>
          <w:szCs w:val="24"/>
          <w:lang w:val="en-AU"/>
        </w:rPr>
        <w:t xml:space="preserve"> high </w:t>
      </w:r>
      <w:r w:rsidR="00E40358" w:rsidRPr="00F46503">
        <w:rPr>
          <w:szCs w:val="24"/>
          <w:lang w:val="en-AU"/>
        </w:rPr>
        <w:t>proportion of macroalg</w:t>
      </w:r>
      <w:r w:rsidR="00124249">
        <w:rPr>
          <w:szCs w:val="24"/>
          <w:lang w:val="en-AU"/>
        </w:rPr>
        <w:t>a</w:t>
      </w:r>
      <w:r w:rsidR="00E40358" w:rsidRPr="00F46503">
        <w:rPr>
          <w:szCs w:val="24"/>
          <w:lang w:val="en-AU"/>
        </w:rPr>
        <w:t xml:space="preserve">e in the algal communities at the reef sites </w:t>
      </w:r>
      <w:r w:rsidR="00E40358">
        <w:rPr>
          <w:szCs w:val="24"/>
          <w:lang w:val="en-AU"/>
        </w:rPr>
        <w:t xml:space="preserve">can be expected </w:t>
      </w:r>
      <w:r w:rsidR="00E40358" w:rsidRPr="00F46503">
        <w:rPr>
          <w:szCs w:val="24"/>
          <w:lang w:val="en-AU"/>
        </w:rPr>
        <w:t xml:space="preserve">(Figure </w:t>
      </w:r>
      <w:r w:rsidR="00E40358">
        <w:rPr>
          <w:szCs w:val="24"/>
          <w:lang w:val="en-AU"/>
        </w:rPr>
        <w:t>8-4</w:t>
      </w:r>
      <w:r w:rsidR="00E40358" w:rsidRPr="00F46503">
        <w:rPr>
          <w:szCs w:val="24"/>
          <w:lang w:val="en-AU"/>
        </w:rPr>
        <w:t>c</w:t>
      </w:r>
      <w:r w:rsidR="00E40358">
        <w:rPr>
          <w:szCs w:val="24"/>
          <w:lang w:val="en-AU"/>
        </w:rPr>
        <w:t>, dotted line and Figure 8-5b</w:t>
      </w:r>
      <w:r w:rsidR="00E40358" w:rsidRPr="00F46503">
        <w:rPr>
          <w:szCs w:val="24"/>
          <w:lang w:val="en-AU"/>
        </w:rPr>
        <w:t xml:space="preserve">). </w:t>
      </w:r>
      <w:r w:rsidR="00E40358" w:rsidRPr="000A662F">
        <w:rPr>
          <w:szCs w:val="24"/>
          <w:lang w:val="en-AU"/>
        </w:rPr>
        <w:t xml:space="preserve">This result helps to further resolve the area of high </w:t>
      </w:r>
      <w:r w:rsidR="00E40358" w:rsidRPr="00545C0D">
        <w:rPr>
          <w:bCs/>
          <w:lang w:val="en-AU"/>
        </w:rPr>
        <w:t xml:space="preserve">water column concentrations of chlorophyll, and total suspended solids previously identified </w:t>
      </w:r>
      <w:r w:rsidR="00E40358" w:rsidRPr="000A662F">
        <w:rPr>
          <w:szCs w:val="24"/>
          <w:lang w:val="en-AU"/>
        </w:rPr>
        <w:t xml:space="preserve">as having higher abundance of </w:t>
      </w:r>
      <w:r w:rsidR="00E40358" w:rsidRPr="00545C0D">
        <w:rPr>
          <w:bCs/>
          <w:lang w:val="en-AU"/>
        </w:rPr>
        <w:t xml:space="preserve">macroalgae </w:t>
      </w:r>
      <w:r w:rsidR="00E40358">
        <w:rPr>
          <w:bCs/>
          <w:lang w:val="en-AU"/>
        </w:rPr>
        <w:t>(De’ath and Fabricius, 2010)</w:t>
      </w:r>
      <w:r w:rsidR="00E40358" w:rsidRPr="00545C0D">
        <w:rPr>
          <w:bCs/>
          <w:lang w:val="en-AU"/>
        </w:rPr>
        <w:t xml:space="preserve">. </w:t>
      </w:r>
    </w:p>
    <w:p w14:paraId="5F22F765" w14:textId="7B677D6E" w:rsidR="00D219AE" w:rsidRDefault="007E0542" w:rsidP="007E0542">
      <w:pPr>
        <w:spacing w:after="240"/>
        <w:rPr>
          <w:szCs w:val="24"/>
          <w:lang w:val="en-AU"/>
        </w:rPr>
      </w:pPr>
      <w:r w:rsidRPr="00F24DDC">
        <w:rPr>
          <w:szCs w:val="24"/>
          <w:lang w:val="en-AU"/>
        </w:rPr>
        <w:t xml:space="preserve">This study focused on multi-annual analyses to test the initial validity of the maps produced from the </w:t>
      </w:r>
      <w:r>
        <w:rPr>
          <w:szCs w:val="24"/>
          <w:lang w:val="en-AU"/>
        </w:rPr>
        <w:t>S</w:t>
      </w:r>
      <w:r w:rsidRPr="00F24DDC">
        <w:rPr>
          <w:szCs w:val="24"/>
          <w:lang w:val="en-AU"/>
        </w:rPr>
        <w:t xml:space="preserve">atellite </w:t>
      </w:r>
      <w:r>
        <w:rPr>
          <w:szCs w:val="24"/>
          <w:lang w:val="en-AU"/>
        </w:rPr>
        <w:t>R</w:t>
      </w:r>
      <w:r w:rsidRPr="00F24DDC">
        <w:rPr>
          <w:szCs w:val="24"/>
          <w:lang w:val="en-AU"/>
        </w:rPr>
        <w:t xml:space="preserve">isk </w:t>
      </w:r>
      <w:r>
        <w:rPr>
          <w:szCs w:val="24"/>
          <w:lang w:val="en-AU"/>
        </w:rPr>
        <w:t>F</w:t>
      </w:r>
      <w:r w:rsidRPr="00F24DDC">
        <w:rPr>
          <w:szCs w:val="24"/>
          <w:lang w:val="en-AU"/>
        </w:rPr>
        <w:t>ramework.</w:t>
      </w:r>
      <w:r>
        <w:rPr>
          <w:szCs w:val="24"/>
          <w:lang w:val="en-AU"/>
        </w:rPr>
        <w:t xml:space="preserve"> </w:t>
      </w:r>
      <w:r w:rsidRPr="00F46503">
        <w:rPr>
          <w:szCs w:val="24"/>
          <w:lang w:val="en-AU"/>
        </w:rPr>
        <w:t xml:space="preserve">However, underlying ecological processes that govern short term </w:t>
      </w:r>
      <w:r>
        <w:rPr>
          <w:szCs w:val="24"/>
          <w:lang w:val="en-AU"/>
        </w:rPr>
        <w:t xml:space="preserve">and small-scale </w:t>
      </w:r>
      <w:r w:rsidRPr="00F46503">
        <w:rPr>
          <w:szCs w:val="24"/>
          <w:lang w:val="en-AU"/>
        </w:rPr>
        <w:t>fluctuations in</w:t>
      </w:r>
      <w:r>
        <w:rPr>
          <w:szCs w:val="24"/>
          <w:lang w:val="en-AU"/>
        </w:rPr>
        <w:t xml:space="preserve"> seagrass and</w:t>
      </w:r>
      <w:r w:rsidRPr="00F46503">
        <w:rPr>
          <w:szCs w:val="24"/>
          <w:lang w:val="en-AU"/>
        </w:rPr>
        <w:t xml:space="preserve"> macroalgae</w:t>
      </w:r>
      <w:r>
        <w:rPr>
          <w:szCs w:val="24"/>
          <w:lang w:val="en-AU"/>
        </w:rPr>
        <w:t xml:space="preserve"> cover</w:t>
      </w:r>
      <w:r w:rsidRPr="00F46503">
        <w:rPr>
          <w:szCs w:val="24"/>
          <w:lang w:val="en-AU"/>
        </w:rPr>
        <w:t xml:space="preserve"> were not resolved by the present</w:t>
      </w:r>
      <w:r>
        <w:rPr>
          <w:szCs w:val="24"/>
          <w:lang w:val="en-AU"/>
        </w:rPr>
        <w:t xml:space="preserve"> study. For example, seagrass meadow responses at </w:t>
      </w:r>
      <w:r w:rsidRPr="00F24DDC">
        <w:rPr>
          <w:szCs w:val="24"/>
          <w:lang w:val="en-AU"/>
        </w:rPr>
        <w:t>Gladstone Harbo</w:t>
      </w:r>
      <w:r w:rsidR="00D950ED">
        <w:rPr>
          <w:szCs w:val="24"/>
          <w:lang w:val="en-AU"/>
        </w:rPr>
        <w:t>u</w:t>
      </w:r>
      <w:r w:rsidRPr="00F24DDC">
        <w:rPr>
          <w:szCs w:val="24"/>
          <w:lang w:val="en-AU"/>
        </w:rPr>
        <w:t>r and Midge Point deviated from the general response to long-term exposure to river plume</w:t>
      </w:r>
      <w:r>
        <w:rPr>
          <w:szCs w:val="24"/>
          <w:lang w:val="en-AU"/>
        </w:rPr>
        <w:t xml:space="preserve"> (</w:t>
      </w:r>
      <w:r w:rsidR="00476957">
        <w:rPr>
          <w:szCs w:val="24"/>
          <w:lang w:val="en-AU"/>
        </w:rPr>
        <w:fldChar w:fldCharType="begin"/>
      </w:r>
      <w:r w:rsidR="00476957">
        <w:rPr>
          <w:szCs w:val="24"/>
          <w:lang w:val="en-AU"/>
        </w:rPr>
        <w:instrText xml:space="preserve"> REF _Ref461194905 \h </w:instrText>
      </w:r>
      <w:r w:rsidR="00476957">
        <w:rPr>
          <w:szCs w:val="24"/>
          <w:lang w:val="en-AU"/>
        </w:rPr>
      </w:r>
      <w:r w:rsidR="00476957">
        <w:rPr>
          <w:szCs w:val="24"/>
          <w:lang w:val="en-AU"/>
        </w:rPr>
        <w:fldChar w:fldCharType="separate"/>
      </w:r>
      <w:r w:rsidR="007F5336" w:rsidRPr="004A5BF7">
        <w:t xml:space="preserve">Figure </w:t>
      </w:r>
      <w:r w:rsidR="007F5336">
        <w:rPr>
          <w:noProof/>
        </w:rPr>
        <w:t>8</w:t>
      </w:r>
      <w:r w:rsidR="007F5336">
        <w:noBreakHyphen/>
      </w:r>
      <w:r w:rsidR="007F5336">
        <w:rPr>
          <w:noProof/>
        </w:rPr>
        <w:t>3</w:t>
      </w:r>
      <w:r w:rsidR="00476957">
        <w:rPr>
          <w:szCs w:val="24"/>
          <w:lang w:val="en-AU"/>
        </w:rPr>
        <w:fldChar w:fldCharType="end"/>
      </w:r>
      <w:r>
        <w:rPr>
          <w:szCs w:val="24"/>
          <w:lang w:val="en-AU"/>
        </w:rPr>
        <w:t>a)</w:t>
      </w:r>
      <w:r w:rsidRPr="00F24DDC">
        <w:rPr>
          <w:szCs w:val="24"/>
          <w:lang w:val="en-AU"/>
        </w:rPr>
        <w:t xml:space="preserve">, </w:t>
      </w:r>
      <w:r w:rsidR="00601913">
        <w:rPr>
          <w:szCs w:val="24"/>
          <w:lang w:val="en-AU"/>
        </w:rPr>
        <w:t>h</w:t>
      </w:r>
      <w:r w:rsidR="00F67786">
        <w:rPr>
          <w:szCs w:val="24"/>
          <w:lang w:val="en-AU"/>
        </w:rPr>
        <w:t>ighlighting</w:t>
      </w:r>
      <w:r w:rsidR="00F67786" w:rsidRPr="00F24DDC">
        <w:rPr>
          <w:szCs w:val="24"/>
          <w:lang w:val="en-AU"/>
        </w:rPr>
        <w:t xml:space="preserve"> </w:t>
      </w:r>
      <w:r w:rsidRPr="00F24DDC">
        <w:rPr>
          <w:szCs w:val="24"/>
          <w:lang w:val="en-AU"/>
        </w:rPr>
        <w:t xml:space="preserve">the complexity of the relationships </w:t>
      </w:r>
      <w:r>
        <w:rPr>
          <w:szCs w:val="24"/>
          <w:lang w:val="en-AU"/>
        </w:rPr>
        <w:t xml:space="preserve">existing between </w:t>
      </w:r>
      <w:r w:rsidRPr="00F24DDC">
        <w:rPr>
          <w:szCs w:val="24"/>
          <w:lang w:val="en-AU"/>
        </w:rPr>
        <w:t xml:space="preserve">ecosystem </w:t>
      </w:r>
      <w:r>
        <w:rPr>
          <w:szCs w:val="24"/>
          <w:lang w:val="en-AU"/>
        </w:rPr>
        <w:t>response and</w:t>
      </w:r>
      <w:r w:rsidRPr="00F24DDC">
        <w:rPr>
          <w:szCs w:val="24"/>
          <w:lang w:val="en-AU"/>
        </w:rPr>
        <w:t xml:space="preserve"> water quality condition. The Gladstone Harbo</w:t>
      </w:r>
      <w:r w:rsidR="00D950ED">
        <w:rPr>
          <w:szCs w:val="24"/>
          <w:lang w:val="en-AU"/>
        </w:rPr>
        <w:t>u</w:t>
      </w:r>
      <w:r w:rsidRPr="00F24DDC">
        <w:rPr>
          <w:szCs w:val="24"/>
          <w:lang w:val="en-AU"/>
        </w:rPr>
        <w:t>r site is at a location with rel</w:t>
      </w:r>
      <w:r>
        <w:rPr>
          <w:szCs w:val="24"/>
          <w:lang w:val="en-AU"/>
        </w:rPr>
        <w:t xml:space="preserve">atively little catchment input </w:t>
      </w:r>
      <w:r w:rsidRPr="00F24DDC">
        <w:rPr>
          <w:szCs w:val="24"/>
          <w:lang w:val="en-AU"/>
        </w:rPr>
        <w:t>and is characterised by a good multi-annual state of seagrass cover</w:t>
      </w:r>
      <w:r>
        <w:rPr>
          <w:szCs w:val="24"/>
          <w:lang w:val="en-AU"/>
        </w:rPr>
        <w:t xml:space="preserve">, while </w:t>
      </w:r>
      <w:r w:rsidR="00D950ED">
        <w:rPr>
          <w:szCs w:val="24"/>
          <w:lang w:val="en-AU"/>
        </w:rPr>
        <w:t>the beginning</w:t>
      </w:r>
      <w:r w:rsidR="00D950ED" w:rsidRPr="00F24DDC">
        <w:rPr>
          <w:szCs w:val="24"/>
          <w:lang w:val="en-AU"/>
        </w:rPr>
        <w:t xml:space="preserve"> </w:t>
      </w:r>
      <w:r w:rsidRPr="00F24DDC">
        <w:rPr>
          <w:szCs w:val="24"/>
          <w:lang w:val="en-AU"/>
        </w:rPr>
        <w:t xml:space="preserve">of seagrass recovery </w:t>
      </w:r>
      <w:r w:rsidR="00D950ED">
        <w:rPr>
          <w:szCs w:val="24"/>
          <w:lang w:val="en-AU"/>
        </w:rPr>
        <w:t>has been</w:t>
      </w:r>
      <w:r w:rsidR="00D950ED" w:rsidRPr="00F24DDC">
        <w:rPr>
          <w:szCs w:val="24"/>
          <w:lang w:val="en-AU"/>
        </w:rPr>
        <w:t xml:space="preserve"> </w:t>
      </w:r>
      <w:r w:rsidRPr="00F24DDC">
        <w:rPr>
          <w:szCs w:val="24"/>
          <w:lang w:val="en-AU"/>
        </w:rPr>
        <w:t>observed at Midge Point since 2010 (</w:t>
      </w:r>
      <w:r w:rsidR="00124249">
        <w:rPr>
          <w:szCs w:val="24"/>
          <w:lang w:val="en-AU"/>
        </w:rPr>
        <w:fldChar w:fldCharType="begin"/>
      </w:r>
      <w:r w:rsidR="00124249">
        <w:rPr>
          <w:szCs w:val="24"/>
          <w:lang w:val="en-AU"/>
        </w:rPr>
        <w:instrText xml:space="preserve"> REF _Ref459156043 \h </w:instrText>
      </w:r>
      <w:r w:rsidR="00124249">
        <w:rPr>
          <w:szCs w:val="24"/>
          <w:lang w:val="en-AU"/>
        </w:rPr>
      </w:r>
      <w:r w:rsidR="00124249">
        <w:rPr>
          <w:szCs w:val="24"/>
          <w:lang w:val="en-AU"/>
        </w:rPr>
        <w:fldChar w:fldCharType="separate"/>
      </w:r>
      <w:r w:rsidR="007F5336" w:rsidRPr="004A5BF7">
        <w:rPr>
          <w:rStyle w:val="FigureChar"/>
          <w:rFonts w:ascii="Arial" w:hAnsi="Arial"/>
          <w:sz w:val="18"/>
          <w:lang w:val="en-US"/>
        </w:rPr>
        <w:t xml:space="preserve">Figure </w:t>
      </w:r>
      <w:r w:rsidR="007F5336">
        <w:rPr>
          <w:rStyle w:val="FigureChar"/>
          <w:rFonts w:ascii="Arial" w:hAnsi="Arial"/>
          <w:noProof/>
          <w:sz w:val="18"/>
          <w:lang w:val="en-US"/>
        </w:rPr>
        <w:t>8</w:t>
      </w:r>
      <w:r w:rsidR="007F5336">
        <w:rPr>
          <w:rStyle w:val="FigureChar"/>
          <w:rFonts w:ascii="Arial" w:hAnsi="Arial"/>
          <w:sz w:val="18"/>
          <w:lang w:val="en-US"/>
        </w:rPr>
        <w:noBreakHyphen/>
      </w:r>
      <w:r w:rsidR="007F5336">
        <w:rPr>
          <w:rStyle w:val="FigureChar"/>
          <w:rFonts w:ascii="Arial" w:hAnsi="Arial"/>
          <w:noProof/>
          <w:sz w:val="18"/>
          <w:lang w:val="en-US"/>
        </w:rPr>
        <w:t>2</w:t>
      </w:r>
      <w:r w:rsidR="00124249">
        <w:rPr>
          <w:szCs w:val="24"/>
          <w:lang w:val="en-AU"/>
        </w:rPr>
        <w:fldChar w:fldCharType="end"/>
      </w:r>
      <w:r w:rsidRPr="00F24DDC">
        <w:rPr>
          <w:szCs w:val="24"/>
          <w:lang w:val="en-AU"/>
        </w:rPr>
        <w:t xml:space="preserve">a, Fitzroy region: ‘GH’ and </w:t>
      </w:r>
      <w:r>
        <w:rPr>
          <w:szCs w:val="24"/>
          <w:lang w:val="en-AU"/>
        </w:rPr>
        <w:t xml:space="preserve">Mackay Whitsunday region: ‘MW’). </w:t>
      </w:r>
      <w:r w:rsidRPr="00F24DDC">
        <w:rPr>
          <w:szCs w:val="24"/>
          <w:lang w:val="en-AU"/>
        </w:rPr>
        <w:t>Specific resilience characteristics of seagrass species assemblage</w:t>
      </w:r>
      <w:r w:rsidR="00F67786">
        <w:rPr>
          <w:szCs w:val="24"/>
          <w:lang w:val="en-AU"/>
        </w:rPr>
        <w:t>s</w:t>
      </w:r>
      <w:r w:rsidRPr="00F24DDC">
        <w:rPr>
          <w:szCs w:val="24"/>
          <w:lang w:val="en-AU"/>
        </w:rPr>
        <w:t xml:space="preserve"> at each monitored sites, as well as other environmental conditions within seagrass meadows also influence </w:t>
      </w:r>
      <w:r w:rsidRPr="00545C0D">
        <w:rPr>
          <w:szCs w:val="24"/>
          <w:lang w:val="en-AU"/>
        </w:rPr>
        <w:t xml:space="preserve">the response of individual sites within the regional groupings. Environmental conditions such as </w:t>
      </w:r>
      <w:r>
        <w:rPr>
          <w:szCs w:val="24"/>
          <w:lang w:val="en-AU"/>
        </w:rPr>
        <w:t>the cyclonic activity</w:t>
      </w:r>
      <w:r w:rsidR="00E0348F">
        <w:rPr>
          <w:szCs w:val="24"/>
          <w:lang w:val="en-AU"/>
        </w:rPr>
        <w:t xml:space="preserve"> (</w:t>
      </w:r>
      <w:r w:rsidR="00E0348F" w:rsidRPr="00661232">
        <w:rPr>
          <w:noProof/>
          <w:szCs w:val="24"/>
          <w:lang w:val="en-AU"/>
        </w:rPr>
        <w:t>McKenzie</w:t>
      </w:r>
      <w:r w:rsidR="00E0348F" w:rsidDel="00E0348F">
        <w:rPr>
          <w:szCs w:val="24"/>
          <w:lang w:val="en-AU"/>
        </w:rPr>
        <w:t xml:space="preserve"> </w:t>
      </w:r>
      <w:r w:rsidR="00E0348F">
        <w:rPr>
          <w:szCs w:val="24"/>
          <w:lang w:val="en-AU"/>
        </w:rPr>
        <w:t>et al., 2015)</w:t>
      </w:r>
      <w:r>
        <w:rPr>
          <w:szCs w:val="24"/>
          <w:lang w:val="en-AU"/>
        </w:rPr>
        <w:t xml:space="preserve">, </w:t>
      </w:r>
      <w:r w:rsidRPr="00545C0D">
        <w:rPr>
          <w:szCs w:val="24"/>
          <w:lang w:val="en-AU"/>
        </w:rPr>
        <w:t>temperature and salinity</w:t>
      </w:r>
      <w:r w:rsidR="00E0348F">
        <w:rPr>
          <w:szCs w:val="24"/>
          <w:lang w:val="en-AU"/>
        </w:rPr>
        <w:t xml:space="preserve"> (Collier et al., 2014)</w:t>
      </w:r>
      <w:r w:rsidRPr="00545C0D">
        <w:rPr>
          <w:szCs w:val="24"/>
          <w:lang w:val="en-AU"/>
        </w:rPr>
        <w:t>, bathymetry and sediment type</w:t>
      </w:r>
      <w:r w:rsidR="00E0348F">
        <w:rPr>
          <w:szCs w:val="24"/>
          <w:lang w:val="en-AU"/>
        </w:rPr>
        <w:t xml:space="preserve"> (Ganthy et al., 2013)</w:t>
      </w:r>
      <w:r w:rsidRPr="00545C0D">
        <w:rPr>
          <w:szCs w:val="24"/>
          <w:lang w:val="en-AU"/>
        </w:rPr>
        <w:t xml:space="preserve">, tide currents and wave exposure (see references in </w:t>
      </w:r>
      <w:r w:rsidR="00E0348F" w:rsidRPr="00545C0D">
        <w:rPr>
          <w:noProof/>
          <w:szCs w:val="24"/>
          <w:lang w:val="en-AU"/>
        </w:rPr>
        <w:t xml:space="preserve">Schaffelke </w:t>
      </w:r>
      <w:r w:rsidR="00E0348F">
        <w:rPr>
          <w:noProof/>
          <w:szCs w:val="24"/>
          <w:lang w:val="en-AU"/>
        </w:rPr>
        <w:t>et al.</w:t>
      </w:r>
      <w:r w:rsidR="00124249">
        <w:rPr>
          <w:noProof/>
          <w:szCs w:val="24"/>
          <w:lang w:val="en-AU"/>
        </w:rPr>
        <w:t>,</w:t>
      </w:r>
      <w:r w:rsidR="00E0348F">
        <w:rPr>
          <w:noProof/>
          <w:szCs w:val="24"/>
          <w:lang w:val="en-AU"/>
        </w:rPr>
        <w:t xml:space="preserve"> 2013) </w:t>
      </w:r>
      <w:r w:rsidRPr="00545C0D">
        <w:rPr>
          <w:szCs w:val="24"/>
          <w:lang w:val="en-AU"/>
        </w:rPr>
        <w:t>or the zonal location of the meadows may have also contributed to the response of seagrass meadows. For example, it has been observed though remote sensing mapping of water quality conditions that very shallow intertidal GBR meadows</w:t>
      </w:r>
      <w:r w:rsidR="00F67786">
        <w:rPr>
          <w:szCs w:val="24"/>
          <w:lang w:val="en-AU"/>
        </w:rPr>
        <w:t>,</w:t>
      </w:r>
      <w:r w:rsidRPr="00545C0D">
        <w:rPr>
          <w:szCs w:val="24"/>
          <w:lang w:val="en-AU"/>
        </w:rPr>
        <w:t xml:space="preserve"> which receive light before, during, and immediately after low tide</w:t>
      </w:r>
      <w:r w:rsidR="00F67786">
        <w:rPr>
          <w:szCs w:val="24"/>
          <w:lang w:val="en-AU"/>
        </w:rPr>
        <w:t>,</w:t>
      </w:r>
      <w:r w:rsidRPr="00545C0D">
        <w:rPr>
          <w:szCs w:val="24"/>
          <w:lang w:val="en-AU"/>
        </w:rPr>
        <w:t xml:space="preserve"> had lowest losses in area than other subtidal species </w:t>
      </w:r>
      <w:r w:rsidR="00E0348F">
        <w:rPr>
          <w:szCs w:val="24"/>
          <w:lang w:val="en-AU"/>
        </w:rPr>
        <w:t>(Petus et al., 2014b)</w:t>
      </w:r>
      <w:r w:rsidRPr="00545C0D">
        <w:rPr>
          <w:szCs w:val="24"/>
          <w:lang w:val="en-AU"/>
        </w:rPr>
        <w:t>.</w:t>
      </w:r>
      <w:r>
        <w:rPr>
          <w:szCs w:val="24"/>
          <w:lang w:val="en-AU"/>
        </w:rPr>
        <w:t xml:space="preserve"> </w:t>
      </w:r>
    </w:p>
    <w:p w14:paraId="5F22F766" w14:textId="5D37F728" w:rsidR="007E0542" w:rsidRDefault="007E0542" w:rsidP="007E0542">
      <w:pPr>
        <w:spacing w:after="240"/>
        <w:rPr>
          <w:szCs w:val="24"/>
          <w:lang w:val="en-AU"/>
        </w:rPr>
      </w:pPr>
      <w:r w:rsidRPr="00545C0D">
        <w:rPr>
          <w:szCs w:val="24"/>
          <w:lang w:val="en-AU"/>
        </w:rPr>
        <w:t xml:space="preserve">The plume water types are characterised through the mapping of river plumes by MODIS true colour images recorded during the wet season, as it is typically during these periods of high flow that water quality is measured as a gradient from the inshore to the offshore boundaries of river plumes </w:t>
      </w:r>
      <w:r w:rsidR="00E0348F">
        <w:rPr>
          <w:szCs w:val="24"/>
          <w:lang w:val="en-AU"/>
        </w:rPr>
        <w:t>(</w:t>
      </w:r>
      <w:r w:rsidR="00E0348F" w:rsidRPr="00F77F98">
        <w:rPr>
          <w:rFonts w:cs="Arial"/>
          <w:szCs w:val="22"/>
          <w:lang w:val="en-AU" w:eastAsia="en-AU"/>
        </w:rPr>
        <w:t>Álvarez-Romero</w:t>
      </w:r>
      <w:r w:rsidR="00E0348F" w:rsidRPr="00545C0D" w:rsidDel="00E0348F">
        <w:rPr>
          <w:szCs w:val="24"/>
          <w:lang w:val="en-AU"/>
        </w:rPr>
        <w:t xml:space="preserve"> </w:t>
      </w:r>
      <w:r w:rsidR="00E0348F">
        <w:rPr>
          <w:szCs w:val="24"/>
          <w:lang w:val="en-AU"/>
        </w:rPr>
        <w:t xml:space="preserve">et al., 2013). </w:t>
      </w:r>
      <w:r w:rsidRPr="00545C0D">
        <w:rPr>
          <w:szCs w:val="24"/>
          <w:lang w:val="en-AU"/>
        </w:rPr>
        <w:t xml:space="preserve">At the whole GBR scale, restricting the analysis to wet season months also minimises the occurrence of “false” river plume areas associated with wind-driven re-suspension of sediments during the strong trade winds typical of the dry season </w:t>
      </w:r>
      <w:r w:rsidR="00E0348F">
        <w:rPr>
          <w:szCs w:val="24"/>
          <w:lang w:val="en-AU"/>
        </w:rPr>
        <w:t>(</w:t>
      </w:r>
      <w:r w:rsidR="00E0348F" w:rsidRPr="00F77F98">
        <w:rPr>
          <w:rFonts w:cs="Arial"/>
          <w:szCs w:val="22"/>
          <w:lang w:val="en-AU" w:eastAsia="en-AU"/>
        </w:rPr>
        <w:t>Álvarez-Romero</w:t>
      </w:r>
      <w:r w:rsidR="00E0348F" w:rsidRPr="00545C0D" w:rsidDel="00E0348F">
        <w:rPr>
          <w:szCs w:val="24"/>
          <w:lang w:val="en-AU"/>
        </w:rPr>
        <w:t xml:space="preserve"> </w:t>
      </w:r>
      <w:r w:rsidR="00E0348F">
        <w:rPr>
          <w:szCs w:val="24"/>
          <w:lang w:val="en-AU"/>
        </w:rPr>
        <w:t>et al., 2013)</w:t>
      </w:r>
      <w:r w:rsidRPr="00545C0D">
        <w:rPr>
          <w:szCs w:val="24"/>
          <w:lang w:val="en-AU"/>
        </w:rPr>
        <w:t xml:space="preserve">. However, in shallow coastal areas of the GBR, muddy sediments can be re-suspended </w:t>
      </w:r>
      <w:bookmarkStart w:id="1505" w:name="A87"/>
      <w:r w:rsidRPr="00545C0D">
        <w:rPr>
          <w:szCs w:val="24"/>
          <w:lang w:val="en-AU"/>
        </w:rPr>
        <w:t>by wind, waves and tidal currents</w:t>
      </w:r>
      <w:bookmarkEnd w:id="1505"/>
      <w:r w:rsidR="00E0348F">
        <w:rPr>
          <w:szCs w:val="24"/>
          <w:lang w:val="en-AU"/>
        </w:rPr>
        <w:t xml:space="preserve"> (Lambrechts et al</w:t>
      </w:r>
      <w:r w:rsidR="001273A9">
        <w:rPr>
          <w:szCs w:val="24"/>
          <w:lang w:val="en-AU"/>
        </w:rPr>
        <w:t>.,</w:t>
      </w:r>
      <w:r w:rsidR="00E0348F">
        <w:rPr>
          <w:szCs w:val="24"/>
          <w:lang w:val="en-AU"/>
        </w:rPr>
        <w:t xml:space="preserve"> 2010)</w:t>
      </w:r>
      <w:r w:rsidRPr="00545C0D">
        <w:rPr>
          <w:szCs w:val="24"/>
          <w:lang w:val="en-AU"/>
        </w:rPr>
        <w:t>, increasing the turbidity levels in the coastal waters and resulting in misclassification of some of the pixels.</w:t>
      </w:r>
      <w:r w:rsidR="00895573">
        <w:rPr>
          <w:szCs w:val="24"/>
          <w:lang w:val="en-AU"/>
        </w:rPr>
        <w:t xml:space="preserve"> Tidal effects may also have a role in turbidity and resuspension.</w:t>
      </w:r>
      <w:r w:rsidRPr="00545C0D">
        <w:rPr>
          <w:szCs w:val="24"/>
          <w:lang w:val="en-AU"/>
        </w:rPr>
        <w:t xml:space="preserve"> This could explain the relatively high </w:t>
      </w:r>
      <w:r>
        <w:rPr>
          <w:szCs w:val="24"/>
          <w:lang w:val="en-AU"/>
        </w:rPr>
        <w:t>Risk</w:t>
      </w:r>
      <w:r w:rsidRPr="00545C0D">
        <w:rPr>
          <w:szCs w:val="24"/>
          <w:lang w:val="en-AU"/>
        </w:rPr>
        <w:t xml:space="preserve"> </w:t>
      </w:r>
      <w:r>
        <w:rPr>
          <w:szCs w:val="24"/>
          <w:lang w:val="en-AU"/>
        </w:rPr>
        <w:t>S</w:t>
      </w:r>
      <w:r w:rsidRPr="00545C0D">
        <w:rPr>
          <w:szCs w:val="24"/>
          <w:lang w:val="en-AU"/>
        </w:rPr>
        <w:t>core calculated at the shallow Gladstone Harbo</w:t>
      </w:r>
      <w:r w:rsidR="00750AC6">
        <w:rPr>
          <w:szCs w:val="24"/>
          <w:lang w:val="en-AU"/>
        </w:rPr>
        <w:t>u</w:t>
      </w:r>
      <w:r w:rsidRPr="00545C0D">
        <w:rPr>
          <w:szCs w:val="24"/>
          <w:lang w:val="en-AU"/>
        </w:rPr>
        <w:t>r</w:t>
      </w:r>
      <w:r w:rsidRPr="00F46503">
        <w:rPr>
          <w:szCs w:val="24"/>
          <w:lang w:val="en-AU"/>
        </w:rPr>
        <w:t xml:space="preserve"> </w:t>
      </w:r>
      <w:r w:rsidRPr="00545C0D">
        <w:rPr>
          <w:szCs w:val="24"/>
          <w:lang w:val="en-AU"/>
        </w:rPr>
        <w:t xml:space="preserve">site (Figure </w:t>
      </w:r>
      <w:r>
        <w:rPr>
          <w:szCs w:val="24"/>
          <w:lang w:val="en-AU"/>
        </w:rPr>
        <w:t>8</w:t>
      </w:r>
      <w:r w:rsidR="00D06EC2">
        <w:rPr>
          <w:szCs w:val="24"/>
          <w:lang w:val="en-AU"/>
        </w:rPr>
        <w:t>-3</w:t>
      </w:r>
      <w:r w:rsidRPr="00545C0D">
        <w:rPr>
          <w:szCs w:val="24"/>
          <w:lang w:val="en-AU"/>
        </w:rPr>
        <w:t xml:space="preserve">a) for example, where very little cover loss were observed at this site characterised by relatively little catchment input </w:t>
      </w:r>
      <w:r w:rsidR="00E0348F">
        <w:rPr>
          <w:szCs w:val="24"/>
          <w:lang w:val="en-AU"/>
        </w:rPr>
        <w:t>(</w:t>
      </w:r>
      <w:r w:rsidR="00E0348F" w:rsidRPr="00E0348F">
        <w:rPr>
          <w:szCs w:val="24"/>
          <w:lang w:val="en-AU"/>
        </w:rPr>
        <w:t>McKenzie</w:t>
      </w:r>
      <w:r w:rsidR="00E0348F">
        <w:rPr>
          <w:szCs w:val="24"/>
          <w:lang w:val="en-AU"/>
        </w:rPr>
        <w:t xml:space="preserve"> et al., 2015)</w:t>
      </w:r>
      <w:r w:rsidRPr="00545C0D">
        <w:rPr>
          <w:szCs w:val="24"/>
          <w:lang w:val="en-AU"/>
        </w:rPr>
        <w:t xml:space="preserve">. </w:t>
      </w:r>
      <w:r w:rsidRPr="00F46503">
        <w:rPr>
          <w:szCs w:val="24"/>
          <w:lang w:val="en-AU"/>
        </w:rPr>
        <w:t xml:space="preserve">The </w:t>
      </w:r>
      <w:r w:rsidRPr="003D29B9">
        <w:rPr>
          <w:szCs w:val="24"/>
          <w:lang w:val="en-AU"/>
        </w:rPr>
        <w:t>Gladstone Harbo</w:t>
      </w:r>
      <w:r w:rsidR="00750AC6">
        <w:rPr>
          <w:szCs w:val="24"/>
          <w:lang w:val="en-AU"/>
        </w:rPr>
        <w:t>u</w:t>
      </w:r>
      <w:r w:rsidRPr="003D29B9">
        <w:rPr>
          <w:szCs w:val="24"/>
          <w:lang w:val="en-AU"/>
        </w:rPr>
        <w:t>r</w:t>
      </w:r>
      <w:r w:rsidRPr="00F46503">
        <w:rPr>
          <w:szCs w:val="24"/>
          <w:lang w:val="en-AU"/>
        </w:rPr>
        <w:t xml:space="preserve"> seagrass meadows are also intertidal meadows, which could lead to lower losses in cover at this site than other subtidal sites at similar plume exposure levels, and further explain the result observed.</w:t>
      </w:r>
      <w:r w:rsidRPr="00F24DDC">
        <w:rPr>
          <w:szCs w:val="24"/>
          <w:lang w:val="en-AU"/>
        </w:rPr>
        <w:t xml:space="preserve"> </w:t>
      </w:r>
    </w:p>
    <w:p w14:paraId="5F22F767" w14:textId="702E00DA" w:rsidR="007E0542" w:rsidRDefault="007E0542" w:rsidP="007E0542">
      <w:pPr>
        <w:autoSpaceDE w:val="0"/>
        <w:autoSpaceDN w:val="0"/>
        <w:adjustRightInd w:val="0"/>
        <w:spacing w:after="240"/>
        <w:rPr>
          <w:szCs w:val="24"/>
          <w:lang w:val="en-AU"/>
        </w:rPr>
      </w:pPr>
      <w:r w:rsidRPr="00F46503">
        <w:rPr>
          <w:szCs w:val="24"/>
          <w:lang w:val="en-AU"/>
        </w:rPr>
        <w:t>The lack of consistent increase in macroalgae within algal communities over the period of increased risk of exposure to flood plumes (</w:t>
      </w:r>
      <w:r w:rsidR="00124249">
        <w:rPr>
          <w:szCs w:val="24"/>
          <w:lang w:val="en-AU"/>
        </w:rPr>
        <w:fldChar w:fldCharType="begin"/>
      </w:r>
      <w:r w:rsidR="00124249">
        <w:rPr>
          <w:szCs w:val="24"/>
          <w:lang w:val="en-AU"/>
        </w:rPr>
        <w:instrText xml:space="preserve"> REF _Ref459156184 \h  \* MERGEFORMAT </w:instrText>
      </w:r>
      <w:r w:rsidR="00124249">
        <w:rPr>
          <w:szCs w:val="24"/>
          <w:lang w:val="en-AU"/>
        </w:rPr>
      </w:r>
      <w:r w:rsidR="00124249">
        <w:rPr>
          <w:szCs w:val="24"/>
          <w:lang w:val="en-AU"/>
        </w:rPr>
        <w:fldChar w:fldCharType="separate"/>
      </w:r>
      <w:r w:rsidR="007F5336" w:rsidRPr="007F5336">
        <w:rPr>
          <w:szCs w:val="24"/>
          <w:lang w:val="en-AU"/>
        </w:rPr>
        <w:t>Figure 8</w:t>
      </w:r>
      <w:r w:rsidR="007F5336" w:rsidRPr="007F5336">
        <w:rPr>
          <w:szCs w:val="24"/>
          <w:lang w:val="en-AU"/>
        </w:rPr>
        <w:noBreakHyphen/>
        <w:t>4</w:t>
      </w:r>
      <w:r w:rsidR="00124249">
        <w:rPr>
          <w:szCs w:val="24"/>
          <w:lang w:val="en-AU"/>
        </w:rPr>
        <w:fldChar w:fldCharType="end"/>
      </w:r>
      <w:r w:rsidRPr="00F46503">
        <w:rPr>
          <w:szCs w:val="24"/>
          <w:lang w:val="en-AU"/>
        </w:rPr>
        <w:t>a), along with observed high levels of variability at individual reefs over time (</w:t>
      </w:r>
      <w:r w:rsidR="00124249">
        <w:rPr>
          <w:szCs w:val="24"/>
          <w:lang w:val="en-AU"/>
        </w:rPr>
        <w:fldChar w:fldCharType="begin"/>
      </w:r>
      <w:r w:rsidR="00124249">
        <w:rPr>
          <w:szCs w:val="24"/>
          <w:lang w:val="en-AU"/>
        </w:rPr>
        <w:instrText xml:space="preserve"> REF _Ref459156043 \h </w:instrText>
      </w:r>
      <w:r w:rsidR="00124249">
        <w:rPr>
          <w:szCs w:val="24"/>
          <w:lang w:val="en-AU"/>
        </w:rPr>
      </w:r>
      <w:r w:rsidR="00124249">
        <w:rPr>
          <w:szCs w:val="24"/>
          <w:lang w:val="en-AU"/>
        </w:rPr>
        <w:fldChar w:fldCharType="separate"/>
      </w:r>
      <w:r w:rsidR="007F5336" w:rsidRPr="004A5BF7">
        <w:rPr>
          <w:rStyle w:val="FigureChar"/>
          <w:rFonts w:ascii="Arial" w:hAnsi="Arial"/>
          <w:sz w:val="18"/>
          <w:lang w:val="en-US"/>
        </w:rPr>
        <w:t xml:space="preserve">Figure </w:t>
      </w:r>
      <w:r w:rsidR="007F5336">
        <w:rPr>
          <w:rStyle w:val="FigureChar"/>
          <w:rFonts w:ascii="Arial" w:hAnsi="Arial"/>
          <w:noProof/>
          <w:sz w:val="18"/>
          <w:lang w:val="en-US"/>
        </w:rPr>
        <w:t>8</w:t>
      </w:r>
      <w:r w:rsidR="007F5336">
        <w:rPr>
          <w:rStyle w:val="FigureChar"/>
          <w:rFonts w:ascii="Arial" w:hAnsi="Arial"/>
          <w:sz w:val="18"/>
          <w:lang w:val="en-US"/>
        </w:rPr>
        <w:noBreakHyphen/>
      </w:r>
      <w:r w:rsidR="007F5336">
        <w:rPr>
          <w:rStyle w:val="FigureChar"/>
          <w:rFonts w:ascii="Arial" w:hAnsi="Arial"/>
          <w:noProof/>
          <w:sz w:val="18"/>
          <w:lang w:val="en-US"/>
        </w:rPr>
        <w:t>2</w:t>
      </w:r>
      <w:r w:rsidR="00124249">
        <w:rPr>
          <w:szCs w:val="24"/>
          <w:lang w:val="en-AU"/>
        </w:rPr>
        <w:fldChar w:fldCharType="end"/>
      </w:r>
      <w:r w:rsidRPr="00F46503">
        <w:rPr>
          <w:szCs w:val="24"/>
          <w:lang w:val="en-AU"/>
        </w:rPr>
        <w:t xml:space="preserve">b) indicate the influence of processes not directly linked to the water quality parameters summarized by the </w:t>
      </w:r>
      <w:r>
        <w:rPr>
          <w:szCs w:val="24"/>
          <w:lang w:val="en-AU"/>
        </w:rPr>
        <w:t>R</w:t>
      </w:r>
      <w:r w:rsidRPr="00F46503">
        <w:rPr>
          <w:szCs w:val="24"/>
          <w:lang w:val="en-AU"/>
        </w:rPr>
        <w:t xml:space="preserve">isk </w:t>
      </w:r>
      <w:r>
        <w:rPr>
          <w:szCs w:val="24"/>
          <w:lang w:val="en-AU"/>
        </w:rPr>
        <w:t>S</w:t>
      </w:r>
      <w:r w:rsidRPr="00F46503">
        <w:rPr>
          <w:szCs w:val="24"/>
          <w:lang w:val="en-AU"/>
        </w:rPr>
        <w:t>core. A number of factors, including the suitability of the substrate and grazing pressure are understood to influence the abundance of macroalgae on coral reefs (e.g.</w:t>
      </w:r>
      <w:r w:rsidRPr="00F46503">
        <w:t xml:space="preserve"> </w:t>
      </w:r>
      <w:r w:rsidR="00E0348F" w:rsidRPr="00E0348F">
        <w:t xml:space="preserve">Schaffelke </w:t>
      </w:r>
      <w:r w:rsidR="00E0348F">
        <w:t>et</w:t>
      </w:r>
      <w:r w:rsidR="00006CD8">
        <w:t xml:space="preserve"> al</w:t>
      </w:r>
      <w:r w:rsidR="00E0348F">
        <w:t>., 2005</w:t>
      </w:r>
      <w:r w:rsidR="00124249">
        <w:t xml:space="preserve">; </w:t>
      </w:r>
      <w:r w:rsidR="00006CD8">
        <w:t>Hugues et al., 2005</w:t>
      </w:r>
      <w:r w:rsidRPr="00545C0D">
        <w:rPr>
          <w:noProof/>
          <w:szCs w:val="24"/>
          <w:lang w:val="en-AU"/>
        </w:rPr>
        <w:t>).</w:t>
      </w:r>
      <w:r w:rsidRPr="00F46503">
        <w:rPr>
          <w:szCs w:val="24"/>
          <w:lang w:val="en-AU"/>
        </w:rPr>
        <w:t xml:space="preserve"> The consideration of these factors was beyond the scope of this study though they will likely have added to the variability in community responses observed. Similarly the macroalgae considered represent the grouping of a high number of species that would be expected to have differing responses environmental conditions, and so potentially obscured mean effects.</w:t>
      </w:r>
      <w:r w:rsidRPr="000A662F">
        <w:rPr>
          <w:szCs w:val="24"/>
          <w:lang w:val="en-AU"/>
        </w:rPr>
        <w:t xml:space="preserve"> </w:t>
      </w:r>
    </w:p>
    <w:p w14:paraId="5F22F768" w14:textId="2164DCD2" w:rsidR="007E0542" w:rsidRDefault="007E0542" w:rsidP="007E0542">
      <w:pPr>
        <w:autoSpaceDE w:val="0"/>
        <w:autoSpaceDN w:val="0"/>
        <w:adjustRightInd w:val="0"/>
        <w:spacing w:after="240"/>
        <w:rPr>
          <w:szCs w:val="24"/>
          <w:lang w:val="en-AU"/>
        </w:rPr>
      </w:pPr>
      <w:r w:rsidRPr="000A662F">
        <w:rPr>
          <w:szCs w:val="24"/>
          <w:lang w:val="en-AU"/>
        </w:rPr>
        <w:t xml:space="preserve">The test for an increase in macroalgae relative to the change in </w:t>
      </w:r>
      <w:r>
        <w:rPr>
          <w:szCs w:val="24"/>
          <w:lang w:val="en-AU"/>
        </w:rPr>
        <w:t>R</w:t>
      </w:r>
      <w:r w:rsidRPr="000A662F">
        <w:rPr>
          <w:szCs w:val="24"/>
          <w:lang w:val="en-AU"/>
        </w:rPr>
        <w:t xml:space="preserve">isk </w:t>
      </w:r>
      <w:r>
        <w:rPr>
          <w:szCs w:val="24"/>
          <w:lang w:val="en-AU"/>
        </w:rPr>
        <w:t>Score</w:t>
      </w:r>
      <w:r w:rsidRPr="000A662F">
        <w:rPr>
          <w:szCs w:val="24"/>
          <w:lang w:val="en-AU"/>
        </w:rPr>
        <w:t xml:space="preserve"> was also confounded by strong gradient in macroalgae abundance revealed by the relationship between macroalgae representation in the algal community and the </w:t>
      </w:r>
      <w:r>
        <w:rPr>
          <w:szCs w:val="24"/>
          <w:lang w:val="en-AU"/>
        </w:rPr>
        <w:t>R</w:t>
      </w:r>
      <w:r w:rsidRPr="000A662F">
        <w:rPr>
          <w:szCs w:val="24"/>
          <w:lang w:val="en-AU"/>
        </w:rPr>
        <w:t xml:space="preserve">isk </w:t>
      </w:r>
      <w:r>
        <w:rPr>
          <w:szCs w:val="24"/>
          <w:lang w:val="en-AU"/>
        </w:rPr>
        <w:t>Score</w:t>
      </w:r>
      <w:r w:rsidRPr="000A662F">
        <w:rPr>
          <w:szCs w:val="24"/>
          <w:lang w:val="en-AU"/>
        </w:rPr>
        <w:t>. Several of the more offshore reefs received little additional exposure over the period of this study and the consistently low cover of macroalgae implied these reefs are beyond some threshold that allows macroalgae to flourish. Conversely high representation of macroalgae at many of the more inshore reefs prior to the onset of the wet period of 2008-2012 suggest that those algal communities were not environmentally limited (</w:t>
      </w:r>
      <w:r w:rsidR="00124249">
        <w:rPr>
          <w:szCs w:val="24"/>
          <w:lang w:val="en-AU"/>
        </w:rPr>
        <w:fldChar w:fldCharType="begin"/>
      </w:r>
      <w:r w:rsidR="00124249">
        <w:rPr>
          <w:szCs w:val="24"/>
          <w:lang w:val="en-AU"/>
        </w:rPr>
        <w:instrText xml:space="preserve"> REF _Ref459156043 \h </w:instrText>
      </w:r>
      <w:r w:rsidR="00124249">
        <w:rPr>
          <w:szCs w:val="24"/>
          <w:lang w:val="en-AU"/>
        </w:rPr>
      </w:r>
      <w:r w:rsidR="00124249">
        <w:rPr>
          <w:szCs w:val="24"/>
          <w:lang w:val="en-AU"/>
        </w:rPr>
        <w:fldChar w:fldCharType="separate"/>
      </w:r>
      <w:r w:rsidR="007F5336" w:rsidRPr="004A5BF7">
        <w:rPr>
          <w:rStyle w:val="FigureChar"/>
          <w:rFonts w:ascii="Arial" w:hAnsi="Arial"/>
          <w:sz w:val="18"/>
          <w:lang w:val="en-US"/>
        </w:rPr>
        <w:t xml:space="preserve">Figure </w:t>
      </w:r>
      <w:r w:rsidR="007F5336">
        <w:rPr>
          <w:rStyle w:val="FigureChar"/>
          <w:rFonts w:ascii="Arial" w:hAnsi="Arial"/>
          <w:noProof/>
          <w:sz w:val="18"/>
          <w:lang w:val="en-US"/>
        </w:rPr>
        <w:t>8</w:t>
      </w:r>
      <w:r w:rsidR="007F5336">
        <w:rPr>
          <w:rStyle w:val="FigureChar"/>
          <w:rFonts w:ascii="Arial" w:hAnsi="Arial"/>
          <w:sz w:val="18"/>
          <w:lang w:val="en-US"/>
        </w:rPr>
        <w:noBreakHyphen/>
      </w:r>
      <w:r w:rsidR="007F5336">
        <w:rPr>
          <w:rStyle w:val="FigureChar"/>
          <w:rFonts w:ascii="Arial" w:hAnsi="Arial"/>
          <w:noProof/>
          <w:sz w:val="18"/>
          <w:lang w:val="en-US"/>
        </w:rPr>
        <w:t>2</w:t>
      </w:r>
      <w:r w:rsidR="00124249">
        <w:rPr>
          <w:szCs w:val="24"/>
          <w:lang w:val="en-AU"/>
        </w:rPr>
        <w:fldChar w:fldCharType="end"/>
      </w:r>
      <w:r w:rsidR="001273A9">
        <w:rPr>
          <w:szCs w:val="24"/>
          <w:lang w:val="en-AU"/>
        </w:rPr>
        <w:t>b</w:t>
      </w:r>
      <w:r w:rsidRPr="000A662F">
        <w:rPr>
          <w:szCs w:val="24"/>
          <w:lang w:val="en-AU"/>
        </w:rPr>
        <w:t xml:space="preserve">). In addition the relationship between the increased </w:t>
      </w:r>
      <w:r>
        <w:rPr>
          <w:szCs w:val="24"/>
          <w:lang w:val="en-AU"/>
        </w:rPr>
        <w:t>R</w:t>
      </w:r>
      <w:r w:rsidRPr="000A662F">
        <w:rPr>
          <w:szCs w:val="24"/>
          <w:lang w:val="en-AU"/>
        </w:rPr>
        <w:t xml:space="preserve">isk </w:t>
      </w:r>
      <w:r>
        <w:rPr>
          <w:szCs w:val="24"/>
          <w:lang w:val="en-AU"/>
        </w:rPr>
        <w:t>Score</w:t>
      </w:r>
      <w:r w:rsidRPr="000A662F">
        <w:rPr>
          <w:szCs w:val="24"/>
          <w:lang w:val="en-AU"/>
        </w:rPr>
        <w:t xml:space="preserve"> and a macroalgae response should not be expected to be uniformly linear due to the myriad of interactions between flood exposure and other processes operation to control not just algae but all species within these complex ecosystems. </w:t>
      </w:r>
    </w:p>
    <w:p w14:paraId="5F22F769" w14:textId="707B62B0" w:rsidR="007E0542" w:rsidRPr="000A662F" w:rsidRDefault="007E0542" w:rsidP="007E0542">
      <w:pPr>
        <w:autoSpaceDE w:val="0"/>
        <w:autoSpaceDN w:val="0"/>
        <w:adjustRightInd w:val="0"/>
        <w:spacing w:after="240"/>
        <w:rPr>
          <w:szCs w:val="24"/>
          <w:lang w:val="en-AU"/>
        </w:rPr>
      </w:pPr>
      <w:r w:rsidRPr="000A662F">
        <w:rPr>
          <w:szCs w:val="24"/>
          <w:lang w:val="en-AU"/>
        </w:rPr>
        <w:t xml:space="preserve">As an example, turbidity and chlorophyll a concentration, as a proxy for nutrient availability, are aggregated into the </w:t>
      </w:r>
      <w:r>
        <w:rPr>
          <w:szCs w:val="24"/>
          <w:lang w:val="en-AU"/>
        </w:rPr>
        <w:t>R</w:t>
      </w:r>
      <w:r w:rsidRPr="000A662F">
        <w:rPr>
          <w:szCs w:val="24"/>
          <w:lang w:val="en-AU"/>
        </w:rPr>
        <w:t xml:space="preserve">isk </w:t>
      </w:r>
      <w:r>
        <w:rPr>
          <w:szCs w:val="24"/>
          <w:lang w:val="en-AU"/>
        </w:rPr>
        <w:t>Score</w:t>
      </w:r>
      <w:r w:rsidRPr="000A662F">
        <w:rPr>
          <w:szCs w:val="24"/>
          <w:lang w:val="en-AU"/>
        </w:rPr>
        <w:t>, however, these two factors can have competing influences on macroalgae. There is am</w:t>
      </w:r>
      <w:r>
        <w:rPr>
          <w:szCs w:val="24"/>
          <w:lang w:val="en-AU"/>
        </w:rPr>
        <w:t>p</w:t>
      </w:r>
      <w:r w:rsidRPr="000A662F">
        <w:rPr>
          <w:szCs w:val="24"/>
          <w:lang w:val="en-AU"/>
        </w:rPr>
        <w:t>le evidence that availability of nutrients is positively related to macroalgae abundance</w:t>
      </w:r>
      <w:r w:rsidRPr="00545C0D">
        <w:rPr>
          <w:noProof/>
          <w:szCs w:val="24"/>
          <w:lang w:val="en-AU"/>
        </w:rPr>
        <w:t>, but only w</w:t>
      </w:r>
      <w:r w:rsidR="00750AC6">
        <w:rPr>
          <w:noProof/>
          <w:szCs w:val="24"/>
          <w:lang w:val="en-AU"/>
        </w:rPr>
        <w:t>h</w:t>
      </w:r>
      <w:r w:rsidRPr="00545C0D">
        <w:rPr>
          <w:noProof/>
          <w:szCs w:val="24"/>
          <w:lang w:val="en-AU"/>
        </w:rPr>
        <w:t xml:space="preserve">ere sufficient light is available </w:t>
      </w:r>
      <w:r w:rsidR="00006CD8">
        <w:rPr>
          <w:noProof/>
          <w:szCs w:val="24"/>
          <w:lang w:val="en-AU"/>
        </w:rPr>
        <w:t>(</w:t>
      </w:r>
      <w:r w:rsidR="00006CD8" w:rsidRPr="00040345">
        <w:rPr>
          <w:noProof/>
          <w:szCs w:val="24"/>
          <w:lang w:val="en-AU"/>
        </w:rPr>
        <w:t>Schaffelke</w:t>
      </w:r>
      <w:r w:rsidR="00006CD8">
        <w:rPr>
          <w:noProof/>
          <w:szCs w:val="24"/>
          <w:lang w:val="en-AU"/>
        </w:rPr>
        <w:t>, 1999)</w:t>
      </w:r>
      <w:r w:rsidRPr="00545C0D">
        <w:rPr>
          <w:noProof/>
          <w:szCs w:val="24"/>
          <w:lang w:val="en-AU"/>
        </w:rPr>
        <w:t>, meaning, that in the highly turbid conditions experienced in a plume, the reduction in light availability  may outweigh any influence of enhanced nutrient supply</w:t>
      </w:r>
      <w:r w:rsidRPr="00E2440D">
        <w:rPr>
          <w:noProof/>
          <w:szCs w:val="24"/>
          <w:lang w:val="en-AU"/>
        </w:rPr>
        <w:t xml:space="preserve">. </w:t>
      </w:r>
      <w:r w:rsidRPr="00D219AE">
        <w:rPr>
          <w:noProof/>
          <w:szCs w:val="24"/>
          <w:lang w:val="en-AU"/>
        </w:rPr>
        <w:t>The observed reduction in macroalgae following large flood events on the reefs with high magnitude exposure risk following large floods of the Fitzroy River support this interpretation. D</w:t>
      </w:r>
      <w:r w:rsidRPr="00545C0D">
        <w:rPr>
          <w:noProof/>
          <w:szCs w:val="24"/>
          <w:lang w:val="en-AU"/>
        </w:rPr>
        <w:t xml:space="preserve">espite this short term variability in macroalgae commuities as a direct response to flood exposure the </w:t>
      </w:r>
      <w:r w:rsidRPr="000A662F">
        <w:rPr>
          <w:szCs w:val="24"/>
          <w:lang w:val="en-AU"/>
        </w:rPr>
        <w:t xml:space="preserve">general increase in macroalgae cover on reefs in the Fitzroy region corresponded to a high </w:t>
      </w:r>
      <w:r>
        <w:rPr>
          <w:szCs w:val="24"/>
          <w:lang w:val="en-AU"/>
        </w:rPr>
        <w:t>R</w:t>
      </w:r>
      <w:r w:rsidRPr="000A662F">
        <w:rPr>
          <w:szCs w:val="24"/>
          <w:lang w:val="en-AU"/>
        </w:rPr>
        <w:t xml:space="preserve">isk </w:t>
      </w:r>
      <w:r>
        <w:rPr>
          <w:szCs w:val="24"/>
          <w:lang w:val="en-AU"/>
        </w:rPr>
        <w:t>Score</w:t>
      </w:r>
      <w:r w:rsidRPr="000A662F">
        <w:rPr>
          <w:szCs w:val="24"/>
          <w:lang w:val="en-AU"/>
        </w:rPr>
        <w:t xml:space="preserve"> in this region</w:t>
      </w:r>
      <w:r>
        <w:rPr>
          <w:szCs w:val="24"/>
          <w:lang w:val="en-AU"/>
        </w:rPr>
        <w:t xml:space="preserve"> (</w:t>
      </w:r>
      <w:r w:rsidR="00124249">
        <w:rPr>
          <w:szCs w:val="24"/>
          <w:lang w:val="en-AU"/>
        </w:rPr>
        <w:fldChar w:fldCharType="begin"/>
      </w:r>
      <w:r w:rsidR="00124249">
        <w:rPr>
          <w:szCs w:val="24"/>
          <w:lang w:val="en-AU"/>
        </w:rPr>
        <w:instrText xml:space="preserve"> REF _Ref459156184 \h  \* MERGEFORMAT </w:instrText>
      </w:r>
      <w:r w:rsidR="00124249">
        <w:rPr>
          <w:szCs w:val="24"/>
          <w:lang w:val="en-AU"/>
        </w:rPr>
      </w:r>
      <w:r w:rsidR="00124249">
        <w:rPr>
          <w:szCs w:val="24"/>
          <w:lang w:val="en-AU"/>
        </w:rPr>
        <w:fldChar w:fldCharType="separate"/>
      </w:r>
      <w:r w:rsidR="007F5336" w:rsidRPr="007F5336">
        <w:rPr>
          <w:szCs w:val="24"/>
          <w:lang w:val="en-AU"/>
        </w:rPr>
        <w:t>Figure 8</w:t>
      </w:r>
      <w:r w:rsidR="007F5336" w:rsidRPr="007F5336">
        <w:rPr>
          <w:szCs w:val="24"/>
          <w:lang w:val="en-AU"/>
        </w:rPr>
        <w:noBreakHyphen/>
        <w:t>4</w:t>
      </w:r>
      <w:r w:rsidR="00124249">
        <w:rPr>
          <w:szCs w:val="24"/>
          <w:lang w:val="en-AU"/>
        </w:rPr>
        <w:fldChar w:fldCharType="end"/>
      </w:r>
      <w:r w:rsidRPr="003C1D66">
        <w:rPr>
          <w:szCs w:val="24"/>
          <w:lang w:val="en-AU"/>
        </w:rPr>
        <w:t>b).</w:t>
      </w:r>
      <w:r w:rsidRPr="000A662F">
        <w:rPr>
          <w:szCs w:val="24"/>
          <w:lang w:val="en-AU"/>
        </w:rPr>
        <w:t xml:space="preserve"> Exposure to flood plumes in this region appears to have been both a cause of coral mortality but also a vector for the maintenance of water quality conditions suitable to the subsequent colonization and maintenance of high macroalgae cover. </w:t>
      </w:r>
    </w:p>
    <w:p w14:paraId="5F22F76A" w14:textId="5856F7D0" w:rsidR="007E0542" w:rsidRPr="006E7A6C" w:rsidRDefault="007E0542" w:rsidP="007E0542">
      <w:pPr>
        <w:rPr>
          <w:szCs w:val="24"/>
          <w:lang w:eastAsia="en-AU"/>
        </w:rPr>
      </w:pPr>
      <w:r w:rsidRPr="006E7A6C">
        <w:rPr>
          <w:szCs w:val="24"/>
          <w:lang w:val="en-AU"/>
        </w:rPr>
        <w:t xml:space="preserve">Results obtained are encouraging, and next steps should focus on progressing toward the production of annual risk maps for </w:t>
      </w:r>
      <w:r w:rsidRPr="00EC2F12">
        <w:rPr>
          <w:szCs w:val="24"/>
          <w:lang w:val="en-AU"/>
        </w:rPr>
        <w:t xml:space="preserve">GBR ecosystems. These annual </w:t>
      </w:r>
      <w:r w:rsidR="001273A9">
        <w:rPr>
          <w:szCs w:val="24"/>
          <w:lang w:val="en-AU"/>
        </w:rPr>
        <w:t xml:space="preserve">risk </w:t>
      </w:r>
      <w:r w:rsidRPr="00EC2F12">
        <w:rPr>
          <w:szCs w:val="24"/>
          <w:lang w:val="en-AU"/>
        </w:rPr>
        <w:t xml:space="preserve">maps would inform on the </w:t>
      </w:r>
      <w:r w:rsidRPr="009C19E0">
        <w:rPr>
          <w:szCs w:val="24"/>
          <w:lang w:val="en-AU"/>
        </w:rPr>
        <w:t xml:space="preserve">seasonal water quality context of GBR ecosystems and would </w:t>
      </w:r>
      <w:r w:rsidRPr="006064C6">
        <w:rPr>
          <w:szCs w:val="24"/>
          <w:lang w:val="en-AU"/>
        </w:rPr>
        <w:t xml:space="preserve">provide the </w:t>
      </w:r>
      <w:r w:rsidRPr="006E7A6C">
        <w:rPr>
          <w:szCs w:val="24"/>
          <w:lang w:val="en-AU"/>
        </w:rPr>
        <w:t>temporal scale necessary to resolve processes that govern short term fluctuations in seagrass and macroalgae cover. For example, they would help to determine the number of consecutive years a coral/seagrass ecosystem need to receive a certain category of risk to see a shift in species response as a result of being exposed to reduced water quality in plume waters. Such short term assessment has been initiated in the GBR</w:t>
      </w:r>
      <w:r>
        <w:rPr>
          <w:szCs w:val="24"/>
          <w:lang w:val="en-AU"/>
        </w:rPr>
        <w:t>,</w:t>
      </w:r>
      <w:r w:rsidRPr="006E7A6C">
        <w:rPr>
          <w:szCs w:val="24"/>
          <w:lang w:val="en-AU"/>
        </w:rPr>
        <w:t xml:space="preserve"> with preliminary results suggesting that exposure to plume waters from 10 to 60 % of the wet season, and during two consecutive wet seasons, could result in a significant</w:t>
      </w:r>
      <w:r w:rsidR="001273A9">
        <w:rPr>
          <w:szCs w:val="24"/>
          <w:lang w:val="en-AU"/>
        </w:rPr>
        <w:t xml:space="preserve"> loss of seagrass cover (&gt; 50%, see </w:t>
      </w:r>
      <w:r w:rsidR="00006CD8">
        <w:rPr>
          <w:szCs w:val="24"/>
          <w:lang w:val="en-AU"/>
        </w:rPr>
        <w:t>Collier et al., 2014)</w:t>
      </w:r>
      <w:r w:rsidRPr="006E7A6C">
        <w:rPr>
          <w:szCs w:val="24"/>
          <w:lang w:val="en-AU"/>
        </w:rPr>
        <w:t xml:space="preserve">. Plume exposure thresholds varied </w:t>
      </w:r>
      <w:r w:rsidR="004B0453">
        <w:rPr>
          <w:szCs w:val="24"/>
          <w:lang w:val="en-AU"/>
        </w:rPr>
        <w:t>as a</w:t>
      </w:r>
      <w:r w:rsidR="004B0453" w:rsidRPr="006E7A6C">
        <w:rPr>
          <w:szCs w:val="24"/>
          <w:lang w:val="en-AU"/>
        </w:rPr>
        <w:t xml:space="preserve"> </w:t>
      </w:r>
      <w:r w:rsidRPr="006E7A6C">
        <w:rPr>
          <w:szCs w:val="24"/>
          <w:lang w:val="en-AU"/>
        </w:rPr>
        <w:t xml:space="preserve">function of the cross-shelf location of the seagrass habitat and the ambient water quality conditions, but </w:t>
      </w:r>
      <w:r w:rsidRPr="00AF73C1">
        <w:rPr>
          <w:szCs w:val="24"/>
          <w:lang w:eastAsia="en-AU"/>
        </w:rPr>
        <w:t xml:space="preserve">recovery </w:t>
      </w:r>
      <w:r w:rsidR="004B0453" w:rsidRPr="00AF73C1">
        <w:rPr>
          <w:szCs w:val="24"/>
          <w:lang w:eastAsia="en-AU"/>
        </w:rPr>
        <w:t>processe</w:t>
      </w:r>
      <w:r w:rsidR="004B0453">
        <w:rPr>
          <w:szCs w:val="24"/>
          <w:lang w:eastAsia="en-AU"/>
        </w:rPr>
        <w:t>s</w:t>
      </w:r>
      <w:r w:rsidR="004B0453" w:rsidRPr="00AF73C1">
        <w:rPr>
          <w:szCs w:val="24"/>
          <w:lang w:eastAsia="en-AU"/>
        </w:rPr>
        <w:t xml:space="preserve"> </w:t>
      </w:r>
      <w:r w:rsidRPr="00AF73C1">
        <w:rPr>
          <w:szCs w:val="24"/>
          <w:lang w:eastAsia="en-AU"/>
        </w:rPr>
        <w:t xml:space="preserve">after </w:t>
      </w:r>
      <w:r w:rsidR="004B0453">
        <w:rPr>
          <w:szCs w:val="24"/>
          <w:lang w:eastAsia="en-AU"/>
        </w:rPr>
        <w:t xml:space="preserve">these </w:t>
      </w:r>
      <w:r w:rsidRPr="00AF73C1">
        <w:rPr>
          <w:szCs w:val="24"/>
          <w:lang w:eastAsia="en-AU"/>
        </w:rPr>
        <w:t xml:space="preserve">losses </w:t>
      </w:r>
      <w:r w:rsidRPr="004B0453">
        <w:rPr>
          <w:szCs w:val="24"/>
          <w:lang w:eastAsia="en-AU"/>
        </w:rPr>
        <w:t>were not resolved. Finally, the</w:t>
      </w:r>
      <w:r w:rsidRPr="00CF3915">
        <w:rPr>
          <w:szCs w:val="24"/>
          <w:lang w:eastAsia="en-AU"/>
        </w:rPr>
        <w:t xml:space="preserve"> </w:t>
      </w:r>
      <w:r w:rsidRPr="006E7A6C">
        <w:rPr>
          <w:szCs w:val="24"/>
          <w:lang w:val="en-AU"/>
        </w:rPr>
        <w:t xml:space="preserve">use of multidimensional statistics would help to </w:t>
      </w:r>
      <w:r>
        <w:rPr>
          <w:szCs w:val="24"/>
          <w:lang w:eastAsia="en-AU"/>
        </w:rPr>
        <w:t>progress understanding of the</w:t>
      </w:r>
      <w:r w:rsidRPr="006E7A6C">
        <w:rPr>
          <w:szCs w:val="24"/>
          <w:lang w:eastAsia="en-AU"/>
        </w:rPr>
        <w:t xml:space="preserve"> mechanisms of influence of the key water quality parameters associated with river plume waters, as well as </w:t>
      </w:r>
      <w:r w:rsidRPr="006E7A6C">
        <w:rPr>
          <w:szCs w:val="24"/>
          <w:lang w:val="en-AU"/>
        </w:rPr>
        <w:t>additional external (</w:t>
      </w:r>
      <w:r>
        <w:rPr>
          <w:szCs w:val="24"/>
          <w:lang w:val="en-AU"/>
        </w:rPr>
        <w:t xml:space="preserve">e.g., </w:t>
      </w:r>
      <w:r w:rsidRPr="006E7A6C">
        <w:rPr>
          <w:szCs w:val="24"/>
          <w:lang w:val="en-AU"/>
        </w:rPr>
        <w:t>environmental</w:t>
      </w:r>
      <w:r>
        <w:rPr>
          <w:szCs w:val="24"/>
          <w:lang w:val="en-AU"/>
        </w:rPr>
        <w:t xml:space="preserve"> or competitive pressures</w:t>
      </w:r>
      <w:r w:rsidRPr="006E7A6C">
        <w:rPr>
          <w:szCs w:val="24"/>
          <w:lang w:val="en-AU"/>
        </w:rPr>
        <w:t>)</w:t>
      </w:r>
      <w:r w:rsidRPr="006E7A6C">
        <w:rPr>
          <w:szCs w:val="24"/>
        </w:rPr>
        <w:t xml:space="preserve"> </w:t>
      </w:r>
      <w:r>
        <w:rPr>
          <w:szCs w:val="24"/>
        </w:rPr>
        <w:t xml:space="preserve"> and internal (e.g., physiology)</w:t>
      </w:r>
      <w:r w:rsidRPr="006E7A6C">
        <w:rPr>
          <w:szCs w:val="24"/>
        </w:rPr>
        <w:t xml:space="preserve"> on </w:t>
      </w:r>
      <w:r w:rsidRPr="006E7A6C">
        <w:rPr>
          <w:szCs w:val="24"/>
          <w:lang w:val="en-AU"/>
        </w:rPr>
        <w:t xml:space="preserve">seagrass and macroalgae responses.  </w:t>
      </w:r>
    </w:p>
    <w:p w14:paraId="5F22F76B" w14:textId="1B6DBC35" w:rsidR="007E0542" w:rsidRPr="00F46503" w:rsidRDefault="007E0542" w:rsidP="007E0542">
      <w:pPr>
        <w:rPr>
          <w:szCs w:val="22"/>
          <w:lang w:val="en-AU"/>
        </w:rPr>
      </w:pPr>
      <w:r w:rsidRPr="00F24DDC">
        <w:rPr>
          <w:szCs w:val="24"/>
          <w:lang w:val="en-AU"/>
        </w:rPr>
        <w:t xml:space="preserve">In the present study, </w:t>
      </w:r>
      <w:r>
        <w:rPr>
          <w:lang w:val="en-AU"/>
        </w:rPr>
        <w:t>ecological</w:t>
      </w:r>
      <w:r w:rsidRPr="00F24DDC">
        <w:rPr>
          <w:szCs w:val="24"/>
          <w:lang w:val="en-AU"/>
        </w:rPr>
        <w:t xml:space="preserve"> thresholds above which potential impacts of plume exposure on ecosystems have been observed were defined following Brodie et al.</w:t>
      </w:r>
      <w:r w:rsidR="0046394E">
        <w:rPr>
          <w:szCs w:val="24"/>
          <w:lang w:val="en-AU"/>
        </w:rPr>
        <w:t>,</w:t>
      </w:r>
      <w:r w:rsidRPr="00F46503">
        <w:t xml:space="preserve"> </w:t>
      </w:r>
      <w:r w:rsidR="00006CD8">
        <w:rPr>
          <w:szCs w:val="24"/>
          <w:lang w:val="en-AU"/>
        </w:rPr>
        <w:t>2013</w:t>
      </w:r>
      <w:r w:rsidRPr="00545C0D">
        <w:rPr>
          <w:i/>
          <w:szCs w:val="24"/>
          <w:lang w:val="en-AU"/>
        </w:rPr>
        <w:t xml:space="preserve">. </w:t>
      </w:r>
      <w:r w:rsidRPr="00545C0D">
        <w:rPr>
          <w:szCs w:val="24"/>
          <w:lang w:val="en-AU"/>
        </w:rPr>
        <w:t xml:space="preserve">However, only limited information is available to draw conclusions, for example, on the effects of the exposure </w:t>
      </w:r>
      <w:r w:rsidR="004B0453">
        <w:rPr>
          <w:szCs w:val="24"/>
          <w:lang w:val="en-AU"/>
        </w:rPr>
        <w:t>to</w:t>
      </w:r>
      <w:r w:rsidR="004B0453" w:rsidRPr="00545C0D">
        <w:rPr>
          <w:szCs w:val="24"/>
          <w:lang w:val="en-AU"/>
        </w:rPr>
        <w:t xml:space="preserve"> </w:t>
      </w:r>
      <w:r w:rsidRPr="00545C0D">
        <w:rPr>
          <w:szCs w:val="24"/>
          <w:lang w:val="en-AU"/>
        </w:rPr>
        <w:t>sediments, nutrients (measured as Chl-</w:t>
      </w:r>
      <w:r w:rsidR="00124249">
        <w:rPr>
          <w:szCs w:val="24"/>
          <w:lang w:val="en-AU"/>
        </w:rPr>
        <w:t xml:space="preserve">a </w:t>
      </w:r>
      <w:r w:rsidRPr="00545C0D">
        <w:rPr>
          <w:szCs w:val="24"/>
          <w:lang w:val="en-AU"/>
        </w:rPr>
        <w:t>concentrations) on seagrass health</w:t>
      </w:r>
      <w:r>
        <w:rPr>
          <w:szCs w:val="24"/>
          <w:lang w:val="en-AU"/>
        </w:rPr>
        <w:t>.</w:t>
      </w:r>
      <w:r w:rsidRPr="00545C0D">
        <w:rPr>
          <w:szCs w:val="24"/>
          <w:lang w:val="en-AU"/>
        </w:rPr>
        <w:t xml:space="preserve"> </w:t>
      </w:r>
      <w:r>
        <w:rPr>
          <w:szCs w:val="24"/>
          <w:lang w:val="en-AU"/>
        </w:rPr>
        <w:t>E</w:t>
      </w:r>
      <w:r w:rsidRPr="00545C0D">
        <w:rPr>
          <w:szCs w:val="24"/>
          <w:lang w:val="en-AU"/>
        </w:rPr>
        <w:t xml:space="preserve">xperiments on responses of </w:t>
      </w:r>
      <w:r>
        <w:rPr>
          <w:szCs w:val="24"/>
          <w:lang w:val="en-AU"/>
        </w:rPr>
        <w:t>GBR</w:t>
      </w:r>
      <w:r w:rsidRPr="00545C0D">
        <w:rPr>
          <w:szCs w:val="24"/>
          <w:lang w:val="en-AU"/>
        </w:rPr>
        <w:t xml:space="preserve"> </w:t>
      </w:r>
      <w:r>
        <w:rPr>
          <w:szCs w:val="24"/>
          <w:lang w:val="en-AU"/>
        </w:rPr>
        <w:t xml:space="preserve">key </w:t>
      </w:r>
      <w:r w:rsidRPr="00545C0D">
        <w:rPr>
          <w:szCs w:val="24"/>
          <w:lang w:val="en-AU"/>
        </w:rPr>
        <w:t xml:space="preserve">species to interactive effects </w:t>
      </w:r>
      <w:r>
        <w:rPr>
          <w:szCs w:val="24"/>
          <w:lang w:val="en-AU"/>
        </w:rPr>
        <w:t xml:space="preserve">to </w:t>
      </w:r>
      <w:r w:rsidRPr="00545C0D">
        <w:rPr>
          <w:szCs w:val="24"/>
          <w:lang w:val="en-AU"/>
        </w:rPr>
        <w:t xml:space="preserve">these water quality parameters should be carried out to progress the development of final risk thresholds for GBR seagrass </w:t>
      </w:r>
      <w:r>
        <w:rPr>
          <w:szCs w:val="24"/>
          <w:lang w:val="en-AU"/>
        </w:rPr>
        <w:t>and coral reefs</w:t>
      </w:r>
      <w:r w:rsidRPr="00545C0D">
        <w:rPr>
          <w:szCs w:val="24"/>
          <w:lang w:val="en-AU"/>
        </w:rPr>
        <w:t>.</w:t>
      </w:r>
      <w:r>
        <w:rPr>
          <w:szCs w:val="24"/>
          <w:lang w:val="en-AU"/>
        </w:rPr>
        <w:t xml:space="preserve"> </w:t>
      </w:r>
      <w:r w:rsidRPr="00F24DDC">
        <w:rPr>
          <w:szCs w:val="24"/>
          <w:lang w:val="en-AU"/>
        </w:rPr>
        <w:t>Additional indicators of coral reef condition should</w:t>
      </w:r>
      <w:r>
        <w:rPr>
          <w:szCs w:val="24"/>
          <w:lang w:val="en-AU"/>
        </w:rPr>
        <w:t xml:space="preserve"> also</w:t>
      </w:r>
      <w:r w:rsidRPr="00F24DDC">
        <w:rPr>
          <w:szCs w:val="24"/>
          <w:lang w:val="en-AU"/>
        </w:rPr>
        <w:t xml:space="preserve"> be considered in later analyses following the risk framework presented here.</w:t>
      </w:r>
      <w:r>
        <w:rPr>
          <w:szCs w:val="24"/>
          <w:lang w:val="en-AU"/>
        </w:rPr>
        <w:t xml:space="preserve"> </w:t>
      </w:r>
      <w:r w:rsidRPr="00F46503">
        <w:rPr>
          <w:szCs w:val="24"/>
          <w:lang w:val="en-AU"/>
        </w:rPr>
        <w:t>As risk metrics are adapted and improved with continual validation and reduced uncertainty, it will be possible to incorporate these products into applied management actions as useful tools to monitor water quality impacts on ecosystem health.</w:t>
      </w:r>
      <w:r>
        <w:rPr>
          <w:szCs w:val="24"/>
          <w:lang w:val="en-AU"/>
        </w:rPr>
        <w:t xml:space="preserve"> </w:t>
      </w:r>
    </w:p>
    <w:p w14:paraId="5F22F76C" w14:textId="77777777" w:rsidR="00574B0D" w:rsidRDefault="00574B0D" w:rsidP="00574B0D">
      <w:pPr>
        <w:rPr>
          <w:b/>
          <w:lang w:val="en-AU"/>
        </w:rPr>
      </w:pPr>
    </w:p>
    <w:p w14:paraId="5F22F76D" w14:textId="77777777" w:rsidR="00913559" w:rsidRPr="00EC6BB8" w:rsidRDefault="00913559" w:rsidP="00C27BEB">
      <w:pPr>
        <w:pStyle w:val="Heading1"/>
      </w:pPr>
      <w:bookmarkStart w:id="1506" w:name="_Toc436082067"/>
      <w:bookmarkStart w:id="1507" w:name="_Toc436913530"/>
      <w:bookmarkStart w:id="1508" w:name="_Toc462307473"/>
      <w:bookmarkEnd w:id="122"/>
      <w:bookmarkEnd w:id="123"/>
      <w:bookmarkEnd w:id="124"/>
      <w:bookmarkEnd w:id="125"/>
      <w:bookmarkEnd w:id="126"/>
      <w:bookmarkEnd w:id="127"/>
      <w:bookmarkEnd w:id="128"/>
      <w:bookmarkEnd w:id="129"/>
      <w:bookmarkEnd w:id="130"/>
      <w:r w:rsidRPr="00EC6BB8">
        <w:t>References</w:t>
      </w:r>
      <w:bookmarkEnd w:id="1506"/>
      <w:bookmarkEnd w:id="1507"/>
      <w:bookmarkEnd w:id="1508"/>
    </w:p>
    <w:p w14:paraId="5F22F76E" w14:textId="77777777" w:rsidR="00317A18" w:rsidRPr="0046394E" w:rsidRDefault="00317A18" w:rsidP="00317A18">
      <w:pPr>
        <w:autoSpaceDE w:val="0"/>
        <w:autoSpaceDN w:val="0"/>
        <w:adjustRightInd w:val="0"/>
        <w:ind w:left="284" w:hanging="284"/>
        <w:rPr>
          <w:rFonts w:eastAsiaTheme="minorHAnsi" w:cs="Arial"/>
          <w:szCs w:val="22"/>
          <w:lang w:val="en-AU"/>
        </w:rPr>
      </w:pPr>
      <w:r w:rsidRPr="00C51DE2">
        <w:rPr>
          <w:rFonts w:eastAsiaTheme="minorHAnsi" w:cs="Arial"/>
          <w:szCs w:val="22"/>
          <w:lang w:val="en-AU"/>
        </w:rPr>
        <w:t>Alongi DM, McKinnon AD (2005)</w:t>
      </w:r>
      <w:r w:rsidRPr="003A77F5">
        <w:rPr>
          <w:rFonts w:eastAsiaTheme="minorHAnsi" w:cs="Arial"/>
          <w:szCs w:val="22"/>
          <w:lang w:val="en-AU"/>
        </w:rPr>
        <w:t xml:space="preserve"> The cycling and fate of terrestrially-derived sediments and </w:t>
      </w:r>
      <w:r w:rsidRPr="0046394E">
        <w:rPr>
          <w:rFonts w:eastAsiaTheme="minorHAnsi" w:cs="Arial"/>
          <w:szCs w:val="22"/>
          <w:lang w:val="en-AU"/>
        </w:rPr>
        <w:t xml:space="preserve">nutrients in the coastal zone of the Great Barrier Reef shelf. </w:t>
      </w:r>
      <w:r w:rsidRPr="0046394E">
        <w:rPr>
          <w:rFonts w:cs="Arial"/>
          <w:color w:val="000000" w:themeColor="text1"/>
          <w:szCs w:val="22"/>
          <w:lang w:val="en-AU"/>
        </w:rPr>
        <w:t xml:space="preserve">Marine Pollution Bulletin </w:t>
      </w:r>
      <w:r w:rsidRPr="0046394E">
        <w:rPr>
          <w:rFonts w:eastAsiaTheme="minorHAnsi" w:cs="Arial"/>
          <w:szCs w:val="22"/>
          <w:lang w:val="en-AU"/>
        </w:rPr>
        <w:t>51: 239–52.</w:t>
      </w:r>
    </w:p>
    <w:p w14:paraId="5F22F76F" w14:textId="77777777" w:rsidR="00317A18" w:rsidRPr="0046394E" w:rsidRDefault="00317A18" w:rsidP="00317A18">
      <w:pPr>
        <w:ind w:left="284" w:hanging="284"/>
        <w:rPr>
          <w:rFonts w:cs="Arial"/>
          <w:szCs w:val="22"/>
          <w:lang w:val="en-AU" w:eastAsia="en-AU"/>
        </w:rPr>
      </w:pPr>
      <w:r w:rsidRPr="0046394E">
        <w:rPr>
          <w:rFonts w:cs="Arial"/>
          <w:szCs w:val="22"/>
          <w:lang w:val="en-AU" w:eastAsia="en-AU"/>
        </w:rPr>
        <w:t>Álvarez-Romero JG, Devlin MJ, Teixeira da Silva E, Petus C, Ban N, Pressey RJ, Kool J, Roberts S, Cerdeira WA, Brodie J (2013) A novel approach to model exposure of coastal-marine ecosystems to riverine flood plumes based on remote sensing techniques. J Environ Manage 119:194–207</w:t>
      </w:r>
      <w:r w:rsidR="00E201D7">
        <w:rPr>
          <w:rFonts w:cs="Arial"/>
          <w:szCs w:val="22"/>
          <w:lang w:val="en-AU" w:eastAsia="en-AU"/>
        </w:rPr>
        <w:t>.</w:t>
      </w:r>
    </w:p>
    <w:p w14:paraId="5F22F770" w14:textId="77777777" w:rsidR="00317A18" w:rsidRPr="0046394E" w:rsidRDefault="00317A18" w:rsidP="00317A18">
      <w:pPr>
        <w:ind w:left="284" w:hanging="284"/>
        <w:rPr>
          <w:rFonts w:cs="Arial"/>
          <w:szCs w:val="22"/>
          <w:lang w:val="en-AU"/>
        </w:rPr>
      </w:pPr>
      <w:r w:rsidRPr="0046394E">
        <w:rPr>
          <w:rFonts w:cs="Arial"/>
          <w:szCs w:val="22"/>
          <w:lang w:val="en-AU"/>
        </w:rPr>
        <w:t>Anon. (1997) Directory of Autoanalyser Methods, Bran and Luebbe GmbH, Norderstedt, Germany.</w:t>
      </w:r>
    </w:p>
    <w:p w14:paraId="5F22F771" w14:textId="77777777" w:rsidR="00317A18" w:rsidRPr="0046394E" w:rsidRDefault="00317A18" w:rsidP="00317A18">
      <w:pPr>
        <w:pStyle w:val="Reportrefs"/>
        <w:spacing w:after="120"/>
        <w:ind w:left="284" w:hanging="284"/>
        <w:rPr>
          <w:rFonts w:cs="Arial"/>
          <w:sz w:val="22"/>
          <w:szCs w:val="22"/>
          <w:lang w:val="en-AU"/>
        </w:rPr>
      </w:pPr>
      <w:r w:rsidRPr="0046394E">
        <w:rPr>
          <w:rFonts w:cs="Arial"/>
          <w:sz w:val="22"/>
          <w:szCs w:val="22"/>
          <w:lang w:val="en-AU"/>
        </w:rPr>
        <w:t>Anon (2003) Reef Water Quality Protection Plan for catchments adjacent to the Great Barrier Reef World Heritage Area. The State of Queensland and Commonwealth of Australia. Queensland Department of Premier and Cabinet, Brisbane. 43 pp</w:t>
      </w:r>
      <w:r w:rsidR="00E201D7">
        <w:rPr>
          <w:rFonts w:cs="Arial"/>
          <w:sz w:val="22"/>
          <w:szCs w:val="22"/>
          <w:lang w:val="en-AU"/>
        </w:rPr>
        <w:t>.</w:t>
      </w:r>
      <w:r w:rsidRPr="0046394E">
        <w:rPr>
          <w:rFonts w:cs="Arial"/>
          <w:sz w:val="22"/>
          <w:szCs w:val="22"/>
          <w:lang w:val="en-AU"/>
        </w:rPr>
        <w:t xml:space="preserve"> </w:t>
      </w:r>
    </w:p>
    <w:p w14:paraId="5F22F772" w14:textId="77777777" w:rsidR="00317A18" w:rsidRPr="0046394E" w:rsidRDefault="00317A18" w:rsidP="00317A18">
      <w:pPr>
        <w:pStyle w:val="Reportrefs"/>
        <w:spacing w:after="120"/>
        <w:ind w:left="284" w:hanging="284"/>
        <w:rPr>
          <w:rFonts w:cs="Arial"/>
          <w:sz w:val="22"/>
          <w:szCs w:val="22"/>
          <w:lang w:val="en-AU" w:eastAsia="en-GB"/>
        </w:rPr>
      </w:pPr>
      <w:r w:rsidRPr="0046394E">
        <w:rPr>
          <w:rFonts w:cs="Arial"/>
          <w:sz w:val="22"/>
          <w:szCs w:val="22"/>
          <w:lang w:val="en-AU" w:eastAsia="en-GB"/>
        </w:rPr>
        <w:t xml:space="preserve">Anon. (2009) Reef Water Quality Protection Plan 2009. For the Great Barrier Reef World Heritage Area and adjacent catchments. The State of Queensland and Commonwealth of Australia. Queensland Department of the Premier and Cabinet, Brisbane. 30 pp. </w:t>
      </w:r>
    </w:p>
    <w:p w14:paraId="5F22F773" w14:textId="77777777" w:rsidR="00317A18" w:rsidRPr="0046394E" w:rsidRDefault="00317A18" w:rsidP="00317A18">
      <w:pPr>
        <w:pStyle w:val="Reportrefs"/>
        <w:spacing w:after="120"/>
        <w:ind w:left="284" w:hanging="284"/>
        <w:rPr>
          <w:rFonts w:cs="Arial"/>
          <w:sz w:val="22"/>
          <w:szCs w:val="22"/>
          <w:lang w:val="en-AU" w:eastAsia="en-GB"/>
        </w:rPr>
      </w:pPr>
      <w:r w:rsidRPr="0046394E">
        <w:rPr>
          <w:rFonts w:cs="Arial"/>
          <w:sz w:val="22"/>
          <w:szCs w:val="22"/>
          <w:lang w:val="en-AU" w:eastAsia="en-GB"/>
        </w:rPr>
        <w:t>Anon. (2010) Paddock to Reef Integrated Monitoring, Modelling and Reporting Program Design (DRAFT). Version 12 February 2010. The State of Queensland, Queensland Department of the Prem</w:t>
      </w:r>
      <w:r w:rsidR="00E201D7">
        <w:rPr>
          <w:rFonts w:cs="Arial"/>
          <w:sz w:val="22"/>
          <w:szCs w:val="22"/>
          <w:lang w:val="en-AU" w:eastAsia="en-GB"/>
        </w:rPr>
        <w:t>ier and Cabinet, Brisbane. 93 pp.</w:t>
      </w:r>
    </w:p>
    <w:p w14:paraId="5F22F774" w14:textId="6792F788" w:rsidR="00317A18" w:rsidRPr="0046394E" w:rsidRDefault="00317A18" w:rsidP="00317A18">
      <w:pPr>
        <w:ind w:left="284" w:hanging="284"/>
        <w:rPr>
          <w:rFonts w:cs="Arial"/>
          <w:color w:val="0070C0"/>
          <w:szCs w:val="22"/>
          <w:lang w:val="en-AU"/>
        </w:rPr>
      </w:pPr>
      <w:r w:rsidRPr="0046394E">
        <w:rPr>
          <w:rFonts w:cs="Arial"/>
          <w:szCs w:val="22"/>
          <w:lang w:val="en-AU"/>
        </w:rPr>
        <w:t xml:space="preserve">Anon. (2011) Reef Water Quality Protection Plan. First Report 2009 Baseline. The State of Queensland and Commonwealth of Australia. Queensland Department of Premier and Cabinet, Brisbane. 140 pp. Available at </w:t>
      </w:r>
      <w:hyperlink r:id="rId380" w:tooltip="Reef Water Quality Protection Plan. First Report 2009 Baseline. " w:history="1">
        <w:r w:rsidRPr="0046394E">
          <w:rPr>
            <w:rStyle w:val="Hyperlink"/>
            <w:rFonts w:cs="Arial"/>
            <w:bCs/>
            <w:color w:val="0070C0"/>
            <w:szCs w:val="22"/>
            <w:lang w:val="en-AU"/>
          </w:rPr>
          <w:t>www.reefplan.qld.gov.au</w:t>
        </w:r>
      </w:hyperlink>
      <w:r w:rsidR="00E201D7">
        <w:rPr>
          <w:rStyle w:val="Hyperlink"/>
          <w:rFonts w:cs="Arial"/>
          <w:bCs/>
          <w:color w:val="0070C0"/>
          <w:szCs w:val="22"/>
          <w:lang w:val="en-AU"/>
        </w:rPr>
        <w:t>.</w:t>
      </w:r>
    </w:p>
    <w:p w14:paraId="5F22F775" w14:textId="0C2F13D8" w:rsidR="00317A18" w:rsidRPr="0046394E" w:rsidRDefault="00317A18" w:rsidP="00317A18">
      <w:pPr>
        <w:pStyle w:val="Reportrefs"/>
        <w:spacing w:after="120"/>
        <w:ind w:left="284" w:hanging="284"/>
        <w:rPr>
          <w:rFonts w:cs="Arial"/>
          <w:sz w:val="22"/>
          <w:szCs w:val="22"/>
          <w:lang w:val="en-AU" w:eastAsia="en-GB"/>
        </w:rPr>
      </w:pPr>
      <w:r w:rsidRPr="0046394E">
        <w:rPr>
          <w:rFonts w:cs="Arial"/>
          <w:sz w:val="22"/>
          <w:szCs w:val="22"/>
          <w:lang w:val="en-AU" w:eastAsia="en-AU"/>
        </w:rPr>
        <w:t xml:space="preserve">Anon. (2013) Reef Water Quality Protection Plan 2013.Securing the health and resilience of the Great Barrier Reef World Heritage Area and adjacent catchments. The State of Queensland. Reef Water Quality Protection Plan Secretariat, Brisbane. 34 p. </w:t>
      </w:r>
      <w:r w:rsidRPr="0046394E">
        <w:rPr>
          <w:rFonts w:cs="Arial"/>
          <w:sz w:val="22"/>
          <w:szCs w:val="22"/>
          <w:lang w:val="en-AU" w:eastAsia="en-GB"/>
        </w:rPr>
        <w:t xml:space="preserve">Available at </w:t>
      </w:r>
      <w:hyperlink r:id="rId381" w:tooltip="Reef Water Quality Protection Plan 2013.Securing the health and resilience of the Great Barrier Reef World Heritage Area and adjacent catchments." w:history="1">
        <w:r w:rsidRPr="0046394E">
          <w:rPr>
            <w:rStyle w:val="Hyperlink"/>
            <w:rFonts w:cs="Arial"/>
            <w:color w:val="0070C0"/>
            <w:sz w:val="22"/>
            <w:szCs w:val="22"/>
            <w:lang w:val="en-AU" w:eastAsia="en-GB"/>
          </w:rPr>
          <w:t>www.reefplan.qld.gov.au</w:t>
        </w:r>
      </w:hyperlink>
      <w:r w:rsidR="00E201D7">
        <w:rPr>
          <w:rStyle w:val="Hyperlink"/>
          <w:rFonts w:cs="Arial"/>
          <w:color w:val="0070C0"/>
          <w:sz w:val="22"/>
          <w:szCs w:val="22"/>
          <w:lang w:val="en-AU" w:eastAsia="en-GB"/>
        </w:rPr>
        <w:t>.</w:t>
      </w:r>
    </w:p>
    <w:p w14:paraId="5F22F776" w14:textId="77777777" w:rsidR="00317A18" w:rsidRPr="0046394E" w:rsidRDefault="00317A18" w:rsidP="00317A18">
      <w:pPr>
        <w:pStyle w:val="Reportrefs"/>
        <w:spacing w:after="120"/>
        <w:ind w:left="284" w:hanging="284"/>
        <w:rPr>
          <w:rFonts w:cs="Arial"/>
          <w:sz w:val="22"/>
          <w:szCs w:val="22"/>
          <w:lang w:val="en-AU" w:eastAsia="en-AU"/>
        </w:rPr>
      </w:pPr>
      <w:r w:rsidRPr="0046394E">
        <w:rPr>
          <w:rFonts w:cs="Arial"/>
          <w:sz w:val="22"/>
          <w:szCs w:val="22"/>
          <w:lang w:val="en-AU" w:eastAsia="en-AU"/>
        </w:rPr>
        <w:t>Baird AH, Marshall PA (2002) Mortality, growth and reproduction in scleractinian corals following bleaching on the Great Barrier Reef. Marine Ecology Progress Series 237:133-141</w:t>
      </w:r>
      <w:r w:rsidR="00E201D7">
        <w:rPr>
          <w:rFonts w:cs="Arial"/>
          <w:sz w:val="22"/>
          <w:szCs w:val="22"/>
          <w:lang w:val="en-AU" w:eastAsia="en-AU"/>
        </w:rPr>
        <w:t>.</w:t>
      </w:r>
    </w:p>
    <w:p w14:paraId="5F22F777" w14:textId="77777777" w:rsidR="00317A18" w:rsidRPr="0046394E" w:rsidRDefault="00317A18" w:rsidP="00317A18">
      <w:pPr>
        <w:pStyle w:val="Reportrefs"/>
        <w:spacing w:after="120"/>
        <w:ind w:left="284" w:hanging="284"/>
        <w:rPr>
          <w:rFonts w:cs="Arial"/>
          <w:sz w:val="22"/>
          <w:szCs w:val="22"/>
          <w:lang w:val="en-AU" w:eastAsia="en-AU"/>
        </w:rPr>
      </w:pPr>
      <w:r w:rsidRPr="0046394E">
        <w:rPr>
          <w:rFonts w:cs="Arial"/>
          <w:sz w:val="22"/>
          <w:szCs w:val="22"/>
          <w:lang w:val="en-AU" w:eastAsia="en-AU"/>
        </w:rPr>
        <w:t>Bartley R, Bainbridge ZT, Lewis SE, Kroon FJ, Wilkinson SN, Brodie JE, Silburn DM (2014a) Relating sediment impacts on coral reefs to watershed sources, processes and management: A review. Science of The Total Environment 468–469:1138-1153</w:t>
      </w:r>
      <w:r w:rsidR="00E201D7">
        <w:rPr>
          <w:rFonts w:cs="Arial"/>
          <w:sz w:val="22"/>
          <w:szCs w:val="22"/>
          <w:lang w:val="en-AU" w:eastAsia="en-AU"/>
        </w:rPr>
        <w:t>.</w:t>
      </w:r>
    </w:p>
    <w:p w14:paraId="5F22F778" w14:textId="77777777" w:rsidR="00317A18" w:rsidRPr="0046394E" w:rsidRDefault="00317A18" w:rsidP="00317A18">
      <w:pPr>
        <w:ind w:left="284" w:hanging="284"/>
        <w:rPr>
          <w:rFonts w:cs="Arial"/>
          <w:szCs w:val="22"/>
          <w:lang w:val="en-AU" w:eastAsia="en-AU"/>
        </w:rPr>
      </w:pPr>
      <w:r w:rsidRPr="0046394E">
        <w:rPr>
          <w:rFonts w:cs="Arial"/>
          <w:szCs w:val="22"/>
          <w:lang w:val="en-AU" w:eastAsia="en-AU"/>
        </w:rPr>
        <w:t>Bartley R, Corfield JP, Hawdon AA, Kinsey-Henderson AE, Abbott BN, Wilkinson SN, Keen RJ (2014b) Can changes to pasture management reduce runoff and sediment loss to the Great Barrier Reef? The results of a 10-year study in the Burdekin catchment, Australia. The Rangeland Journal 36:67-84</w:t>
      </w:r>
      <w:r w:rsidR="00E201D7">
        <w:rPr>
          <w:rFonts w:cs="Arial"/>
          <w:szCs w:val="22"/>
          <w:lang w:val="en-AU" w:eastAsia="en-AU"/>
        </w:rPr>
        <w:t>.</w:t>
      </w:r>
    </w:p>
    <w:p w14:paraId="5F22F779" w14:textId="2288B720" w:rsidR="00317A18" w:rsidRPr="0046394E" w:rsidRDefault="00317A18" w:rsidP="00317A18">
      <w:pPr>
        <w:ind w:left="284" w:hanging="284"/>
        <w:rPr>
          <w:rFonts w:cs="Arial"/>
          <w:szCs w:val="22"/>
          <w:lang w:val="en-AU"/>
        </w:rPr>
      </w:pPr>
      <w:r w:rsidRPr="0046394E">
        <w:rPr>
          <w:rFonts w:cs="Arial"/>
          <w:szCs w:val="22"/>
          <w:lang w:val="en-AU" w:eastAsia="en-AU"/>
        </w:rPr>
        <w:t xml:space="preserve">Belperio, AP, Searle, DE, </w:t>
      </w:r>
      <w:r w:rsidR="00606AC1">
        <w:rPr>
          <w:rFonts w:cs="Arial"/>
          <w:szCs w:val="22"/>
          <w:lang w:val="en-AU" w:eastAsia="en-AU"/>
        </w:rPr>
        <w:t>(</w:t>
      </w:r>
      <w:r w:rsidRPr="0046394E">
        <w:rPr>
          <w:rFonts w:cs="Arial"/>
          <w:szCs w:val="22"/>
          <w:lang w:val="en-AU" w:eastAsia="en-AU"/>
        </w:rPr>
        <w:t>1988</w:t>
      </w:r>
      <w:r w:rsidR="00606AC1">
        <w:rPr>
          <w:rFonts w:cs="Arial"/>
          <w:szCs w:val="22"/>
          <w:lang w:val="en-AU" w:eastAsia="en-AU"/>
        </w:rPr>
        <w:t>)</w:t>
      </w:r>
      <w:r w:rsidRPr="0046394E">
        <w:rPr>
          <w:rFonts w:cs="Arial"/>
          <w:szCs w:val="22"/>
          <w:lang w:val="en-AU" w:eastAsia="en-AU"/>
        </w:rPr>
        <w:t>. Terrigenous and carbonate sedimentation in the Great Barrier Reef province. In: J, D.L., H, R.H. (Eds.), Carbonate to Clastic Facies Changes. Developments in Sedimentology. Elsevier Science Publishers, Amsterdam, pp. 143–174</w:t>
      </w:r>
      <w:r w:rsidRPr="0046394E">
        <w:rPr>
          <w:rFonts w:cs="Arial"/>
          <w:color w:val="000000"/>
          <w:szCs w:val="22"/>
          <w:lang w:val="en-AU" w:eastAsia="en-AU"/>
        </w:rPr>
        <w:t>.</w:t>
      </w:r>
    </w:p>
    <w:p w14:paraId="5F22F77A" w14:textId="77777777" w:rsidR="00317A18" w:rsidRPr="0046394E" w:rsidRDefault="00317A18" w:rsidP="00317A18">
      <w:pPr>
        <w:ind w:left="284" w:hanging="284"/>
        <w:rPr>
          <w:rFonts w:cs="Arial"/>
          <w:szCs w:val="22"/>
          <w:lang w:val="en-AU"/>
        </w:rPr>
      </w:pPr>
      <w:r w:rsidRPr="0046394E">
        <w:rPr>
          <w:rFonts w:cs="Arial"/>
          <w:szCs w:val="22"/>
          <w:lang w:val="en-AU"/>
        </w:rPr>
        <w:t xml:space="preserve">Bellwood DR, Hughes TP, Folke C, Nyström M (2004) Confronting the coral reef crisis. Nature </w:t>
      </w:r>
      <w:r w:rsidR="00E201D7">
        <w:rPr>
          <w:rFonts w:cs="Arial"/>
          <w:szCs w:val="22"/>
          <w:lang w:val="en-AU"/>
        </w:rPr>
        <w:t>429:827-833.</w:t>
      </w:r>
    </w:p>
    <w:p w14:paraId="5F22F77B" w14:textId="77777777" w:rsidR="00317A18" w:rsidRPr="0046394E" w:rsidRDefault="00317A18" w:rsidP="00317A18">
      <w:pPr>
        <w:ind w:left="284" w:hanging="284"/>
        <w:rPr>
          <w:rFonts w:cs="Arial"/>
          <w:szCs w:val="22"/>
          <w:lang w:val="en-AU"/>
        </w:rPr>
      </w:pPr>
      <w:r w:rsidRPr="0046394E">
        <w:rPr>
          <w:rFonts w:cs="Arial"/>
          <w:bCs/>
          <w:szCs w:val="22"/>
          <w:lang w:val="en-AU"/>
        </w:rPr>
        <w:t xml:space="preserve">Bowers DG, Binding CE (2006) </w:t>
      </w:r>
      <w:r w:rsidRPr="0046394E">
        <w:rPr>
          <w:rFonts w:cs="Arial"/>
          <w:szCs w:val="22"/>
          <w:lang w:val="en-AU"/>
        </w:rPr>
        <w:t xml:space="preserve">Optical properties of mineral suspended particles in the sea: a review and synthesis. </w:t>
      </w:r>
      <w:r w:rsidRPr="0046394E">
        <w:rPr>
          <w:rFonts w:cs="Arial"/>
          <w:iCs/>
          <w:szCs w:val="22"/>
          <w:lang w:val="en-AU"/>
        </w:rPr>
        <w:t>Estuarine, Coastal and Shelf Science</w:t>
      </w:r>
      <w:r w:rsidRPr="0046394E">
        <w:rPr>
          <w:rFonts w:cs="Arial"/>
          <w:szCs w:val="22"/>
          <w:lang w:val="en-AU"/>
        </w:rPr>
        <w:t xml:space="preserve"> 67: 219-230</w:t>
      </w:r>
      <w:r w:rsidR="00E201D7">
        <w:rPr>
          <w:rFonts w:cs="Arial"/>
          <w:szCs w:val="22"/>
          <w:lang w:val="en-AU"/>
        </w:rPr>
        <w:t>.</w:t>
      </w:r>
    </w:p>
    <w:p w14:paraId="5F22F77C" w14:textId="77777777" w:rsidR="00317A18" w:rsidRPr="0046394E" w:rsidRDefault="00317A18" w:rsidP="00317A18">
      <w:pPr>
        <w:ind w:left="284" w:hanging="284"/>
        <w:rPr>
          <w:rFonts w:cs="Arial"/>
          <w:szCs w:val="22"/>
          <w:lang w:val="en-AU"/>
        </w:rPr>
      </w:pPr>
      <w:r w:rsidRPr="0046394E">
        <w:rPr>
          <w:rFonts w:cs="Arial"/>
          <w:bCs/>
          <w:szCs w:val="22"/>
          <w:lang w:val="en-AU"/>
        </w:rPr>
        <w:t xml:space="preserve">Bowers DG, Braithwaite KM, Nimmo-Smith WAM, Graham GW (2011) </w:t>
      </w:r>
      <w:r w:rsidRPr="0046394E">
        <w:rPr>
          <w:rFonts w:cs="Arial"/>
          <w:szCs w:val="22"/>
          <w:lang w:val="en-AU"/>
        </w:rPr>
        <w:t xml:space="preserve">Optical efficiency of flocs in shelf seas and estuaries. </w:t>
      </w:r>
      <w:r w:rsidRPr="0046394E">
        <w:rPr>
          <w:rFonts w:cs="Arial"/>
          <w:iCs/>
          <w:szCs w:val="22"/>
          <w:lang w:val="en-AU"/>
        </w:rPr>
        <w:t>Estuarine, Coastal and Shelf Science</w:t>
      </w:r>
      <w:r w:rsidRPr="0046394E">
        <w:rPr>
          <w:rFonts w:cs="Arial"/>
          <w:szCs w:val="22"/>
          <w:lang w:val="en-AU"/>
        </w:rPr>
        <w:t xml:space="preserve"> </w:t>
      </w:r>
      <w:r w:rsidRPr="0046394E">
        <w:rPr>
          <w:rFonts w:cs="Arial"/>
          <w:bCs/>
          <w:szCs w:val="22"/>
          <w:lang w:val="en-AU"/>
        </w:rPr>
        <w:t>91:</w:t>
      </w:r>
      <w:r w:rsidRPr="0046394E">
        <w:rPr>
          <w:rFonts w:cs="Arial"/>
          <w:szCs w:val="22"/>
          <w:lang w:val="en-AU"/>
        </w:rPr>
        <w:t xml:space="preserve"> 341-350</w:t>
      </w:r>
      <w:r w:rsidR="00E201D7">
        <w:rPr>
          <w:rFonts w:cs="Arial"/>
          <w:szCs w:val="22"/>
          <w:lang w:val="en-AU"/>
        </w:rPr>
        <w:t>.</w:t>
      </w:r>
    </w:p>
    <w:p w14:paraId="5F22F77D" w14:textId="77777777" w:rsidR="00317A18" w:rsidRPr="0046394E" w:rsidRDefault="00317A18" w:rsidP="00317A18">
      <w:pPr>
        <w:ind w:left="284" w:hanging="284"/>
        <w:rPr>
          <w:rFonts w:cs="Arial"/>
          <w:szCs w:val="22"/>
          <w:lang w:val="en-AU" w:eastAsia="en-AU"/>
        </w:rPr>
      </w:pPr>
      <w:r w:rsidRPr="0046394E">
        <w:rPr>
          <w:rFonts w:cs="Arial"/>
          <w:szCs w:val="22"/>
          <w:lang w:val="en-AU"/>
        </w:rPr>
        <w:t>Brando VE, Blondeau-Patissier D, Schroeder T, Dekker AG, Clementson L (2011</w:t>
      </w:r>
      <w:r w:rsidRPr="0046394E">
        <w:rPr>
          <w:rFonts w:cs="Arial"/>
          <w:iCs/>
          <w:szCs w:val="22"/>
          <w:lang w:val="en-AU"/>
        </w:rPr>
        <w:t xml:space="preserve">) Reef Rescue Marine Monitoring Program:  Assessment of terrestrial run-off entering the Reef and inshore marine water quality monitoring using earth observation data. </w:t>
      </w:r>
      <w:r w:rsidRPr="0046394E">
        <w:rPr>
          <w:rFonts w:cs="Arial"/>
          <w:szCs w:val="22"/>
          <w:lang w:val="en-AU"/>
        </w:rPr>
        <w:t xml:space="preserve">Final Report for 2010/11 Activities. CSIRO, Canberra. </w:t>
      </w:r>
      <w:r w:rsidRPr="0046394E">
        <w:rPr>
          <w:rFonts w:cs="Arial"/>
          <w:szCs w:val="22"/>
          <w:lang w:val="en-AU" w:eastAsia="en-AU"/>
        </w:rPr>
        <w:t>201pp</w:t>
      </w:r>
      <w:r w:rsidR="00E201D7">
        <w:rPr>
          <w:rFonts w:cs="Arial"/>
          <w:szCs w:val="22"/>
          <w:lang w:val="en-AU" w:eastAsia="en-AU"/>
        </w:rPr>
        <w:t>.</w:t>
      </w:r>
    </w:p>
    <w:p w14:paraId="5F22F77E" w14:textId="77777777" w:rsidR="00317A18" w:rsidRPr="0046394E" w:rsidRDefault="00317A18" w:rsidP="00317A18">
      <w:pPr>
        <w:ind w:left="284" w:hanging="284"/>
        <w:rPr>
          <w:rFonts w:cs="Arial"/>
          <w:szCs w:val="22"/>
          <w:lang w:val="en-AU"/>
        </w:rPr>
      </w:pPr>
      <w:r w:rsidRPr="0046394E">
        <w:rPr>
          <w:rFonts w:cs="Arial"/>
          <w:szCs w:val="22"/>
          <w:lang w:val="en-AU"/>
        </w:rPr>
        <w:t>Brando VE, Devlin MJ, Dobbie M, McNeil A, Schaffelke B, Schroeder T (2013). Developing integrated assessment metrics for reporting of water quality in the Great Barrier Reef lagoon. Report to the Reef Rescue Water Quality Research &amp; Development Program. Reef and Rainforest Research Centre Limited, Cairns. 53pp</w:t>
      </w:r>
      <w:r w:rsidR="00E201D7">
        <w:rPr>
          <w:rFonts w:cs="Arial"/>
          <w:szCs w:val="22"/>
          <w:lang w:val="en-AU"/>
        </w:rPr>
        <w:t>.</w:t>
      </w:r>
    </w:p>
    <w:p w14:paraId="5F22F77F" w14:textId="77777777" w:rsidR="00317A18" w:rsidRPr="0046394E" w:rsidRDefault="00317A18" w:rsidP="00317A18">
      <w:pPr>
        <w:ind w:left="284" w:hanging="284"/>
        <w:rPr>
          <w:rFonts w:cs="Arial"/>
          <w:szCs w:val="22"/>
          <w:lang w:val="en-AU"/>
        </w:rPr>
      </w:pPr>
      <w:r w:rsidRPr="0046394E">
        <w:rPr>
          <w:rFonts w:cs="Arial"/>
          <w:szCs w:val="22"/>
          <w:lang w:val="en-AU"/>
        </w:rPr>
        <w:t>Brinkman R, Herzfeld M, Andrewartha J, Rizwi F, Steinberg C, Spagnol S (2011) Hydrodynamics at the whole of GBR scale. AIMS Final Project Report MTSRF Project 2.5i.1, June 2011. Report to Reef and Rainforest Research Centre. Australian Institute of Marine Science, Townsville. 42 pp</w:t>
      </w:r>
      <w:r w:rsidR="00E201D7">
        <w:rPr>
          <w:rFonts w:cs="Arial"/>
          <w:szCs w:val="22"/>
          <w:lang w:val="en-AU"/>
        </w:rPr>
        <w:t>.</w:t>
      </w:r>
    </w:p>
    <w:p w14:paraId="5F22F780" w14:textId="4E35D0D2" w:rsidR="00317A18" w:rsidRPr="0046394E" w:rsidRDefault="00317A18" w:rsidP="00317A18">
      <w:pPr>
        <w:ind w:left="284" w:hanging="284"/>
        <w:rPr>
          <w:rFonts w:cs="Arial"/>
          <w:szCs w:val="22"/>
          <w:lang w:val="en-AU"/>
        </w:rPr>
      </w:pPr>
      <w:r w:rsidRPr="0046394E">
        <w:rPr>
          <w:rFonts w:cs="Arial"/>
          <w:szCs w:val="22"/>
          <w:lang w:val="en-AU"/>
        </w:rPr>
        <w:t>Brinkman R, Tonin H, Furnas M, Schaffelke B, Fabricius K (2014)  Targeted analysis of the linkages between river runoff and risks for crown-of-thorns starfish outbreaks in the Northern GBR Australian Institute of Marine Science. June 2014</w:t>
      </w:r>
      <w:r w:rsidR="00E201D7">
        <w:rPr>
          <w:rFonts w:cs="Arial"/>
          <w:szCs w:val="22"/>
          <w:lang w:val="en-AU"/>
        </w:rPr>
        <w:t>.</w:t>
      </w:r>
    </w:p>
    <w:p w14:paraId="5F22F781" w14:textId="77777777" w:rsidR="00125B86" w:rsidRPr="0046394E" w:rsidRDefault="00125B86" w:rsidP="00317A18">
      <w:pPr>
        <w:ind w:left="284" w:hanging="284"/>
        <w:rPr>
          <w:rFonts w:cs="Arial"/>
          <w:szCs w:val="22"/>
          <w:lang w:val="en-AU"/>
        </w:rPr>
      </w:pPr>
      <w:r w:rsidRPr="0046394E">
        <w:rPr>
          <w:rFonts w:cs="Arial"/>
          <w:szCs w:val="22"/>
          <w:lang w:val="en-AU"/>
        </w:rPr>
        <w:t>Brodie J, Waterhouse J, Maynard J, Bennett J, Furnas M, Devlin M, Lewis S, Collier C, Schaffelke B, Fabricius K, Petus C, da Silva E, Zeh D, Randall L, Brando V, McKenzie L, O’Brien D, Smith R, Warne MSJ, Brinkman R, Tonin H, Bainbridge Z, Bartley R, Negri A, Turner RDR, Davis A, Bentley C, Mueller J, Álvarez-Romero JG, Henry N, Waters D, Yorkston H, Tracey D. (2013). Assessment of the relative risk of water quality to ecosystems of the Great Barrier Reef. A report to the Department of the Environment and Heritage Protection, Queensland Government, Brisbane. TropWATER Report 13/28, Townsville, Australia.</w:t>
      </w:r>
    </w:p>
    <w:p w14:paraId="5F22F782" w14:textId="77777777" w:rsidR="00317A18" w:rsidRPr="0046394E" w:rsidRDefault="00317A18" w:rsidP="00317A18">
      <w:pPr>
        <w:ind w:left="284" w:hanging="284"/>
        <w:rPr>
          <w:rFonts w:cs="Arial"/>
          <w:szCs w:val="22"/>
          <w:lang w:val="en-AU"/>
        </w:rPr>
      </w:pPr>
      <w:r w:rsidRPr="0046394E">
        <w:rPr>
          <w:rFonts w:cs="Arial"/>
          <w:szCs w:val="22"/>
          <w:lang w:val="en-AU"/>
        </w:rPr>
        <w:t>Brodie J, De’ath G, Devlin M, Furnas MJ, Wright M (2007) Spatial and temporal patterns of near-surface chlorophyll a in the Great Barrier Reef lagoon. Marine and Freshwater Research 58: 342-353</w:t>
      </w:r>
      <w:r w:rsidR="00E201D7">
        <w:rPr>
          <w:rFonts w:cs="Arial"/>
          <w:szCs w:val="22"/>
          <w:lang w:val="en-AU"/>
        </w:rPr>
        <w:t>.</w:t>
      </w:r>
    </w:p>
    <w:p w14:paraId="5F22F783" w14:textId="27B0B2C6" w:rsidR="00317A18" w:rsidRPr="0046394E" w:rsidRDefault="00317A18" w:rsidP="00317A18">
      <w:pPr>
        <w:ind w:left="284" w:hanging="284"/>
        <w:rPr>
          <w:rFonts w:cs="Arial"/>
          <w:color w:val="222222"/>
          <w:szCs w:val="22"/>
          <w:lang w:val="en-AU" w:eastAsia="en-AU"/>
        </w:rPr>
      </w:pPr>
      <w:r w:rsidRPr="0046394E">
        <w:rPr>
          <w:rFonts w:cs="Arial"/>
          <w:color w:val="222222"/>
          <w:szCs w:val="22"/>
          <w:lang w:val="en-AU" w:eastAsia="en-AU"/>
        </w:rPr>
        <w:t>Brodie J, Fabricius K, De’ath G, Okaji K</w:t>
      </w:r>
      <w:r w:rsidR="00606AC1">
        <w:rPr>
          <w:rFonts w:cs="Arial"/>
          <w:color w:val="222222"/>
          <w:szCs w:val="22"/>
          <w:lang w:val="en-AU" w:eastAsia="en-AU"/>
        </w:rPr>
        <w:t>,</w:t>
      </w:r>
      <w:r w:rsidRPr="0046394E">
        <w:rPr>
          <w:rFonts w:cs="Arial"/>
          <w:color w:val="222222"/>
          <w:szCs w:val="22"/>
          <w:lang w:val="en-AU" w:eastAsia="en-AU"/>
        </w:rPr>
        <w:t xml:space="preserve"> (2005) Are increased nutrient inputs responsible for more outbreaks of crown-of-thorns starfish? An appraisal of the evidence. </w:t>
      </w:r>
      <w:r w:rsidRPr="0046394E">
        <w:rPr>
          <w:rFonts w:cs="Arial"/>
          <w:iCs/>
          <w:color w:val="222222"/>
          <w:szCs w:val="22"/>
          <w:lang w:val="en-AU" w:eastAsia="en-AU"/>
        </w:rPr>
        <w:t>Marine Pollution Bulletin</w:t>
      </w:r>
      <w:r w:rsidRPr="0046394E">
        <w:rPr>
          <w:rFonts w:cs="Arial"/>
          <w:color w:val="222222"/>
          <w:szCs w:val="22"/>
          <w:lang w:val="en-AU" w:eastAsia="en-AU"/>
        </w:rPr>
        <w:t xml:space="preserve">, </w:t>
      </w:r>
      <w:r w:rsidRPr="0046394E">
        <w:rPr>
          <w:rFonts w:cs="Arial"/>
          <w:iCs/>
          <w:color w:val="222222"/>
          <w:szCs w:val="22"/>
          <w:lang w:val="en-AU" w:eastAsia="en-AU"/>
        </w:rPr>
        <w:t>51</w:t>
      </w:r>
      <w:r w:rsidRPr="0046394E">
        <w:rPr>
          <w:rFonts w:cs="Arial"/>
          <w:color w:val="222222"/>
          <w:szCs w:val="22"/>
          <w:lang w:val="en-AU" w:eastAsia="en-AU"/>
        </w:rPr>
        <w:t>(1), 266-278</w:t>
      </w:r>
      <w:r w:rsidR="00E201D7">
        <w:rPr>
          <w:rFonts w:cs="Arial"/>
          <w:color w:val="222222"/>
          <w:szCs w:val="22"/>
          <w:lang w:val="en-AU" w:eastAsia="en-AU"/>
        </w:rPr>
        <w:t>.</w:t>
      </w:r>
    </w:p>
    <w:p w14:paraId="5F22F784" w14:textId="77777777" w:rsidR="00317A18" w:rsidRPr="0046394E" w:rsidRDefault="00317A18" w:rsidP="00317A18">
      <w:pPr>
        <w:ind w:left="284" w:hanging="284"/>
        <w:rPr>
          <w:rFonts w:cs="Arial"/>
          <w:szCs w:val="22"/>
          <w:lang w:val="en-AU"/>
        </w:rPr>
      </w:pPr>
      <w:r w:rsidRPr="0046394E">
        <w:rPr>
          <w:rFonts w:cs="Arial"/>
          <w:szCs w:val="22"/>
          <w:lang w:val="en-AU"/>
        </w:rPr>
        <w:t>Brodie J, Wolanski E, Lewis S, Bainbridge Z (2012) An assessment of residence times of land-sourced contaminants in the Great Barrier Reef lagoon and the implications for management and reef recovery. Marine Pollution Bulletin 65: 267-279</w:t>
      </w:r>
      <w:r w:rsidR="00E201D7">
        <w:rPr>
          <w:rFonts w:cs="Arial"/>
          <w:szCs w:val="22"/>
          <w:lang w:val="en-AU"/>
        </w:rPr>
        <w:t>.</w:t>
      </w:r>
    </w:p>
    <w:p w14:paraId="5F22F785" w14:textId="77777777" w:rsidR="00317A18" w:rsidRPr="0046394E" w:rsidRDefault="00317A18" w:rsidP="00317A18">
      <w:pPr>
        <w:ind w:left="284" w:hanging="284"/>
        <w:rPr>
          <w:rFonts w:cs="Arial"/>
          <w:szCs w:val="22"/>
          <w:lang w:val="en-AU"/>
        </w:rPr>
      </w:pPr>
      <w:r w:rsidRPr="0046394E">
        <w:rPr>
          <w:rFonts w:cs="Arial"/>
          <w:szCs w:val="22"/>
          <w:lang w:val="en-AU"/>
        </w:rPr>
        <w:t>Brodie JE, McKergow LA, Prosser IP, Furnas MJ, Hughes AO, Hunter H (2003) Sources of sediment and nutrient exports to the Great Barrier Reef World Heritage Area. Australian Centre for Marine and Tropical Freshwater Research Report No. 03/11. James Cook University, Townsville</w:t>
      </w:r>
      <w:r w:rsidR="00E201D7">
        <w:rPr>
          <w:rFonts w:cs="Arial"/>
          <w:szCs w:val="22"/>
          <w:lang w:val="en-AU"/>
        </w:rPr>
        <w:t>.</w:t>
      </w:r>
    </w:p>
    <w:p w14:paraId="5F22F786" w14:textId="77777777" w:rsidR="00317A18" w:rsidRPr="0046394E" w:rsidRDefault="00317A18" w:rsidP="00317A18">
      <w:pPr>
        <w:ind w:left="284" w:hanging="284"/>
        <w:rPr>
          <w:rFonts w:cs="Arial"/>
          <w:szCs w:val="22"/>
          <w:lang w:val="en-AU"/>
        </w:rPr>
      </w:pPr>
      <w:r w:rsidRPr="0046394E">
        <w:rPr>
          <w:rFonts w:cs="Arial"/>
          <w:szCs w:val="22"/>
          <w:lang w:val="en-AU"/>
        </w:rPr>
        <w:t>Carpenter KE, Abrar M, Aeby G, Aronson RB, Banks S, Bruckner A, Chiriboga A, Cortes J, Delbeek JC, DeVantier L, Edgar GJ, Edwards AJ, Fenner D, Guzman HM, Hoeksema BW, Hodgson G, Johan O, Licuanan WY, Livingstone SR, Lovell ER, Moore JA, Obura DO, Ochavillo D, Polidoro BA, Precht WF, Quibilan MC, Reboton C, Richards ZT, Rogers AD, Sanciangco J, Sheppard A, Sheppard C, Smith J, Stuart S, Turak E, Veron JEN, Wallace C, Weil E, Wood E (2008) One-Third of Reef-Building Corals Face Elevated Extinction Risk from Climate Change and Local Impacts. Science 321:560-563</w:t>
      </w:r>
      <w:r w:rsidR="00E201D7">
        <w:rPr>
          <w:rFonts w:cs="Arial"/>
          <w:szCs w:val="22"/>
          <w:lang w:val="en-AU"/>
        </w:rPr>
        <w:t>.</w:t>
      </w:r>
    </w:p>
    <w:p w14:paraId="061C336E" w14:textId="2C46611D" w:rsidR="00C33677" w:rsidRPr="004A5BF7" w:rsidRDefault="00C33677" w:rsidP="004A5BF7">
      <w:pPr>
        <w:ind w:left="284" w:hanging="284"/>
        <w:rPr>
          <w:rFonts w:cs="Arial"/>
          <w:szCs w:val="22"/>
          <w:lang w:val="en-AU"/>
        </w:rPr>
      </w:pPr>
      <w:r w:rsidRPr="004A5BF7">
        <w:rPr>
          <w:rFonts w:cs="Arial"/>
          <w:szCs w:val="22"/>
          <w:lang w:val="en-AU"/>
        </w:rPr>
        <w:t>Castillo ME, Baldwin EM, Casarin RS, Vanegas GP, Juarez MA</w:t>
      </w:r>
      <w:r w:rsidR="00606AC1">
        <w:rPr>
          <w:rFonts w:cs="Arial"/>
          <w:szCs w:val="22"/>
          <w:lang w:val="en-AU"/>
        </w:rPr>
        <w:t>,</w:t>
      </w:r>
      <w:r w:rsidRPr="004A5BF7">
        <w:rPr>
          <w:rFonts w:cs="Arial"/>
          <w:szCs w:val="22"/>
          <w:lang w:val="en-AU"/>
        </w:rPr>
        <w:t xml:space="preserve"> </w:t>
      </w:r>
      <w:r w:rsidR="00606AC1">
        <w:rPr>
          <w:rFonts w:cs="Arial"/>
          <w:szCs w:val="22"/>
          <w:lang w:val="en-AU"/>
        </w:rPr>
        <w:t>(</w:t>
      </w:r>
      <w:r w:rsidRPr="004A5BF7">
        <w:rPr>
          <w:rFonts w:cs="Arial"/>
          <w:szCs w:val="22"/>
          <w:lang w:val="en-AU"/>
        </w:rPr>
        <w:t>2012</w:t>
      </w:r>
      <w:r w:rsidR="00606AC1">
        <w:rPr>
          <w:rFonts w:cs="Arial"/>
          <w:szCs w:val="22"/>
          <w:lang w:val="en-AU"/>
        </w:rPr>
        <w:t>)</w:t>
      </w:r>
      <w:r w:rsidRPr="004A5BF7">
        <w:rPr>
          <w:rFonts w:cs="Arial"/>
          <w:szCs w:val="22"/>
          <w:lang w:val="en-AU"/>
        </w:rPr>
        <w:t>. Characteri</w:t>
      </w:r>
      <w:r>
        <w:rPr>
          <w:rFonts w:cs="Arial"/>
          <w:szCs w:val="22"/>
          <w:lang w:val="en-AU"/>
        </w:rPr>
        <w:t>s</w:t>
      </w:r>
      <w:r w:rsidRPr="004A5BF7">
        <w:rPr>
          <w:rFonts w:cs="Arial"/>
          <w:szCs w:val="22"/>
          <w:lang w:val="en-AU"/>
        </w:rPr>
        <w:t>ation of Risks in Coastal Zones: A Review. Clean – Soil, Air, Water 40 (9), 894–905.</w:t>
      </w:r>
    </w:p>
    <w:p w14:paraId="1F2A6511" w14:textId="77777777" w:rsidR="00471D40" w:rsidRPr="0046394E" w:rsidRDefault="00471D40" w:rsidP="00471D40">
      <w:pPr>
        <w:ind w:left="284" w:hanging="284"/>
        <w:rPr>
          <w:rFonts w:cs="Arial"/>
          <w:iCs/>
          <w:color w:val="000000"/>
          <w:szCs w:val="22"/>
          <w:lang w:val="en-AU"/>
        </w:rPr>
      </w:pPr>
      <w:r w:rsidRPr="0046394E">
        <w:rPr>
          <w:rFonts w:cs="Arial"/>
          <w:color w:val="000000"/>
          <w:szCs w:val="22"/>
          <w:lang w:val="en-AU"/>
        </w:rPr>
        <w:t xml:space="preserve">Church MJ, Ducklow HW, Karl DM (2002) </w:t>
      </w:r>
      <w:r w:rsidRPr="0046394E">
        <w:rPr>
          <w:rFonts w:cs="Arial"/>
          <w:bCs/>
          <w:color w:val="000000"/>
          <w:szCs w:val="22"/>
          <w:lang w:val="en-AU"/>
        </w:rPr>
        <w:t>Multiyear increases in dissolved organic matter inventories a Station ALOHA in the North Pacific Subtropical Gyre</w:t>
      </w:r>
      <w:r w:rsidRPr="0046394E">
        <w:rPr>
          <w:rFonts w:cs="Arial"/>
          <w:color w:val="000000"/>
          <w:szCs w:val="22"/>
          <w:lang w:val="en-AU"/>
        </w:rPr>
        <w:t xml:space="preserve">.  </w:t>
      </w:r>
      <w:r w:rsidRPr="0046394E">
        <w:rPr>
          <w:rFonts w:cs="Arial"/>
          <w:iCs/>
          <w:color w:val="000000"/>
          <w:szCs w:val="22"/>
          <w:lang w:val="en-AU"/>
        </w:rPr>
        <w:t>Limnology and Oceanography 47:1-10</w:t>
      </w:r>
      <w:r>
        <w:rPr>
          <w:rFonts w:cs="Arial"/>
          <w:iCs/>
          <w:color w:val="000000"/>
          <w:szCs w:val="22"/>
          <w:lang w:val="en-AU"/>
        </w:rPr>
        <w:t>.</w:t>
      </w:r>
    </w:p>
    <w:p w14:paraId="5F22F787" w14:textId="77777777" w:rsidR="00E0348F" w:rsidRDefault="00E0348F" w:rsidP="00317A18">
      <w:pPr>
        <w:pStyle w:val="Reportrefs"/>
        <w:spacing w:after="120"/>
        <w:ind w:left="284" w:hanging="284"/>
        <w:rPr>
          <w:rFonts w:cs="Arial"/>
          <w:sz w:val="22"/>
          <w:szCs w:val="22"/>
          <w:lang w:val="en-AU"/>
        </w:rPr>
      </w:pPr>
      <w:r w:rsidRPr="0046394E">
        <w:rPr>
          <w:rFonts w:cs="Arial"/>
          <w:sz w:val="22"/>
          <w:szCs w:val="22"/>
          <w:lang w:val="en-AU"/>
        </w:rPr>
        <w:t>Collier C, Devlin M, Langlois L, Petus C, McKenzie L, Texeira da Silva E, McMahon K Adams M, O’Brien K, Statton J, Waycott M (2014) Thresholds and indicators of declining water quality as tools for tropical seagrass management. Report to the National Environmental Research Program. Reef and Rainforest Research</w:t>
      </w:r>
      <w:r w:rsidR="00E201D7">
        <w:rPr>
          <w:rFonts w:cs="Arial"/>
          <w:sz w:val="22"/>
          <w:szCs w:val="22"/>
          <w:lang w:val="en-AU"/>
        </w:rPr>
        <w:t xml:space="preserve"> Centre Limited, Cairns. 46pp.</w:t>
      </w:r>
    </w:p>
    <w:p w14:paraId="08D863CD" w14:textId="05190D7B" w:rsidR="00D90324" w:rsidRDefault="00471D40" w:rsidP="00317A18">
      <w:pPr>
        <w:pStyle w:val="Reportrefs"/>
        <w:spacing w:after="120"/>
        <w:ind w:left="284" w:hanging="284"/>
        <w:rPr>
          <w:rFonts w:cs="Arial"/>
          <w:sz w:val="22"/>
          <w:szCs w:val="22"/>
          <w:lang w:val="en-AU"/>
        </w:rPr>
      </w:pPr>
      <w:r w:rsidRPr="00211A02">
        <w:rPr>
          <w:rFonts w:cs="Arial"/>
          <w:sz w:val="22"/>
          <w:szCs w:val="22"/>
          <w:lang w:val="en-AU"/>
        </w:rPr>
        <w:t xml:space="preserve">Commonwealth of Australia (2015). Reef 2050 Long-Term Sustainability Plan. </w:t>
      </w:r>
      <w:hyperlink r:id="rId382">
        <w:r w:rsidRPr="00211A02">
          <w:rPr>
            <w:rFonts w:cs="Arial"/>
            <w:sz w:val="22"/>
            <w:szCs w:val="22"/>
            <w:lang w:val="en-AU"/>
          </w:rPr>
          <w:t>http://www.environment.gov.au/marine/gbr/publications/reef-2050-long-term-sustainability-plan</w:t>
        </w:r>
      </w:hyperlink>
      <w:r w:rsidR="00307B2F" w:rsidRPr="00211A02">
        <w:rPr>
          <w:rFonts w:cs="Arial"/>
          <w:sz w:val="22"/>
          <w:szCs w:val="22"/>
          <w:lang w:val="en-AU"/>
        </w:rPr>
        <w:t>.</w:t>
      </w:r>
    </w:p>
    <w:p w14:paraId="5F22F788" w14:textId="707962F2" w:rsidR="00317A18" w:rsidRPr="0046394E" w:rsidRDefault="00317A18" w:rsidP="00317A18">
      <w:pPr>
        <w:pStyle w:val="Reportrefs"/>
        <w:spacing w:after="120"/>
        <w:ind w:left="284" w:hanging="284"/>
        <w:rPr>
          <w:rFonts w:cs="Arial"/>
          <w:sz w:val="22"/>
          <w:szCs w:val="22"/>
          <w:lang w:val="en-AU"/>
        </w:rPr>
      </w:pPr>
      <w:r w:rsidRPr="0046394E">
        <w:rPr>
          <w:rFonts w:cs="Arial"/>
          <w:sz w:val="22"/>
          <w:szCs w:val="22"/>
          <w:lang w:val="en-AU"/>
        </w:rPr>
        <w:t>Cooper TF, Ridd PV, Ulstrup KE, Humphrey C, Slivkoff M, Fabricius KE (2008) Temporal dynamics in coral bioindicators for water quality on coastal coral reefs of the Great Barrier Reef. Marine and Freshwater Research 59:703-716</w:t>
      </w:r>
      <w:r w:rsidR="00E201D7">
        <w:rPr>
          <w:rFonts w:cs="Arial"/>
          <w:sz w:val="22"/>
          <w:szCs w:val="22"/>
          <w:lang w:val="en-AU"/>
        </w:rPr>
        <w:t>.</w:t>
      </w:r>
    </w:p>
    <w:p w14:paraId="5F22F789" w14:textId="77777777" w:rsidR="00E201D7" w:rsidRDefault="00317A18" w:rsidP="00317A18">
      <w:pPr>
        <w:pStyle w:val="Reportrefs"/>
        <w:spacing w:after="120"/>
        <w:ind w:left="284" w:hanging="284"/>
        <w:rPr>
          <w:rFonts w:cs="Arial"/>
          <w:sz w:val="22"/>
          <w:szCs w:val="22"/>
          <w:lang w:val="en-AU" w:eastAsia="en-AU"/>
        </w:rPr>
      </w:pPr>
      <w:r w:rsidRPr="0046394E">
        <w:rPr>
          <w:rFonts w:cs="Arial"/>
          <w:sz w:val="22"/>
          <w:szCs w:val="22"/>
          <w:lang w:val="en-AU" w:eastAsia="en-AU"/>
        </w:rPr>
        <w:t>Cooper TF, Uthicke S, Humphrey C, Fabricius KE (2007) Gradients in water column nutrients, sediment parameters, irradiance and coral reef development in the Whitsunday Region, central Great Barrier Reef. Estuarine, Coastal and Shelf Science 74:458-470</w:t>
      </w:r>
      <w:r w:rsidR="00E201D7">
        <w:rPr>
          <w:rFonts w:cs="Arial"/>
          <w:sz w:val="22"/>
          <w:szCs w:val="22"/>
          <w:lang w:val="en-AU" w:eastAsia="en-AU"/>
        </w:rPr>
        <w:t>.</w:t>
      </w:r>
    </w:p>
    <w:p w14:paraId="5F2E27BA" w14:textId="6252231C" w:rsidR="00B704DA" w:rsidRDefault="00B704DA" w:rsidP="00606AC1">
      <w:pPr>
        <w:pStyle w:val="Reportrefs"/>
        <w:spacing w:after="120"/>
        <w:ind w:left="284" w:hanging="284"/>
        <w:rPr>
          <w:rFonts w:cs="Arial"/>
          <w:sz w:val="22"/>
          <w:szCs w:val="22"/>
          <w:lang w:val="en-AU" w:eastAsia="en-AU"/>
        </w:rPr>
      </w:pPr>
      <w:r w:rsidRPr="00B704DA">
        <w:rPr>
          <w:rFonts w:cs="Arial"/>
          <w:sz w:val="22"/>
          <w:szCs w:val="22"/>
          <w:lang w:val="en-AU" w:eastAsia="en-AU"/>
        </w:rPr>
        <w:t>Crawley MJ (2007) The R Book.. Imperial College London at Silwood Park. UK.</w:t>
      </w:r>
    </w:p>
    <w:p w14:paraId="5F22F78C" w14:textId="08A53567" w:rsidR="00317A18" w:rsidRPr="0046394E" w:rsidRDefault="00317A18" w:rsidP="00317A18">
      <w:pPr>
        <w:ind w:left="284" w:hanging="284"/>
        <w:rPr>
          <w:rFonts w:cs="Arial"/>
          <w:szCs w:val="22"/>
          <w:lang w:val="en-AU"/>
        </w:rPr>
      </w:pPr>
      <w:r w:rsidRPr="0046394E">
        <w:rPr>
          <w:rFonts w:cs="Arial"/>
          <w:szCs w:val="22"/>
          <w:lang w:val="en-AU" w:eastAsia="en-AU"/>
        </w:rPr>
        <w:t>Darnell R, Henderson B, Kroon FJ, Kuhnert P (2012) Statistical power of detecting trends in total suspended sediment loads to the Great Barrier Reef. Marine Pollution Bulletin 65:203-209</w:t>
      </w:r>
      <w:r w:rsidR="00E201D7">
        <w:rPr>
          <w:rFonts w:cs="Arial"/>
          <w:szCs w:val="22"/>
          <w:lang w:val="en-AU" w:eastAsia="en-AU"/>
        </w:rPr>
        <w:t>.</w:t>
      </w:r>
      <w:r w:rsidRPr="0046394E">
        <w:rPr>
          <w:rFonts w:cs="Arial"/>
          <w:szCs w:val="22"/>
          <w:lang w:val="en-AU"/>
        </w:rPr>
        <w:t>De'ath G, Fabricius KE (2008) Water Quality of the Great Barrier Reef: Distributions, Effects on Reef Biota and Trigger Values for the Protection of Ecosystem Health. Research Publication No. 89. Great Barrier Marin</w:t>
      </w:r>
      <w:r w:rsidR="00E201D7">
        <w:rPr>
          <w:rFonts w:cs="Arial"/>
          <w:szCs w:val="22"/>
          <w:lang w:val="en-AU"/>
        </w:rPr>
        <w:t>e Park Authority, Townsville,</w:t>
      </w:r>
      <w:r w:rsidRPr="0046394E">
        <w:rPr>
          <w:rFonts w:cs="Arial"/>
          <w:szCs w:val="22"/>
          <w:lang w:val="en-AU"/>
        </w:rPr>
        <w:t xml:space="preserve"> 104p</w:t>
      </w:r>
      <w:r w:rsidR="00E201D7">
        <w:rPr>
          <w:rFonts w:cs="Arial"/>
          <w:szCs w:val="22"/>
          <w:lang w:val="en-AU"/>
        </w:rPr>
        <w:t>p.</w:t>
      </w:r>
    </w:p>
    <w:p w14:paraId="5F22F78D" w14:textId="77777777" w:rsidR="00317A18" w:rsidRPr="0046394E" w:rsidRDefault="00317A18" w:rsidP="00317A18">
      <w:pPr>
        <w:ind w:left="284" w:hanging="284"/>
        <w:rPr>
          <w:rFonts w:cs="Arial"/>
          <w:szCs w:val="22"/>
          <w:lang w:val="en-AU"/>
        </w:rPr>
      </w:pPr>
      <w:r w:rsidRPr="0046394E">
        <w:rPr>
          <w:rFonts w:cs="Arial"/>
          <w:szCs w:val="22"/>
          <w:lang w:val="en-AU"/>
        </w:rPr>
        <w:t>De'ath G, Fabricius KE (2010) Water quality as a regional driver of coral biodiversity and macroalgae on the Great Barrier Reef. Ecological Applications 20:840–850</w:t>
      </w:r>
      <w:r w:rsidR="00E201D7">
        <w:rPr>
          <w:rFonts w:cs="Arial"/>
          <w:szCs w:val="22"/>
          <w:lang w:val="en-AU"/>
        </w:rPr>
        <w:t>.</w:t>
      </w:r>
    </w:p>
    <w:p w14:paraId="5F22F78E" w14:textId="2D26CA27" w:rsidR="00317A18" w:rsidRPr="0046394E" w:rsidRDefault="00317A18" w:rsidP="00317A18">
      <w:pPr>
        <w:ind w:left="284" w:hanging="284"/>
        <w:rPr>
          <w:rFonts w:cs="Arial"/>
          <w:szCs w:val="22"/>
          <w:lang w:val="en-AU"/>
        </w:rPr>
      </w:pPr>
      <w:r w:rsidRPr="0046394E">
        <w:rPr>
          <w:rFonts w:cs="Arial"/>
          <w:szCs w:val="22"/>
          <w:lang w:val="en-AU"/>
        </w:rPr>
        <w:t xml:space="preserve">Department of Environment and Resource Management (2009) </w:t>
      </w:r>
      <w:r w:rsidRPr="0046394E">
        <w:rPr>
          <w:rFonts w:cs="Arial"/>
          <w:iCs/>
          <w:szCs w:val="22"/>
          <w:lang w:val="en-AU"/>
        </w:rPr>
        <w:t>Queensland Water Quality Guidelines</w:t>
      </w:r>
      <w:r w:rsidRPr="0046394E">
        <w:rPr>
          <w:rFonts w:cs="Arial"/>
          <w:szCs w:val="22"/>
          <w:lang w:val="en-AU"/>
        </w:rPr>
        <w:t xml:space="preserve">, Version 3. 167 p. Available at </w:t>
      </w:r>
      <w:hyperlink r:id="rId383" w:tooltip="Queensland Water Quality Guidelines, Version 3. 167 p." w:history="1">
        <w:r w:rsidRPr="0046394E">
          <w:rPr>
            <w:rStyle w:val="Hyperlink"/>
            <w:rFonts w:cs="Arial"/>
            <w:bCs/>
            <w:color w:val="0070C0"/>
            <w:szCs w:val="22"/>
            <w:lang w:val="en-AU"/>
          </w:rPr>
          <w:t>www.derm.qld.gov.au</w:t>
        </w:r>
      </w:hyperlink>
      <w:r w:rsidRPr="0046394E">
        <w:rPr>
          <w:rFonts w:cs="Arial"/>
          <w:szCs w:val="22"/>
          <w:lang w:val="en-AU"/>
        </w:rPr>
        <w:t>. ISBN 978-0-9806986-0-2</w:t>
      </w:r>
      <w:r w:rsidR="00E201D7">
        <w:rPr>
          <w:rFonts w:cs="Arial"/>
          <w:szCs w:val="22"/>
          <w:lang w:val="en-AU"/>
        </w:rPr>
        <w:t>.</w:t>
      </w:r>
    </w:p>
    <w:p w14:paraId="5F22F78F" w14:textId="77777777" w:rsidR="007622AC" w:rsidRPr="0046394E" w:rsidRDefault="007622AC" w:rsidP="00317A18">
      <w:pPr>
        <w:ind w:left="284" w:hanging="284"/>
        <w:rPr>
          <w:rFonts w:cs="Arial"/>
          <w:szCs w:val="22"/>
          <w:lang w:val="en-AU"/>
        </w:rPr>
      </w:pPr>
      <w:r w:rsidRPr="0046394E">
        <w:rPr>
          <w:rFonts w:cs="Arial"/>
          <w:szCs w:val="22"/>
          <w:lang w:val="en-AU"/>
        </w:rPr>
        <w:t>Devlin M, Lewis S, Davis A, Smith R, Negri A, Thompson M, Poggio M (2015). Advancing our understanding of the source, management, transport and impacts of pesticides on the Great Barrier Reef 2011-2015. A report for the Queensland Department of Environment and Heritage Protection. Tropical Water &amp; Aquatic Ecosystem Research (TropWATER) Publication, James Cook University, Cairns, 134 pp.</w:t>
      </w:r>
    </w:p>
    <w:p w14:paraId="5F22F790" w14:textId="77777777" w:rsidR="00317A18" w:rsidRPr="0046394E" w:rsidRDefault="00317A18" w:rsidP="00317A18">
      <w:pPr>
        <w:ind w:left="284" w:hanging="284"/>
        <w:rPr>
          <w:rFonts w:cs="Arial"/>
          <w:szCs w:val="22"/>
          <w:lang w:val="en-AU"/>
        </w:rPr>
      </w:pPr>
      <w:r w:rsidRPr="0046394E">
        <w:rPr>
          <w:rFonts w:cs="Arial"/>
          <w:szCs w:val="22"/>
          <w:lang w:val="en-AU"/>
        </w:rPr>
        <w:t>Devlin M, McKinna LW, Álvarez-Romero J, Petus C, Abott B, Harkness P, Brodie J (2012) Mapping the pollutants in surface plume waters in the Great Barrier Reef, Australia. M</w:t>
      </w:r>
      <w:r w:rsidR="00E201D7">
        <w:rPr>
          <w:rFonts w:cs="Arial"/>
          <w:szCs w:val="22"/>
          <w:lang w:val="en-AU"/>
        </w:rPr>
        <w:t>arine Pollution Bulletin 65:224-</w:t>
      </w:r>
      <w:r w:rsidRPr="0046394E">
        <w:rPr>
          <w:rFonts w:cs="Arial"/>
          <w:szCs w:val="22"/>
          <w:lang w:val="en-AU"/>
        </w:rPr>
        <w:t>235</w:t>
      </w:r>
      <w:r w:rsidR="00E201D7">
        <w:rPr>
          <w:rFonts w:cs="Arial"/>
          <w:szCs w:val="22"/>
          <w:lang w:val="en-AU"/>
        </w:rPr>
        <w:t>.</w:t>
      </w:r>
    </w:p>
    <w:p w14:paraId="5F22F791" w14:textId="08AE81E5" w:rsidR="008C760D" w:rsidRPr="0046394E" w:rsidRDefault="008C760D" w:rsidP="008C760D">
      <w:pPr>
        <w:ind w:left="284" w:hanging="284"/>
        <w:rPr>
          <w:rFonts w:cs="Arial"/>
          <w:szCs w:val="22"/>
          <w:lang w:val="en-AU"/>
        </w:rPr>
      </w:pPr>
      <w:bookmarkStart w:id="1509" w:name="_ENREF_1"/>
      <w:r w:rsidRPr="0046394E">
        <w:rPr>
          <w:rFonts w:cs="Arial"/>
          <w:szCs w:val="22"/>
          <w:lang w:val="en-AU"/>
        </w:rPr>
        <w:t xml:space="preserve">Devlin MJ, Brodie J, </w:t>
      </w:r>
      <w:r w:rsidR="00D90324">
        <w:rPr>
          <w:rFonts w:cs="Arial"/>
          <w:szCs w:val="22"/>
          <w:lang w:val="en-AU"/>
        </w:rPr>
        <w:t>(</w:t>
      </w:r>
      <w:r w:rsidRPr="0046394E">
        <w:rPr>
          <w:rFonts w:cs="Arial"/>
          <w:szCs w:val="22"/>
          <w:lang w:val="en-AU"/>
        </w:rPr>
        <w:t>2005</w:t>
      </w:r>
      <w:r w:rsidR="00D90324">
        <w:rPr>
          <w:rFonts w:cs="Arial"/>
          <w:szCs w:val="22"/>
          <w:lang w:val="en-AU"/>
        </w:rPr>
        <w:t>)</w:t>
      </w:r>
      <w:r w:rsidRPr="0046394E">
        <w:rPr>
          <w:rFonts w:cs="Arial"/>
          <w:szCs w:val="22"/>
          <w:lang w:val="en-AU"/>
        </w:rPr>
        <w:t xml:space="preserve"> Terrestrial discharge into the Great Barrier Reef Lagoon: nutrient behavior in coastal waters. Marine pollution bulletin 51, 9-22.</w:t>
      </w:r>
      <w:bookmarkEnd w:id="1509"/>
    </w:p>
    <w:p w14:paraId="5F22F792" w14:textId="77777777" w:rsidR="00317A18" w:rsidRPr="0046394E" w:rsidRDefault="00317A18" w:rsidP="00317A18">
      <w:pPr>
        <w:pStyle w:val="Reportrefs"/>
        <w:spacing w:after="120"/>
        <w:ind w:left="284" w:hanging="284"/>
        <w:rPr>
          <w:rFonts w:eastAsia="MS Mincho" w:cs="Arial"/>
          <w:sz w:val="22"/>
          <w:szCs w:val="22"/>
          <w:lang w:val="en-AU" w:eastAsia="ja-JP"/>
        </w:rPr>
      </w:pPr>
      <w:r w:rsidRPr="0046394E">
        <w:rPr>
          <w:rFonts w:eastAsia="MS Mincho" w:cs="Arial"/>
          <w:sz w:val="22"/>
          <w:szCs w:val="22"/>
          <w:lang w:val="en-AU" w:eastAsia="ja-JP"/>
        </w:rPr>
        <w:t>Done TJ (1982) Patterns in the distribution of coral communities across the central Great Barrier Reef. Coral Reefs 1:95-107</w:t>
      </w:r>
      <w:r w:rsidR="00E201D7">
        <w:rPr>
          <w:rFonts w:eastAsia="MS Mincho" w:cs="Arial"/>
          <w:sz w:val="22"/>
          <w:szCs w:val="22"/>
          <w:lang w:val="en-AU" w:eastAsia="ja-JP"/>
        </w:rPr>
        <w:t>.</w:t>
      </w:r>
    </w:p>
    <w:p w14:paraId="5F22F793" w14:textId="77777777" w:rsidR="00317A18" w:rsidRDefault="00317A18" w:rsidP="00317A18">
      <w:pPr>
        <w:autoSpaceDE w:val="0"/>
        <w:autoSpaceDN w:val="0"/>
        <w:adjustRightInd w:val="0"/>
        <w:ind w:left="284" w:hanging="284"/>
        <w:rPr>
          <w:rFonts w:eastAsiaTheme="minorHAnsi" w:cs="Arial"/>
          <w:szCs w:val="22"/>
          <w:lang w:val="en-AU"/>
        </w:rPr>
      </w:pPr>
      <w:r w:rsidRPr="0046394E">
        <w:rPr>
          <w:rFonts w:eastAsiaTheme="minorHAnsi" w:cs="Arial"/>
          <w:szCs w:val="22"/>
          <w:lang w:val="en-AU"/>
        </w:rPr>
        <w:t xml:space="preserve">Fabricius KE (2005) Effects of terrestrial runoff on the ecology of corals and coral reefs: Review and synthesis. </w:t>
      </w:r>
      <w:r w:rsidRPr="0046394E">
        <w:rPr>
          <w:rFonts w:cs="Arial"/>
          <w:color w:val="000000" w:themeColor="text1"/>
          <w:szCs w:val="22"/>
          <w:lang w:val="en-AU"/>
        </w:rPr>
        <w:t xml:space="preserve">Marine Pollution Bulletin </w:t>
      </w:r>
      <w:r w:rsidRPr="0046394E">
        <w:rPr>
          <w:rFonts w:eastAsiaTheme="minorHAnsi" w:cs="Arial"/>
          <w:szCs w:val="22"/>
          <w:lang w:val="en-AU"/>
        </w:rPr>
        <w:t xml:space="preserve">50: 125–146. </w:t>
      </w:r>
    </w:p>
    <w:p w14:paraId="30039FBA" w14:textId="16770497" w:rsidR="000F3684" w:rsidRPr="00211A02" w:rsidRDefault="000F3684" w:rsidP="00211A02">
      <w:pPr>
        <w:autoSpaceDE w:val="0"/>
        <w:autoSpaceDN w:val="0"/>
        <w:adjustRightInd w:val="0"/>
        <w:ind w:left="284" w:hanging="284"/>
        <w:rPr>
          <w:rFonts w:eastAsiaTheme="minorHAnsi" w:cs="Arial"/>
          <w:szCs w:val="22"/>
          <w:lang w:val="en-AU"/>
        </w:rPr>
      </w:pPr>
      <w:r w:rsidRPr="00211A02">
        <w:rPr>
          <w:rFonts w:eastAsiaTheme="minorHAnsi" w:cs="Arial"/>
          <w:szCs w:val="22"/>
          <w:lang w:val="en-AU"/>
        </w:rPr>
        <w:t xml:space="preserve">Fabricius KE, Logan M, Weeks S, Brodie J, (2014) </w:t>
      </w:r>
      <w:bookmarkStart w:id="1510" w:name="OLE_LINK2"/>
      <w:bookmarkStart w:id="1511" w:name="OLE_LINK1"/>
      <w:r w:rsidRPr="00211A02">
        <w:rPr>
          <w:rFonts w:eastAsiaTheme="minorHAnsi" w:cs="Arial"/>
          <w:szCs w:val="22"/>
          <w:lang w:val="en-AU"/>
        </w:rPr>
        <w:t>The effects of river run-off on water clarity across the central Great Barrier Reef</w:t>
      </w:r>
      <w:bookmarkEnd w:id="1510"/>
      <w:bookmarkEnd w:id="1511"/>
      <w:r w:rsidRPr="00211A02">
        <w:rPr>
          <w:rFonts w:eastAsiaTheme="minorHAnsi" w:cs="Arial"/>
          <w:szCs w:val="22"/>
          <w:lang w:val="en-AU"/>
        </w:rPr>
        <w:t>. Marine Pollution Bulletin 84, 191-200.</w:t>
      </w:r>
    </w:p>
    <w:p w14:paraId="5F22F794" w14:textId="77777777" w:rsidR="00317A18" w:rsidRPr="0046394E" w:rsidRDefault="00317A18" w:rsidP="00317A18">
      <w:pPr>
        <w:pStyle w:val="Reportrefs"/>
        <w:spacing w:after="120"/>
        <w:ind w:left="284" w:hanging="284"/>
        <w:rPr>
          <w:rFonts w:eastAsia="MS Mincho" w:cs="Arial"/>
          <w:color w:val="000000" w:themeColor="text1"/>
          <w:sz w:val="22"/>
          <w:szCs w:val="22"/>
          <w:lang w:val="en-AU"/>
        </w:rPr>
      </w:pPr>
      <w:r w:rsidRPr="0046394E">
        <w:rPr>
          <w:rFonts w:eastAsia="MS Mincho" w:cs="Arial"/>
          <w:color w:val="000000" w:themeColor="text1"/>
          <w:sz w:val="22"/>
          <w:szCs w:val="22"/>
          <w:lang w:val="en-AU" w:eastAsia="ja-JP"/>
        </w:rPr>
        <w:t xml:space="preserve">Falkowski PG, Jokiel PL, Kinzie RA (1990) Irradiance and corals. </w:t>
      </w:r>
      <w:r w:rsidRPr="0046394E">
        <w:rPr>
          <w:rFonts w:eastAsia="MS Mincho" w:cs="Arial"/>
          <w:color w:val="000000" w:themeColor="text1"/>
          <w:sz w:val="22"/>
          <w:szCs w:val="22"/>
          <w:lang w:val="en-AU"/>
        </w:rPr>
        <w:t>In Dubinsky Z (ed) Ecosystems of the world 25: Coral Reefs. Elsevier, New York, pp 89-107</w:t>
      </w:r>
      <w:r w:rsidR="00E201D7">
        <w:rPr>
          <w:rFonts w:eastAsia="MS Mincho" w:cs="Arial"/>
          <w:color w:val="000000" w:themeColor="text1"/>
          <w:sz w:val="22"/>
          <w:szCs w:val="22"/>
          <w:lang w:val="en-AU"/>
        </w:rPr>
        <w:t>.</w:t>
      </w:r>
    </w:p>
    <w:p w14:paraId="5F22F795" w14:textId="77777777" w:rsidR="00317A18" w:rsidRPr="0046394E" w:rsidRDefault="00317A18" w:rsidP="00317A18">
      <w:pPr>
        <w:ind w:left="284" w:hanging="284"/>
        <w:rPr>
          <w:rFonts w:cs="Arial"/>
          <w:color w:val="000000" w:themeColor="text1"/>
          <w:szCs w:val="22"/>
          <w:lang w:val="en-AU"/>
        </w:rPr>
      </w:pPr>
      <w:r w:rsidRPr="0046394E">
        <w:rPr>
          <w:rFonts w:cs="Arial"/>
          <w:color w:val="000000" w:themeColor="text1"/>
          <w:szCs w:val="22"/>
          <w:lang w:val="en-AU"/>
        </w:rPr>
        <w:t>Furnas M, Alongi D, McKinnon AD, Trott L, Skuza M (2011) Regional-scale nitrogen and phosphorus budgets for the northern (14ºS) and central (17ºS) Great Barrier Reef shelf ecosystem. Continental Shelf Research 31:1967-1990</w:t>
      </w:r>
      <w:r w:rsidR="00E201D7">
        <w:rPr>
          <w:rFonts w:cs="Arial"/>
          <w:color w:val="000000" w:themeColor="text1"/>
          <w:szCs w:val="22"/>
          <w:lang w:val="en-AU"/>
        </w:rPr>
        <w:t>.</w:t>
      </w:r>
    </w:p>
    <w:p w14:paraId="5F22F796" w14:textId="77777777" w:rsidR="00317A18" w:rsidRPr="0046394E" w:rsidRDefault="00317A18" w:rsidP="00317A18">
      <w:pPr>
        <w:pStyle w:val="Reportrefs"/>
        <w:spacing w:after="120"/>
        <w:ind w:left="284" w:hanging="284"/>
        <w:rPr>
          <w:rFonts w:eastAsia="MS Mincho" w:cs="Arial"/>
          <w:color w:val="000000" w:themeColor="text1"/>
          <w:sz w:val="22"/>
          <w:szCs w:val="22"/>
          <w:lang w:val="en-AU" w:eastAsia="ja-JP"/>
        </w:rPr>
      </w:pPr>
      <w:r w:rsidRPr="0046394E">
        <w:rPr>
          <w:rFonts w:eastAsia="MS Mincho" w:cs="Arial"/>
          <w:color w:val="000000" w:themeColor="text1"/>
          <w:sz w:val="22"/>
          <w:szCs w:val="22"/>
          <w:lang w:val="en-AU" w:eastAsia="ja-JP"/>
        </w:rPr>
        <w:t>Furnas M</w:t>
      </w:r>
      <w:r w:rsidRPr="0046394E">
        <w:rPr>
          <w:rFonts w:cs="Arial"/>
          <w:color w:val="000000" w:themeColor="text1"/>
          <w:sz w:val="22"/>
          <w:szCs w:val="22"/>
          <w:lang w:val="en-AU"/>
        </w:rPr>
        <w:t xml:space="preserve">, Brinkman R, Fabricius K, Tonin H, Schaffelke B (2013) Linkages between river runoff, phytoplankton blooms and primary outbreaks of crown-of-thorns seastars in the Northern GBR. Chapter 3 in Waterhouse </w:t>
      </w:r>
      <w:r w:rsidRPr="0046394E">
        <w:rPr>
          <w:rFonts w:cs="Arial"/>
          <w:i/>
          <w:color w:val="000000" w:themeColor="text1"/>
          <w:sz w:val="22"/>
          <w:szCs w:val="22"/>
          <w:lang w:val="en-AU"/>
        </w:rPr>
        <w:t>et al.</w:t>
      </w:r>
      <w:r w:rsidRPr="0046394E">
        <w:rPr>
          <w:rFonts w:cs="Arial"/>
          <w:color w:val="000000" w:themeColor="text1"/>
          <w:sz w:val="22"/>
          <w:szCs w:val="22"/>
          <w:lang w:val="en-AU"/>
        </w:rPr>
        <w:t xml:space="preserve"> </w:t>
      </w:r>
      <w:r w:rsidRPr="0046394E">
        <w:rPr>
          <w:rFonts w:cs="Arial"/>
          <w:i/>
          <w:iCs/>
          <w:color w:val="000000" w:themeColor="text1"/>
          <w:sz w:val="22"/>
          <w:szCs w:val="22"/>
          <w:lang w:val="en-AU"/>
        </w:rPr>
        <w:t>Assessment of the relative risk of water quality to ecosystems of the Great Barrier Reef</w:t>
      </w:r>
      <w:r w:rsidRPr="0046394E">
        <w:rPr>
          <w:rFonts w:cs="Arial"/>
          <w:color w:val="000000" w:themeColor="text1"/>
          <w:sz w:val="22"/>
          <w:szCs w:val="22"/>
          <w:lang w:val="en-AU"/>
        </w:rPr>
        <w:t>. Department of the Environment and Heritage Protection, Queensland Government, Brisbane</w:t>
      </w:r>
      <w:r w:rsidR="00E201D7">
        <w:rPr>
          <w:rFonts w:cs="Arial"/>
          <w:color w:val="000000" w:themeColor="text1"/>
          <w:sz w:val="22"/>
          <w:szCs w:val="22"/>
          <w:lang w:val="en-AU"/>
        </w:rPr>
        <w:t>.</w:t>
      </w:r>
    </w:p>
    <w:p w14:paraId="5F22F797" w14:textId="77777777" w:rsidR="00317A18" w:rsidRPr="0046394E" w:rsidRDefault="00317A18" w:rsidP="00317A18">
      <w:pPr>
        <w:ind w:left="284" w:hanging="284"/>
        <w:rPr>
          <w:rFonts w:cs="Arial"/>
          <w:color w:val="000000" w:themeColor="text1"/>
          <w:szCs w:val="22"/>
          <w:lang w:val="en-AU"/>
        </w:rPr>
      </w:pPr>
      <w:r w:rsidRPr="0046394E">
        <w:rPr>
          <w:rFonts w:cs="Arial"/>
          <w:color w:val="000000" w:themeColor="text1"/>
          <w:szCs w:val="22"/>
          <w:lang w:val="en-AU"/>
        </w:rPr>
        <w:t>Furnas MJ, Mitchell AW, Skuza M (1995) Nitrogen and Phosphorus Budgets for the Central Great Barrier Reef Shelf. Research Publication No. 36. Great Barrier Reef Marine Park Authority, Townsville.</w:t>
      </w:r>
    </w:p>
    <w:p w14:paraId="5F22F798" w14:textId="77777777" w:rsidR="00317A18" w:rsidRPr="0046394E" w:rsidRDefault="00317A18" w:rsidP="00317A18">
      <w:pPr>
        <w:ind w:left="284" w:hanging="284"/>
        <w:rPr>
          <w:rFonts w:cs="Arial"/>
          <w:color w:val="000000" w:themeColor="text1"/>
          <w:szCs w:val="22"/>
          <w:lang w:val="en-AU"/>
        </w:rPr>
      </w:pPr>
      <w:r w:rsidRPr="0046394E">
        <w:rPr>
          <w:rFonts w:cs="Arial"/>
          <w:color w:val="000000" w:themeColor="text1"/>
          <w:szCs w:val="22"/>
          <w:lang w:val="en-AU"/>
        </w:rPr>
        <w:t xml:space="preserve">Furnas MJ, Mitchell AW, Skuza M, Brodie J (2005) In the other 90%: Phytoplankton responses to enhanced nutrient availability in the Great Barrier Reef lagoon. Marine Pollution Bulletin 51: 253-256 </w:t>
      </w:r>
      <w:r w:rsidR="00E201D7">
        <w:rPr>
          <w:rFonts w:cs="Arial"/>
          <w:color w:val="000000" w:themeColor="text1"/>
          <w:szCs w:val="22"/>
          <w:lang w:val="en-AU"/>
        </w:rPr>
        <w:t>.</w:t>
      </w:r>
      <w:r w:rsidRPr="0046394E">
        <w:rPr>
          <w:rFonts w:cs="Arial"/>
          <w:color w:val="000000" w:themeColor="text1"/>
          <w:szCs w:val="22"/>
          <w:lang w:val="en-AU"/>
        </w:rPr>
        <w:t xml:space="preserve"> </w:t>
      </w:r>
    </w:p>
    <w:p w14:paraId="5F22F799" w14:textId="77777777" w:rsidR="00317A18" w:rsidRPr="0046394E" w:rsidRDefault="00317A18" w:rsidP="00317A18">
      <w:pPr>
        <w:ind w:left="284" w:hanging="284"/>
        <w:rPr>
          <w:rFonts w:cs="Arial"/>
          <w:szCs w:val="22"/>
          <w:lang w:val="en-AU"/>
        </w:rPr>
      </w:pPr>
      <w:r w:rsidRPr="0046394E">
        <w:rPr>
          <w:rFonts w:cs="Arial"/>
          <w:szCs w:val="22"/>
          <w:lang w:val="en-AU"/>
        </w:rPr>
        <w:t>Gallen C, Devlin M, Thompson K, Paxman C, Mueller J (2015) Pesticide monitoring in inshore waters of the Great Barrier Reef using both time-integrated and event monitoring techniques (2014-2015). The University of Queensland, The National Research Centre for Environmental Toxicology (Entox).</w:t>
      </w:r>
    </w:p>
    <w:p w14:paraId="5F22F79A" w14:textId="77777777" w:rsidR="00E0348F" w:rsidRDefault="00E0348F" w:rsidP="00317A18">
      <w:pPr>
        <w:ind w:left="284" w:hanging="284"/>
        <w:rPr>
          <w:rFonts w:cs="Arial"/>
          <w:color w:val="000000" w:themeColor="text1"/>
          <w:szCs w:val="22"/>
          <w:lang w:val="en-AU"/>
        </w:rPr>
      </w:pPr>
      <w:r w:rsidRPr="0046394E">
        <w:rPr>
          <w:rFonts w:cs="Arial"/>
          <w:color w:val="000000" w:themeColor="text1"/>
          <w:szCs w:val="22"/>
          <w:lang w:val="en-AU"/>
        </w:rPr>
        <w:t>Ganthy F, Sottolichio A, Verney R (2013). Seasonal modification of tidal flat sediment dynamics by seagrass meadows of Zostera noltii (Bassin d’Arcachon, France). Journal of Marine Systems. 109-110.</w:t>
      </w:r>
    </w:p>
    <w:p w14:paraId="73D1AA3C" w14:textId="7142641E" w:rsidR="008E47A7" w:rsidRPr="008B403A" w:rsidRDefault="008E47A7" w:rsidP="008B403A">
      <w:pPr>
        <w:ind w:left="284" w:hanging="284"/>
        <w:rPr>
          <w:rFonts w:cs="Arial"/>
          <w:color w:val="000000" w:themeColor="text1"/>
          <w:szCs w:val="22"/>
          <w:lang w:val="en-AU"/>
        </w:rPr>
      </w:pPr>
      <w:r w:rsidRPr="008B403A">
        <w:rPr>
          <w:rFonts w:cs="Arial"/>
          <w:color w:val="000000" w:themeColor="text1"/>
          <w:szCs w:val="22"/>
          <w:lang w:val="en-AU"/>
        </w:rPr>
        <w:t xml:space="preserve">Garzon-Garcia A, Wallace R, Huggins R, Turner RDR, Smith RA, Orr D, Ferguson B, Gardiner R, Thomson B, Warne MStJ </w:t>
      </w:r>
      <w:r w:rsidR="008B403A">
        <w:rPr>
          <w:rFonts w:cs="Arial"/>
          <w:color w:val="000000" w:themeColor="text1"/>
          <w:szCs w:val="22"/>
          <w:lang w:val="en-AU"/>
        </w:rPr>
        <w:t>(</w:t>
      </w:r>
      <w:r w:rsidRPr="008B403A">
        <w:rPr>
          <w:rFonts w:cs="Arial"/>
          <w:color w:val="000000" w:themeColor="text1"/>
          <w:szCs w:val="22"/>
          <w:lang w:val="en-AU"/>
        </w:rPr>
        <w:t>2015</w:t>
      </w:r>
      <w:r w:rsidR="008B403A">
        <w:rPr>
          <w:rFonts w:cs="Arial"/>
          <w:color w:val="000000" w:themeColor="text1"/>
          <w:szCs w:val="22"/>
          <w:lang w:val="en-AU"/>
        </w:rPr>
        <w:t xml:space="preserve">) </w:t>
      </w:r>
      <w:r w:rsidRPr="008B403A">
        <w:rPr>
          <w:rFonts w:cs="Arial"/>
          <w:color w:val="000000" w:themeColor="text1"/>
          <w:szCs w:val="22"/>
          <w:lang w:val="en-AU"/>
        </w:rPr>
        <w:t>Total suspended solids, nutrient and pesticide loads (2013–2014) for rivers that discharge to the Great Barrier Reef – Great Barrier Reef Catchment Loads Monitoring Program. Department of Science, Information Technology and Innovation. Brisbane.</w:t>
      </w:r>
    </w:p>
    <w:p w14:paraId="5F22F79B" w14:textId="77777777" w:rsidR="00317A18" w:rsidRPr="0046394E" w:rsidRDefault="00317A18" w:rsidP="00317A18">
      <w:pPr>
        <w:ind w:left="284" w:hanging="284"/>
        <w:rPr>
          <w:rFonts w:cs="Arial"/>
          <w:color w:val="000000" w:themeColor="text1"/>
          <w:szCs w:val="22"/>
          <w:lang w:val="en-AU"/>
        </w:rPr>
      </w:pPr>
      <w:r w:rsidRPr="0046394E">
        <w:rPr>
          <w:rFonts w:cs="Arial"/>
          <w:color w:val="000000" w:themeColor="text1"/>
          <w:szCs w:val="22"/>
          <w:lang w:val="en-AU"/>
        </w:rPr>
        <w:t>Great Barrier Reef Marine Park Authority (2010) Water Quality Guidelines for the Great Barrier Reef Marine Park. Revised Edition 2010. Great Barrier Reef Marine Park Authority, Townsville. 100p</w:t>
      </w:r>
      <w:r w:rsidR="00E201D7">
        <w:rPr>
          <w:rFonts w:cs="Arial"/>
          <w:color w:val="000000" w:themeColor="text1"/>
          <w:szCs w:val="22"/>
          <w:lang w:val="en-AU"/>
        </w:rPr>
        <w:t>p.</w:t>
      </w:r>
    </w:p>
    <w:p w14:paraId="5F22F79C" w14:textId="77777777" w:rsidR="00317A18" w:rsidRPr="0046394E" w:rsidRDefault="00317A18" w:rsidP="00317A18">
      <w:pPr>
        <w:ind w:left="284" w:hanging="284"/>
        <w:rPr>
          <w:rFonts w:cs="Arial"/>
          <w:color w:val="000000" w:themeColor="text1"/>
          <w:szCs w:val="22"/>
          <w:lang w:val="en-AU"/>
        </w:rPr>
      </w:pPr>
      <w:r w:rsidRPr="0046394E">
        <w:rPr>
          <w:rFonts w:cs="Arial"/>
          <w:color w:val="000000" w:themeColor="text1"/>
          <w:szCs w:val="22"/>
          <w:lang w:val="en-AU"/>
        </w:rPr>
        <w:t xml:space="preserve">Great Barrier Reef Marine Park Authority (2012) Informing the outlook for </w:t>
      </w:r>
      <w:r w:rsidRPr="0046394E">
        <w:rPr>
          <w:rFonts w:cs="Arial"/>
          <w:color w:val="000000" w:themeColor="text1"/>
          <w:szCs w:val="22"/>
          <w:lang w:val="en-AU" w:bidi="en-US"/>
        </w:rPr>
        <w:t>Great Barrier Reef coastal ecosystems.</w:t>
      </w:r>
      <w:r w:rsidRPr="0046394E">
        <w:rPr>
          <w:rFonts w:cs="Arial"/>
          <w:color w:val="000000" w:themeColor="text1"/>
          <w:szCs w:val="22"/>
          <w:lang w:val="en-AU"/>
        </w:rPr>
        <w:t xml:space="preserve"> Great Barrier Reef Marine Park Authority, Townsville</w:t>
      </w:r>
      <w:r w:rsidR="00E201D7">
        <w:rPr>
          <w:rFonts w:cs="Arial"/>
          <w:color w:val="000000" w:themeColor="text1"/>
          <w:szCs w:val="22"/>
          <w:lang w:val="en-AU"/>
        </w:rPr>
        <w:t>.</w:t>
      </w:r>
    </w:p>
    <w:p w14:paraId="5F22F79D" w14:textId="77777777" w:rsidR="00317A18" w:rsidRPr="0046394E" w:rsidRDefault="00317A18" w:rsidP="00317A18">
      <w:pPr>
        <w:ind w:left="284" w:hanging="284"/>
        <w:rPr>
          <w:rFonts w:cs="Arial"/>
          <w:color w:val="000000" w:themeColor="text1"/>
          <w:szCs w:val="22"/>
          <w:lang w:val="en-AU"/>
        </w:rPr>
      </w:pPr>
      <w:r w:rsidRPr="0046394E">
        <w:rPr>
          <w:rFonts w:cs="Arial"/>
          <w:color w:val="000000" w:themeColor="text1"/>
          <w:szCs w:val="22"/>
          <w:lang w:val="en-AU"/>
        </w:rPr>
        <w:t xml:space="preserve">Great Barrier Reef Marine Park Authority (2014a) </w:t>
      </w:r>
      <w:r w:rsidRPr="0046394E">
        <w:rPr>
          <w:rFonts w:cs="Arial"/>
          <w:color w:val="000000" w:themeColor="text1"/>
          <w:szCs w:val="22"/>
          <w:lang w:val="en-AU" w:bidi="en-US"/>
        </w:rPr>
        <w:t>Great Barrier Reef Region</w:t>
      </w:r>
      <w:r w:rsidRPr="0046394E">
        <w:rPr>
          <w:rFonts w:cs="Arial"/>
          <w:color w:val="000000" w:themeColor="text1"/>
          <w:szCs w:val="22"/>
          <w:lang w:val="en-AU"/>
        </w:rPr>
        <w:t xml:space="preserve"> </w:t>
      </w:r>
      <w:r w:rsidRPr="0046394E">
        <w:rPr>
          <w:rFonts w:cs="Arial"/>
          <w:color w:val="000000" w:themeColor="text1"/>
          <w:szCs w:val="22"/>
          <w:lang w:val="en-AU" w:bidi="en-US"/>
        </w:rPr>
        <w:t>Strategic Assessment</w:t>
      </w:r>
      <w:r w:rsidRPr="0046394E">
        <w:rPr>
          <w:rFonts w:cs="Arial"/>
          <w:color w:val="000000" w:themeColor="text1"/>
          <w:szCs w:val="22"/>
          <w:lang w:val="en-AU"/>
        </w:rPr>
        <w:t>. Great Barrier Reef Marine Park Authority, Townsville</w:t>
      </w:r>
    </w:p>
    <w:p w14:paraId="5F22F79E" w14:textId="77777777" w:rsidR="00317A18" w:rsidRPr="0046394E" w:rsidRDefault="00317A18" w:rsidP="00317A18">
      <w:pPr>
        <w:pStyle w:val="Reportrefs"/>
        <w:spacing w:after="120"/>
        <w:ind w:left="284" w:hanging="284"/>
        <w:rPr>
          <w:rFonts w:cs="Arial"/>
          <w:color w:val="000000" w:themeColor="text1"/>
          <w:sz w:val="22"/>
          <w:szCs w:val="22"/>
          <w:lang w:val="en-AU" w:eastAsia="en-AU"/>
        </w:rPr>
      </w:pPr>
      <w:r w:rsidRPr="0046394E">
        <w:rPr>
          <w:rFonts w:cs="Arial"/>
          <w:sz w:val="22"/>
          <w:szCs w:val="22"/>
          <w:lang w:val="en-AU" w:eastAsia="en-AU"/>
        </w:rPr>
        <w:t xml:space="preserve">Great Barrier Reef Marine Park Authority (2014b) </w:t>
      </w:r>
      <w:r w:rsidRPr="0046394E">
        <w:rPr>
          <w:rFonts w:cs="Arial"/>
          <w:iCs/>
          <w:sz w:val="22"/>
          <w:szCs w:val="22"/>
          <w:lang w:val="en-AU" w:eastAsia="en-AU"/>
        </w:rPr>
        <w:t>Great Barrier Reef Outlook Report 2014</w:t>
      </w:r>
      <w:r w:rsidRPr="0046394E">
        <w:rPr>
          <w:rFonts w:cs="Arial"/>
          <w:sz w:val="22"/>
          <w:szCs w:val="22"/>
          <w:lang w:val="en-AU" w:eastAsia="en-AU"/>
        </w:rPr>
        <w:t xml:space="preserve">, </w:t>
      </w:r>
      <w:r w:rsidRPr="0046394E">
        <w:rPr>
          <w:rFonts w:cs="Arial"/>
          <w:color w:val="000000" w:themeColor="text1"/>
          <w:sz w:val="22"/>
          <w:szCs w:val="22"/>
          <w:lang w:val="en-AU"/>
        </w:rPr>
        <w:t>Great Barrier Reef Marine Park Authority</w:t>
      </w:r>
      <w:r w:rsidRPr="0046394E">
        <w:rPr>
          <w:rFonts w:cs="Arial"/>
          <w:sz w:val="22"/>
          <w:szCs w:val="22"/>
          <w:lang w:val="en-AU" w:eastAsia="en-AU"/>
        </w:rPr>
        <w:t>, Townsville.</w:t>
      </w:r>
    </w:p>
    <w:p w14:paraId="5F22F79F" w14:textId="77777777" w:rsidR="00317A18" w:rsidRPr="0046394E" w:rsidRDefault="00317A18" w:rsidP="00317A18">
      <w:pPr>
        <w:pStyle w:val="Reportrefs"/>
        <w:spacing w:after="120"/>
        <w:ind w:left="284" w:hanging="284"/>
        <w:rPr>
          <w:rFonts w:cs="Arial"/>
          <w:color w:val="000000" w:themeColor="text1"/>
          <w:sz w:val="22"/>
          <w:szCs w:val="22"/>
          <w:lang w:val="en-AU"/>
        </w:rPr>
      </w:pPr>
      <w:r w:rsidRPr="0046394E">
        <w:rPr>
          <w:rFonts w:cs="Arial"/>
          <w:color w:val="000000" w:themeColor="text1"/>
          <w:sz w:val="22"/>
          <w:szCs w:val="22"/>
          <w:lang w:val="en-AU"/>
        </w:rPr>
        <w:t>Great Barrier Reef Marine Park Authority (2015) Reef Rescue Marine Monitoring Program quality assurance and quality control manual. Great Barrier Reef Marine Park Authority, Townsville.</w:t>
      </w:r>
    </w:p>
    <w:p w14:paraId="5F22F7A0" w14:textId="77777777" w:rsidR="007622AC" w:rsidRPr="0046394E" w:rsidRDefault="007622AC" w:rsidP="00317A18">
      <w:pPr>
        <w:ind w:left="284" w:hanging="284"/>
        <w:rPr>
          <w:rFonts w:cs="Arial"/>
          <w:noProof/>
          <w:szCs w:val="22"/>
          <w:lang w:val="en-AU"/>
        </w:rPr>
      </w:pPr>
      <w:r w:rsidRPr="0046394E">
        <w:rPr>
          <w:rFonts w:cs="Arial"/>
          <w:noProof/>
          <w:szCs w:val="22"/>
          <w:lang w:val="en-AU"/>
        </w:rPr>
        <w:t>Haynes D, Muller J, Carter S (2000</w:t>
      </w:r>
      <w:r w:rsidR="00E0348F" w:rsidRPr="0046394E">
        <w:rPr>
          <w:rFonts w:cs="Arial"/>
          <w:noProof/>
          <w:szCs w:val="22"/>
          <w:lang w:val="en-AU"/>
        </w:rPr>
        <w:t>a</w:t>
      </w:r>
      <w:r w:rsidRPr="0046394E">
        <w:rPr>
          <w:rFonts w:cs="Arial"/>
          <w:noProof/>
          <w:szCs w:val="22"/>
          <w:lang w:val="en-AU"/>
        </w:rPr>
        <w:t>). Pesticide and herbicide residues in sediments and seagrasses from the Great Barrier Reef World Heritage Area and Queensland coast. Marine Pollution Bulletin 41, 279-281.</w:t>
      </w:r>
    </w:p>
    <w:p w14:paraId="5F22F7A1" w14:textId="77777777" w:rsidR="00E0348F" w:rsidRPr="0046394E" w:rsidRDefault="00E0348F" w:rsidP="00317A18">
      <w:pPr>
        <w:ind w:left="284" w:hanging="284"/>
        <w:rPr>
          <w:rFonts w:cs="Arial"/>
          <w:color w:val="000000" w:themeColor="text1"/>
          <w:szCs w:val="22"/>
          <w:lang w:val="en-AU"/>
        </w:rPr>
      </w:pPr>
      <w:r w:rsidRPr="0046394E">
        <w:rPr>
          <w:rFonts w:cs="Arial"/>
          <w:noProof/>
          <w:szCs w:val="22"/>
          <w:lang w:val="en-AU"/>
        </w:rPr>
        <w:t>Haynes D, Ralph P, Prange J, Dennison B (2000b). The Impact of the Herbicide Diuron on Photosynthesis in Three Species of Tropical Seagrass. Marine Pollution Bulletin 41, 288-293.</w:t>
      </w:r>
    </w:p>
    <w:p w14:paraId="554AA4CD" w14:textId="29B9F47A" w:rsidR="00A12714" w:rsidRPr="00502A2F" w:rsidRDefault="00A12714" w:rsidP="004A5BF7">
      <w:pPr>
        <w:ind w:left="284" w:hanging="284"/>
        <w:rPr>
          <w:rFonts w:cs="Arial"/>
          <w:szCs w:val="22"/>
        </w:rPr>
      </w:pPr>
      <w:r w:rsidRPr="00502A2F">
        <w:rPr>
          <w:rFonts w:cs="Arial"/>
          <w:szCs w:val="22"/>
        </w:rPr>
        <w:t>Henson</w:t>
      </w:r>
      <w:r>
        <w:rPr>
          <w:rFonts w:cs="Arial"/>
          <w:szCs w:val="22"/>
        </w:rPr>
        <w:t xml:space="preserve"> </w:t>
      </w:r>
      <w:r w:rsidRPr="00502A2F">
        <w:rPr>
          <w:rFonts w:cs="Arial"/>
          <w:szCs w:val="22"/>
        </w:rPr>
        <w:t>S, Beaulieu</w:t>
      </w:r>
      <w:r w:rsidRPr="00A12714">
        <w:rPr>
          <w:rFonts w:cs="Arial"/>
          <w:szCs w:val="22"/>
        </w:rPr>
        <w:t xml:space="preserve"> </w:t>
      </w:r>
      <w:r w:rsidRPr="00502A2F">
        <w:rPr>
          <w:rFonts w:cs="Arial"/>
          <w:szCs w:val="22"/>
        </w:rPr>
        <w:t xml:space="preserve">C, Lampitt </w:t>
      </w:r>
      <w:r>
        <w:rPr>
          <w:rFonts w:cs="Arial"/>
          <w:szCs w:val="22"/>
        </w:rPr>
        <w:t>R</w:t>
      </w:r>
      <w:r w:rsidRPr="00502A2F">
        <w:rPr>
          <w:rFonts w:cs="Arial"/>
          <w:szCs w:val="22"/>
        </w:rPr>
        <w:t xml:space="preserve"> (2016) Global Change Biology 22, 1561–1571. </w:t>
      </w:r>
    </w:p>
    <w:p w14:paraId="5F22F7A2" w14:textId="77777777" w:rsidR="00317A18" w:rsidRPr="0046394E" w:rsidRDefault="00317A18" w:rsidP="00317A18">
      <w:pPr>
        <w:ind w:left="284" w:hanging="284"/>
        <w:rPr>
          <w:rFonts w:cs="Arial"/>
          <w:color w:val="000000" w:themeColor="text1"/>
          <w:szCs w:val="22"/>
          <w:lang w:val="en-AU"/>
        </w:rPr>
      </w:pPr>
      <w:r w:rsidRPr="0046394E">
        <w:rPr>
          <w:rFonts w:cs="Arial"/>
          <w:color w:val="000000" w:themeColor="text1"/>
          <w:szCs w:val="22"/>
          <w:lang w:val="en-AU"/>
        </w:rPr>
        <w:t>Holmes RM, Aminot A, Kérouel R, Hooker BA, Peterson BJ (1999) A simple and precise method for measuring ammonium in marine and freshwater ecosystems. Can. J. Fish. Aquat. Sci. 56: 1801-1808</w:t>
      </w:r>
      <w:r w:rsidR="00E201D7">
        <w:rPr>
          <w:rFonts w:cs="Arial"/>
          <w:color w:val="000000" w:themeColor="text1"/>
          <w:szCs w:val="22"/>
          <w:lang w:val="en-AU"/>
        </w:rPr>
        <w:t>.</w:t>
      </w:r>
    </w:p>
    <w:p w14:paraId="5F22F7A3" w14:textId="77777777" w:rsidR="00006CD8" w:rsidRPr="0046394E" w:rsidRDefault="00006CD8" w:rsidP="00317A18">
      <w:pPr>
        <w:ind w:left="284" w:hanging="284"/>
        <w:rPr>
          <w:rFonts w:cs="Arial"/>
          <w:color w:val="000000" w:themeColor="text1"/>
          <w:szCs w:val="22"/>
          <w:lang w:val="en-AU"/>
        </w:rPr>
      </w:pPr>
      <w:r w:rsidRPr="0046394E">
        <w:rPr>
          <w:rFonts w:cs="Arial"/>
          <w:color w:val="000000" w:themeColor="text1"/>
          <w:szCs w:val="22"/>
          <w:lang w:val="en-AU"/>
        </w:rPr>
        <w:t>Hughes TP, Rodrigues MJ, Bellwood DR, Ceccarelli D, Hoegh-Guldberg O, McCook L, Moltschaniwskyj N, Pratchett  MS, Steneck RS, Willis B (2007). Phase Shifts, Herbivory, and the Resilience of Coral Reefs to Climate Change. Current Biology 17:360-365</w:t>
      </w:r>
      <w:r w:rsidR="00E201D7">
        <w:rPr>
          <w:rFonts w:cs="Arial"/>
          <w:color w:val="000000" w:themeColor="text1"/>
          <w:szCs w:val="22"/>
          <w:lang w:val="en-AU"/>
        </w:rPr>
        <w:t>.</w:t>
      </w:r>
    </w:p>
    <w:p w14:paraId="5F22F7A4" w14:textId="77777777" w:rsidR="00317A18" w:rsidRPr="0046394E" w:rsidRDefault="00317A18" w:rsidP="00317A18">
      <w:pPr>
        <w:pStyle w:val="NormalWeb"/>
        <w:spacing w:before="0" w:beforeAutospacing="0" w:after="120" w:afterAutospacing="0"/>
        <w:ind w:left="284" w:hanging="284"/>
        <w:rPr>
          <w:rFonts w:ascii="Arial" w:hAnsi="Arial" w:cs="Arial"/>
          <w:color w:val="000000" w:themeColor="text1"/>
          <w:sz w:val="22"/>
          <w:szCs w:val="22"/>
        </w:rPr>
      </w:pPr>
      <w:r w:rsidRPr="0046394E">
        <w:rPr>
          <w:rFonts w:ascii="Arial" w:hAnsi="Arial" w:cs="Arial"/>
          <w:color w:val="000000" w:themeColor="text1"/>
          <w:sz w:val="22"/>
          <w:szCs w:val="22"/>
        </w:rPr>
        <w:t>Hughes TP, Graham NAJ, Jackson JBC, Mumby PJ, Steneck RS (2010) Rising to the challenge of sustaining coral reef resilience. Trends in Ecology and Evolution 25(11):633-642</w:t>
      </w:r>
      <w:r w:rsidR="00E201D7">
        <w:rPr>
          <w:rFonts w:ascii="Arial" w:hAnsi="Arial" w:cs="Arial"/>
          <w:color w:val="000000" w:themeColor="text1"/>
          <w:sz w:val="22"/>
          <w:szCs w:val="22"/>
        </w:rPr>
        <w:t>.</w:t>
      </w:r>
      <w:r w:rsidRPr="0046394E">
        <w:rPr>
          <w:rFonts w:ascii="Arial" w:hAnsi="Arial" w:cs="Arial"/>
          <w:color w:val="000000" w:themeColor="text1"/>
          <w:sz w:val="22"/>
          <w:szCs w:val="22"/>
        </w:rPr>
        <w:t xml:space="preserve"> </w:t>
      </w:r>
    </w:p>
    <w:p w14:paraId="5F22F7A5" w14:textId="77777777" w:rsidR="00317A18" w:rsidRPr="0046394E" w:rsidRDefault="00317A18" w:rsidP="00317A18">
      <w:pPr>
        <w:ind w:left="284" w:hanging="284"/>
        <w:rPr>
          <w:rFonts w:cs="Arial"/>
          <w:color w:val="000000" w:themeColor="text1"/>
          <w:szCs w:val="22"/>
          <w:lang w:val="de-DE"/>
        </w:rPr>
      </w:pPr>
      <w:r w:rsidRPr="0046394E">
        <w:rPr>
          <w:rFonts w:cs="Arial"/>
          <w:color w:val="000000" w:themeColor="text1"/>
          <w:szCs w:val="22"/>
          <w:lang w:val="en-AU"/>
        </w:rPr>
        <w:t>Jeffrey SW, Humphrey GF (1975) New spectrophotometric equations for determining chlorophylls a,b,b</w:t>
      </w:r>
      <w:r w:rsidRPr="0046394E">
        <w:rPr>
          <w:rFonts w:cs="Arial"/>
          <w:color w:val="000000" w:themeColor="text1"/>
          <w:szCs w:val="22"/>
          <w:vertAlign w:val="subscript"/>
          <w:lang w:val="en-AU"/>
        </w:rPr>
        <w:t>1</w:t>
      </w:r>
      <w:r w:rsidRPr="0046394E">
        <w:rPr>
          <w:rFonts w:cs="Arial"/>
          <w:color w:val="000000" w:themeColor="text1"/>
          <w:szCs w:val="22"/>
          <w:lang w:val="en-AU"/>
        </w:rPr>
        <w:t xml:space="preserve"> and c</w:t>
      </w:r>
      <w:r w:rsidRPr="0046394E">
        <w:rPr>
          <w:rFonts w:cs="Arial"/>
          <w:color w:val="000000" w:themeColor="text1"/>
          <w:szCs w:val="22"/>
          <w:vertAlign w:val="subscript"/>
          <w:lang w:val="en-AU"/>
        </w:rPr>
        <w:t>2</w:t>
      </w:r>
      <w:r w:rsidRPr="0046394E">
        <w:rPr>
          <w:rFonts w:cs="Arial"/>
          <w:color w:val="000000" w:themeColor="text1"/>
          <w:szCs w:val="22"/>
          <w:lang w:val="en-AU"/>
        </w:rPr>
        <w:t xml:space="preserve"> in higher plants, algae and natural phytoplankton. </w:t>
      </w:r>
      <w:r w:rsidRPr="0046394E">
        <w:rPr>
          <w:rFonts w:cs="Arial"/>
          <w:szCs w:val="22"/>
          <w:lang w:val="de-DE"/>
        </w:rPr>
        <w:t>Biochemie und Physiologie der Pflanzen</w:t>
      </w:r>
      <w:r w:rsidRPr="0046394E">
        <w:rPr>
          <w:rFonts w:cs="Arial"/>
          <w:color w:val="000000" w:themeColor="text1"/>
          <w:szCs w:val="22"/>
          <w:lang w:val="de-DE"/>
        </w:rPr>
        <w:t xml:space="preserve"> 167: 191-194</w:t>
      </w:r>
      <w:r w:rsidR="00E201D7">
        <w:rPr>
          <w:rFonts w:cs="Arial"/>
          <w:color w:val="000000" w:themeColor="text1"/>
          <w:szCs w:val="22"/>
          <w:lang w:val="de-DE"/>
        </w:rPr>
        <w:t>.</w:t>
      </w:r>
    </w:p>
    <w:p w14:paraId="5F22F7A6" w14:textId="77777777" w:rsidR="00317A18" w:rsidRDefault="00317A18" w:rsidP="00317A18">
      <w:pPr>
        <w:autoSpaceDE w:val="0"/>
        <w:autoSpaceDN w:val="0"/>
        <w:adjustRightInd w:val="0"/>
        <w:ind w:left="284" w:hanging="284"/>
        <w:rPr>
          <w:rFonts w:eastAsiaTheme="minorHAnsi" w:cs="Arial"/>
          <w:szCs w:val="22"/>
          <w:lang w:val="en-AU"/>
        </w:rPr>
      </w:pPr>
      <w:r w:rsidRPr="0046394E">
        <w:rPr>
          <w:rFonts w:eastAsiaTheme="minorHAnsi" w:cs="Arial"/>
          <w:szCs w:val="22"/>
          <w:lang w:val="de-DE"/>
        </w:rPr>
        <w:t xml:space="preserve">Jickells TD (1998) Nutrient biogeochemistry of the coastal zone. </w:t>
      </w:r>
      <w:r w:rsidRPr="0046394E">
        <w:rPr>
          <w:rFonts w:eastAsiaTheme="minorHAnsi" w:cs="Arial"/>
          <w:szCs w:val="22"/>
          <w:lang w:val="en-AU"/>
        </w:rPr>
        <w:t>Science 281: 217- 222</w:t>
      </w:r>
      <w:r w:rsidR="00E201D7">
        <w:rPr>
          <w:rFonts w:eastAsiaTheme="minorHAnsi" w:cs="Arial"/>
          <w:szCs w:val="22"/>
          <w:lang w:val="en-AU"/>
        </w:rPr>
        <w:t>.</w:t>
      </w:r>
    </w:p>
    <w:p w14:paraId="2B22FE62" w14:textId="5C100A0B" w:rsidR="008E47A7" w:rsidRPr="008E47A7" w:rsidRDefault="008E47A7" w:rsidP="008E47A7">
      <w:pPr>
        <w:autoSpaceDE w:val="0"/>
        <w:autoSpaceDN w:val="0"/>
        <w:adjustRightInd w:val="0"/>
        <w:ind w:left="284" w:hanging="284"/>
        <w:rPr>
          <w:rFonts w:eastAsiaTheme="minorHAnsi" w:cs="Arial"/>
          <w:szCs w:val="22"/>
          <w:lang w:val="de-DE"/>
        </w:rPr>
      </w:pPr>
      <w:r>
        <w:rPr>
          <w:rFonts w:eastAsiaTheme="minorHAnsi" w:cs="Arial"/>
          <w:szCs w:val="22"/>
          <w:lang w:val="de-DE"/>
        </w:rPr>
        <w:t>Joo</w:t>
      </w:r>
      <w:r w:rsidRPr="008E47A7">
        <w:rPr>
          <w:rFonts w:eastAsiaTheme="minorHAnsi" w:cs="Arial"/>
          <w:szCs w:val="22"/>
          <w:lang w:val="de-DE"/>
        </w:rPr>
        <w:t xml:space="preserve"> M, Raymond MA</w:t>
      </w:r>
      <w:r>
        <w:rPr>
          <w:rFonts w:eastAsiaTheme="minorHAnsi" w:cs="Arial"/>
          <w:szCs w:val="22"/>
          <w:lang w:val="de-DE"/>
        </w:rPr>
        <w:t>A</w:t>
      </w:r>
      <w:r w:rsidRPr="008E47A7">
        <w:rPr>
          <w:rFonts w:eastAsiaTheme="minorHAnsi" w:cs="Arial"/>
          <w:szCs w:val="22"/>
          <w:lang w:val="de-DE"/>
        </w:rPr>
        <w:t>, McNeil</w:t>
      </w:r>
      <w:r>
        <w:rPr>
          <w:rFonts w:eastAsiaTheme="minorHAnsi" w:cs="Arial"/>
          <w:szCs w:val="22"/>
          <w:lang w:val="de-DE"/>
        </w:rPr>
        <w:t xml:space="preserve"> V</w:t>
      </w:r>
      <w:r w:rsidRPr="008E47A7">
        <w:rPr>
          <w:rFonts w:eastAsiaTheme="minorHAnsi" w:cs="Arial"/>
          <w:szCs w:val="22"/>
          <w:lang w:val="de-DE"/>
        </w:rPr>
        <w:t>H, Huggins R, Turner RDR, Choy S</w:t>
      </w:r>
      <w:r>
        <w:rPr>
          <w:rFonts w:eastAsiaTheme="minorHAnsi" w:cs="Arial"/>
          <w:szCs w:val="22"/>
          <w:lang w:val="de-DE"/>
        </w:rPr>
        <w:t xml:space="preserve"> (2</w:t>
      </w:r>
      <w:r w:rsidRPr="008E47A7">
        <w:rPr>
          <w:rFonts w:eastAsiaTheme="minorHAnsi" w:cs="Arial"/>
          <w:szCs w:val="22"/>
          <w:lang w:val="de-DE"/>
        </w:rPr>
        <w:t>012</w:t>
      </w:r>
      <w:r>
        <w:rPr>
          <w:rFonts w:eastAsiaTheme="minorHAnsi" w:cs="Arial"/>
          <w:szCs w:val="22"/>
          <w:lang w:val="de-DE"/>
        </w:rPr>
        <w:t>)</w:t>
      </w:r>
      <w:r w:rsidRPr="008E47A7">
        <w:rPr>
          <w:rFonts w:eastAsiaTheme="minorHAnsi" w:cs="Arial"/>
          <w:szCs w:val="22"/>
          <w:lang w:val="de-DE"/>
        </w:rPr>
        <w:t xml:space="preserve"> Estimates of sediment and nutrient loads in 10 major catchments draining to the Great Barrier Reef during 2006–2009. Marine Pollution Bulletin 65: 150-166.</w:t>
      </w:r>
    </w:p>
    <w:p w14:paraId="5F22F7A7" w14:textId="77777777" w:rsidR="00317A18" w:rsidRPr="0046394E" w:rsidRDefault="00317A18" w:rsidP="00317A18">
      <w:pPr>
        <w:pStyle w:val="Reportrefs"/>
        <w:spacing w:after="120"/>
        <w:ind w:left="284" w:hanging="284"/>
        <w:rPr>
          <w:rFonts w:cs="Arial"/>
          <w:sz w:val="22"/>
          <w:szCs w:val="22"/>
          <w:lang w:val="en-AU" w:bidi="en-US"/>
        </w:rPr>
      </w:pPr>
      <w:r w:rsidRPr="0046394E">
        <w:rPr>
          <w:rFonts w:cs="Arial"/>
          <w:sz w:val="22"/>
          <w:szCs w:val="22"/>
          <w:lang w:val="en-AU"/>
        </w:rPr>
        <w:t>Kline DL, Kuntz NM, Breitbart M, Knowlton N, Rohwer F (2006) Role of elevated organic carbon levels and microbial activity in coral mortality. Marine Ecology Progress Series 314: 119–125</w:t>
      </w:r>
      <w:r w:rsidR="00E201D7">
        <w:rPr>
          <w:rFonts w:cs="Arial"/>
          <w:sz w:val="22"/>
          <w:szCs w:val="22"/>
          <w:lang w:val="en-AU"/>
        </w:rPr>
        <w:t>.</w:t>
      </w:r>
    </w:p>
    <w:p w14:paraId="5F22F7A8" w14:textId="77777777" w:rsidR="00317A18" w:rsidRPr="0046394E" w:rsidRDefault="00317A18" w:rsidP="00317A18">
      <w:pPr>
        <w:pStyle w:val="Reportrefs"/>
        <w:spacing w:after="120"/>
        <w:ind w:left="284" w:hanging="284"/>
        <w:rPr>
          <w:rFonts w:cs="Arial"/>
          <w:color w:val="000000" w:themeColor="text1"/>
          <w:sz w:val="22"/>
          <w:szCs w:val="22"/>
          <w:lang w:val="en-AU"/>
        </w:rPr>
      </w:pPr>
      <w:r w:rsidRPr="0046394E">
        <w:rPr>
          <w:rFonts w:cs="Arial"/>
          <w:color w:val="000000" w:themeColor="text1"/>
          <w:sz w:val="22"/>
          <w:szCs w:val="22"/>
          <w:lang w:val="en-AU"/>
        </w:rPr>
        <w:t>Kroon FJ, Kuhnert PM, Henderson BL, Wilkinson SN, Kinsey-Henderson A, Abbott B, Brodie JE, Turner RDR (2012) River loads of suspended solids, nitrogen, phosphorus and herbicides delivered to the Great Barrier Reef lagoon. Marine Pollution Bul</w:t>
      </w:r>
      <w:r w:rsidR="00E201D7">
        <w:rPr>
          <w:rFonts w:cs="Arial"/>
          <w:color w:val="000000" w:themeColor="text1"/>
          <w:sz w:val="22"/>
          <w:szCs w:val="22"/>
          <w:lang w:val="en-AU"/>
        </w:rPr>
        <w:t>letin 65:167–181.</w:t>
      </w:r>
    </w:p>
    <w:p w14:paraId="5F22F7A9" w14:textId="77777777" w:rsidR="00317A18" w:rsidRPr="0046394E" w:rsidRDefault="00317A18" w:rsidP="00317A18">
      <w:pPr>
        <w:pStyle w:val="Reportrefs"/>
        <w:spacing w:after="120"/>
        <w:ind w:left="284" w:hanging="284"/>
        <w:rPr>
          <w:rFonts w:cs="Arial"/>
          <w:color w:val="000000" w:themeColor="text1"/>
          <w:sz w:val="22"/>
          <w:szCs w:val="22"/>
          <w:lang w:val="en-AU"/>
        </w:rPr>
      </w:pPr>
      <w:r w:rsidRPr="0046394E">
        <w:rPr>
          <w:rFonts w:cs="Arial"/>
          <w:sz w:val="22"/>
          <w:szCs w:val="22"/>
          <w:lang w:val="en-AU" w:eastAsia="en-AU"/>
        </w:rPr>
        <w:t>Kroon FJ, Schaffelke B, Bartley R (2014) Informing policy to protect coastal coral reefs: Insight from a global review of reducing agricultural pollution to coastal ecosystems. Marine Pollution Bulletin 85:33-41</w:t>
      </w:r>
      <w:r w:rsidR="00E201D7">
        <w:rPr>
          <w:rFonts w:cs="Arial"/>
          <w:sz w:val="22"/>
          <w:szCs w:val="22"/>
          <w:lang w:val="en-AU" w:eastAsia="en-AU"/>
        </w:rPr>
        <w:t>.</w:t>
      </w:r>
    </w:p>
    <w:p w14:paraId="5F22F7AA" w14:textId="77777777" w:rsidR="00317A18" w:rsidRPr="0046394E" w:rsidRDefault="00317A18" w:rsidP="00317A18">
      <w:pPr>
        <w:pStyle w:val="Reportrefs"/>
        <w:spacing w:after="120"/>
        <w:ind w:left="284" w:hanging="284"/>
        <w:rPr>
          <w:rFonts w:cs="Arial"/>
          <w:color w:val="231F20"/>
          <w:sz w:val="22"/>
          <w:szCs w:val="22"/>
          <w:lang w:val="en-AU" w:eastAsia="en-AU"/>
        </w:rPr>
      </w:pPr>
      <w:r w:rsidRPr="0046394E">
        <w:rPr>
          <w:rFonts w:cs="Arial"/>
          <w:color w:val="231F20"/>
          <w:sz w:val="22"/>
          <w:szCs w:val="22"/>
          <w:lang w:val="en-AU" w:eastAsia="en-AU"/>
        </w:rPr>
        <w:t>Kuntz N, Kline D, Sandin S, Rohwer F (2005) Pathologies and mortality rates caused by organic carbon and nutrient stressors in three Caribbean coral species</w:t>
      </w:r>
      <w:r w:rsidRPr="0046394E">
        <w:rPr>
          <w:rFonts w:cs="Arial"/>
          <w:color w:val="000000" w:themeColor="text1"/>
          <w:sz w:val="22"/>
          <w:szCs w:val="22"/>
          <w:lang w:val="en-AU" w:eastAsia="en-AU"/>
        </w:rPr>
        <w:t xml:space="preserve">. </w:t>
      </w:r>
      <w:r w:rsidRPr="0046394E">
        <w:rPr>
          <w:rFonts w:cs="Arial"/>
          <w:color w:val="000000" w:themeColor="text1"/>
          <w:sz w:val="22"/>
          <w:szCs w:val="22"/>
          <w:lang w:val="en-AU"/>
        </w:rPr>
        <w:t xml:space="preserve">Marine Ecology Progress Series </w:t>
      </w:r>
      <w:r w:rsidRPr="0046394E">
        <w:rPr>
          <w:rFonts w:cs="Arial"/>
          <w:color w:val="231F20"/>
          <w:sz w:val="22"/>
          <w:szCs w:val="22"/>
          <w:lang w:val="en-AU" w:eastAsia="en-AU"/>
        </w:rPr>
        <w:t>294:173–180</w:t>
      </w:r>
    </w:p>
    <w:p w14:paraId="5F22F7AB" w14:textId="44FE66D1" w:rsidR="00E0348F" w:rsidRPr="0046394E" w:rsidRDefault="00E0348F" w:rsidP="00317A18">
      <w:pPr>
        <w:pStyle w:val="Reportrefs"/>
        <w:spacing w:after="120"/>
        <w:ind w:left="284" w:hanging="284"/>
        <w:rPr>
          <w:rFonts w:cs="Arial"/>
          <w:sz w:val="22"/>
          <w:szCs w:val="22"/>
          <w:lang w:val="en-AU"/>
        </w:rPr>
      </w:pPr>
      <w:r w:rsidRPr="0046394E">
        <w:rPr>
          <w:rFonts w:cs="Arial"/>
          <w:sz w:val="22"/>
          <w:szCs w:val="22"/>
          <w:lang w:val="en-AU"/>
        </w:rPr>
        <w:t>Lambrechts J, Humphrey C, McKinna L, Gourge O, Fabricius K,E, Meht AJ., Lewis S, Wolanski E.(2010) Importance of wave-induced bed liquefaction in the fine sediment budget of Cleveland Bay, Great Barrier Reef. Estuarine Coastal and Shelf Sciences 89 (2), 154-162.</w:t>
      </w:r>
    </w:p>
    <w:p w14:paraId="5F22F7AC" w14:textId="6EBB34D1" w:rsidR="00317A18" w:rsidRDefault="00317A18" w:rsidP="00317A18">
      <w:pPr>
        <w:ind w:left="284" w:hanging="284"/>
        <w:rPr>
          <w:rFonts w:cs="Arial"/>
          <w:szCs w:val="22"/>
          <w:lang w:val="en-AU"/>
        </w:rPr>
      </w:pPr>
      <w:r w:rsidRPr="0046394E">
        <w:rPr>
          <w:rFonts w:cs="Arial"/>
          <w:szCs w:val="22"/>
          <w:lang w:val="en-AU"/>
        </w:rPr>
        <w:t xml:space="preserve">Lennon JT, Hamilton SK, Muscarella ME, Grandy AS, Wickings K, </w:t>
      </w:r>
      <w:r w:rsidRPr="0046394E">
        <w:rPr>
          <w:rFonts w:eastAsia="SimSun" w:cs="Arial"/>
          <w:szCs w:val="22"/>
          <w:lang w:val="en-AU"/>
        </w:rPr>
        <w:t>Jones SE</w:t>
      </w:r>
      <w:r w:rsidRPr="0046394E">
        <w:rPr>
          <w:rFonts w:cs="Arial"/>
          <w:szCs w:val="22"/>
          <w:lang w:val="en-AU"/>
        </w:rPr>
        <w:t xml:space="preserve"> (2013) A source of terrestrial organic carbon to investigate the browning of aquatic ecosystems.  PLoS ONE 8: e75771. doi:10.1371/journal.pone.0075771</w:t>
      </w:r>
      <w:r w:rsidR="00E201D7">
        <w:rPr>
          <w:rFonts w:cs="Arial"/>
          <w:szCs w:val="22"/>
          <w:lang w:val="en-AU"/>
        </w:rPr>
        <w:t>.</w:t>
      </w:r>
    </w:p>
    <w:p w14:paraId="64CCA27D" w14:textId="00550E26" w:rsidR="000F3684" w:rsidRPr="00211A02" w:rsidRDefault="000F3684" w:rsidP="00211A02">
      <w:pPr>
        <w:ind w:left="284" w:hanging="284"/>
        <w:rPr>
          <w:rFonts w:cs="Arial"/>
          <w:szCs w:val="22"/>
          <w:lang w:val="en-AU"/>
        </w:rPr>
      </w:pPr>
      <w:r w:rsidRPr="000F3684">
        <w:rPr>
          <w:rFonts w:cs="Arial"/>
          <w:szCs w:val="22"/>
          <w:lang w:val="en-AU"/>
        </w:rPr>
        <w:t>Logan M, Fabricius</w:t>
      </w:r>
      <w:r w:rsidRPr="00211A02">
        <w:rPr>
          <w:rFonts w:cs="Arial"/>
          <w:szCs w:val="22"/>
          <w:lang w:val="en-AU"/>
        </w:rPr>
        <w:t xml:space="preserve"> K, Weeks S, Canto M</w:t>
      </w:r>
      <w:r w:rsidRPr="000F3684">
        <w:rPr>
          <w:rFonts w:cs="Arial"/>
          <w:szCs w:val="22"/>
          <w:lang w:val="en-AU"/>
        </w:rPr>
        <w:t>, Noonan</w:t>
      </w:r>
      <w:r w:rsidRPr="00211A02">
        <w:rPr>
          <w:rFonts w:cs="Arial"/>
          <w:szCs w:val="22"/>
          <w:lang w:val="en-AU"/>
        </w:rPr>
        <w:t xml:space="preserve"> S, Wolanski E, Brodie J, </w:t>
      </w:r>
      <w:r>
        <w:rPr>
          <w:rFonts w:cs="Arial"/>
          <w:szCs w:val="22"/>
          <w:lang w:val="en-AU"/>
        </w:rPr>
        <w:t>(</w:t>
      </w:r>
      <w:r w:rsidRPr="00211A02">
        <w:rPr>
          <w:rFonts w:cs="Arial"/>
          <w:szCs w:val="22"/>
          <w:lang w:val="en-AU"/>
        </w:rPr>
        <w:t>2013</w:t>
      </w:r>
      <w:r>
        <w:rPr>
          <w:rFonts w:cs="Arial"/>
          <w:szCs w:val="22"/>
          <w:lang w:val="en-AU"/>
        </w:rPr>
        <w:t>)</w:t>
      </w:r>
      <w:r w:rsidRPr="00211A02">
        <w:rPr>
          <w:rFonts w:cs="Arial"/>
          <w:szCs w:val="22"/>
          <w:lang w:val="en-AU"/>
        </w:rPr>
        <w:t xml:space="preserve"> The relationship between Burdekin River discharges and photic depth in the central Great Barrier Reef. Report to the National Environmental Research Program. Reef and Rainforest Research Centre Limited, Cairns. 29 pp. </w:t>
      </w:r>
    </w:p>
    <w:p w14:paraId="1982795E" w14:textId="01102342" w:rsidR="000F3684" w:rsidRPr="00211A02" w:rsidRDefault="000F3684" w:rsidP="00211A02">
      <w:pPr>
        <w:ind w:left="284" w:hanging="284"/>
        <w:rPr>
          <w:rFonts w:cs="Arial"/>
          <w:szCs w:val="22"/>
          <w:lang w:val="en-AU"/>
        </w:rPr>
      </w:pPr>
      <w:r w:rsidRPr="00211A02">
        <w:rPr>
          <w:rFonts w:cs="Arial"/>
          <w:szCs w:val="22"/>
          <w:lang w:val="en-AU"/>
        </w:rPr>
        <w:t>Logan</w:t>
      </w:r>
      <w:r w:rsidRPr="000F3684">
        <w:rPr>
          <w:rFonts w:cs="Arial"/>
          <w:szCs w:val="22"/>
          <w:lang w:val="en-AU"/>
        </w:rPr>
        <w:t xml:space="preserve"> M</w:t>
      </w:r>
      <w:r w:rsidRPr="00211A02">
        <w:rPr>
          <w:rFonts w:cs="Arial"/>
          <w:szCs w:val="22"/>
          <w:lang w:val="en-AU"/>
        </w:rPr>
        <w:t>, Fabricius K, Weeks S, Rodriguez A, Lewis S, Brodie J</w:t>
      </w:r>
      <w:r>
        <w:rPr>
          <w:rFonts w:cs="Arial"/>
          <w:szCs w:val="22"/>
          <w:lang w:val="en-AU"/>
        </w:rPr>
        <w:t>,</w:t>
      </w:r>
      <w:r w:rsidRPr="00211A02">
        <w:rPr>
          <w:rFonts w:cs="Arial"/>
          <w:szCs w:val="22"/>
          <w:lang w:val="en-AU"/>
        </w:rPr>
        <w:t xml:space="preserve"> </w:t>
      </w:r>
      <w:r>
        <w:rPr>
          <w:rFonts w:cs="Arial"/>
          <w:szCs w:val="22"/>
          <w:lang w:val="en-AU"/>
        </w:rPr>
        <w:t>(</w:t>
      </w:r>
      <w:r w:rsidRPr="00211A02">
        <w:rPr>
          <w:rFonts w:cs="Arial"/>
          <w:szCs w:val="22"/>
          <w:lang w:val="en-AU"/>
        </w:rPr>
        <w:t>2014</w:t>
      </w:r>
      <w:r>
        <w:rPr>
          <w:rFonts w:cs="Arial"/>
          <w:szCs w:val="22"/>
          <w:lang w:val="en-AU"/>
        </w:rPr>
        <w:t>)</w:t>
      </w:r>
      <w:r w:rsidRPr="00211A02">
        <w:rPr>
          <w:rFonts w:cs="Arial"/>
          <w:szCs w:val="22"/>
          <w:lang w:val="en-AU"/>
        </w:rPr>
        <w:t xml:space="preserve"> Tracking coastal turbidity over time and demonstrating the effects of river discharge events on regional turbidity in the GBR: Southern and Northern NRM Regions. Report to the National Environmental Research Program. Reef and Rainforest Research Centre Limited, Cairns.</w:t>
      </w:r>
    </w:p>
    <w:p w14:paraId="5F22F7AD" w14:textId="5DE4AE55" w:rsidR="00317A18" w:rsidRPr="0046394E" w:rsidRDefault="00317A18" w:rsidP="00317A18">
      <w:pPr>
        <w:autoSpaceDE w:val="0"/>
        <w:autoSpaceDN w:val="0"/>
        <w:adjustRightInd w:val="0"/>
        <w:ind w:left="284" w:hanging="284"/>
        <w:rPr>
          <w:rFonts w:cs="Arial"/>
          <w:szCs w:val="22"/>
          <w:lang w:val="en-AU" w:eastAsia="en-GB"/>
        </w:rPr>
      </w:pPr>
      <w:r w:rsidRPr="0046394E">
        <w:rPr>
          <w:rFonts w:cs="Arial"/>
          <w:szCs w:val="22"/>
          <w:lang w:val="en-AU"/>
        </w:rPr>
        <w:t>Lønborg C, Álvarez-Salgado XA (2012) Recycling versus export of bioavailable dissolved organic matter in the coastal ocean and efficiency of the continental shelf pump. Global Biogeochemical  Cycles  26:  Doi:10.1029/2012GB004353</w:t>
      </w:r>
      <w:r w:rsidR="00E201D7">
        <w:rPr>
          <w:rFonts w:cs="Arial"/>
          <w:szCs w:val="22"/>
          <w:lang w:val="en-AU"/>
        </w:rPr>
        <w:t>.</w:t>
      </w:r>
    </w:p>
    <w:p w14:paraId="5F22F7AE" w14:textId="77777777" w:rsidR="00317A18" w:rsidRPr="00E201D7" w:rsidRDefault="00317A18" w:rsidP="00317A18">
      <w:pPr>
        <w:ind w:left="284" w:hanging="284"/>
        <w:rPr>
          <w:rFonts w:cs="Arial"/>
          <w:szCs w:val="22"/>
          <w:lang w:val="en-AU"/>
        </w:rPr>
      </w:pPr>
      <w:r w:rsidRPr="0046394E">
        <w:rPr>
          <w:rFonts w:cs="Arial"/>
          <w:szCs w:val="22"/>
          <w:lang w:val="en-AU"/>
        </w:rPr>
        <w:t>Lønborg C,</w:t>
      </w:r>
      <w:r w:rsidRPr="0046394E">
        <w:rPr>
          <w:rFonts w:cs="Arial"/>
          <w:b/>
          <w:szCs w:val="22"/>
          <w:lang w:val="en-AU"/>
        </w:rPr>
        <w:t xml:space="preserve"> </w:t>
      </w:r>
      <w:r w:rsidRPr="0046394E">
        <w:rPr>
          <w:rFonts w:cs="Arial"/>
          <w:szCs w:val="22"/>
          <w:lang w:val="en-AU"/>
        </w:rPr>
        <w:t xml:space="preserve">Álvarez-Salgado XA, Martínez-Garcia S, Teira E (2011) Carbon cycling and bacterial growth </w:t>
      </w:r>
      <w:r w:rsidRPr="00E201D7">
        <w:rPr>
          <w:rFonts w:cs="Arial"/>
          <w:szCs w:val="22"/>
          <w:lang w:val="en-AU"/>
        </w:rPr>
        <w:t xml:space="preserve">efficiency </w:t>
      </w:r>
      <w:r w:rsidRPr="00E201D7">
        <w:rPr>
          <w:rFonts w:cs="Arial"/>
          <w:bCs/>
          <w:szCs w:val="22"/>
          <w:lang w:val="en-AU"/>
        </w:rPr>
        <w:t xml:space="preserve">in a coastal upwelling system (NW Iberian Peninsula). </w:t>
      </w:r>
      <w:r w:rsidRPr="00E201D7">
        <w:rPr>
          <w:rFonts w:cs="Arial"/>
          <w:szCs w:val="22"/>
          <w:lang w:val="en-AU"/>
        </w:rPr>
        <w:t>Aquatic Microbial Ecology</w:t>
      </w:r>
      <w:r w:rsidRPr="00E201D7">
        <w:rPr>
          <w:rStyle w:val="Strong"/>
          <w:rFonts w:cs="Arial"/>
          <w:b w:val="0"/>
          <w:szCs w:val="22"/>
          <w:lang w:val="en-AU"/>
        </w:rPr>
        <w:t xml:space="preserve"> 63, 183-191</w:t>
      </w:r>
      <w:r w:rsidRPr="00E201D7">
        <w:rPr>
          <w:rFonts w:cs="Arial"/>
          <w:szCs w:val="22"/>
          <w:lang w:val="en-AU"/>
        </w:rPr>
        <w:t>.</w:t>
      </w:r>
    </w:p>
    <w:p w14:paraId="5F22F7AF" w14:textId="77777777" w:rsidR="00E0348F" w:rsidRPr="00E201D7" w:rsidRDefault="00E0348F" w:rsidP="00317A18">
      <w:pPr>
        <w:ind w:left="284" w:hanging="284"/>
        <w:rPr>
          <w:rFonts w:cs="Arial"/>
          <w:szCs w:val="22"/>
          <w:lang w:val="en-AU"/>
        </w:rPr>
      </w:pPr>
      <w:r w:rsidRPr="00E201D7">
        <w:rPr>
          <w:rFonts w:cs="Arial"/>
          <w:szCs w:val="22"/>
          <w:lang w:val="en-AU"/>
        </w:rPr>
        <w:t>McKenzie LJ, Collier CJ, Langlois LA, Yoshida R.L, Smith N, Takahashi M, Waycott M (2015) Marine Monitoring Program - Inshore Seagrass, Annual Report for the sampling period 1st June 2013 – 31st May 2014.  TropWATER, James Cook University, Cairns. 225pp.</w:t>
      </w:r>
    </w:p>
    <w:p w14:paraId="5F22F7B0" w14:textId="77777777" w:rsidR="00317A18" w:rsidRPr="00E201D7" w:rsidRDefault="00317A18" w:rsidP="00317A18">
      <w:pPr>
        <w:ind w:left="284" w:hanging="284"/>
        <w:rPr>
          <w:rFonts w:cs="Arial"/>
          <w:szCs w:val="22"/>
          <w:lang w:val="en-AU"/>
        </w:rPr>
      </w:pPr>
      <w:r w:rsidRPr="00E201D7">
        <w:rPr>
          <w:rFonts w:cs="Arial"/>
          <w:szCs w:val="22"/>
          <w:lang w:val="en-AU"/>
        </w:rPr>
        <w:t>Marshall PA, Johnson JE (2007) The Great Barrier Reef and climate change: vulnerability and management implications. In: Johnson JE, Marshall PA (eds) Climate change and the Great Barrier Reef. Great Barrier Reef Marine Park Authority and the Australian Greenhouse Office, Australia, pp 774-801</w:t>
      </w:r>
      <w:r w:rsidR="00E201D7" w:rsidRPr="00E201D7">
        <w:rPr>
          <w:rFonts w:cs="Arial"/>
          <w:szCs w:val="22"/>
          <w:lang w:val="en-AU"/>
        </w:rPr>
        <w:t>.</w:t>
      </w:r>
    </w:p>
    <w:p w14:paraId="5F22F7B1" w14:textId="77777777" w:rsidR="00317A18" w:rsidRPr="00E201D7" w:rsidRDefault="00317A18" w:rsidP="00317A18">
      <w:pPr>
        <w:ind w:left="284" w:hanging="284"/>
        <w:rPr>
          <w:rFonts w:cs="Arial"/>
          <w:szCs w:val="22"/>
          <w:lang w:val="en-AU"/>
        </w:rPr>
      </w:pPr>
      <w:r w:rsidRPr="00E201D7">
        <w:rPr>
          <w:rFonts w:cs="Arial"/>
          <w:szCs w:val="22"/>
          <w:lang w:val="en-AU"/>
        </w:rPr>
        <w:t>Mora C (2008) A clear human footprint in the coral reefs of the Caribbean. Proceedings of the Royal Society B 275: 767-773</w:t>
      </w:r>
      <w:r w:rsidR="00E201D7" w:rsidRPr="00E201D7">
        <w:rPr>
          <w:rFonts w:cs="Arial"/>
          <w:szCs w:val="22"/>
          <w:lang w:val="en-AU"/>
        </w:rPr>
        <w:t>.</w:t>
      </w:r>
    </w:p>
    <w:p w14:paraId="5F22F7B2" w14:textId="2900CDB2" w:rsidR="00317A18" w:rsidRPr="00E201D7" w:rsidRDefault="0046394E" w:rsidP="00317A18">
      <w:pPr>
        <w:pStyle w:val="Reportrefs"/>
        <w:spacing w:after="120"/>
        <w:ind w:left="284" w:hanging="284"/>
        <w:rPr>
          <w:rFonts w:eastAsia="MS Mincho" w:cs="Arial"/>
          <w:sz w:val="22"/>
          <w:szCs w:val="22"/>
          <w:lang w:val="en-AU" w:eastAsia="ja-JP"/>
        </w:rPr>
      </w:pPr>
      <w:r w:rsidRPr="00E201D7">
        <w:rPr>
          <w:rFonts w:cs="Arial"/>
          <w:sz w:val="22"/>
          <w:szCs w:val="22"/>
          <w:lang w:val="en-AU" w:eastAsia="en-AU"/>
        </w:rPr>
        <w:t>Mundy CN,</w:t>
      </w:r>
      <w:r w:rsidR="00317A18" w:rsidRPr="00E201D7">
        <w:rPr>
          <w:rFonts w:cs="Arial"/>
          <w:sz w:val="22"/>
          <w:szCs w:val="22"/>
          <w:lang w:val="en-AU" w:eastAsia="en-AU"/>
        </w:rPr>
        <w:t xml:space="preserve"> Babco</w:t>
      </w:r>
      <w:r w:rsidRPr="00E201D7">
        <w:rPr>
          <w:rFonts w:cs="Arial"/>
          <w:sz w:val="22"/>
          <w:szCs w:val="22"/>
          <w:lang w:val="en-AU" w:eastAsia="en-AU"/>
        </w:rPr>
        <w:t xml:space="preserve">ck R </w:t>
      </w:r>
      <w:r w:rsidR="00317A18" w:rsidRPr="00E201D7">
        <w:rPr>
          <w:rFonts w:cs="Arial"/>
          <w:sz w:val="22"/>
          <w:szCs w:val="22"/>
          <w:lang w:val="en-AU" w:eastAsia="en-AU"/>
        </w:rPr>
        <w:t xml:space="preserve">C (1998). Role of light intensity and spectral quality in coral settlement: implications for depth-dependent settlement?. </w:t>
      </w:r>
      <w:r w:rsidR="00317A18" w:rsidRPr="00E201D7">
        <w:rPr>
          <w:rFonts w:cs="Arial"/>
          <w:iCs/>
          <w:sz w:val="22"/>
          <w:szCs w:val="22"/>
          <w:lang w:val="en-AU" w:eastAsia="en-AU"/>
        </w:rPr>
        <w:t>Journal of Experimental Marine Biology and Ecology</w:t>
      </w:r>
      <w:r w:rsidR="00317A18" w:rsidRPr="00E201D7">
        <w:rPr>
          <w:rFonts w:cs="Arial"/>
          <w:sz w:val="22"/>
          <w:szCs w:val="22"/>
          <w:lang w:val="en-AU" w:eastAsia="en-AU"/>
        </w:rPr>
        <w:t xml:space="preserve">, </w:t>
      </w:r>
      <w:r w:rsidR="00317A18" w:rsidRPr="00E201D7">
        <w:rPr>
          <w:rFonts w:cs="Arial"/>
          <w:iCs/>
          <w:sz w:val="22"/>
          <w:szCs w:val="22"/>
          <w:lang w:val="en-AU" w:eastAsia="en-AU"/>
        </w:rPr>
        <w:t>223</w:t>
      </w:r>
      <w:r w:rsidR="00317A18" w:rsidRPr="00E201D7">
        <w:rPr>
          <w:rFonts w:cs="Arial"/>
          <w:sz w:val="22"/>
          <w:szCs w:val="22"/>
          <w:lang w:val="en-AU" w:eastAsia="en-AU"/>
        </w:rPr>
        <w:t>(2), 235-255</w:t>
      </w:r>
      <w:r w:rsidR="00E201D7" w:rsidRPr="00E201D7">
        <w:rPr>
          <w:rFonts w:cs="Arial"/>
          <w:sz w:val="22"/>
          <w:szCs w:val="22"/>
          <w:lang w:val="en-AU" w:eastAsia="en-AU"/>
        </w:rPr>
        <w:t>.</w:t>
      </w:r>
    </w:p>
    <w:p w14:paraId="5F22F7B3" w14:textId="1EE62E6A" w:rsidR="007622AC" w:rsidRPr="00211A02" w:rsidRDefault="007622AC" w:rsidP="00211A02">
      <w:pPr>
        <w:pStyle w:val="Reportrefs"/>
        <w:spacing w:after="120"/>
        <w:ind w:left="284" w:hanging="284"/>
        <w:rPr>
          <w:rFonts w:cs="Arial"/>
          <w:sz w:val="22"/>
          <w:szCs w:val="22"/>
          <w:lang w:val="en-AU" w:eastAsia="en-AU"/>
        </w:rPr>
      </w:pPr>
      <w:r w:rsidRPr="00211A02">
        <w:rPr>
          <w:rFonts w:cs="Arial"/>
          <w:sz w:val="22"/>
          <w:szCs w:val="22"/>
          <w:lang w:val="en-AU" w:eastAsia="en-AU"/>
        </w:rPr>
        <w:t>Negri AP, Flores F, Mercurio P, Mueller JF, Collier CJ (2015) Lethal and sub-lethal chronic effects of the herbicide diuron on seagrass. Aquatic Toxicology 165, 73-83.</w:t>
      </w:r>
    </w:p>
    <w:p w14:paraId="5F22F7B4" w14:textId="442602EC" w:rsidR="00317A18" w:rsidRPr="004A5BF7" w:rsidRDefault="00317A18" w:rsidP="00317A18">
      <w:pPr>
        <w:pStyle w:val="Reportrefs"/>
        <w:spacing w:after="120"/>
        <w:ind w:left="284" w:hanging="284"/>
        <w:rPr>
          <w:rStyle w:val="Hyperlink"/>
          <w:rFonts w:cs="Arial"/>
          <w:color w:val="0070C0"/>
          <w:sz w:val="22"/>
          <w:szCs w:val="22"/>
          <w:lang w:val="fr-FR"/>
        </w:rPr>
      </w:pPr>
      <w:r w:rsidRPr="00E201D7">
        <w:rPr>
          <w:rStyle w:val="Hyperlink"/>
          <w:rFonts w:cs="Arial"/>
          <w:color w:val="auto"/>
          <w:sz w:val="22"/>
          <w:szCs w:val="22"/>
          <w:u w:val="none"/>
          <w:lang w:val="en-AU"/>
        </w:rPr>
        <w:t>Oksanen</w:t>
      </w:r>
      <w:r w:rsidRPr="00E201D7">
        <w:rPr>
          <w:rStyle w:val="Hyperlink"/>
          <w:rFonts w:cs="Arial"/>
          <w:color w:val="auto"/>
          <w:sz w:val="22"/>
          <w:szCs w:val="22"/>
          <w:lang w:val="en-AU"/>
        </w:rPr>
        <w:t xml:space="preserve"> </w:t>
      </w:r>
      <w:r w:rsidRPr="00E201D7">
        <w:rPr>
          <w:rFonts w:cs="Arial"/>
          <w:sz w:val="22"/>
          <w:szCs w:val="22"/>
          <w:lang w:val="en-AU"/>
        </w:rPr>
        <w:t xml:space="preserve">J, Guillaume Blanchet F, Kindt R, Legendre P, Minchin PR, O’Hara RB, Simpson GL, Solymos P, Stevens MHH, Wagner H (2013) vegan: community ecology package. </w:t>
      </w:r>
      <w:r w:rsidRPr="004A5BF7">
        <w:rPr>
          <w:rFonts w:cs="Arial"/>
          <w:sz w:val="22"/>
          <w:szCs w:val="22"/>
          <w:lang w:val="fr-FR"/>
        </w:rPr>
        <w:t xml:space="preserve">R package version 2.0-8. </w:t>
      </w:r>
      <w:hyperlink r:id="rId384" w:history="1">
        <w:r w:rsidRPr="004A5BF7">
          <w:rPr>
            <w:rStyle w:val="Hyperlink"/>
            <w:rFonts w:cs="Arial"/>
            <w:color w:val="auto"/>
            <w:sz w:val="22"/>
            <w:szCs w:val="22"/>
            <w:lang w:val="fr-FR"/>
          </w:rPr>
          <w:t>http://CRAN.R-project.org/package=vegan</w:t>
        </w:r>
      </w:hyperlink>
      <w:r w:rsidR="00E201D7" w:rsidRPr="004A5BF7">
        <w:rPr>
          <w:rStyle w:val="Hyperlink"/>
          <w:rFonts w:cs="Arial"/>
          <w:color w:val="0070C0"/>
          <w:sz w:val="22"/>
          <w:szCs w:val="22"/>
          <w:lang w:val="fr-FR"/>
        </w:rPr>
        <w:t>.</w:t>
      </w:r>
    </w:p>
    <w:p w14:paraId="5F22F7B5" w14:textId="77777777" w:rsidR="00317A18" w:rsidRPr="0046394E" w:rsidRDefault="00317A18" w:rsidP="00317A18">
      <w:pPr>
        <w:pStyle w:val="Reportrefs"/>
        <w:spacing w:after="120"/>
        <w:ind w:left="284" w:hanging="284"/>
        <w:rPr>
          <w:rStyle w:val="Hyperlink"/>
          <w:rFonts w:cs="Arial"/>
          <w:color w:val="0070C0"/>
          <w:sz w:val="22"/>
          <w:szCs w:val="22"/>
          <w:lang w:val="fr-FR"/>
        </w:rPr>
      </w:pPr>
      <w:r w:rsidRPr="0046394E">
        <w:rPr>
          <w:rFonts w:cs="Arial"/>
          <w:color w:val="000000" w:themeColor="text1"/>
          <w:sz w:val="22"/>
          <w:szCs w:val="22"/>
          <w:lang w:val="en-AU"/>
        </w:rPr>
        <w:t xml:space="preserve">Osborne K, Dolman AM, Burgess SC, Johns KA (2011) Disturbance and the Dynamics of Coral Cover on the Great Barrier Reef (1995–2009). </w:t>
      </w:r>
      <w:r w:rsidRPr="0046394E">
        <w:rPr>
          <w:rFonts w:cs="Arial"/>
          <w:color w:val="000000" w:themeColor="text1"/>
          <w:sz w:val="22"/>
          <w:szCs w:val="22"/>
          <w:lang w:val="fr-FR"/>
        </w:rPr>
        <w:t>PLoS ONE 6:e17516</w:t>
      </w:r>
      <w:r w:rsidR="00E201D7">
        <w:rPr>
          <w:rFonts w:cs="Arial"/>
          <w:color w:val="000000" w:themeColor="text1"/>
          <w:sz w:val="22"/>
          <w:szCs w:val="22"/>
          <w:lang w:val="fr-FR"/>
        </w:rPr>
        <w:t>.</w:t>
      </w:r>
    </w:p>
    <w:p w14:paraId="5F22F7B6" w14:textId="77777777" w:rsidR="00317A18" w:rsidRPr="0046394E" w:rsidRDefault="00317A18" w:rsidP="00317A18">
      <w:pPr>
        <w:ind w:left="284" w:hanging="284"/>
        <w:rPr>
          <w:rFonts w:cs="Arial"/>
          <w:szCs w:val="22"/>
          <w:lang w:val="en-AU"/>
        </w:rPr>
      </w:pPr>
      <w:r w:rsidRPr="0046394E">
        <w:rPr>
          <w:rFonts w:cs="Arial"/>
          <w:szCs w:val="22"/>
          <w:lang w:val="fr-FR"/>
        </w:rPr>
        <w:t xml:space="preserve">Parsons, T.R., Maita, Y., Lalli, C.M. (1984). </w:t>
      </w:r>
      <w:r w:rsidRPr="0046394E">
        <w:rPr>
          <w:rFonts w:cs="Arial"/>
          <w:szCs w:val="22"/>
          <w:lang w:val="en-AU"/>
        </w:rPr>
        <w:t>A Manual of Chemical and Biological Methods for Seawater Analysis. Oxford, Pergamon Press</w:t>
      </w:r>
      <w:r w:rsidR="00E201D7">
        <w:rPr>
          <w:rFonts w:cs="Arial"/>
          <w:szCs w:val="22"/>
          <w:lang w:val="en-AU"/>
        </w:rPr>
        <w:t>.</w:t>
      </w:r>
    </w:p>
    <w:p w14:paraId="5F22F7B7" w14:textId="77777777" w:rsidR="00125B86" w:rsidRPr="0046394E" w:rsidRDefault="00125B86" w:rsidP="00317A18">
      <w:pPr>
        <w:ind w:left="284" w:hanging="284"/>
        <w:rPr>
          <w:rFonts w:cs="Arial"/>
          <w:szCs w:val="22"/>
          <w:lang w:val="en-AU" w:eastAsia="en-AU"/>
        </w:rPr>
      </w:pPr>
      <w:r w:rsidRPr="0046394E">
        <w:rPr>
          <w:rFonts w:cs="Arial"/>
          <w:szCs w:val="22"/>
          <w:lang w:val="en-AU" w:eastAsia="en-AU"/>
        </w:rPr>
        <w:t xml:space="preserve">Petus C, Devlin M, Thompson A., McKenzie L, Teixeira da Silva E, Collier C, Tracey D, Martin K ( in review). Estimating the exposure of coral reefs and seagrass meadows to land-sourced contaminants in river flood plumes of the Great Barrier Reef: validating a simple Satellite Risk Framework with Environmental Data. Remote Sensing. </w:t>
      </w:r>
    </w:p>
    <w:p w14:paraId="5F22F7B8" w14:textId="77777777" w:rsidR="00125B86" w:rsidRPr="0046394E" w:rsidRDefault="00125B86" w:rsidP="00317A18">
      <w:pPr>
        <w:ind w:left="284" w:hanging="284"/>
        <w:rPr>
          <w:rFonts w:cs="Arial"/>
          <w:szCs w:val="22"/>
          <w:lang w:val="en-AU" w:eastAsia="en-AU"/>
        </w:rPr>
      </w:pPr>
      <w:r w:rsidRPr="0046394E">
        <w:rPr>
          <w:rFonts w:cs="Arial"/>
          <w:szCs w:val="22"/>
          <w:lang w:val="en-AU" w:eastAsia="en-AU"/>
        </w:rPr>
        <w:t>Petus C, Teixera da Silva E, Devlin M, Álvarez-Romero J, Wenger A (2014a). Using MODIS data for mapping of water types within flood plumes in the Great Barrier Reef, Australia: towards the production of river plume risk maps for reef and seagrass ecosystems. Journal of environmental management 137, 163-177</w:t>
      </w:r>
      <w:r w:rsidR="00E201D7">
        <w:rPr>
          <w:rFonts w:cs="Arial"/>
          <w:szCs w:val="22"/>
          <w:lang w:val="en-AU" w:eastAsia="en-AU"/>
        </w:rPr>
        <w:t>.</w:t>
      </w:r>
    </w:p>
    <w:p w14:paraId="5F22F7B9" w14:textId="77777777" w:rsidR="00125B86" w:rsidRPr="0046394E" w:rsidRDefault="00125B86" w:rsidP="00317A18">
      <w:pPr>
        <w:ind w:left="284" w:hanging="284"/>
        <w:rPr>
          <w:rFonts w:cs="Arial"/>
          <w:szCs w:val="22"/>
          <w:lang w:val="en-AU" w:eastAsia="en-AU"/>
        </w:rPr>
      </w:pPr>
      <w:r w:rsidRPr="0046394E">
        <w:rPr>
          <w:rFonts w:cs="Arial"/>
          <w:szCs w:val="22"/>
          <w:lang w:val="en-AU" w:eastAsia="en-AU"/>
        </w:rPr>
        <w:t>Petus C, Collier C, Devlin M, Rasheed M, McKenna S (2014b). Using MODIS data for understanding changes in seagrass meadow health: A case study in the Great Barrier Reef (Australia). Marine environmental research 98, 68–85</w:t>
      </w:r>
      <w:r w:rsidR="00E201D7">
        <w:rPr>
          <w:rFonts w:cs="Arial"/>
          <w:szCs w:val="22"/>
          <w:lang w:val="en-AU" w:eastAsia="en-AU"/>
        </w:rPr>
        <w:t>.</w:t>
      </w:r>
    </w:p>
    <w:p w14:paraId="5F22F7BA" w14:textId="77777777" w:rsidR="00317A18" w:rsidRPr="0046394E" w:rsidRDefault="00317A18" w:rsidP="00317A18">
      <w:pPr>
        <w:ind w:left="284" w:hanging="284"/>
        <w:rPr>
          <w:rFonts w:cs="Arial"/>
          <w:szCs w:val="22"/>
          <w:lang w:val="en-AU" w:eastAsia="en-AU"/>
        </w:rPr>
      </w:pPr>
      <w:r w:rsidRPr="0046394E">
        <w:rPr>
          <w:rFonts w:cs="Arial"/>
          <w:szCs w:val="22"/>
          <w:lang w:val="en-AU" w:eastAsia="en-AU"/>
        </w:rPr>
        <w:t>Pinheiro JC, Bates DM (2000) Mixed-Effects Models in S and S-PLUS, </w:t>
      </w:r>
      <w:r w:rsidRPr="0046394E">
        <w:rPr>
          <w:rFonts w:cs="Arial"/>
          <w:iCs/>
          <w:szCs w:val="22"/>
          <w:lang w:val="en-AU" w:eastAsia="en-AU"/>
        </w:rPr>
        <w:t>Statistics and Computing Series</w:t>
      </w:r>
      <w:r w:rsidRPr="0046394E">
        <w:rPr>
          <w:rFonts w:cs="Arial"/>
          <w:szCs w:val="22"/>
          <w:lang w:val="en-AU" w:eastAsia="en-AU"/>
        </w:rPr>
        <w:t>, Springer-Verlag, New York, NY</w:t>
      </w:r>
      <w:r w:rsidR="00E201D7">
        <w:rPr>
          <w:rFonts w:cs="Arial"/>
          <w:szCs w:val="22"/>
          <w:lang w:val="en-AU" w:eastAsia="en-AU"/>
        </w:rPr>
        <w:t>.</w:t>
      </w:r>
    </w:p>
    <w:p w14:paraId="5F22F7BB" w14:textId="77777777" w:rsidR="00317A18" w:rsidRPr="0046394E" w:rsidRDefault="00317A18" w:rsidP="00317A18">
      <w:pPr>
        <w:pStyle w:val="Reportrefs"/>
        <w:spacing w:after="120"/>
        <w:ind w:left="284" w:hanging="284"/>
        <w:rPr>
          <w:rFonts w:cs="Arial"/>
          <w:sz w:val="22"/>
          <w:szCs w:val="22"/>
          <w:lang w:val="en-AU"/>
        </w:rPr>
      </w:pPr>
      <w:r w:rsidRPr="0046394E">
        <w:rPr>
          <w:rFonts w:cs="Arial"/>
          <w:sz w:val="22"/>
          <w:szCs w:val="22"/>
          <w:lang w:val="en-AU"/>
        </w:rPr>
        <w:t>R Development Core Team (2013). R: A language and environment for statistical computing. R Foundation for Statistical Computing, Vienna, Austria</w:t>
      </w:r>
      <w:r w:rsidR="00E201D7">
        <w:rPr>
          <w:rFonts w:cs="Arial"/>
          <w:sz w:val="22"/>
          <w:szCs w:val="22"/>
          <w:lang w:val="en-AU"/>
        </w:rPr>
        <w:t>.</w:t>
      </w:r>
      <w:r w:rsidRPr="0046394E">
        <w:rPr>
          <w:rFonts w:cs="Arial"/>
          <w:sz w:val="22"/>
          <w:szCs w:val="22"/>
          <w:lang w:val="en-AU"/>
        </w:rPr>
        <w:t xml:space="preserve"> </w:t>
      </w:r>
    </w:p>
    <w:p w14:paraId="5F22F7BC" w14:textId="77777777" w:rsidR="00317A18" w:rsidRPr="0046394E" w:rsidRDefault="00317A18" w:rsidP="00317A18">
      <w:pPr>
        <w:ind w:left="284" w:hanging="284"/>
        <w:rPr>
          <w:rFonts w:cs="Arial"/>
          <w:color w:val="000000" w:themeColor="text1"/>
          <w:szCs w:val="22"/>
          <w:lang w:val="en-AU"/>
        </w:rPr>
      </w:pPr>
      <w:r w:rsidRPr="0046394E">
        <w:rPr>
          <w:rFonts w:cs="Arial"/>
          <w:szCs w:val="22"/>
          <w:lang w:val="en-AU"/>
        </w:rPr>
        <w:t>Reader HE, Stedmon CA, Kritzberg ES (2014) Seasonal contribution of terrestrial organic matter</w:t>
      </w:r>
      <w:r w:rsidRPr="0046394E">
        <w:rPr>
          <w:rStyle w:val="pbtocarticletitle1"/>
          <w:rFonts w:ascii="Arial" w:hAnsi="Arial" w:cs="Arial"/>
          <w:b w:val="0"/>
          <w:bCs w:val="0"/>
          <w:szCs w:val="22"/>
          <w:lang w:val="en-AU"/>
        </w:rPr>
        <w:t xml:space="preserve"> </w:t>
      </w:r>
      <w:r w:rsidRPr="0046394E">
        <w:rPr>
          <w:rFonts w:cs="Arial"/>
          <w:szCs w:val="22"/>
          <w:lang w:val="en-AU"/>
        </w:rPr>
        <w:t xml:space="preserve">and biological oxygen demand to the Baltic Sea from three contrasting river catchments. </w:t>
      </w:r>
      <w:r w:rsidRPr="0046394E">
        <w:rPr>
          <w:rFonts w:eastAsia="SimSun" w:cs="Arial"/>
          <w:szCs w:val="22"/>
          <w:lang w:val="en-AU"/>
        </w:rPr>
        <w:t>Biogeosciences 11: 3409-3419</w:t>
      </w:r>
      <w:r w:rsidR="00E201D7">
        <w:rPr>
          <w:rFonts w:eastAsia="SimSun" w:cs="Arial"/>
          <w:szCs w:val="22"/>
          <w:lang w:val="en-AU"/>
        </w:rPr>
        <w:t>.</w:t>
      </w:r>
    </w:p>
    <w:p w14:paraId="5F22F7BD" w14:textId="77777777" w:rsidR="00317A18" w:rsidRPr="0046394E" w:rsidRDefault="00317A18" w:rsidP="00317A18">
      <w:pPr>
        <w:ind w:left="284" w:hanging="284"/>
        <w:rPr>
          <w:rFonts w:cs="Arial"/>
          <w:szCs w:val="22"/>
          <w:lang w:val="en-AU"/>
        </w:rPr>
      </w:pPr>
      <w:r w:rsidRPr="0046394E">
        <w:rPr>
          <w:rFonts w:cs="Arial"/>
          <w:szCs w:val="22"/>
          <w:lang w:val="en-AU"/>
        </w:rPr>
        <w:t xml:space="preserve">Redfield AC, Ketchum BK, Richards FA (1963) The influence of organisms on the composition of sea–water. In: The Sea vol. 2, The Composition of Sea Water: Comparative and Descriptive Oceanography, Ed. Hill M.N. Wiley–Interscience, pp. 26– 77. </w:t>
      </w:r>
    </w:p>
    <w:p w14:paraId="5F22F7BE" w14:textId="7F8F4EFA" w:rsidR="00317A18" w:rsidRPr="0046394E" w:rsidRDefault="00317A18" w:rsidP="00317A18">
      <w:pPr>
        <w:ind w:left="284" w:hanging="284"/>
        <w:rPr>
          <w:rStyle w:val="A3"/>
          <w:rFonts w:eastAsia="SimSun" w:cs="Arial"/>
          <w:szCs w:val="22"/>
          <w:lang w:val="en-AU"/>
        </w:rPr>
      </w:pPr>
      <w:r w:rsidRPr="0046394E">
        <w:rPr>
          <w:rFonts w:cs="Arial"/>
          <w:szCs w:val="22"/>
          <w:lang w:val="en-AU"/>
        </w:rPr>
        <w:t xml:space="preserve">Rudnick DL, Davis RE (2003) Red noise and regime shifts. </w:t>
      </w:r>
      <w:r w:rsidRPr="0046394E">
        <w:rPr>
          <w:rFonts w:cs="Arial"/>
          <w:i/>
          <w:iCs/>
          <w:szCs w:val="22"/>
          <w:lang w:val="en-AU"/>
        </w:rPr>
        <w:t xml:space="preserve">Deep Sea Research Part I </w:t>
      </w:r>
      <w:r w:rsidRPr="0046394E">
        <w:rPr>
          <w:rFonts w:cs="Arial"/>
          <w:bCs/>
          <w:szCs w:val="22"/>
          <w:lang w:val="en-AU"/>
        </w:rPr>
        <w:t>50:</w:t>
      </w:r>
      <w:r w:rsidRPr="0046394E">
        <w:rPr>
          <w:rFonts w:cs="Arial"/>
          <w:szCs w:val="22"/>
          <w:lang w:val="en-AU"/>
        </w:rPr>
        <w:t xml:space="preserve"> 691–699 </w:t>
      </w:r>
    </w:p>
    <w:p w14:paraId="5F22F7BF" w14:textId="77777777" w:rsidR="00317A18" w:rsidRPr="0046394E" w:rsidRDefault="00317A18" w:rsidP="00317A18">
      <w:pPr>
        <w:ind w:left="284" w:hanging="284"/>
        <w:rPr>
          <w:rFonts w:cs="Arial"/>
          <w:szCs w:val="22"/>
          <w:lang w:val="en-AU"/>
        </w:rPr>
      </w:pPr>
      <w:r w:rsidRPr="0046394E">
        <w:rPr>
          <w:rFonts w:cs="Arial"/>
          <w:szCs w:val="22"/>
          <w:lang w:val="de-DE"/>
        </w:rPr>
        <w:t xml:space="preserve">Ryle, V. D., Mueller, H. R., Gentien, P (1981). </w:t>
      </w:r>
      <w:r w:rsidRPr="0046394E">
        <w:rPr>
          <w:rFonts w:cs="Arial"/>
          <w:szCs w:val="22"/>
          <w:lang w:val="en-AU"/>
        </w:rPr>
        <w:t>Automated analysis of nutrients in tropical sea waters. AIMS Technical Bulletin, Oceanography Series No. 3, Australian Institute of Marine Science, Townsville. 24 p</w:t>
      </w:r>
      <w:r w:rsidR="00E201D7">
        <w:rPr>
          <w:rFonts w:cs="Arial"/>
          <w:szCs w:val="22"/>
          <w:lang w:val="en-AU"/>
        </w:rPr>
        <w:t>p.</w:t>
      </w:r>
    </w:p>
    <w:p w14:paraId="5F22F7C0" w14:textId="77777777" w:rsidR="00997051" w:rsidRPr="0046394E" w:rsidRDefault="00997051" w:rsidP="00317A18">
      <w:pPr>
        <w:ind w:left="284" w:hanging="284"/>
        <w:rPr>
          <w:rFonts w:cs="Arial"/>
          <w:szCs w:val="22"/>
        </w:rPr>
      </w:pPr>
      <w:r w:rsidRPr="0046394E">
        <w:rPr>
          <w:rFonts w:cs="Arial"/>
          <w:szCs w:val="22"/>
        </w:rPr>
        <w:t>Sakamoto, Y., Ishiguro, M., and Kitagawa G. (1986). Akaike Information Criterion Statistics. D. Reidel Publishing Company.</w:t>
      </w:r>
    </w:p>
    <w:p w14:paraId="5F22F7C1" w14:textId="77777777" w:rsidR="00317A18" w:rsidRPr="0046394E" w:rsidRDefault="00317A18" w:rsidP="00317A18">
      <w:pPr>
        <w:ind w:left="284" w:hanging="284"/>
        <w:rPr>
          <w:rFonts w:cs="Arial"/>
          <w:szCs w:val="22"/>
          <w:lang w:val="en-AU"/>
        </w:rPr>
      </w:pPr>
      <w:r w:rsidRPr="0046394E">
        <w:rPr>
          <w:rFonts w:cs="Arial"/>
          <w:szCs w:val="22"/>
          <w:lang w:val="en-AU"/>
        </w:rPr>
        <w:t>Schaffelke B, Anthony K, Blake J, Brodie J, Collier C, Devlin M, Fabricius K, Martin K, McKenzie L, Negri A, Ronan M, Thompson A, Warne M (</w:t>
      </w:r>
      <w:r w:rsidRPr="0046394E">
        <w:rPr>
          <w:rFonts w:cs="Arial"/>
          <w:bCs/>
          <w:szCs w:val="22"/>
          <w:lang w:val="en-AU"/>
        </w:rPr>
        <w:t>2013).</w:t>
      </w:r>
      <w:r w:rsidRPr="0046394E">
        <w:rPr>
          <w:rFonts w:cs="Arial"/>
          <w:bCs/>
          <w:i/>
          <w:szCs w:val="22"/>
          <w:lang w:val="en-AU"/>
        </w:rPr>
        <w:t xml:space="preserve"> </w:t>
      </w:r>
      <w:r w:rsidRPr="0046394E">
        <w:rPr>
          <w:rFonts w:cs="Arial"/>
          <w:bCs/>
          <w:szCs w:val="22"/>
          <w:lang w:val="en-AU"/>
        </w:rPr>
        <w:t>Supporting evidence to</w:t>
      </w:r>
      <w:r w:rsidRPr="0046394E">
        <w:rPr>
          <w:rFonts w:cs="Arial"/>
          <w:bCs/>
          <w:i/>
          <w:szCs w:val="22"/>
          <w:lang w:val="en-AU"/>
        </w:rPr>
        <w:t xml:space="preserve"> Scientific consensus statement: </w:t>
      </w:r>
      <w:r w:rsidRPr="0046394E">
        <w:rPr>
          <w:rFonts w:cs="Arial"/>
          <w:i/>
          <w:szCs w:val="22"/>
          <w:lang w:val="en-AU"/>
        </w:rPr>
        <w:t>Land use impacts on Great Barrier Reef water quality and ecosystem condition.</w:t>
      </w:r>
      <w:r w:rsidRPr="0046394E">
        <w:rPr>
          <w:rFonts w:cs="Arial"/>
          <w:szCs w:val="22"/>
          <w:lang w:val="en-AU"/>
        </w:rPr>
        <w:t xml:space="preserve"> </w:t>
      </w:r>
      <w:r w:rsidRPr="0046394E">
        <w:rPr>
          <w:rFonts w:cs="Arial"/>
          <w:i/>
          <w:szCs w:val="22"/>
          <w:lang w:val="en-AU"/>
        </w:rPr>
        <w:t>Chapter 1, Marine and Coastal ecosystem impacts</w:t>
      </w:r>
      <w:r w:rsidRPr="0046394E">
        <w:rPr>
          <w:rFonts w:cs="Arial"/>
          <w:szCs w:val="22"/>
          <w:lang w:val="en-AU"/>
        </w:rPr>
        <w:t>, Reef Water Quality Protection Plan Secretariat, Brisbane.</w:t>
      </w:r>
      <w:r w:rsidRPr="0046394E">
        <w:rPr>
          <w:rFonts w:cs="Arial"/>
          <w:szCs w:val="22"/>
          <w:u w:val="single"/>
          <w:lang w:val="en-AU"/>
        </w:rPr>
        <w:t xml:space="preserve"> </w:t>
      </w:r>
      <w:r w:rsidRPr="0046394E">
        <w:rPr>
          <w:rFonts w:cs="Arial"/>
          <w:szCs w:val="22"/>
          <w:lang w:val="en-AU"/>
        </w:rPr>
        <w:t xml:space="preserve">Available at: </w:t>
      </w:r>
      <w:r w:rsidRPr="0046394E">
        <w:rPr>
          <w:rFonts w:eastAsia="MS Mincho" w:cs="Arial"/>
          <w:bCs/>
          <w:szCs w:val="22"/>
          <w:lang w:val="en-AU" w:eastAsia="en-AU"/>
        </w:rPr>
        <w:t>www.reefplan.qld.gov.au</w:t>
      </w:r>
    </w:p>
    <w:p w14:paraId="5F22F7C2" w14:textId="77777777" w:rsidR="00317A18" w:rsidRPr="0046394E" w:rsidRDefault="00317A18" w:rsidP="00317A18">
      <w:pPr>
        <w:ind w:left="284" w:hanging="284"/>
        <w:rPr>
          <w:rFonts w:cs="Arial"/>
          <w:szCs w:val="22"/>
          <w:lang w:val="en-AU"/>
        </w:rPr>
      </w:pPr>
      <w:r w:rsidRPr="0046394E">
        <w:rPr>
          <w:rFonts w:cs="Arial"/>
          <w:szCs w:val="22"/>
          <w:lang w:val="en-AU"/>
        </w:rPr>
        <w:t>Schaffelke B, Carleton J, Skuza M, Zagorskis I, Furnas MJ (2012a) Water quality in the inshore Great Barrier Reef lagoon: Implications for long-term monitoring and management. Marine Pollution Bulletin 65: 249-260. DOI: 10.1016/j.marpolbul.2011.10.031</w:t>
      </w:r>
    </w:p>
    <w:p w14:paraId="5F22F7C3" w14:textId="77777777" w:rsidR="00317A18" w:rsidRPr="0046394E" w:rsidRDefault="00317A18" w:rsidP="00317A18">
      <w:pPr>
        <w:pStyle w:val="Reportrefs"/>
        <w:spacing w:after="120"/>
        <w:ind w:left="284" w:hanging="284"/>
        <w:rPr>
          <w:rFonts w:cs="Arial"/>
          <w:sz w:val="22"/>
          <w:szCs w:val="22"/>
          <w:lang w:val="en-AU"/>
        </w:rPr>
      </w:pPr>
      <w:r w:rsidRPr="0046394E">
        <w:rPr>
          <w:rFonts w:cs="Arial"/>
          <w:sz w:val="22"/>
          <w:szCs w:val="22"/>
          <w:lang w:val="en-AU"/>
        </w:rPr>
        <w:t>Schaffelke B, Carleton J, Costello P, Davidson J, Doyle J, Furnas M, Gunn K, Skuza M, Wright M, Zagorskis I (2012b) Reef Rescue Marine Monitoring Program. Final Report of AIMS Activities 2011/12– Inshore Water Quality Monitoring. Report for the Great Barrier Reef Marine Park Authority. Australian Institute of Marine Science, Townsville 94p</w:t>
      </w:r>
      <w:r w:rsidR="00E201D7">
        <w:rPr>
          <w:rFonts w:cs="Arial"/>
          <w:sz w:val="22"/>
          <w:szCs w:val="22"/>
          <w:lang w:val="en-AU"/>
        </w:rPr>
        <w:t>p.</w:t>
      </w:r>
    </w:p>
    <w:p w14:paraId="5F22F7C4" w14:textId="77777777" w:rsidR="00317A18" w:rsidRPr="0046394E" w:rsidRDefault="00317A18" w:rsidP="00317A18">
      <w:pPr>
        <w:ind w:left="284" w:hanging="284"/>
        <w:rPr>
          <w:rFonts w:cs="Arial"/>
          <w:szCs w:val="22"/>
          <w:lang w:val="en-AU"/>
        </w:rPr>
      </w:pPr>
      <w:r w:rsidRPr="0046394E">
        <w:rPr>
          <w:rFonts w:cs="Arial"/>
          <w:szCs w:val="22"/>
          <w:lang w:val="en-AU"/>
        </w:rPr>
        <w:t>Schaffelke B, Thompson A, Carleton J, Davidson J, Doyle J, Furnas M, Gunn K, Skuza M, Wright M, Zagorskis I (2009) Reef Rescue Marine Monitoring Program. Final Report of AIMS Activities 2008/09. Report for Reef and Rainforest Research Centre. Australian Institute of Marine Science, Townsville. 146p</w:t>
      </w:r>
      <w:r w:rsidR="00E201D7">
        <w:rPr>
          <w:rFonts w:cs="Arial"/>
          <w:szCs w:val="22"/>
          <w:lang w:val="en-AU"/>
        </w:rPr>
        <w:t>p.</w:t>
      </w:r>
    </w:p>
    <w:p w14:paraId="5F22F7C5" w14:textId="1EDFDED6" w:rsidR="00006CD8" w:rsidRPr="0046394E" w:rsidRDefault="00006CD8" w:rsidP="00317A18">
      <w:pPr>
        <w:ind w:left="284" w:hanging="284"/>
        <w:rPr>
          <w:rFonts w:cs="Arial"/>
          <w:noProof/>
          <w:szCs w:val="22"/>
          <w:lang w:val="en-AU"/>
        </w:rPr>
      </w:pPr>
      <w:r w:rsidRPr="0046394E">
        <w:rPr>
          <w:rFonts w:cs="Arial"/>
          <w:noProof/>
          <w:szCs w:val="22"/>
          <w:lang w:val="en-AU"/>
        </w:rPr>
        <w:t>Schaffelke B, Mellors J, Duke NC (2005) Water quality in the Great Barrier Reef region: responses of mangrove, seagrass and macroalgal communities. Marine Pollution Bulletin 51:279-296.</w:t>
      </w:r>
    </w:p>
    <w:p w14:paraId="5F22F7C6" w14:textId="0D7481ED" w:rsidR="00006CD8" w:rsidRPr="0046394E" w:rsidRDefault="00006CD8" w:rsidP="00211A02">
      <w:pPr>
        <w:ind w:left="284" w:hanging="284"/>
        <w:rPr>
          <w:rFonts w:cs="Arial"/>
          <w:szCs w:val="22"/>
          <w:lang w:val="en-AU"/>
        </w:rPr>
      </w:pPr>
      <w:r w:rsidRPr="0046394E">
        <w:rPr>
          <w:rFonts w:cs="Arial"/>
          <w:szCs w:val="22"/>
          <w:lang w:val="en-AU"/>
        </w:rPr>
        <w:t>Schaffelke B (1999) Short-term nutrient pulses as tools to assess responses of coral reef macroalgae to enhanced nutrient availability. Marine Ecology Progress Series 1999:305-310.</w:t>
      </w:r>
    </w:p>
    <w:p w14:paraId="5F22F7C7" w14:textId="77777777" w:rsidR="00317A18" w:rsidRPr="0046394E" w:rsidRDefault="00317A18" w:rsidP="00317A18">
      <w:pPr>
        <w:ind w:left="284" w:hanging="284"/>
        <w:rPr>
          <w:rFonts w:cs="Arial"/>
          <w:szCs w:val="22"/>
          <w:lang w:val="en-AU"/>
        </w:rPr>
      </w:pPr>
      <w:r w:rsidRPr="0046394E">
        <w:rPr>
          <w:rFonts w:cs="Arial"/>
          <w:szCs w:val="22"/>
          <w:lang w:val="en-AU"/>
        </w:rPr>
        <w:t>Schiller A, Herzfeld M, Brinkman R, Rizwi F, Andrewartha J (2015) Cross-shelf exchanges between the Coral Sea and the Great Barrier Reef lagoon determined from a regional-scale numerical model, Continental Shelf Research  109: 150-163</w:t>
      </w:r>
      <w:r w:rsidR="00E201D7">
        <w:rPr>
          <w:rFonts w:cs="Arial"/>
          <w:szCs w:val="22"/>
          <w:lang w:val="en-AU"/>
        </w:rPr>
        <w:t>.</w:t>
      </w:r>
    </w:p>
    <w:p w14:paraId="5F22F7C8" w14:textId="014AFFE4" w:rsidR="00317A18" w:rsidRPr="0046394E" w:rsidRDefault="00317A18" w:rsidP="00317A18">
      <w:pPr>
        <w:autoSpaceDE w:val="0"/>
        <w:autoSpaceDN w:val="0"/>
        <w:adjustRightInd w:val="0"/>
        <w:ind w:left="284" w:hanging="284"/>
        <w:rPr>
          <w:rFonts w:eastAsiaTheme="minorHAnsi" w:cs="Arial"/>
          <w:szCs w:val="22"/>
          <w:lang w:val="en-AU"/>
        </w:rPr>
      </w:pPr>
      <w:r w:rsidRPr="0046394E">
        <w:rPr>
          <w:rFonts w:eastAsiaTheme="minorHAnsi" w:cs="Arial"/>
          <w:szCs w:val="22"/>
          <w:lang w:val="en-AU"/>
        </w:rPr>
        <w:t xml:space="preserve">Seitzinger SP, Harrison JA, Dumont E, Beusen AHW, Bouwman AF (2005) Sources and delivery of carbon, nitrogen, and phosphorus to the coastal zone: an overview  of Global Nutrient Export from Watersheds (NEWS) models and their application. </w:t>
      </w:r>
      <w:r w:rsidRPr="0046394E">
        <w:rPr>
          <w:rFonts w:cs="Arial"/>
          <w:szCs w:val="22"/>
          <w:lang w:val="en-AU"/>
        </w:rPr>
        <w:t xml:space="preserve">Global Biogeochemical  Cycles  </w:t>
      </w:r>
      <w:r w:rsidRPr="0046394E">
        <w:rPr>
          <w:rFonts w:eastAsiaTheme="minorHAnsi" w:cs="Arial"/>
          <w:szCs w:val="22"/>
          <w:lang w:val="en-AU"/>
        </w:rPr>
        <w:t xml:space="preserve">19: </w:t>
      </w:r>
      <w:hyperlink r:id="rId385" w:history="1">
        <w:r w:rsidRPr="0046394E">
          <w:rPr>
            <w:rStyle w:val="Hyperlink"/>
            <w:rFonts w:eastAsiaTheme="minorHAnsi" w:cs="Arial"/>
            <w:szCs w:val="22"/>
            <w:lang w:val="en-AU"/>
          </w:rPr>
          <w:t>http://dx.doi.org/10.1029/2005GB002606</w:t>
        </w:r>
      </w:hyperlink>
      <w:r w:rsidRPr="0046394E">
        <w:rPr>
          <w:rFonts w:eastAsiaTheme="minorHAnsi" w:cs="Arial"/>
          <w:szCs w:val="22"/>
          <w:lang w:val="en-AU"/>
        </w:rPr>
        <w:t>.</w:t>
      </w:r>
    </w:p>
    <w:p w14:paraId="5F22F7C9" w14:textId="77777777" w:rsidR="00317A18" w:rsidRPr="0046394E" w:rsidRDefault="00317A18" w:rsidP="00317A18">
      <w:pPr>
        <w:autoSpaceDE w:val="0"/>
        <w:autoSpaceDN w:val="0"/>
        <w:adjustRightInd w:val="0"/>
        <w:ind w:left="284" w:hanging="284"/>
        <w:rPr>
          <w:rFonts w:eastAsiaTheme="minorHAnsi" w:cs="Arial"/>
          <w:szCs w:val="22"/>
          <w:lang w:val="en-AU"/>
        </w:rPr>
      </w:pPr>
      <w:r w:rsidRPr="0046394E">
        <w:rPr>
          <w:rFonts w:eastAsiaTheme="minorHAnsi" w:cs="Arial"/>
          <w:szCs w:val="22"/>
          <w:lang w:val="en-AU"/>
        </w:rPr>
        <w:t>Statham PJ (2012) Nutrients in estuaries e an overview and the potential impacts of climate change. Science of the total Environment  434: 213-227</w:t>
      </w:r>
      <w:r w:rsidR="00E201D7">
        <w:rPr>
          <w:rFonts w:eastAsiaTheme="minorHAnsi" w:cs="Arial"/>
          <w:szCs w:val="22"/>
          <w:lang w:val="en-AU"/>
        </w:rPr>
        <w:t>.</w:t>
      </w:r>
    </w:p>
    <w:p w14:paraId="5F22F7CA" w14:textId="77777777" w:rsidR="00317A18" w:rsidRPr="0046394E" w:rsidRDefault="00317A18" w:rsidP="00317A18">
      <w:pPr>
        <w:pStyle w:val="Reportrefs"/>
        <w:spacing w:after="120"/>
        <w:ind w:left="284" w:hanging="284"/>
        <w:rPr>
          <w:rFonts w:cs="Arial"/>
          <w:sz w:val="22"/>
          <w:szCs w:val="22"/>
          <w:lang w:val="en-AU"/>
        </w:rPr>
      </w:pPr>
      <w:r w:rsidRPr="0046394E">
        <w:rPr>
          <w:rFonts w:cs="Arial"/>
          <w:sz w:val="22"/>
          <w:szCs w:val="22"/>
          <w:lang w:val="en-AU"/>
        </w:rPr>
        <w:t>Thornton DCO (2014) Dissolved organic matter (DOM) release by phytoplankton in the contemporary and future ocean European Journal of Phycology 49: 20-46.</w:t>
      </w:r>
    </w:p>
    <w:p w14:paraId="5F22F7CB" w14:textId="77777777" w:rsidR="00317A18" w:rsidRPr="0046394E" w:rsidRDefault="00317A18" w:rsidP="00317A18">
      <w:pPr>
        <w:pStyle w:val="Reportrefs"/>
        <w:spacing w:after="120"/>
        <w:ind w:left="284" w:hanging="284"/>
        <w:rPr>
          <w:rFonts w:eastAsia="MS Mincho" w:cs="Arial"/>
          <w:sz w:val="22"/>
          <w:szCs w:val="22"/>
          <w:lang w:val="en-AU" w:eastAsia="ja-JP"/>
        </w:rPr>
      </w:pPr>
      <w:r w:rsidRPr="0046394E">
        <w:rPr>
          <w:rFonts w:eastAsia="MS Mincho" w:cs="Arial"/>
          <w:sz w:val="22"/>
          <w:szCs w:val="22"/>
          <w:lang w:val="en-AU" w:eastAsia="ja-JP"/>
        </w:rPr>
        <w:t xml:space="preserve">Thompson A, Costello P, Davidson J, Logan M, Schaffelke B, Takahashi M, Uthicke S (2012) Reef Rescue Marine Monitoring Program. Final Report of AIMS Activities 2011 Inshore coral reef monitoring. Report for Great Barrier Reef Marine Park Authority. Australian Institute of Marine Science, Townsville </w:t>
      </w:r>
    </w:p>
    <w:p w14:paraId="5F22F7CC" w14:textId="77777777" w:rsidR="00317A18" w:rsidRPr="0046394E" w:rsidRDefault="00317A18" w:rsidP="00317A18">
      <w:pPr>
        <w:ind w:left="284" w:hanging="284"/>
        <w:rPr>
          <w:rFonts w:cs="Arial"/>
          <w:szCs w:val="22"/>
          <w:lang w:val="en-AU"/>
        </w:rPr>
      </w:pPr>
      <w:r w:rsidRPr="0046394E">
        <w:rPr>
          <w:rFonts w:cs="Arial"/>
          <w:szCs w:val="22"/>
          <w:lang w:val="en-AU"/>
        </w:rPr>
        <w:t>Thompson A, Schaffelke B, De’ath G, Cripps E, Sweatman H (2010) Water Quality and Ecosystem Monitoring Programme-Reef Water Quality Protection Plan. Synthesis and spatial analysis of inshore monitoring data 2005-08. Report to the Great Barrier Reef Marine Park Authority. Australian Institute of Marine Science, Townsville. 81p</w:t>
      </w:r>
      <w:r w:rsidR="00E201D7">
        <w:rPr>
          <w:rFonts w:cs="Arial"/>
          <w:szCs w:val="22"/>
          <w:lang w:val="en-AU"/>
        </w:rPr>
        <w:t>p.</w:t>
      </w:r>
    </w:p>
    <w:p w14:paraId="5F22F7CD" w14:textId="77777777" w:rsidR="00A107D0" w:rsidRPr="0046394E" w:rsidRDefault="00A107D0" w:rsidP="00A107D0">
      <w:pPr>
        <w:pStyle w:val="Reportrefs"/>
        <w:spacing w:after="120"/>
        <w:ind w:left="284" w:hanging="284"/>
        <w:rPr>
          <w:rFonts w:cs="Arial"/>
          <w:sz w:val="22"/>
          <w:szCs w:val="22"/>
          <w:lang w:val="en-AU"/>
        </w:rPr>
      </w:pPr>
      <w:r w:rsidRPr="0046394E">
        <w:rPr>
          <w:rFonts w:cs="Arial"/>
          <w:sz w:val="22"/>
          <w:szCs w:val="22"/>
          <w:lang w:val="en-AU"/>
        </w:rPr>
        <w:t xml:space="preserve">Thompson A, Schaffelke B, Logan M, Costello P, Davidson J, Doyle J, Furnas M, Gunn K, Liddy M, Skuza M, Uthicke S, Wright M and Zagorskis I (2013) Reef Rescue Marine Monitoring Program. Annual Report of AIMS Activities 2012 to 2013– Inshore water quality and coral reef monitoring. Report for the Great Barrier Reef Marine Park Authority. Australian Institute of Marine Science, Townsville. 182 pp. </w:t>
      </w:r>
    </w:p>
    <w:p w14:paraId="5F22F7CE" w14:textId="77777777" w:rsidR="00A107D0" w:rsidRPr="008B403A" w:rsidRDefault="00A107D0" w:rsidP="00A107D0">
      <w:pPr>
        <w:pStyle w:val="Reportrefs"/>
        <w:spacing w:after="120"/>
        <w:ind w:left="284" w:hanging="284"/>
        <w:rPr>
          <w:rFonts w:eastAsia="MS Mincho" w:cs="Arial"/>
          <w:sz w:val="22"/>
          <w:szCs w:val="22"/>
          <w:lang w:val="en-AU"/>
        </w:rPr>
      </w:pPr>
      <w:r w:rsidRPr="0046394E">
        <w:rPr>
          <w:rFonts w:cs="Arial"/>
          <w:color w:val="222222"/>
          <w:sz w:val="22"/>
          <w:szCs w:val="22"/>
          <w:lang w:val="en-AU"/>
        </w:rPr>
        <w:t xml:space="preserve">Thompson A, Lønborg C, Costello P, Davidson J, Logan M, Furnas M, Gunn K, Liddy M, </w:t>
      </w:r>
      <w:r w:rsidRPr="0046394E">
        <w:rPr>
          <w:rFonts w:cs="Arial"/>
          <w:color w:val="222222"/>
          <w:sz w:val="22"/>
          <w:szCs w:val="22"/>
          <w:lang w:val="en-AU"/>
        </w:rPr>
        <w:br/>
        <w:t>Skuza M, Uthicke S, Wright M, Zagorskis I, Schaffelke B (2014)</w:t>
      </w:r>
      <w:r w:rsidRPr="0046394E">
        <w:rPr>
          <w:rFonts w:cs="Arial"/>
          <w:bCs/>
          <w:color w:val="000000"/>
          <w:sz w:val="22"/>
          <w:szCs w:val="22"/>
          <w:lang w:val="en-AU"/>
        </w:rPr>
        <w:t xml:space="preserve"> </w:t>
      </w:r>
      <w:r w:rsidRPr="0046394E">
        <w:rPr>
          <w:rFonts w:cs="Arial"/>
          <w:sz w:val="22"/>
          <w:szCs w:val="22"/>
          <w:lang w:val="en-AU"/>
        </w:rPr>
        <w:t xml:space="preserve">Marine Monitoring </w:t>
      </w:r>
      <w:r w:rsidRPr="008B403A">
        <w:rPr>
          <w:rFonts w:eastAsia="MS Mincho" w:cs="Arial"/>
          <w:sz w:val="22"/>
          <w:szCs w:val="22"/>
          <w:lang w:val="en-AU"/>
        </w:rPr>
        <w:t>Program. Annual Report of AIMS Activities 2013 to 2014– Inshore water quality and coral reef monitoring. Report for the Great Barrier Reef Marine Park Authority. Australian Institute of Marine Science, Townsville.160 pp</w:t>
      </w:r>
      <w:r w:rsidR="00E201D7" w:rsidRPr="008B403A">
        <w:rPr>
          <w:rFonts w:eastAsia="MS Mincho" w:cs="Arial"/>
          <w:sz w:val="22"/>
          <w:szCs w:val="22"/>
          <w:lang w:val="en-AU"/>
        </w:rPr>
        <w:t>.</w:t>
      </w:r>
    </w:p>
    <w:p w14:paraId="531FC4C4" w14:textId="1D4FCE29" w:rsidR="008B403A" w:rsidRPr="008B403A" w:rsidRDefault="008B403A" w:rsidP="008B403A">
      <w:pPr>
        <w:pStyle w:val="Reportrefs"/>
        <w:spacing w:after="120"/>
        <w:ind w:left="284" w:hanging="284"/>
        <w:rPr>
          <w:rFonts w:eastAsia="MS Mincho" w:cs="Arial"/>
          <w:sz w:val="22"/>
          <w:szCs w:val="22"/>
          <w:lang w:val="en-AU"/>
        </w:rPr>
      </w:pPr>
      <w:r w:rsidRPr="008B403A">
        <w:rPr>
          <w:rFonts w:eastAsia="MS Mincho" w:cs="Arial"/>
          <w:sz w:val="22"/>
          <w:szCs w:val="22"/>
          <w:lang w:val="en-AU"/>
        </w:rPr>
        <w:t>Turner R, Huggins R, Wallace R, Smith R, Vardy S, Warne</w:t>
      </w:r>
      <w:r>
        <w:rPr>
          <w:rFonts w:eastAsia="MS Mincho" w:cs="Arial"/>
          <w:sz w:val="22"/>
          <w:szCs w:val="22"/>
          <w:lang w:val="en-AU"/>
        </w:rPr>
        <w:t xml:space="preserve"> M</w:t>
      </w:r>
      <w:r w:rsidRPr="008B403A">
        <w:rPr>
          <w:rFonts w:eastAsia="MS Mincho" w:cs="Arial"/>
          <w:sz w:val="22"/>
          <w:szCs w:val="22"/>
          <w:lang w:val="en-AU"/>
        </w:rPr>
        <w:t xml:space="preserve">StJ </w:t>
      </w:r>
      <w:r>
        <w:rPr>
          <w:rFonts w:eastAsia="MS Mincho" w:cs="Arial"/>
          <w:sz w:val="22"/>
          <w:szCs w:val="22"/>
          <w:lang w:val="en-AU"/>
        </w:rPr>
        <w:t>(</w:t>
      </w:r>
      <w:r w:rsidRPr="008B403A">
        <w:rPr>
          <w:rFonts w:eastAsia="MS Mincho" w:cs="Arial"/>
          <w:sz w:val="22"/>
          <w:szCs w:val="22"/>
          <w:lang w:val="en-AU"/>
        </w:rPr>
        <w:t>2012</w:t>
      </w:r>
      <w:r>
        <w:rPr>
          <w:rFonts w:eastAsia="MS Mincho" w:cs="Arial"/>
          <w:sz w:val="22"/>
          <w:szCs w:val="22"/>
          <w:lang w:val="en-AU"/>
        </w:rPr>
        <w:t>)</w:t>
      </w:r>
      <w:r w:rsidRPr="008B403A">
        <w:rPr>
          <w:rFonts w:eastAsia="MS Mincho" w:cs="Arial"/>
          <w:sz w:val="22"/>
          <w:szCs w:val="22"/>
          <w:lang w:val="en-AU"/>
        </w:rPr>
        <w:t xml:space="preserve"> Sediment, Nutrient and Pesticide Loads: Great Barrier Reef Catchment Loads Monitoring 2009-2010, Department of Science, Information Technology, Innovation and the Arts, Brisbane.</w:t>
      </w:r>
    </w:p>
    <w:p w14:paraId="3154F29C" w14:textId="4277D715" w:rsidR="008B403A" w:rsidRPr="008B403A" w:rsidRDefault="008B403A" w:rsidP="008B403A">
      <w:pPr>
        <w:pStyle w:val="Reportrefs"/>
        <w:spacing w:after="120"/>
        <w:ind w:left="284" w:hanging="284"/>
        <w:rPr>
          <w:rFonts w:eastAsia="MS Mincho" w:cs="Arial"/>
          <w:sz w:val="22"/>
          <w:szCs w:val="22"/>
          <w:lang w:val="en-AU"/>
        </w:rPr>
      </w:pPr>
      <w:r w:rsidRPr="008B403A">
        <w:rPr>
          <w:rFonts w:eastAsia="MS Mincho" w:cs="Arial"/>
          <w:sz w:val="22"/>
          <w:szCs w:val="22"/>
          <w:lang w:val="en-AU"/>
        </w:rPr>
        <w:t>Turner R, Huggins</w:t>
      </w:r>
      <w:r>
        <w:rPr>
          <w:rFonts w:eastAsia="MS Mincho" w:cs="Arial"/>
          <w:sz w:val="22"/>
          <w:szCs w:val="22"/>
          <w:lang w:val="en-AU"/>
        </w:rPr>
        <w:t xml:space="preserve"> R</w:t>
      </w:r>
      <w:r w:rsidRPr="008B403A">
        <w:rPr>
          <w:rFonts w:eastAsia="MS Mincho" w:cs="Arial"/>
          <w:sz w:val="22"/>
          <w:szCs w:val="22"/>
          <w:lang w:val="en-AU"/>
        </w:rPr>
        <w:t>, Wallace R, Smith R, Vardy S, Warne</w:t>
      </w:r>
      <w:r>
        <w:rPr>
          <w:rFonts w:eastAsia="MS Mincho" w:cs="Arial"/>
          <w:sz w:val="22"/>
          <w:szCs w:val="22"/>
          <w:lang w:val="en-AU"/>
        </w:rPr>
        <w:t xml:space="preserve"> M</w:t>
      </w:r>
      <w:r w:rsidRPr="008B403A">
        <w:rPr>
          <w:rFonts w:eastAsia="MS Mincho" w:cs="Arial"/>
          <w:sz w:val="22"/>
          <w:szCs w:val="22"/>
          <w:lang w:val="en-AU"/>
        </w:rPr>
        <w:t xml:space="preserve">StJ </w:t>
      </w:r>
      <w:r>
        <w:rPr>
          <w:rFonts w:eastAsia="MS Mincho" w:cs="Arial"/>
          <w:sz w:val="22"/>
          <w:szCs w:val="22"/>
          <w:lang w:val="en-AU"/>
        </w:rPr>
        <w:t>(</w:t>
      </w:r>
      <w:r w:rsidRPr="008B403A">
        <w:rPr>
          <w:rFonts w:eastAsia="MS Mincho" w:cs="Arial"/>
          <w:sz w:val="22"/>
          <w:szCs w:val="22"/>
          <w:lang w:val="en-AU"/>
        </w:rPr>
        <w:t>2013</w:t>
      </w:r>
      <w:r>
        <w:rPr>
          <w:rFonts w:eastAsia="MS Mincho" w:cs="Arial"/>
          <w:sz w:val="22"/>
          <w:szCs w:val="22"/>
          <w:lang w:val="en-AU"/>
        </w:rPr>
        <w:t>)</w:t>
      </w:r>
      <w:r w:rsidRPr="008B403A">
        <w:rPr>
          <w:rFonts w:eastAsia="MS Mincho" w:cs="Arial"/>
          <w:sz w:val="22"/>
          <w:szCs w:val="22"/>
          <w:lang w:val="en-AU"/>
        </w:rPr>
        <w:t xml:space="preserve"> Loads of sediment, nutrients and pesticides discharged from high priority Queensland rivers in 2010-2011. Great Barrier Reef Catchment Loads Monitoring Program, Department of Science, Information Technology, Innovation and the Arts, Brisbane.</w:t>
      </w:r>
    </w:p>
    <w:p w14:paraId="0546E39D" w14:textId="61A26772" w:rsidR="00853549" w:rsidRPr="008B403A" w:rsidRDefault="00853549" w:rsidP="00A107D0">
      <w:pPr>
        <w:pStyle w:val="Reportrefs"/>
        <w:spacing w:after="120"/>
        <w:ind w:left="284" w:hanging="284"/>
        <w:rPr>
          <w:rFonts w:eastAsia="MS Mincho" w:cs="Arial"/>
          <w:sz w:val="22"/>
          <w:szCs w:val="22"/>
          <w:lang w:val="en-AU"/>
        </w:rPr>
      </w:pPr>
      <w:r w:rsidRPr="008B403A">
        <w:rPr>
          <w:rFonts w:eastAsia="MS Mincho" w:cs="Arial"/>
          <w:sz w:val="22"/>
          <w:szCs w:val="22"/>
          <w:lang w:val="en-AU"/>
        </w:rPr>
        <w:t xml:space="preserve">Tracey D, Waterhouse J, da Silva E </w:t>
      </w:r>
      <w:r w:rsidR="008B403A">
        <w:rPr>
          <w:rFonts w:eastAsia="MS Mincho" w:cs="Arial"/>
          <w:sz w:val="22"/>
          <w:szCs w:val="22"/>
          <w:lang w:val="en-AU"/>
        </w:rPr>
        <w:t>(</w:t>
      </w:r>
      <w:r w:rsidRPr="008B403A">
        <w:rPr>
          <w:rFonts w:eastAsia="MS Mincho" w:cs="Arial"/>
          <w:sz w:val="22"/>
          <w:szCs w:val="22"/>
          <w:lang w:val="en-AU"/>
        </w:rPr>
        <w:t>2016</w:t>
      </w:r>
      <w:r w:rsidR="008B403A">
        <w:rPr>
          <w:rFonts w:eastAsia="MS Mincho" w:cs="Arial"/>
          <w:sz w:val="22"/>
          <w:szCs w:val="22"/>
          <w:lang w:val="en-AU"/>
        </w:rPr>
        <w:t>)</w:t>
      </w:r>
      <w:r w:rsidRPr="008B403A">
        <w:rPr>
          <w:rFonts w:eastAsia="MS Mincho" w:cs="Arial"/>
          <w:sz w:val="22"/>
          <w:szCs w:val="22"/>
          <w:lang w:val="en-AU"/>
        </w:rPr>
        <w:t xml:space="preserve"> Preliminary investigation of alternative approaches for the Reef Plan Report Card Water Quality Metric. A Report to the Great Barrier Reef Marine Park Authority as part of the Reef Plan Marine Monitoring Program Inshore Water Quality Program. Unpublished report, July 2016.</w:t>
      </w:r>
    </w:p>
    <w:p w14:paraId="5F22F7CF" w14:textId="77777777" w:rsidR="00317A18" w:rsidRPr="0046394E" w:rsidRDefault="00317A18" w:rsidP="00317A18">
      <w:pPr>
        <w:autoSpaceDE w:val="0"/>
        <w:autoSpaceDN w:val="0"/>
        <w:adjustRightInd w:val="0"/>
        <w:ind w:left="284" w:hanging="284"/>
        <w:rPr>
          <w:rFonts w:cs="Arial"/>
          <w:szCs w:val="22"/>
          <w:lang w:val="en-AU" w:eastAsia="en-AU"/>
        </w:rPr>
      </w:pPr>
      <w:r w:rsidRPr="0046394E">
        <w:rPr>
          <w:rFonts w:cs="Arial"/>
          <w:szCs w:val="22"/>
          <w:lang w:val="en-AU"/>
        </w:rPr>
        <w:t>Uthicke S, Furnas M, Lønborg C (2014) Coral reefs on the edge? Carbon Chemistry on inshore GBR Reefs. PloS One</w:t>
      </w:r>
      <w:r w:rsidRPr="0046394E">
        <w:rPr>
          <w:rFonts w:cs="Arial"/>
          <w:i/>
          <w:szCs w:val="22"/>
          <w:lang w:val="en-AU"/>
        </w:rPr>
        <w:t xml:space="preserve"> </w:t>
      </w:r>
      <w:r w:rsidRPr="0046394E">
        <w:rPr>
          <w:rFonts w:cs="Arial"/>
          <w:szCs w:val="22"/>
          <w:lang w:val="en-AU"/>
        </w:rPr>
        <w:t>9:</w:t>
      </w:r>
      <w:r w:rsidRPr="0046394E">
        <w:rPr>
          <w:rFonts w:cs="Arial"/>
          <w:i/>
          <w:szCs w:val="22"/>
          <w:lang w:val="en-AU"/>
        </w:rPr>
        <w:t xml:space="preserve"> </w:t>
      </w:r>
      <w:r w:rsidRPr="0046394E">
        <w:rPr>
          <w:rFonts w:cs="Arial"/>
          <w:szCs w:val="22"/>
          <w:lang w:val="en-AU" w:eastAsia="en-AU"/>
        </w:rPr>
        <w:t>doi:10.1371/journal.pone.0109092</w:t>
      </w:r>
      <w:r w:rsidR="00E201D7">
        <w:rPr>
          <w:rFonts w:cs="Arial"/>
          <w:szCs w:val="22"/>
          <w:lang w:val="en-AU" w:eastAsia="en-AU"/>
        </w:rPr>
        <w:t>.</w:t>
      </w:r>
    </w:p>
    <w:p w14:paraId="5F22F7D0" w14:textId="77777777" w:rsidR="00317A18" w:rsidRPr="0046394E" w:rsidRDefault="00317A18" w:rsidP="00317A18">
      <w:pPr>
        <w:pStyle w:val="Reportrefs"/>
        <w:spacing w:after="120"/>
        <w:ind w:left="284" w:hanging="284"/>
        <w:rPr>
          <w:rFonts w:cs="Arial"/>
          <w:sz w:val="22"/>
          <w:szCs w:val="22"/>
          <w:lang w:val="en-AU"/>
        </w:rPr>
      </w:pPr>
      <w:r w:rsidRPr="0046394E">
        <w:rPr>
          <w:rFonts w:eastAsia="MS Mincho" w:cs="Arial"/>
          <w:sz w:val="22"/>
          <w:szCs w:val="22"/>
          <w:lang w:val="en-AU"/>
        </w:rPr>
        <w:t xml:space="preserve">Uthicke S, Thompson A, Schaffelke B (2010) </w:t>
      </w:r>
      <w:r w:rsidRPr="0046394E">
        <w:rPr>
          <w:rFonts w:cs="Arial"/>
          <w:sz w:val="22"/>
          <w:szCs w:val="22"/>
          <w:lang w:val="en-AU"/>
        </w:rPr>
        <w:t>Effectiveness of benthic foraminiferal and coral assemblages as water quality indicators on inshore reefs of the Great Barrier Reef, Australia. Coral Reefs 29:209-225</w:t>
      </w:r>
      <w:r w:rsidR="00E201D7">
        <w:rPr>
          <w:rFonts w:cs="Arial"/>
          <w:sz w:val="22"/>
          <w:szCs w:val="22"/>
          <w:lang w:val="en-AU"/>
        </w:rPr>
        <w:t>.</w:t>
      </w:r>
    </w:p>
    <w:p w14:paraId="5F22F7D1" w14:textId="366AD2B8" w:rsidR="0029043B" w:rsidRDefault="00317A18" w:rsidP="0029043B">
      <w:pPr>
        <w:ind w:left="284" w:hanging="284"/>
        <w:rPr>
          <w:rFonts w:cs="Arial"/>
          <w:szCs w:val="22"/>
          <w:lang w:val="en-AU"/>
        </w:rPr>
      </w:pPr>
      <w:r w:rsidRPr="0046394E">
        <w:rPr>
          <w:rFonts w:cs="Arial"/>
          <w:szCs w:val="22"/>
          <w:lang w:val="en-AU"/>
        </w:rPr>
        <w:t>Valderrama JC (1981) The simultaneous analysis of total nitrogen and total phosphorus in natural waters. Marine Chemistry 10: 109-122</w:t>
      </w:r>
      <w:r w:rsidR="00E201D7">
        <w:rPr>
          <w:rFonts w:cs="Arial"/>
          <w:szCs w:val="22"/>
          <w:lang w:val="en-AU"/>
        </w:rPr>
        <w:t>.</w:t>
      </w:r>
    </w:p>
    <w:p w14:paraId="7B8FD075" w14:textId="7CFBEBDA" w:rsidR="008B403A" w:rsidRPr="008B403A" w:rsidRDefault="008B403A" w:rsidP="008B403A">
      <w:pPr>
        <w:ind w:left="284" w:hanging="284"/>
        <w:rPr>
          <w:rFonts w:cs="Arial"/>
          <w:szCs w:val="22"/>
          <w:lang w:val="en-AU"/>
        </w:rPr>
      </w:pPr>
      <w:r w:rsidRPr="008B403A">
        <w:rPr>
          <w:rFonts w:cs="Arial"/>
          <w:szCs w:val="22"/>
          <w:lang w:val="en-AU"/>
        </w:rPr>
        <w:t>Wallace R, Huggins R, Smith R, Turner R, Vardy S</w:t>
      </w:r>
      <w:r>
        <w:rPr>
          <w:rFonts w:cs="Arial"/>
          <w:szCs w:val="22"/>
          <w:lang w:val="en-AU"/>
        </w:rPr>
        <w:t xml:space="preserve">, </w:t>
      </w:r>
      <w:r w:rsidRPr="008B403A">
        <w:rPr>
          <w:rFonts w:cs="Arial"/>
          <w:szCs w:val="22"/>
          <w:lang w:val="en-AU"/>
        </w:rPr>
        <w:t>Warne, M. St. J. 2014. Total suspended solids, nutrient and pesticide loads (2011–2012) for rivers that discharge to the Great Barrier Reef – Great Barrier Reef Catchment Loads Monitoring Program 2011–2012. Department of Science, Information Technology, Innovation and the Arts. Brisbane.</w:t>
      </w:r>
    </w:p>
    <w:p w14:paraId="5A6E9197" w14:textId="4467F6EB" w:rsidR="008B403A" w:rsidRPr="008B403A" w:rsidRDefault="008B403A" w:rsidP="008B403A">
      <w:pPr>
        <w:ind w:left="284" w:hanging="284"/>
        <w:rPr>
          <w:rFonts w:cs="Arial"/>
          <w:szCs w:val="22"/>
          <w:lang w:val="en-AU"/>
        </w:rPr>
      </w:pPr>
      <w:r w:rsidRPr="008B403A">
        <w:rPr>
          <w:rFonts w:cs="Arial"/>
          <w:szCs w:val="22"/>
          <w:lang w:val="en-AU"/>
        </w:rPr>
        <w:t xml:space="preserve">Wallace R, Huggins R, Smith RA, Turner RDR, Garzon-Garcia A, Warne MStJ (2015) Total suspended solids, nutrient and pesticide loads (2012–2013) for rivers that discharge to the Great Barrier Reef – Great Barrier Reef Catchment Loads Monitoring Program 2012–2013. Department of Science, Information Technology and Innovation. Brisbane. </w:t>
      </w:r>
    </w:p>
    <w:p w14:paraId="0EB86A2C" w14:textId="26823422" w:rsidR="008B403A" w:rsidRPr="008B403A" w:rsidRDefault="008B403A" w:rsidP="008B403A">
      <w:pPr>
        <w:ind w:left="284" w:hanging="284"/>
        <w:rPr>
          <w:rFonts w:cs="Arial"/>
          <w:szCs w:val="22"/>
          <w:lang w:val="en-AU"/>
        </w:rPr>
      </w:pPr>
      <w:r w:rsidRPr="008B403A">
        <w:rPr>
          <w:rFonts w:cs="Arial"/>
          <w:szCs w:val="22"/>
          <w:lang w:val="en-AU"/>
        </w:rPr>
        <w:t>Wallace R</w:t>
      </w:r>
      <w:r>
        <w:rPr>
          <w:rFonts w:cs="Arial"/>
          <w:szCs w:val="22"/>
          <w:lang w:val="en-AU"/>
        </w:rPr>
        <w:t>,</w:t>
      </w:r>
      <w:r w:rsidRPr="008B403A">
        <w:rPr>
          <w:rFonts w:cs="Arial"/>
          <w:szCs w:val="22"/>
          <w:lang w:val="en-AU"/>
        </w:rPr>
        <w:t xml:space="preserve"> Huggins R</w:t>
      </w:r>
      <w:r>
        <w:rPr>
          <w:rFonts w:cs="Arial"/>
          <w:szCs w:val="22"/>
          <w:lang w:val="en-AU"/>
        </w:rPr>
        <w:t>,</w:t>
      </w:r>
      <w:r w:rsidRPr="008B403A">
        <w:rPr>
          <w:rFonts w:cs="Arial"/>
          <w:szCs w:val="22"/>
          <w:lang w:val="en-AU"/>
        </w:rPr>
        <w:t xml:space="preserve"> King O</w:t>
      </w:r>
      <w:r>
        <w:rPr>
          <w:rFonts w:cs="Arial"/>
          <w:szCs w:val="22"/>
          <w:lang w:val="en-AU"/>
        </w:rPr>
        <w:t>,</w:t>
      </w:r>
      <w:r w:rsidRPr="008B403A">
        <w:rPr>
          <w:rFonts w:cs="Arial"/>
          <w:szCs w:val="22"/>
          <w:lang w:val="en-AU"/>
        </w:rPr>
        <w:t xml:space="preserve"> Gardiner R</w:t>
      </w:r>
      <w:r>
        <w:rPr>
          <w:rFonts w:cs="Arial"/>
          <w:szCs w:val="22"/>
          <w:lang w:val="en-AU"/>
        </w:rPr>
        <w:t>,</w:t>
      </w:r>
      <w:r w:rsidRPr="008B403A">
        <w:rPr>
          <w:rFonts w:cs="Arial"/>
          <w:szCs w:val="22"/>
          <w:lang w:val="en-AU"/>
        </w:rPr>
        <w:t xml:space="preserve"> Thomson B</w:t>
      </w:r>
      <w:r>
        <w:rPr>
          <w:rFonts w:cs="Arial"/>
          <w:szCs w:val="22"/>
          <w:lang w:val="en-AU"/>
        </w:rPr>
        <w:t>,</w:t>
      </w:r>
      <w:r w:rsidRPr="008B403A">
        <w:rPr>
          <w:rFonts w:cs="Arial"/>
          <w:szCs w:val="22"/>
          <w:lang w:val="en-AU"/>
        </w:rPr>
        <w:t xml:space="preserve"> Orr D</w:t>
      </w:r>
      <w:r>
        <w:rPr>
          <w:rFonts w:cs="Arial"/>
          <w:szCs w:val="22"/>
          <w:lang w:val="en-AU"/>
        </w:rPr>
        <w:t>,</w:t>
      </w:r>
      <w:r w:rsidRPr="008B403A">
        <w:rPr>
          <w:rFonts w:cs="Arial"/>
          <w:szCs w:val="22"/>
          <w:lang w:val="en-AU"/>
        </w:rPr>
        <w:t xml:space="preserve"> Ferguson B</w:t>
      </w:r>
      <w:r>
        <w:rPr>
          <w:rFonts w:cs="Arial"/>
          <w:szCs w:val="22"/>
          <w:lang w:val="en-AU"/>
        </w:rPr>
        <w:t>,</w:t>
      </w:r>
      <w:r w:rsidRPr="008B403A">
        <w:rPr>
          <w:rFonts w:cs="Arial"/>
          <w:szCs w:val="22"/>
          <w:lang w:val="en-AU"/>
        </w:rPr>
        <w:t xml:space="preserve"> Taylor C</w:t>
      </w:r>
      <w:r>
        <w:rPr>
          <w:rFonts w:cs="Arial"/>
          <w:szCs w:val="22"/>
          <w:lang w:val="en-AU"/>
        </w:rPr>
        <w:t>,</w:t>
      </w:r>
      <w:r w:rsidRPr="008B403A">
        <w:rPr>
          <w:rFonts w:cs="Arial"/>
          <w:szCs w:val="22"/>
          <w:lang w:val="en-AU"/>
        </w:rPr>
        <w:t xml:space="preserve"> Severino Z</w:t>
      </w:r>
      <w:r>
        <w:rPr>
          <w:rFonts w:cs="Arial"/>
          <w:szCs w:val="22"/>
          <w:lang w:val="en-AU"/>
        </w:rPr>
        <w:t>,</w:t>
      </w:r>
      <w:r w:rsidRPr="008B403A">
        <w:rPr>
          <w:rFonts w:cs="Arial"/>
          <w:szCs w:val="22"/>
          <w:lang w:val="en-AU"/>
        </w:rPr>
        <w:t xml:space="preserve"> Smith RA</w:t>
      </w:r>
      <w:r>
        <w:rPr>
          <w:rFonts w:cs="Arial"/>
          <w:szCs w:val="22"/>
          <w:lang w:val="en-AU"/>
        </w:rPr>
        <w:t>,</w:t>
      </w:r>
      <w:r w:rsidRPr="008B403A">
        <w:rPr>
          <w:rFonts w:cs="Arial"/>
          <w:szCs w:val="22"/>
          <w:lang w:val="en-AU"/>
        </w:rPr>
        <w:t xml:space="preserve"> Warne MStJ</w:t>
      </w:r>
      <w:r>
        <w:rPr>
          <w:rFonts w:cs="Arial"/>
          <w:szCs w:val="22"/>
          <w:lang w:val="en-AU"/>
        </w:rPr>
        <w:t>,</w:t>
      </w:r>
      <w:r w:rsidRPr="008B403A">
        <w:rPr>
          <w:rFonts w:cs="Arial"/>
          <w:szCs w:val="22"/>
          <w:lang w:val="en-AU"/>
        </w:rPr>
        <w:t xml:space="preserve"> Turner RDR</w:t>
      </w:r>
      <w:r>
        <w:rPr>
          <w:rFonts w:cs="Arial"/>
          <w:szCs w:val="22"/>
          <w:lang w:val="en-AU"/>
        </w:rPr>
        <w:t>,</w:t>
      </w:r>
      <w:r w:rsidRPr="008B403A">
        <w:rPr>
          <w:rFonts w:cs="Arial"/>
          <w:szCs w:val="22"/>
          <w:lang w:val="en-AU"/>
        </w:rPr>
        <w:t xml:space="preserve"> Mann RM </w:t>
      </w:r>
      <w:r>
        <w:rPr>
          <w:rFonts w:cs="Arial"/>
          <w:szCs w:val="22"/>
          <w:lang w:val="en-AU"/>
        </w:rPr>
        <w:t>(In press)</w:t>
      </w:r>
      <w:r w:rsidRPr="008B403A">
        <w:rPr>
          <w:rFonts w:cs="Arial"/>
          <w:szCs w:val="22"/>
          <w:lang w:val="en-AU"/>
        </w:rPr>
        <w:t xml:space="preserve"> Total suspended solids, nutrient and pesticide loads (2014–2015) for rivers that discharge to the Great Barrier Reef – Great Barrier Reef Catchment Loads Monitoring Program. Department of Science, Information Technology and Innovation. Brisbane.</w:t>
      </w:r>
    </w:p>
    <w:p w14:paraId="5F22F7D2" w14:textId="50539FBB" w:rsidR="0029043B" w:rsidRPr="0046394E" w:rsidRDefault="0029043B" w:rsidP="0029043B">
      <w:pPr>
        <w:ind w:left="284" w:hanging="284"/>
        <w:rPr>
          <w:rFonts w:cs="Arial"/>
          <w:szCs w:val="22"/>
          <w:lang w:val="en-AU" w:eastAsia="en-AU"/>
        </w:rPr>
      </w:pPr>
      <w:r w:rsidRPr="0046394E">
        <w:rPr>
          <w:rFonts w:cs="Arial"/>
          <w:szCs w:val="22"/>
          <w:lang w:val="en-AU" w:eastAsia="en-AU"/>
        </w:rPr>
        <w:t xml:space="preserve">Waters DK, Carroll C, Ellis R, Hateley L, McCloskey GL, Packett R, Dougall C, Fentie </w:t>
      </w:r>
      <w:r w:rsidR="008B403A">
        <w:rPr>
          <w:rFonts w:cs="Arial"/>
          <w:szCs w:val="22"/>
          <w:lang w:val="en-AU" w:eastAsia="en-AU"/>
        </w:rPr>
        <w:t>B (2014)</w:t>
      </w:r>
      <w:r w:rsidRPr="0046394E">
        <w:rPr>
          <w:rFonts w:cs="Arial"/>
          <w:szCs w:val="22"/>
          <w:lang w:val="en-AU" w:eastAsia="en-AU"/>
        </w:rPr>
        <w:t xml:space="preserve"> </w:t>
      </w:r>
      <w:r w:rsidRPr="0046394E">
        <w:rPr>
          <w:rFonts w:cs="Arial"/>
          <w:iCs/>
          <w:szCs w:val="22"/>
          <w:lang w:val="en-AU" w:eastAsia="en-AU"/>
        </w:rPr>
        <w:t>Modelling reductions of pollutant loads due to improved management practices in the Great Barrier Reef catchments-Whole of GBR</w:t>
      </w:r>
      <w:r w:rsidRPr="0046394E">
        <w:rPr>
          <w:rFonts w:cs="Arial"/>
          <w:szCs w:val="22"/>
          <w:lang w:val="en-AU" w:eastAsia="en-AU"/>
        </w:rPr>
        <w:t>, Technical Report, Volume 1, Queensland Department of Natural Resources and Mines, Toowoomba, Queensland (ISBN: 978-1- 7423-0999)</w:t>
      </w:r>
    </w:p>
    <w:p w14:paraId="5F22F7D3" w14:textId="77777777" w:rsidR="007622AC" w:rsidRPr="0046394E" w:rsidRDefault="007622AC" w:rsidP="0029043B">
      <w:pPr>
        <w:ind w:left="284" w:hanging="284"/>
        <w:rPr>
          <w:rFonts w:cs="Arial"/>
          <w:szCs w:val="22"/>
          <w:lang w:val="en-AU"/>
        </w:rPr>
      </w:pPr>
      <w:r w:rsidRPr="0046394E">
        <w:rPr>
          <w:rFonts w:cs="Arial"/>
          <w:szCs w:val="22"/>
          <w:lang w:val="en-AU"/>
        </w:rPr>
        <w:t>Wilkinson AD, Collier CJ, Flores F, Negri AP</w:t>
      </w:r>
      <w:r w:rsidR="00006CD8" w:rsidRPr="0046394E">
        <w:rPr>
          <w:rFonts w:cs="Arial"/>
          <w:szCs w:val="22"/>
          <w:lang w:val="en-AU"/>
        </w:rPr>
        <w:t xml:space="preserve"> </w:t>
      </w:r>
      <w:r w:rsidRPr="0046394E">
        <w:rPr>
          <w:rFonts w:cs="Arial"/>
          <w:szCs w:val="22"/>
          <w:lang w:val="en-AU"/>
        </w:rPr>
        <w:t xml:space="preserve">(2015) Acute and additive toxicity of ten photosystem-II herbicides to </w:t>
      </w:r>
      <w:r w:rsidR="00E201D7">
        <w:rPr>
          <w:rFonts w:cs="Arial"/>
          <w:szCs w:val="22"/>
          <w:lang w:val="en-AU"/>
        </w:rPr>
        <w:t>seagrass. Scientific Reports 5:</w:t>
      </w:r>
      <w:r w:rsidRPr="0046394E">
        <w:rPr>
          <w:rFonts w:cs="Arial"/>
          <w:szCs w:val="22"/>
          <w:lang w:val="en-AU"/>
        </w:rPr>
        <w:t xml:space="preserve"> 17443.</w:t>
      </w:r>
    </w:p>
    <w:p w14:paraId="5F22F7D4" w14:textId="77777777" w:rsidR="00317A18" w:rsidRPr="0046394E" w:rsidRDefault="00317A18" w:rsidP="0029043B">
      <w:pPr>
        <w:ind w:left="284" w:hanging="284"/>
        <w:rPr>
          <w:rFonts w:cs="Arial"/>
          <w:szCs w:val="22"/>
          <w:lang w:val="en-AU"/>
        </w:rPr>
      </w:pPr>
      <w:r w:rsidRPr="0046394E">
        <w:rPr>
          <w:rFonts w:cs="Arial"/>
          <w:szCs w:val="22"/>
          <w:lang w:val="en-AU"/>
        </w:rPr>
        <w:t>Wismer S, Hoey AS, Bellwood DR (2009) Cross-shelf benthic community structure on the Great Barrier Reef: relationships between macroalgal cover and herbivore biomass. Marine Ecology Progress Series 376:</w:t>
      </w:r>
      <w:r w:rsidR="00E201D7">
        <w:rPr>
          <w:rFonts w:cs="Arial"/>
          <w:szCs w:val="22"/>
          <w:lang w:val="en-AU"/>
        </w:rPr>
        <w:t xml:space="preserve"> </w:t>
      </w:r>
      <w:r w:rsidRPr="0046394E">
        <w:rPr>
          <w:rFonts w:cs="Arial"/>
          <w:szCs w:val="22"/>
          <w:lang w:val="en-AU"/>
        </w:rPr>
        <w:t>45-54</w:t>
      </w:r>
      <w:r w:rsidR="00E201D7">
        <w:rPr>
          <w:rFonts w:cs="Arial"/>
          <w:szCs w:val="22"/>
          <w:lang w:val="en-AU"/>
        </w:rPr>
        <w:t>.</w:t>
      </w:r>
    </w:p>
    <w:p w14:paraId="5F22F7D5" w14:textId="77777777" w:rsidR="00317A18" w:rsidRPr="0046394E" w:rsidRDefault="00317A18" w:rsidP="00317A18">
      <w:pPr>
        <w:autoSpaceDE w:val="0"/>
        <w:autoSpaceDN w:val="0"/>
        <w:adjustRightInd w:val="0"/>
        <w:ind w:left="284" w:hanging="284"/>
        <w:rPr>
          <w:rFonts w:cs="Arial"/>
          <w:szCs w:val="22"/>
          <w:lang w:val="en-AU"/>
        </w:rPr>
      </w:pPr>
      <w:r w:rsidRPr="0046394E">
        <w:rPr>
          <w:rFonts w:eastAsiaTheme="minorHAnsi" w:cs="Arial"/>
          <w:szCs w:val="22"/>
          <w:lang w:val="en-AU"/>
        </w:rPr>
        <w:t>Wolanski E, Spagnol S (2000) Pollution by mud of Great Barrier Reef coastal waters. Journal of Coastal Research 16: 1151– 1156.</w:t>
      </w:r>
    </w:p>
    <w:p w14:paraId="5F22F7D6" w14:textId="77777777" w:rsidR="00317A18" w:rsidRPr="0046394E" w:rsidRDefault="00317A18" w:rsidP="00317A18">
      <w:pPr>
        <w:ind w:left="284" w:hanging="284"/>
        <w:rPr>
          <w:rFonts w:cs="Arial"/>
          <w:szCs w:val="22"/>
          <w:lang w:val="en-AU"/>
        </w:rPr>
      </w:pPr>
      <w:r w:rsidRPr="0046394E">
        <w:rPr>
          <w:rFonts w:cs="Arial"/>
          <w:szCs w:val="22"/>
          <w:lang w:val="en-AU"/>
        </w:rPr>
        <w:t>Wood SN (2006) Generalized Additive Models: An Introduction with R. Chapman &amp; Hall/CRC</w:t>
      </w:r>
    </w:p>
    <w:p w14:paraId="5F22F7D7" w14:textId="77777777" w:rsidR="00317A18" w:rsidRPr="0046394E" w:rsidRDefault="00317A18" w:rsidP="00317A18">
      <w:pPr>
        <w:ind w:left="284" w:hanging="284"/>
        <w:rPr>
          <w:rFonts w:cs="Arial"/>
          <w:szCs w:val="22"/>
          <w:lang w:val="en-AU"/>
        </w:rPr>
      </w:pPr>
      <w:r w:rsidRPr="0046394E">
        <w:rPr>
          <w:rFonts w:cs="Arial"/>
          <w:szCs w:val="22"/>
          <w:lang w:val="en-AU"/>
        </w:rPr>
        <w:t>Wood SN (2011) Fast stable restricted maximum likelihood and marginal likelihood estimation of semiparametric generalized linear models. Journal of the Royal Statistical Society (B) 73(1):3-36</w:t>
      </w:r>
      <w:r w:rsidR="0046394E">
        <w:rPr>
          <w:rFonts w:cs="Arial"/>
          <w:szCs w:val="22"/>
          <w:lang w:val="en-AU"/>
        </w:rPr>
        <w:t>.</w:t>
      </w:r>
    </w:p>
    <w:p w14:paraId="5F22F7D8" w14:textId="77777777" w:rsidR="00317A18" w:rsidRPr="0046394E" w:rsidRDefault="00317A18" w:rsidP="00317A18">
      <w:pPr>
        <w:ind w:left="284" w:hanging="284"/>
        <w:rPr>
          <w:rFonts w:cs="Arial"/>
          <w:szCs w:val="22"/>
          <w:lang w:val="en-AU"/>
        </w:rPr>
      </w:pPr>
      <w:r w:rsidRPr="0046394E">
        <w:rPr>
          <w:rFonts w:cs="Arial"/>
          <w:szCs w:val="22"/>
          <w:lang w:val="en-AU"/>
        </w:rPr>
        <w:t>Wright S, Jeffrey S (2006) Pigment Markers for Phytoplankton Production. In: The Handbook of Environmental Chemistry, Volume 2N/2006. Springer, Berlin Heidelberg, p 71-104</w:t>
      </w:r>
      <w:r w:rsidR="0046394E">
        <w:rPr>
          <w:rFonts w:cs="Arial"/>
          <w:szCs w:val="22"/>
          <w:lang w:val="en-AU"/>
        </w:rPr>
        <w:t>.</w:t>
      </w:r>
      <w:r w:rsidRPr="0046394E">
        <w:rPr>
          <w:rFonts w:cs="Arial"/>
          <w:szCs w:val="22"/>
          <w:lang w:val="en-AU"/>
        </w:rPr>
        <w:t xml:space="preserve"> </w:t>
      </w:r>
    </w:p>
    <w:p w14:paraId="5F22F7D9" w14:textId="77777777" w:rsidR="006A4D57" w:rsidRPr="00EC6BB8" w:rsidRDefault="00761D69" w:rsidP="00DD643E">
      <w:pPr>
        <w:rPr>
          <w:color w:val="00B0F0"/>
          <w:lang w:val="en-AU"/>
        </w:rPr>
      </w:pPr>
      <w:r w:rsidRPr="00EC6BB8">
        <w:rPr>
          <w:color w:val="00B0F0"/>
          <w:lang w:val="en-AU"/>
        </w:rPr>
        <w:br w:type="page"/>
      </w:r>
      <w:bookmarkStart w:id="1512" w:name="_Toc374701391"/>
    </w:p>
    <w:p w14:paraId="5F22F7DA" w14:textId="77777777" w:rsidR="00E94E33" w:rsidRPr="00C27BEB" w:rsidRDefault="006A00D6" w:rsidP="006A00D6">
      <w:pPr>
        <w:pStyle w:val="appendixheading"/>
        <w:numPr>
          <w:ilvl w:val="0"/>
          <w:numId w:val="0"/>
        </w:numPr>
        <w:ind w:left="360"/>
      </w:pPr>
      <w:bookmarkStart w:id="1513" w:name="_Toc462307474"/>
      <w:bookmarkStart w:id="1514" w:name="_Toc229069174"/>
      <w:bookmarkStart w:id="1515" w:name="_Toc334990242"/>
      <w:bookmarkEnd w:id="1512"/>
      <w:r>
        <w:t xml:space="preserve">Appendix 1: </w:t>
      </w:r>
      <w:r w:rsidR="00E94E33" w:rsidRPr="00C27BEB">
        <w:t>Water quality monitoring methods</w:t>
      </w:r>
      <w:bookmarkEnd w:id="1513"/>
    </w:p>
    <w:p w14:paraId="5F22F7DB" w14:textId="77777777" w:rsidR="003A01A2" w:rsidRDefault="003A01A2">
      <w:pPr>
        <w:spacing w:before="0" w:after="0"/>
        <w:jc w:val="left"/>
        <w:rPr>
          <w:sz w:val="24"/>
        </w:rPr>
      </w:pPr>
      <w:bookmarkStart w:id="1516" w:name="_Toc374707560"/>
      <w:bookmarkStart w:id="1517" w:name="_Toc393133588"/>
      <w:bookmarkStart w:id="1518" w:name="_Toc406143754"/>
      <w:r>
        <w:br w:type="page"/>
      </w:r>
    </w:p>
    <w:p w14:paraId="5F22F7DC" w14:textId="77777777" w:rsidR="00E94E33" w:rsidRPr="00C27BEB" w:rsidRDefault="00E94E33" w:rsidP="00C85410">
      <w:pPr>
        <w:pStyle w:val="Heading7"/>
      </w:pPr>
      <w:r w:rsidRPr="00C27BEB">
        <w:t>Direct water sample collection, preparation and analyses</w:t>
      </w:r>
      <w:bookmarkEnd w:id="1514"/>
      <w:bookmarkEnd w:id="1515"/>
      <w:bookmarkEnd w:id="1516"/>
      <w:bookmarkEnd w:id="1517"/>
      <w:bookmarkEnd w:id="1518"/>
    </w:p>
    <w:p w14:paraId="5F22F7DD" w14:textId="77777777" w:rsidR="00317A18" w:rsidRPr="00A40196" w:rsidRDefault="00317A18" w:rsidP="00317A18">
      <w:pPr>
        <w:rPr>
          <w:rFonts w:eastAsia="MS Mincho"/>
          <w:lang w:val="en-AU"/>
        </w:rPr>
      </w:pPr>
      <w:r w:rsidRPr="00A40196">
        <w:rPr>
          <w:rFonts w:eastAsia="MS Mincho"/>
          <w:lang w:val="en-AU"/>
        </w:rPr>
        <w:t>At each of the</w:t>
      </w:r>
      <w:r w:rsidR="006F728D">
        <w:rPr>
          <w:rFonts w:eastAsia="MS Mincho"/>
          <w:lang w:val="en-AU"/>
        </w:rPr>
        <w:t xml:space="preserve"> </w:t>
      </w:r>
      <w:r w:rsidRPr="00A40196">
        <w:rPr>
          <w:rFonts w:eastAsia="MS Mincho"/>
          <w:lang w:val="en-AU"/>
        </w:rPr>
        <w:t xml:space="preserve">water quality monitoring locations (Figure </w:t>
      </w:r>
      <w:r w:rsidR="00E201D7">
        <w:rPr>
          <w:rFonts w:eastAsia="MS Mincho"/>
          <w:lang w:val="en-AU"/>
        </w:rPr>
        <w:t>4-1</w:t>
      </w:r>
      <w:r w:rsidRPr="00A40196">
        <w:rPr>
          <w:rFonts w:eastAsia="MS Mincho"/>
          <w:lang w:val="en-AU"/>
        </w:rPr>
        <w:t xml:space="preserve">,  in main report text), vertical profiles of water temperature and salinity were measured with a Conductivity Temperature Depth profiler (CTD) (Sea-Bird Electronics SBE25 or SBE19) to characterise the water column, e.g. to identify and record any stratification. The CTD was fitted with a fluorometer (WET Labs) and a beam transmissometer (Sea Tech, 25cm, 660nm) for concurrent chlorophyll and turbidity measurements. CTD data are not reported here but were used for the interpretation of water sample results. </w:t>
      </w:r>
    </w:p>
    <w:p w14:paraId="5F22F7DE" w14:textId="77777777" w:rsidR="00317A18" w:rsidRPr="00A40196" w:rsidRDefault="00317A18" w:rsidP="009F7086">
      <w:r w:rsidRPr="00A40196">
        <w:rPr>
          <w:rFonts w:eastAsia="MS Mincho"/>
        </w:rPr>
        <w:t>Immediately following the CTD cast, d</w:t>
      </w:r>
      <w:r w:rsidRPr="00A40196">
        <w:t xml:space="preserve">iscrete water samples </w:t>
      </w:r>
      <w:r w:rsidRPr="00A40196">
        <w:rPr>
          <w:rFonts w:cs="Plantin"/>
        </w:rPr>
        <w:t>were</w:t>
      </w:r>
      <w:r w:rsidRPr="00A40196">
        <w:t xml:space="preserve"> collected from two to three depths through the water column with Niskin bottles. Sub-samples taken from the Niskin bottles </w:t>
      </w:r>
      <w:r w:rsidRPr="00A40196">
        <w:rPr>
          <w:rFonts w:cs="Plantin"/>
        </w:rPr>
        <w:t>were</w:t>
      </w:r>
      <w:r w:rsidRPr="00A40196">
        <w:t xml:space="preserve"> analysed for chlorophyll a, total suspended solids and the following species of dissolved and particulate nutrients and carbon: </w:t>
      </w:r>
    </w:p>
    <w:p w14:paraId="5F22F7DF" w14:textId="77777777" w:rsidR="00317A18" w:rsidRPr="00A40196" w:rsidRDefault="00317A18" w:rsidP="004618A1">
      <w:pPr>
        <w:pStyle w:val="ListParagraph"/>
        <w:numPr>
          <w:ilvl w:val="0"/>
          <w:numId w:val="26"/>
        </w:numPr>
        <w:spacing w:before="0" w:after="0"/>
        <w:jc w:val="left"/>
        <w:rPr>
          <w:rFonts w:cs="Arial"/>
          <w:lang w:val="en-AU"/>
        </w:rPr>
      </w:pPr>
      <w:r w:rsidRPr="00A40196">
        <w:rPr>
          <w:lang w:val="en-AU"/>
        </w:rPr>
        <w:t>chlorophyll a = Chl.a</w:t>
      </w:r>
    </w:p>
    <w:p w14:paraId="5F22F7E0" w14:textId="77777777" w:rsidR="00317A18" w:rsidRPr="00A40196" w:rsidRDefault="00317A18" w:rsidP="004618A1">
      <w:pPr>
        <w:pStyle w:val="ListParagraph"/>
        <w:numPr>
          <w:ilvl w:val="0"/>
          <w:numId w:val="26"/>
        </w:numPr>
        <w:spacing w:before="0" w:after="0"/>
        <w:jc w:val="left"/>
        <w:rPr>
          <w:rFonts w:cs="Arial"/>
          <w:lang w:val="en-AU"/>
        </w:rPr>
      </w:pPr>
      <w:r w:rsidRPr="00A40196">
        <w:rPr>
          <w:lang w:val="en-AU"/>
        </w:rPr>
        <w:t>total suspended solids = TSS</w:t>
      </w:r>
    </w:p>
    <w:p w14:paraId="5F22F7E1" w14:textId="77777777" w:rsidR="00317A18" w:rsidRPr="00A40196" w:rsidRDefault="00317A18" w:rsidP="004618A1">
      <w:pPr>
        <w:pStyle w:val="ListParagraph"/>
        <w:numPr>
          <w:ilvl w:val="0"/>
          <w:numId w:val="26"/>
        </w:numPr>
        <w:spacing w:before="0" w:after="0"/>
        <w:jc w:val="left"/>
        <w:rPr>
          <w:rFonts w:cs="Arial"/>
          <w:lang w:val="en-AU"/>
        </w:rPr>
      </w:pPr>
      <w:r w:rsidRPr="00A40196">
        <w:rPr>
          <w:rFonts w:cs="Arial"/>
          <w:lang w:val="en-AU"/>
        </w:rPr>
        <w:t>ammonium= NH</w:t>
      </w:r>
      <w:r w:rsidRPr="00A40196">
        <w:rPr>
          <w:rFonts w:cs="Arial"/>
          <w:vertAlign w:val="subscript"/>
          <w:lang w:val="en-AU"/>
        </w:rPr>
        <w:t>4</w:t>
      </w:r>
      <w:r w:rsidRPr="00A40196">
        <w:rPr>
          <w:rFonts w:cs="Arial"/>
          <w:lang w:val="en-AU"/>
        </w:rPr>
        <w:t xml:space="preserve">, </w:t>
      </w:r>
    </w:p>
    <w:p w14:paraId="5F22F7E2" w14:textId="77777777" w:rsidR="00317A18" w:rsidRPr="00A40196" w:rsidRDefault="00317A18" w:rsidP="004618A1">
      <w:pPr>
        <w:pStyle w:val="ListParagraph"/>
        <w:numPr>
          <w:ilvl w:val="0"/>
          <w:numId w:val="26"/>
        </w:numPr>
        <w:spacing w:before="0" w:after="0"/>
        <w:jc w:val="left"/>
        <w:rPr>
          <w:rFonts w:cs="Arial"/>
          <w:lang w:val="en-AU"/>
        </w:rPr>
      </w:pPr>
      <w:r w:rsidRPr="00A40196">
        <w:rPr>
          <w:rFonts w:cs="Arial"/>
          <w:lang w:val="en-AU"/>
        </w:rPr>
        <w:t>nitrite= NO</w:t>
      </w:r>
      <w:r w:rsidRPr="00A40196">
        <w:rPr>
          <w:rFonts w:cs="Arial"/>
          <w:vertAlign w:val="subscript"/>
          <w:lang w:val="en-AU"/>
        </w:rPr>
        <w:t>2</w:t>
      </w:r>
      <w:r w:rsidRPr="00A40196">
        <w:rPr>
          <w:rFonts w:cs="Arial"/>
          <w:lang w:val="en-AU"/>
        </w:rPr>
        <w:t xml:space="preserve">, </w:t>
      </w:r>
    </w:p>
    <w:p w14:paraId="5F22F7E3" w14:textId="77777777" w:rsidR="00317A18" w:rsidRPr="00A40196" w:rsidRDefault="00317A18" w:rsidP="004618A1">
      <w:pPr>
        <w:pStyle w:val="ListParagraph"/>
        <w:numPr>
          <w:ilvl w:val="0"/>
          <w:numId w:val="26"/>
        </w:numPr>
        <w:spacing w:before="0" w:after="0"/>
        <w:jc w:val="left"/>
        <w:rPr>
          <w:rFonts w:cs="Arial"/>
          <w:lang w:val="en-AU"/>
        </w:rPr>
      </w:pPr>
      <w:r w:rsidRPr="00A40196">
        <w:rPr>
          <w:rFonts w:cs="Arial"/>
          <w:lang w:val="en-AU"/>
        </w:rPr>
        <w:t>nitrate= NO</w:t>
      </w:r>
      <w:r w:rsidRPr="00A40196">
        <w:rPr>
          <w:rFonts w:cs="Arial"/>
          <w:vertAlign w:val="subscript"/>
          <w:lang w:val="en-AU"/>
        </w:rPr>
        <w:t>3</w:t>
      </w:r>
      <w:r w:rsidRPr="00A40196">
        <w:rPr>
          <w:rFonts w:cs="Arial"/>
          <w:lang w:val="en-AU"/>
        </w:rPr>
        <w:t xml:space="preserve">, </w:t>
      </w:r>
    </w:p>
    <w:p w14:paraId="5F22F7E4" w14:textId="77777777" w:rsidR="00317A18" w:rsidRPr="00A40196" w:rsidRDefault="00317A18" w:rsidP="004618A1">
      <w:pPr>
        <w:pStyle w:val="ListParagraph"/>
        <w:numPr>
          <w:ilvl w:val="0"/>
          <w:numId w:val="26"/>
        </w:numPr>
        <w:spacing w:before="0" w:after="0"/>
        <w:jc w:val="left"/>
        <w:rPr>
          <w:rFonts w:cs="Arial"/>
          <w:lang w:val="en-AU"/>
        </w:rPr>
      </w:pPr>
      <w:r w:rsidRPr="00A40196">
        <w:rPr>
          <w:rFonts w:cs="Arial"/>
          <w:lang w:val="en-AU"/>
        </w:rPr>
        <w:t>phosphate/filterable reactive phosphorus= PO</w:t>
      </w:r>
      <w:r w:rsidRPr="00A40196">
        <w:rPr>
          <w:rFonts w:cs="Arial"/>
          <w:vertAlign w:val="subscript"/>
          <w:lang w:val="en-AU"/>
        </w:rPr>
        <w:t>4</w:t>
      </w:r>
      <w:r w:rsidRPr="00A40196">
        <w:rPr>
          <w:rFonts w:cs="Arial"/>
          <w:lang w:val="en-AU"/>
        </w:rPr>
        <w:t xml:space="preserve">, </w:t>
      </w:r>
    </w:p>
    <w:p w14:paraId="5F22F7E5" w14:textId="77777777" w:rsidR="00317A18" w:rsidRPr="00A40196" w:rsidRDefault="00317A18" w:rsidP="004618A1">
      <w:pPr>
        <w:pStyle w:val="ListParagraph"/>
        <w:numPr>
          <w:ilvl w:val="0"/>
          <w:numId w:val="26"/>
        </w:numPr>
        <w:spacing w:before="0" w:after="0"/>
        <w:jc w:val="left"/>
        <w:rPr>
          <w:rFonts w:cs="Arial"/>
          <w:lang w:val="en-AU"/>
        </w:rPr>
      </w:pPr>
      <w:r w:rsidRPr="00A40196">
        <w:rPr>
          <w:rFonts w:cs="Arial"/>
          <w:lang w:val="en-AU"/>
        </w:rPr>
        <w:t>silicate/filterable reactive silicon= Si(OH)</w:t>
      </w:r>
      <w:r w:rsidRPr="00A40196">
        <w:rPr>
          <w:rFonts w:cs="Arial"/>
          <w:vertAlign w:val="subscript"/>
          <w:lang w:val="en-AU"/>
        </w:rPr>
        <w:t>4</w:t>
      </w:r>
      <w:r w:rsidRPr="00A40196">
        <w:rPr>
          <w:rFonts w:cs="Arial"/>
          <w:lang w:val="en-AU"/>
        </w:rPr>
        <w:t xml:space="preserve">, </w:t>
      </w:r>
    </w:p>
    <w:p w14:paraId="5F22F7E6" w14:textId="77777777" w:rsidR="00317A18" w:rsidRPr="00A40196" w:rsidRDefault="00317A18" w:rsidP="004618A1">
      <w:pPr>
        <w:pStyle w:val="ListParagraph"/>
        <w:numPr>
          <w:ilvl w:val="0"/>
          <w:numId w:val="26"/>
        </w:numPr>
        <w:spacing w:before="0" w:after="0"/>
        <w:jc w:val="left"/>
        <w:rPr>
          <w:rFonts w:cs="Arial"/>
          <w:lang w:val="en-AU"/>
        </w:rPr>
      </w:pPr>
      <w:r w:rsidRPr="00A40196">
        <w:rPr>
          <w:rFonts w:cs="Arial"/>
          <w:lang w:val="en-AU"/>
        </w:rPr>
        <w:t xml:space="preserve">dissolved organic carbon= DOC, </w:t>
      </w:r>
    </w:p>
    <w:p w14:paraId="5F22F7E7" w14:textId="77777777" w:rsidR="00317A18" w:rsidRPr="00A40196" w:rsidRDefault="00317A18" w:rsidP="004618A1">
      <w:pPr>
        <w:pStyle w:val="ListParagraph"/>
        <w:numPr>
          <w:ilvl w:val="0"/>
          <w:numId w:val="26"/>
        </w:numPr>
        <w:spacing w:before="0" w:after="0"/>
        <w:jc w:val="left"/>
        <w:rPr>
          <w:rFonts w:cs="Arial"/>
          <w:lang w:val="en-AU"/>
        </w:rPr>
      </w:pPr>
      <w:r w:rsidRPr="00A40196">
        <w:rPr>
          <w:rFonts w:cs="Arial"/>
          <w:lang w:val="en-AU"/>
        </w:rPr>
        <w:t xml:space="preserve">dissolved organic nitrogen= DON, </w:t>
      </w:r>
    </w:p>
    <w:p w14:paraId="5F22F7E8" w14:textId="77777777" w:rsidR="00317A18" w:rsidRPr="00A40196" w:rsidRDefault="00317A18" w:rsidP="004618A1">
      <w:pPr>
        <w:pStyle w:val="ListParagraph"/>
        <w:numPr>
          <w:ilvl w:val="0"/>
          <w:numId w:val="26"/>
        </w:numPr>
        <w:spacing w:before="0" w:after="0"/>
        <w:jc w:val="left"/>
        <w:rPr>
          <w:rFonts w:cs="Arial"/>
          <w:lang w:val="en-AU"/>
        </w:rPr>
      </w:pPr>
      <w:r w:rsidRPr="00A40196">
        <w:rPr>
          <w:rFonts w:cs="Arial"/>
          <w:lang w:val="en-AU"/>
        </w:rPr>
        <w:t xml:space="preserve">dissolved organic phosphorus= DOP, </w:t>
      </w:r>
    </w:p>
    <w:p w14:paraId="5F22F7E9" w14:textId="77777777" w:rsidR="00317A18" w:rsidRPr="00A40196" w:rsidRDefault="00317A18" w:rsidP="004618A1">
      <w:pPr>
        <w:pStyle w:val="ListParagraph"/>
        <w:numPr>
          <w:ilvl w:val="0"/>
          <w:numId w:val="26"/>
        </w:numPr>
        <w:spacing w:before="0" w:after="0"/>
        <w:jc w:val="left"/>
        <w:rPr>
          <w:rFonts w:cs="Arial"/>
          <w:lang w:val="en-AU"/>
        </w:rPr>
      </w:pPr>
      <w:r w:rsidRPr="00A40196">
        <w:rPr>
          <w:rFonts w:cs="Arial"/>
          <w:lang w:val="en-AU"/>
        </w:rPr>
        <w:t>colo</w:t>
      </w:r>
      <w:r w:rsidR="006A00D6">
        <w:rPr>
          <w:rFonts w:cs="Arial"/>
          <w:lang w:val="en-AU"/>
        </w:rPr>
        <w:t>u</w:t>
      </w:r>
      <w:r w:rsidRPr="00A40196">
        <w:rPr>
          <w:rFonts w:cs="Arial"/>
          <w:lang w:val="en-AU"/>
        </w:rPr>
        <w:t xml:space="preserve">red dissolved organic matter (CDOM), </w:t>
      </w:r>
    </w:p>
    <w:p w14:paraId="5F22F7EA" w14:textId="77777777" w:rsidR="00317A18" w:rsidRPr="00A40196" w:rsidRDefault="00317A18" w:rsidP="004618A1">
      <w:pPr>
        <w:pStyle w:val="ListParagraph"/>
        <w:numPr>
          <w:ilvl w:val="0"/>
          <w:numId w:val="26"/>
        </w:numPr>
        <w:spacing w:before="0" w:after="0"/>
        <w:jc w:val="left"/>
        <w:rPr>
          <w:rFonts w:cs="Arial"/>
          <w:lang w:val="en-AU"/>
        </w:rPr>
      </w:pPr>
      <w:r w:rsidRPr="00A40196">
        <w:rPr>
          <w:rFonts w:cs="Arial"/>
          <w:lang w:val="en-AU"/>
        </w:rPr>
        <w:t>particulate organic carbon= POC,</w:t>
      </w:r>
    </w:p>
    <w:p w14:paraId="5F22F7EB" w14:textId="77777777" w:rsidR="00317A18" w:rsidRPr="00A40196" w:rsidRDefault="00317A18" w:rsidP="004618A1">
      <w:pPr>
        <w:pStyle w:val="ListParagraph"/>
        <w:numPr>
          <w:ilvl w:val="0"/>
          <w:numId w:val="26"/>
        </w:numPr>
        <w:spacing w:before="0" w:after="0"/>
        <w:jc w:val="left"/>
        <w:rPr>
          <w:rFonts w:cs="Arial"/>
          <w:lang w:val="en-AU"/>
        </w:rPr>
      </w:pPr>
      <w:r w:rsidRPr="00A40196">
        <w:rPr>
          <w:rFonts w:cs="Arial"/>
          <w:lang w:val="en-AU"/>
        </w:rPr>
        <w:t>particulate organic nitrogen= PN,</w:t>
      </w:r>
    </w:p>
    <w:p w14:paraId="5F22F7EC" w14:textId="77777777" w:rsidR="00317A18" w:rsidRPr="00A40196" w:rsidRDefault="00317A18" w:rsidP="004618A1">
      <w:pPr>
        <w:pStyle w:val="ListParagraph"/>
        <w:numPr>
          <w:ilvl w:val="0"/>
          <w:numId w:val="26"/>
        </w:numPr>
        <w:spacing w:before="0" w:after="0"/>
        <w:jc w:val="left"/>
        <w:rPr>
          <w:rFonts w:cs="Arial"/>
          <w:lang w:val="en-AU"/>
        </w:rPr>
      </w:pPr>
      <w:r w:rsidRPr="00A40196">
        <w:rPr>
          <w:rFonts w:cs="Arial"/>
          <w:lang w:val="en-AU"/>
        </w:rPr>
        <w:t xml:space="preserve">particulate phosphorus= PP. </w:t>
      </w:r>
    </w:p>
    <w:p w14:paraId="5F22F7ED" w14:textId="77777777" w:rsidR="00317A18" w:rsidRPr="00A40196" w:rsidRDefault="00317A18" w:rsidP="00317A18">
      <w:pPr>
        <w:rPr>
          <w:lang w:val="en-AU"/>
        </w:rPr>
      </w:pPr>
    </w:p>
    <w:p w14:paraId="5F22F7EE" w14:textId="77777777" w:rsidR="00317A18" w:rsidRPr="00A40196" w:rsidRDefault="00317A18" w:rsidP="00317A18">
      <w:pPr>
        <w:rPr>
          <w:i/>
          <w:lang w:val="en-AU"/>
        </w:rPr>
      </w:pPr>
      <w:r w:rsidRPr="00A40196">
        <w:rPr>
          <w:i/>
          <w:lang w:val="en-AU"/>
        </w:rPr>
        <w:t xml:space="preserve"> (note that +/- signs identifying the charge of the nutrient ions were omitted for brevity).</w:t>
      </w:r>
    </w:p>
    <w:p w14:paraId="5F22F7EF" w14:textId="77777777" w:rsidR="00317A18" w:rsidRPr="00A40196" w:rsidRDefault="00317A18" w:rsidP="00317A18">
      <w:pPr>
        <w:rPr>
          <w:lang w:val="en-AU"/>
        </w:rPr>
      </w:pPr>
    </w:p>
    <w:p w14:paraId="5F22F7F0" w14:textId="77777777" w:rsidR="00317A18" w:rsidRPr="00914B3A" w:rsidRDefault="00317A18" w:rsidP="00914B3A">
      <w:pPr>
        <w:rPr>
          <w:lang w:val="en-AU"/>
        </w:rPr>
      </w:pPr>
      <w:r w:rsidRPr="00A40196">
        <w:rPr>
          <w:lang w:val="en-AU"/>
        </w:rPr>
        <w:t xml:space="preserve">Subsamples </w:t>
      </w:r>
      <w:r w:rsidRPr="00A40196">
        <w:rPr>
          <w:rFonts w:cs="Plantin"/>
          <w:lang w:val="en-AU"/>
        </w:rPr>
        <w:t>were</w:t>
      </w:r>
      <w:r w:rsidRPr="00A40196">
        <w:rPr>
          <w:lang w:val="en-AU"/>
        </w:rPr>
        <w:t xml:space="preserve"> also taken for laboratory salinity measurements using a Portasal Model 8410A Salinometer. Temperatures </w:t>
      </w:r>
      <w:r w:rsidRPr="00A40196">
        <w:rPr>
          <w:rFonts w:cs="Plantin"/>
          <w:lang w:val="en-AU"/>
        </w:rPr>
        <w:t>were</w:t>
      </w:r>
      <w:r w:rsidRPr="00A40196">
        <w:rPr>
          <w:lang w:val="en-AU"/>
        </w:rPr>
        <w:t xml:space="preserve"> measured with reversing thermometers from 2 depths.  </w:t>
      </w:r>
    </w:p>
    <w:p w14:paraId="5F22F7F1" w14:textId="77777777" w:rsidR="00317A18" w:rsidRPr="00A40196" w:rsidRDefault="00317A18" w:rsidP="00317A18">
      <w:pPr>
        <w:autoSpaceDE w:val="0"/>
        <w:autoSpaceDN w:val="0"/>
        <w:adjustRightInd w:val="0"/>
        <w:rPr>
          <w:rFonts w:cs="Plantin"/>
          <w:lang w:val="en-AU"/>
        </w:rPr>
      </w:pPr>
      <w:r w:rsidRPr="00A40196">
        <w:rPr>
          <w:rFonts w:cs="Plantin"/>
          <w:lang w:val="en-AU"/>
        </w:rPr>
        <w:t>In addition to the ship-based sampling, water samples for chlorophyll a and total suspend solids were</w:t>
      </w:r>
      <w:r w:rsidRPr="00A40196">
        <w:rPr>
          <w:lang w:val="en-AU"/>
        </w:rPr>
        <w:t xml:space="preserve"> </w:t>
      </w:r>
      <w:r w:rsidRPr="00A40196">
        <w:rPr>
          <w:rFonts w:cs="Plantin"/>
          <w:lang w:val="en-AU"/>
        </w:rPr>
        <w:t>collected by diver-operated Niskin bottle sampling close to the autonomous water quality instruments (see below). These water samples were</w:t>
      </w:r>
      <w:r w:rsidRPr="00A40196">
        <w:rPr>
          <w:lang w:val="en-AU"/>
        </w:rPr>
        <w:t xml:space="preserve"> </w:t>
      </w:r>
      <w:r w:rsidRPr="00A40196">
        <w:rPr>
          <w:rFonts w:cs="Plantin"/>
          <w:lang w:val="en-AU"/>
        </w:rPr>
        <w:t>processed in the same way as the ship-based samples.</w:t>
      </w:r>
    </w:p>
    <w:p w14:paraId="5F22F7F2" w14:textId="77777777" w:rsidR="00317A18" w:rsidRPr="00A40196" w:rsidRDefault="00317A18" w:rsidP="00317A18">
      <w:pPr>
        <w:autoSpaceDE w:val="0"/>
        <w:autoSpaceDN w:val="0"/>
        <w:adjustRightInd w:val="0"/>
        <w:rPr>
          <w:lang w:val="en-AU"/>
        </w:rPr>
      </w:pPr>
      <w:r w:rsidRPr="00A40196">
        <w:rPr>
          <w:rFonts w:cs="Plantin"/>
          <w:lang w:val="en-AU"/>
        </w:rPr>
        <w:t>The sub-samples for dissolved nutrients were</w:t>
      </w:r>
      <w:r w:rsidRPr="00A40196">
        <w:rPr>
          <w:lang w:val="en-AU"/>
        </w:rPr>
        <w:t xml:space="preserve"> </w:t>
      </w:r>
      <w:r w:rsidRPr="00A40196">
        <w:rPr>
          <w:rFonts w:cs="Plantin"/>
          <w:lang w:val="en-AU"/>
        </w:rPr>
        <w:t>immediately hand-filtered through a 0.45-</w:t>
      </w:r>
      <w:r w:rsidRPr="00A40196">
        <w:rPr>
          <w:lang w:val="en-AU"/>
        </w:rPr>
        <w:t>µ</w:t>
      </w:r>
      <w:r w:rsidRPr="00A40196">
        <w:rPr>
          <w:rFonts w:cs="Plantin"/>
          <w:lang w:val="en-AU"/>
        </w:rPr>
        <w:t>m filter cartridge (Sartorius Mini Sart N) into acid-washed (10% HCl) screw-cap plastic test tubes and stored frozen (</w:t>
      </w:r>
      <w:r w:rsidRPr="00A40196">
        <w:rPr>
          <w:rFonts w:cs="PiOne"/>
          <w:lang w:val="en-AU"/>
        </w:rPr>
        <w:t>-</w:t>
      </w:r>
      <w:r w:rsidRPr="00A40196">
        <w:rPr>
          <w:rFonts w:cs="Plantin"/>
          <w:lang w:val="en-AU"/>
        </w:rPr>
        <w:t>18</w:t>
      </w:r>
      <w:r w:rsidRPr="00A40196">
        <w:rPr>
          <w:lang w:val="en-AU"/>
        </w:rPr>
        <w:t>º</w:t>
      </w:r>
      <w:r w:rsidRPr="00A40196">
        <w:rPr>
          <w:rFonts w:cs="Plantin"/>
          <w:lang w:val="en-AU"/>
        </w:rPr>
        <w:t>C) until later analysis ashore. Separate samples for DOC analysis were filtered,</w:t>
      </w:r>
      <w:r w:rsidRPr="00A40196">
        <w:rPr>
          <w:lang w:val="en-AU"/>
        </w:rPr>
        <w:t xml:space="preserve"> acidified with 100 </w:t>
      </w:r>
      <w:r w:rsidRPr="00A40196">
        <w:rPr>
          <w:rFonts w:cs="Arial"/>
          <w:lang w:val="en-AU"/>
        </w:rPr>
        <w:t>μ</w:t>
      </w:r>
      <w:r w:rsidRPr="00A40196">
        <w:rPr>
          <w:lang w:val="en-AU"/>
        </w:rPr>
        <w:t>L of AR-grade HCl and stored at 4ºC until analysis.  Separate sub-samples for Si(OH)</w:t>
      </w:r>
      <w:r w:rsidRPr="00A40196">
        <w:rPr>
          <w:vertAlign w:val="subscript"/>
          <w:lang w:val="en-AU"/>
        </w:rPr>
        <w:t>4</w:t>
      </w:r>
      <w:r w:rsidRPr="00A40196">
        <w:rPr>
          <w:lang w:val="en-AU"/>
        </w:rPr>
        <w:t xml:space="preserve"> were </w:t>
      </w:r>
      <w:r w:rsidRPr="00A40196">
        <w:rPr>
          <w:rFonts w:cs="Plantin"/>
          <w:lang w:val="en-AU"/>
        </w:rPr>
        <w:t xml:space="preserve">filtered and stored at room temperature </w:t>
      </w:r>
      <w:r w:rsidRPr="00A40196">
        <w:rPr>
          <w:lang w:val="en-AU"/>
        </w:rPr>
        <w:t>until analysis</w:t>
      </w:r>
      <w:r w:rsidRPr="00A40196">
        <w:rPr>
          <w:rFonts w:cs="Plantin"/>
          <w:lang w:val="en-AU"/>
        </w:rPr>
        <w:t>.</w:t>
      </w:r>
    </w:p>
    <w:p w14:paraId="5F22F7F3" w14:textId="77777777" w:rsidR="00317A18" w:rsidRPr="00A40196" w:rsidRDefault="00317A18" w:rsidP="00317A18">
      <w:pPr>
        <w:autoSpaceDE w:val="0"/>
        <w:autoSpaceDN w:val="0"/>
        <w:adjustRightInd w:val="0"/>
        <w:rPr>
          <w:lang w:val="en-AU"/>
        </w:rPr>
      </w:pPr>
      <w:r w:rsidRPr="00A40196">
        <w:rPr>
          <w:lang w:val="en-AU"/>
        </w:rPr>
        <w:t>Dissolved Inorganic nutrients (NH</w:t>
      </w:r>
      <w:r w:rsidRPr="00A40196">
        <w:rPr>
          <w:vertAlign w:val="subscript"/>
          <w:lang w:val="en-AU"/>
        </w:rPr>
        <w:t>4</w:t>
      </w:r>
      <w:r w:rsidRPr="00A40196">
        <w:rPr>
          <w:lang w:val="en-AU"/>
        </w:rPr>
        <w:t>, NO</w:t>
      </w:r>
      <w:r w:rsidRPr="00A40196">
        <w:rPr>
          <w:vertAlign w:val="subscript"/>
          <w:lang w:val="en-AU"/>
        </w:rPr>
        <w:t>2</w:t>
      </w:r>
      <w:r w:rsidRPr="00A40196">
        <w:rPr>
          <w:lang w:val="en-AU"/>
        </w:rPr>
        <w:t>, NO</w:t>
      </w:r>
      <w:r w:rsidRPr="00A40196">
        <w:rPr>
          <w:vertAlign w:val="subscript"/>
          <w:lang w:val="en-AU"/>
        </w:rPr>
        <w:t>3</w:t>
      </w:r>
      <w:r w:rsidRPr="00A40196">
        <w:rPr>
          <w:lang w:val="en-AU"/>
        </w:rPr>
        <w:t>, PO</w:t>
      </w:r>
      <w:r w:rsidRPr="00A40196">
        <w:rPr>
          <w:vertAlign w:val="subscript"/>
          <w:lang w:val="en-AU"/>
        </w:rPr>
        <w:t>4</w:t>
      </w:r>
      <w:r w:rsidRPr="00A40196">
        <w:rPr>
          <w:lang w:val="en-AU"/>
        </w:rPr>
        <w:t>, Si(OH)</w:t>
      </w:r>
      <w:r w:rsidRPr="00A40196">
        <w:rPr>
          <w:vertAlign w:val="subscript"/>
          <w:lang w:val="en-AU"/>
        </w:rPr>
        <w:t>4</w:t>
      </w:r>
      <w:r w:rsidRPr="00A40196">
        <w:rPr>
          <w:lang w:val="en-AU"/>
        </w:rPr>
        <w:t xml:space="preserve">) concentrations </w:t>
      </w:r>
      <w:r w:rsidRPr="00A40196">
        <w:rPr>
          <w:rFonts w:cs="Plantin"/>
          <w:lang w:val="en-AU"/>
        </w:rPr>
        <w:t>were</w:t>
      </w:r>
      <w:r w:rsidRPr="00A40196">
        <w:rPr>
          <w:lang w:val="en-AU"/>
        </w:rPr>
        <w:t xml:space="preserve"> determined by standard wet chemical methods (Ryle </w:t>
      </w:r>
      <w:r w:rsidRPr="00A40196">
        <w:rPr>
          <w:i/>
          <w:lang w:val="en-AU"/>
        </w:rPr>
        <w:t>et al.</w:t>
      </w:r>
      <w:r w:rsidRPr="00A40196">
        <w:rPr>
          <w:lang w:val="en-AU"/>
        </w:rPr>
        <w:t xml:space="preserve"> 1981) implemented on a segmented flow analyser (Anon. 1997) after return to the AIMS laboratories. NO</w:t>
      </w:r>
      <w:r w:rsidRPr="00A40196">
        <w:rPr>
          <w:vertAlign w:val="subscript"/>
          <w:lang w:val="en-AU"/>
        </w:rPr>
        <w:t>2</w:t>
      </w:r>
      <w:r w:rsidRPr="00A40196">
        <w:rPr>
          <w:lang w:val="en-AU"/>
        </w:rPr>
        <w:t xml:space="preserve"> + NO</w:t>
      </w:r>
      <w:r w:rsidRPr="00A40196">
        <w:rPr>
          <w:vertAlign w:val="subscript"/>
          <w:lang w:val="en-AU"/>
        </w:rPr>
        <w:t>3</w:t>
      </w:r>
      <w:r w:rsidRPr="00A40196">
        <w:rPr>
          <w:lang w:val="en-AU"/>
        </w:rPr>
        <w:t>, is reported as NO</w:t>
      </w:r>
      <w:r w:rsidRPr="00A40196">
        <w:rPr>
          <w:vertAlign w:val="subscript"/>
          <w:lang w:val="en-AU"/>
        </w:rPr>
        <w:t>x</w:t>
      </w:r>
      <w:r w:rsidRPr="00A40196">
        <w:rPr>
          <w:lang w:val="en-AU"/>
        </w:rPr>
        <w:t xml:space="preserve"> (oxidised nitrogen). Analyses of total dissolved nutrients (TDN and TDP) </w:t>
      </w:r>
      <w:r w:rsidRPr="00A40196">
        <w:rPr>
          <w:rFonts w:cs="Plantin"/>
          <w:lang w:val="en-AU"/>
        </w:rPr>
        <w:t>were</w:t>
      </w:r>
      <w:r w:rsidRPr="00A40196">
        <w:rPr>
          <w:lang w:val="en-AU"/>
        </w:rPr>
        <w:t xml:space="preserve"> carried out using persulphate digestion of water samples (Valderrama 1981), which are then analysed for inorganic nutrients, as above.  </w:t>
      </w:r>
    </w:p>
    <w:p w14:paraId="5F22F7F4" w14:textId="77777777" w:rsidR="00317A18" w:rsidRPr="00914B3A" w:rsidRDefault="00317A18" w:rsidP="00317A18">
      <w:pPr>
        <w:autoSpaceDE w:val="0"/>
        <w:autoSpaceDN w:val="0"/>
        <w:adjustRightInd w:val="0"/>
        <w:rPr>
          <w:lang w:val="en-AU"/>
        </w:rPr>
      </w:pPr>
      <w:r w:rsidRPr="00A40196">
        <w:rPr>
          <w:rFonts w:cs="Plantin"/>
          <w:lang w:val="en-AU"/>
        </w:rPr>
        <w:t>At the Cairns Transect to avoid potential contamination during transport and storage, analysis of ammonium concentrations in triplicate subsamples per Niskin bottle were</w:t>
      </w:r>
      <w:r w:rsidRPr="00A40196">
        <w:rPr>
          <w:lang w:val="en-AU"/>
        </w:rPr>
        <w:t xml:space="preserve"> </w:t>
      </w:r>
      <w:r w:rsidRPr="00A40196">
        <w:rPr>
          <w:rFonts w:cs="Plantin"/>
          <w:lang w:val="en-AU"/>
        </w:rPr>
        <w:t xml:space="preserve">also immediately carried out on board the vessel using a fluorometric method based on the reaction of ortho-phthal-dialdehyde (OPA) with ammonium (Holmes </w:t>
      </w:r>
      <w:r w:rsidRPr="00A40196">
        <w:rPr>
          <w:rFonts w:cs="Plantin"/>
          <w:i/>
          <w:lang w:val="en-AU"/>
        </w:rPr>
        <w:t>et al.</w:t>
      </w:r>
      <w:r w:rsidRPr="00A40196">
        <w:rPr>
          <w:rFonts w:cs="Plantin"/>
          <w:lang w:val="en-AU"/>
        </w:rPr>
        <w:t xml:space="preserve"> 1999). These samples were</w:t>
      </w:r>
      <w:r w:rsidRPr="00A40196">
        <w:rPr>
          <w:lang w:val="en-AU"/>
        </w:rPr>
        <w:t xml:space="preserve"> </w:t>
      </w:r>
      <w:r w:rsidRPr="00A40196">
        <w:rPr>
          <w:rFonts w:cs="Plantin"/>
          <w:lang w:val="en-AU"/>
        </w:rPr>
        <w:t>analysed on fresh unfiltered seawater samples using specially cleaned glassware; AIMS experience shows that the risk of contaminating ammonium samples by filtration, transport and storage is high.</w:t>
      </w:r>
      <w:r w:rsidRPr="00A40196">
        <w:rPr>
          <w:lang w:val="en-AU"/>
        </w:rPr>
        <w:t xml:space="preserve"> If available, the NH</w:t>
      </w:r>
      <w:r w:rsidRPr="00A40196">
        <w:rPr>
          <w:vertAlign w:val="subscript"/>
          <w:lang w:val="en-AU"/>
        </w:rPr>
        <w:t>4</w:t>
      </w:r>
      <w:r w:rsidRPr="00A40196">
        <w:rPr>
          <w:lang w:val="en-AU"/>
        </w:rPr>
        <w:t xml:space="preserve"> values measured at sea were used for the calculation of DIN.</w:t>
      </w:r>
    </w:p>
    <w:p w14:paraId="5F22F7F5" w14:textId="77777777" w:rsidR="00317A18" w:rsidRPr="00A40196" w:rsidRDefault="00317A18" w:rsidP="00914B3A">
      <w:pPr>
        <w:autoSpaceDE w:val="0"/>
        <w:autoSpaceDN w:val="0"/>
        <w:adjustRightInd w:val="0"/>
        <w:rPr>
          <w:lang w:val="en-AU"/>
        </w:rPr>
      </w:pPr>
      <w:r w:rsidRPr="00A40196">
        <w:rPr>
          <w:rFonts w:eastAsia="MS Mincho"/>
          <w:lang w:val="en-AU"/>
        </w:rPr>
        <w:t>Dissolved organic carbon (DOC) concentrations were measured by high temperature combustion (720ºC) using a Shimadzu TOC-L carbon analyser.</w:t>
      </w:r>
      <w:r w:rsidRPr="00A40196">
        <w:rPr>
          <w:lang w:val="en-AU"/>
        </w:rPr>
        <w:t xml:space="preserve"> Prior to analysis, CO</w:t>
      </w:r>
      <w:r w:rsidRPr="00A40196">
        <w:rPr>
          <w:vertAlign w:val="subscript"/>
          <w:lang w:val="en-AU"/>
        </w:rPr>
        <w:t>2</w:t>
      </w:r>
      <w:r w:rsidRPr="00A40196">
        <w:rPr>
          <w:lang w:val="en-AU"/>
        </w:rPr>
        <w:t xml:space="preserve"> remaining in the acidified sample water was removed by sparging with O</w:t>
      </w:r>
      <w:r w:rsidRPr="00A40196">
        <w:rPr>
          <w:vertAlign w:val="subscript"/>
          <w:lang w:val="en-AU"/>
        </w:rPr>
        <w:t>2</w:t>
      </w:r>
      <w:r w:rsidRPr="00A40196">
        <w:rPr>
          <w:lang w:val="en-AU"/>
        </w:rPr>
        <w:t xml:space="preserve"> carrier gas. </w:t>
      </w:r>
    </w:p>
    <w:p w14:paraId="5F22F7F6" w14:textId="77777777" w:rsidR="00317A18" w:rsidRPr="00914B3A" w:rsidRDefault="00317A18" w:rsidP="00317A18">
      <w:pPr>
        <w:autoSpaceDE w:val="0"/>
        <w:autoSpaceDN w:val="0"/>
        <w:adjustRightInd w:val="0"/>
        <w:rPr>
          <w:rFonts w:cs="Plantin"/>
          <w:lang w:val="en-AU"/>
        </w:rPr>
      </w:pPr>
      <w:r w:rsidRPr="00A40196">
        <w:rPr>
          <w:rFonts w:cs="Plantin"/>
          <w:lang w:val="en-AU"/>
        </w:rPr>
        <w:t xml:space="preserve">The sub-samples for chlorophyll </w:t>
      </w:r>
      <w:r w:rsidRPr="00A40196">
        <w:rPr>
          <w:rFonts w:cs="Plantin"/>
          <w:i/>
          <w:lang w:val="en-AU"/>
        </w:rPr>
        <w:t>a</w:t>
      </w:r>
      <w:r w:rsidRPr="00A40196">
        <w:rPr>
          <w:rFonts w:cs="Plantin"/>
          <w:lang w:val="en-AU"/>
        </w:rPr>
        <w:t xml:space="preserve"> and particulate matter determinations were</w:t>
      </w:r>
      <w:r w:rsidRPr="00A40196">
        <w:rPr>
          <w:lang w:val="en-AU"/>
        </w:rPr>
        <w:t xml:space="preserve"> </w:t>
      </w:r>
      <w:r w:rsidRPr="00A40196">
        <w:rPr>
          <w:rFonts w:cs="Plantin"/>
          <w:lang w:val="en-AU"/>
        </w:rPr>
        <w:t>collected by vacuum filtration on pre-combusted glass-fibre filters (Whatman GF/F).  Filters were</w:t>
      </w:r>
      <w:r w:rsidRPr="00A40196">
        <w:rPr>
          <w:lang w:val="en-AU"/>
        </w:rPr>
        <w:t xml:space="preserve"> </w:t>
      </w:r>
      <w:r w:rsidRPr="00A40196">
        <w:rPr>
          <w:rFonts w:cs="Plantin"/>
          <w:lang w:val="en-AU"/>
        </w:rPr>
        <w:t xml:space="preserve">wrapped in pre-combusted aluminium foil envelopes and stored at </w:t>
      </w:r>
      <w:r w:rsidRPr="00A40196">
        <w:rPr>
          <w:rFonts w:cs="PiOne"/>
          <w:lang w:val="en-AU"/>
        </w:rPr>
        <w:t>-</w:t>
      </w:r>
      <w:r w:rsidRPr="00A40196">
        <w:rPr>
          <w:rFonts w:cs="Plantin"/>
          <w:lang w:val="en-AU"/>
        </w:rPr>
        <w:t>18</w:t>
      </w:r>
      <w:r w:rsidRPr="00A40196">
        <w:rPr>
          <w:lang w:val="en-AU"/>
        </w:rPr>
        <w:t>º</w:t>
      </w:r>
      <w:r w:rsidR="00914B3A">
        <w:rPr>
          <w:rFonts w:cs="Plantin"/>
          <w:lang w:val="en-AU"/>
        </w:rPr>
        <w:t>C until analyses</w:t>
      </w:r>
    </w:p>
    <w:p w14:paraId="5F22F7F7" w14:textId="77777777" w:rsidR="00317A18" w:rsidRPr="00914B3A" w:rsidRDefault="00317A18" w:rsidP="00317A18">
      <w:pPr>
        <w:autoSpaceDE w:val="0"/>
        <w:autoSpaceDN w:val="0"/>
        <w:adjustRightInd w:val="0"/>
        <w:rPr>
          <w:rFonts w:cs="Plantin"/>
          <w:lang w:val="en-AU"/>
        </w:rPr>
      </w:pPr>
      <w:r w:rsidRPr="00A40196">
        <w:rPr>
          <w:rFonts w:cs="Plantin"/>
          <w:lang w:val="en-AU"/>
        </w:rPr>
        <w:t xml:space="preserve">Chlorophyll </w:t>
      </w:r>
      <w:r w:rsidRPr="00A40196">
        <w:rPr>
          <w:rFonts w:cs="Plantin-Italic"/>
          <w:i/>
          <w:iCs/>
          <w:lang w:val="en-AU"/>
        </w:rPr>
        <w:t>a</w:t>
      </w:r>
      <w:r w:rsidRPr="00A40196">
        <w:rPr>
          <w:rFonts w:cs="Plantin-Italic"/>
          <w:iCs/>
          <w:lang w:val="en-AU"/>
        </w:rPr>
        <w:t xml:space="preserve"> </w:t>
      </w:r>
      <w:r w:rsidRPr="00A40196">
        <w:rPr>
          <w:rFonts w:cs="Plantin"/>
          <w:lang w:val="en-AU"/>
        </w:rPr>
        <w:t xml:space="preserve">concentrations were measured fluorometrically using a Turner Designs 10AU fluorometer after grinding the filters in 90% acetone (Parsons </w:t>
      </w:r>
      <w:r w:rsidRPr="00E201D7">
        <w:rPr>
          <w:rFonts w:cs="Plantin-Italic"/>
          <w:iCs/>
          <w:lang w:val="en-AU"/>
        </w:rPr>
        <w:t>et al.</w:t>
      </w:r>
      <w:r w:rsidR="00E201D7" w:rsidRPr="00E201D7">
        <w:rPr>
          <w:rFonts w:cs="Plantin-Italic"/>
          <w:iCs/>
          <w:lang w:val="en-AU"/>
        </w:rPr>
        <w:t>,</w:t>
      </w:r>
      <w:r w:rsidRPr="00A40196">
        <w:rPr>
          <w:rFonts w:cs="Plantin"/>
          <w:lang w:val="en-AU"/>
        </w:rPr>
        <w:t xml:space="preserve"> 1984). The fluorometer was calibrated against chlorophyll </w:t>
      </w:r>
      <w:r w:rsidRPr="00A40196">
        <w:rPr>
          <w:rFonts w:cs="Plantin"/>
          <w:i/>
          <w:lang w:val="en-AU"/>
        </w:rPr>
        <w:t>a</w:t>
      </w:r>
      <w:r w:rsidRPr="00A40196">
        <w:rPr>
          <w:rFonts w:cs="Plantin"/>
          <w:lang w:val="en-AU"/>
        </w:rPr>
        <w:t xml:space="preserve"> extracts from log-phase diatom cultures. The extract chlorophyll </w:t>
      </w:r>
      <w:r w:rsidRPr="00A40196">
        <w:rPr>
          <w:rFonts w:cs="Plantin"/>
          <w:i/>
          <w:lang w:val="en-AU"/>
        </w:rPr>
        <w:t>a</w:t>
      </w:r>
      <w:r w:rsidRPr="00A40196">
        <w:rPr>
          <w:rFonts w:cs="Plantin"/>
          <w:lang w:val="en-AU"/>
        </w:rPr>
        <w:t xml:space="preserve"> concentrations were determined spectrophotometrically using the wavelengths and equation specified by Jeffrey and Humphrey (1975).</w:t>
      </w:r>
    </w:p>
    <w:p w14:paraId="5F22F7F8" w14:textId="77777777" w:rsidR="00317A18" w:rsidRPr="00914B3A" w:rsidRDefault="00317A18" w:rsidP="00317A18">
      <w:pPr>
        <w:autoSpaceDE w:val="0"/>
        <w:autoSpaceDN w:val="0"/>
        <w:adjustRightInd w:val="0"/>
        <w:rPr>
          <w:lang w:val="en-AU"/>
        </w:rPr>
      </w:pPr>
      <w:r w:rsidRPr="00A40196">
        <w:rPr>
          <w:lang w:val="en-AU"/>
        </w:rPr>
        <w:t>The particulate organic carbon content (POC) and particulate nitrogen content (PN) of material collected on filters was determined by high temperature combustion (950ºC) using a Shimadzu TOC-L carbon analyser fitted with a TNM-L Total Nitrogen unit and a SSM-5000A solid sample module.  Filters containing sampled material were placed in pre-combusted (950ºC) ceramic sample boats.  Inorganic C on the filters (e.g. CaCO</w:t>
      </w:r>
      <w:r w:rsidRPr="00A40196">
        <w:rPr>
          <w:vertAlign w:val="subscript"/>
          <w:lang w:val="en-AU"/>
        </w:rPr>
        <w:t>3</w:t>
      </w:r>
      <w:r w:rsidRPr="00A40196">
        <w:rPr>
          <w:lang w:val="en-AU"/>
        </w:rPr>
        <w:t>) was removed by acidification of the sample with 2M hydrochloric acid and warming to near dryness.  The filter was then introduced into the sample oven (950ºC), purged of atmospheric CO</w:t>
      </w:r>
      <w:r w:rsidRPr="00A40196">
        <w:rPr>
          <w:vertAlign w:val="subscript"/>
          <w:lang w:val="en-AU"/>
        </w:rPr>
        <w:t>2 </w:t>
      </w:r>
      <w:r w:rsidRPr="00A40196">
        <w:rPr>
          <w:lang w:val="en-AU"/>
        </w:rPr>
        <w:t>and the remaining organic matter was then comb</w:t>
      </w:r>
      <w:r w:rsidR="00E201D7">
        <w:rPr>
          <w:lang w:val="en-AU"/>
        </w:rPr>
        <w:t xml:space="preserve">usted in stream of “Zero Air”. </w:t>
      </w:r>
      <w:r w:rsidRPr="00A40196">
        <w:rPr>
          <w:lang w:val="en-AU"/>
        </w:rPr>
        <w:t>Total Organic Carbon (as CO</w:t>
      </w:r>
      <w:r w:rsidRPr="00A40196">
        <w:rPr>
          <w:vertAlign w:val="subscript"/>
          <w:lang w:val="en-AU"/>
        </w:rPr>
        <w:t>2</w:t>
      </w:r>
      <w:r w:rsidRPr="00A40196">
        <w:rPr>
          <w:lang w:val="en-AU"/>
        </w:rPr>
        <w:t>) was then quantified by IRGA and total bound Nitrogen (TNb, as Nitrogen Oxides) was quantified by chemiluminescence. The analyses were standardised using certified reference materials.</w:t>
      </w:r>
    </w:p>
    <w:p w14:paraId="5F22F7F9" w14:textId="77777777" w:rsidR="00317A18" w:rsidRPr="00A40196" w:rsidRDefault="00317A18" w:rsidP="00317A18">
      <w:pPr>
        <w:autoSpaceDE w:val="0"/>
        <w:autoSpaceDN w:val="0"/>
        <w:adjustRightInd w:val="0"/>
        <w:rPr>
          <w:rFonts w:cs="Plantin"/>
          <w:lang w:val="en-AU"/>
        </w:rPr>
      </w:pPr>
      <w:r w:rsidRPr="00A40196">
        <w:rPr>
          <w:lang w:val="en-AU"/>
        </w:rPr>
        <w:t>Particulate</w:t>
      </w:r>
      <w:r w:rsidRPr="00A40196">
        <w:rPr>
          <w:rFonts w:cs="Plantin"/>
          <w:lang w:val="en-AU"/>
        </w:rPr>
        <w:t xml:space="preserve"> phosphorus (PP) was determined spectrophotometrically as inorganic P (PO</w:t>
      </w:r>
      <w:r w:rsidRPr="00A40196">
        <w:rPr>
          <w:rFonts w:cs="Plantin"/>
          <w:vertAlign w:val="subscript"/>
          <w:lang w:val="en-AU"/>
        </w:rPr>
        <w:t>4</w:t>
      </w:r>
      <w:r w:rsidRPr="00A40196">
        <w:rPr>
          <w:rFonts w:cs="Plantin"/>
          <w:lang w:val="en-AU"/>
        </w:rPr>
        <w:t xml:space="preserve">: Parsons </w:t>
      </w:r>
      <w:r w:rsidRPr="00A40196">
        <w:rPr>
          <w:rFonts w:cs="Plantin-Italic"/>
          <w:i/>
          <w:iCs/>
          <w:lang w:val="en-AU"/>
        </w:rPr>
        <w:t>et al.</w:t>
      </w:r>
      <w:r w:rsidRPr="00A40196">
        <w:rPr>
          <w:rFonts w:cs="Plantin"/>
          <w:lang w:val="en-AU"/>
        </w:rPr>
        <w:t xml:space="preserve"> 1984) after digesting the particulate matter in 5% potassium persulphate (Furnas </w:t>
      </w:r>
      <w:r w:rsidRPr="00A40196">
        <w:rPr>
          <w:rFonts w:cs="Plantin-Italic"/>
          <w:i/>
          <w:iCs/>
          <w:lang w:val="en-AU"/>
        </w:rPr>
        <w:t>et al.</w:t>
      </w:r>
      <w:r w:rsidRPr="00A40196">
        <w:rPr>
          <w:rFonts w:cs="Plantin"/>
          <w:lang w:val="en-AU"/>
        </w:rPr>
        <w:t xml:space="preserve"> 1995). The method was standardised using orthophosphoric acid and dissolved sugar phosphates as the primary standards.</w:t>
      </w:r>
    </w:p>
    <w:p w14:paraId="5F22F7FA" w14:textId="77777777" w:rsidR="00317A18" w:rsidRPr="00A40196" w:rsidRDefault="00317A18" w:rsidP="00317A18">
      <w:pPr>
        <w:autoSpaceDE w:val="0"/>
        <w:autoSpaceDN w:val="0"/>
        <w:adjustRightInd w:val="0"/>
        <w:rPr>
          <w:lang w:val="en-AU"/>
        </w:rPr>
      </w:pPr>
      <w:r w:rsidRPr="00A40196">
        <w:rPr>
          <w:rFonts w:cs="Plantin"/>
          <w:lang w:val="en-AU"/>
        </w:rPr>
        <w:t>Sub-samples for total suspended solids (TSS) were</w:t>
      </w:r>
      <w:r w:rsidRPr="00A40196">
        <w:rPr>
          <w:lang w:val="en-AU"/>
        </w:rPr>
        <w:t xml:space="preserve"> </w:t>
      </w:r>
      <w:r w:rsidRPr="00A40196">
        <w:rPr>
          <w:rFonts w:cs="Plantin"/>
          <w:lang w:val="en-AU"/>
        </w:rPr>
        <w:t xml:space="preserve">collected on pre-weighed 0.4 </w:t>
      </w:r>
      <w:r w:rsidRPr="00A40196">
        <w:rPr>
          <w:lang w:val="en-AU"/>
        </w:rPr>
        <w:t>µ</w:t>
      </w:r>
      <w:r w:rsidRPr="00A40196">
        <w:rPr>
          <w:rFonts w:cs="Plantin"/>
          <w:lang w:val="en-AU"/>
        </w:rPr>
        <w:t xml:space="preserve">m polycarbonate filters. TSS concentrations were determined gravimetrically from the difference in weight between loaded and unloaded 0.4 </w:t>
      </w:r>
      <w:r w:rsidRPr="00A40196">
        <w:rPr>
          <w:lang w:val="en-AU"/>
        </w:rPr>
        <w:t>µ</w:t>
      </w:r>
      <w:r w:rsidRPr="00A40196">
        <w:rPr>
          <w:rFonts w:cs="Plantin"/>
          <w:lang w:val="en-AU"/>
        </w:rPr>
        <w:t>m polycarbonate filters (47 mm diameter, GE Water &amp; Process Technologies) after the filters had been dried overnight at 60</w:t>
      </w:r>
      <w:r w:rsidRPr="00A40196">
        <w:rPr>
          <w:lang w:val="en-AU"/>
        </w:rPr>
        <w:t>º</w:t>
      </w:r>
      <w:r w:rsidRPr="00A40196">
        <w:rPr>
          <w:rFonts w:cs="Plantin"/>
          <w:lang w:val="en-AU"/>
        </w:rPr>
        <w:t>C</w:t>
      </w:r>
      <w:r w:rsidRPr="00A40196">
        <w:rPr>
          <w:lang w:val="en-AU"/>
        </w:rPr>
        <w:t xml:space="preserve">. </w:t>
      </w:r>
    </w:p>
    <w:p w14:paraId="5F22F7FB" w14:textId="75B446C9" w:rsidR="00317A18" w:rsidRPr="00A40196" w:rsidRDefault="00317A18" w:rsidP="00317A18">
      <w:pPr>
        <w:autoSpaceDE w:val="0"/>
        <w:autoSpaceDN w:val="0"/>
        <w:adjustRightInd w:val="0"/>
        <w:rPr>
          <w:rFonts w:cs="Plantin"/>
          <w:lang w:val="en-AU"/>
        </w:rPr>
      </w:pPr>
      <w:r w:rsidRPr="00A40196">
        <w:rPr>
          <w:rFonts w:cs="Plantin"/>
          <w:lang w:val="en-AU"/>
        </w:rPr>
        <w:t>Details about method performance and QA</w:t>
      </w:r>
      <w:r w:rsidR="001D1811">
        <w:rPr>
          <w:rFonts w:cs="Plantin"/>
          <w:lang w:val="en-AU"/>
        </w:rPr>
        <w:t>/</w:t>
      </w:r>
      <w:r w:rsidRPr="00A40196">
        <w:rPr>
          <w:rFonts w:cs="Plantin"/>
          <w:lang w:val="en-AU"/>
        </w:rPr>
        <w:t xml:space="preserve">QC procedures are given in Appendix 3. </w:t>
      </w:r>
    </w:p>
    <w:p w14:paraId="5F22F7FC" w14:textId="77777777" w:rsidR="00E94E33" w:rsidRPr="00A40196" w:rsidRDefault="00E94E33" w:rsidP="00E94E33">
      <w:pPr>
        <w:autoSpaceDE w:val="0"/>
        <w:autoSpaceDN w:val="0"/>
        <w:adjustRightInd w:val="0"/>
        <w:rPr>
          <w:rFonts w:cs="Plantin"/>
          <w:color w:val="0070C0"/>
          <w:lang w:val="en-AU"/>
        </w:rPr>
      </w:pPr>
    </w:p>
    <w:p w14:paraId="5F22F7FD" w14:textId="77777777" w:rsidR="008645FA" w:rsidRPr="009F7086" w:rsidRDefault="008645FA" w:rsidP="00C85410">
      <w:pPr>
        <w:pStyle w:val="Heading7"/>
      </w:pPr>
      <w:bookmarkStart w:id="1519" w:name="_Toc435775363"/>
      <w:bookmarkStart w:id="1520" w:name="_Toc229069175"/>
      <w:bookmarkStart w:id="1521" w:name="_Toc334990243"/>
      <w:bookmarkStart w:id="1522" w:name="_Toc374707561"/>
      <w:bookmarkStart w:id="1523" w:name="_Toc393133589"/>
      <w:bookmarkStart w:id="1524" w:name="_Toc406143755"/>
      <w:r w:rsidRPr="009F7086">
        <w:t>Autonomous Water Quality Loggers</w:t>
      </w:r>
      <w:bookmarkEnd w:id="1519"/>
    </w:p>
    <w:p w14:paraId="5F22F7FE" w14:textId="77777777" w:rsidR="008645FA" w:rsidRPr="00A40196" w:rsidRDefault="008645FA" w:rsidP="008645FA">
      <w:pPr>
        <w:rPr>
          <w:lang w:val="en-AU"/>
        </w:rPr>
      </w:pPr>
      <w:r w:rsidRPr="00A40196">
        <w:rPr>
          <w:lang w:val="en-AU"/>
        </w:rPr>
        <w:t xml:space="preserve">Instrumental water quality monitoring </w:t>
      </w:r>
      <w:r w:rsidRPr="00A40196">
        <w:rPr>
          <w:rFonts w:eastAsia="MS Mincho"/>
          <w:lang w:val="en-AU"/>
        </w:rPr>
        <w:t>(Figure 4</w:t>
      </w:r>
      <w:r w:rsidR="00E201D7">
        <w:rPr>
          <w:rFonts w:eastAsia="MS Mincho"/>
          <w:lang w:val="en-AU"/>
        </w:rPr>
        <w:t>-1</w:t>
      </w:r>
      <w:r w:rsidRPr="00A40196">
        <w:rPr>
          <w:rFonts w:eastAsia="MS Mincho"/>
          <w:lang w:val="en-AU"/>
        </w:rPr>
        <w:t xml:space="preserve">, Table </w:t>
      </w:r>
      <w:r w:rsidR="00E201D7">
        <w:rPr>
          <w:rFonts w:eastAsia="MS Mincho"/>
          <w:lang w:val="en-AU"/>
        </w:rPr>
        <w:t>4-1</w:t>
      </w:r>
      <w:r w:rsidRPr="00A40196">
        <w:rPr>
          <w:rFonts w:eastAsia="MS Mincho"/>
          <w:lang w:val="en-AU"/>
        </w:rPr>
        <w:t xml:space="preserve"> in main report text) </w:t>
      </w:r>
      <w:r w:rsidRPr="00A40196">
        <w:rPr>
          <w:lang w:val="en-AU"/>
        </w:rPr>
        <w:t xml:space="preserve">was undertaken using WET Labs ECO FLNTUSB Combination Fluorometer and Turbidity Sensors. These were deployed at 5m below the water surface. The ECO FLNTUSB Combination instruments </w:t>
      </w:r>
      <w:r w:rsidRPr="00A40196">
        <w:rPr>
          <w:lang w:val="en-AU" w:eastAsia="en-AU"/>
        </w:rPr>
        <w:t>were</w:t>
      </w:r>
      <w:r w:rsidRPr="00A40196">
        <w:rPr>
          <w:lang w:val="en-AU"/>
        </w:rPr>
        <w:t xml:space="preserve"> deployed year round and perform simultaneous </w:t>
      </w:r>
      <w:r w:rsidRPr="00A40196">
        <w:rPr>
          <w:i/>
          <w:lang w:val="en-AU"/>
        </w:rPr>
        <w:t>in situ</w:t>
      </w:r>
      <w:r w:rsidRPr="00A40196">
        <w:rPr>
          <w:lang w:val="en-AU"/>
        </w:rPr>
        <w:t xml:space="preserve"> measurements of chlorophyll fluorescence, turbidity and temperature. </w:t>
      </w:r>
    </w:p>
    <w:p w14:paraId="5F22F7FF" w14:textId="77777777" w:rsidR="008645FA" w:rsidRPr="00A40196" w:rsidRDefault="008645FA" w:rsidP="008645FA">
      <w:pPr>
        <w:autoSpaceDE w:val="0"/>
        <w:autoSpaceDN w:val="0"/>
        <w:adjustRightInd w:val="0"/>
        <w:rPr>
          <w:lang w:val="en-AU" w:eastAsia="en-AU"/>
        </w:rPr>
      </w:pPr>
      <w:r w:rsidRPr="00A40196">
        <w:rPr>
          <w:lang w:val="en-AU" w:eastAsia="en-AU"/>
        </w:rPr>
        <w:t xml:space="preserve">The fluorometer monitors chlorophyll concentration by directly measuring the amount of chlorophyll fluorescence emission, using LEDs (centred at 455 nm and modulated at 1 kHz) as the excitation source. The </w:t>
      </w:r>
      <w:r w:rsidRPr="00A40196">
        <w:rPr>
          <w:bCs/>
          <w:lang w:val="en-AU" w:eastAsia="en-AU"/>
        </w:rPr>
        <w:t xml:space="preserve">fluorometer measures fluorescence from a number of chlorophyll pigments and their degradation products which are collectively referred to as “chlorophyll”, in contrast to data from the direct water sampling which specifically measures “chlorophyll </w:t>
      </w:r>
      <w:r w:rsidRPr="00A40196">
        <w:rPr>
          <w:bCs/>
          <w:i/>
          <w:lang w:val="en-AU" w:eastAsia="en-AU"/>
        </w:rPr>
        <w:t>a</w:t>
      </w:r>
      <w:r w:rsidRPr="00A40196">
        <w:rPr>
          <w:bCs/>
          <w:lang w:val="en-AU" w:eastAsia="en-AU"/>
        </w:rPr>
        <w:t xml:space="preserve">”. Optical interference, and hence an overestimation of the true “chlorophyll” concentration, can occur if fluorescent compounds in dissolved organic matter are abundant (Wright and Jeffrey 2006), for example in waters affected by flood plumes (see also Appendix 2). </w:t>
      </w:r>
      <w:r w:rsidRPr="00A40196">
        <w:rPr>
          <w:lang w:val="en-AU" w:eastAsia="en-AU"/>
        </w:rPr>
        <w:t xml:space="preserve">Throughout this report the instrument data are referred to as “chlorophyll”, in contrast to data from the direct water sampling which measures specifically “chlorophyll </w:t>
      </w:r>
      <w:r w:rsidRPr="00A40196">
        <w:rPr>
          <w:i/>
          <w:lang w:val="en-AU" w:eastAsia="en-AU"/>
        </w:rPr>
        <w:t>a</w:t>
      </w:r>
      <w:r w:rsidRPr="00A40196">
        <w:rPr>
          <w:lang w:val="en-AU" w:eastAsia="en-AU"/>
        </w:rPr>
        <w:t xml:space="preserve">”. A blue interference filter is used to reject the small amount of red light emitted by the LEDs. The light from the sources enters the water at an angle of approximately 55–60 degrees with respect to the end face of the unit. The red fluorescence emitted (683 nm) is detected by a silicon photodiode positioned where the acceptance angle forms a 140-degree intersection with the source beam. A red interference filter discriminates against the scattered excitation light. </w:t>
      </w:r>
    </w:p>
    <w:p w14:paraId="5F22F800" w14:textId="77777777" w:rsidR="008645FA" w:rsidRPr="00A40196" w:rsidRDefault="008645FA" w:rsidP="008645FA">
      <w:pPr>
        <w:autoSpaceDE w:val="0"/>
        <w:autoSpaceDN w:val="0"/>
        <w:adjustRightInd w:val="0"/>
        <w:rPr>
          <w:lang w:val="en-AU" w:eastAsia="en-AU"/>
        </w:rPr>
      </w:pPr>
      <w:r w:rsidRPr="00A40196">
        <w:rPr>
          <w:lang w:val="en-AU" w:eastAsia="en-AU"/>
        </w:rPr>
        <w:t>Turbidity is measured simultaneously by detecting the scattered light from a red (700 nm) LED at 140 degrees to the same detector used for fluorescence. The instruments were used in ‘logging’ mode and recorded a data point every 10 minutes for each of the three parameters, which was a mean of 50 instantaneous readings.</w:t>
      </w:r>
    </w:p>
    <w:p w14:paraId="5F22F801" w14:textId="77777777" w:rsidR="008645FA" w:rsidRPr="00A40196" w:rsidRDefault="008645FA" w:rsidP="008645FA">
      <w:pPr>
        <w:autoSpaceDE w:val="0"/>
        <w:autoSpaceDN w:val="0"/>
        <w:adjustRightInd w:val="0"/>
        <w:rPr>
          <w:lang w:val="en-AU"/>
        </w:rPr>
      </w:pPr>
      <w:r w:rsidRPr="00A40196">
        <w:rPr>
          <w:lang w:val="en-AU"/>
        </w:rPr>
        <w:t xml:space="preserve">Pre- and post-deployment checks of each instrument included measurements of the maximum fluorescence response, the dark count (instrument response with no external fluorescence, essentially the ‘zero’ point). </w:t>
      </w:r>
      <w:r w:rsidRPr="00A40196">
        <w:rPr>
          <w:i/>
          <w:lang w:val="en-AU"/>
        </w:rPr>
        <w:t>After</w:t>
      </w:r>
      <w:r w:rsidRPr="00A40196">
        <w:rPr>
          <w:lang w:val="en-AU"/>
        </w:rPr>
        <w:t xml:space="preserve"> retrieval from the field locations, the instruments were cleaned and data downloaded and converted from raw instrumental records into actual measurement units (µg L</w:t>
      </w:r>
      <w:r w:rsidRPr="00A40196">
        <w:rPr>
          <w:vertAlign w:val="superscript"/>
          <w:lang w:val="en-AU"/>
        </w:rPr>
        <w:t>-1</w:t>
      </w:r>
      <w:r w:rsidRPr="00A40196">
        <w:rPr>
          <w:lang w:val="en-AU"/>
        </w:rPr>
        <w:t xml:space="preserve"> for chlorophyll fluorescence, NTU for turbidity, ºC for temperature) according to standard procedures by the manufacturer. Deployment information and all raw and converted instrumental records were stored in an Oracle-based data management system developed by AIMS. Records are quality-checked using a time-series data editing software (WISKI</w:t>
      </w:r>
      <w:r w:rsidRPr="00A40196">
        <w:rPr>
          <w:szCs w:val="22"/>
          <w:vertAlign w:val="superscript"/>
          <w:lang w:val="en-AU"/>
        </w:rPr>
        <w:sym w:font="Symbol" w:char="F0D3"/>
      </w:r>
      <w:r w:rsidRPr="00A40196">
        <w:rPr>
          <w:lang w:val="en-AU"/>
        </w:rPr>
        <w:t xml:space="preserve">-TV, Kisters). Instrumental data were validated by comparison with chlorophyll and suspended solid concentration obtained by analyses of water samples collected close to the instruments, which was carried out at each change-over (see Appendix 2).   </w:t>
      </w:r>
    </w:p>
    <w:p w14:paraId="5F22F802" w14:textId="77777777" w:rsidR="008645FA" w:rsidRPr="00A8483D" w:rsidRDefault="008645FA" w:rsidP="00C85410">
      <w:pPr>
        <w:pStyle w:val="Heading7"/>
        <w:rPr>
          <w:rStyle w:val="Heading20"/>
        </w:rPr>
      </w:pPr>
      <w:r w:rsidRPr="009F7086">
        <w:t>Salinity and Temperature Profilers</w:t>
      </w:r>
    </w:p>
    <w:p w14:paraId="5F22F803" w14:textId="77777777" w:rsidR="008645FA" w:rsidRPr="00A40196" w:rsidRDefault="008645FA" w:rsidP="008645FA">
      <w:pPr>
        <w:rPr>
          <w:lang w:val="en-AU"/>
        </w:rPr>
      </w:pPr>
      <w:r w:rsidRPr="00A40196">
        <w:rPr>
          <w:lang w:val="en-AU"/>
        </w:rPr>
        <w:t>The CTD (Conductivity-Temperature-Depth) profilers measure salinity and temperature in a vertical profile through the water column at each sample site in parallel with the discrete water sample grabs. AIMS uses several Sea-Bird Electronics (SBE) CTD profilers, which are also be fitted with additional sensors such as fluorometers, transmissometers or PAR (Photosynthetically Available Radiation) sensors. Annual calibrations of the profiler instrumentation are carried out by specialised laboratories, such as CSIRO CMAR in Hobart, or Sea-Bird Electronics and WET Labs in the USA. These calibration values are included within the SBE configuration files.</w:t>
      </w:r>
    </w:p>
    <w:p w14:paraId="5F22F804" w14:textId="77777777" w:rsidR="008645FA" w:rsidRPr="00A40196" w:rsidRDefault="008645FA" w:rsidP="008645FA">
      <w:pPr>
        <w:rPr>
          <w:lang w:val="en-AU"/>
        </w:rPr>
      </w:pPr>
      <w:r w:rsidRPr="00A40196">
        <w:rPr>
          <w:lang w:val="en-AU"/>
        </w:rPr>
        <w:t>Pre-trip CTD checks are carried out at AIMS. These include checking the physical status of the sensors and cables. The C-T (Conductivity-Temperature) cell is also kept ‘soaked’ in de-ionised water for at least 1 hr prior to use. The CTD is connected to the SBE program SeaTerm, where communications are checked and the ‘display status’ command provides a battery power check and memory available.  Batteries are replaced once voltage drops below 11.2V, and the CTD memory is cleared prior to a trip.</w:t>
      </w:r>
    </w:p>
    <w:p w14:paraId="5F22F805" w14:textId="77777777" w:rsidR="008645FA" w:rsidRPr="00A40196" w:rsidRDefault="008645FA" w:rsidP="008645FA">
      <w:pPr>
        <w:rPr>
          <w:lang w:val="en-AU"/>
        </w:rPr>
      </w:pPr>
      <w:r w:rsidRPr="00A40196">
        <w:rPr>
          <w:lang w:val="en-AU"/>
        </w:rPr>
        <w:t>Pre deployment of the CTD profiler on board the boat, the CTD is secured to the boat cable. Tygon tubing is removed from the CTD to allow flush water to drain from the C-T cell, and protective caps removed from the other sensors. To activate logging, the magnetic switch is moved to the on position, and the CTD cage is lowered into the water sitting at the surface below the surface. A three minute ‘soak’ of the CTD begins, to allow sensors to equilibrate and air bubbles to be flushed by the pump.</w:t>
      </w:r>
    </w:p>
    <w:p w14:paraId="5F22F806" w14:textId="37D5CF0C" w:rsidR="008645FA" w:rsidRPr="00A40196" w:rsidRDefault="008645FA" w:rsidP="008645FA">
      <w:pPr>
        <w:rPr>
          <w:lang w:val="en-AU"/>
        </w:rPr>
      </w:pPr>
      <w:r w:rsidRPr="00A40196">
        <w:rPr>
          <w:lang w:val="en-AU"/>
        </w:rPr>
        <w:t>The profile is commenced at a rate no greater than 0.5 m s</w:t>
      </w:r>
      <w:r w:rsidRPr="00C83BA4">
        <w:rPr>
          <w:vertAlign w:val="superscript"/>
          <w:lang w:val="en-AU"/>
        </w:rPr>
        <w:t>-1</w:t>
      </w:r>
      <w:r w:rsidR="004B0453">
        <w:rPr>
          <w:lang w:val="en-AU"/>
        </w:rPr>
        <w:t xml:space="preserve"> t</w:t>
      </w:r>
      <w:r w:rsidRPr="00A40196">
        <w:rPr>
          <w:lang w:val="en-AU"/>
        </w:rPr>
        <w:t>o achieve a minimum sensor scan rate of 8 scans m</w:t>
      </w:r>
      <w:r w:rsidRPr="00C83BA4">
        <w:rPr>
          <w:vertAlign w:val="superscript"/>
          <w:lang w:val="en-AU"/>
        </w:rPr>
        <w:t>-1</w:t>
      </w:r>
      <w:r w:rsidRPr="00A40196">
        <w:rPr>
          <w:lang w:val="en-AU"/>
        </w:rPr>
        <w:t xml:space="preserve"> vertically. The CTD is sent to near bottom, ensuring it does not impact with the seabed, and retrieved to the surface where the switch is turned off. After completion of casts the Tygon tubing is fitted back on, and the C-T cell filled with water.</w:t>
      </w:r>
    </w:p>
    <w:p w14:paraId="5F22F807" w14:textId="77777777" w:rsidR="008645FA" w:rsidRPr="00A40196" w:rsidRDefault="008645FA" w:rsidP="008645FA">
      <w:pPr>
        <w:rPr>
          <w:lang w:val="en-AU"/>
        </w:rPr>
      </w:pPr>
      <w:r w:rsidRPr="00A40196">
        <w:rPr>
          <w:lang w:val="en-AU"/>
        </w:rPr>
        <w:t>Post deployment, when on board RV Cape Ferguson the CTD is reconnected to the laptop and the SBE SeaTerm program is run to upload the data, or upon returning to shore when deployed on the RV Aquarius. The SBE configuration file is used to plot the CTD profile using SeasaveV7, to ensure the CTD is functioning and data capture was successful. The CTD output as hex files or xml are stored in a folder labelled by cruise number and containing the configuration file.</w:t>
      </w:r>
    </w:p>
    <w:p w14:paraId="5F22F808" w14:textId="77777777" w:rsidR="008645FA" w:rsidRPr="00A8483D" w:rsidRDefault="008645FA" w:rsidP="00A8483D">
      <w:pPr>
        <w:rPr>
          <w:rStyle w:val="Heading20"/>
          <w:bCs/>
          <w:i/>
          <w:iCs/>
        </w:rPr>
      </w:pPr>
      <w:r w:rsidRPr="00A40196">
        <w:rPr>
          <w:lang w:val="en-AU"/>
        </w:rPr>
        <w:t xml:space="preserve">Upon return to AIMS the CTD files for each cruise are loaded onto the Reef Plan MMP central data storage area, where they are batch processed using the program SBEDataProcessing-Win32. Processing includes Data Conversion (from hex or xml to ascii output, and using the configuration file) and processing modules including Wild Edit, Loop Edit and Bin Averaging. </w:t>
      </w:r>
    </w:p>
    <w:p w14:paraId="5F22F809" w14:textId="77777777" w:rsidR="008645FA" w:rsidRPr="009F7086" w:rsidRDefault="008645FA" w:rsidP="006A00D6">
      <w:pPr>
        <w:pStyle w:val="subappendix"/>
      </w:pPr>
      <w:bookmarkStart w:id="1525" w:name="_Toc435775366"/>
      <w:r w:rsidRPr="009F7086">
        <w:t>Comparison with trigger values from the GBR Water Quality Guidelines</w:t>
      </w:r>
      <w:bookmarkEnd w:id="1525"/>
    </w:p>
    <w:p w14:paraId="5F22F80A" w14:textId="2074CD83" w:rsidR="008645FA" w:rsidRPr="00A40196" w:rsidRDefault="008645FA" w:rsidP="008645FA">
      <w:pPr>
        <w:rPr>
          <w:lang w:val="en-AU"/>
        </w:rPr>
      </w:pPr>
      <w:r w:rsidRPr="00A40196">
        <w:rPr>
          <w:lang w:val="en-AU"/>
        </w:rPr>
        <w:t>The Water Quality Guidelines for the Great Barrier Reef Marine Park (GBRMPA 2010) provides a useful framework to interpret the water quality values obtained at the twenty sampling locations and to identify areas/locations with potential water quality issues</w:t>
      </w:r>
      <w:r w:rsidR="00B43C70">
        <w:rPr>
          <w:lang w:val="en-AU"/>
        </w:rPr>
        <w:t>. Table A1-1</w:t>
      </w:r>
      <w:r w:rsidR="009F7086">
        <w:rPr>
          <w:lang w:val="en-AU"/>
        </w:rPr>
        <w:t xml:space="preserve"> </w:t>
      </w:r>
      <w:r w:rsidRPr="00A40196">
        <w:rPr>
          <w:lang w:val="en-AU"/>
        </w:rPr>
        <w:t>gives a summary of the Guidelines for seven water quality variables in four cross-shelf water bodies. The MMP inshore monitoring locations are mostly located in the Open coastal water body, with four sites (Franklands West, Palms West, Pandora and Barren) located in the Midshelf water body, which has the same Guideline trigger values.</w:t>
      </w:r>
    </w:p>
    <w:p w14:paraId="5F22F80B" w14:textId="3BFCDF60" w:rsidR="008645FA" w:rsidRPr="00A40196" w:rsidRDefault="008645FA" w:rsidP="008645FA">
      <w:pPr>
        <w:rPr>
          <w:lang w:val="en-AU"/>
        </w:rPr>
      </w:pPr>
      <w:r w:rsidRPr="00A40196">
        <w:rPr>
          <w:rFonts w:cs="Arial"/>
          <w:szCs w:val="22"/>
          <w:lang w:val="en-AU"/>
        </w:rPr>
        <w:t xml:space="preserve">The relevant trigger values from Queensland Water Quality Guidelines (DERM 2009) are used in the GBR Guidelines for the enclosed coastal water </w:t>
      </w:r>
      <w:r w:rsidRPr="00307B2F">
        <w:rPr>
          <w:rFonts w:cs="Arial"/>
          <w:szCs w:val="22"/>
          <w:lang w:val="en-AU"/>
        </w:rPr>
        <w:t>body</w:t>
      </w:r>
      <w:r w:rsidR="004B0453">
        <w:rPr>
          <w:rFonts w:cs="Arial"/>
          <w:szCs w:val="22"/>
          <w:lang w:val="en-AU"/>
        </w:rPr>
        <w:t xml:space="preserve"> (Table A1-1)</w:t>
      </w:r>
      <w:r w:rsidRPr="00307B2F">
        <w:rPr>
          <w:rFonts w:cs="Arial"/>
          <w:szCs w:val="22"/>
          <w:lang w:val="en-AU"/>
        </w:rPr>
        <w:t>. The Queensland</w:t>
      </w:r>
      <w:r w:rsidRPr="00A40196">
        <w:rPr>
          <w:rFonts w:cs="Arial"/>
          <w:szCs w:val="22"/>
          <w:lang w:val="en-AU"/>
        </w:rPr>
        <w:t xml:space="preserve"> guidelines also identify trigger values for dissolved inorganic nutrients in marine waters. At present, trigger values for dissolved inorganic nutrients are not defined for the GBR lagoon as in the GBR lagoon dissolved inorganic nutrients are rapidly cycled through uptake and release by biota and are variable on very small spatial and temporal scales (Furnas </w:t>
      </w:r>
      <w:r w:rsidRPr="00C83BA4">
        <w:rPr>
          <w:rFonts w:cs="Arial"/>
          <w:szCs w:val="22"/>
          <w:lang w:val="en-AU"/>
        </w:rPr>
        <w:t>et al.</w:t>
      </w:r>
      <w:r w:rsidR="00C83BA4" w:rsidRPr="00C83BA4">
        <w:rPr>
          <w:rFonts w:cs="Arial"/>
          <w:szCs w:val="22"/>
          <w:lang w:val="en-AU"/>
        </w:rPr>
        <w:t>,</w:t>
      </w:r>
      <w:r w:rsidRPr="00A40196">
        <w:rPr>
          <w:rFonts w:cs="Arial"/>
          <w:szCs w:val="22"/>
          <w:lang w:val="en-AU"/>
        </w:rPr>
        <w:t xml:space="preserve"> 2005, 2011). Due to this high variability</w:t>
      </w:r>
      <w:r w:rsidR="00307B2F">
        <w:rPr>
          <w:rFonts w:cs="Arial"/>
          <w:szCs w:val="22"/>
          <w:lang w:val="en-AU"/>
        </w:rPr>
        <w:t>,</w:t>
      </w:r>
      <w:r w:rsidRPr="00A40196">
        <w:rPr>
          <w:rFonts w:cs="Arial"/>
          <w:szCs w:val="22"/>
          <w:lang w:val="en-AU"/>
        </w:rPr>
        <w:t xml:space="preserve"> their concentrations did not show as clear spatial patterns (De’ath and Fabricius 2008) or correlations with coral reef attributes as the other water quality parameters that were included in the Guidelines</w:t>
      </w:r>
      <w:r w:rsidR="00307B2F">
        <w:rPr>
          <w:rFonts w:cs="Arial"/>
          <w:szCs w:val="22"/>
          <w:lang w:val="en-AU"/>
        </w:rPr>
        <w:t>,</w:t>
      </w:r>
      <w:r w:rsidRPr="00A40196">
        <w:rPr>
          <w:rFonts w:cs="Arial"/>
          <w:szCs w:val="22"/>
          <w:lang w:val="en-AU"/>
        </w:rPr>
        <w:t xml:space="preserve"> and are considered to integrate nutrient availability over </w:t>
      </w:r>
      <w:r w:rsidR="00C83BA4">
        <w:rPr>
          <w:rFonts w:cs="Arial"/>
          <w:szCs w:val="22"/>
          <w:lang w:val="en-AU"/>
        </w:rPr>
        <w:t>time (De’ath and Fabricius 2008,</w:t>
      </w:r>
      <w:r w:rsidRPr="00A40196">
        <w:rPr>
          <w:rFonts w:cs="Arial"/>
          <w:szCs w:val="22"/>
          <w:lang w:val="en-AU"/>
        </w:rPr>
        <w:t xml:space="preserve"> 2010). </w:t>
      </w:r>
    </w:p>
    <w:p w14:paraId="5F22F80C" w14:textId="6F1BD2FD" w:rsidR="008645FA" w:rsidRPr="008467AA" w:rsidRDefault="00B43C70" w:rsidP="008645FA">
      <w:pPr>
        <w:rPr>
          <w:lang w:val="en-AU"/>
        </w:rPr>
      </w:pPr>
      <w:r>
        <w:rPr>
          <w:lang w:val="en-AU"/>
        </w:rPr>
        <w:t>May want to say something about defaulting to Qld guidelines when there aren’t any and why this can be sub-optimal - eg, although this is the current process, concentrations in marine environment are generally higher/lower so GBR specific guidelines should be developed.</w:t>
      </w:r>
    </w:p>
    <w:p w14:paraId="5F22F80D" w14:textId="0717B197" w:rsidR="008645FA" w:rsidRPr="00C27BEB" w:rsidRDefault="006A00D6" w:rsidP="00164E5E">
      <w:pPr>
        <w:pStyle w:val="Caption"/>
      </w:pPr>
      <w:bookmarkStart w:id="1526" w:name="_Toc459332180"/>
      <w:r>
        <w:t>Table A1</w:t>
      </w:r>
      <w:r w:rsidR="00C83BA4">
        <w:t>-</w:t>
      </w:r>
      <w:r w:rsidR="00EB33A6">
        <w:fldChar w:fldCharType="begin"/>
      </w:r>
      <w:r w:rsidR="00D8225E">
        <w:instrText xml:space="preserve"> SEQ Table_A1 \* ARABIC </w:instrText>
      </w:r>
      <w:r w:rsidR="00EB33A6">
        <w:fldChar w:fldCharType="separate"/>
      </w:r>
      <w:r w:rsidR="007F5336">
        <w:rPr>
          <w:noProof/>
        </w:rPr>
        <w:t>1</w:t>
      </w:r>
      <w:r w:rsidR="00EB33A6">
        <w:rPr>
          <w:noProof/>
        </w:rPr>
        <w:fldChar w:fldCharType="end"/>
      </w:r>
      <w:r w:rsidR="009F7086" w:rsidRPr="00C27BEB">
        <w:t xml:space="preserve">: </w:t>
      </w:r>
      <w:r w:rsidR="008645FA" w:rsidRPr="00C27BEB">
        <w:t xml:space="preserve">Trigger values from the Water Quality Guidelines for the Great Barrier Reef Marine Park (GBRMPA 2010) and the Queensland Water Quality Guidelines (DERM 2009). </w:t>
      </w:r>
      <w:r w:rsidR="00015AE8" w:rsidRPr="00015AE8">
        <w:rPr>
          <w:szCs w:val="18"/>
        </w:rPr>
        <w:t xml:space="preserve">Please </w:t>
      </w:r>
      <w:r w:rsidR="00772C93" w:rsidRPr="00015AE8">
        <w:rPr>
          <w:szCs w:val="18"/>
        </w:rPr>
        <w:t>note</w:t>
      </w:r>
      <w:r w:rsidR="00015AE8" w:rsidRPr="00015AE8">
        <w:rPr>
          <w:szCs w:val="18"/>
        </w:rPr>
        <w:t xml:space="preserve"> that the guideline values provided by DERM are 80</w:t>
      </w:r>
      <w:r w:rsidR="00015AE8" w:rsidRPr="00015AE8">
        <w:rPr>
          <w:szCs w:val="18"/>
          <w:vertAlign w:val="superscript"/>
        </w:rPr>
        <w:t>th</w:t>
      </w:r>
      <w:r w:rsidR="00015AE8" w:rsidRPr="00015AE8">
        <w:rPr>
          <w:szCs w:val="18"/>
        </w:rPr>
        <w:t xml:space="preserve"> percentile guidelines.</w:t>
      </w:r>
      <w:bookmarkEnd w:id="1526"/>
      <w:r w:rsidR="00015AE8" w:rsidRPr="00015AE8">
        <w:rPr>
          <w:szCs w:val="18"/>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Table A1-1: Trigger values from the Water Quality Guidelines for the Great Barrier Reef Marine Park (GBRMPA 2010) and the Queensland Water Quality Guidelines (DERM 2009). Please note that the guideline values provided by DERM are 80th percentile guidelines. "/>
        <w:tblDescription w:val="Trigger values from the Water Quality Guidelines for the Great Barrier Reef Marine Park (GBRMPA 2010) and the Queensland Water Quality Guidelines (DERM 2009). Please note that the guideline values provided by DERM are 80th percentile guidelines. "/>
      </w:tblPr>
      <w:tblGrid>
        <w:gridCol w:w="1243"/>
        <w:gridCol w:w="760"/>
        <w:gridCol w:w="858"/>
        <w:gridCol w:w="952"/>
        <w:gridCol w:w="858"/>
        <w:gridCol w:w="952"/>
        <w:gridCol w:w="858"/>
        <w:gridCol w:w="952"/>
        <w:gridCol w:w="858"/>
        <w:gridCol w:w="952"/>
      </w:tblGrid>
      <w:tr w:rsidR="008645FA" w:rsidRPr="003E25ED" w14:paraId="5F22F814" w14:textId="77777777" w:rsidTr="003E25ED">
        <w:trPr>
          <w:trHeight w:val="288"/>
          <w:tblHeader/>
        </w:trPr>
        <w:tc>
          <w:tcPr>
            <w:tcW w:w="672" w:type="pct"/>
            <w:shd w:val="clear" w:color="auto" w:fill="D9D9D9" w:themeFill="background1" w:themeFillShade="D9"/>
            <w:noWrap/>
            <w:vAlign w:val="center"/>
            <w:hideMark/>
          </w:tcPr>
          <w:p w14:paraId="5F22F80E" w14:textId="77777777" w:rsidR="008645FA" w:rsidRPr="003E25ED" w:rsidRDefault="008645FA" w:rsidP="004448BA">
            <w:pPr>
              <w:spacing w:before="0" w:after="0"/>
              <w:rPr>
                <w:rFonts w:cs="Arial"/>
                <w:b/>
                <w:sz w:val="18"/>
                <w:szCs w:val="18"/>
                <w:lang w:val="en-AU" w:eastAsia="en-AU"/>
              </w:rPr>
            </w:pPr>
          </w:p>
        </w:tc>
        <w:tc>
          <w:tcPr>
            <w:tcW w:w="411" w:type="pct"/>
            <w:shd w:val="clear" w:color="auto" w:fill="D9D9D9" w:themeFill="background1" w:themeFillShade="D9"/>
            <w:noWrap/>
            <w:vAlign w:val="center"/>
            <w:hideMark/>
          </w:tcPr>
          <w:p w14:paraId="5F22F80F" w14:textId="77777777" w:rsidR="008645FA" w:rsidRPr="003E25ED" w:rsidRDefault="008645FA" w:rsidP="004448BA">
            <w:pPr>
              <w:spacing w:before="0" w:after="0"/>
              <w:rPr>
                <w:rFonts w:cs="Arial"/>
                <w:b/>
                <w:sz w:val="18"/>
                <w:szCs w:val="18"/>
                <w:lang w:val="en-AU" w:eastAsia="en-AU"/>
              </w:rPr>
            </w:pPr>
          </w:p>
        </w:tc>
        <w:tc>
          <w:tcPr>
            <w:tcW w:w="979" w:type="pct"/>
            <w:gridSpan w:val="2"/>
            <w:shd w:val="clear" w:color="auto" w:fill="D9D9D9" w:themeFill="background1" w:themeFillShade="D9"/>
            <w:noWrap/>
            <w:vAlign w:val="center"/>
            <w:hideMark/>
          </w:tcPr>
          <w:p w14:paraId="5F22F810" w14:textId="77777777" w:rsidR="008645FA" w:rsidRPr="003E25ED" w:rsidRDefault="008645FA" w:rsidP="004448BA">
            <w:pPr>
              <w:spacing w:before="0" w:after="0"/>
              <w:jc w:val="center"/>
              <w:rPr>
                <w:rFonts w:cs="Arial"/>
                <w:b/>
                <w:sz w:val="18"/>
                <w:szCs w:val="18"/>
                <w:lang w:val="en-AU" w:eastAsia="en-AU"/>
              </w:rPr>
            </w:pPr>
            <w:r w:rsidRPr="003E25ED">
              <w:rPr>
                <w:rFonts w:cs="Arial"/>
                <w:b/>
                <w:sz w:val="18"/>
                <w:szCs w:val="18"/>
                <w:lang w:val="en-AU" w:eastAsia="en-AU"/>
              </w:rPr>
              <w:t>Enclosed coastal</w:t>
            </w:r>
            <w:r w:rsidRPr="003E25ED">
              <w:rPr>
                <w:rFonts w:cs="Arial"/>
                <w:sz w:val="18"/>
                <w:szCs w:val="18"/>
                <w:vertAlign w:val="superscript"/>
                <w:lang w:val="en-AU"/>
              </w:rPr>
              <w:t>Qld</w:t>
            </w:r>
          </w:p>
        </w:tc>
        <w:tc>
          <w:tcPr>
            <w:tcW w:w="979" w:type="pct"/>
            <w:gridSpan w:val="2"/>
            <w:shd w:val="clear" w:color="auto" w:fill="D9D9D9" w:themeFill="background1" w:themeFillShade="D9"/>
            <w:noWrap/>
            <w:vAlign w:val="center"/>
            <w:hideMark/>
          </w:tcPr>
          <w:p w14:paraId="5F22F811" w14:textId="77777777" w:rsidR="008645FA" w:rsidRPr="003E25ED" w:rsidRDefault="008645FA" w:rsidP="004448BA">
            <w:pPr>
              <w:spacing w:before="0" w:after="0"/>
              <w:jc w:val="center"/>
              <w:rPr>
                <w:rFonts w:cs="Arial"/>
                <w:b/>
                <w:sz w:val="18"/>
                <w:szCs w:val="18"/>
                <w:lang w:val="en-AU" w:eastAsia="en-AU"/>
              </w:rPr>
            </w:pPr>
            <w:r w:rsidRPr="003E25ED">
              <w:rPr>
                <w:rFonts w:cs="Arial"/>
                <w:b/>
                <w:sz w:val="18"/>
                <w:szCs w:val="18"/>
                <w:lang w:val="en-AU" w:eastAsia="en-AU"/>
              </w:rPr>
              <w:t>Open coastal</w:t>
            </w:r>
          </w:p>
        </w:tc>
        <w:tc>
          <w:tcPr>
            <w:tcW w:w="979" w:type="pct"/>
            <w:gridSpan w:val="2"/>
            <w:shd w:val="clear" w:color="auto" w:fill="D9D9D9" w:themeFill="background1" w:themeFillShade="D9"/>
            <w:noWrap/>
            <w:vAlign w:val="center"/>
            <w:hideMark/>
          </w:tcPr>
          <w:p w14:paraId="5F22F812" w14:textId="77777777" w:rsidR="008645FA" w:rsidRPr="003E25ED" w:rsidRDefault="008645FA" w:rsidP="004448BA">
            <w:pPr>
              <w:spacing w:before="0" w:after="0"/>
              <w:jc w:val="center"/>
              <w:rPr>
                <w:rFonts w:cs="Arial"/>
                <w:b/>
                <w:sz w:val="18"/>
                <w:szCs w:val="18"/>
                <w:lang w:val="en-AU" w:eastAsia="en-AU"/>
              </w:rPr>
            </w:pPr>
            <w:r w:rsidRPr="003E25ED">
              <w:rPr>
                <w:rFonts w:cs="Arial"/>
                <w:b/>
                <w:sz w:val="18"/>
                <w:szCs w:val="18"/>
                <w:lang w:val="en-AU" w:eastAsia="en-AU"/>
              </w:rPr>
              <w:t>Midshelf</w:t>
            </w:r>
          </w:p>
        </w:tc>
        <w:tc>
          <w:tcPr>
            <w:tcW w:w="979" w:type="pct"/>
            <w:gridSpan w:val="2"/>
            <w:shd w:val="clear" w:color="auto" w:fill="D9D9D9" w:themeFill="background1" w:themeFillShade="D9"/>
            <w:noWrap/>
            <w:vAlign w:val="center"/>
            <w:hideMark/>
          </w:tcPr>
          <w:p w14:paraId="5F22F813" w14:textId="77777777" w:rsidR="008645FA" w:rsidRPr="003E25ED" w:rsidRDefault="008645FA" w:rsidP="004448BA">
            <w:pPr>
              <w:spacing w:before="0" w:after="0"/>
              <w:jc w:val="center"/>
              <w:rPr>
                <w:rFonts w:cs="Arial"/>
                <w:b/>
                <w:sz w:val="18"/>
                <w:szCs w:val="18"/>
                <w:lang w:val="en-AU" w:eastAsia="en-AU"/>
              </w:rPr>
            </w:pPr>
            <w:r w:rsidRPr="003E25ED">
              <w:rPr>
                <w:rFonts w:cs="Arial"/>
                <w:b/>
                <w:sz w:val="18"/>
                <w:szCs w:val="18"/>
                <w:lang w:val="en-AU" w:eastAsia="en-AU"/>
              </w:rPr>
              <w:t>Offshore</w:t>
            </w:r>
          </w:p>
        </w:tc>
      </w:tr>
      <w:tr w:rsidR="008645FA" w:rsidRPr="003E25ED" w14:paraId="5F22F81F" w14:textId="77777777" w:rsidTr="003E25ED">
        <w:trPr>
          <w:trHeight w:val="288"/>
          <w:tblHeader/>
        </w:trPr>
        <w:tc>
          <w:tcPr>
            <w:tcW w:w="672" w:type="pct"/>
            <w:shd w:val="clear" w:color="auto" w:fill="D9D9D9" w:themeFill="background1" w:themeFillShade="D9"/>
            <w:noWrap/>
            <w:vAlign w:val="center"/>
            <w:hideMark/>
          </w:tcPr>
          <w:p w14:paraId="5F22F815" w14:textId="77777777" w:rsidR="008645FA" w:rsidRPr="003E25ED" w:rsidRDefault="008645FA" w:rsidP="004448BA">
            <w:pPr>
              <w:spacing w:before="0" w:after="0"/>
              <w:rPr>
                <w:rFonts w:cs="Arial"/>
                <w:sz w:val="18"/>
                <w:szCs w:val="18"/>
                <w:lang w:val="en-AU" w:eastAsia="en-AU"/>
              </w:rPr>
            </w:pPr>
            <w:r w:rsidRPr="003E25ED">
              <w:rPr>
                <w:rFonts w:cs="Arial"/>
                <w:sz w:val="18"/>
                <w:szCs w:val="18"/>
                <w:lang w:val="en-AU" w:eastAsia="en-AU"/>
              </w:rPr>
              <w:t>Parameter</w:t>
            </w:r>
          </w:p>
        </w:tc>
        <w:tc>
          <w:tcPr>
            <w:tcW w:w="411" w:type="pct"/>
            <w:shd w:val="clear" w:color="auto" w:fill="D9D9D9" w:themeFill="background1" w:themeFillShade="D9"/>
            <w:noWrap/>
            <w:vAlign w:val="center"/>
            <w:hideMark/>
          </w:tcPr>
          <w:p w14:paraId="5F22F816" w14:textId="77777777" w:rsidR="008645FA" w:rsidRPr="003E25ED" w:rsidRDefault="008645FA" w:rsidP="004448BA">
            <w:pPr>
              <w:spacing w:before="0" w:after="0"/>
              <w:rPr>
                <w:rFonts w:cs="Arial"/>
                <w:sz w:val="18"/>
                <w:szCs w:val="18"/>
                <w:lang w:val="en-AU" w:eastAsia="en-AU"/>
              </w:rPr>
            </w:pPr>
            <w:r w:rsidRPr="003E25ED">
              <w:rPr>
                <w:rFonts w:cs="Arial"/>
                <w:sz w:val="18"/>
                <w:szCs w:val="18"/>
                <w:lang w:val="en-AU" w:eastAsia="en-AU"/>
              </w:rPr>
              <w:t>Unit</w:t>
            </w:r>
          </w:p>
        </w:tc>
        <w:tc>
          <w:tcPr>
            <w:tcW w:w="464" w:type="pct"/>
            <w:shd w:val="clear" w:color="auto" w:fill="D9D9D9" w:themeFill="background1" w:themeFillShade="D9"/>
            <w:noWrap/>
            <w:vAlign w:val="center"/>
            <w:hideMark/>
          </w:tcPr>
          <w:p w14:paraId="5F22F817"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Wet Tropics</w:t>
            </w:r>
          </w:p>
        </w:tc>
        <w:tc>
          <w:tcPr>
            <w:tcW w:w="515" w:type="pct"/>
            <w:shd w:val="clear" w:color="auto" w:fill="D9D9D9" w:themeFill="background1" w:themeFillShade="D9"/>
            <w:noWrap/>
            <w:vAlign w:val="center"/>
            <w:hideMark/>
          </w:tcPr>
          <w:p w14:paraId="5F22F818"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Central Coast</w:t>
            </w:r>
          </w:p>
        </w:tc>
        <w:tc>
          <w:tcPr>
            <w:tcW w:w="464" w:type="pct"/>
            <w:shd w:val="clear" w:color="auto" w:fill="D9D9D9" w:themeFill="background1" w:themeFillShade="D9"/>
            <w:noWrap/>
            <w:vAlign w:val="center"/>
            <w:hideMark/>
          </w:tcPr>
          <w:p w14:paraId="5F22F819"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Wet Tropics</w:t>
            </w:r>
          </w:p>
        </w:tc>
        <w:tc>
          <w:tcPr>
            <w:tcW w:w="515" w:type="pct"/>
            <w:shd w:val="clear" w:color="auto" w:fill="D9D9D9" w:themeFill="background1" w:themeFillShade="D9"/>
            <w:noWrap/>
            <w:vAlign w:val="center"/>
            <w:hideMark/>
          </w:tcPr>
          <w:p w14:paraId="5F22F81A"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Central Coast</w:t>
            </w:r>
          </w:p>
        </w:tc>
        <w:tc>
          <w:tcPr>
            <w:tcW w:w="464" w:type="pct"/>
            <w:shd w:val="clear" w:color="auto" w:fill="D9D9D9" w:themeFill="background1" w:themeFillShade="D9"/>
            <w:noWrap/>
            <w:vAlign w:val="center"/>
            <w:hideMark/>
          </w:tcPr>
          <w:p w14:paraId="5F22F81B"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Wet Tropics</w:t>
            </w:r>
          </w:p>
        </w:tc>
        <w:tc>
          <w:tcPr>
            <w:tcW w:w="515" w:type="pct"/>
            <w:shd w:val="clear" w:color="auto" w:fill="D9D9D9" w:themeFill="background1" w:themeFillShade="D9"/>
            <w:noWrap/>
            <w:vAlign w:val="center"/>
            <w:hideMark/>
          </w:tcPr>
          <w:p w14:paraId="5F22F81C"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Central Coast</w:t>
            </w:r>
          </w:p>
        </w:tc>
        <w:tc>
          <w:tcPr>
            <w:tcW w:w="464" w:type="pct"/>
            <w:shd w:val="clear" w:color="auto" w:fill="D9D9D9" w:themeFill="background1" w:themeFillShade="D9"/>
            <w:noWrap/>
            <w:vAlign w:val="center"/>
            <w:hideMark/>
          </w:tcPr>
          <w:p w14:paraId="5F22F81D"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Wet Tropics</w:t>
            </w:r>
          </w:p>
        </w:tc>
        <w:tc>
          <w:tcPr>
            <w:tcW w:w="515" w:type="pct"/>
            <w:shd w:val="clear" w:color="auto" w:fill="D9D9D9" w:themeFill="background1" w:themeFillShade="D9"/>
            <w:noWrap/>
            <w:vAlign w:val="center"/>
            <w:hideMark/>
          </w:tcPr>
          <w:p w14:paraId="5F22F81E"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Central Coast</w:t>
            </w:r>
          </w:p>
        </w:tc>
      </w:tr>
      <w:tr w:rsidR="008645FA" w:rsidRPr="003E25ED" w14:paraId="5F22F82A" w14:textId="77777777" w:rsidTr="008645FA">
        <w:trPr>
          <w:trHeight w:val="288"/>
        </w:trPr>
        <w:tc>
          <w:tcPr>
            <w:tcW w:w="672" w:type="pct"/>
            <w:shd w:val="clear" w:color="auto" w:fill="auto"/>
            <w:noWrap/>
            <w:vAlign w:val="center"/>
            <w:hideMark/>
          </w:tcPr>
          <w:p w14:paraId="5F22F820" w14:textId="77777777" w:rsidR="008645FA" w:rsidRPr="003E25ED" w:rsidRDefault="008645FA" w:rsidP="004448BA">
            <w:pPr>
              <w:spacing w:before="0" w:after="0"/>
              <w:rPr>
                <w:rFonts w:cs="Arial"/>
                <w:sz w:val="18"/>
                <w:szCs w:val="18"/>
                <w:lang w:val="en-AU" w:eastAsia="en-AU"/>
              </w:rPr>
            </w:pPr>
            <w:r w:rsidRPr="003E25ED">
              <w:rPr>
                <w:rFonts w:cs="Arial"/>
                <w:sz w:val="18"/>
                <w:szCs w:val="18"/>
                <w:lang w:val="en-AU" w:eastAsia="en-AU"/>
              </w:rPr>
              <w:t>Chlorophyll a</w:t>
            </w:r>
          </w:p>
        </w:tc>
        <w:tc>
          <w:tcPr>
            <w:tcW w:w="411" w:type="pct"/>
            <w:shd w:val="clear" w:color="auto" w:fill="auto"/>
            <w:noWrap/>
            <w:vAlign w:val="center"/>
          </w:tcPr>
          <w:p w14:paraId="5F22F821" w14:textId="77777777" w:rsidR="008645FA" w:rsidRPr="003E25ED" w:rsidRDefault="008645FA" w:rsidP="004448BA">
            <w:pPr>
              <w:spacing w:before="0" w:after="0"/>
              <w:rPr>
                <w:rFonts w:cs="Arial"/>
                <w:sz w:val="18"/>
                <w:szCs w:val="18"/>
                <w:lang w:val="en-AU" w:eastAsia="en-AU"/>
              </w:rPr>
            </w:pPr>
            <w:r w:rsidRPr="003E25ED">
              <w:rPr>
                <w:rFonts w:cs="Arial"/>
                <w:sz w:val="18"/>
                <w:szCs w:val="18"/>
                <w:lang w:val="en-AU"/>
              </w:rPr>
              <w:t>μg L</w:t>
            </w:r>
            <w:r w:rsidRPr="003E25ED">
              <w:rPr>
                <w:rFonts w:cs="Arial"/>
                <w:sz w:val="18"/>
                <w:szCs w:val="18"/>
                <w:vertAlign w:val="superscript"/>
                <w:lang w:val="en-AU"/>
              </w:rPr>
              <w:t>-1</w:t>
            </w:r>
          </w:p>
        </w:tc>
        <w:tc>
          <w:tcPr>
            <w:tcW w:w="464" w:type="pct"/>
            <w:shd w:val="clear" w:color="auto" w:fill="auto"/>
            <w:noWrap/>
            <w:vAlign w:val="center"/>
            <w:hideMark/>
          </w:tcPr>
          <w:p w14:paraId="5F22F822"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2.0</w:t>
            </w:r>
          </w:p>
        </w:tc>
        <w:tc>
          <w:tcPr>
            <w:tcW w:w="515" w:type="pct"/>
            <w:shd w:val="clear" w:color="auto" w:fill="auto"/>
            <w:noWrap/>
            <w:vAlign w:val="center"/>
            <w:hideMark/>
          </w:tcPr>
          <w:p w14:paraId="5F22F823"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2.0</w:t>
            </w:r>
          </w:p>
        </w:tc>
        <w:tc>
          <w:tcPr>
            <w:tcW w:w="464" w:type="pct"/>
            <w:shd w:val="clear" w:color="auto" w:fill="auto"/>
            <w:noWrap/>
            <w:vAlign w:val="center"/>
            <w:hideMark/>
          </w:tcPr>
          <w:p w14:paraId="5F22F824"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0.45</w:t>
            </w:r>
          </w:p>
        </w:tc>
        <w:tc>
          <w:tcPr>
            <w:tcW w:w="515" w:type="pct"/>
            <w:shd w:val="clear" w:color="auto" w:fill="auto"/>
            <w:noWrap/>
            <w:vAlign w:val="center"/>
            <w:hideMark/>
          </w:tcPr>
          <w:p w14:paraId="5F22F825"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0.45</w:t>
            </w:r>
          </w:p>
        </w:tc>
        <w:tc>
          <w:tcPr>
            <w:tcW w:w="464" w:type="pct"/>
            <w:shd w:val="clear" w:color="auto" w:fill="auto"/>
            <w:noWrap/>
            <w:vAlign w:val="center"/>
            <w:hideMark/>
          </w:tcPr>
          <w:p w14:paraId="5F22F826"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0.45</w:t>
            </w:r>
          </w:p>
        </w:tc>
        <w:tc>
          <w:tcPr>
            <w:tcW w:w="515" w:type="pct"/>
            <w:shd w:val="clear" w:color="auto" w:fill="auto"/>
            <w:noWrap/>
            <w:vAlign w:val="center"/>
            <w:hideMark/>
          </w:tcPr>
          <w:p w14:paraId="5F22F827"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0.45</w:t>
            </w:r>
          </w:p>
        </w:tc>
        <w:tc>
          <w:tcPr>
            <w:tcW w:w="464" w:type="pct"/>
            <w:shd w:val="clear" w:color="auto" w:fill="auto"/>
            <w:noWrap/>
            <w:vAlign w:val="center"/>
            <w:hideMark/>
          </w:tcPr>
          <w:p w14:paraId="5F22F828"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0.40</w:t>
            </w:r>
          </w:p>
        </w:tc>
        <w:tc>
          <w:tcPr>
            <w:tcW w:w="515" w:type="pct"/>
            <w:shd w:val="clear" w:color="auto" w:fill="auto"/>
            <w:noWrap/>
            <w:vAlign w:val="center"/>
            <w:hideMark/>
          </w:tcPr>
          <w:p w14:paraId="5F22F829"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0.40</w:t>
            </w:r>
          </w:p>
        </w:tc>
      </w:tr>
      <w:tr w:rsidR="008645FA" w:rsidRPr="003E25ED" w14:paraId="5F22F835" w14:textId="77777777" w:rsidTr="008645FA">
        <w:trPr>
          <w:trHeight w:val="288"/>
        </w:trPr>
        <w:tc>
          <w:tcPr>
            <w:tcW w:w="672" w:type="pct"/>
            <w:shd w:val="clear" w:color="auto" w:fill="auto"/>
            <w:noWrap/>
            <w:vAlign w:val="center"/>
            <w:hideMark/>
          </w:tcPr>
          <w:p w14:paraId="5F22F82B" w14:textId="77777777" w:rsidR="008645FA" w:rsidRPr="003E25ED" w:rsidRDefault="008645FA" w:rsidP="004448BA">
            <w:pPr>
              <w:spacing w:before="0" w:after="0"/>
              <w:rPr>
                <w:rFonts w:cs="Arial"/>
                <w:sz w:val="18"/>
                <w:szCs w:val="18"/>
                <w:lang w:val="en-AU" w:eastAsia="en-AU"/>
              </w:rPr>
            </w:pPr>
            <w:r w:rsidRPr="003E25ED">
              <w:rPr>
                <w:rFonts w:cs="Arial"/>
                <w:sz w:val="18"/>
                <w:szCs w:val="18"/>
                <w:lang w:val="en-AU" w:eastAsia="en-AU"/>
              </w:rPr>
              <w:t>Particulate nitrogen</w:t>
            </w:r>
          </w:p>
        </w:tc>
        <w:tc>
          <w:tcPr>
            <w:tcW w:w="411" w:type="pct"/>
            <w:shd w:val="clear" w:color="auto" w:fill="auto"/>
            <w:noWrap/>
            <w:vAlign w:val="center"/>
          </w:tcPr>
          <w:p w14:paraId="5F22F82C" w14:textId="77777777" w:rsidR="008645FA" w:rsidRPr="003E25ED" w:rsidRDefault="008645FA" w:rsidP="004448BA">
            <w:pPr>
              <w:spacing w:before="0" w:after="0"/>
              <w:rPr>
                <w:rFonts w:cs="Arial"/>
                <w:sz w:val="18"/>
                <w:szCs w:val="18"/>
                <w:lang w:val="en-AU" w:eastAsia="en-AU"/>
              </w:rPr>
            </w:pPr>
            <w:r w:rsidRPr="003E25ED">
              <w:rPr>
                <w:rFonts w:cs="Arial"/>
                <w:sz w:val="18"/>
                <w:szCs w:val="18"/>
                <w:lang w:val="en-AU"/>
              </w:rPr>
              <w:t>μg L</w:t>
            </w:r>
            <w:r w:rsidRPr="003E25ED">
              <w:rPr>
                <w:rFonts w:cs="Arial"/>
                <w:sz w:val="18"/>
                <w:szCs w:val="18"/>
                <w:vertAlign w:val="superscript"/>
                <w:lang w:val="en-AU"/>
              </w:rPr>
              <w:t>-1</w:t>
            </w:r>
          </w:p>
        </w:tc>
        <w:tc>
          <w:tcPr>
            <w:tcW w:w="464" w:type="pct"/>
            <w:shd w:val="clear" w:color="auto" w:fill="auto"/>
            <w:noWrap/>
            <w:vAlign w:val="center"/>
            <w:hideMark/>
          </w:tcPr>
          <w:p w14:paraId="5F22F82D" w14:textId="77777777" w:rsidR="008645FA" w:rsidRPr="003E25ED" w:rsidRDefault="008645FA" w:rsidP="004448BA">
            <w:pPr>
              <w:spacing w:before="0" w:after="0"/>
              <w:jc w:val="center"/>
              <w:rPr>
                <w:rFonts w:cs="Arial"/>
                <w:sz w:val="18"/>
                <w:szCs w:val="18"/>
                <w:lang w:val="en-AU"/>
              </w:rPr>
            </w:pPr>
            <w:r w:rsidRPr="003E25ED">
              <w:rPr>
                <w:rFonts w:cs="Arial"/>
                <w:sz w:val="18"/>
                <w:szCs w:val="18"/>
                <w:lang w:val="en-AU"/>
              </w:rPr>
              <w:t>n/a</w:t>
            </w:r>
          </w:p>
        </w:tc>
        <w:tc>
          <w:tcPr>
            <w:tcW w:w="515" w:type="pct"/>
            <w:shd w:val="clear" w:color="auto" w:fill="auto"/>
            <w:noWrap/>
            <w:vAlign w:val="center"/>
            <w:hideMark/>
          </w:tcPr>
          <w:p w14:paraId="5F22F82E" w14:textId="77777777" w:rsidR="008645FA" w:rsidRPr="003E25ED" w:rsidRDefault="008645FA" w:rsidP="004448BA">
            <w:pPr>
              <w:spacing w:before="0" w:after="0"/>
              <w:jc w:val="center"/>
              <w:rPr>
                <w:rFonts w:cs="Arial"/>
                <w:sz w:val="18"/>
                <w:szCs w:val="18"/>
                <w:lang w:val="en-AU"/>
              </w:rPr>
            </w:pPr>
            <w:r w:rsidRPr="003E25ED">
              <w:rPr>
                <w:rFonts w:cs="Arial"/>
                <w:sz w:val="18"/>
                <w:szCs w:val="18"/>
                <w:lang w:val="en-AU"/>
              </w:rPr>
              <w:t>n/a</w:t>
            </w:r>
          </w:p>
        </w:tc>
        <w:tc>
          <w:tcPr>
            <w:tcW w:w="464" w:type="pct"/>
            <w:shd w:val="clear" w:color="auto" w:fill="auto"/>
            <w:noWrap/>
            <w:vAlign w:val="center"/>
            <w:hideMark/>
          </w:tcPr>
          <w:p w14:paraId="5F22F82F"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20.0</w:t>
            </w:r>
          </w:p>
        </w:tc>
        <w:tc>
          <w:tcPr>
            <w:tcW w:w="515" w:type="pct"/>
            <w:shd w:val="clear" w:color="auto" w:fill="auto"/>
            <w:noWrap/>
            <w:vAlign w:val="center"/>
            <w:hideMark/>
          </w:tcPr>
          <w:p w14:paraId="5F22F830"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20.0</w:t>
            </w:r>
          </w:p>
        </w:tc>
        <w:tc>
          <w:tcPr>
            <w:tcW w:w="464" w:type="pct"/>
            <w:shd w:val="clear" w:color="auto" w:fill="auto"/>
            <w:noWrap/>
            <w:vAlign w:val="center"/>
            <w:hideMark/>
          </w:tcPr>
          <w:p w14:paraId="5F22F831"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20.0</w:t>
            </w:r>
          </w:p>
        </w:tc>
        <w:tc>
          <w:tcPr>
            <w:tcW w:w="515" w:type="pct"/>
            <w:shd w:val="clear" w:color="auto" w:fill="auto"/>
            <w:noWrap/>
            <w:vAlign w:val="center"/>
            <w:hideMark/>
          </w:tcPr>
          <w:p w14:paraId="5F22F832"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20.0</w:t>
            </w:r>
          </w:p>
        </w:tc>
        <w:tc>
          <w:tcPr>
            <w:tcW w:w="464" w:type="pct"/>
            <w:shd w:val="clear" w:color="auto" w:fill="auto"/>
            <w:noWrap/>
            <w:vAlign w:val="center"/>
            <w:hideMark/>
          </w:tcPr>
          <w:p w14:paraId="5F22F833"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17.0</w:t>
            </w:r>
          </w:p>
        </w:tc>
        <w:tc>
          <w:tcPr>
            <w:tcW w:w="515" w:type="pct"/>
            <w:shd w:val="clear" w:color="auto" w:fill="auto"/>
            <w:noWrap/>
            <w:vAlign w:val="center"/>
            <w:hideMark/>
          </w:tcPr>
          <w:p w14:paraId="5F22F834"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17.0</w:t>
            </w:r>
          </w:p>
        </w:tc>
      </w:tr>
      <w:tr w:rsidR="008645FA" w:rsidRPr="003E25ED" w14:paraId="5F22F840" w14:textId="77777777" w:rsidTr="008645FA">
        <w:trPr>
          <w:trHeight w:val="288"/>
        </w:trPr>
        <w:tc>
          <w:tcPr>
            <w:tcW w:w="672" w:type="pct"/>
            <w:shd w:val="clear" w:color="auto" w:fill="auto"/>
            <w:noWrap/>
            <w:vAlign w:val="center"/>
            <w:hideMark/>
          </w:tcPr>
          <w:p w14:paraId="5F22F836" w14:textId="77777777" w:rsidR="008645FA" w:rsidRPr="003E25ED" w:rsidRDefault="008645FA" w:rsidP="004448BA">
            <w:pPr>
              <w:spacing w:before="0" w:after="0"/>
              <w:rPr>
                <w:rFonts w:cs="Arial"/>
                <w:sz w:val="18"/>
                <w:szCs w:val="18"/>
                <w:lang w:val="en-AU" w:eastAsia="en-AU"/>
              </w:rPr>
            </w:pPr>
            <w:r w:rsidRPr="003E25ED">
              <w:rPr>
                <w:rFonts w:cs="Arial"/>
                <w:sz w:val="18"/>
                <w:szCs w:val="18"/>
                <w:lang w:val="en-AU" w:eastAsia="en-AU"/>
              </w:rPr>
              <w:t>Particulate phosphorus</w:t>
            </w:r>
          </w:p>
        </w:tc>
        <w:tc>
          <w:tcPr>
            <w:tcW w:w="411" w:type="pct"/>
            <w:shd w:val="clear" w:color="auto" w:fill="auto"/>
            <w:noWrap/>
            <w:vAlign w:val="center"/>
          </w:tcPr>
          <w:p w14:paraId="5F22F837" w14:textId="77777777" w:rsidR="008645FA" w:rsidRPr="003E25ED" w:rsidRDefault="008645FA" w:rsidP="004448BA">
            <w:pPr>
              <w:spacing w:before="0" w:after="0"/>
              <w:rPr>
                <w:rFonts w:cs="Arial"/>
                <w:sz w:val="18"/>
                <w:szCs w:val="18"/>
                <w:lang w:val="en-AU" w:eastAsia="en-AU"/>
              </w:rPr>
            </w:pPr>
            <w:r w:rsidRPr="003E25ED">
              <w:rPr>
                <w:rFonts w:cs="Arial"/>
                <w:sz w:val="18"/>
                <w:szCs w:val="18"/>
                <w:lang w:val="en-AU"/>
              </w:rPr>
              <w:t>μg L</w:t>
            </w:r>
            <w:r w:rsidRPr="003E25ED">
              <w:rPr>
                <w:rFonts w:cs="Arial"/>
                <w:sz w:val="18"/>
                <w:szCs w:val="18"/>
                <w:vertAlign w:val="superscript"/>
                <w:lang w:val="en-AU"/>
              </w:rPr>
              <w:t>-1</w:t>
            </w:r>
          </w:p>
        </w:tc>
        <w:tc>
          <w:tcPr>
            <w:tcW w:w="464" w:type="pct"/>
            <w:shd w:val="clear" w:color="auto" w:fill="auto"/>
            <w:noWrap/>
            <w:vAlign w:val="center"/>
            <w:hideMark/>
          </w:tcPr>
          <w:p w14:paraId="5F22F838" w14:textId="77777777" w:rsidR="008645FA" w:rsidRPr="003E25ED" w:rsidRDefault="008645FA" w:rsidP="004448BA">
            <w:pPr>
              <w:spacing w:before="0" w:after="0"/>
              <w:jc w:val="center"/>
              <w:rPr>
                <w:rFonts w:cs="Arial"/>
                <w:sz w:val="18"/>
                <w:szCs w:val="18"/>
                <w:lang w:val="en-AU"/>
              </w:rPr>
            </w:pPr>
            <w:r w:rsidRPr="003E25ED">
              <w:rPr>
                <w:rFonts w:cs="Arial"/>
                <w:sz w:val="18"/>
                <w:szCs w:val="18"/>
                <w:lang w:val="en-AU"/>
              </w:rPr>
              <w:t>n/a</w:t>
            </w:r>
          </w:p>
        </w:tc>
        <w:tc>
          <w:tcPr>
            <w:tcW w:w="515" w:type="pct"/>
            <w:shd w:val="clear" w:color="auto" w:fill="auto"/>
            <w:noWrap/>
            <w:vAlign w:val="center"/>
            <w:hideMark/>
          </w:tcPr>
          <w:p w14:paraId="5F22F839" w14:textId="77777777" w:rsidR="008645FA" w:rsidRPr="003E25ED" w:rsidRDefault="008645FA" w:rsidP="004448BA">
            <w:pPr>
              <w:spacing w:before="0" w:after="0"/>
              <w:jc w:val="center"/>
              <w:rPr>
                <w:rFonts w:cs="Arial"/>
                <w:sz w:val="18"/>
                <w:szCs w:val="18"/>
                <w:lang w:val="en-AU"/>
              </w:rPr>
            </w:pPr>
            <w:r w:rsidRPr="003E25ED">
              <w:rPr>
                <w:rFonts w:cs="Arial"/>
                <w:sz w:val="18"/>
                <w:szCs w:val="18"/>
                <w:lang w:val="en-AU"/>
              </w:rPr>
              <w:t>n/a</w:t>
            </w:r>
          </w:p>
        </w:tc>
        <w:tc>
          <w:tcPr>
            <w:tcW w:w="464" w:type="pct"/>
            <w:shd w:val="clear" w:color="auto" w:fill="auto"/>
            <w:noWrap/>
            <w:vAlign w:val="center"/>
            <w:hideMark/>
          </w:tcPr>
          <w:p w14:paraId="5F22F83A"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2.8</w:t>
            </w:r>
          </w:p>
        </w:tc>
        <w:tc>
          <w:tcPr>
            <w:tcW w:w="515" w:type="pct"/>
            <w:shd w:val="clear" w:color="auto" w:fill="auto"/>
            <w:noWrap/>
            <w:vAlign w:val="center"/>
            <w:hideMark/>
          </w:tcPr>
          <w:p w14:paraId="5F22F83B"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2.8</w:t>
            </w:r>
          </w:p>
        </w:tc>
        <w:tc>
          <w:tcPr>
            <w:tcW w:w="464" w:type="pct"/>
            <w:shd w:val="clear" w:color="auto" w:fill="auto"/>
            <w:noWrap/>
            <w:vAlign w:val="center"/>
            <w:hideMark/>
          </w:tcPr>
          <w:p w14:paraId="5F22F83C"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2.8</w:t>
            </w:r>
          </w:p>
        </w:tc>
        <w:tc>
          <w:tcPr>
            <w:tcW w:w="515" w:type="pct"/>
            <w:shd w:val="clear" w:color="auto" w:fill="auto"/>
            <w:noWrap/>
            <w:vAlign w:val="center"/>
            <w:hideMark/>
          </w:tcPr>
          <w:p w14:paraId="5F22F83D"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2.8</w:t>
            </w:r>
          </w:p>
        </w:tc>
        <w:tc>
          <w:tcPr>
            <w:tcW w:w="464" w:type="pct"/>
            <w:shd w:val="clear" w:color="auto" w:fill="auto"/>
            <w:noWrap/>
            <w:vAlign w:val="center"/>
            <w:hideMark/>
          </w:tcPr>
          <w:p w14:paraId="5F22F83E"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1.9</w:t>
            </w:r>
          </w:p>
        </w:tc>
        <w:tc>
          <w:tcPr>
            <w:tcW w:w="515" w:type="pct"/>
            <w:shd w:val="clear" w:color="auto" w:fill="auto"/>
            <w:noWrap/>
            <w:vAlign w:val="center"/>
            <w:hideMark/>
          </w:tcPr>
          <w:p w14:paraId="5F22F83F"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1.9</w:t>
            </w:r>
          </w:p>
        </w:tc>
      </w:tr>
      <w:tr w:rsidR="008645FA" w:rsidRPr="003E25ED" w14:paraId="5F22F84B" w14:textId="77777777" w:rsidTr="008645FA">
        <w:trPr>
          <w:trHeight w:val="288"/>
        </w:trPr>
        <w:tc>
          <w:tcPr>
            <w:tcW w:w="672" w:type="pct"/>
            <w:shd w:val="clear" w:color="auto" w:fill="auto"/>
            <w:noWrap/>
            <w:vAlign w:val="center"/>
            <w:hideMark/>
          </w:tcPr>
          <w:p w14:paraId="5F22F841" w14:textId="77777777" w:rsidR="008645FA" w:rsidRPr="003E25ED" w:rsidRDefault="008645FA" w:rsidP="004448BA">
            <w:pPr>
              <w:spacing w:before="0" w:after="0"/>
              <w:rPr>
                <w:rFonts w:cs="Arial"/>
                <w:sz w:val="18"/>
                <w:szCs w:val="18"/>
                <w:lang w:val="en-AU" w:eastAsia="en-AU"/>
              </w:rPr>
            </w:pPr>
            <w:r w:rsidRPr="003E25ED">
              <w:rPr>
                <w:rFonts w:cs="Arial"/>
                <w:sz w:val="18"/>
                <w:szCs w:val="18"/>
                <w:lang w:val="en-AU" w:eastAsia="en-AU"/>
              </w:rPr>
              <w:t>Suspended solids</w:t>
            </w:r>
          </w:p>
        </w:tc>
        <w:tc>
          <w:tcPr>
            <w:tcW w:w="411" w:type="pct"/>
            <w:shd w:val="clear" w:color="auto" w:fill="auto"/>
            <w:noWrap/>
            <w:vAlign w:val="center"/>
            <w:hideMark/>
          </w:tcPr>
          <w:p w14:paraId="5F22F842" w14:textId="77777777" w:rsidR="008645FA" w:rsidRPr="003E25ED" w:rsidRDefault="008645FA" w:rsidP="004448BA">
            <w:pPr>
              <w:spacing w:before="0" w:after="0"/>
              <w:rPr>
                <w:rFonts w:cs="Arial"/>
                <w:sz w:val="18"/>
                <w:szCs w:val="18"/>
                <w:lang w:val="en-AU" w:eastAsia="en-AU"/>
              </w:rPr>
            </w:pPr>
            <w:r w:rsidRPr="003E25ED">
              <w:rPr>
                <w:rFonts w:cs="Arial"/>
                <w:sz w:val="18"/>
                <w:szCs w:val="18"/>
                <w:lang w:val="en-AU"/>
              </w:rPr>
              <w:t>mg L</w:t>
            </w:r>
            <w:r w:rsidRPr="003E25ED">
              <w:rPr>
                <w:rFonts w:cs="Arial"/>
                <w:sz w:val="18"/>
                <w:szCs w:val="18"/>
                <w:vertAlign w:val="superscript"/>
                <w:lang w:val="en-AU"/>
              </w:rPr>
              <w:t>-1</w:t>
            </w:r>
          </w:p>
        </w:tc>
        <w:tc>
          <w:tcPr>
            <w:tcW w:w="464" w:type="pct"/>
            <w:shd w:val="clear" w:color="auto" w:fill="auto"/>
            <w:noWrap/>
            <w:vAlign w:val="center"/>
            <w:hideMark/>
          </w:tcPr>
          <w:p w14:paraId="5F22F843"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n/a</w:t>
            </w:r>
          </w:p>
        </w:tc>
        <w:tc>
          <w:tcPr>
            <w:tcW w:w="515" w:type="pct"/>
            <w:shd w:val="clear" w:color="auto" w:fill="auto"/>
            <w:noWrap/>
            <w:vAlign w:val="center"/>
            <w:hideMark/>
          </w:tcPr>
          <w:p w14:paraId="5F22F844"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15.0</w:t>
            </w:r>
          </w:p>
        </w:tc>
        <w:tc>
          <w:tcPr>
            <w:tcW w:w="464" w:type="pct"/>
            <w:shd w:val="clear" w:color="auto" w:fill="auto"/>
            <w:noWrap/>
            <w:vAlign w:val="center"/>
            <w:hideMark/>
          </w:tcPr>
          <w:p w14:paraId="5F22F845"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2.0</w:t>
            </w:r>
          </w:p>
        </w:tc>
        <w:tc>
          <w:tcPr>
            <w:tcW w:w="515" w:type="pct"/>
            <w:shd w:val="clear" w:color="auto" w:fill="auto"/>
            <w:noWrap/>
            <w:vAlign w:val="center"/>
            <w:hideMark/>
          </w:tcPr>
          <w:p w14:paraId="5F22F846"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2.0</w:t>
            </w:r>
          </w:p>
        </w:tc>
        <w:tc>
          <w:tcPr>
            <w:tcW w:w="464" w:type="pct"/>
            <w:shd w:val="clear" w:color="auto" w:fill="auto"/>
            <w:noWrap/>
            <w:vAlign w:val="center"/>
            <w:hideMark/>
          </w:tcPr>
          <w:p w14:paraId="5F22F847"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2.0</w:t>
            </w:r>
          </w:p>
        </w:tc>
        <w:tc>
          <w:tcPr>
            <w:tcW w:w="515" w:type="pct"/>
            <w:shd w:val="clear" w:color="auto" w:fill="auto"/>
            <w:noWrap/>
            <w:vAlign w:val="center"/>
            <w:hideMark/>
          </w:tcPr>
          <w:p w14:paraId="5F22F848"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2.0</w:t>
            </w:r>
          </w:p>
        </w:tc>
        <w:tc>
          <w:tcPr>
            <w:tcW w:w="464" w:type="pct"/>
            <w:shd w:val="clear" w:color="auto" w:fill="auto"/>
            <w:noWrap/>
            <w:vAlign w:val="center"/>
            <w:hideMark/>
          </w:tcPr>
          <w:p w14:paraId="5F22F849"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0.7</w:t>
            </w:r>
          </w:p>
        </w:tc>
        <w:tc>
          <w:tcPr>
            <w:tcW w:w="515" w:type="pct"/>
            <w:shd w:val="clear" w:color="auto" w:fill="auto"/>
            <w:noWrap/>
            <w:vAlign w:val="center"/>
            <w:hideMark/>
          </w:tcPr>
          <w:p w14:paraId="5F22F84A"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0.7</w:t>
            </w:r>
          </w:p>
        </w:tc>
      </w:tr>
      <w:tr w:rsidR="008645FA" w:rsidRPr="003E25ED" w14:paraId="5F22F856" w14:textId="77777777" w:rsidTr="008645FA">
        <w:trPr>
          <w:trHeight w:val="288"/>
        </w:trPr>
        <w:tc>
          <w:tcPr>
            <w:tcW w:w="672" w:type="pct"/>
            <w:shd w:val="clear" w:color="auto" w:fill="auto"/>
            <w:noWrap/>
            <w:vAlign w:val="center"/>
          </w:tcPr>
          <w:p w14:paraId="5F22F84C" w14:textId="77777777" w:rsidR="008645FA" w:rsidRPr="003E25ED" w:rsidRDefault="008645FA" w:rsidP="004448BA">
            <w:pPr>
              <w:spacing w:before="0" w:after="0"/>
              <w:rPr>
                <w:rFonts w:cs="Arial"/>
                <w:sz w:val="18"/>
                <w:szCs w:val="18"/>
                <w:lang w:val="en-AU" w:eastAsia="en-AU"/>
              </w:rPr>
            </w:pPr>
            <w:r w:rsidRPr="003E25ED">
              <w:rPr>
                <w:rFonts w:cs="Arial"/>
                <w:sz w:val="18"/>
                <w:szCs w:val="18"/>
                <w:lang w:val="en-AU" w:eastAsia="en-AU"/>
              </w:rPr>
              <w:t>Turbidity</w:t>
            </w:r>
          </w:p>
        </w:tc>
        <w:tc>
          <w:tcPr>
            <w:tcW w:w="411" w:type="pct"/>
            <w:shd w:val="clear" w:color="auto" w:fill="auto"/>
            <w:noWrap/>
            <w:vAlign w:val="center"/>
          </w:tcPr>
          <w:p w14:paraId="5F22F84D" w14:textId="77777777" w:rsidR="008645FA" w:rsidRPr="003E25ED" w:rsidRDefault="008645FA" w:rsidP="004448BA">
            <w:pPr>
              <w:spacing w:before="0" w:after="0"/>
              <w:rPr>
                <w:rFonts w:cs="Arial"/>
                <w:sz w:val="18"/>
                <w:szCs w:val="18"/>
                <w:lang w:val="en-AU" w:eastAsia="en-AU"/>
              </w:rPr>
            </w:pPr>
            <w:r w:rsidRPr="003E25ED">
              <w:rPr>
                <w:rFonts w:cs="Arial"/>
                <w:sz w:val="18"/>
                <w:szCs w:val="18"/>
                <w:lang w:val="en-AU" w:eastAsia="en-AU"/>
              </w:rPr>
              <w:t>NTU</w:t>
            </w:r>
          </w:p>
        </w:tc>
        <w:tc>
          <w:tcPr>
            <w:tcW w:w="464" w:type="pct"/>
            <w:shd w:val="clear" w:color="auto" w:fill="auto"/>
            <w:noWrap/>
            <w:vAlign w:val="center"/>
          </w:tcPr>
          <w:p w14:paraId="5F22F84E"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10.0</w:t>
            </w:r>
          </w:p>
        </w:tc>
        <w:tc>
          <w:tcPr>
            <w:tcW w:w="515" w:type="pct"/>
            <w:shd w:val="clear" w:color="auto" w:fill="auto"/>
            <w:noWrap/>
            <w:vAlign w:val="center"/>
          </w:tcPr>
          <w:p w14:paraId="5F22F84F"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6.0</w:t>
            </w:r>
          </w:p>
        </w:tc>
        <w:tc>
          <w:tcPr>
            <w:tcW w:w="464" w:type="pct"/>
            <w:shd w:val="clear" w:color="auto" w:fill="auto"/>
            <w:noWrap/>
            <w:vAlign w:val="center"/>
          </w:tcPr>
          <w:p w14:paraId="5F22F850"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1.5*</w:t>
            </w:r>
          </w:p>
        </w:tc>
        <w:tc>
          <w:tcPr>
            <w:tcW w:w="515" w:type="pct"/>
            <w:shd w:val="clear" w:color="auto" w:fill="auto"/>
            <w:noWrap/>
            <w:vAlign w:val="center"/>
          </w:tcPr>
          <w:p w14:paraId="5F22F851"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1.5*</w:t>
            </w:r>
          </w:p>
        </w:tc>
        <w:tc>
          <w:tcPr>
            <w:tcW w:w="464" w:type="pct"/>
            <w:shd w:val="clear" w:color="auto" w:fill="auto"/>
            <w:noWrap/>
            <w:vAlign w:val="center"/>
          </w:tcPr>
          <w:p w14:paraId="5F22F852"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1.5*</w:t>
            </w:r>
          </w:p>
        </w:tc>
        <w:tc>
          <w:tcPr>
            <w:tcW w:w="515" w:type="pct"/>
            <w:shd w:val="clear" w:color="auto" w:fill="auto"/>
            <w:noWrap/>
            <w:vAlign w:val="center"/>
          </w:tcPr>
          <w:p w14:paraId="5F22F853"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1.5*</w:t>
            </w:r>
          </w:p>
        </w:tc>
        <w:tc>
          <w:tcPr>
            <w:tcW w:w="464" w:type="pct"/>
            <w:shd w:val="clear" w:color="auto" w:fill="auto"/>
            <w:noWrap/>
            <w:vAlign w:val="center"/>
          </w:tcPr>
          <w:p w14:paraId="5F22F854"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&lt;1</w:t>
            </w:r>
            <w:r w:rsidRPr="003E25ED">
              <w:rPr>
                <w:rFonts w:cs="Arial"/>
                <w:sz w:val="18"/>
                <w:szCs w:val="18"/>
                <w:vertAlign w:val="superscript"/>
                <w:lang w:val="en-AU"/>
              </w:rPr>
              <w:t>Qld</w:t>
            </w:r>
          </w:p>
        </w:tc>
        <w:tc>
          <w:tcPr>
            <w:tcW w:w="515" w:type="pct"/>
            <w:shd w:val="clear" w:color="auto" w:fill="auto"/>
            <w:noWrap/>
            <w:vAlign w:val="center"/>
          </w:tcPr>
          <w:p w14:paraId="5F22F855"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&lt;1</w:t>
            </w:r>
            <w:r w:rsidRPr="003E25ED">
              <w:rPr>
                <w:rFonts w:cs="Arial"/>
                <w:sz w:val="18"/>
                <w:szCs w:val="18"/>
                <w:vertAlign w:val="superscript"/>
                <w:lang w:val="en-AU"/>
              </w:rPr>
              <w:t>Qld</w:t>
            </w:r>
          </w:p>
        </w:tc>
      </w:tr>
      <w:tr w:rsidR="008645FA" w:rsidRPr="003E25ED" w14:paraId="5F22F861" w14:textId="77777777" w:rsidTr="008645FA">
        <w:trPr>
          <w:trHeight w:val="288"/>
        </w:trPr>
        <w:tc>
          <w:tcPr>
            <w:tcW w:w="672" w:type="pct"/>
            <w:shd w:val="clear" w:color="auto" w:fill="auto"/>
            <w:noWrap/>
            <w:vAlign w:val="center"/>
            <w:hideMark/>
          </w:tcPr>
          <w:p w14:paraId="5F22F857" w14:textId="77777777" w:rsidR="008645FA" w:rsidRPr="003E25ED" w:rsidRDefault="008645FA" w:rsidP="004448BA">
            <w:pPr>
              <w:spacing w:before="0" w:after="0"/>
              <w:rPr>
                <w:rFonts w:cs="Arial"/>
                <w:sz w:val="18"/>
                <w:szCs w:val="18"/>
                <w:lang w:val="en-AU" w:eastAsia="en-AU"/>
              </w:rPr>
            </w:pPr>
            <w:r w:rsidRPr="003E25ED">
              <w:rPr>
                <w:rFonts w:cs="Arial"/>
                <w:sz w:val="18"/>
                <w:szCs w:val="18"/>
                <w:lang w:val="en-AU" w:eastAsia="en-AU"/>
              </w:rPr>
              <w:t>Secchi</w:t>
            </w:r>
          </w:p>
        </w:tc>
        <w:tc>
          <w:tcPr>
            <w:tcW w:w="411" w:type="pct"/>
            <w:shd w:val="clear" w:color="auto" w:fill="auto"/>
            <w:noWrap/>
            <w:vAlign w:val="center"/>
            <w:hideMark/>
          </w:tcPr>
          <w:p w14:paraId="5F22F858" w14:textId="77777777" w:rsidR="008645FA" w:rsidRPr="003E25ED" w:rsidRDefault="008645FA" w:rsidP="004448BA">
            <w:pPr>
              <w:spacing w:before="0" w:after="0"/>
              <w:rPr>
                <w:rFonts w:cs="Arial"/>
                <w:sz w:val="18"/>
                <w:szCs w:val="18"/>
                <w:lang w:val="en-AU" w:eastAsia="en-AU"/>
              </w:rPr>
            </w:pPr>
            <w:r w:rsidRPr="003E25ED">
              <w:rPr>
                <w:rFonts w:cs="Arial"/>
                <w:sz w:val="18"/>
                <w:szCs w:val="18"/>
                <w:lang w:val="en-AU" w:eastAsia="en-AU"/>
              </w:rPr>
              <w:t>m</w:t>
            </w:r>
          </w:p>
        </w:tc>
        <w:tc>
          <w:tcPr>
            <w:tcW w:w="464" w:type="pct"/>
            <w:shd w:val="clear" w:color="auto" w:fill="auto"/>
            <w:noWrap/>
            <w:vAlign w:val="center"/>
            <w:hideMark/>
          </w:tcPr>
          <w:p w14:paraId="5F22F859"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1.0</w:t>
            </w:r>
          </w:p>
        </w:tc>
        <w:tc>
          <w:tcPr>
            <w:tcW w:w="515" w:type="pct"/>
            <w:shd w:val="clear" w:color="auto" w:fill="auto"/>
            <w:noWrap/>
            <w:vAlign w:val="center"/>
            <w:hideMark/>
          </w:tcPr>
          <w:p w14:paraId="5F22F85A"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1.5</w:t>
            </w:r>
          </w:p>
        </w:tc>
        <w:tc>
          <w:tcPr>
            <w:tcW w:w="464" w:type="pct"/>
            <w:shd w:val="clear" w:color="auto" w:fill="auto"/>
            <w:noWrap/>
            <w:vAlign w:val="center"/>
            <w:hideMark/>
          </w:tcPr>
          <w:p w14:paraId="5F22F85B"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10.0</w:t>
            </w:r>
          </w:p>
        </w:tc>
        <w:tc>
          <w:tcPr>
            <w:tcW w:w="515" w:type="pct"/>
            <w:shd w:val="clear" w:color="auto" w:fill="auto"/>
            <w:noWrap/>
            <w:vAlign w:val="center"/>
            <w:hideMark/>
          </w:tcPr>
          <w:p w14:paraId="5F22F85C"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10.0</w:t>
            </w:r>
          </w:p>
        </w:tc>
        <w:tc>
          <w:tcPr>
            <w:tcW w:w="464" w:type="pct"/>
            <w:shd w:val="clear" w:color="auto" w:fill="auto"/>
            <w:noWrap/>
            <w:vAlign w:val="center"/>
            <w:hideMark/>
          </w:tcPr>
          <w:p w14:paraId="5F22F85D"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10.0</w:t>
            </w:r>
          </w:p>
        </w:tc>
        <w:tc>
          <w:tcPr>
            <w:tcW w:w="515" w:type="pct"/>
            <w:shd w:val="clear" w:color="auto" w:fill="auto"/>
            <w:noWrap/>
            <w:vAlign w:val="center"/>
            <w:hideMark/>
          </w:tcPr>
          <w:p w14:paraId="5F22F85E"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10.0</w:t>
            </w:r>
          </w:p>
        </w:tc>
        <w:tc>
          <w:tcPr>
            <w:tcW w:w="464" w:type="pct"/>
            <w:shd w:val="clear" w:color="auto" w:fill="auto"/>
            <w:noWrap/>
            <w:vAlign w:val="center"/>
            <w:hideMark/>
          </w:tcPr>
          <w:p w14:paraId="5F22F85F"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17.0</w:t>
            </w:r>
          </w:p>
        </w:tc>
        <w:tc>
          <w:tcPr>
            <w:tcW w:w="515" w:type="pct"/>
            <w:shd w:val="clear" w:color="auto" w:fill="auto"/>
            <w:noWrap/>
            <w:vAlign w:val="center"/>
            <w:hideMark/>
          </w:tcPr>
          <w:p w14:paraId="5F22F860"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17.0</w:t>
            </w:r>
          </w:p>
        </w:tc>
      </w:tr>
      <w:tr w:rsidR="008645FA" w:rsidRPr="003E25ED" w14:paraId="5F22F86C" w14:textId="77777777" w:rsidTr="008645FA">
        <w:trPr>
          <w:trHeight w:val="288"/>
        </w:trPr>
        <w:tc>
          <w:tcPr>
            <w:tcW w:w="672" w:type="pct"/>
            <w:shd w:val="clear" w:color="auto" w:fill="auto"/>
            <w:noWrap/>
            <w:vAlign w:val="center"/>
            <w:hideMark/>
          </w:tcPr>
          <w:p w14:paraId="5F22F862" w14:textId="77777777" w:rsidR="008645FA" w:rsidRPr="003E25ED" w:rsidRDefault="008645FA" w:rsidP="004448BA">
            <w:pPr>
              <w:spacing w:before="0" w:after="0"/>
              <w:rPr>
                <w:rFonts w:cs="Arial"/>
                <w:sz w:val="18"/>
                <w:szCs w:val="18"/>
                <w:lang w:val="en-AU" w:eastAsia="en-AU"/>
              </w:rPr>
            </w:pPr>
            <w:r w:rsidRPr="003E25ED">
              <w:rPr>
                <w:rFonts w:cs="Arial"/>
                <w:sz w:val="18"/>
                <w:szCs w:val="18"/>
                <w:lang w:val="en-AU" w:eastAsia="en-AU"/>
              </w:rPr>
              <w:t>NO</w:t>
            </w:r>
            <w:r w:rsidRPr="003E25ED">
              <w:rPr>
                <w:rFonts w:cs="Arial"/>
                <w:sz w:val="18"/>
                <w:szCs w:val="18"/>
                <w:vertAlign w:val="subscript"/>
                <w:lang w:val="en-AU" w:eastAsia="en-AU"/>
              </w:rPr>
              <w:t>x</w:t>
            </w:r>
            <w:r w:rsidRPr="003E25ED">
              <w:rPr>
                <w:rFonts w:cs="Arial"/>
                <w:sz w:val="18"/>
                <w:szCs w:val="18"/>
                <w:vertAlign w:val="superscript"/>
                <w:lang w:val="en-AU"/>
              </w:rPr>
              <w:t>Qld</w:t>
            </w:r>
          </w:p>
        </w:tc>
        <w:tc>
          <w:tcPr>
            <w:tcW w:w="411" w:type="pct"/>
            <w:shd w:val="clear" w:color="auto" w:fill="auto"/>
            <w:noWrap/>
            <w:vAlign w:val="center"/>
            <w:hideMark/>
          </w:tcPr>
          <w:p w14:paraId="5F22F863" w14:textId="77777777" w:rsidR="008645FA" w:rsidRPr="003E25ED" w:rsidRDefault="008645FA" w:rsidP="004448BA">
            <w:pPr>
              <w:spacing w:before="0" w:after="0"/>
              <w:rPr>
                <w:rFonts w:cs="Arial"/>
                <w:sz w:val="18"/>
                <w:szCs w:val="18"/>
                <w:lang w:val="en-AU" w:eastAsia="en-AU"/>
              </w:rPr>
            </w:pPr>
            <w:r w:rsidRPr="003E25ED">
              <w:rPr>
                <w:rFonts w:cs="Arial"/>
                <w:sz w:val="18"/>
                <w:szCs w:val="18"/>
                <w:lang w:val="en-AU"/>
              </w:rPr>
              <w:t>μg L</w:t>
            </w:r>
            <w:r w:rsidRPr="003E25ED">
              <w:rPr>
                <w:rFonts w:cs="Arial"/>
                <w:sz w:val="18"/>
                <w:szCs w:val="18"/>
                <w:vertAlign w:val="superscript"/>
                <w:lang w:val="en-AU"/>
              </w:rPr>
              <w:t>-1</w:t>
            </w:r>
          </w:p>
        </w:tc>
        <w:tc>
          <w:tcPr>
            <w:tcW w:w="464" w:type="pct"/>
            <w:shd w:val="clear" w:color="auto" w:fill="auto"/>
            <w:noWrap/>
            <w:vAlign w:val="center"/>
            <w:hideMark/>
          </w:tcPr>
          <w:p w14:paraId="5F22F864"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10.0</w:t>
            </w:r>
          </w:p>
        </w:tc>
        <w:tc>
          <w:tcPr>
            <w:tcW w:w="515" w:type="pct"/>
            <w:shd w:val="clear" w:color="auto" w:fill="auto"/>
            <w:noWrap/>
            <w:vAlign w:val="center"/>
            <w:hideMark/>
          </w:tcPr>
          <w:p w14:paraId="5F22F865"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3.0</w:t>
            </w:r>
          </w:p>
        </w:tc>
        <w:tc>
          <w:tcPr>
            <w:tcW w:w="464" w:type="pct"/>
            <w:shd w:val="clear" w:color="auto" w:fill="auto"/>
            <w:noWrap/>
            <w:vAlign w:val="center"/>
            <w:hideMark/>
          </w:tcPr>
          <w:p w14:paraId="5F22F866"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2.0</w:t>
            </w:r>
          </w:p>
        </w:tc>
        <w:tc>
          <w:tcPr>
            <w:tcW w:w="515" w:type="pct"/>
            <w:shd w:val="clear" w:color="auto" w:fill="auto"/>
            <w:noWrap/>
            <w:vAlign w:val="center"/>
            <w:hideMark/>
          </w:tcPr>
          <w:p w14:paraId="5F22F867"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3.0</w:t>
            </w:r>
          </w:p>
        </w:tc>
        <w:tc>
          <w:tcPr>
            <w:tcW w:w="464" w:type="pct"/>
            <w:shd w:val="clear" w:color="auto" w:fill="auto"/>
            <w:noWrap/>
            <w:vAlign w:val="center"/>
            <w:hideMark/>
          </w:tcPr>
          <w:p w14:paraId="5F22F868"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2.0</w:t>
            </w:r>
          </w:p>
        </w:tc>
        <w:tc>
          <w:tcPr>
            <w:tcW w:w="515" w:type="pct"/>
            <w:shd w:val="clear" w:color="auto" w:fill="auto"/>
            <w:noWrap/>
            <w:vAlign w:val="center"/>
            <w:hideMark/>
          </w:tcPr>
          <w:p w14:paraId="5F22F869"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2.0</w:t>
            </w:r>
          </w:p>
        </w:tc>
        <w:tc>
          <w:tcPr>
            <w:tcW w:w="464" w:type="pct"/>
            <w:shd w:val="clear" w:color="auto" w:fill="auto"/>
            <w:noWrap/>
            <w:vAlign w:val="center"/>
            <w:hideMark/>
          </w:tcPr>
          <w:p w14:paraId="5F22F86A"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2.0</w:t>
            </w:r>
          </w:p>
        </w:tc>
        <w:tc>
          <w:tcPr>
            <w:tcW w:w="515" w:type="pct"/>
            <w:shd w:val="clear" w:color="auto" w:fill="auto"/>
            <w:noWrap/>
            <w:vAlign w:val="center"/>
            <w:hideMark/>
          </w:tcPr>
          <w:p w14:paraId="5F22F86B"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2.0</w:t>
            </w:r>
          </w:p>
        </w:tc>
      </w:tr>
      <w:tr w:rsidR="008645FA" w:rsidRPr="003E25ED" w14:paraId="5F22F877" w14:textId="77777777" w:rsidTr="008645FA">
        <w:trPr>
          <w:trHeight w:val="288"/>
        </w:trPr>
        <w:tc>
          <w:tcPr>
            <w:tcW w:w="672" w:type="pct"/>
            <w:shd w:val="clear" w:color="auto" w:fill="auto"/>
            <w:noWrap/>
            <w:vAlign w:val="center"/>
          </w:tcPr>
          <w:p w14:paraId="5F22F86D" w14:textId="77777777" w:rsidR="008645FA" w:rsidRPr="003E25ED" w:rsidRDefault="008645FA" w:rsidP="004448BA">
            <w:pPr>
              <w:spacing w:before="0" w:after="0"/>
              <w:rPr>
                <w:rFonts w:cs="Arial"/>
                <w:sz w:val="18"/>
                <w:szCs w:val="18"/>
                <w:lang w:val="en-AU" w:eastAsia="en-AU"/>
              </w:rPr>
            </w:pPr>
            <w:r w:rsidRPr="003E25ED">
              <w:rPr>
                <w:rFonts w:cs="Arial"/>
                <w:sz w:val="18"/>
                <w:szCs w:val="18"/>
                <w:lang w:val="en-AU" w:eastAsia="en-AU"/>
              </w:rPr>
              <w:t>PO</w:t>
            </w:r>
            <w:r w:rsidRPr="003E25ED">
              <w:rPr>
                <w:rFonts w:cs="Arial"/>
                <w:sz w:val="18"/>
                <w:szCs w:val="18"/>
                <w:vertAlign w:val="subscript"/>
                <w:lang w:val="en-AU" w:eastAsia="en-AU"/>
              </w:rPr>
              <w:t>4</w:t>
            </w:r>
            <w:r w:rsidRPr="003E25ED">
              <w:rPr>
                <w:rFonts w:cs="Arial"/>
                <w:sz w:val="18"/>
                <w:szCs w:val="18"/>
                <w:vertAlign w:val="superscript"/>
                <w:lang w:val="en-AU"/>
              </w:rPr>
              <w:t>Qld</w:t>
            </w:r>
          </w:p>
        </w:tc>
        <w:tc>
          <w:tcPr>
            <w:tcW w:w="411" w:type="pct"/>
            <w:shd w:val="clear" w:color="auto" w:fill="auto"/>
            <w:noWrap/>
            <w:vAlign w:val="center"/>
          </w:tcPr>
          <w:p w14:paraId="5F22F86E" w14:textId="77777777" w:rsidR="008645FA" w:rsidRPr="003E25ED" w:rsidRDefault="008645FA" w:rsidP="004448BA">
            <w:pPr>
              <w:spacing w:before="0" w:after="0"/>
              <w:rPr>
                <w:rFonts w:cs="Arial"/>
                <w:sz w:val="18"/>
                <w:szCs w:val="18"/>
                <w:lang w:val="en-AU" w:eastAsia="en-AU"/>
              </w:rPr>
            </w:pPr>
            <w:r w:rsidRPr="003E25ED">
              <w:rPr>
                <w:rFonts w:cs="Arial"/>
                <w:sz w:val="18"/>
                <w:szCs w:val="18"/>
                <w:lang w:val="en-AU"/>
              </w:rPr>
              <w:t>μg L</w:t>
            </w:r>
            <w:r w:rsidRPr="003E25ED">
              <w:rPr>
                <w:rFonts w:cs="Arial"/>
                <w:sz w:val="18"/>
                <w:szCs w:val="18"/>
                <w:vertAlign w:val="superscript"/>
                <w:lang w:val="en-AU"/>
              </w:rPr>
              <w:t>-1</w:t>
            </w:r>
          </w:p>
        </w:tc>
        <w:tc>
          <w:tcPr>
            <w:tcW w:w="464" w:type="pct"/>
            <w:shd w:val="clear" w:color="auto" w:fill="auto"/>
            <w:noWrap/>
            <w:vAlign w:val="center"/>
          </w:tcPr>
          <w:p w14:paraId="5F22F86F"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5.0</w:t>
            </w:r>
          </w:p>
        </w:tc>
        <w:tc>
          <w:tcPr>
            <w:tcW w:w="515" w:type="pct"/>
            <w:shd w:val="clear" w:color="auto" w:fill="auto"/>
            <w:noWrap/>
            <w:vAlign w:val="center"/>
          </w:tcPr>
          <w:p w14:paraId="5F22F870"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6.0</w:t>
            </w:r>
          </w:p>
        </w:tc>
        <w:tc>
          <w:tcPr>
            <w:tcW w:w="464" w:type="pct"/>
            <w:shd w:val="clear" w:color="auto" w:fill="auto"/>
            <w:noWrap/>
            <w:vAlign w:val="center"/>
          </w:tcPr>
          <w:p w14:paraId="5F22F871"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4.0</w:t>
            </w:r>
          </w:p>
        </w:tc>
        <w:tc>
          <w:tcPr>
            <w:tcW w:w="515" w:type="pct"/>
            <w:shd w:val="clear" w:color="auto" w:fill="auto"/>
            <w:noWrap/>
            <w:vAlign w:val="center"/>
          </w:tcPr>
          <w:p w14:paraId="5F22F872"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6.0</w:t>
            </w:r>
          </w:p>
        </w:tc>
        <w:tc>
          <w:tcPr>
            <w:tcW w:w="464" w:type="pct"/>
            <w:shd w:val="clear" w:color="auto" w:fill="auto"/>
            <w:noWrap/>
            <w:vAlign w:val="center"/>
          </w:tcPr>
          <w:p w14:paraId="5F22F873"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4.0</w:t>
            </w:r>
          </w:p>
        </w:tc>
        <w:tc>
          <w:tcPr>
            <w:tcW w:w="515" w:type="pct"/>
            <w:shd w:val="clear" w:color="auto" w:fill="auto"/>
            <w:noWrap/>
            <w:vAlign w:val="center"/>
          </w:tcPr>
          <w:p w14:paraId="5F22F874"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6.0</w:t>
            </w:r>
          </w:p>
        </w:tc>
        <w:tc>
          <w:tcPr>
            <w:tcW w:w="464" w:type="pct"/>
            <w:shd w:val="clear" w:color="auto" w:fill="auto"/>
            <w:noWrap/>
            <w:vAlign w:val="center"/>
          </w:tcPr>
          <w:p w14:paraId="5F22F875"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4.0</w:t>
            </w:r>
          </w:p>
        </w:tc>
        <w:tc>
          <w:tcPr>
            <w:tcW w:w="515" w:type="pct"/>
            <w:shd w:val="clear" w:color="auto" w:fill="auto"/>
            <w:noWrap/>
            <w:vAlign w:val="center"/>
          </w:tcPr>
          <w:p w14:paraId="5F22F876" w14:textId="77777777" w:rsidR="008645FA" w:rsidRPr="003E25ED" w:rsidRDefault="008645FA" w:rsidP="004448BA">
            <w:pPr>
              <w:spacing w:before="0" w:after="0"/>
              <w:jc w:val="center"/>
              <w:rPr>
                <w:rFonts w:cs="Arial"/>
                <w:sz w:val="18"/>
                <w:szCs w:val="18"/>
                <w:lang w:val="en-AU" w:eastAsia="en-AU"/>
              </w:rPr>
            </w:pPr>
            <w:r w:rsidRPr="003E25ED">
              <w:rPr>
                <w:rFonts w:cs="Arial"/>
                <w:sz w:val="18"/>
                <w:szCs w:val="18"/>
                <w:lang w:val="en-AU" w:eastAsia="en-AU"/>
              </w:rPr>
              <w:t>5.0</w:t>
            </w:r>
          </w:p>
        </w:tc>
      </w:tr>
    </w:tbl>
    <w:p w14:paraId="5F22F878" w14:textId="77777777" w:rsidR="008645FA" w:rsidRPr="00A40196" w:rsidRDefault="008645FA" w:rsidP="008645FA">
      <w:pPr>
        <w:rPr>
          <w:rFonts w:ascii="Arial Narrow" w:hAnsi="Arial Narrow" w:cs="Arial"/>
          <w:i/>
          <w:sz w:val="20"/>
          <w:lang w:val="en-AU"/>
        </w:rPr>
      </w:pPr>
      <w:r w:rsidRPr="00A40196">
        <w:rPr>
          <w:rFonts w:ascii="Arial Narrow" w:hAnsi="Arial Narrow" w:cs="Arial"/>
          <w:i/>
          <w:sz w:val="20"/>
          <w:lang w:val="en-AU"/>
        </w:rPr>
        <w:t xml:space="preserve">* </w:t>
      </w:r>
      <w:r w:rsidRPr="00A40196">
        <w:rPr>
          <w:rStyle w:val="TableChar"/>
          <w:rFonts w:cs="Arial"/>
          <w:i/>
          <w:sz w:val="20"/>
          <w:lang w:val="en-AU"/>
        </w:rPr>
        <w:t>The turbidity trigger value for opens coastal and midshelf water bodies (1.5 NTU) was derived for the MMP reporting by transforming the suspended solids trigger value in the Guidelines (2 mg L</w:t>
      </w:r>
      <w:r w:rsidRPr="00A40196">
        <w:rPr>
          <w:rStyle w:val="TableChar"/>
          <w:rFonts w:cs="Arial"/>
          <w:i/>
          <w:sz w:val="20"/>
          <w:vertAlign w:val="superscript"/>
          <w:lang w:val="en-AU"/>
        </w:rPr>
        <w:t>-1</w:t>
      </w:r>
      <w:r w:rsidRPr="00A40196">
        <w:rPr>
          <w:rStyle w:val="TableChar"/>
          <w:rFonts w:cs="Arial"/>
          <w:i/>
          <w:sz w:val="20"/>
          <w:lang w:val="en-AU"/>
        </w:rPr>
        <w:t xml:space="preserve">) using an equation based on a comparison between direct water samples and instrumental turbidity readings (see Appendix 3 and </w:t>
      </w:r>
      <w:r w:rsidRPr="00A40196">
        <w:rPr>
          <w:rFonts w:ascii="Arial Narrow" w:hAnsi="Arial Narrow" w:cs="Arial"/>
          <w:i/>
          <w:sz w:val="20"/>
          <w:lang w:val="en-AU"/>
        </w:rPr>
        <w:t>Schaffelke et al.</w:t>
      </w:r>
      <w:r w:rsidR="00C83BA4">
        <w:rPr>
          <w:rFonts w:ascii="Arial Narrow" w:hAnsi="Arial Narrow" w:cs="Arial"/>
          <w:i/>
          <w:sz w:val="20"/>
          <w:lang w:val="en-AU"/>
        </w:rPr>
        <w:t>,</w:t>
      </w:r>
      <w:r w:rsidRPr="00A40196">
        <w:rPr>
          <w:rFonts w:ascii="Arial Narrow" w:hAnsi="Arial Narrow" w:cs="Arial"/>
          <w:i/>
          <w:sz w:val="20"/>
          <w:lang w:val="en-AU"/>
        </w:rPr>
        <w:t xml:space="preserve"> 2009).</w:t>
      </w:r>
    </w:p>
    <w:p w14:paraId="5F22F879" w14:textId="77777777" w:rsidR="008645FA" w:rsidRPr="00A40196" w:rsidRDefault="008645FA" w:rsidP="003E25ED">
      <w:pPr>
        <w:rPr>
          <w:lang w:val="en-AU"/>
        </w:rPr>
      </w:pPr>
    </w:p>
    <w:p w14:paraId="5F22F87A" w14:textId="77777777" w:rsidR="00174FBE" w:rsidRDefault="00174FBE">
      <w:pPr>
        <w:spacing w:before="0" w:after="0"/>
        <w:jc w:val="left"/>
        <w:rPr>
          <w:b/>
          <w:sz w:val="28"/>
        </w:rPr>
      </w:pPr>
      <w:bookmarkStart w:id="1527" w:name="_Toc435775367"/>
      <w:r>
        <w:br w:type="page"/>
      </w:r>
    </w:p>
    <w:p w14:paraId="5F22F87B" w14:textId="77777777" w:rsidR="008645FA" w:rsidRPr="00A40196" w:rsidRDefault="008645FA" w:rsidP="00C85410">
      <w:pPr>
        <w:pStyle w:val="Heading7"/>
      </w:pPr>
      <w:r w:rsidRPr="00A40196">
        <w:t>Summary statistics and data presentation</w:t>
      </w:r>
      <w:bookmarkEnd w:id="1527"/>
    </w:p>
    <w:p w14:paraId="5F22F87C" w14:textId="77777777" w:rsidR="008645FA" w:rsidRPr="00A40196" w:rsidRDefault="008645FA" w:rsidP="008645FA">
      <w:pPr>
        <w:rPr>
          <w:lang w:val="en-AU"/>
        </w:rPr>
      </w:pPr>
      <w:r w:rsidRPr="00A40196">
        <w:rPr>
          <w:lang w:val="en-AU"/>
        </w:rPr>
        <w:t>Values for water quality parameters at each monitoring location were calculated as depth-weighted means by trapezoidal integration of the data from discrete sampling depths. This included the samples collected by divers directly above the reef surface and the depth-profile station collected from the research vessel. Summary statistics for each of the 20 locations over all sampling years of these depth-weighted mean values are presented as tables in Appendix 2. Concentrations were compared to Guideline trigger values (guideline, GBRMPA 2010, DERM 2009) for the following water quality constituents: chlorophyll a, particulate nitrogen (PN), particulate phosphorus (PP), total suspended solids (TSS), Secchi depth, oxidised nitrogen (NO</w:t>
      </w:r>
      <w:r w:rsidRPr="00A40196">
        <w:rPr>
          <w:vertAlign w:val="subscript"/>
          <w:lang w:val="en-AU"/>
        </w:rPr>
        <w:t>x</w:t>
      </w:r>
      <w:r w:rsidRPr="00A40196">
        <w:rPr>
          <w:lang w:val="en-AU"/>
        </w:rPr>
        <w:t>) and phosphate (PO</w:t>
      </w:r>
      <w:r w:rsidRPr="00C83BA4">
        <w:rPr>
          <w:vertAlign w:val="subscript"/>
          <w:lang w:val="en-AU"/>
        </w:rPr>
        <w:t>4</w:t>
      </w:r>
      <w:r w:rsidRPr="00A40196">
        <w:rPr>
          <w:lang w:val="en-AU"/>
        </w:rPr>
        <w:t>).</w:t>
      </w:r>
    </w:p>
    <w:p w14:paraId="5F22F87D" w14:textId="77777777" w:rsidR="008645FA" w:rsidRPr="00A40196" w:rsidRDefault="008645FA" w:rsidP="008645FA">
      <w:pPr>
        <w:rPr>
          <w:lang w:val="en-AU"/>
        </w:rPr>
      </w:pPr>
      <w:r w:rsidRPr="00A40196">
        <w:rPr>
          <w:lang w:val="en-AU"/>
        </w:rPr>
        <w:t>Daily averages of the chlorophyll fluorescence and turbidity levels measured by the ECO FLNTUSB instruments at each of 14 core locations are presented as line g</w:t>
      </w:r>
      <w:r w:rsidR="00C83BA4">
        <w:rPr>
          <w:lang w:val="en-AU"/>
        </w:rPr>
        <w:t>raphs in Appendix 2 (Figure A2-4</w:t>
      </w:r>
      <w:r w:rsidRPr="00A40196">
        <w:rPr>
          <w:lang w:val="en-AU"/>
        </w:rPr>
        <w:t>). Annual means and medians of turbidity were also calculated for each site b</w:t>
      </w:r>
      <w:r w:rsidR="00C83BA4">
        <w:rPr>
          <w:lang w:val="en-AU"/>
        </w:rPr>
        <w:t>ased on the DERM “water year” (</w:t>
      </w:r>
      <w:r w:rsidRPr="00A40196">
        <w:rPr>
          <w:lang w:val="en-AU"/>
        </w:rPr>
        <w:t>1 October to 30 September) and compared with the guideline.</w:t>
      </w:r>
    </w:p>
    <w:p w14:paraId="5F22F87E" w14:textId="77777777" w:rsidR="008645FA" w:rsidRPr="00A40196" w:rsidRDefault="008645FA" w:rsidP="008645FA">
      <w:pPr>
        <w:rPr>
          <w:lang w:val="en-AU"/>
        </w:rPr>
      </w:pPr>
      <w:r w:rsidRPr="00A40196">
        <w:rPr>
          <w:lang w:val="en-AU"/>
        </w:rPr>
        <w:t>In the main report, temporal trends are reported for selected key water quality variables (chlorophyll, TSS, Secchi depth, turbidity, NO</w:t>
      </w:r>
      <w:r w:rsidRPr="00A40196">
        <w:rPr>
          <w:vertAlign w:val="subscript"/>
          <w:lang w:val="en-AU"/>
        </w:rPr>
        <w:t>x</w:t>
      </w:r>
      <w:r w:rsidRPr="00A40196">
        <w:rPr>
          <w:lang w:val="en-AU"/>
        </w:rPr>
        <w:t>, PN, PP) on a region or sub-region level. The Wet Tropics NRM region was subdivided into three sub-regions to reflect the different catchments influencing part of the Region: Barron Daintree sub-region, Johnstone Russell-Mulgrave sub-region and Herbert Tully sub-region. The Burdekin, and Mackay Whitsunday NRM regions were reported on the regional levels (using the marine boundaries of each NRM region, as provided by the GBRMPA).</w:t>
      </w:r>
    </w:p>
    <w:p w14:paraId="5F22F87F" w14:textId="77777777" w:rsidR="008645FA" w:rsidRPr="00A40196" w:rsidRDefault="008645FA" w:rsidP="008645FA">
      <w:pPr>
        <w:rPr>
          <w:lang w:val="en-AU"/>
        </w:rPr>
      </w:pPr>
      <w:r w:rsidRPr="00A40196">
        <w:rPr>
          <w:lang w:val="en-AU"/>
        </w:rPr>
        <w:t>Generali</w:t>
      </w:r>
      <w:r w:rsidR="00C27BEB">
        <w:rPr>
          <w:lang w:val="en-AU"/>
        </w:rPr>
        <w:t>s</w:t>
      </w:r>
      <w:r w:rsidRPr="00A40196">
        <w:rPr>
          <w:lang w:val="en-AU"/>
        </w:rPr>
        <w:t>ed additive mixed effects models (GAMMs; Wood 2006) were used to decompose the irregularly spaced time series into its trend cycles (long-term) and periodic (seasonal) components. GAMMs are an extension of additive models (which allow flexible modelling of non-linear relationships by incorporating penalized regression spline types of smoothing functions into the estimation process), in which the degree of smoothing of each smooth term (and by extension, the estimated degrees of freedom of each smoother) is treated as a random effect and thus estimable via its variance as with other effects in a mixed modelling structure (Wood 2006).</w:t>
      </w:r>
    </w:p>
    <w:p w14:paraId="5F22F880" w14:textId="77777777" w:rsidR="008645FA" w:rsidRPr="00A40196" w:rsidRDefault="008645FA" w:rsidP="008645FA">
      <w:pPr>
        <w:rPr>
          <w:lang w:val="en-AU"/>
        </w:rPr>
      </w:pPr>
      <w:r w:rsidRPr="00A40196">
        <w:rPr>
          <w:lang w:val="en-AU"/>
        </w:rPr>
        <w:t>For each water quality indicator within each (sub-)</w:t>
      </w:r>
      <w:r w:rsidR="006A00D6">
        <w:rPr>
          <w:lang w:val="en-AU"/>
        </w:rPr>
        <w:t xml:space="preserve"> </w:t>
      </w:r>
      <w:r w:rsidRPr="00A40196">
        <w:rPr>
          <w:lang w:val="en-AU"/>
        </w:rPr>
        <w:t xml:space="preserve">region, the indicator was modelled against a thin-plate smoother for date and a cyclical cubic regression spline (maximum of 5 knots) for month of the year. Spatial and temporal autocorrelation in the residuals was addressed by including sampling locations as a random effect and imposing a first order continuous-time auto-regressive correlation structure (Pinheiro and Bates, 2000). </w:t>
      </w:r>
    </w:p>
    <w:p w14:paraId="5F22F881" w14:textId="77777777" w:rsidR="008645FA" w:rsidRPr="00A40196" w:rsidRDefault="008645FA" w:rsidP="008645FA">
      <w:pPr>
        <w:rPr>
          <w:lang w:val="en-AU"/>
        </w:rPr>
      </w:pPr>
      <w:r w:rsidRPr="00A40196">
        <w:rPr>
          <w:lang w:val="en-AU"/>
        </w:rPr>
        <w:t xml:space="preserve">Water quality measurements are likely to be influenced by the physical conditions at the time of sampling. For water parameters that are sampled infrequently, variations in these physical conditions can add substantial noise to the data that can reduce detection and confidence in the underlying temporal signals. </w:t>
      </w:r>
    </w:p>
    <w:p w14:paraId="5F22F882" w14:textId="77777777" w:rsidR="008645FA" w:rsidRPr="00A40196" w:rsidRDefault="008645FA" w:rsidP="008645FA">
      <w:pPr>
        <w:rPr>
          <w:lang w:val="en-AU"/>
        </w:rPr>
      </w:pPr>
      <w:r w:rsidRPr="00A40196">
        <w:rPr>
          <w:lang w:val="en-AU"/>
        </w:rPr>
        <w:t>All GAMMs were fitted using the mgcv (Wood 2006; Wood 2011) package in R 3.0.1 (R Development Core Team, 2013).</w:t>
      </w:r>
    </w:p>
    <w:p w14:paraId="5F22F883" w14:textId="77777777" w:rsidR="008645FA" w:rsidRPr="00A40196" w:rsidRDefault="008645FA" w:rsidP="008645FA">
      <w:pPr>
        <w:rPr>
          <w:color w:val="0070C0"/>
          <w:lang w:val="en-AU"/>
        </w:rPr>
      </w:pPr>
    </w:p>
    <w:p w14:paraId="5F22F884" w14:textId="77777777" w:rsidR="00174FBE" w:rsidRDefault="00174FBE">
      <w:pPr>
        <w:spacing w:before="0" w:after="0"/>
        <w:jc w:val="left"/>
        <w:rPr>
          <w:b/>
          <w:sz w:val="28"/>
        </w:rPr>
      </w:pPr>
      <w:bookmarkStart w:id="1528" w:name="_Toc435775368"/>
      <w:r>
        <w:br w:type="page"/>
      </w:r>
    </w:p>
    <w:p w14:paraId="5F22F885" w14:textId="77777777" w:rsidR="008645FA" w:rsidRPr="00A40196" w:rsidRDefault="008645FA" w:rsidP="00C85410">
      <w:pPr>
        <w:pStyle w:val="Heading7"/>
      </w:pPr>
      <w:r w:rsidRPr="00A40196">
        <w:t>Interim site-specific water quality index</w:t>
      </w:r>
      <w:bookmarkEnd w:id="1528"/>
    </w:p>
    <w:p w14:paraId="5F22F886" w14:textId="77777777" w:rsidR="008645FA" w:rsidRPr="00A40196" w:rsidRDefault="008645FA" w:rsidP="008645FA">
      <w:pPr>
        <w:rPr>
          <w:lang w:val="en-AU"/>
        </w:rPr>
      </w:pPr>
      <w:r w:rsidRPr="00A40196">
        <w:rPr>
          <w:lang w:val="en-AU"/>
        </w:rPr>
        <w:t xml:space="preserve">In the current Paddock to Reef Report Cards (e.g., Anon. 2013), water quality assessments are based only on the MMP broad-scale monitoring using ocean colour remote sensing imagery that covers a larger area than the 20 fixed sampling locations reported here (Brando </w:t>
      </w:r>
      <w:r w:rsidRPr="00C83BA4">
        <w:rPr>
          <w:lang w:val="en-AU"/>
        </w:rPr>
        <w:t>et al.</w:t>
      </w:r>
      <w:r w:rsidR="00C83BA4" w:rsidRPr="00C83BA4">
        <w:rPr>
          <w:lang w:val="en-AU"/>
        </w:rPr>
        <w:t>,</w:t>
      </w:r>
      <w:r w:rsidRPr="00C83BA4">
        <w:rPr>
          <w:lang w:val="en-AU"/>
        </w:rPr>
        <w:t xml:space="preserve"> </w:t>
      </w:r>
      <w:r w:rsidRPr="00A40196">
        <w:rPr>
          <w:lang w:val="en-AU"/>
        </w:rPr>
        <w:t xml:space="preserve">2011). A recent project completed a proof-of-concept for an integrated assessment framework for the reporting of GBR water quality using a spatio-temporal statistical process model that combines all MMP water quality data  and discussed reasons for differences between the different measurement approaches (manual sampling, in situ data loggers, remote sensing; Brando </w:t>
      </w:r>
      <w:r w:rsidRPr="00A40196">
        <w:rPr>
          <w:i/>
          <w:lang w:val="en-AU"/>
        </w:rPr>
        <w:t>et al</w:t>
      </w:r>
      <w:r w:rsidRPr="00A40196">
        <w:rPr>
          <w:lang w:val="en-AU"/>
        </w:rPr>
        <w:t>. 2013). However, for this report, the focus is on interpreting trends in site-specific water quality, which is well described by the instrumental monitoring of turbidity and chlorophyll and by the parallel manual sampling that connects the instrumental measurements to the broader suite of variables (nutrients, dissolved and suspended organic matter, suspended particulates etc.) that influence the health, productivity and resilience of coral reefs. The application of remote sensing data will remain useful to assess the broader water quality in the inshore GBR lagoon.</w:t>
      </w:r>
    </w:p>
    <w:p w14:paraId="5F22F887" w14:textId="77777777" w:rsidR="008645FA" w:rsidRPr="00A40196" w:rsidRDefault="008645FA" w:rsidP="008645FA">
      <w:pPr>
        <w:rPr>
          <w:lang w:val="en-AU"/>
        </w:rPr>
      </w:pPr>
      <w:r w:rsidRPr="00A40196">
        <w:rPr>
          <w:lang w:val="en-AU"/>
        </w:rPr>
        <w:t>We developed a simple water quality index to generate an overall assessment o</w:t>
      </w:r>
      <w:r w:rsidR="007E5958">
        <w:rPr>
          <w:lang w:val="en-AU"/>
        </w:rPr>
        <w:t xml:space="preserve">f water quality at each of the </w:t>
      </w:r>
      <w:r w:rsidRPr="00A40196">
        <w:rPr>
          <w:lang w:val="en-AU"/>
        </w:rPr>
        <w:t xml:space="preserve">water quality sampling locations. The index is based on all available data using four-year running means as a compromise between having sufficient data for the assessment and the ability to show trends. The index is different to that reported in Schaffelke </w:t>
      </w:r>
      <w:r w:rsidRPr="00C83BA4">
        <w:rPr>
          <w:lang w:val="en-AU"/>
        </w:rPr>
        <w:t>et al.</w:t>
      </w:r>
      <w:r w:rsidR="00C83BA4" w:rsidRPr="00C83BA4">
        <w:rPr>
          <w:lang w:val="en-AU"/>
        </w:rPr>
        <w:t>,</w:t>
      </w:r>
      <w:r w:rsidRPr="00A40196">
        <w:rPr>
          <w:lang w:val="en-AU"/>
        </w:rPr>
        <w:t xml:space="preserve"> (2012b) as we now include a scaling step that moves beyond a simple binary compliance vs non-compliance assessment. The index aggregates scores given to </w:t>
      </w:r>
      <w:r w:rsidR="007E5958">
        <w:rPr>
          <w:lang w:val="en-AU"/>
        </w:rPr>
        <w:t>seven</w:t>
      </w:r>
      <w:r w:rsidRPr="00A40196">
        <w:rPr>
          <w:lang w:val="en-AU"/>
        </w:rPr>
        <w:t xml:space="preserve"> indicators, in comparison with the GBR Water Quality Guidelines (GBRMPA 2010)</w:t>
      </w:r>
      <w:r w:rsidR="007E5958">
        <w:rPr>
          <w:lang w:val="en-AU"/>
        </w:rPr>
        <w:t xml:space="preserve"> and </w:t>
      </w:r>
      <w:r w:rsidR="007E5958" w:rsidRPr="00857875">
        <w:rPr>
          <w:rFonts w:cs="Arial"/>
          <w:szCs w:val="22"/>
        </w:rPr>
        <w:t>Queensland Water Quality Guidelines (DERM 2009)</w:t>
      </w:r>
      <w:r w:rsidRPr="00A40196">
        <w:rPr>
          <w:lang w:val="en-AU"/>
        </w:rPr>
        <w:t>. The seven indicators, comprising five indicator groups were:</w:t>
      </w:r>
    </w:p>
    <w:p w14:paraId="5F22F888" w14:textId="77777777" w:rsidR="008645FA" w:rsidRPr="00A40196" w:rsidRDefault="008645FA" w:rsidP="008645FA">
      <w:pPr>
        <w:rPr>
          <w:lang w:val="en-AU"/>
        </w:rPr>
      </w:pPr>
    </w:p>
    <w:p w14:paraId="5F22F889" w14:textId="77777777" w:rsidR="008645FA" w:rsidRPr="00A40196" w:rsidRDefault="008645FA" w:rsidP="004D75F5">
      <w:pPr>
        <w:pStyle w:val="ListParagraph"/>
        <w:numPr>
          <w:ilvl w:val="0"/>
          <w:numId w:val="12"/>
        </w:numPr>
        <w:spacing w:before="0" w:after="0"/>
        <w:jc w:val="left"/>
        <w:rPr>
          <w:rFonts w:cs="Arial"/>
          <w:lang w:val="en-AU"/>
        </w:rPr>
      </w:pPr>
      <w:r w:rsidRPr="00A40196">
        <w:rPr>
          <w:rFonts w:cs="Arial"/>
          <w:lang w:val="en-AU"/>
        </w:rPr>
        <w:t>Total suspended solids concentration, TSS, in water samples; Secchi depth; and turbidity measurements by FLNTUSB instruments, where available.</w:t>
      </w:r>
    </w:p>
    <w:p w14:paraId="5F22F88A" w14:textId="77777777" w:rsidR="008645FA" w:rsidRPr="00A40196" w:rsidRDefault="008645FA" w:rsidP="004D75F5">
      <w:pPr>
        <w:pStyle w:val="ListParagraph"/>
        <w:numPr>
          <w:ilvl w:val="0"/>
          <w:numId w:val="12"/>
        </w:numPr>
        <w:spacing w:before="0" w:after="0"/>
        <w:jc w:val="left"/>
        <w:rPr>
          <w:rFonts w:cs="Arial"/>
          <w:lang w:val="en-AU"/>
        </w:rPr>
      </w:pPr>
      <w:r w:rsidRPr="00A40196">
        <w:rPr>
          <w:rFonts w:cs="Arial"/>
          <w:lang w:val="en-AU"/>
        </w:rPr>
        <w:t xml:space="preserve">Chlorophyll </w:t>
      </w:r>
      <w:r w:rsidRPr="00A40196">
        <w:rPr>
          <w:rFonts w:cs="Arial"/>
          <w:i/>
          <w:lang w:val="en-AU"/>
        </w:rPr>
        <w:t>a</w:t>
      </w:r>
      <w:r w:rsidRPr="00A40196">
        <w:rPr>
          <w:rFonts w:cs="Arial"/>
          <w:lang w:val="en-AU"/>
        </w:rPr>
        <w:t xml:space="preserve"> (Chl </w:t>
      </w:r>
      <w:r w:rsidRPr="00A40196">
        <w:rPr>
          <w:rFonts w:cs="Arial"/>
          <w:i/>
          <w:lang w:val="en-AU"/>
        </w:rPr>
        <w:t>a</w:t>
      </w:r>
      <w:r w:rsidRPr="00A40196">
        <w:rPr>
          <w:rFonts w:cs="Arial"/>
          <w:lang w:val="en-AU"/>
        </w:rPr>
        <w:t>) concentration in water samples;</w:t>
      </w:r>
    </w:p>
    <w:p w14:paraId="5F22F88B" w14:textId="77777777" w:rsidR="008645FA" w:rsidRPr="00A40196" w:rsidRDefault="008645FA" w:rsidP="004D75F5">
      <w:pPr>
        <w:pStyle w:val="ListParagraph"/>
        <w:numPr>
          <w:ilvl w:val="0"/>
          <w:numId w:val="12"/>
        </w:numPr>
        <w:spacing w:before="0" w:after="0"/>
        <w:jc w:val="left"/>
        <w:rPr>
          <w:rFonts w:cs="Arial"/>
          <w:lang w:val="en-AU"/>
        </w:rPr>
      </w:pPr>
      <w:r w:rsidRPr="00A40196">
        <w:rPr>
          <w:rFonts w:cs="Arial"/>
          <w:lang w:val="en-AU"/>
        </w:rPr>
        <w:t>Particulate nitrogen (PN) concentrations in water samples;</w:t>
      </w:r>
    </w:p>
    <w:p w14:paraId="5F22F88C" w14:textId="77777777" w:rsidR="008645FA" w:rsidRPr="00A40196" w:rsidRDefault="008645FA" w:rsidP="004D75F5">
      <w:pPr>
        <w:pStyle w:val="ListParagraph"/>
        <w:numPr>
          <w:ilvl w:val="0"/>
          <w:numId w:val="12"/>
        </w:numPr>
        <w:spacing w:before="0" w:after="0"/>
        <w:jc w:val="left"/>
        <w:rPr>
          <w:rFonts w:cs="Arial"/>
          <w:lang w:val="en-AU"/>
        </w:rPr>
      </w:pPr>
      <w:r w:rsidRPr="00A40196">
        <w:rPr>
          <w:rFonts w:cs="Arial"/>
          <w:lang w:val="en-AU"/>
        </w:rPr>
        <w:t>Particulate phosphorus (PP) concentrations in water samples.</w:t>
      </w:r>
    </w:p>
    <w:p w14:paraId="5F22F88D" w14:textId="77777777" w:rsidR="008645FA" w:rsidRPr="00A40196" w:rsidRDefault="008645FA" w:rsidP="004D75F5">
      <w:pPr>
        <w:pStyle w:val="ListParagraph"/>
        <w:numPr>
          <w:ilvl w:val="0"/>
          <w:numId w:val="12"/>
        </w:numPr>
        <w:spacing w:before="0" w:after="0"/>
        <w:jc w:val="left"/>
        <w:rPr>
          <w:rFonts w:cs="Arial"/>
          <w:lang w:val="en-AU"/>
        </w:rPr>
      </w:pPr>
      <w:r w:rsidRPr="00A40196">
        <w:rPr>
          <w:rFonts w:cs="Arial"/>
          <w:lang w:val="en-AU"/>
        </w:rPr>
        <w:t xml:space="preserve">Dissolved oxidised nitrogen (NOx) concentrations in water samples; for this variable only </w:t>
      </w:r>
      <w:r w:rsidRPr="00A40196">
        <w:rPr>
          <w:lang w:val="en-AU"/>
        </w:rPr>
        <w:t>Queensland guideline were available</w:t>
      </w:r>
    </w:p>
    <w:p w14:paraId="213D3F84" w14:textId="197F5B97" w:rsidR="00DA0F2E" w:rsidRDefault="008645FA" w:rsidP="00DA0F2E">
      <w:r w:rsidRPr="00A40196">
        <w:rPr>
          <w:lang w:val="en-AU"/>
        </w:rPr>
        <w:t xml:space="preserve">The six individual indicators are a subset of the comprehensive suite of water quality variables measured in the MMP inshore water quality program. They have been selected because Guideline trigger values (guideline, GBRMPA 2010) are available for these measures and they can be considered as relatively robust indicators, integrating a number of bio-physical processes. Total suspended solids, turbidity and Secchi depth are indicators for the clarity of the water, which is influenced by a number of oceanographic factors, such as wind, waves and tides as well as by total suspended solids carried into the coastal zone by rivers. Chlorophyll </w:t>
      </w:r>
      <w:r w:rsidRPr="00A40196">
        <w:rPr>
          <w:i/>
          <w:lang w:val="en-AU"/>
        </w:rPr>
        <w:t>a</w:t>
      </w:r>
      <w:r w:rsidRPr="00A40196">
        <w:rPr>
          <w:lang w:val="en-AU"/>
        </w:rPr>
        <w:t xml:space="preserve"> concentration is widely used as </w:t>
      </w:r>
      <w:r w:rsidR="004B0453">
        <w:rPr>
          <w:lang w:val="en-AU"/>
        </w:rPr>
        <w:t xml:space="preserve">a </w:t>
      </w:r>
      <w:r w:rsidRPr="00A40196">
        <w:rPr>
          <w:lang w:val="en-AU"/>
        </w:rPr>
        <w:t>prox</w:t>
      </w:r>
      <w:r w:rsidR="004B0453">
        <w:rPr>
          <w:lang w:val="en-AU"/>
        </w:rPr>
        <w:t>y</w:t>
      </w:r>
      <w:r w:rsidRPr="00A40196">
        <w:rPr>
          <w:lang w:val="en-AU"/>
        </w:rPr>
        <w:t xml:space="preserve"> for phytoplankton biomass as a measure of the productivity of a system or its eutrophication status and is </w:t>
      </w:r>
      <w:r w:rsidR="004B0453">
        <w:rPr>
          <w:lang w:val="en-AU"/>
        </w:rPr>
        <w:t>used</w:t>
      </w:r>
      <w:r w:rsidR="004B0453" w:rsidRPr="00A40196">
        <w:rPr>
          <w:lang w:val="en-AU"/>
        </w:rPr>
        <w:t xml:space="preserve"> </w:t>
      </w:r>
      <w:r w:rsidRPr="00A40196">
        <w:rPr>
          <w:lang w:val="en-AU"/>
        </w:rPr>
        <w:t xml:space="preserve">to indicate nutrient availability (Brodie </w:t>
      </w:r>
      <w:r w:rsidRPr="00C83BA4">
        <w:rPr>
          <w:lang w:val="en-AU"/>
        </w:rPr>
        <w:t>et al.</w:t>
      </w:r>
      <w:r w:rsidR="00C83BA4">
        <w:rPr>
          <w:lang w:val="en-AU"/>
        </w:rPr>
        <w:t>,</w:t>
      </w:r>
      <w:r w:rsidRPr="00A40196">
        <w:rPr>
          <w:lang w:val="en-AU"/>
        </w:rPr>
        <w:t xml:space="preserve"> 2007). Particulate nutrients (PN, PP) are a useful indicator for nutrient stocks in the water column (predominantly bound in phytoplankton and detritus as well as adsorbed to fine sediment particles) but are less affected by small-scale variability in space and time than dissolved nutrients (Furnas </w:t>
      </w:r>
      <w:r w:rsidR="00C83BA4" w:rsidRPr="00C83BA4">
        <w:rPr>
          <w:lang w:val="en-AU"/>
        </w:rPr>
        <w:t>et al.</w:t>
      </w:r>
      <w:r w:rsidR="00C83BA4">
        <w:rPr>
          <w:lang w:val="en-AU"/>
        </w:rPr>
        <w:t>,</w:t>
      </w:r>
      <w:r w:rsidR="00C83BA4" w:rsidRPr="00A40196">
        <w:rPr>
          <w:lang w:val="en-AU"/>
        </w:rPr>
        <w:t xml:space="preserve"> </w:t>
      </w:r>
      <w:r w:rsidRPr="00A40196">
        <w:rPr>
          <w:lang w:val="en-AU"/>
        </w:rPr>
        <w:t>2005, 2011). In this year’s report we have included NO</w:t>
      </w:r>
      <w:r w:rsidRPr="00A40196">
        <w:rPr>
          <w:vertAlign w:val="subscript"/>
          <w:lang w:val="en-AU"/>
        </w:rPr>
        <w:t>x</w:t>
      </w:r>
      <w:r w:rsidRPr="00A40196">
        <w:rPr>
          <w:lang w:val="en-AU"/>
        </w:rPr>
        <w:t xml:space="preserve"> in our index calculation </w:t>
      </w:r>
      <w:r w:rsidR="004B0453">
        <w:rPr>
          <w:lang w:val="en-AU"/>
        </w:rPr>
        <w:t>even though</w:t>
      </w:r>
      <w:r w:rsidRPr="00A40196">
        <w:rPr>
          <w:lang w:val="en-AU"/>
        </w:rPr>
        <w:t xml:space="preserve"> only Queensland guideline are available. The Queensland guideline values </w:t>
      </w:r>
      <w:r w:rsidR="00DA0F2E">
        <w:rPr>
          <w:lang w:val="en-AU"/>
        </w:rPr>
        <w:t xml:space="preserve">used here are the </w:t>
      </w:r>
      <w:r w:rsidR="00DA0F2E">
        <w:t>80</w:t>
      </w:r>
      <w:r w:rsidR="00DA0F2E" w:rsidRPr="00C342DD">
        <w:rPr>
          <w:vertAlign w:val="superscript"/>
        </w:rPr>
        <w:t>th</w:t>
      </w:r>
      <w:r w:rsidR="00DA0F2E">
        <w:t xml:space="preserve"> percentiles</w:t>
      </w:r>
      <w:r w:rsidR="00DA0F2E">
        <w:rPr>
          <w:lang w:val="en-AU"/>
        </w:rPr>
        <w:t xml:space="preserve"> which</w:t>
      </w:r>
      <w:r w:rsidRPr="00A40196">
        <w:rPr>
          <w:lang w:val="en-AU"/>
        </w:rPr>
        <w:t xml:space="preserve"> are considered to be high compared to the values normally found in the GBR lagoon hence, a score based on the compliance with the Queensland guideline does not properly reflect the significant changes that we have observed in the NO</w:t>
      </w:r>
      <w:r w:rsidRPr="00A40196">
        <w:rPr>
          <w:vertAlign w:val="subscript"/>
          <w:lang w:val="en-AU"/>
        </w:rPr>
        <w:t>x</w:t>
      </w:r>
      <w:r w:rsidRPr="00A40196">
        <w:rPr>
          <w:lang w:val="en-AU"/>
        </w:rPr>
        <w:t xml:space="preserve"> concentrations over the course of the monitoring program. Despite these significant limitations we believe it to be more valuable to include these measurements than not at all considering the</w:t>
      </w:r>
      <w:r w:rsidRPr="00A40196">
        <w:rPr>
          <w:color w:val="000000" w:themeColor="text1"/>
          <w:lang w:val="en-AU"/>
        </w:rPr>
        <w:t xml:space="preserve"> increased </w:t>
      </w:r>
      <w:r w:rsidRPr="00A40196">
        <w:rPr>
          <w:lang w:val="en-AU"/>
        </w:rPr>
        <w:t>NO</w:t>
      </w:r>
      <w:r w:rsidRPr="00A40196">
        <w:rPr>
          <w:vertAlign w:val="subscript"/>
          <w:lang w:val="en-AU"/>
        </w:rPr>
        <w:t>x</w:t>
      </w:r>
      <w:r w:rsidRPr="00A40196">
        <w:rPr>
          <w:color w:val="000000" w:themeColor="text1"/>
          <w:lang w:val="en-AU"/>
        </w:rPr>
        <w:t xml:space="preserve"> concentrations.</w:t>
      </w:r>
      <w:r w:rsidRPr="00A40196">
        <w:rPr>
          <w:lang w:val="en-AU"/>
        </w:rPr>
        <w:t xml:space="preserve"> But it has to be </w:t>
      </w:r>
      <w:r w:rsidRPr="00A40196">
        <w:rPr>
          <w:color w:val="000000" w:themeColor="text1"/>
          <w:lang w:val="en-AU"/>
        </w:rPr>
        <w:t xml:space="preserve">emphasised that it is pivotal for the reliability of the index to establish </w:t>
      </w:r>
      <w:r w:rsidRPr="00A40196">
        <w:rPr>
          <w:lang w:val="en-AU"/>
        </w:rPr>
        <w:t>GBRMPA guideline for NO</w:t>
      </w:r>
      <w:r w:rsidRPr="00A40196">
        <w:rPr>
          <w:vertAlign w:val="subscript"/>
          <w:lang w:val="en-AU"/>
        </w:rPr>
        <w:t>x</w:t>
      </w:r>
      <w:r w:rsidRPr="00A40196">
        <w:rPr>
          <w:color w:val="000000" w:themeColor="text1"/>
          <w:lang w:val="en-AU"/>
        </w:rPr>
        <w:t xml:space="preserve"> (amongst others) </w:t>
      </w:r>
      <w:r w:rsidRPr="00A40196">
        <w:rPr>
          <w:lang w:val="en-AU"/>
        </w:rPr>
        <w:t>specifically developed for coral reefs.</w:t>
      </w:r>
      <w:r w:rsidR="00DA0F2E" w:rsidRPr="00DA0F2E">
        <w:t xml:space="preserve"> </w:t>
      </w:r>
      <w:r w:rsidR="00DA0F2E">
        <w:t xml:space="preserve">The current index has obvious limitations, and a future version could therefore potentially apply a shorter average steps (e.g. two instead of four-year running means) and include other potential useful variables such as total nitrogen and phosphorus. </w:t>
      </w:r>
    </w:p>
    <w:p w14:paraId="5F22F88F" w14:textId="77777777" w:rsidR="008645FA" w:rsidRPr="00A40196" w:rsidRDefault="008645FA" w:rsidP="008645FA">
      <w:pPr>
        <w:rPr>
          <w:lang w:val="en-AU"/>
        </w:rPr>
      </w:pPr>
    </w:p>
    <w:p w14:paraId="5F22F890" w14:textId="77777777" w:rsidR="008645FA" w:rsidRPr="009F7086" w:rsidRDefault="008645FA" w:rsidP="008645FA">
      <w:pPr>
        <w:rPr>
          <w:b/>
          <w:i/>
          <w:lang w:val="en-AU"/>
        </w:rPr>
      </w:pPr>
      <w:r w:rsidRPr="009F7086">
        <w:rPr>
          <w:b/>
          <w:i/>
          <w:lang w:val="en-AU"/>
        </w:rPr>
        <w:t>Steps in the calculation of the index:</w:t>
      </w:r>
    </w:p>
    <w:p w14:paraId="5F22F891" w14:textId="77777777" w:rsidR="008645FA" w:rsidRPr="00A40196" w:rsidRDefault="008645FA" w:rsidP="004B0453">
      <w:pPr>
        <w:pStyle w:val="ListParagraph"/>
        <w:numPr>
          <w:ilvl w:val="0"/>
          <w:numId w:val="16"/>
        </w:numPr>
        <w:spacing w:before="0" w:after="0"/>
        <w:ind w:left="851" w:hanging="283"/>
        <w:jc w:val="left"/>
        <w:rPr>
          <w:lang w:val="en-AU"/>
        </w:rPr>
      </w:pPr>
      <w:r w:rsidRPr="00A40196">
        <w:rPr>
          <w:lang w:val="en-AU"/>
        </w:rPr>
        <w:t>Calculate four</w:t>
      </w:r>
      <w:r w:rsidRPr="00A40196">
        <w:rPr>
          <w:rFonts w:cs="Arial"/>
          <w:lang w:val="en-AU"/>
        </w:rPr>
        <w:t xml:space="preserve"> mean values for each of the six indicators (i.e. all values from 2005-08, 2006-09, 2007-10, 2008-11, 2009-12, 2010-13 and 2011-14 respectively).</w:t>
      </w:r>
    </w:p>
    <w:p w14:paraId="5F22F892" w14:textId="77777777" w:rsidR="008645FA" w:rsidRPr="00A40196" w:rsidRDefault="008645FA" w:rsidP="004B0453">
      <w:pPr>
        <w:pStyle w:val="ListParagraph"/>
        <w:numPr>
          <w:ilvl w:val="0"/>
          <w:numId w:val="16"/>
        </w:numPr>
        <w:spacing w:before="0" w:after="0"/>
        <w:ind w:left="851" w:hanging="283"/>
        <w:jc w:val="left"/>
        <w:rPr>
          <w:lang w:val="en-AU"/>
        </w:rPr>
      </w:pPr>
      <w:r w:rsidRPr="00A40196">
        <w:rPr>
          <w:rFonts w:cs="Arial"/>
          <w:lang w:val="en-AU"/>
        </w:rPr>
        <w:t xml:space="preserve">Calculate the proportional deviations (ratios) of these running mean values (V) from the associated </w:t>
      </w:r>
      <w:r w:rsidRPr="00A40196">
        <w:rPr>
          <w:lang w:val="en-AU"/>
        </w:rPr>
        <w:t>guideline</w:t>
      </w:r>
      <w:r w:rsidRPr="00A40196">
        <w:rPr>
          <w:rFonts w:cs="Arial"/>
          <w:lang w:val="en-AU"/>
        </w:rPr>
        <w:t xml:space="preserve"> as the difference of binary logarithms (log_2 n) of values and guidelines:</w:t>
      </w:r>
      <w:r w:rsidRPr="00A40196">
        <w:rPr>
          <w:rFonts w:cs="Arial"/>
          <w:lang w:val="en-AU"/>
        </w:rPr>
        <w:br/>
        <w:t>Ratio = log_2V - log_2</w:t>
      </w:r>
      <w:r w:rsidRPr="00A40196">
        <w:rPr>
          <w:lang w:val="en-AU"/>
        </w:rPr>
        <w:t xml:space="preserve"> guideline</w:t>
      </w:r>
    </w:p>
    <w:p w14:paraId="5F22F893" w14:textId="77777777" w:rsidR="008645FA" w:rsidRPr="00A40196" w:rsidRDefault="008645FA" w:rsidP="004A5BF7">
      <w:pPr>
        <w:pStyle w:val="ListParagraph"/>
        <w:ind w:left="851"/>
        <w:rPr>
          <w:rFonts w:cs="Arial"/>
          <w:lang w:val="en-AU"/>
        </w:rPr>
      </w:pPr>
      <w:r w:rsidRPr="00A40196">
        <w:rPr>
          <w:rFonts w:cs="Arial"/>
          <w:lang w:val="en-AU"/>
        </w:rPr>
        <w:t xml:space="preserve">Binary logarithm transformations are useful for exploring data on powers of 2 scales and thus are ideal for generating ratios of two numbers in a manner that will be symmetrical around 0.  Ratios of 1 and -1, respectively, signify a doubling and a halving compared to the </w:t>
      </w:r>
      <w:r w:rsidRPr="00A40196">
        <w:rPr>
          <w:lang w:val="en-AU"/>
        </w:rPr>
        <w:t>guideline</w:t>
      </w:r>
      <w:r w:rsidRPr="00A40196">
        <w:rPr>
          <w:rFonts w:cs="Arial"/>
          <w:lang w:val="en-AU"/>
        </w:rPr>
        <w:t xml:space="preserve">. Hence, a ratio of 0 indicates a running mean that is the same as its guideline, ratios &lt; 0 signify running means that exceeded the </w:t>
      </w:r>
      <w:r w:rsidRPr="00A40196">
        <w:rPr>
          <w:lang w:val="en-AU"/>
        </w:rPr>
        <w:t>guideline</w:t>
      </w:r>
      <w:r w:rsidRPr="00A40196">
        <w:rPr>
          <w:rFonts w:cs="Arial"/>
          <w:lang w:val="en-AU"/>
        </w:rPr>
        <w:t xml:space="preserve"> and ratios &gt;0 means that complied with the </w:t>
      </w:r>
      <w:r w:rsidRPr="00A40196">
        <w:rPr>
          <w:lang w:val="en-AU"/>
        </w:rPr>
        <w:t>guideline</w:t>
      </w:r>
      <w:r w:rsidRPr="00A40196">
        <w:rPr>
          <w:rFonts w:cs="Arial"/>
          <w:lang w:val="en-AU"/>
        </w:rPr>
        <w:t>.</w:t>
      </w:r>
    </w:p>
    <w:p w14:paraId="5F22F894" w14:textId="77777777" w:rsidR="008645FA" w:rsidRPr="00A40196" w:rsidRDefault="008645FA" w:rsidP="004B0453">
      <w:pPr>
        <w:pStyle w:val="ListParagraph"/>
        <w:numPr>
          <w:ilvl w:val="0"/>
          <w:numId w:val="16"/>
        </w:numPr>
        <w:spacing w:before="0" w:after="0"/>
        <w:ind w:left="851" w:hanging="283"/>
        <w:jc w:val="left"/>
        <w:rPr>
          <w:rFonts w:cs="Arial"/>
          <w:lang w:val="en-AU"/>
        </w:rPr>
      </w:pPr>
      <w:r w:rsidRPr="00A40196">
        <w:rPr>
          <w:rFonts w:cs="Arial"/>
          <w:lang w:val="en-AU"/>
        </w:rPr>
        <w:t xml:space="preserve">Ratios exceeding 1 or -1 (more than twice or half the </w:t>
      </w:r>
      <w:r w:rsidRPr="00A40196">
        <w:rPr>
          <w:lang w:val="en-AU"/>
        </w:rPr>
        <w:t>guideline</w:t>
      </w:r>
      <w:r w:rsidRPr="00A40196">
        <w:rPr>
          <w:rFonts w:cs="Arial"/>
          <w:lang w:val="en-AU"/>
        </w:rPr>
        <w:t>) were capped at 1 to bind the water quality index scales to the region -1 to 1.</w:t>
      </w:r>
    </w:p>
    <w:p w14:paraId="5F22F895" w14:textId="77777777" w:rsidR="008645FA" w:rsidRPr="00A40196" w:rsidRDefault="008645FA" w:rsidP="004B0453">
      <w:pPr>
        <w:pStyle w:val="ListParagraph"/>
        <w:numPr>
          <w:ilvl w:val="0"/>
          <w:numId w:val="16"/>
        </w:numPr>
        <w:spacing w:before="0" w:after="0"/>
        <w:ind w:left="851" w:hanging="283"/>
        <w:jc w:val="left"/>
        <w:rPr>
          <w:rFonts w:cs="Arial"/>
          <w:lang w:val="en-AU"/>
        </w:rPr>
      </w:pPr>
      <w:r w:rsidRPr="00A40196">
        <w:rPr>
          <w:rFonts w:cs="Arial"/>
          <w:lang w:val="en-AU"/>
        </w:rPr>
        <w:t>A combined turbidity ratio was generated by averaging the ratios of Secchi, SS and turbidity (where available).</w:t>
      </w:r>
    </w:p>
    <w:p w14:paraId="5F22F896" w14:textId="77777777" w:rsidR="008645FA" w:rsidRPr="00A40196" w:rsidRDefault="008645FA" w:rsidP="004B0453">
      <w:pPr>
        <w:pStyle w:val="ListParagraph"/>
        <w:numPr>
          <w:ilvl w:val="0"/>
          <w:numId w:val="16"/>
        </w:numPr>
        <w:spacing w:before="0" w:after="0"/>
        <w:ind w:left="851" w:hanging="283"/>
        <w:jc w:val="left"/>
        <w:rPr>
          <w:rFonts w:cs="Arial"/>
          <w:lang w:val="en-AU"/>
        </w:rPr>
      </w:pPr>
      <w:r w:rsidRPr="00A40196">
        <w:rPr>
          <w:rFonts w:cs="Arial"/>
          <w:lang w:val="en-AU"/>
        </w:rPr>
        <w:t>The water quality index for each site per four year period was calculated by averaging the ratios of PP, PN, NOx, Chl</w:t>
      </w:r>
      <w:r w:rsidRPr="00A40196">
        <w:rPr>
          <w:rFonts w:cs="Arial"/>
          <w:i/>
          <w:lang w:val="en-AU"/>
        </w:rPr>
        <w:t>a</w:t>
      </w:r>
      <w:r w:rsidRPr="00A40196">
        <w:rPr>
          <w:rFonts w:cs="Arial"/>
          <w:lang w:val="en-AU"/>
        </w:rPr>
        <w:t xml:space="preserve"> and the combined turbidity ratio.</w:t>
      </w:r>
    </w:p>
    <w:p w14:paraId="5F22F897" w14:textId="77777777" w:rsidR="008645FA" w:rsidRPr="00A40196" w:rsidRDefault="008645FA" w:rsidP="004B0453">
      <w:pPr>
        <w:pStyle w:val="ListParagraph"/>
        <w:numPr>
          <w:ilvl w:val="0"/>
          <w:numId w:val="16"/>
        </w:numPr>
        <w:spacing w:before="0" w:after="0"/>
        <w:ind w:left="851" w:hanging="283"/>
        <w:jc w:val="left"/>
        <w:rPr>
          <w:rFonts w:cs="Arial"/>
          <w:lang w:val="en-AU"/>
        </w:rPr>
      </w:pPr>
      <w:r w:rsidRPr="00A40196">
        <w:rPr>
          <w:rFonts w:cs="Arial"/>
          <w:lang w:val="en-AU"/>
        </w:rPr>
        <w:t>In accordance with other GBR Report Card indicators (see Anon. 2011), the water quality index scores (ranging from -1 to 1) were converted to a “traffic light” colour scheme for reporting whereby:</w:t>
      </w:r>
    </w:p>
    <w:p w14:paraId="5F22F898" w14:textId="77777777" w:rsidR="008645FA" w:rsidRPr="00A40196" w:rsidRDefault="008645FA" w:rsidP="004D75F5">
      <w:pPr>
        <w:pStyle w:val="ListParagraph"/>
        <w:numPr>
          <w:ilvl w:val="1"/>
          <w:numId w:val="13"/>
        </w:numPr>
        <w:spacing w:before="0" w:after="0"/>
        <w:jc w:val="left"/>
        <w:rPr>
          <w:rFonts w:cs="Arial"/>
          <w:lang w:val="en-AU"/>
        </w:rPr>
      </w:pPr>
      <w:r w:rsidRPr="00A40196">
        <w:rPr>
          <w:rFonts w:cs="Arial"/>
          <w:lang w:val="en-AU"/>
        </w:rPr>
        <w:t>&lt;-0.66 to -1 equates to “very poor” and is coloured red</w:t>
      </w:r>
    </w:p>
    <w:p w14:paraId="5F22F899" w14:textId="77777777" w:rsidR="008645FA" w:rsidRPr="00A40196" w:rsidRDefault="008645FA" w:rsidP="004D75F5">
      <w:pPr>
        <w:pStyle w:val="ListParagraph"/>
        <w:numPr>
          <w:ilvl w:val="1"/>
          <w:numId w:val="13"/>
        </w:numPr>
        <w:spacing w:before="0" w:after="0"/>
        <w:jc w:val="left"/>
        <w:rPr>
          <w:rFonts w:cs="Arial"/>
          <w:lang w:val="en-AU"/>
        </w:rPr>
      </w:pPr>
      <w:r w:rsidRPr="00A40196">
        <w:rPr>
          <w:rFonts w:cs="Arial"/>
          <w:lang w:val="en-AU"/>
        </w:rPr>
        <w:t>&lt; -0.33to -0.66 equates to “poor” and is coloured orange</w:t>
      </w:r>
    </w:p>
    <w:p w14:paraId="5F22F89A" w14:textId="77777777" w:rsidR="008645FA" w:rsidRPr="00A40196" w:rsidRDefault="008645FA" w:rsidP="004D75F5">
      <w:pPr>
        <w:pStyle w:val="ListParagraph"/>
        <w:numPr>
          <w:ilvl w:val="1"/>
          <w:numId w:val="13"/>
        </w:numPr>
        <w:spacing w:before="0" w:after="0"/>
        <w:jc w:val="left"/>
        <w:rPr>
          <w:rFonts w:cs="Arial"/>
          <w:lang w:val="en-AU"/>
        </w:rPr>
      </w:pPr>
      <w:r w:rsidRPr="00A40196">
        <w:rPr>
          <w:rFonts w:cs="Arial"/>
          <w:lang w:val="en-AU"/>
        </w:rPr>
        <w:t>&lt; 0 to -0.33 equates to “moderate” and is coloured yellow</w:t>
      </w:r>
    </w:p>
    <w:p w14:paraId="5F22F89B" w14:textId="77777777" w:rsidR="008645FA" w:rsidRPr="00A40196" w:rsidRDefault="008645FA" w:rsidP="004D75F5">
      <w:pPr>
        <w:pStyle w:val="ListParagraph"/>
        <w:numPr>
          <w:ilvl w:val="1"/>
          <w:numId w:val="13"/>
        </w:numPr>
        <w:spacing w:before="0" w:after="0"/>
        <w:jc w:val="left"/>
        <w:rPr>
          <w:rFonts w:cs="Arial"/>
          <w:lang w:val="en-AU"/>
        </w:rPr>
      </w:pPr>
      <w:r w:rsidRPr="00A40196">
        <w:rPr>
          <w:rFonts w:cs="Arial"/>
          <w:lang w:val="en-AU"/>
        </w:rPr>
        <w:t>&gt;0 to 0.5 equates to “good”, and is coloured light green</w:t>
      </w:r>
    </w:p>
    <w:p w14:paraId="5F22F89C" w14:textId="77777777" w:rsidR="008645FA" w:rsidRPr="00A40196" w:rsidRDefault="008645FA" w:rsidP="004D75F5">
      <w:pPr>
        <w:pStyle w:val="ListParagraph"/>
        <w:numPr>
          <w:ilvl w:val="1"/>
          <w:numId w:val="13"/>
        </w:numPr>
        <w:spacing w:before="0" w:after="0"/>
        <w:jc w:val="left"/>
        <w:rPr>
          <w:rFonts w:cs="Arial"/>
          <w:lang w:val="en-AU"/>
        </w:rPr>
      </w:pPr>
      <w:r w:rsidRPr="00A40196">
        <w:rPr>
          <w:rFonts w:cs="Arial"/>
          <w:lang w:val="en-AU"/>
        </w:rPr>
        <w:t>&gt;0.5 to 1 equates to “very good” and is coloured dark green.</w:t>
      </w:r>
    </w:p>
    <w:p w14:paraId="5F22F89D" w14:textId="77777777" w:rsidR="008645FA" w:rsidRPr="009F7086" w:rsidRDefault="008645FA" w:rsidP="004A5BF7">
      <w:pPr>
        <w:pStyle w:val="ListParagraph"/>
        <w:numPr>
          <w:ilvl w:val="0"/>
          <w:numId w:val="16"/>
        </w:numPr>
        <w:spacing w:before="0" w:after="0"/>
        <w:ind w:left="851" w:hanging="283"/>
        <w:jc w:val="left"/>
        <w:rPr>
          <w:rFonts w:cs="Arial"/>
          <w:lang w:val="en-AU"/>
        </w:rPr>
      </w:pPr>
      <w:r w:rsidRPr="00A40196">
        <w:rPr>
          <w:rFonts w:cs="Arial"/>
          <w:lang w:val="en-AU"/>
        </w:rPr>
        <w:t>For the regional or sub-regional summaries, the index scores of all sampling locations within a (sub-)region were averaged and converted into the colour scheme as above.</w:t>
      </w:r>
    </w:p>
    <w:p w14:paraId="5F22F89E" w14:textId="77777777" w:rsidR="008645FA" w:rsidRDefault="008645FA" w:rsidP="008645FA">
      <w:pPr>
        <w:rPr>
          <w:lang w:val="en-AU"/>
        </w:rPr>
      </w:pPr>
      <w:r w:rsidRPr="00A40196">
        <w:rPr>
          <w:lang w:val="en-AU"/>
        </w:rPr>
        <w:t>The aggregated scores for each region or sub-region are in the main report, while site-specific indices for all years are in Appendix 2 (Table A2-</w:t>
      </w:r>
      <w:r w:rsidR="00C83BA4">
        <w:rPr>
          <w:lang w:val="en-AU"/>
        </w:rPr>
        <w:t>16</w:t>
      </w:r>
      <w:r w:rsidRPr="00A40196">
        <w:rPr>
          <w:lang w:val="en-AU"/>
        </w:rPr>
        <w:t>).</w:t>
      </w:r>
    </w:p>
    <w:p w14:paraId="5F22F89F" w14:textId="77777777" w:rsidR="005B29BE" w:rsidRDefault="005B29BE" w:rsidP="008645FA">
      <w:pPr>
        <w:rPr>
          <w:lang w:val="en-AU"/>
        </w:rPr>
      </w:pPr>
    </w:p>
    <w:p w14:paraId="5F22F8A0" w14:textId="77777777" w:rsidR="00D33068" w:rsidRPr="009F7086" w:rsidRDefault="00D33068" w:rsidP="00C85410">
      <w:pPr>
        <w:pStyle w:val="Heading7"/>
      </w:pPr>
      <w:bookmarkStart w:id="1529" w:name="_Ref452293679"/>
      <w:r w:rsidRPr="009F7086">
        <w:t>Validation an</w:t>
      </w:r>
      <w:r w:rsidR="005B29BE" w:rsidRPr="00C27BEB">
        <w:t>d</w:t>
      </w:r>
      <w:r w:rsidRPr="009F7086">
        <w:t xml:space="preserve"> analysis of wet season water quality and exposure maps</w:t>
      </w:r>
      <w:bookmarkEnd w:id="1529"/>
    </w:p>
    <w:p w14:paraId="66D03B7B" w14:textId="2A94F0DD" w:rsidR="00D44E55" w:rsidRDefault="00307B2F">
      <w:pPr>
        <w:rPr>
          <w:lang w:val="en-AU"/>
        </w:rPr>
      </w:pPr>
      <w:r>
        <w:rPr>
          <w:szCs w:val="22"/>
          <w:lang w:val="en-AU"/>
        </w:rPr>
        <w:t>Two</w:t>
      </w:r>
      <w:r w:rsidRPr="00A145B6">
        <w:rPr>
          <w:szCs w:val="22"/>
          <w:lang w:val="en-AU"/>
        </w:rPr>
        <w:t xml:space="preserve"> </w:t>
      </w:r>
      <w:r w:rsidR="00D33068" w:rsidRPr="00A145B6">
        <w:rPr>
          <w:szCs w:val="22"/>
          <w:lang w:val="en-AU"/>
        </w:rPr>
        <w:t xml:space="preserve">strategies were adopted to analyse the sampled wet season data, </w:t>
      </w:r>
      <w:r>
        <w:rPr>
          <w:szCs w:val="22"/>
          <w:lang w:val="en-AU"/>
        </w:rPr>
        <w:t>one</w:t>
      </w:r>
      <w:r w:rsidRPr="00A145B6">
        <w:rPr>
          <w:szCs w:val="22"/>
          <w:lang w:val="en-AU"/>
        </w:rPr>
        <w:t xml:space="preserve"> </w:t>
      </w:r>
      <w:r w:rsidR="00D33068" w:rsidRPr="00A145B6">
        <w:rPr>
          <w:szCs w:val="22"/>
          <w:lang w:val="en-AU"/>
        </w:rPr>
        <w:t xml:space="preserve">focused on the spatial variability and </w:t>
      </w:r>
      <w:r>
        <w:rPr>
          <w:szCs w:val="22"/>
          <w:lang w:val="en-AU"/>
        </w:rPr>
        <w:t>the other</w:t>
      </w:r>
      <w:r w:rsidRPr="00A145B6">
        <w:rPr>
          <w:szCs w:val="22"/>
          <w:lang w:val="en-AU"/>
        </w:rPr>
        <w:t xml:space="preserve"> </w:t>
      </w:r>
      <w:r w:rsidR="00D33068" w:rsidRPr="00A145B6">
        <w:rPr>
          <w:szCs w:val="22"/>
          <w:lang w:val="en-AU"/>
        </w:rPr>
        <w:t xml:space="preserve">focused on the understanding of the </w:t>
      </w:r>
      <w:r>
        <w:rPr>
          <w:szCs w:val="22"/>
          <w:lang w:val="en-AU"/>
        </w:rPr>
        <w:t xml:space="preserve">influence of discharge and wind on the </w:t>
      </w:r>
      <w:r w:rsidR="009511E1">
        <w:rPr>
          <w:szCs w:val="22"/>
          <w:lang w:val="en-AU"/>
        </w:rPr>
        <w:t>ewater quality</w:t>
      </w:r>
      <w:r>
        <w:rPr>
          <w:szCs w:val="22"/>
          <w:lang w:val="en-AU"/>
        </w:rPr>
        <w:t xml:space="preserve"> parameters when data from 2006 to 2015 wet seasons were combined.</w:t>
      </w:r>
      <w:r w:rsidR="00D33068" w:rsidRPr="00A145B6">
        <w:rPr>
          <w:szCs w:val="22"/>
          <w:lang w:val="en-AU"/>
        </w:rPr>
        <w:t xml:space="preserve">. Firstly, mixing plots were produced for each WQ parameter grouped by sampling events. Secondly, a correlation table was produced comparing each water quality parameter, grouped by river, against two supporting parameters (i.e., </w:t>
      </w:r>
      <w:r>
        <w:rPr>
          <w:szCs w:val="22"/>
          <w:lang w:val="en-AU"/>
        </w:rPr>
        <w:t>wind</w:t>
      </w:r>
      <w:r w:rsidRPr="00A145B6">
        <w:rPr>
          <w:szCs w:val="22"/>
          <w:lang w:val="en-AU"/>
        </w:rPr>
        <w:t xml:space="preserve"> </w:t>
      </w:r>
      <w:r w:rsidR="00D33068" w:rsidRPr="00A145B6">
        <w:rPr>
          <w:szCs w:val="22"/>
          <w:lang w:val="en-AU"/>
        </w:rPr>
        <w:t xml:space="preserve">and river discharge). </w:t>
      </w:r>
      <w:r>
        <w:rPr>
          <w:szCs w:val="22"/>
          <w:lang w:val="en-AU"/>
        </w:rPr>
        <w:t xml:space="preserve">Chlorophyll-a was also included in this comparison due its importance as a WQ metric for the GBR. </w:t>
      </w:r>
      <w:r w:rsidR="00D33068" w:rsidRPr="00A145B6">
        <w:rPr>
          <w:szCs w:val="22"/>
          <w:lang w:val="en-AU"/>
        </w:rPr>
        <w:t>Correlations were calculated using the Spearman's rank correlation coefficient because the majority of the variables did not present normal distribution.</w:t>
      </w:r>
      <w:r w:rsidR="00D44E55">
        <w:rPr>
          <w:szCs w:val="22"/>
          <w:lang w:val="en-AU"/>
        </w:rPr>
        <w:t xml:space="preserve"> The number of sampled sites and their location has varied over the sampled years, so aimed at reducing the data variability in the Spearman analysis WQ parameters were averaged by sampling day-transect. </w:t>
      </w:r>
    </w:p>
    <w:p w14:paraId="1ECB01CD" w14:textId="4DB7CD11" w:rsidR="00D44E55" w:rsidRDefault="00D44E55">
      <w:pPr>
        <w:rPr>
          <w:lang w:val="en-AU"/>
        </w:rPr>
      </w:pPr>
      <w:r>
        <w:rPr>
          <w:lang w:val="en-AU"/>
        </w:rPr>
        <w:t>The analysis of the WQ paramet</w:t>
      </w:r>
      <w:r w:rsidR="00BF4890">
        <w:rPr>
          <w:lang w:val="en-AU"/>
        </w:rPr>
        <w:t>e</w:t>
      </w:r>
      <w:r>
        <w:rPr>
          <w:lang w:val="en-AU"/>
        </w:rPr>
        <w:t>rs sampled in flood plume waters are quite descriptive, and its main objective is to characterize the plume maps, i.e., to provide the range of the WQ parameters expected for each plume water type (either the six colour classes maps or for the Primary, Secondary and Tertiary plume types). Once this characteri</w:t>
      </w:r>
      <w:r w:rsidR="009511E1">
        <w:rPr>
          <w:lang w:val="en-AU"/>
        </w:rPr>
        <w:t>s</w:t>
      </w:r>
      <w:r>
        <w:rPr>
          <w:lang w:val="en-AU"/>
        </w:rPr>
        <w:t>ation is complete, the plume</w:t>
      </w:r>
      <w:r w:rsidR="009511E1">
        <w:rPr>
          <w:lang w:val="en-AU"/>
        </w:rPr>
        <w:t xml:space="preserve"> </w:t>
      </w:r>
      <w:r>
        <w:rPr>
          <w:lang w:val="en-AU"/>
        </w:rPr>
        <w:t>maps can be used to estimate transport of land-based contaminates (see, e.g., section 4.8 in this report) and also for the risk maps (see</w:t>
      </w:r>
      <w:r w:rsidR="009511E1">
        <w:rPr>
          <w:lang w:val="en-AU"/>
        </w:rPr>
        <w:t xml:space="preserve"> for example</w:t>
      </w:r>
      <w:r>
        <w:rPr>
          <w:lang w:val="en-AU"/>
        </w:rPr>
        <w:t xml:space="preserve"> section 5.3.3 in this report). The plume maps characterization is attained by data extraction, when match-ups between sampled date and the corresponding weekly plume map are performed at site location basis. </w:t>
      </w:r>
      <w:r w:rsidRPr="00961331">
        <w:rPr>
          <w:rFonts w:cs="Arial"/>
        </w:rPr>
        <w:t xml:space="preserve">Match-ups </w:t>
      </w:r>
      <w:r>
        <w:rPr>
          <w:rFonts w:cs="Arial"/>
        </w:rPr>
        <w:t>were</w:t>
      </w:r>
      <w:r w:rsidRPr="00961331">
        <w:rPr>
          <w:rFonts w:cs="Arial"/>
        </w:rPr>
        <w:t xml:space="preserve"> performed using </w:t>
      </w:r>
      <w:r w:rsidRPr="00961331">
        <w:rPr>
          <w:rFonts w:cs="Arial"/>
          <w:i/>
        </w:rPr>
        <w:t>extract</w:t>
      </w:r>
      <w:r w:rsidRPr="00961331">
        <w:rPr>
          <w:rFonts w:cs="Arial"/>
        </w:rPr>
        <w:t xml:space="preserve"> in the raster package </w:t>
      </w:r>
      <w:r w:rsidRPr="00961331">
        <w:rPr>
          <w:rFonts w:cs="Arial"/>
        </w:rPr>
        <w:fldChar w:fldCharType="begin"/>
      </w:r>
      <w:r w:rsidRPr="00961331">
        <w:rPr>
          <w:rFonts w:cs="Arial"/>
        </w:rPr>
        <w:instrText xml:space="preserve"> ADDIN ZOTERO_ITEM CSL_CITATION {"citationID":"jhjkun8a3","properties":{"formattedCitation":"(Hijmans et al., 2015)","plainCitation":"(Hijmans et al., 2015)"},"citationItems":[{"id":32,"uris":["http://zotero.org/users/2324349/items/NHNDRKGI"],"uri":["http://zotero.org/users/2324349/items/NHNDRKGI"],"itemData":{"id":32,"type":"book","title":"raster: Geographic Data Analysis and Modeling","version":"2.3-40","source":"R-Packages","abstract":"Reading, writing, manipulating, analyzing and modeling of gridded spatial data. The package implements basic and high-level functions. Processing of very large files is supported.","URL":"http://cran.r-project.org/web/packages/raster/index.html","shortTitle":"raster","author":[{"family":"Hijmans","given":"Robert J."},{"family":"Etten","given":"Jacob","dropping-particle":"van"},{"family":"Mattiuzzi","given":"Matteo"},{"family":"Sumner","given":"Michael"},{"family":"Greenberg","given":"Jonathan A."},{"family":"Lamigueiro","given":"Oscar Perpinan"},{"family":"Bevan","given":"Andrew"},{"family":"Racine","given":"Etienne B."},{"family":"Shortridge","given":"Ashton"}],"issued":{"date-parts":[["2015",4,11]]},"accessed":{"date-parts":[["2015",5,20]]}}}],"schema":"https://github.com/citation-style-language/schema/raw/master/csl-citation.json"} </w:instrText>
      </w:r>
      <w:r w:rsidRPr="00961331">
        <w:rPr>
          <w:rFonts w:cs="Arial"/>
        </w:rPr>
        <w:fldChar w:fldCharType="separate"/>
      </w:r>
      <w:r w:rsidRPr="00961331">
        <w:rPr>
          <w:rFonts w:cs="Arial"/>
        </w:rPr>
        <w:t>(Hijmans et al., 2015)</w:t>
      </w:r>
      <w:r w:rsidRPr="00961331">
        <w:rPr>
          <w:rFonts w:cs="Arial"/>
        </w:rPr>
        <w:fldChar w:fldCharType="end"/>
      </w:r>
      <w:r w:rsidRPr="00961331">
        <w:rPr>
          <w:rFonts w:cs="Arial"/>
        </w:rPr>
        <w:t xml:space="preserve"> with bilinear interpolation method in R 3.2.4, which interpolates from the values of the four nearest raster cells </w:t>
      </w:r>
      <w:r w:rsidRPr="00961331">
        <w:rPr>
          <w:rFonts w:cs="Arial"/>
        </w:rPr>
        <w:fldChar w:fldCharType="begin"/>
      </w:r>
      <w:r w:rsidRPr="00961331">
        <w:rPr>
          <w:rFonts w:cs="Arial"/>
        </w:rPr>
        <w:instrText xml:space="preserve"> ADDIN ZOTERO_ITEM CSL_CITATION {"citationID":"1qr93ungdp","properties":{"formattedCitation":"(R Development Core Team, 2015)","plainCitation":"(R Development Core Team, 2015)"},"citationItems":[{"id":38,"uris":["http://zotero.org/users/2324349/items/CMEWUF68"],"uri":["http://zotero.org/users/2324349/items/CMEWUF68"],"itemData":{"id":38,"type":"webpage","title":"R: a language and environment for statistical computing","container-title":"GBIF.ORG","genre":"Text","abstract":"R is a free software environment for statistical computing and graphics. It can be used to generate species distribution models using as a base data such as those made available through GBIF.","URL":"http://www.gbif.org/resource/81287","shortTitle":"R","language":"und","author":[{"family":"R Development Core Team","given":""}],"issued":{"date-parts":[["2015",2,10]]},"accessed":{"date-parts":[["2015",5,20]]}}}],"schema":"https://github.com/citation-style-language/schema/raw/master/csl-citation.json"} </w:instrText>
      </w:r>
      <w:r w:rsidRPr="00961331">
        <w:rPr>
          <w:rFonts w:cs="Arial"/>
        </w:rPr>
        <w:fldChar w:fldCharType="separate"/>
      </w:r>
      <w:r w:rsidRPr="00961331">
        <w:rPr>
          <w:rFonts w:cs="Arial"/>
        </w:rPr>
        <w:t>(R Development Core Team, 2015)</w:t>
      </w:r>
      <w:r w:rsidRPr="00961331">
        <w:rPr>
          <w:rFonts w:cs="Arial"/>
        </w:rPr>
        <w:fldChar w:fldCharType="end"/>
      </w:r>
      <w:r w:rsidRPr="00961331">
        <w:rPr>
          <w:rFonts w:cs="Arial"/>
        </w:rPr>
        <w:t>.</w:t>
      </w:r>
      <w:r>
        <w:rPr>
          <w:rFonts w:cs="Arial"/>
        </w:rPr>
        <w:t xml:space="preserve"> Data extracted was used to produce box-plots comparing </w:t>
      </w:r>
      <w:r w:rsidR="009511E1">
        <w:rPr>
          <w:rFonts w:cs="Arial"/>
        </w:rPr>
        <w:t>the concentrations of water quality</w:t>
      </w:r>
      <w:r>
        <w:rPr>
          <w:rFonts w:cs="Arial"/>
        </w:rPr>
        <w:t xml:space="preserve"> parameters against plume types. Box plots were used to compare data sample in the current wet season (2014-15) against data sampled since 2006. </w:t>
      </w:r>
    </w:p>
    <w:p w14:paraId="5F22F8A3" w14:textId="77777777" w:rsidR="00D33068" w:rsidRPr="008467AA" w:rsidRDefault="00D33068" w:rsidP="00D33068">
      <w:pPr>
        <w:rPr>
          <w:szCs w:val="22"/>
          <w:lang w:val="en-AU"/>
        </w:rPr>
      </w:pPr>
    </w:p>
    <w:p w14:paraId="5F22F8A4" w14:textId="3AA1AF57" w:rsidR="00D33068" w:rsidRPr="008467AA" w:rsidRDefault="006A00D6" w:rsidP="00164E5E">
      <w:pPr>
        <w:pStyle w:val="Caption"/>
        <w:rPr>
          <w:sz w:val="22"/>
        </w:rPr>
      </w:pPr>
      <w:bookmarkStart w:id="1530" w:name="_Toc459332181"/>
      <w:r>
        <w:t>Table A1</w:t>
      </w:r>
      <w:r w:rsidR="00C83BA4">
        <w:t>-</w:t>
      </w:r>
      <w:r w:rsidR="00EB33A6">
        <w:fldChar w:fldCharType="begin"/>
      </w:r>
      <w:r w:rsidR="00D8225E">
        <w:instrText xml:space="preserve"> SEQ Table_A1 \* ARABIC </w:instrText>
      </w:r>
      <w:r w:rsidR="00EB33A6">
        <w:fldChar w:fldCharType="separate"/>
      </w:r>
      <w:r w:rsidR="007F5336">
        <w:rPr>
          <w:noProof/>
        </w:rPr>
        <w:t>2</w:t>
      </w:r>
      <w:r w:rsidR="00EB33A6">
        <w:rPr>
          <w:noProof/>
        </w:rPr>
        <w:fldChar w:fldCharType="end"/>
      </w:r>
      <w:r w:rsidR="00D33068" w:rsidRPr="00092A52">
        <w:t xml:space="preserve">: Summary of statistical analysis techniques exploring spatial and temporal variation applied to the </w:t>
      </w:r>
      <w:r w:rsidR="00126CF6">
        <w:t>water quality</w:t>
      </w:r>
      <w:r w:rsidR="00126CF6" w:rsidRPr="00092A52">
        <w:t xml:space="preserve"> </w:t>
      </w:r>
      <w:r w:rsidR="00D33068" w:rsidRPr="00092A52">
        <w:t>parameters sampled within the wet 2014-15 wet season</w:t>
      </w:r>
      <w:r w:rsidR="00D33068" w:rsidRPr="008467AA">
        <w:rPr>
          <w:sz w:val="22"/>
        </w:rPr>
        <w:t>.</w:t>
      </w:r>
      <w:bookmarkEnd w:id="1530"/>
    </w:p>
    <w:tbl>
      <w:tblPr>
        <w:tblStyle w:val="TableGrid1"/>
        <w:tblW w:w="9039" w:type="dxa"/>
        <w:tblInd w:w="108" w:type="dxa"/>
        <w:tblLook w:val="04A0" w:firstRow="1" w:lastRow="0" w:firstColumn="1" w:lastColumn="0" w:noHBand="0" w:noVBand="1"/>
        <w:tblCaption w:val="Table A1-2: Summary of statistical analysis techniques exploring spatial and temporal variation applied to the water quality parameters sampled within the wet 2014-15 wet season."/>
        <w:tblDescription w:val="Table summarising the  statistical analysis techniques exploring spatial and temporal variation applied to the water quality parameters sampled within the wet 2014-15 wet season."/>
      </w:tblPr>
      <w:tblGrid>
        <w:gridCol w:w="1708"/>
        <w:gridCol w:w="3362"/>
        <w:gridCol w:w="3969"/>
      </w:tblGrid>
      <w:tr w:rsidR="00D33068" w:rsidRPr="003E25ED" w14:paraId="5F22F8A8" w14:textId="77777777" w:rsidTr="003E25ED">
        <w:trPr>
          <w:trHeight w:val="170"/>
          <w:tblHeader/>
        </w:trPr>
        <w:tc>
          <w:tcPr>
            <w:tcW w:w="1708" w:type="dxa"/>
            <w:shd w:val="clear" w:color="auto" w:fill="D9D9D9" w:themeFill="background1" w:themeFillShade="D9"/>
            <w:noWrap/>
            <w:hideMark/>
          </w:tcPr>
          <w:p w14:paraId="5F22F8A5" w14:textId="77777777" w:rsidR="00D33068" w:rsidRPr="003E25ED" w:rsidRDefault="00D33068" w:rsidP="00F92920">
            <w:pPr>
              <w:rPr>
                <w:rStyle w:val="BookTitle"/>
                <w:rFonts w:ascii="Arial" w:hAnsi="Arial" w:cs="Arial"/>
                <w:b/>
                <w:lang w:val="en-AU"/>
              </w:rPr>
            </w:pPr>
            <w:r w:rsidRPr="003E25ED">
              <w:rPr>
                <w:rStyle w:val="BookTitle"/>
                <w:rFonts w:ascii="Arial" w:hAnsi="Arial" w:cs="Arial"/>
                <w:b/>
                <w:lang w:val="en-AU"/>
              </w:rPr>
              <w:t>Statistical approach</w:t>
            </w:r>
          </w:p>
        </w:tc>
        <w:tc>
          <w:tcPr>
            <w:tcW w:w="3362" w:type="dxa"/>
            <w:shd w:val="clear" w:color="auto" w:fill="D9D9D9" w:themeFill="background1" w:themeFillShade="D9"/>
            <w:noWrap/>
            <w:hideMark/>
          </w:tcPr>
          <w:p w14:paraId="5F22F8A6" w14:textId="77777777" w:rsidR="00D33068" w:rsidRPr="003E25ED" w:rsidRDefault="00D33068" w:rsidP="00F92920">
            <w:pPr>
              <w:rPr>
                <w:rStyle w:val="BookTitle"/>
                <w:rFonts w:ascii="Arial" w:hAnsi="Arial" w:cs="Arial"/>
                <w:b/>
                <w:lang w:val="en-AU"/>
              </w:rPr>
            </w:pPr>
            <w:r w:rsidRPr="003E25ED">
              <w:rPr>
                <w:rStyle w:val="BookTitle"/>
                <w:rFonts w:ascii="Arial" w:hAnsi="Arial" w:cs="Arial"/>
                <w:b/>
                <w:lang w:val="en-AU"/>
              </w:rPr>
              <w:t>Data set used and method</w:t>
            </w:r>
          </w:p>
        </w:tc>
        <w:tc>
          <w:tcPr>
            <w:tcW w:w="3969" w:type="dxa"/>
            <w:shd w:val="clear" w:color="auto" w:fill="D9D9D9" w:themeFill="background1" w:themeFillShade="D9"/>
            <w:noWrap/>
            <w:hideMark/>
          </w:tcPr>
          <w:p w14:paraId="5F22F8A7" w14:textId="77777777" w:rsidR="00D33068" w:rsidRPr="003E25ED" w:rsidRDefault="00D33068" w:rsidP="00F92920">
            <w:pPr>
              <w:rPr>
                <w:rStyle w:val="BookTitle"/>
                <w:rFonts w:ascii="Arial" w:hAnsi="Arial" w:cs="Arial"/>
                <w:b/>
                <w:lang w:val="en-AU"/>
              </w:rPr>
            </w:pPr>
            <w:r w:rsidRPr="003E25ED">
              <w:rPr>
                <w:rStyle w:val="BookTitle"/>
                <w:rFonts w:ascii="Arial" w:hAnsi="Arial" w:cs="Arial"/>
                <w:b/>
                <w:lang w:val="en-AU"/>
              </w:rPr>
              <w:t>Outcome</w:t>
            </w:r>
          </w:p>
        </w:tc>
      </w:tr>
      <w:tr w:rsidR="00D33068" w:rsidRPr="003E25ED" w14:paraId="5F22F8AC" w14:textId="77777777" w:rsidTr="003E25ED">
        <w:trPr>
          <w:trHeight w:val="170"/>
        </w:trPr>
        <w:tc>
          <w:tcPr>
            <w:tcW w:w="1708" w:type="dxa"/>
            <w:noWrap/>
          </w:tcPr>
          <w:p w14:paraId="5F22F8A9" w14:textId="77777777" w:rsidR="00D33068" w:rsidRPr="003E25ED" w:rsidRDefault="00D33068" w:rsidP="003E25ED">
            <w:pPr>
              <w:jc w:val="left"/>
              <w:rPr>
                <w:rStyle w:val="BookTitle"/>
                <w:rFonts w:ascii="Arial" w:hAnsi="Arial" w:cs="Arial"/>
                <w:lang w:val="en-AU"/>
              </w:rPr>
            </w:pPr>
            <w:r w:rsidRPr="003E25ED">
              <w:rPr>
                <w:rStyle w:val="BookTitle"/>
                <w:rFonts w:ascii="Arial" w:hAnsi="Arial" w:cs="Arial"/>
                <w:lang w:val="en-AU"/>
              </w:rPr>
              <w:t>Mixing plots</w:t>
            </w:r>
          </w:p>
        </w:tc>
        <w:tc>
          <w:tcPr>
            <w:tcW w:w="3362" w:type="dxa"/>
            <w:noWrap/>
          </w:tcPr>
          <w:p w14:paraId="5F22F8AA" w14:textId="76AD7756" w:rsidR="00D33068" w:rsidRPr="003E25ED" w:rsidRDefault="00D33068" w:rsidP="003E25ED">
            <w:pPr>
              <w:jc w:val="left"/>
              <w:rPr>
                <w:rStyle w:val="BookTitle"/>
                <w:rFonts w:ascii="Arial" w:hAnsi="Arial" w:cs="Arial"/>
                <w:lang w:val="en-AU"/>
              </w:rPr>
            </w:pPr>
            <w:r w:rsidRPr="003E25ED">
              <w:rPr>
                <w:rStyle w:val="BookTitle"/>
                <w:rFonts w:ascii="Arial" w:hAnsi="Arial" w:cs="Arial"/>
                <w:lang w:val="en-AU"/>
              </w:rPr>
              <w:t xml:space="preserve">2014-15 </w:t>
            </w:r>
            <w:r w:rsidR="00126CF6" w:rsidRPr="003E25ED">
              <w:rPr>
                <w:rStyle w:val="BookTitle"/>
                <w:rFonts w:ascii="Arial" w:hAnsi="Arial" w:cs="Arial"/>
                <w:lang w:val="en-AU"/>
              </w:rPr>
              <w:t xml:space="preserve">water quality </w:t>
            </w:r>
            <w:r w:rsidRPr="003E25ED">
              <w:rPr>
                <w:rStyle w:val="BookTitle"/>
                <w:rFonts w:ascii="Arial" w:hAnsi="Arial" w:cs="Arial"/>
                <w:lang w:val="en-AU"/>
              </w:rPr>
              <w:t>data grouped by sampling events against salinity. Lower salinity point taken by average NRM value &lt; 5 PSU.</w:t>
            </w:r>
          </w:p>
        </w:tc>
        <w:tc>
          <w:tcPr>
            <w:tcW w:w="3969" w:type="dxa"/>
            <w:noWrap/>
          </w:tcPr>
          <w:p w14:paraId="5F22F8AB" w14:textId="5064EE45" w:rsidR="00D33068" w:rsidRPr="003E25ED" w:rsidRDefault="00D33068" w:rsidP="003E25ED">
            <w:pPr>
              <w:jc w:val="left"/>
              <w:rPr>
                <w:rStyle w:val="BookTitle"/>
                <w:rFonts w:ascii="Arial" w:hAnsi="Arial" w:cs="Arial"/>
                <w:lang w:val="en-AU"/>
              </w:rPr>
            </w:pPr>
            <w:r w:rsidRPr="003E25ED">
              <w:rPr>
                <w:rStyle w:val="BookTitle"/>
                <w:rFonts w:ascii="Arial" w:hAnsi="Arial" w:cs="Arial"/>
                <w:lang w:val="en-AU"/>
              </w:rPr>
              <w:t xml:space="preserve">Scatter plots identifying superficial </w:t>
            </w:r>
            <w:r w:rsidR="00126CF6" w:rsidRPr="003E25ED">
              <w:rPr>
                <w:rStyle w:val="BookTitle"/>
                <w:rFonts w:ascii="Arial" w:hAnsi="Arial" w:cs="Arial"/>
                <w:lang w:val="en-AU"/>
              </w:rPr>
              <w:t xml:space="preserve">concentration, salinity and depth </w:t>
            </w:r>
            <w:r w:rsidRPr="003E25ED">
              <w:rPr>
                <w:rStyle w:val="BookTitle"/>
                <w:rFonts w:ascii="Arial" w:hAnsi="Arial" w:cs="Arial"/>
                <w:lang w:val="en-AU"/>
              </w:rPr>
              <w:t xml:space="preserve">mixing profiles and </w:t>
            </w:r>
            <w:r w:rsidR="00126CF6" w:rsidRPr="003E25ED">
              <w:rPr>
                <w:rStyle w:val="BookTitle"/>
                <w:rFonts w:ascii="Arial" w:hAnsi="Arial" w:cs="Arial"/>
                <w:lang w:val="en-AU"/>
              </w:rPr>
              <w:t xml:space="preserve">water quality </w:t>
            </w:r>
            <w:r w:rsidRPr="003E25ED">
              <w:rPr>
                <w:rStyle w:val="BookTitle"/>
                <w:rFonts w:ascii="Arial" w:hAnsi="Arial" w:cs="Arial"/>
                <w:lang w:val="en-AU"/>
              </w:rPr>
              <w:t>parameter reduction from a potential freshwater value (presented in appendices)</w:t>
            </w:r>
          </w:p>
        </w:tc>
      </w:tr>
      <w:tr w:rsidR="00D33068" w:rsidRPr="003E25ED" w14:paraId="5F22F8B0" w14:textId="77777777" w:rsidTr="003E25ED">
        <w:trPr>
          <w:trHeight w:val="170"/>
        </w:trPr>
        <w:tc>
          <w:tcPr>
            <w:tcW w:w="1708" w:type="dxa"/>
            <w:noWrap/>
            <w:hideMark/>
          </w:tcPr>
          <w:p w14:paraId="5F22F8AD" w14:textId="77777777" w:rsidR="00D33068" w:rsidRPr="003E25ED" w:rsidRDefault="00D33068" w:rsidP="003E25ED">
            <w:pPr>
              <w:jc w:val="left"/>
              <w:rPr>
                <w:rStyle w:val="BookTitle"/>
                <w:rFonts w:ascii="Arial" w:hAnsi="Arial" w:cs="Arial"/>
                <w:lang w:val="en-AU"/>
              </w:rPr>
            </w:pPr>
            <w:r w:rsidRPr="003E25ED">
              <w:rPr>
                <w:rStyle w:val="BookTitle"/>
                <w:rFonts w:ascii="Arial" w:hAnsi="Arial" w:cs="Arial"/>
                <w:lang w:val="en-AU"/>
              </w:rPr>
              <w:t>Correlation table</w:t>
            </w:r>
          </w:p>
        </w:tc>
        <w:tc>
          <w:tcPr>
            <w:tcW w:w="3362" w:type="dxa"/>
            <w:noWrap/>
            <w:hideMark/>
          </w:tcPr>
          <w:p w14:paraId="5F22F8AE" w14:textId="7F221C10" w:rsidR="00D33068" w:rsidRPr="003E25ED" w:rsidRDefault="00D33068" w:rsidP="003E25ED">
            <w:pPr>
              <w:jc w:val="left"/>
              <w:rPr>
                <w:rStyle w:val="BookTitle"/>
                <w:rFonts w:ascii="Arial" w:hAnsi="Arial" w:cs="Arial"/>
                <w:lang w:val="en-AU"/>
              </w:rPr>
            </w:pPr>
            <w:r w:rsidRPr="003E25ED">
              <w:rPr>
                <w:rStyle w:val="BookTitle"/>
                <w:rFonts w:ascii="Arial" w:hAnsi="Arial" w:cs="Arial"/>
                <w:lang w:val="en-AU"/>
              </w:rPr>
              <w:t xml:space="preserve">The Spearman's rank correlation was computed for all </w:t>
            </w:r>
            <w:r w:rsidR="00D44E55" w:rsidRPr="003E25ED">
              <w:rPr>
                <w:rStyle w:val="BookTitle"/>
                <w:rFonts w:ascii="Arial" w:hAnsi="Arial" w:cs="Arial"/>
                <w:lang w:val="en-AU"/>
              </w:rPr>
              <w:t>2006</w:t>
            </w:r>
            <w:r w:rsidR="00126CF6" w:rsidRPr="003E25ED">
              <w:rPr>
                <w:rStyle w:val="BookTitle"/>
                <w:rFonts w:ascii="Arial" w:hAnsi="Arial" w:cs="Arial"/>
                <w:lang w:val="en-AU"/>
              </w:rPr>
              <w:t xml:space="preserve"> to </w:t>
            </w:r>
            <w:r w:rsidRPr="003E25ED">
              <w:rPr>
                <w:rStyle w:val="BookTitle"/>
                <w:rFonts w:ascii="Arial" w:hAnsi="Arial" w:cs="Arial"/>
                <w:lang w:val="en-AU"/>
              </w:rPr>
              <w:t xml:space="preserve">2015 </w:t>
            </w:r>
            <w:r w:rsidR="00126CF6" w:rsidRPr="003E25ED">
              <w:rPr>
                <w:rStyle w:val="BookTitle"/>
                <w:rFonts w:ascii="Arial" w:hAnsi="Arial" w:cs="Arial"/>
                <w:lang w:val="en-AU"/>
              </w:rPr>
              <w:t>water quality</w:t>
            </w:r>
            <w:r w:rsidRPr="003E25ED">
              <w:rPr>
                <w:rStyle w:val="BookTitle"/>
                <w:rFonts w:ascii="Arial" w:hAnsi="Arial" w:cs="Arial"/>
                <w:lang w:val="en-AU"/>
              </w:rPr>
              <w:t>.</w:t>
            </w:r>
          </w:p>
        </w:tc>
        <w:tc>
          <w:tcPr>
            <w:tcW w:w="3969" w:type="dxa"/>
            <w:noWrap/>
            <w:hideMark/>
          </w:tcPr>
          <w:p w14:paraId="5F22F8AF" w14:textId="19FC6873" w:rsidR="00D33068" w:rsidRPr="003E25ED" w:rsidRDefault="00D33068" w:rsidP="003E25ED">
            <w:pPr>
              <w:jc w:val="left"/>
              <w:rPr>
                <w:rStyle w:val="BookTitle"/>
                <w:rFonts w:ascii="Arial" w:hAnsi="Arial" w:cs="Arial"/>
                <w:lang w:val="en-AU"/>
              </w:rPr>
            </w:pPr>
            <w:r w:rsidRPr="003E25ED">
              <w:rPr>
                <w:rStyle w:val="BookTitle"/>
                <w:rFonts w:ascii="Arial" w:hAnsi="Arial" w:cs="Arial"/>
                <w:lang w:val="en-AU"/>
              </w:rPr>
              <w:t xml:space="preserve">Explore the correlated </w:t>
            </w:r>
            <w:r w:rsidR="00126CF6" w:rsidRPr="003E25ED">
              <w:rPr>
                <w:rStyle w:val="BookTitle"/>
                <w:rFonts w:ascii="Arial" w:hAnsi="Arial" w:cs="Arial"/>
                <w:lang w:val="en-AU"/>
              </w:rPr>
              <w:t xml:space="preserve">water quality concentration data </w:t>
            </w:r>
            <w:r w:rsidR="00D44E55" w:rsidRPr="003E25ED">
              <w:rPr>
                <w:rStyle w:val="BookTitle"/>
                <w:rFonts w:ascii="Arial" w:hAnsi="Arial" w:cs="Arial"/>
                <w:lang w:val="en-AU"/>
              </w:rPr>
              <w:t>against</w:t>
            </w:r>
            <w:r w:rsidRPr="003E25ED">
              <w:rPr>
                <w:rStyle w:val="BookTitle"/>
                <w:rFonts w:ascii="Arial" w:hAnsi="Arial" w:cs="Arial"/>
                <w:lang w:val="en-AU"/>
              </w:rPr>
              <w:t xml:space="preserve"> river discharge and </w:t>
            </w:r>
            <w:r w:rsidR="00D44E55" w:rsidRPr="003E25ED">
              <w:rPr>
                <w:rStyle w:val="BookTitle"/>
                <w:rFonts w:ascii="Arial" w:hAnsi="Arial" w:cs="Arial"/>
                <w:lang w:val="en-AU"/>
              </w:rPr>
              <w:t>wind</w:t>
            </w:r>
            <w:r w:rsidR="00126CF6" w:rsidRPr="003E25ED">
              <w:rPr>
                <w:rStyle w:val="BookTitle"/>
                <w:rFonts w:ascii="Arial" w:hAnsi="Arial" w:cs="Arial"/>
                <w:lang w:val="en-AU"/>
              </w:rPr>
              <w:t xml:space="preserve">; </w:t>
            </w:r>
            <w:r w:rsidR="00D44E55" w:rsidRPr="003E25ED">
              <w:rPr>
                <w:rStyle w:val="BookTitle"/>
                <w:rFonts w:ascii="Arial" w:hAnsi="Arial" w:cs="Arial"/>
                <w:lang w:val="en-AU"/>
              </w:rPr>
              <w:t>all wet season data combined</w:t>
            </w:r>
            <w:r w:rsidRPr="003E25ED">
              <w:rPr>
                <w:rStyle w:val="BookTitle"/>
                <w:rFonts w:ascii="Arial" w:hAnsi="Arial" w:cs="Arial"/>
                <w:lang w:val="en-AU"/>
              </w:rPr>
              <w:t>.</w:t>
            </w:r>
          </w:p>
        </w:tc>
      </w:tr>
      <w:tr w:rsidR="00D33068" w:rsidRPr="003E25ED" w14:paraId="5F22F8B4" w14:textId="77777777" w:rsidTr="003E25ED">
        <w:trPr>
          <w:trHeight w:val="170"/>
        </w:trPr>
        <w:tc>
          <w:tcPr>
            <w:tcW w:w="1708" w:type="dxa"/>
            <w:noWrap/>
          </w:tcPr>
          <w:p w14:paraId="5F22F8B1" w14:textId="61B1C833" w:rsidR="00D33068" w:rsidRPr="003E25ED" w:rsidRDefault="002A04F8" w:rsidP="003E25ED">
            <w:pPr>
              <w:jc w:val="left"/>
              <w:rPr>
                <w:rStyle w:val="BookTitle"/>
                <w:rFonts w:ascii="Arial" w:hAnsi="Arial" w:cs="Arial"/>
                <w:lang w:val="en-AU"/>
              </w:rPr>
            </w:pPr>
            <w:r w:rsidRPr="003E25ED">
              <w:rPr>
                <w:rStyle w:val="BookTitle"/>
                <w:rFonts w:ascii="Arial" w:hAnsi="Arial" w:cs="Arial"/>
                <w:lang w:val="en-AU"/>
              </w:rPr>
              <w:t>Match-ups in-situ data  and plume water type</w:t>
            </w:r>
          </w:p>
        </w:tc>
        <w:tc>
          <w:tcPr>
            <w:tcW w:w="3362" w:type="dxa"/>
            <w:noWrap/>
          </w:tcPr>
          <w:p w14:paraId="5F22F8B2" w14:textId="38F40FDE" w:rsidR="00D33068" w:rsidRPr="003E25ED" w:rsidRDefault="002A04F8" w:rsidP="003E25ED">
            <w:pPr>
              <w:jc w:val="left"/>
              <w:rPr>
                <w:rStyle w:val="BookTitle"/>
                <w:rFonts w:ascii="Arial" w:hAnsi="Arial" w:cs="Arial"/>
                <w:lang w:val="en-AU"/>
              </w:rPr>
            </w:pPr>
            <w:r w:rsidRPr="003E25ED">
              <w:rPr>
                <w:rStyle w:val="BookTitle"/>
                <w:rFonts w:ascii="Arial" w:hAnsi="Arial" w:cs="Arial"/>
                <w:lang w:val="en-AU"/>
              </w:rPr>
              <w:t>Data extracted with bilinear interpolation.</w:t>
            </w:r>
          </w:p>
        </w:tc>
        <w:tc>
          <w:tcPr>
            <w:tcW w:w="3969" w:type="dxa"/>
            <w:noWrap/>
          </w:tcPr>
          <w:p w14:paraId="5F22F8B3" w14:textId="1CF9A4CA" w:rsidR="00D33068" w:rsidRPr="003E25ED" w:rsidRDefault="002A04F8" w:rsidP="003E25ED">
            <w:pPr>
              <w:jc w:val="left"/>
              <w:rPr>
                <w:rStyle w:val="BookTitle"/>
                <w:rFonts w:ascii="Arial" w:hAnsi="Arial" w:cs="Arial"/>
                <w:lang w:val="en-AU"/>
              </w:rPr>
            </w:pPr>
            <w:r w:rsidRPr="003E25ED">
              <w:rPr>
                <w:rStyle w:val="BookTitle"/>
                <w:rFonts w:ascii="Arial" w:hAnsi="Arial" w:cs="Arial"/>
                <w:lang w:val="en-AU"/>
              </w:rPr>
              <w:t xml:space="preserve">Range of in-situ </w:t>
            </w:r>
            <w:r w:rsidR="00126CF6" w:rsidRPr="003E25ED">
              <w:rPr>
                <w:rStyle w:val="BookTitle"/>
                <w:rFonts w:ascii="Arial" w:hAnsi="Arial" w:cs="Arial"/>
                <w:lang w:val="en-AU"/>
              </w:rPr>
              <w:t>water quality</w:t>
            </w:r>
            <w:r w:rsidRPr="003E25ED">
              <w:rPr>
                <w:rStyle w:val="BookTitle"/>
                <w:rFonts w:ascii="Arial" w:hAnsi="Arial" w:cs="Arial"/>
                <w:lang w:val="en-AU"/>
              </w:rPr>
              <w:t xml:space="preserve"> concentration</w:t>
            </w:r>
            <w:r w:rsidR="00126CF6" w:rsidRPr="003E25ED">
              <w:rPr>
                <w:rStyle w:val="BookTitle"/>
                <w:rFonts w:ascii="Arial" w:hAnsi="Arial" w:cs="Arial"/>
                <w:lang w:val="en-AU"/>
              </w:rPr>
              <w:t>s</w:t>
            </w:r>
            <w:r w:rsidRPr="003E25ED">
              <w:rPr>
                <w:rStyle w:val="BookTitle"/>
                <w:rFonts w:ascii="Arial" w:hAnsi="Arial" w:cs="Arial"/>
                <w:lang w:val="en-AU"/>
              </w:rPr>
              <w:t xml:space="preserve"> within each plume water type. </w:t>
            </w:r>
          </w:p>
        </w:tc>
      </w:tr>
    </w:tbl>
    <w:p w14:paraId="5F22F8C0" w14:textId="77777777" w:rsidR="00D33068" w:rsidRDefault="00D33068" w:rsidP="00F45FEA">
      <w:pPr>
        <w:rPr>
          <w:lang w:val="en-AU"/>
        </w:rPr>
      </w:pPr>
    </w:p>
    <w:p w14:paraId="5F22F8C1" w14:textId="77777777" w:rsidR="008A37CB" w:rsidRPr="00C27BEB" w:rsidRDefault="008A37CB" w:rsidP="00C85410">
      <w:pPr>
        <w:pStyle w:val="Heading7"/>
      </w:pPr>
      <w:bookmarkStart w:id="1531" w:name="_Ref452293692"/>
      <w:r w:rsidRPr="00C27BEB">
        <w:rPr>
          <w:rStyle w:val="Heading20"/>
          <w:lang w:val="en-GB"/>
        </w:rPr>
        <w:t>Mapping of river plumes using classification into water types</w:t>
      </w:r>
      <w:r w:rsidRPr="00C27BEB">
        <w:t>.</w:t>
      </w:r>
      <w:bookmarkEnd w:id="1531"/>
    </w:p>
    <w:p w14:paraId="5F22F8C2" w14:textId="6E1BBCBB" w:rsidR="008A37CB" w:rsidRPr="008467AA" w:rsidRDefault="008A37CB" w:rsidP="008A37CB">
      <w:pPr>
        <w:rPr>
          <w:rFonts w:eastAsia="Calibri"/>
          <w:lang w:val="en-AU"/>
        </w:rPr>
      </w:pPr>
      <w:bookmarkStart w:id="1532" w:name="_Toc416533901"/>
      <w:r w:rsidRPr="008467AA">
        <w:rPr>
          <w:rFonts w:eastAsia="Calibri"/>
          <w:lang w:val="en-AU"/>
        </w:rPr>
        <w:t xml:space="preserve">Remote sensing imagery </w:t>
      </w:r>
      <w:r>
        <w:rPr>
          <w:rFonts w:eastAsia="Calibri"/>
          <w:lang w:val="en-AU"/>
        </w:rPr>
        <w:t>is</w:t>
      </w:r>
      <w:r w:rsidRPr="008467AA">
        <w:rPr>
          <w:rFonts w:eastAsia="Calibri"/>
          <w:lang w:val="en-AU"/>
        </w:rPr>
        <w:t xml:space="preserve"> a useful assessment tool in the monitoring of river flood plumes (hereafter river plumes) in the GBR. Combined with </w:t>
      </w:r>
      <w:r w:rsidRPr="008467AA">
        <w:rPr>
          <w:rFonts w:eastAsia="Calibri"/>
          <w:i/>
          <w:lang w:val="en-AU"/>
        </w:rPr>
        <w:t>in situ</w:t>
      </w:r>
      <w:r w:rsidRPr="008467AA">
        <w:rPr>
          <w:rFonts w:eastAsia="Calibri"/>
          <w:lang w:val="en-AU"/>
        </w:rPr>
        <w:t xml:space="preserve"> WQ sampling the use of remote sensing is a valid and practical way to estimate both the extent and frequency of river plume exposure on GBR ecosystems. Ocean colour imagery provides synoptic-scale information regarding the movement and composition of river plumes. Thus, in the past seven years, remote sensing imagery combined with </w:t>
      </w:r>
      <w:r w:rsidRPr="008467AA">
        <w:rPr>
          <w:rFonts w:eastAsia="Calibri"/>
          <w:i/>
          <w:lang w:val="en-AU"/>
        </w:rPr>
        <w:t>in situ</w:t>
      </w:r>
      <w:r w:rsidRPr="008467AA">
        <w:rPr>
          <w:rFonts w:eastAsia="Calibri"/>
          <w:lang w:val="en-AU"/>
        </w:rPr>
        <w:t xml:space="preserve"> sampling of river plumes has provided an essential source of data related to the movement and composition of river plumes in GBR waters (e.g., Bainbridge et al., 2012; Brodie et al.; 2010; Devlin et al.; 2012a, b; Schroeder et al., 2012). </w:t>
      </w:r>
    </w:p>
    <w:p w14:paraId="5F22F8C3" w14:textId="77777777" w:rsidR="008A37CB" w:rsidRPr="008467AA" w:rsidRDefault="008A37CB" w:rsidP="008A37CB">
      <w:pPr>
        <w:contextualSpacing/>
        <w:rPr>
          <w:lang w:val="en-AU"/>
        </w:rPr>
      </w:pPr>
      <w:r w:rsidRPr="008467AA">
        <w:rPr>
          <w:lang w:val="en-AU"/>
        </w:rPr>
        <w:t>Our efforts to improve remote sensing methods are continuing and this MMP report in 2014-15 builds on methods and framework developed in the previous MMP reports</w:t>
      </w:r>
      <w:r>
        <w:rPr>
          <w:lang w:val="en-AU"/>
        </w:rPr>
        <w:t xml:space="preserve"> </w:t>
      </w:r>
      <w:r w:rsidRPr="008467AA">
        <w:rPr>
          <w:rFonts w:eastAsia="Calibri"/>
          <w:lang w:val="en-AU"/>
        </w:rPr>
        <w:t>(Devlin et al., 2015)</w:t>
      </w:r>
      <w:r w:rsidRPr="008467AA">
        <w:rPr>
          <w:lang w:val="en-AU"/>
        </w:rPr>
        <w:t xml:space="preserve">. Our technical efforts have focused on: </w:t>
      </w:r>
    </w:p>
    <w:p w14:paraId="5F22F8C4" w14:textId="77777777" w:rsidR="008A37CB" w:rsidRPr="00EE6F82" w:rsidRDefault="008A37CB" w:rsidP="004618A1">
      <w:pPr>
        <w:pStyle w:val="ListParagraph"/>
        <w:numPr>
          <w:ilvl w:val="0"/>
          <w:numId w:val="23"/>
        </w:numPr>
        <w:spacing w:line="276" w:lineRule="auto"/>
        <w:rPr>
          <w:lang w:val="en-AU"/>
        </w:rPr>
      </w:pPr>
      <w:r w:rsidRPr="00EE6F82">
        <w:rPr>
          <w:lang w:val="en-AU"/>
        </w:rPr>
        <w:t>Improving and fully automating the production of pollutants load maps (TSS, DIN, pesticides; Álvarez-Romero</w:t>
      </w:r>
      <w:r w:rsidR="00C83BA4">
        <w:rPr>
          <w:lang w:val="en-AU"/>
        </w:rPr>
        <w:t xml:space="preserve"> et al.,</w:t>
      </w:r>
      <w:r w:rsidRPr="00EE6F82">
        <w:rPr>
          <w:lang w:val="en-AU"/>
        </w:rPr>
        <w:t xml:space="preserve"> 2</w:t>
      </w:r>
      <w:r w:rsidR="00C83BA4">
        <w:rPr>
          <w:lang w:val="en-AU"/>
        </w:rPr>
        <w:t>013</w:t>
      </w:r>
      <w:r w:rsidRPr="00EE6F82">
        <w:rPr>
          <w:lang w:val="en-AU"/>
        </w:rPr>
        <w:t xml:space="preserve">). </w:t>
      </w:r>
    </w:p>
    <w:p w14:paraId="5F22F8C5" w14:textId="41F9D441" w:rsidR="008A37CB" w:rsidRPr="008467AA" w:rsidRDefault="008A37CB" w:rsidP="004618A1">
      <w:pPr>
        <w:pStyle w:val="ListParagraph"/>
        <w:numPr>
          <w:ilvl w:val="0"/>
          <w:numId w:val="23"/>
        </w:numPr>
        <w:spacing w:after="240"/>
        <w:rPr>
          <w:lang w:val="en-AU"/>
        </w:rPr>
      </w:pPr>
      <w:r w:rsidRPr="008467AA">
        <w:rPr>
          <w:lang w:val="en-AU"/>
        </w:rPr>
        <w:t xml:space="preserve">Improving our capacity to monitor the exposure of GBR ecosystems to risk from river plumes exposure using the remote sensing products developed. A case study was carried out </w:t>
      </w:r>
      <w:r w:rsidR="00AD2A35">
        <w:rPr>
          <w:lang w:val="en-AU"/>
        </w:rPr>
        <w:t xml:space="preserve">(section 8) </w:t>
      </w:r>
      <w:r w:rsidRPr="008467AA">
        <w:rPr>
          <w:lang w:val="en-AU"/>
        </w:rPr>
        <w:t xml:space="preserve">and aimed to refine the satellite framework in the Great Barrier Reef by comparing predicted areas </w:t>
      </w:r>
      <w:r w:rsidR="00126CF6">
        <w:rPr>
          <w:lang w:val="en-AU"/>
        </w:rPr>
        <w:t>at</w:t>
      </w:r>
      <w:r w:rsidR="00126CF6" w:rsidRPr="008467AA">
        <w:rPr>
          <w:lang w:val="en-AU"/>
        </w:rPr>
        <w:t xml:space="preserve"> </w:t>
      </w:r>
      <w:r w:rsidRPr="008467AA">
        <w:rPr>
          <w:lang w:val="en-AU"/>
        </w:rPr>
        <w:t>risk from river plumes with seagrass and coral ecosystem responses monitored through the MMP (</w:t>
      </w:r>
      <w:r>
        <w:rPr>
          <w:lang w:val="en-AU"/>
        </w:rPr>
        <w:t xml:space="preserve">see MMP seagrass report, Collier et al. in press; </w:t>
      </w:r>
      <w:r w:rsidRPr="008467AA">
        <w:rPr>
          <w:lang w:val="en-AU"/>
        </w:rPr>
        <w:t xml:space="preserve">Petus et al., in </w:t>
      </w:r>
      <w:r>
        <w:rPr>
          <w:lang w:val="en-AU"/>
        </w:rPr>
        <w:t>review</w:t>
      </w:r>
      <w:r w:rsidRPr="008467AA">
        <w:rPr>
          <w:lang w:val="en-AU"/>
        </w:rPr>
        <w:t xml:space="preserve">). This study enabled multiannual risk magnitude thresholds associated with loss of seagrass cover to be refined and generated a first validated map of river plume exposure risk for the Great Barrier Reef seagrass ecosystems. A preliminary exposure risk map for Great Barrier Reef coral reefs was also developed. </w:t>
      </w:r>
    </w:p>
    <w:bookmarkEnd w:id="1532"/>
    <w:p w14:paraId="5F22F8C6" w14:textId="435C2430" w:rsidR="008A37CB" w:rsidRDefault="008A37CB" w:rsidP="008A37CB">
      <w:pPr>
        <w:rPr>
          <w:b/>
          <w:lang w:val="en-AU"/>
        </w:rPr>
      </w:pPr>
      <w:r w:rsidRPr="008467AA">
        <w:rPr>
          <w:lang w:val="en-AU"/>
        </w:rPr>
        <w:t>Following recommendations from the 2012-13 MMP report, we map</w:t>
      </w:r>
      <w:r>
        <w:rPr>
          <w:lang w:val="en-AU"/>
        </w:rPr>
        <w:t>ped</w:t>
      </w:r>
      <w:r w:rsidRPr="008467AA">
        <w:rPr>
          <w:lang w:val="en-AU"/>
        </w:rPr>
        <w:t xml:space="preserve"> marine areas exposed to river plumes using MODIS true colour </w:t>
      </w:r>
      <w:r>
        <w:rPr>
          <w:lang w:val="en-AU"/>
        </w:rPr>
        <w:t xml:space="preserve">(TC) </w:t>
      </w:r>
      <w:r w:rsidRPr="008467AA">
        <w:rPr>
          <w:lang w:val="en-AU"/>
        </w:rPr>
        <w:t>images and the</w:t>
      </w:r>
      <w:r w:rsidRPr="008467AA">
        <w:rPr>
          <w:b/>
          <w:lang w:val="en-AU"/>
        </w:rPr>
        <w:t xml:space="preserve"> </w:t>
      </w:r>
      <w:r w:rsidRPr="008467AA">
        <w:rPr>
          <w:lang w:val="en-AU"/>
        </w:rPr>
        <w:t xml:space="preserve">TC method extensively presented in Álvarez-Romero </w:t>
      </w:r>
      <w:r w:rsidR="00C83BA4">
        <w:rPr>
          <w:lang w:val="en-AU"/>
        </w:rPr>
        <w:t>et al.,</w:t>
      </w:r>
      <w:r w:rsidR="00C83BA4" w:rsidRPr="00EE6F82">
        <w:rPr>
          <w:lang w:val="en-AU"/>
        </w:rPr>
        <w:t xml:space="preserve"> </w:t>
      </w:r>
      <w:r w:rsidRPr="008467AA">
        <w:rPr>
          <w:lang w:val="en-AU"/>
        </w:rPr>
        <w:t xml:space="preserve">(2013), and used in Devlin </w:t>
      </w:r>
      <w:r w:rsidR="00C83BA4">
        <w:rPr>
          <w:lang w:val="en-AU"/>
        </w:rPr>
        <w:t>et al.,</w:t>
      </w:r>
      <w:r w:rsidR="00C83BA4" w:rsidRPr="00EE6F82">
        <w:rPr>
          <w:lang w:val="en-AU"/>
        </w:rPr>
        <w:t xml:space="preserve"> </w:t>
      </w:r>
      <w:r w:rsidRPr="008467AA">
        <w:rPr>
          <w:lang w:val="en-AU"/>
        </w:rPr>
        <w:t xml:space="preserve">(2013) and Petus </w:t>
      </w:r>
      <w:r w:rsidR="00C83BA4">
        <w:rPr>
          <w:lang w:val="en-AU"/>
        </w:rPr>
        <w:t>et al.,</w:t>
      </w:r>
      <w:r w:rsidR="00C83BA4" w:rsidRPr="00EE6F82">
        <w:rPr>
          <w:lang w:val="en-AU"/>
        </w:rPr>
        <w:t xml:space="preserve"> </w:t>
      </w:r>
      <w:r w:rsidRPr="008467AA">
        <w:rPr>
          <w:lang w:val="en-AU"/>
        </w:rPr>
        <w:t>(2014b). The TC method is based on classification of spectrally enhanced quasi-true colour MODIS images (Álvarez-Romero et al., 2013). This method exploits the differences in colour between the turbid river plumes and the marine ambient water, and between respective water type</w:t>
      </w:r>
      <w:r w:rsidR="00126CF6">
        <w:rPr>
          <w:lang w:val="en-AU"/>
        </w:rPr>
        <w:t>s</w:t>
      </w:r>
      <w:r w:rsidRPr="008467AA">
        <w:rPr>
          <w:lang w:val="en-AU"/>
        </w:rPr>
        <w:t xml:space="preserve"> inside the river plumes (Álvarez-Romero et al., 2013). </w:t>
      </w:r>
    </w:p>
    <w:p w14:paraId="5F22F8C7" w14:textId="40E51649" w:rsidR="008A37CB" w:rsidRPr="004A5BF7" w:rsidRDefault="008A37CB" w:rsidP="008A37CB">
      <w:pPr>
        <w:rPr>
          <w:rFonts w:eastAsia="Calibri"/>
          <w:lang w:val="en-AU"/>
        </w:rPr>
      </w:pPr>
      <w:r w:rsidRPr="00B30B2F">
        <w:rPr>
          <w:rFonts w:eastAsia="Calibri"/>
          <w:lang w:val="en-AU"/>
        </w:rPr>
        <w:t>Three distinct plume water types have been described within GBR river plumes (from the inshore to the offshore boundary of river plumes). They are characterized by varying salinity levels, spectral properties and colours summarized in</w:t>
      </w:r>
      <w:r w:rsidR="00AD2A35">
        <w:rPr>
          <w:rFonts w:eastAsia="Calibri"/>
          <w:lang w:val="en-AU"/>
        </w:rPr>
        <w:t xml:space="preserve"> Table A1-3</w:t>
      </w:r>
      <w:r w:rsidRPr="00B30B2F">
        <w:rPr>
          <w:rFonts w:eastAsia="Calibri"/>
          <w:lang w:val="en-AU"/>
        </w:rPr>
        <w:t xml:space="preserve">, and different WQ concentrations (Devlin </w:t>
      </w:r>
      <w:r w:rsidR="00C83BA4">
        <w:rPr>
          <w:lang w:val="en-AU"/>
        </w:rPr>
        <w:t>et al.,</w:t>
      </w:r>
      <w:r w:rsidR="00C83BA4" w:rsidRPr="00EE6F82">
        <w:rPr>
          <w:lang w:val="en-AU"/>
        </w:rPr>
        <w:t xml:space="preserve"> </w:t>
      </w:r>
      <w:r w:rsidR="00C83BA4" w:rsidRPr="004A5BF7">
        <w:rPr>
          <w:rFonts w:eastAsia="Calibri"/>
          <w:lang w:val="en-AU"/>
        </w:rPr>
        <w:t>2012a</w:t>
      </w:r>
      <w:r w:rsidRPr="004A5BF7">
        <w:rPr>
          <w:rFonts w:eastAsia="Calibri"/>
          <w:lang w:val="en-AU"/>
        </w:rPr>
        <w:t xml:space="preserve">, Álvarez-Romero </w:t>
      </w:r>
      <w:r w:rsidR="00C83BA4" w:rsidRPr="00C83BA4">
        <w:rPr>
          <w:lang w:val="en-AU"/>
        </w:rPr>
        <w:t xml:space="preserve">et al., </w:t>
      </w:r>
      <w:r w:rsidR="00C83BA4" w:rsidRPr="004A5BF7">
        <w:rPr>
          <w:rFonts w:eastAsia="Calibri"/>
          <w:lang w:val="en-AU"/>
        </w:rPr>
        <w:t>2013</w:t>
      </w:r>
      <w:r w:rsidRPr="004A5BF7">
        <w:rPr>
          <w:rFonts w:eastAsia="Calibri"/>
          <w:lang w:val="en-AU"/>
        </w:rPr>
        <w:t xml:space="preserve"> and Petus </w:t>
      </w:r>
      <w:r w:rsidR="00C83BA4" w:rsidRPr="00C83BA4">
        <w:rPr>
          <w:lang w:val="en-AU"/>
        </w:rPr>
        <w:t xml:space="preserve">et al., </w:t>
      </w:r>
      <w:r w:rsidR="00C83BA4" w:rsidRPr="004A5BF7">
        <w:rPr>
          <w:rFonts w:eastAsia="Calibri"/>
          <w:lang w:val="en-AU"/>
        </w:rPr>
        <w:t>2014b</w:t>
      </w:r>
      <w:r w:rsidRPr="004A5BF7">
        <w:rPr>
          <w:rFonts w:eastAsia="Calibri"/>
          <w:lang w:val="en-AU"/>
        </w:rPr>
        <w:t xml:space="preserve">). </w:t>
      </w:r>
    </w:p>
    <w:p w14:paraId="5F22F8C8" w14:textId="3E526EF4" w:rsidR="008A37CB" w:rsidRPr="008514CA" w:rsidRDefault="008A37CB" w:rsidP="004618A1">
      <w:pPr>
        <w:pStyle w:val="ListParagraph"/>
        <w:numPr>
          <w:ilvl w:val="0"/>
          <w:numId w:val="30"/>
        </w:numPr>
        <w:spacing w:after="240"/>
        <w:rPr>
          <w:rFonts w:eastAsia="Calibri" w:cs="Arial"/>
          <w:color w:val="000000" w:themeColor="text1"/>
          <w:lang w:val="en-AU"/>
        </w:rPr>
      </w:pPr>
      <w:r w:rsidRPr="008514CA">
        <w:rPr>
          <w:rFonts w:eastAsia="Calibri" w:cs="Arial"/>
          <w:color w:val="000000" w:themeColor="text1"/>
          <w:lang w:val="en-AU"/>
        </w:rPr>
        <w:t>The Primary water type presents very high turbidity, low salinity (0 to 10</w:t>
      </w:r>
      <w:r w:rsidR="00071797">
        <w:rPr>
          <w:rFonts w:eastAsia="Calibri" w:cs="Arial"/>
          <w:color w:val="000000" w:themeColor="text1"/>
          <w:lang w:val="en-AU"/>
        </w:rPr>
        <w:t xml:space="preserve"> ppt</w:t>
      </w:r>
      <w:r w:rsidRPr="008514CA">
        <w:rPr>
          <w:rFonts w:eastAsia="Calibri" w:cs="Arial"/>
          <w:color w:val="000000" w:themeColor="text1"/>
          <w:lang w:val="en-AU"/>
        </w:rPr>
        <w:t xml:space="preserve">; Devlin et al., 2010), and very high values of CDOM and Total Suspended Sediment (TSS). Turbidity levels limit light penetration in Primary waters, inhibiting primary production and limiting chl-a concentration. </w:t>
      </w:r>
    </w:p>
    <w:p w14:paraId="5F22F8C9" w14:textId="20B317A4" w:rsidR="008A37CB" w:rsidRPr="008514CA" w:rsidRDefault="008A37CB" w:rsidP="004618A1">
      <w:pPr>
        <w:pStyle w:val="ListParagraph"/>
        <w:numPr>
          <w:ilvl w:val="0"/>
          <w:numId w:val="30"/>
        </w:numPr>
        <w:spacing w:after="240"/>
        <w:rPr>
          <w:rFonts w:eastAsia="Calibri" w:cs="Arial"/>
          <w:color w:val="000000" w:themeColor="text1"/>
          <w:lang w:val="en-AU"/>
        </w:rPr>
      </w:pPr>
      <w:r w:rsidRPr="008514CA">
        <w:rPr>
          <w:rFonts w:eastAsia="Calibri" w:cs="Arial"/>
          <w:color w:val="000000" w:themeColor="text1"/>
          <w:lang w:val="en-AU"/>
        </w:rPr>
        <w:t>The Secondary water type is characterised by intermediate salinity, elevated CDOM concentrations, and reduced TSS due to sedimentation (Bainbridge et al., 2012). In this water type (middle salinity range: 10 to 25</w:t>
      </w:r>
      <w:r w:rsidR="00071797">
        <w:rPr>
          <w:rFonts w:eastAsia="Calibri" w:cs="Arial"/>
          <w:color w:val="000000" w:themeColor="text1"/>
          <w:lang w:val="en-AU"/>
        </w:rPr>
        <w:t xml:space="preserve"> ppt</w:t>
      </w:r>
      <w:r w:rsidRPr="008514CA">
        <w:rPr>
          <w:rFonts w:eastAsia="Calibri" w:cs="Arial"/>
          <w:color w:val="000000" w:themeColor="text1"/>
          <w:lang w:val="en-AU"/>
        </w:rPr>
        <w:t xml:space="preserve">; Devlin et al., 2010), the phytoplankton growth is prompted by the increased light (due to lower TSS) and high nutrient availability delivered by the river plume. </w:t>
      </w:r>
    </w:p>
    <w:p w14:paraId="5F22F8CA" w14:textId="2F94C7FC" w:rsidR="008A37CB" w:rsidRPr="008514CA" w:rsidRDefault="008A37CB" w:rsidP="004618A1">
      <w:pPr>
        <w:pStyle w:val="ListParagraph"/>
        <w:numPr>
          <w:ilvl w:val="0"/>
          <w:numId w:val="30"/>
        </w:numPr>
        <w:spacing w:after="240"/>
        <w:rPr>
          <w:rFonts w:eastAsia="Calibri" w:cs="Arial"/>
          <w:color w:val="000000" w:themeColor="text1"/>
          <w:lang w:val="en-AU"/>
        </w:rPr>
      </w:pPr>
      <w:r w:rsidRPr="008514CA">
        <w:rPr>
          <w:rFonts w:eastAsia="Calibri" w:cs="Arial"/>
          <w:color w:val="000000" w:themeColor="text1"/>
          <w:lang w:val="en-AU"/>
        </w:rPr>
        <w:t xml:space="preserve">The Tertiary water type occupies the external region of the river plume. It exhibits no or low TSS associated with the river plume, and above-ambient concentrations of chl-a and CDOM. This water type can be described as being the transition between Secondary water and marine ambient water, and </w:t>
      </w:r>
      <w:r w:rsidR="00E918C2">
        <w:rPr>
          <w:rFonts w:eastAsia="Calibri" w:cs="Arial"/>
          <w:color w:val="000000" w:themeColor="text1"/>
          <w:lang w:val="en-AU"/>
        </w:rPr>
        <w:t>have</w:t>
      </w:r>
      <w:r w:rsidR="00E918C2" w:rsidRPr="008514CA">
        <w:rPr>
          <w:rFonts w:eastAsia="Calibri" w:cs="Arial"/>
          <w:color w:val="000000" w:themeColor="text1"/>
          <w:lang w:val="en-AU"/>
        </w:rPr>
        <w:t xml:space="preserve"> </w:t>
      </w:r>
      <w:r w:rsidRPr="008514CA">
        <w:rPr>
          <w:rFonts w:eastAsia="Calibri" w:cs="Arial"/>
          <w:color w:val="000000" w:themeColor="text1"/>
          <w:lang w:val="en-AU"/>
        </w:rPr>
        <w:t>salinity lower than the marine waters (typically defined by salinity ≥ 35</w:t>
      </w:r>
      <w:r w:rsidR="00071797">
        <w:rPr>
          <w:rFonts w:eastAsia="Calibri" w:cs="Arial"/>
          <w:color w:val="000000" w:themeColor="text1"/>
          <w:lang w:val="en-AU"/>
        </w:rPr>
        <w:t xml:space="preserve"> ppt</w:t>
      </w:r>
      <w:r w:rsidRPr="008514CA">
        <w:rPr>
          <w:rFonts w:eastAsia="Calibri" w:cs="Arial"/>
          <w:color w:val="000000" w:themeColor="text1"/>
          <w:lang w:val="en-AU"/>
        </w:rPr>
        <w:t>; e.g., Pinet, 2000).</w:t>
      </w:r>
      <w:r w:rsidRPr="008514CA" w:rsidDel="00AB42A3">
        <w:rPr>
          <w:rFonts w:eastAsia="Calibri" w:cs="Arial"/>
          <w:color w:val="000000" w:themeColor="text1"/>
          <w:lang w:val="en-AU"/>
        </w:rPr>
        <w:t xml:space="preserve"> </w:t>
      </w:r>
    </w:p>
    <w:p w14:paraId="5F22F8CB" w14:textId="77777777" w:rsidR="008A37CB" w:rsidRPr="008467AA" w:rsidRDefault="008A37CB" w:rsidP="008A37CB">
      <w:pPr>
        <w:rPr>
          <w:lang w:val="en-AU"/>
        </w:rPr>
      </w:pPr>
    </w:p>
    <w:p w14:paraId="5F22F8CC" w14:textId="77777777" w:rsidR="008A37CB" w:rsidRPr="00413C8F" w:rsidRDefault="008A37CB" w:rsidP="008A37CB">
      <w:pPr>
        <w:rPr>
          <w:b/>
        </w:rPr>
      </w:pPr>
      <w:r w:rsidRPr="00413C8F">
        <w:rPr>
          <w:b/>
        </w:rPr>
        <w:t xml:space="preserve">Supervised classification using spectral signatures </w:t>
      </w:r>
    </w:p>
    <w:p w14:paraId="5F22F8CD" w14:textId="77777777" w:rsidR="008A37CB" w:rsidRDefault="008A37CB" w:rsidP="008A37CB">
      <w:pPr>
        <w:rPr>
          <w:lang w:val="en-AU"/>
        </w:rPr>
      </w:pPr>
      <w:r w:rsidRPr="008467AA">
        <w:rPr>
          <w:lang w:val="en-AU"/>
        </w:rPr>
        <w:t>Daily MODIS Level-0 data are acquired from the NASA Ocean Colour website (http://oceancolour.gsfc.nasa.gov) and converted into true colour images with a spatial resolution of about 500 ×500 m using SeaWiFS Data Analysis System (SeaDAS; Baith et al., 2001). The true-colour images are then spectrally enhanced (from red-green-blue to hue-saturation-intensity colour system) and classified to six colour categories through a supervised classification using spectral signatures from plume water in the GBR. The six colour classes are further reclassified into three flood plume water types (primary, secondary, tertiary) corresponding to the three water types defined by e.g., Devlin and Schaffelke (2009) and Devlin et al.</w:t>
      </w:r>
      <w:r w:rsidR="00C83BA4">
        <w:rPr>
          <w:lang w:val="en-AU"/>
        </w:rPr>
        <w:t>,</w:t>
      </w:r>
      <w:r w:rsidRPr="008467AA">
        <w:rPr>
          <w:lang w:val="en-AU"/>
        </w:rPr>
        <w:t xml:space="preserve"> (2012a). </w:t>
      </w:r>
    </w:p>
    <w:p w14:paraId="5F22F8CE" w14:textId="77777777" w:rsidR="008A37CB" w:rsidRPr="008467AA" w:rsidRDefault="008A37CB" w:rsidP="008A37CB">
      <w:pPr>
        <w:rPr>
          <w:lang w:val="en-AU"/>
        </w:rPr>
      </w:pPr>
    </w:p>
    <w:p w14:paraId="5F22F8CF" w14:textId="77777777" w:rsidR="008A37CB" w:rsidRPr="00413C8F" w:rsidRDefault="008A37CB" w:rsidP="008A37CB">
      <w:pPr>
        <w:rPr>
          <w:b/>
        </w:rPr>
      </w:pPr>
      <w:r w:rsidRPr="00413C8F">
        <w:rPr>
          <w:b/>
        </w:rPr>
        <w:t>Production of weekly Plume water type maps</w:t>
      </w:r>
    </w:p>
    <w:p w14:paraId="5F22F8D0" w14:textId="67E56DB4" w:rsidR="008A37CB" w:rsidRPr="008467AA" w:rsidRDefault="008A37CB" w:rsidP="008A37CB">
      <w:pPr>
        <w:rPr>
          <w:lang w:val="en-AU"/>
        </w:rPr>
      </w:pPr>
      <w:r w:rsidRPr="008467AA">
        <w:rPr>
          <w:lang w:val="en-AU"/>
        </w:rPr>
        <w:t xml:space="preserve">The sediment-dominated waters or primary water type are defined as corresponding to colour classes 1 to 4 of Álvarez-Romero </w:t>
      </w:r>
      <w:r w:rsidR="00C83BA4">
        <w:rPr>
          <w:lang w:val="en-AU"/>
        </w:rPr>
        <w:t>et al.,</w:t>
      </w:r>
      <w:r w:rsidR="00C83BA4" w:rsidRPr="00EE6F82">
        <w:rPr>
          <w:lang w:val="en-AU"/>
        </w:rPr>
        <w:t xml:space="preserve"> </w:t>
      </w:r>
      <w:r w:rsidRPr="008467AA">
        <w:rPr>
          <w:lang w:val="en-AU"/>
        </w:rPr>
        <w:t xml:space="preserve">(2013). The chl-a-dominated waters or secondary water type are defined as corresponding to the bluish-green waters (i.e., colour class 5 from Álvarez-Romero </w:t>
      </w:r>
      <w:r w:rsidR="00C83BA4">
        <w:rPr>
          <w:lang w:val="en-AU"/>
        </w:rPr>
        <w:t>et al.,</w:t>
      </w:r>
      <w:r w:rsidR="00C83BA4" w:rsidRPr="00EE6F82">
        <w:rPr>
          <w:lang w:val="en-AU"/>
        </w:rPr>
        <w:t xml:space="preserve"> </w:t>
      </w:r>
      <w:r w:rsidRPr="008467AA">
        <w:rPr>
          <w:lang w:val="en-AU"/>
        </w:rPr>
        <w:t xml:space="preserve">2013) and the tertiary water type is defined as corresponding to the colour class 6 of Álvarez-Romero </w:t>
      </w:r>
      <w:r w:rsidR="00C83BA4">
        <w:rPr>
          <w:lang w:val="en-AU"/>
        </w:rPr>
        <w:t>et al.,</w:t>
      </w:r>
      <w:r w:rsidR="00C83BA4" w:rsidRPr="00EE6F82">
        <w:rPr>
          <w:lang w:val="en-AU"/>
        </w:rPr>
        <w:t xml:space="preserve"> </w:t>
      </w:r>
      <w:r w:rsidRPr="008467AA">
        <w:rPr>
          <w:lang w:val="en-AU"/>
        </w:rPr>
        <w:t>(2013) (see</w:t>
      </w:r>
      <w:r w:rsidR="003E25ED">
        <w:rPr>
          <w:lang w:val="en-AU"/>
        </w:rPr>
        <w:t xml:space="preserve"> Table A 3</w:t>
      </w:r>
      <w:r w:rsidRPr="008467AA">
        <w:rPr>
          <w:lang w:val="en-AU"/>
        </w:rPr>
        <w:t>). The full extent of the plume is defined as the combination of the Primary; Secondary and Tertiary plume water surfaces.</w:t>
      </w:r>
    </w:p>
    <w:p w14:paraId="5F22F8D1" w14:textId="77777777" w:rsidR="008A37CB" w:rsidRDefault="008A37CB" w:rsidP="008A37CB">
      <w:pPr>
        <w:rPr>
          <w:color w:val="000000" w:themeColor="text1"/>
          <w:lang w:val="en-AU"/>
        </w:rPr>
      </w:pPr>
      <w:r w:rsidRPr="008467AA">
        <w:rPr>
          <w:color w:val="000000" w:themeColor="text1"/>
          <w:lang w:val="en-AU"/>
        </w:rPr>
        <w:t xml:space="preserve">This supervised classification was used to classify 10 years of daily MODIS images (from December 2003 to April 2015 and focused on the summer wet season i.e., December to April inclusive). </w:t>
      </w:r>
      <w:r w:rsidRPr="008467AA">
        <w:rPr>
          <w:lang w:val="en-AU"/>
        </w:rPr>
        <w:t>Weekly plume water composites were</w:t>
      </w:r>
      <w:r w:rsidRPr="008467AA">
        <w:rPr>
          <w:color w:val="000000" w:themeColor="text1"/>
          <w:lang w:val="en-AU"/>
        </w:rPr>
        <w:t xml:space="preserve"> then created to minimise the image area contaminated by dense cloud cover and intense sun glint (Álvarez-Romero </w:t>
      </w:r>
      <w:r w:rsidR="00C83BA4">
        <w:rPr>
          <w:lang w:val="en-AU"/>
        </w:rPr>
        <w:t>et al.,</w:t>
      </w:r>
      <w:r w:rsidR="00C83BA4" w:rsidRPr="00EE6F82">
        <w:rPr>
          <w:lang w:val="en-AU"/>
        </w:rPr>
        <w:t xml:space="preserve"> </w:t>
      </w:r>
      <w:r w:rsidRPr="008467AA">
        <w:rPr>
          <w:color w:val="000000" w:themeColor="text1"/>
          <w:lang w:val="en-AU"/>
        </w:rPr>
        <w:t xml:space="preserve">2013). </w:t>
      </w:r>
    </w:p>
    <w:p w14:paraId="5F22F8D2" w14:textId="77777777" w:rsidR="008A37CB" w:rsidRPr="008467AA" w:rsidRDefault="008A37CB" w:rsidP="008A37CB">
      <w:pPr>
        <w:rPr>
          <w:color w:val="000000" w:themeColor="text1"/>
          <w:lang w:val="en-AU"/>
        </w:rPr>
      </w:pPr>
    </w:p>
    <w:p w14:paraId="5F22F8D3" w14:textId="77777777" w:rsidR="008A37CB" w:rsidRPr="00413C8F" w:rsidRDefault="008A37CB" w:rsidP="008A37CB">
      <w:pPr>
        <w:rPr>
          <w:b/>
        </w:rPr>
      </w:pPr>
      <w:r w:rsidRPr="00413C8F">
        <w:rPr>
          <w:b/>
        </w:rPr>
        <w:t xml:space="preserve">Production of annual and multi-annual Plume water type maps  </w:t>
      </w:r>
    </w:p>
    <w:p w14:paraId="5F22F8D4" w14:textId="77777777" w:rsidR="008A37CB" w:rsidRPr="008467AA" w:rsidRDefault="008A37CB" w:rsidP="008A37CB">
      <w:pPr>
        <w:rPr>
          <w:lang w:val="en-AU"/>
        </w:rPr>
      </w:pPr>
      <w:r w:rsidRPr="008467AA">
        <w:rPr>
          <w:color w:val="000000" w:themeColor="text1"/>
          <w:lang w:val="en-AU"/>
        </w:rPr>
        <w:t>Weekly composites are thus overlaid in ArcGIS (i.e., presence/absence of ’this’ water type) and normalized, to compute annual normalised frequency maps of occurrence of water type (</w:t>
      </w:r>
      <w:r w:rsidRPr="008467AA">
        <w:rPr>
          <w:lang w:val="en-AU"/>
        </w:rPr>
        <w:t>hereafter annual frequency maps). Pixel (or cell) values of these maps range from 1 to 22 (normalized value of 0.45 – 1) ; with a value of 22 meaning that ‘this’ pixel has been exposed 22 weeks out of 22 week of ‘this’ years’  wet season (December to April 2003 to 2015) to ‘this’ plume water type. Finally, annual frequency maps are overlayed in ArcGIS to create multi-annual (2003-2015) normalised frequency composites of occurrence of plume water types (hereafter multi-annual frequency maps).</w:t>
      </w:r>
    </w:p>
    <w:p w14:paraId="5F22F8D5" w14:textId="77777777" w:rsidR="008A37CB" w:rsidRPr="008467AA" w:rsidRDefault="008A37CB" w:rsidP="008A37CB">
      <w:pPr>
        <w:rPr>
          <w:rFonts w:ascii="Calibri" w:eastAsia="Calibri" w:hAnsi="Calibri"/>
          <w:color w:val="000000" w:themeColor="text1"/>
          <w:lang w:val="en-AU"/>
        </w:rPr>
      </w:pPr>
    </w:p>
    <w:p w14:paraId="5F22F8D6" w14:textId="77777777" w:rsidR="008A37CB" w:rsidRPr="00C27BEB" w:rsidRDefault="008A37CB" w:rsidP="008A37CB">
      <w:pPr>
        <w:rPr>
          <w:rStyle w:val="Heading20"/>
          <w:b/>
        </w:rPr>
      </w:pPr>
      <w:r w:rsidRPr="00C27BEB">
        <w:rPr>
          <w:rStyle w:val="Heading20"/>
          <w:b/>
        </w:rPr>
        <w:t xml:space="preserve">Water quality concentrations in river plumes </w:t>
      </w:r>
    </w:p>
    <w:p w14:paraId="5F22F8D7" w14:textId="79C8E3BD" w:rsidR="008A37CB" w:rsidRDefault="008A37CB" w:rsidP="008A37CB">
      <w:pPr>
        <w:rPr>
          <w:lang w:val="en-AU"/>
        </w:rPr>
      </w:pPr>
      <w:r w:rsidRPr="008467AA">
        <w:rPr>
          <w:lang w:val="en-AU"/>
        </w:rPr>
        <w:t>Additional information on plume water quality can be extracted from these plume and plume water type maps by reporting the characteristics of the corresponding in-situ wet season water quality data with the colour class or plume water type frequency values. Several land-sourced pollutants are investigated through match-ups between in-situ data and the six plume colour class maps, including the Dissolved inorganic nitrogen (DIN), dissolved inorganic phosphorus (DIP), TSS, chl-a, Kd and CDOM. Comparisons between weekly plume water composites (Primary, Secondary, and Tertiary,) and in-situ physical and water quality measurements collected during the wet seasons 2007 to 2013 as part of the GBR Marine Monitoring Program were performed. In-situ values were assigned to each weekly plume water type (colour classes 1 to 6) based on their location</w:t>
      </w:r>
      <w:r w:rsidR="00071797">
        <w:rPr>
          <w:lang w:val="en-AU"/>
        </w:rPr>
        <w:t xml:space="preserve">, , and the data extraction is done at weekly basis, i.e., the smallest temporal resolution of </w:t>
      </w:r>
      <w:r w:rsidR="0006225D">
        <w:rPr>
          <w:lang w:val="en-AU"/>
        </w:rPr>
        <w:t>the</w:t>
      </w:r>
      <w:r w:rsidR="00071797">
        <w:rPr>
          <w:lang w:val="en-AU"/>
        </w:rPr>
        <w:t xml:space="preserve"> plume maps</w:t>
      </w:r>
      <w:r w:rsidRPr="008467AA">
        <w:rPr>
          <w:lang w:val="en-AU"/>
        </w:rPr>
        <w:t>.  Mean values and standard deviations were calculated.</w:t>
      </w:r>
    </w:p>
    <w:p w14:paraId="5F22F8D8" w14:textId="77777777" w:rsidR="008A37CB" w:rsidRPr="008467AA" w:rsidRDefault="008A37CB" w:rsidP="003E25ED">
      <w:pPr>
        <w:rPr>
          <w:rFonts w:eastAsia="Calibri"/>
          <w:lang w:val="en-AU"/>
        </w:rPr>
      </w:pPr>
    </w:p>
    <w:p w14:paraId="760507A7" w14:textId="77777777" w:rsidR="00C65A97" w:rsidRDefault="00C65A97" w:rsidP="003E25ED">
      <w:bookmarkStart w:id="1533" w:name="_Ref428188445"/>
      <w:bookmarkStart w:id="1534" w:name="_Toc434607199"/>
      <w:r>
        <w:br w:type="page"/>
      </w:r>
    </w:p>
    <w:p w14:paraId="5F22F8DA" w14:textId="136F9219" w:rsidR="008A37CB" w:rsidRPr="00C85410" w:rsidRDefault="006A00D6" w:rsidP="00164E5E">
      <w:pPr>
        <w:pStyle w:val="Caption"/>
        <w:rPr>
          <w:rStyle w:val="IntenseReference"/>
        </w:rPr>
      </w:pPr>
      <w:bookmarkStart w:id="1535" w:name="_Toc459332182"/>
      <w:r>
        <w:t>Table A1</w:t>
      </w:r>
      <w:r w:rsidR="000455DA">
        <w:t xml:space="preserve"> </w:t>
      </w:r>
      <w:r w:rsidR="00EB33A6">
        <w:fldChar w:fldCharType="begin"/>
      </w:r>
      <w:r w:rsidR="00D8225E">
        <w:instrText xml:space="preserve"> SEQ Table_A1 \* ARABIC </w:instrText>
      </w:r>
      <w:r w:rsidR="00EB33A6">
        <w:fldChar w:fldCharType="separate"/>
      </w:r>
      <w:r w:rsidR="007F5336">
        <w:rPr>
          <w:noProof/>
        </w:rPr>
        <w:t>3</w:t>
      </w:r>
      <w:r w:rsidR="00EB33A6">
        <w:rPr>
          <w:noProof/>
        </w:rPr>
        <w:fldChar w:fldCharType="end"/>
      </w:r>
      <w:bookmarkEnd w:id="1533"/>
      <w:r w:rsidR="008A37CB" w:rsidRPr="00C85410">
        <w:t xml:space="preserve">: Plume water types as described in e.g., Devlin et al. </w:t>
      </w:r>
      <w:r w:rsidR="008A37CB" w:rsidRPr="009D4D30">
        <w:rPr>
          <w:lang w:val="en-AU"/>
        </w:rPr>
        <w:t>(2012a), Álvarez-Romero et al. (2013) and Petus et al (2014b)</w:t>
      </w:r>
      <w:bookmarkEnd w:id="1535"/>
      <w:r w:rsidR="008A37CB" w:rsidRPr="009D4D30">
        <w:rPr>
          <w:lang w:val="en-AU"/>
        </w:rPr>
        <w:t xml:space="preserve"> </w:t>
      </w:r>
      <w:r w:rsidR="008A37CB" w:rsidRPr="00C85410">
        <w:rPr>
          <w:rStyle w:val="IntenseReference"/>
        </w:rPr>
        <w:t>and detailing the water quality and optical properties (e.g., Clarke et al.,1970; Morel and Prieur,1977; Froidefond et al., 2002; McClain, 2009), and the mean TSS, chl-a and Kd(PAR) which define the plume characteristics within each plume type concentrations (modified from Devlin et al., 2013b).</w:t>
      </w:r>
      <w:bookmarkEnd w:id="1534"/>
    </w:p>
    <w:tbl>
      <w:tblPr>
        <w:tblStyle w:val="TableGrid1"/>
        <w:tblW w:w="5000" w:type="pct"/>
        <w:tblLook w:val="04A0" w:firstRow="1" w:lastRow="0" w:firstColumn="1" w:lastColumn="0" w:noHBand="0" w:noVBand="1"/>
        <w:tblCaption w:val="Table A1 3: Plume water types described for the GBR."/>
        <w:tblDescription w:val="Table summarising plume water types as described in e.g., Devlin et al. (2012a), Álvarez-Romero et al. (2013) and Petus et al (2014b) and detailing the water quality and optical properties (e.g., Clarke et al.,1970; Morel and Prieur,1977; Froidefond et al., 2002; McClain, 2009), and the mean TSS, chl-a and Kd(PAR) which define the plume characteristics within each plume type concentrations (modified from Devlin et al., 2013b)."/>
      </w:tblPr>
      <w:tblGrid>
        <w:gridCol w:w="867"/>
        <w:gridCol w:w="637"/>
        <w:gridCol w:w="3011"/>
        <w:gridCol w:w="2780"/>
        <w:gridCol w:w="1948"/>
      </w:tblGrid>
      <w:tr w:rsidR="004E06FD" w:rsidRPr="00C65A97" w14:paraId="5F22F8E0" w14:textId="77777777" w:rsidTr="003E25ED">
        <w:trPr>
          <w:trHeight w:val="960"/>
          <w:tblHeader/>
        </w:trPr>
        <w:tc>
          <w:tcPr>
            <w:tcW w:w="39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F22F8DB" w14:textId="77777777" w:rsidR="004E06FD" w:rsidRPr="004A5BF7" w:rsidRDefault="004E06FD" w:rsidP="004A5BF7">
            <w:pPr>
              <w:spacing w:before="0" w:after="0"/>
              <w:jc w:val="left"/>
              <w:rPr>
                <w:rFonts w:eastAsia="Times New Roman" w:cs="Arial"/>
                <w:b/>
                <w:sz w:val="18"/>
                <w:szCs w:val="18"/>
              </w:rPr>
            </w:pPr>
            <w:r w:rsidRPr="004A5BF7">
              <w:rPr>
                <w:rFonts w:cs="Arial"/>
                <w:b/>
                <w:sz w:val="18"/>
                <w:szCs w:val="18"/>
              </w:rPr>
              <w:t>Colour classes</w:t>
            </w:r>
          </w:p>
        </w:tc>
        <w:tc>
          <w:tcPr>
            <w:tcW w:w="31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F22F8DC" w14:textId="77777777" w:rsidR="004E06FD" w:rsidRPr="004A5BF7" w:rsidRDefault="004E06FD">
            <w:pPr>
              <w:spacing w:before="0" w:after="0"/>
              <w:jc w:val="center"/>
              <w:rPr>
                <w:rFonts w:eastAsia="Times New Roman" w:cs="Arial"/>
                <w:b/>
                <w:sz w:val="18"/>
                <w:szCs w:val="18"/>
              </w:rPr>
            </w:pPr>
            <w:r w:rsidRPr="004A5BF7">
              <w:rPr>
                <w:rFonts w:cs="Arial"/>
                <w:b/>
                <w:sz w:val="18"/>
                <w:szCs w:val="18"/>
              </w:rPr>
              <w:t>Type</w:t>
            </w:r>
          </w:p>
        </w:tc>
        <w:tc>
          <w:tcPr>
            <w:tcW w:w="1663"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F22F8DD" w14:textId="77777777" w:rsidR="004E06FD" w:rsidRPr="004A5BF7" w:rsidRDefault="004E06FD">
            <w:pPr>
              <w:spacing w:before="0" w:after="0"/>
              <w:jc w:val="center"/>
              <w:rPr>
                <w:rFonts w:eastAsia="Times New Roman" w:cs="Arial"/>
                <w:b/>
                <w:sz w:val="18"/>
                <w:szCs w:val="18"/>
              </w:rPr>
            </w:pPr>
            <w:r w:rsidRPr="004A5BF7">
              <w:rPr>
                <w:rFonts w:cs="Arial"/>
                <w:b/>
                <w:sz w:val="18"/>
                <w:szCs w:val="18"/>
              </w:rPr>
              <w:t>Description</w:t>
            </w:r>
          </w:p>
        </w:tc>
        <w:tc>
          <w:tcPr>
            <w:tcW w:w="153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F22F8DE" w14:textId="77777777" w:rsidR="004E06FD" w:rsidRPr="004A5BF7" w:rsidRDefault="004E06FD">
            <w:pPr>
              <w:spacing w:before="0" w:after="0"/>
              <w:jc w:val="center"/>
              <w:rPr>
                <w:rFonts w:eastAsia="Times New Roman" w:cs="Arial"/>
                <w:b/>
                <w:sz w:val="18"/>
                <w:szCs w:val="18"/>
              </w:rPr>
            </w:pPr>
            <w:r w:rsidRPr="004A5BF7">
              <w:rPr>
                <w:rFonts w:cs="Arial"/>
                <w:b/>
                <w:sz w:val="18"/>
                <w:szCs w:val="18"/>
              </w:rPr>
              <w:t>Colour properties</w:t>
            </w:r>
          </w:p>
        </w:tc>
        <w:tc>
          <w:tcPr>
            <w:tcW w:w="108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F22F8DF" w14:textId="77777777" w:rsidR="004E06FD" w:rsidRPr="004A5BF7" w:rsidRDefault="004E06FD">
            <w:pPr>
              <w:spacing w:before="0" w:after="0"/>
              <w:jc w:val="center"/>
              <w:rPr>
                <w:rFonts w:eastAsia="Times New Roman" w:cs="Arial"/>
                <w:b/>
                <w:sz w:val="18"/>
                <w:szCs w:val="18"/>
                <w:lang w:val="fr-FR"/>
              </w:rPr>
            </w:pPr>
            <w:r w:rsidRPr="004A5BF7">
              <w:rPr>
                <w:rFonts w:cs="Arial"/>
                <w:b/>
                <w:sz w:val="18"/>
                <w:szCs w:val="18"/>
                <w:lang w:val="fr-FR"/>
              </w:rPr>
              <w:t>Mean concentrations (Devlin et al.,  2013)</w:t>
            </w:r>
          </w:p>
        </w:tc>
      </w:tr>
      <w:tr w:rsidR="004E06FD" w:rsidRPr="00C65A97" w14:paraId="5F22F8E7" w14:textId="77777777" w:rsidTr="004A5BF7">
        <w:trPr>
          <w:trHeight w:val="1134"/>
        </w:trPr>
        <w:tc>
          <w:tcPr>
            <w:tcW w:w="394" w:type="pct"/>
            <w:tcBorders>
              <w:top w:val="single" w:sz="4" w:space="0" w:color="auto"/>
              <w:left w:val="single" w:sz="4" w:space="0" w:color="auto"/>
              <w:bottom w:val="single" w:sz="4" w:space="0" w:color="auto"/>
              <w:right w:val="single" w:sz="4" w:space="0" w:color="auto"/>
            </w:tcBorders>
            <w:textDirection w:val="btLr"/>
            <w:hideMark/>
          </w:tcPr>
          <w:p w14:paraId="5F22F8E1" w14:textId="77777777" w:rsidR="004E06FD" w:rsidRPr="004A5BF7" w:rsidRDefault="004E06FD" w:rsidP="00C65A97">
            <w:pPr>
              <w:spacing w:before="0" w:after="0"/>
              <w:ind w:left="113" w:right="113"/>
              <w:jc w:val="center"/>
              <w:rPr>
                <w:rFonts w:cs="Arial"/>
                <w:sz w:val="18"/>
                <w:szCs w:val="18"/>
              </w:rPr>
            </w:pPr>
            <w:r w:rsidRPr="004A5BF7">
              <w:rPr>
                <w:rFonts w:cs="Arial"/>
                <w:sz w:val="18"/>
                <w:szCs w:val="18"/>
              </w:rPr>
              <w:t>1 to 4</w:t>
            </w:r>
          </w:p>
        </w:tc>
        <w:tc>
          <w:tcPr>
            <w:tcW w:w="317" w:type="pct"/>
            <w:tcBorders>
              <w:top w:val="single" w:sz="4" w:space="0" w:color="auto"/>
              <w:left w:val="single" w:sz="4" w:space="0" w:color="auto"/>
              <w:bottom w:val="single" w:sz="4" w:space="0" w:color="auto"/>
              <w:right w:val="single" w:sz="4" w:space="0" w:color="auto"/>
            </w:tcBorders>
            <w:textDirection w:val="btLr"/>
            <w:hideMark/>
          </w:tcPr>
          <w:p w14:paraId="5F22F8E2" w14:textId="77777777" w:rsidR="004E06FD" w:rsidRPr="004A5BF7" w:rsidRDefault="004E06FD">
            <w:pPr>
              <w:spacing w:before="0" w:after="0"/>
              <w:ind w:left="113" w:right="113"/>
              <w:jc w:val="center"/>
              <w:rPr>
                <w:rFonts w:cs="Arial"/>
                <w:b/>
                <w:sz w:val="18"/>
                <w:szCs w:val="18"/>
              </w:rPr>
            </w:pPr>
            <w:r w:rsidRPr="004A5BF7">
              <w:rPr>
                <w:rFonts w:cs="Arial"/>
                <w:b/>
                <w:sz w:val="18"/>
                <w:szCs w:val="18"/>
              </w:rPr>
              <w:t>Primary</w:t>
            </w:r>
          </w:p>
        </w:tc>
        <w:tc>
          <w:tcPr>
            <w:tcW w:w="1663" w:type="pct"/>
            <w:tcBorders>
              <w:top w:val="single" w:sz="4" w:space="0" w:color="auto"/>
              <w:left w:val="single" w:sz="4" w:space="0" w:color="auto"/>
              <w:bottom w:val="single" w:sz="4" w:space="0" w:color="auto"/>
              <w:right w:val="single" w:sz="4" w:space="0" w:color="auto"/>
            </w:tcBorders>
            <w:hideMark/>
          </w:tcPr>
          <w:p w14:paraId="5F22F8E3" w14:textId="77777777" w:rsidR="004E06FD" w:rsidRPr="004A5BF7" w:rsidRDefault="004E06FD" w:rsidP="004A5BF7">
            <w:pPr>
              <w:spacing w:before="60" w:after="0"/>
              <w:jc w:val="left"/>
              <w:rPr>
                <w:rFonts w:cs="Arial"/>
                <w:sz w:val="18"/>
                <w:szCs w:val="18"/>
              </w:rPr>
            </w:pPr>
            <w:r w:rsidRPr="004A5BF7">
              <w:rPr>
                <w:rFonts w:cs="Arial"/>
                <w:sz w:val="18"/>
                <w:szCs w:val="18"/>
              </w:rPr>
              <w:t>Sediment-dominated waters: characterised by high values of CDOM and TSS, with TSS concentrations dropping out rapidly as the heavier particulate material flocculates and settles to the sea floor (Devlin and Brodie, 2005; Brodie and Waterhouse, 2009). Turbidity levels limit the light (K</w:t>
            </w:r>
            <w:r w:rsidRPr="004A5BF7">
              <w:rPr>
                <w:rFonts w:cs="Arial"/>
                <w:sz w:val="18"/>
                <w:szCs w:val="18"/>
                <w:vertAlign w:val="subscript"/>
              </w:rPr>
              <w:t>d</w:t>
            </w:r>
            <w:r w:rsidRPr="004A5BF7">
              <w:rPr>
                <w:rFonts w:cs="Arial"/>
                <w:sz w:val="18"/>
                <w:szCs w:val="18"/>
              </w:rPr>
              <w:t>PAR) in these low salinity waters, inhibiting production and limiting chl-a concentrations.</w:t>
            </w:r>
          </w:p>
        </w:tc>
        <w:tc>
          <w:tcPr>
            <w:tcW w:w="1538" w:type="pct"/>
            <w:tcBorders>
              <w:top w:val="single" w:sz="4" w:space="0" w:color="auto"/>
              <w:left w:val="single" w:sz="4" w:space="0" w:color="auto"/>
              <w:bottom w:val="single" w:sz="4" w:space="0" w:color="auto"/>
              <w:right w:val="single" w:sz="4" w:space="0" w:color="auto"/>
            </w:tcBorders>
            <w:hideMark/>
          </w:tcPr>
          <w:p w14:paraId="5F22F8E4" w14:textId="77777777" w:rsidR="004E06FD" w:rsidRPr="004A5BF7" w:rsidRDefault="004E06FD" w:rsidP="004A5BF7">
            <w:pPr>
              <w:spacing w:before="60" w:after="0"/>
              <w:jc w:val="left"/>
              <w:rPr>
                <w:rFonts w:cs="Arial"/>
                <w:sz w:val="18"/>
                <w:szCs w:val="18"/>
              </w:rPr>
            </w:pPr>
            <w:r w:rsidRPr="004A5BF7">
              <w:rPr>
                <w:rFonts w:cs="Arial"/>
                <w:sz w:val="18"/>
                <w:szCs w:val="18"/>
              </w:rPr>
              <w:t>Greenish-brown to beige waters: Sediment particles are highly reflective in the red to infra-red wavelengths of the light spectrum. Sediment-dominated waters have a distinctive brown/beige colour, depending upon the concentration and mineral composition of the sediments.</w:t>
            </w:r>
          </w:p>
        </w:tc>
        <w:tc>
          <w:tcPr>
            <w:tcW w:w="1087" w:type="pct"/>
            <w:tcBorders>
              <w:top w:val="single" w:sz="4" w:space="0" w:color="auto"/>
              <w:left w:val="single" w:sz="4" w:space="0" w:color="auto"/>
              <w:bottom w:val="single" w:sz="4" w:space="0" w:color="auto"/>
              <w:right w:val="single" w:sz="4" w:space="0" w:color="auto"/>
            </w:tcBorders>
            <w:hideMark/>
          </w:tcPr>
          <w:p w14:paraId="5F22F8E5" w14:textId="77777777" w:rsidR="004E06FD" w:rsidRPr="004A5BF7" w:rsidRDefault="004E06FD" w:rsidP="004A5BF7">
            <w:pPr>
              <w:spacing w:before="60" w:after="0"/>
              <w:jc w:val="left"/>
              <w:rPr>
                <w:rFonts w:cs="Arial"/>
                <w:sz w:val="18"/>
                <w:szCs w:val="18"/>
              </w:rPr>
            </w:pPr>
            <w:r w:rsidRPr="004A5BF7">
              <w:rPr>
                <w:rFonts w:cs="Arial"/>
                <w:sz w:val="18"/>
                <w:szCs w:val="18"/>
              </w:rPr>
              <w:t>TSS: 36.8±5.5 mg L</w:t>
            </w:r>
            <w:r w:rsidRPr="004A5BF7">
              <w:rPr>
                <w:rFonts w:cs="Arial"/>
                <w:sz w:val="18"/>
                <w:szCs w:val="18"/>
                <w:vertAlign w:val="superscript"/>
              </w:rPr>
              <w:t>-1</w:t>
            </w:r>
          </w:p>
          <w:p w14:paraId="7EB3EED9" w14:textId="77777777" w:rsidR="009228CA" w:rsidRDefault="004E06FD" w:rsidP="004A5BF7">
            <w:pPr>
              <w:spacing w:before="60" w:after="0"/>
              <w:jc w:val="left"/>
              <w:rPr>
                <w:rFonts w:cs="Arial"/>
                <w:sz w:val="18"/>
                <w:szCs w:val="18"/>
                <w:vertAlign w:val="superscript"/>
                <w:lang w:val="fr-FR"/>
              </w:rPr>
            </w:pPr>
            <w:r w:rsidRPr="004A5BF7">
              <w:rPr>
                <w:rFonts w:cs="Arial"/>
                <w:sz w:val="18"/>
                <w:szCs w:val="18"/>
                <w:lang w:val="fr-FR"/>
              </w:rPr>
              <w:t xml:space="preserve">chl-a: 0.98 ± 0.2 </w:t>
            </w:r>
            <w:r w:rsidRPr="004A5BF7">
              <w:rPr>
                <w:rFonts w:cs="Arial"/>
                <w:sz w:val="18"/>
                <w:szCs w:val="18"/>
              </w:rPr>
              <w:t>μ</w:t>
            </w:r>
            <w:r w:rsidRPr="004A5BF7">
              <w:rPr>
                <w:rFonts w:cs="Arial"/>
                <w:sz w:val="18"/>
                <w:szCs w:val="18"/>
                <w:lang w:val="fr-FR"/>
              </w:rPr>
              <w:t>g L</w:t>
            </w:r>
            <w:r w:rsidRPr="004A5BF7">
              <w:rPr>
                <w:rFonts w:cs="Arial"/>
                <w:sz w:val="18"/>
                <w:szCs w:val="18"/>
                <w:vertAlign w:val="superscript"/>
                <w:lang w:val="fr-FR"/>
              </w:rPr>
              <w:t xml:space="preserve">-1           </w:t>
            </w:r>
          </w:p>
          <w:p w14:paraId="5F22F8E6" w14:textId="57DEF44A" w:rsidR="004E06FD" w:rsidRPr="004A5BF7" w:rsidRDefault="004E06FD" w:rsidP="004A5BF7">
            <w:pPr>
              <w:spacing w:before="60" w:after="0"/>
              <w:jc w:val="left"/>
              <w:rPr>
                <w:rFonts w:cs="Arial"/>
                <w:sz w:val="18"/>
                <w:szCs w:val="18"/>
                <w:lang w:val="fr-FR"/>
              </w:rPr>
            </w:pPr>
            <w:r w:rsidRPr="004A5BF7">
              <w:rPr>
                <w:rFonts w:cs="Arial"/>
                <w:sz w:val="18"/>
                <w:szCs w:val="18"/>
                <w:lang w:val="fr-FR"/>
              </w:rPr>
              <w:t>Kd(PAR): 0.73 ± 0.54 m</w:t>
            </w:r>
            <w:r w:rsidRPr="004A5BF7">
              <w:rPr>
                <w:rFonts w:cs="Arial"/>
                <w:sz w:val="18"/>
                <w:szCs w:val="18"/>
                <w:vertAlign w:val="superscript"/>
                <w:lang w:val="fr-FR"/>
              </w:rPr>
              <w:t>-1</w:t>
            </w:r>
          </w:p>
        </w:tc>
      </w:tr>
      <w:tr w:rsidR="004E06FD" w:rsidRPr="00C65A97" w14:paraId="5F22F8ED" w14:textId="77777777" w:rsidTr="004A5BF7">
        <w:trPr>
          <w:trHeight w:val="2520"/>
        </w:trPr>
        <w:tc>
          <w:tcPr>
            <w:tcW w:w="394" w:type="pct"/>
            <w:tcBorders>
              <w:top w:val="single" w:sz="4" w:space="0" w:color="auto"/>
              <w:left w:val="single" w:sz="4" w:space="0" w:color="auto"/>
              <w:bottom w:val="single" w:sz="4" w:space="0" w:color="auto"/>
              <w:right w:val="single" w:sz="4" w:space="0" w:color="auto"/>
            </w:tcBorders>
            <w:textDirection w:val="btLr"/>
            <w:hideMark/>
          </w:tcPr>
          <w:p w14:paraId="5F22F8E8" w14:textId="77777777" w:rsidR="004E06FD" w:rsidRPr="004A5BF7" w:rsidRDefault="004E06FD" w:rsidP="00C65A97">
            <w:pPr>
              <w:spacing w:before="0" w:after="0"/>
              <w:ind w:left="113" w:right="113"/>
              <w:jc w:val="center"/>
              <w:rPr>
                <w:rFonts w:cs="Arial"/>
                <w:sz w:val="18"/>
                <w:szCs w:val="18"/>
              </w:rPr>
            </w:pPr>
            <w:r w:rsidRPr="004A5BF7">
              <w:rPr>
                <w:rFonts w:cs="Arial"/>
                <w:sz w:val="18"/>
                <w:szCs w:val="18"/>
              </w:rPr>
              <w:t>5</w:t>
            </w:r>
          </w:p>
        </w:tc>
        <w:tc>
          <w:tcPr>
            <w:tcW w:w="317" w:type="pct"/>
            <w:tcBorders>
              <w:top w:val="single" w:sz="4" w:space="0" w:color="auto"/>
              <w:left w:val="single" w:sz="4" w:space="0" w:color="auto"/>
              <w:bottom w:val="single" w:sz="4" w:space="0" w:color="auto"/>
              <w:right w:val="single" w:sz="4" w:space="0" w:color="auto"/>
            </w:tcBorders>
            <w:textDirection w:val="btLr"/>
            <w:hideMark/>
          </w:tcPr>
          <w:p w14:paraId="5F22F8E9" w14:textId="77777777" w:rsidR="004E06FD" w:rsidRPr="004A5BF7" w:rsidRDefault="004E06FD">
            <w:pPr>
              <w:spacing w:before="0" w:after="0"/>
              <w:ind w:left="113" w:right="113"/>
              <w:jc w:val="center"/>
              <w:rPr>
                <w:rFonts w:cs="Arial"/>
                <w:b/>
                <w:sz w:val="18"/>
                <w:szCs w:val="18"/>
              </w:rPr>
            </w:pPr>
            <w:r w:rsidRPr="004A5BF7">
              <w:rPr>
                <w:rFonts w:cs="Arial"/>
                <w:b/>
                <w:sz w:val="18"/>
                <w:szCs w:val="18"/>
              </w:rPr>
              <w:t>Secondary</w:t>
            </w:r>
          </w:p>
        </w:tc>
        <w:tc>
          <w:tcPr>
            <w:tcW w:w="1663" w:type="pct"/>
            <w:tcBorders>
              <w:top w:val="single" w:sz="4" w:space="0" w:color="auto"/>
              <w:left w:val="single" w:sz="4" w:space="0" w:color="auto"/>
              <w:bottom w:val="single" w:sz="4" w:space="0" w:color="auto"/>
              <w:right w:val="single" w:sz="4" w:space="0" w:color="auto"/>
            </w:tcBorders>
            <w:hideMark/>
          </w:tcPr>
          <w:p w14:paraId="5F22F8EA" w14:textId="77777777" w:rsidR="004E06FD" w:rsidRPr="004A5BF7" w:rsidRDefault="004E06FD" w:rsidP="004A5BF7">
            <w:pPr>
              <w:spacing w:before="60" w:after="0"/>
              <w:jc w:val="left"/>
              <w:rPr>
                <w:rFonts w:cs="Arial"/>
                <w:sz w:val="18"/>
                <w:szCs w:val="18"/>
              </w:rPr>
            </w:pPr>
            <w:r w:rsidRPr="004A5BF7">
              <w:rPr>
                <w:rFonts w:cs="Arial"/>
                <w:sz w:val="18"/>
                <w:szCs w:val="18"/>
              </w:rPr>
              <w:t>Chlorophyll-a-dominated waters: characterised by aelevated CDOM with reduced TSS due to sedimentation. In this region, the increased light in comparison to primary water type condition (but still under marine ambient conditions) and nutrient availability prompt phytoplankton growth measured by elevated chl-a concentrations.</w:t>
            </w:r>
          </w:p>
        </w:tc>
        <w:tc>
          <w:tcPr>
            <w:tcW w:w="1538" w:type="pct"/>
            <w:tcBorders>
              <w:top w:val="single" w:sz="4" w:space="0" w:color="auto"/>
              <w:left w:val="single" w:sz="4" w:space="0" w:color="auto"/>
              <w:bottom w:val="single" w:sz="4" w:space="0" w:color="auto"/>
              <w:right w:val="single" w:sz="4" w:space="0" w:color="auto"/>
            </w:tcBorders>
            <w:hideMark/>
          </w:tcPr>
          <w:p w14:paraId="5F22F8EB" w14:textId="77777777" w:rsidR="004E06FD" w:rsidRPr="004A5BF7" w:rsidRDefault="004E06FD" w:rsidP="004A5BF7">
            <w:pPr>
              <w:spacing w:before="60" w:after="0"/>
              <w:jc w:val="left"/>
              <w:rPr>
                <w:rFonts w:cs="Arial"/>
                <w:sz w:val="18"/>
                <w:szCs w:val="18"/>
              </w:rPr>
            </w:pPr>
            <w:r w:rsidRPr="004A5BF7">
              <w:rPr>
                <w:rFonts w:cs="Arial"/>
                <w:sz w:val="18"/>
                <w:szCs w:val="18"/>
              </w:rPr>
              <w:t>Bluish-green waters: Due to this green pigment, chlorophyll /phytoplankton preferentially absorb the red and blue portions of the light spectrum (for photosynthesis) and reflect green light. Chl-a-dominated waters will appear from blue-green to green, depending upon the type and density of the phytoplankton population.</w:t>
            </w:r>
          </w:p>
        </w:tc>
        <w:tc>
          <w:tcPr>
            <w:tcW w:w="1087" w:type="pct"/>
            <w:tcBorders>
              <w:top w:val="single" w:sz="4" w:space="0" w:color="auto"/>
              <w:left w:val="single" w:sz="4" w:space="0" w:color="auto"/>
              <w:bottom w:val="single" w:sz="4" w:space="0" w:color="auto"/>
              <w:right w:val="single" w:sz="4" w:space="0" w:color="auto"/>
            </w:tcBorders>
            <w:hideMark/>
          </w:tcPr>
          <w:p w14:paraId="5F22F8EC" w14:textId="77777777" w:rsidR="004E06FD" w:rsidRPr="004A5BF7" w:rsidRDefault="004E06FD" w:rsidP="004A5BF7">
            <w:pPr>
              <w:spacing w:before="60" w:after="0"/>
              <w:jc w:val="left"/>
              <w:rPr>
                <w:rFonts w:cs="Arial"/>
                <w:sz w:val="18"/>
                <w:szCs w:val="18"/>
              </w:rPr>
            </w:pPr>
            <w:r w:rsidRPr="004A5BF7">
              <w:rPr>
                <w:rFonts w:cs="Arial"/>
                <w:sz w:val="18"/>
                <w:szCs w:val="18"/>
              </w:rPr>
              <w:t>TSS:8.9 ± 18.1 mg l</w:t>
            </w:r>
            <w:r w:rsidRPr="004A5BF7">
              <w:rPr>
                <w:rFonts w:cs="Arial"/>
                <w:sz w:val="18"/>
                <w:szCs w:val="18"/>
                <w:vertAlign w:val="superscript"/>
              </w:rPr>
              <w:t>-1</w:t>
            </w:r>
            <w:r w:rsidRPr="004A5BF7">
              <w:rPr>
                <w:rFonts w:cs="Arial"/>
                <w:sz w:val="18"/>
                <w:szCs w:val="18"/>
              </w:rPr>
              <w:t xml:space="preserve">                     chl-a: 1.3 ± 0.6 μg L</w:t>
            </w:r>
            <w:r w:rsidRPr="004A5BF7">
              <w:rPr>
                <w:rFonts w:cs="Arial"/>
                <w:sz w:val="18"/>
                <w:szCs w:val="18"/>
                <w:vertAlign w:val="superscript"/>
              </w:rPr>
              <w:t xml:space="preserve">-1          </w:t>
            </w:r>
            <w:r w:rsidRPr="004A5BF7">
              <w:rPr>
                <w:rFonts w:cs="Arial"/>
                <w:sz w:val="18"/>
                <w:szCs w:val="18"/>
              </w:rPr>
              <w:t xml:space="preserve"> Kd(PAR): 0.39 ± 0.20 m</w:t>
            </w:r>
            <w:r w:rsidRPr="004A5BF7">
              <w:rPr>
                <w:rFonts w:cs="Arial"/>
                <w:sz w:val="18"/>
                <w:szCs w:val="18"/>
                <w:vertAlign w:val="superscript"/>
              </w:rPr>
              <w:t>-1</w:t>
            </w:r>
          </w:p>
        </w:tc>
      </w:tr>
      <w:tr w:rsidR="004E06FD" w:rsidRPr="00C65A97" w14:paraId="5F22F8F3" w14:textId="77777777" w:rsidTr="004A5BF7">
        <w:trPr>
          <w:trHeight w:val="1832"/>
        </w:trPr>
        <w:tc>
          <w:tcPr>
            <w:tcW w:w="394" w:type="pct"/>
            <w:tcBorders>
              <w:top w:val="single" w:sz="4" w:space="0" w:color="auto"/>
              <w:left w:val="single" w:sz="4" w:space="0" w:color="auto"/>
              <w:bottom w:val="single" w:sz="4" w:space="0" w:color="auto"/>
              <w:right w:val="single" w:sz="4" w:space="0" w:color="auto"/>
            </w:tcBorders>
            <w:textDirection w:val="btLr"/>
            <w:hideMark/>
          </w:tcPr>
          <w:p w14:paraId="5F22F8EE" w14:textId="77777777" w:rsidR="004E06FD" w:rsidRPr="004A5BF7" w:rsidRDefault="004E06FD" w:rsidP="00C65A97">
            <w:pPr>
              <w:spacing w:before="0" w:after="0"/>
              <w:ind w:left="113" w:right="113"/>
              <w:jc w:val="center"/>
              <w:rPr>
                <w:rFonts w:cs="Arial"/>
                <w:sz w:val="18"/>
                <w:szCs w:val="18"/>
              </w:rPr>
            </w:pPr>
            <w:r w:rsidRPr="004A5BF7">
              <w:rPr>
                <w:rFonts w:cs="Arial"/>
                <w:sz w:val="18"/>
                <w:szCs w:val="18"/>
              </w:rPr>
              <w:t>6</w:t>
            </w:r>
          </w:p>
        </w:tc>
        <w:tc>
          <w:tcPr>
            <w:tcW w:w="317" w:type="pct"/>
            <w:tcBorders>
              <w:top w:val="single" w:sz="4" w:space="0" w:color="auto"/>
              <w:left w:val="single" w:sz="4" w:space="0" w:color="auto"/>
              <w:bottom w:val="single" w:sz="4" w:space="0" w:color="auto"/>
              <w:right w:val="single" w:sz="4" w:space="0" w:color="auto"/>
            </w:tcBorders>
            <w:textDirection w:val="btLr"/>
            <w:hideMark/>
          </w:tcPr>
          <w:p w14:paraId="5F22F8EF" w14:textId="77777777" w:rsidR="004E06FD" w:rsidRPr="004A5BF7" w:rsidRDefault="004E06FD">
            <w:pPr>
              <w:spacing w:before="0" w:after="0"/>
              <w:ind w:left="113" w:right="113"/>
              <w:jc w:val="center"/>
              <w:rPr>
                <w:rFonts w:cs="Arial"/>
                <w:b/>
                <w:sz w:val="18"/>
                <w:szCs w:val="18"/>
              </w:rPr>
            </w:pPr>
            <w:r w:rsidRPr="004A5BF7">
              <w:rPr>
                <w:rFonts w:cs="Arial"/>
                <w:b/>
                <w:sz w:val="18"/>
                <w:szCs w:val="18"/>
              </w:rPr>
              <w:t>Tertiary</w:t>
            </w:r>
          </w:p>
        </w:tc>
        <w:tc>
          <w:tcPr>
            <w:tcW w:w="1663" w:type="pct"/>
            <w:tcBorders>
              <w:top w:val="single" w:sz="4" w:space="0" w:color="auto"/>
              <w:left w:val="single" w:sz="4" w:space="0" w:color="auto"/>
              <w:bottom w:val="single" w:sz="4" w:space="0" w:color="auto"/>
              <w:right w:val="single" w:sz="4" w:space="0" w:color="auto"/>
            </w:tcBorders>
            <w:hideMark/>
          </w:tcPr>
          <w:p w14:paraId="5F22F8F0" w14:textId="77777777" w:rsidR="004E06FD" w:rsidRPr="004A5BF7" w:rsidRDefault="004E06FD" w:rsidP="004A5BF7">
            <w:pPr>
              <w:spacing w:before="60" w:after="0"/>
              <w:jc w:val="left"/>
              <w:rPr>
                <w:rFonts w:cs="Arial"/>
                <w:sz w:val="18"/>
                <w:szCs w:val="18"/>
              </w:rPr>
            </w:pPr>
            <w:r w:rsidRPr="004A5BF7">
              <w:rPr>
                <w:rFonts w:cs="Arial"/>
                <w:sz w:val="18"/>
                <w:szCs w:val="18"/>
              </w:rPr>
              <w:t>CDOM-dominated waters: offshore region of the plume that exhibits no or low TSS that has originated from the flood plume and above ambient concentrations of chl-a and CDOM. This region can be described as being the transition between secondary water type and marine ambient conditions.</w:t>
            </w:r>
          </w:p>
        </w:tc>
        <w:tc>
          <w:tcPr>
            <w:tcW w:w="1538" w:type="pct"/>
            <w:tcBorders>
              <w:top w:val="single" w:sz="4" w:space="0" w:color="auto"/>
              <w:left w:val="single" w:sz="4" w:space="0" w:color="auto"/>
              <w:bottom w:val="single" w:sz="4" w:space="0" w:color="auto"/>
              <w:right w:val="single" w:sz="4" w:space="0" w:color="auto"/>
            </w:tcBorders>
            <w:hideMark/>
          </w:tcPr>
          <w:p w14:paraId="5F22F8F1" w14:textId="77777777" w:rsidR="004E06FD" w:rsidRPr="004A5BF7" w:rsidRDefault="004E06FD" w:rsidP="004A5BF7">
            <w:pPr>
              <w:spacing w:before="60" w:after="0"/>
              <w:jc w:val="left"/>
              <w:rPr>
                <w:rFonts w:cs="Arial"/>
                <w:sz w:val="18"/>
                <w:szCs w:val="18"/>
              </w:rPr>
            </w:pPr>
            <w:r w:rsidRPr="004A5BF7">
              <w:rPr>
                <w:rFonts w:cs="Arial"/>
                <w:sz w:val="18"/>
                <w:szCs w:val="18"/>
              </w:rPr>
              <w:t>Dark yellow waters: CDOM are highly absorbing in the blue spectral domain. CDOM-dominated waters have a distinctive dark yellow colour.</w:t>
            </w:r>
          </w:p>
        </w:tc>
        <w:tc>
          <w:tcPr>
            <w:tcW w:w="1087" w:type="pct"/>
            <w:tcBorders>
              <w:top w:val="single" w:sz="4" w:space="0" w:color="auto"/>
              <w:left w:val="single" w:sz="4" w:space="0" w:color="auto"/>
              <w:bottom w:val="single" w:sz="4" w:space="0" w:color="auto"/>
              <w:right w:val="single" w:sz="4" w:space="0" w:color="auto"/>
            </w:tcBorders>
            <w:hideMark/>
          </w:tcPr>
          <w:p w14:paraId="5F22F8F2" w14:textId="77777777" w:rsidR="004E06FD" w:rsidRPr="004A5BF7" w:rsidRDefault="004E06FD" w:rsidP="004A5BF7">
            <w:pPr>
              <w:spacing w:before="60" w:after="0"/>
              <w:jc w:val="left"/>
              <w:rPr>
                <w:rFonts w:cs="Arial"/>
                <w:sz w:val="18"/>
                <w:szCs w:val="18"/>
              </w:rPr>
            </w:pPr>
            <w:r w:rsidRPr="004A5BF7">
              <w:rPr>
                <w:rFonts w:cs="Arial"/>
                <w:sz w:val="18"/>
                <w:szCs w:val="18"/>
              </w:rPr>
              <w:t>TSS:2.9 ± 3.2 mg l</w:t>
            </w:r>
            <w:r w:rsidRPr="004A5BF7">
              <w:rPr>
                <w:rFonts w:cs="Arial"/>
                <w:sz w:val="18"/>
                <w:szCs w:val="18"/>
                <w:vertAlign w:val="superscript"/>
              </w:rPr>
              <w:t xml:space="preserve">-1                            </w:t>
            </w:r>
            <w:r w:rsidRPr="004A5BF7">
              <w:rPr>
                <w:rFonts w:cs="Arial"/>
                <w:sz w:val="18"/>
                <w:szCs w:val="18"/>
              </w:rPr>
              <w:t xml:space="preserve"> chl-a: 0.7 ± 0.3 μg </w:t>
            </w:r>
            <w:r w:rsidR="00C951C9" w:rsidRPr="004A5BF7">
              <w:rPr>
                <w:rFonts w:cs="Arial"/>
                <w:sz w:val="18"/>
                <w:szCs w:val="18"/>
              </w:rPr>
              <w:t>l</w:t>
            </w:r>
            <w:r w:rsidRPr="004A5BF7">
              <w:rPr>
                <w:rFonts w:cs="Arial"/>
                <w:sz w:val="18"/>
                <w:szCs w:val="18"/>
                <w:vertAlign w:val="superscript"/>
              </w:rPr>
              <w:t xml:space="preserve">-1           </w:t>
            </w:r>
            <w:r w:rsidRPr="004A5BF7">
              <w:rPr>
                <w:rFonts w:cs="Arial"/>
                <w:sz w:val="18"/>
                <w:szCs w:val="18"/>
              </w:rPr>
              <w:t>Kd(PAR): 0.24 ± 0.02 m</w:t>
            </w:r>
            <w:r w:rsidRPr="004A5BF7">
              <w:rPr>
                <w:rFonts w:cs="Arial"/>
                <w:sz w:val="18"/>
                <w:szCs w:val="18"/>
                <w:vertAlign w:val="superscript"/>
              </w:rPr>
              <w:t>-1</w:t>
            </w:r>
          </w:p>
        </w:tc>
      </w:tr>
      <w:tr w:rsidR="004E06FD" w:rsidRPr="00C65A97" w14:paraId="5F22F8F5" w14:textId="77777777" w:rsidTr="004A5BF7">
        <w:trPr>
          <w:trHeight w:val="259"/>
        </w:trPr>
        <w:tc>
          <w:tcPr>
            <w:tcW w:w="5000" w:type="pct"/>
            <w:gridSpan w:val="5"/>
            <w:tcBorders>
              <w:top w:val="single" w:sz="4" w:space="0" w:color="auto"/>
              <w:left w:val="single" w:sz="4" w:space="0" w:color="auto"/>
              <w:bottom w:val="single" w:sz="4" w:space="0" w:color="auto"/>
              <w:right w:val="single" w:sz="4" w:space="0" w:color="auto"/>
            </w:tcBorders>
            <w:hideMark/>
          </w:tcPr>
          <w:p w14:paraId="5F22F8F4" w14:textId="77777777" w:rsidR="004E06FD" w:rsidRPr="004A5BF7" w:rsidRDefault="004E06FD" w:rsidP="004A5BF7">
            <w:pPr>
              <w:spacing w:before="60" w:after="0"/>
              <w:jc w:val="left"/>
              <w:rPr>
                <w:rFonts w:cs="Arial"/>
                <w:sz w:val="18"/>
                <w:szCs w:val="18"/>
              </w:rPr>
            </w:pPr>
            <w:r w:rsidRPr="004A5BF7">
              <w:rPr>
                <w:rFonts w:cs="Arial"/>
                <w:sz w:val="18"/>
                <w:szCs w:val="18"/>
              </w:rPr>
              <w:t>Full extent of the plume = Primary + Secondary + Tertiary</w:t>
            </w:r>
          </w:p>
        </w:tc>
      </w:tr>
    </w:tbl>
    <w:p w14:paraId="5F22F8F6" w14:textId="77777777" w:rsidR="004E06FD" w:rsidRPr="004E06FD" w:rsidRDefault="004E06FD" w:rsidP="008A37CB"/>
    <w:p w14:paraId="5F22F8F7" w14:textId="62687B7F" w:rsidR="008A37CB" w:rsidRPr="00C27BEB" w:rsidRDefault="008A37CB" w:rsidP="00C85410">
      <w:pPr>
        <w:pStyle w:val="Heading7"/>
      </w:pPr>
      <w:r w:rsidRPr="00C27BEB">
        <w:rPr>
          <w:rFonts w:eastAsia="Calibri"/>
        </w:rPr>
        <w:t xml:space="preserve"> </w:t>
      </w:r>
      <w:bookmarkStart w:id="1536" w:name="_Ref452293698"/>
      <w:r w:rsidRPr="00C27BEB">
        <w:rPr>
          <w:rFonts w:eastAsia="Calibri"/>
        </w:rPr>
        <w:t>Estimating the level of exposure to flood plumes of GBR ecosystems (coral reefs and seagrass meadows</w:t>
      </w:r>
      <w:r w:rsidRPr="00C27BEB">
        <w:t xml:space="preserve"> </w:t>
      </w:r>
      <w:r w:rsidR="002C467D">
        <w:t xml:space="preserve">and </w:t>
      </w:r>
      <w:r w:rsidR="00C27BEB">
        <w:t>v</w:t>
      </w:r>
      <w:r w:rsidRPr="00C27BEB">
        <w:t>alidation of numerical hydrodynamics modelling of flood plumes</w:t>
      </w:r>
      <w:bookmarkEnd w:id="1536"/>
    </w:p>
    <w:p w14:paraId="5F22F8F8" w14:textId="77777777" w:rsidR="008A37CB" w:rsidRPr="008467AA" w:rsidRDefault="008A37CB" w:rsidP="008A37CB">
      <w:pPr>
        <w:rPr>
          <w:lang w:val="en-AU"/>
        </w:rPr>
      </w:pPr>
      <w:r w:rsidRPr="008467AA">
        <w:rPr>
          <w:lang w:val="en-AU"/>
        </w:rPr>
        <w:t xml:space="preserve">The river plume maps and plume water type maps </w:t>
      </w:r>
      <w:r>
        <w:rPr>
          <w:lang w:val="en-AU"/>
        </w:rPr>
        <w:t xml:space="preserve">(see Section 5.3) </w:t>
      </w:r>
      <w:r w:rsidRPr="008467AA">
        <w:rPr>
          <w:lang w:val="en-AU"/>
        </w:rPr>
        <w:t xml:space="preserve">can be overlaid with information on the presence or distribution of ‘contamination receptors’, i.e., GBR ecosystems susceptible to the land-sourced contaminants. This method can help identify ecosystems which may experience acute or chronic high exposure to land-sourced contaminants. For example, Petus </w:t>
      </w:r>
      <w:r w:rsidR="00C951C9">
        <w:rPr>
          <w:lang w:val="en-AU"/>
        </w:rPr>
        <w:t>et al.,</w:t>
      </w:r>
      <w:r w:rsidR="00C951C9" w:rsidRPr="00EE6F82">
        <w:rPr>
          <w:lang w:val="en-AU"/>
        </w:rPr>
        <w:t xml:space="preserve"> </w:t>
      </w:r>
      <w:r>
        <w:rPr>
          <w:lang w:val="en-AU"/>
        </w:rPr>
        <w:t>(</w:t>
      </w:r>
      <w:r w:rsidRPr="008467AA">
        <w:rPr>
          <w:lang w:val="en-AU"/>
        </w:rPr>
        <w:t>2014b</w:t>
      </w:r>
      <w:r>
        <w:rPr>
          <w:lang w:val="en-AU"/>
        </w:rPr>
        <w:t>)</w:t>
      </w:r>
      <w:r w:rsidRPr="008467AA">
        <w:rPr>
          <w:lang w:val="en-AU"/>
        </w:rPr>
        <w:t xml:space="preserve"> mapped the occurrence of turbid water masses in Cleveland Bay (Burdekin marine region, GBR) in each wet season between 2007 and 2011 and compared the results to </w:t>
      </w:r>
      <w:r>
        <w:rPr>
          <w:lang w:val="en-AU"/>
        </w:rPr>
        <w:t xml:space="preserve">MMP </w:t>
      </w:r>
      <w:r w:rsidRPr="008467AA">
        <w:rPr>
          <w:lang w:val="en-AU"/>
        </w:rPr>
        <w:t xml:space="preserve">seagrass </w:t>
      </w:r>
      <w:r>
        <w:rPr>
          <w:lang w:val="en-AU"/>
        </w:rPr>
        <w:t xml:space="preserve">health monitoring data. </w:t>
      </w:r>
      <w:r w:rsidRPr="008467AA">
        <w:rPr>
          <w:lang w:val="en-AU"/>
        </w:rPr>
        <w:t>This analysis indicated that the decline in seagrass meadow area and biomass were positively linked to high occurrence of turbid water masses and confirmed the impact that decreased clarity can have on seagrass health in the GBR</w:t>
      </w:r>
      <w:r>
        <w:rPr>
          <w:lang w:val="en-AU"/>
        </w:rPr>
        <w:t>.</w:t>
      </w:r>
    </w:p>
    <w:p w14:paraId="5F22F8F9" w14:textId="77777777" w:rsidR="008A37CB" w:rsidRPr="008467AA" w:rsidRDefault="008A37CB" w:rsidP="008A37CB">
      <w:pPr>
        <w:spacing w:before="240"/>
        <w:rPr>
          <w:b/>
          <w:lang w:val="en-AU"/>
        </w:rPr>
      </w:pPr>
      <w:r w:rsidRPr="008467AA">
        <w:rPr>
          <w:lang w:val="en-AU"/>
        </w:rPr>
        <w:t xml:space="preserve">Petus et al. (2014a) proposed </w:t>
      </w:r>
      <w:r w:rsidRPr="001C44D1">
        <w:rPr>
          <w:lang w:val="en-AU"/>
        </w:rPr>
        <w:t>“</w:t>
      </w:r>
      <w:r w:rsidRPr="001C44D1">
        <w:rPr>
          <w:i/>
          <w:lang w:val="en-AU"/>
        </w:rPr>
        <w:t>a framework to produce river plume risk maps for seagrass and coral ecosystems based on a simplified risk matrix assuming that ecological responses will increase linearly with the pollutant concentrations and frequency of river plume exposure</w:t>
      </w:r>
      <w:r w:rsidRPr="001C44D1">
        <w:rPr>
          <w:lang w:val="en-AU"/>
        </w:rPr>
        <w:t>”.</w:t>
      </w:r>
      <w:r w:rsidRPr="008467AA">
        <w:rPr>
          <w:lang w:val="en-AU"/>
        </w:rPr>
        <w:t xml:space="preserve"> This framework used MODIS Level-2 satellite data processed by the NASA algorithms implemented in the SeaWiFS Data Analysis System (SeaDAS, Baith et al., 2001). MODIS data were used to characterize external boundaries of river plumes and different water types or aggregation of water types, within GBR river plumes using supervised classification of the MODIS Level 2 data and a combination of CDOM, Chl-a and TSS (estimated from two remote sensing proxies) threshold values. In the previous MMP reports, it was decided to work with river plume products derived from MODIS true colour satelli</w:t>
      </w:r>
      <w:r>
        <w:rPr>
          <w:lang w:val="en-AU"/>
        </w:rPr>
        <w:t>te data (Álvarez-Romero et al.</w:t>
      </w:r>
      <w:r w:rsidR="00C951C9">
        <w:rPr>
          <w:lang w:val="en-AU"/>
        </w:rPr>
        <w:t>,</w:t>
      </w:r>
      <w:r>
        <w:rPr>
          <w:lang w:val="en-AU"/>
        </w:rPr>
        <w:t xml:space="preserve"> </w:t>
      </w:r>
      <w:r w:rsidRPr="008467AA">
        <w:rPr>
          <w:lang w:val="en-AU"/>
        </w:rPr>
        <w:t>2013) instead of the L2 to progress the risk framework proposed in Petus et al.</w:t>
      </w:r>
      <w:r w:rsidR="00C951C9">
        <w:rPr>
          <w:lang w:val="en-AU"/>
        </w:rPr>
        <w:t>,</w:t>
      </w:r>
      <w:r w:rsidRPr="008467AA">
        <w:rPr>
          <w:lang w:val="en-AU"/>
        </w:rPr>
        <w:t xml:space="preserve"> (2014a).</w:t>
      </w:r>
    </w:p>
    <w:p w14:paraId="5F22F8FA" w14:textId="517282EA" w:rsidR="008A37CB" w:rsidRPr="008467AA" w:rsidRDefault="008A37CB" w:rsidP="008A37CB">
      <w:pPr>
        <w:rPr>
          <w:rFonts w:eastAsia="Calibri" w:cs="Arial"/>
          <w:lang w:val="en-AU"/>
        </w:rPr>
      </w:pPr>
      <w:r w:rsidRPr="008467AA">
        <w:rPr>
          <w:rFonts w:eastAsia="Calibri" w:cs="Arial"/>
          <w:lang w:val="en-AU"/>
        </w:rPr>
        <w:t>Petus et al.</w:t>
      </w:r>
      <w:r w:rsidR="00C951C9">
        <w:rPr>
          <w:rFonts w:eastAsia="Calibri" w:cs="Arial"/>
          <w:lang w:val="en-AU"/>
        </w:rPr>
        <w:t>,</w:t>
      </w:r>
      <w:r w:rsidRPr="008467AA">
        <w:rPr>
          <w:rFonts w:eastAsia="Calibri" w:cs="Arial"/>
          <w:lang w:val="en-AU"/>
        </w:rPr>
        <w:t xml:space="preserve"> (2014b) assumed that the magnitude of risk for the GBR seagrass beds and coral reefs from river plume exposure will increase from the Tertiary waters to the Primary core of river plumes. Classification of surface waters into Primary, Secondary, and Tertiary water types can thus provide a mechanism to cluster cumulative WQ stressors into three (ecologically relevant) broad categories of risk magnitude. At the multi-annual scale, the changes in the frequency of occurrence of these surface water types help understanding the likelihood of the different categories of risk magnitude. </w:t>
      </w:r>
      <w:r w:rsidR="00E918C2">
        <w:rPr>
          <w:rFonts w:eastAsia="Calibri" w:cs="Arial"/>
          <w:lang w:val="en-AU"/>
        </w:rPr>
        <w:t>A</w:t>
      </w:r>
      <w:r w:rsidRPr="008467AA">
        <w:rPr>
          <w:rFonts w:eastAsia="Calibri" w:cs="Arial"/>
          <w:lang w:val="en-AU"/>
        </w:rPr>
        <w:t>nnual maps of frequency of Primary, Secondary, and Tertiary water types in the GBR lagoon summarise the combined likelihood and magnitude of the river plume risk over a defined period</w:t>
      </w:r>
      <w:r w:rsidR="00E918C2">
        <w:rPr>
          <w:rFonts w:eastAsia="Calibri" w:cs="Arial"/>
          <w:lang w:val="en-AU"/>
        </w:rPr>
        <w:t xml:space="preserve"> of time</w:t>
      </w:r>
      <w:r w:rsidRPr="008467AA">
        <w:rPr>
          <w:rFonts w:eastAsia="Calibri" w:cs="Arial"/>
          <w:lang w:val="en-AU"/>
        </w:rPr>
        <w:t xml:space="preserve">. In combination with ecosystem maps, </w:t>
      </w:r>
      <w:r w:rsidR="00E918C2">
        <w:rPr>
          <w:rFonts w:eastAsia="Calibri" w:cs="Arial"/>
          <w:lang w:val="en-AU"/>
        </w:rPr>
        <w:t>these maps</w:t>
      </w:r>
      <w:r w:rsidR="00162F22">
        <w:rPr>
          <w:rFonts w:eastAsia="Calibri" w:cs="Arial"/>
          <w:lang w:val="en-AU"/>
        </w:rPr>
        <w:t xml:space="preserve"> </w:t>
      </w:r>
      <w:r w:rsidR="00E918C2">
        <w:rPr>
          <w:rFonts w:eastAsia="Calibri" w:cs="Arial"/>
          <w:lang w:val="en-AU"/>
        </w:rPr>
        <w:t>provide</w:t>
      </w:r>
      <w:r w:rsidRPr="008467AA">
        <w:rPr>
          <w:rFonts w:eastAsia="Calibri" w:cs="Arial"/>
          <w:lang w:val="en-AU"/>
        </w:rPr>
        <w:t xml:space="preserve"> the basis to assess potential ecological consequences imposed by different levels and frequency of exposure to land-sourced contaminants in river plume</w:t>
      </w:r>
      <w:r w:rsidR="00E918C2">
        <w:rPr>
          <w:rFonts w:eastAsia="Calibri" w:cs="Arial"/>
          <w:lang w:val="en-AU"/>
        </w:rPr>
        <w:t>s</w:t>
      </w:r>
      <w:r w:rsidRPr="008467AA">
        <w:rPr>
          <w:rFonts w:eastAsia="Calibri" w:cs="Arial"/>
          <w:lang w:val="en-AU"/>
        </w:rPr>
        <w:t xml:space="preserve"> (i.e., magnitude of risk). </w:t>
      </w:r>
    </w:p>
    <w:p w14:paraId="5F22F8FB" w14:textId="5CB972B5" w:rsidR="008A37CB" w:rsidRPr="008467AA" w:rsidRDefault="008A37CB" w:rsidP="008A37CB">
      <w:pPr>
        <w:rPr>
          <w:rFonts w:eastAsia="Calibri" w:cs="Arial"/>
          <w:lang w:val="en-AU"/>
        </w:rPr>
      </w:pPr>
      <w:r w:rsidRPr="008467AA">
        <w:rPr>
          <w:rFonts w:eastAsia="Calibri" w:cs="Arial"/>
          <w:lang w:val="en-AU"/>
        </w:rPr>
        <w:t xml:space="preserve">Thus, in summary, the risk of a particular ecosystem (e.g., in the GBR, seagrass meadows or coral reefs) to be affected by a particular stressor (in this case land-sourced pollutants associated with river plumes) can be assessed by evaluating </w:t>
      </w:r>
      <w:r w:rsidRPr="008467AA">
        <w:rPr>
          <w:rFonts w:cs="Arial"/>
          <w:bCs/>
          <w:lang w:val="en-AU"/>
        </w:rPr>
        <w:t>(</w:t>
      </w:r>
      <w:r w:rsidR="00AD2A35">
        <w:rPr>
          <w:rFonts w:cs="Arial"/>
          <w:bCs/>
          <w:lang w:val="en-AU"/>
        </w:rPr>
        <w:t>Figure A1-1)</w:t>
      </w:r>
      <w:r w:rsidR="00162F22">
        <w:rPr>
          <w:rFonts w:cs="Arial"/>
          <w:bCs/>
          <w:lang w:val="en-AU"/>
        </w:rPr>
        <w:t>:</w:t>
      </w:r>
    </w:p>
    <w:p w14:paraId="5F22F8FC" w14:textId="77777777" w:rsidR="008A37CB" w:rsidRPr="001C44D1" w:rsidRDefault="008A37CB" w:rsidP="004618A1">
      <w:pPr>
        <w:pStyle w:val="ListParagraph"/>
        <w:numPr>
          <w:ilvl w:val="0"/>
          <w:numId w:val="31"/>
        </w:numPr>
        <w:spacing w:after="240"/>
        <w:rPr>
          <w:rFonts w:eastAsia="Calibri" w:cs="Arial"/>
          <w:lang w:val="en-AU"/>
        </w:rPr>
      </w:pPr>
      <w:r w:rsidRPr="001C44D1">
        <w:rPr>
          <w:rFonts w:eastAsia="Calibri" w:cs="Arial"/>
          <w:lang w:val="en-AU"/>
        </w:rPr>
        <w:t xml:space="preserve">The likelihood of the risk, i.e., how likely a particular stressor is to happen. This can be estimated by calculating the frequency of occurrence of river plumes or specific plume water type; </w:t>
      </w:r>
    </w:p>
    <w:p w14:paraId="5F22F8FD" w14:textId="77777777" w:rsidR="008A37CB" w:rsidRPr="001C44D1" w:rsidRDefault="008A37CB" w:rsidP="004618A1">
      <w:pPr>
        <w:pStyle w:val="ListParagraph"/>
        <w:numPr>
          <w:ilvl w:val="0"/>
          <w:numId w:val="31"/>
        </w:numPr>
        <w:spacing w:after="240"/>
        <w:rPr>
          <w:rFonts w:eastAsia="Calibri" w:cs="Arial"/>
          <w:lang w:val="en-AU"/>
        </w:rPr>
      </w:pPr>
      <w:r w:rsidRPr="001C44D1">
        <w:rPr>
          <w:rFonts w:eastAsia="Calibri" w:cs="Arial"/>
          <w:lang w:val="en-AU"/>
        </w:rPr>
        <w:t>The magnitude of the risk, i.e., in river plume risk analysis, the intensity quantified as concentration, level or load of pollutant discharge through the river plume; and</w:t>
      </w:r>
    </w:p>
    <w:p w14:paraId="5F22F8FE" w14:textId="77777777" w:rsidR="008A37CB" w:rsidRPr="001C44D1" w:rsidRDefault="008A37CB" w:rsidP="004618A1">
      <w:pPr>
        <w:pStyle w:val="ListParagraph"/>
        <w:numPr>
          <w:ilvl w:val="0"/>
          <w:numId w:val="31"/>
        </w:numPr>
        <w:spacing w:after="240"/>
        <w:rPr>
          <w:rFonts w:eastAsia="Calibri" w:cs="Arial"/>
          <w:lang w:val="en-AU"/>
        </w:rPr>
      </w:pPr>
      <w:r w:rsidRPr="001C44D1">
        <w:rPr>
          <w:rFonts w:eastAsia="Calibri" w:cs="Arial"/>
          <w:lang w:val="en-AU"/>
        </w:rPr>
        <w:t>The ecological consequences of the risk, i.e., the extent of the ecological impact for a particular ecosystem given a combination of magnitude and likelihood of occurrence of the stressor.</w:t>
      </w:r>
    </w:p>
    <w:p w14:paraId="5F22F8FF" w14:textId="77777777" w:rsidR="00C85410" w:rsidRDefault="008A37CB" w:rsidP="008A37CB">
      <w:pPr>
        <w:rPr>
          <w:lang w:val="en-AU"/>
        </w:rPr>
      </w:pPr>
      <w:r w:rsidRPr="0026385A">
        <w:rPr>
          <w:noProof/>
          <w:lang w:val="en-AU" w:eastAsia="en-AU"/>
        </w:rPr>
        <w:drawing>
          <wp:inline distT="0" distB="0" distL="0" distR="0" wp14:anchorId="5F232411" wp14:editId="6B065E4A">
            <wp:extent cx="5715000" cy="4687258"/>
            <wp:effectExtent l="0" t="0" r="0" b="0"/>
            <wp:docPr id="48" name="Picture 48" descr="Diagram showing conceptual scheme of the risk framework proposed in Petus et al. (2014a). Illustrates inputs to likelihood of the risk, magnitude of the risk and significance of the risk" title="Figure A1 1: conceptual scheme of the risk framework proposed in Petus et al. (201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2.tif"/>
                    <pic:cNvPicPr/>
                  </pic:nvPicPr>
                  <pic:blipFill rotWithShape="1">
                    <a:blip r:embed="rId386">
                      <a:extLst>
                        <a:ext uri="{28A0092B-C50C-407E-A947-70E740481C1C}">
                          <a14:useLocalDpi xmlns:a14="http://schemas.microsoft.com/office/drawing/2010/main" val="0"/>
                        </a:ext>
                      </a:extLst>
                    </a:blip>
                    <a:srcRect/>
                    <a:stretch/>
                  </pic:blipFill>
                  <pic:spPr bwMode="auto">
                    <a:xfrm>
                      <a:off x="0" y="0"/>
                      <a:ext cx="5714716" cy="4687025"/>
                    </a:xfrm>
                    <a:prstGeom prst="rect">
                      <a:avLst/>
                    </a:prstGeom>
                    <a:ln>
                      <a:noFill/>
                    </a:ln>
                    <a:extLst>
                      <a:ext uri="{53640926-AAD7-44D8-BBD7-CCE9431645EC}">
                        <a14:shadowObscured xmlns:a14="http://schemas.microsoft.com/office/drawing/2010/main"/>
                      </a:ext>
                    </a:extLst>
                  </pic:spPr>
                </pic:pic>
              </a:graphicData>
            </a:graphic>
          </wp:inline>
        </w:drawing>
      </w:r>
      <w:bookmarkStart w:id="1537" w:name="_Ref428178722"/>
      <w:bookmarkStart w:id="1538" w:name="_Toc428274737"/>
      <w:bookmarkStart w:id="1539" w:name="_Toc434607163"/>
      <w:bookmarkStart w:id="1540" w:name="_Toc436913508"/>
    </w:p>
    <w:p w14:paraId="5F22F900" w14:textId="73006E28" w:rsidR="008A37CB" w:rsidRPr="009E7A16" w:rsidRDefault="00725F21" w:rsidP="00164E5E">
      <w:pPr>
        <w:pStyle w:val="Caption"/>
      </w:pPr>
      <w:bookmarkStart w:id="1541" w:name="_Toc437591230"/>
      <w:bookmarkStart w:id="1542" w:name="_Toc459332190"/>
      <w:bookmarkStart w:id="1543" w:name="_Toc461194298"/>
      <w:r>
        <w:t xml:space="preserve">Figure A1 </w:t>
      </w:r>
      <w:r w:rsidR="00EB33A6">
        <w:fldChar w:fldCharType="begin"/>
      </w:r>
      <w:r w:rsidR="00D8225E">
        <w:instrText xml:space="preserve"> SEQ Figure_A1 \* ARABIC </w:instrText>
      </w:r>
      <w:r w:rsidR="00EB33A6">
        <w:fldChar w:fldCharType="separate"/>
      </w:r>
      <w:r w:rsidR="007F5336">
        <w:rPr>
          <w:noProof/>
        </w:rPr>
        <w:t>1</w:t>
      </w:r>
      <w:r w:rsidR="00EB33A6">
        <w:rPr>
          <w:noProof/>
        </w:rPr>
        <w:fldChar w:fldCharType="end"/>
      </w:r>
      <w:r w:rsidR="009E7A16" w:rsidRPr="009E7A16">
        <w:t>:</w:t>
      </w:r>
      <w:bookmarkEnd w:id="1537"/>
      <w:r w:rsidR="008A37CB" w:rsidRPr="009E7A16">
        <w:t xml:space="preserve"> </w:t>
      </w:r>
      <w:bookmarkStart w:id="1544" w:name="_Ref427067060"/>
      <w:r w:rsidR="008A37CB" w:rsidRPr="009E7A16">
        <w:t>conceptual scheme of the risk framework proposed in Petus et al. (2014a).</w:t>
      </w:r>
      <w:bookmarkEnd w:id="1538"/>
      <w:bookmarkEnd w:id="1539"/>
      <w:bookmarkEnd w:id="1540"/>
      <w:bookmarkEnd w:id="1541"/>
      <w:bookmarkEnd w:id="1542"/>
      <w:bookmarkEnd w:id="1543"/>
      <w:bookmarkEnd w:id="1544"/>
    </w:p>
    <w:p w14:paraId="5F22F901" w14:textId="77777777" w:rsidR="008A37CB" w:rsidRDefault="008A37CB" w:rsidP="008A37CB">
      <w:pPr>
        <w:rPr>
          <w:lang w:val="en-AU"/>
        </w:rPr>
      </w:pPr>
    </w:p>
    <w:p w14:paraId="5F22F902" w14:textId="77777777" w:rsidR="008A37CB" w:rsidRPr="008467AA" w:rsidRDefault="008A37CB" w:rsidP="008A37CB">
      <w:pPr>
        <w:rPr>
          <w:bCs/>
          <w:lang w:val="en-AU"/>
        </w:rPr>
      </w:pPr>
      <w:r w:rsidRPr="008467AA">
        <w:rPr>
          <w:lang w:val="en-AU"/>
        </w:rPr>
        <w:t>In the GBR river plume risk framework, the potential ‘risk’ corresponds to an exposure to land-sourced pollutants concentrated in river plume waters (</w:t>
      </w:r>
      <w:r w:rsidR="00AD2A35">
        <w:rPr>
          <w:rFonts w:cs="Arial"/>
          <w:bCs/>
          <w:lang w:val="en-AU"/>
        </w:rPr>
        <w:t>Figure A1-1</w:t>
      </w:r>
      <w:r w:rsidRPr="00AD2A35">
        <w:rPr>
          <w:lang w:val="en-AU"/>
        </w:rPr>
        <w:t>).</w:t>
      </w:r>
      <w:r w:rsidRPr="008467AA">
        <w:rPr>
          <w:lang w:val="en-AU"/>
        </w:rPr>
        <w:t xml:space="preserve"> ‘The magnitude of the risk’ correspond to the intensity quantified as concentration, level or load of pollutant discharged through the river plume and mapped through the Primary, Secondary, Tertiary water types. The ‘likelihood of the risk’ can be estimated by calculating the frequency of occurrence of river plumes or specific plume water type</w:t>
      </w:r>
      <w:r w:rsidRPr="008467AA">
        <w:rPr>
          <w:bCs/>
          <w:lang w:val="en-AU"/>
        </w:rPr>
        <w:t>. The potential risk from river plume exposure for GBR ecosystems is finally ranked (I to IV) assuming that ecological consequences will increase linearly with the pollutant concentrations and frequency of river plume exposure (</w:t>
      </w:r>
      <w:r w:rsidR="00AD2A35">
        <w:rPr>
          <w:bCs/>
          <w:lang w:val="en-AU"/>
        </w:rPr>
        <w:t>Figure A1-2</w:t>
      </w:r>
      <w:r w:rsidRPr="008467AA">
        <w:rPr>
          <w:bCs/>
          <w:lang w:val="en-AU"/>
        </w:rPr>
        <w:t>).</w:t>
      </w:r>
    </w:p>
    <w:p w14:paraId="5F22F903" w14:textId="068CE881" w:rsidR="008A37CB" w:rsidRPr="00E739F3" w:rsidRDefault="008A37CB" w:rsidP="008A37CB">
      <w:pPr>
        <w:spacing w:before="240"/>
        <w:rPr>
          <w:rFonts w:cs="Arial"/>
          <w:color w:val="000000" w:themeColor="text1"/>
          <w:lang w:val="en-AU"/>
        </w:rPr>
      </w:pPr>
      <w:r w:rsidRPr="00E739F3">
        <w:rPr>
          <w:rFonts w:cs="Arial"/>
          <w:color w:val="000000" w:themeColor="text1"/>
          <w:lang w:val="en-AU"/>
        </w:rPr>
        <w:t>The annual Primary, Secondary and Tertiary frequency maps (</w:t>
      </w:r>
      <w:r>
        <w:rPr>
          <w:rFonts w:cs="Arial"/>
          <w:color w:val="000000" w:themeColor="text1"/>
          <w:lang w:val="en-AU"/>
        </w:rPr>
        <w:t xml:space="preserve">see Section 5.3, </w:t>
      </w:r>
      <w:r w:rsidRPr="00E739F3">
        <w:rPr>
          <w:rFonts w:cs="Arial"/>
          <w:color w:val="000000" w:themeColor="text1"/>
          <w:lang w:val="en-AU"/>
        </w:rPr>
        <w:t>produced</w:t>
      </w:r>
      <w:r w:rsidRPr="00E739F3">
        <w:rPr>
          <w:rFonts w:cs="Arial"/>
          <w:lang w:val="en-AU"/>
        </w:rPr>
        <w:t xml:space="preserve"> through methods described in</w:t>
      </w:r>
      <w:r w:rsidR="00AD2A35">
        <w:rPr>
          <w:rFonts w:cs="Arial"/>
          <w:lang w:val="en-AU"/>
        </w:rPr>
        <w:t xml:space="preserve"> A</w:t>
      </w:r>
      <w:r w:rsidR="003704F8">
        <w:rPr>
          <w:rFonts w:cs="Arial"/>
          <w:lang w:val="en-AU"/>
        </w:rPr>
        <w:t>ppendix</w:t>
      </w:r>
      <w:r w:rsidR="00C1154E">
        <w:rPr>
          <w:rFonts w:cs="Arial"/>
          <w:lang w:val="en-AU"/>
        </w:rPr>
        <w:t xml:space="preserve"> </w:t>
      </w:r>
      <w:r w:rsidR="00C951C9">
        <w:rPr>
          <w:rFonts w:cs="Arial"/>
          <w:lang w:val="en-AU"/>
        </w:rPr>
        <w:t>1-8)</w:t>
      </w:r>
      <w:r w:rsidRPr="00E739F3">
        <w:rPr>
          <w:rFonts w:cs="Arial"/>
          <w:b/>
          <w:lang w:val="en-AU"/>
        </w:rPr>
        <w:t xml:space="preserve"> </w:t>
      </w:r>
      <w:r w:rsidRPr="00E739F3">
        <w:rPr>
          <w:rFonts w:cs="Arial"/>
          <w:lang w:val="en-AU"/>
        </w:rPr>
        <w:t>are</w:t>
      </w:r>
      <w:r w:rsidRPr="00E739F3">
        <w:rPr>
          <w:rFonts w:cs="Arial"/>
          <w:color w:val="000000" w:themeColor="text1"/>
          <w:lang w:val="en-AU"/>
        </w:rPr>
        <w:t xml:space="preserve"> grouped into frequency levels or likelihood levels (rare to very </w:t>
      </w:r>
      <w:r w:rsidRPr="00E739F3">
        <w:rPr>
          <w:rFonts w:cs="Arial"/>
          <w:lang w:val="en-AU"/>
        </w:rPr>
        <w:t>frequent) based on</w:t>
      </w:r>
      <w:r w:rsidR="00AD2A35">
        <w:rPr>
          <w:rFonts w:cs="Arial"/>
          <w:lang w:val="en-AU"/>
        </w:rPr>
        <w:t xml:space="preserve"> Table A1-4</w:t>
      </w:r>
      <w:r w:rsidRPr="00E739F3">
        <w:rPr>
          <w:rFonts w:cs="Arial"/>
          <w:lang w:val="en-AU"/>
        </w:rPr>
        <w:t xml:space="preserve">. An annual </w:t>
      </w:r>
      <w:r w:rsidRPr="00E739F3">
        <w:rPr>
          <w:rFonts w:cs="Arial"/>
          <w:color w:val="000000" w:themeColor="text1"/>
          <w:lang w:val="en-AU"/>
        </w:rPr>
        <w:t>“potential” risk maps was produced for the wet season 2014-15. Each 2014-15 likelihood map (Primary, Secondary and Tertiary) is attributed a “potential” risk level (I to IV) using the simplified risk matrix (</w:t>
      </w:r>
      <w:r w:rsidR="00AD2A35">
        <w:rPr>
          <w:bCs/>
          <w:lang w:val="en-AU"/>
        </w:rPr>
        <w:t>Figure A1-2</w:t>
      </w:r>
      <w:r w:rsidRPr="00AD2A35">
        <w:rPr>
          <w:rFonts w:cs="Arial"/>
          <w:color w:val="000000" w:themeColor="text1"/>
          <w:lang w:val="en-AU"/>
        </w:rPr>
        <w:t>).</w:t>
      </w:r>
      <w:r w:rsidRPr="00E739F3">
        <w:rPr>
          <w:rFonts w:cs="Arial"/>
          <w:color w:val="000000" w:themeColor="text1"/>
          <w:lang w:val="en-AU"/>
        </w:rPr>
        <w:t xml:space="preserve">The three reclassified water type maps are finally combined to create </w:t>
      </w:r>
      <w:r w:rsidRPr="00E739F3">
        <w:rPr>
          <w:rFonts w:cs="Arial"/>
          <w:lang w:val="en-AU"/>
        </w:rPr>
        <w:t xml:space="preserve">an </w:t>
      </w:r>
      <w:r w:rsidRPr="00C951C9">
        <w:rPr>
          <w:rFonts w:cs="Arial"/>
          <w:lang w:val="en-AU"/>
        </w:rPr>
        <w:t>annual river plume risk</w:t>
      </w:r>
      <w:r w:rsidRPr="00E739F3">
        <w:rPr>
          <w:rFonts w:cs="Arial"/>
          <w:b/>
          <w:lang w:val="en-AU"/>
        </w:rPr>
        <w:t xml:space="preserve"> </w:t>
      </w:r>
      <w:r w:rsidRPr="00E739F3">
        <w:rPr>
          <w:rFonts w:cs="Arial"/>
          <w:lang w:val="en-AU"/>
        </w:rPr>
        <w:t xml:space="preserve">map. The maximum risk category value of each cell/likelihood map is selected to keep the highest potential risk level </w:t>
      </w:r>
      <w:r w:rsidRPr="00AD2A35">
        <w:rPr>
          <w:rFonts w:cs="Arial"/>
          <w:lang w:val="en-AU"/>
        </w:rPr>
        <w:t>(</w:t>
      </w:r>
      <w:r w:rsidR="00AD2A35">
        <w:rPr>
          <w:bCs/>
          <w:lang w:val="en-AU"/>
        </w:rPr>
        <w:t>Figure A1-3</w:t>
      </w:r>
      <w:r w:rsidRPr="00E739F3">
        <w:rPr>
          <w:rFonts w:cs="Arial"/>
          <w:lang w:val="en-AU"/>
        </w:rPr>
        <w:t>). A 8-pixel Majority Filter (two times), the Boundary Clean function of ArcGIS and manual cleaning of the maps are used to smooth the final results.</w:t>
      </w:r>
      <w:r w:rsidRPr="00E739F3">
        <w:rPr>
          <w:rFonts w:eastAsia="Calibri" w:cs="Arial"/>
          <w:lang w:val="en-AU"/>
        </w:rPr>
        <w:t xml:space="preserve"> The term ‘potential’ is used as risk maps haven’t been yet validated against ecological health data to confirm the ecological consequences of the risk, i.e., the risk ranking </w:t>
      </w:r>
      <w:r w:rsidR="00AD2A35">
        <w:rPr>
          <w:bCs/>
          <w:lang w:val="en-AU"/>
        </w:rPr>
        <w:t>Figure A1-2</w:t>
      </w:r>
      <w:r w:rsidRPr="00E739F3">
        <w:rPr>
          <w:rFonts w:eastAsia="Calibri" w:cs="Arial"/>
          <w:bCs/>
          <w:lang w:val="en-AU"/>
        </w:rPr>
        <w:t xml:space="preserve"> </w:t>
      </w:r>
      <w:r w:rsidRPr="00E739F3">
        <w:rPr>
          <w:rFonts w:eastAsia="Calibri" w:cs="Arial"/>
          <w:lang w:val="en-AU"/>
        </w:rPr>
        <w:t>(I, II, III, IV) given a combination of magnitude and likelihood is, at this stage, theoretical.</w:t>
      </w:r>
    </w:p>
    <w:p w14:paraId="5F22F904" w14:textId="77777777" w:rsidR="008A37CB" w:rsidRPr="008467AA" w:rsidRDefault="008A37CB" w:rsidP="008A37CB">
      <w:pPr>
        <w:rPr>
          <w:color w:val="000000" w:themeColor="text1"/>
          <w:lang w:val="en-AU"/>
        </w:rPr>
      </w:pPr>
    </w:p>
    <w:p w14:paraId="5F22F905" w14:textId="77777777" w:rsidR="008A37CB" w:rsidRPr="008467AA" w:rsidRDefault="008A37CB" w:rsidP="008A37CB">
      <w:pPr>
        <w:keepNext/>
        <w:tabs>
          <w:tab w:val="left" w:pos="8789"/>
        </w:tabs>
        <w:jc w:val="center"/>
        <w:rPr>
          <w:bCs/>
          <w:sz w:val="20"/>
          <w:lang w:val="en-AU"/>
        </w:rPr>
      </w:pPr>
      <w:r w:rsidRPr="0026385A">
        <w:rPr>
          <w:bCs/>
          <w:noProof/>
          <w:sz w:val="20"/>
          <w:lang w:val="en-AU" w:eastAsia="en-AU"/>
        </w:rPr>
        <w:drawing>
          <wp:inline distT="0" distB="0" distL="0" distR="0" wp14:anchorId="5F232413" wp14:editId="74C69523">
            <wp:extent cx="3740836" cy="2543175"/>
            <wp:effectExtent l="0" t="0" r="0" b="0"/>
            <wp:docPr id="22" name="Picture 22" descr="Diagram showing risk matrix in function of the magnitude and the likelihood of the river plume risk. Risk categories I, II, III, IV (modified from Petus et al., 2014b)." title="Figure A1 2:  Risk matrix in function of the magnitude and the likelihood of the river plume ri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1" cstate="print">
                      <a:extLst>
                        <a:ext uri="{28A0092B-C50C-407E-A947-70E740481C1C}">
                          <a14:useLocalDpi xmlns:a14="http://schemas.microsoft.com/office/drawing/2010/main" val="0"/>
                        </a:ext>
                      </a:extLst>
                    </a:blip>
                    <a:srcRect/>
                    <a:stretch>
                      <a:fillRect/>
                    </a:stretch>
                  </pic:blipFill>
                  <pic:spPr bwMode="auto">
                    <a:xfrm>
                      <a:off x="0" y="0"/>
                      <a:ext cx="3744176" cy="2545446"/>
                    </a:xfrm>
                    <a:prstGeom prst="rect">
                      <a:avLst/>
                    </a:prstGeom>
                    <a:noFill/>
                  </pic:spPr>
                </pic:pic>
              </a:graphicData>
            </a:graphic>
          </wp:inline>
        </w:drawing>
      </w:r>
    </w:p>
    <w:p w14:paraId="5F22F907" w14:textId="6E5C26FB" w:rsidR="008A37CB" w:rsidRPr="009E7A16" w:rsidRDefault="00725F21" w:rsidP="00164E5E">
      <w:pPr>
        <w:pStyle w:val="Caption"/>
        <w:rPr>
          <w:rStyle w:val="IntenseReference"/>
        </w:rPr>
      </w:pPr>
      <w:bookmarkStart w:id="1545" w:name="_Toc437591231"/>
      <w:bookmarkStart w:id="1546" w:name="_Toc459332191"/>
      <w:bookmarkStart w:id="1547" w:name="_Toc461194299"/>
      <w:bookmarkStart w:id="1548" w:name="_Toc436913509"/>
      <w:r>
        <w:t xml:space="preserve">Figure A1 </w:t>
      </w:r>
      <w:r w:rsidR="00EB33A6">
        <w:fldChar w:fldCharType="begin"/>
      </w:r>
      <w:r w:rsidR="00D8225E">
        <w:instrText xml:space="preserve"> SEQ Figure_A1 \* ARABIC </w:instrText>
      </w:r>
      <w:r w:rsidR="00EB33A6">
        <w:fldChar w:fldCharType="separate"/>
      </w:r>
      <w:r w:rsidR="007F5336">
        <w:rPr>
          <w:noProof/>
        </w:rPr>
        <w:t>2</w:t>
      </w:r>
      <w:r w:rsidR="00EB33A6">
        <w:rPr>
          <w:noProof/>
        </w:rPr>
        <w:fldChar w:fldCharType="end"/>
      </w:r>
      <w:r w:rsidR="008A37CB" w:rsidRPr="008467AA">
        <w:t>:  Risk matrix in function of the magnitude and the likelihood of the river plume risk.</w:t>
      </w:r>
      <w:bookmarkEnd w:id="1545"/>
      <w:bookmarkEnd w:id="1546"/>
      <w:bookmarkEnd w:id="1547"/>
      <w:r w:rsidR="008A37CB" w:rsidRPr="008467AA">
        <w:t xml:space="preserve"> </w:t>
      </w:r>
      <w:r w:rsidR="008A37CB" w:rsidRPr="009E7A16">
        <w:rPr>
          <w:rStyle w:val="IntenseReference"/>
        </w:rPr>
        <w:t>Risk categories I, II, III, IV (modified from Petus et al., 2014b).</w:t>
      </w:r>
      <w:bookmarkEnd w:id="1548"/>
    </w:p>
    <w:p w14:paraId="5F22F908" w14:textId="77777777" w:rsidR="008A37CB" w:rsidRPr="008467AA" w:rsidRDefault="008A37CB" w:rsidP="008A37CB">
      <w:pPr>
        <w:rPr>
          <w:color w:val="000000" w:themeColor="text1"/>
          <w:lang w:val="en-AU"/>
        </w:rPr>
      </w:pPr>
    </w:p>
    <w:p w14:paraId="5F22F909" w14:textId="77777777" w:rsidR="008A37CB" w:rsidRPr="008467AA" w:rsidRDefault="008A37CB" w:rsidP="008A37CB">
      <w:pPr>
        <w:keepNext/>
        <w:rPr>
          <w:lang w:val="en-AU"/>
        </w:rPr>
      </w:pPr>
      <w:r w:rsidRPr="0026385A">
        <w:rPr>
          <w:noProof/>
          <w:color w:val="000000" w:themeColor="text1"/>
          <w:lang w:val="en-AU" w:eastAsia="en-AU"/>
        </w:rPr>
        <w:drawing>
          <wp:inline distT="0" distB="0" distL="0" distR="0" wp14:anchorId="5F232415" wp14:editId="65DAA2AB">
            <wp:extent cx="5741780" cy="3390900"/>
            <wp:effectExtent l="0" t="0" r="0" b="0"/>
            <wp:docPr id="23" name="Picture 23" descr="Panel of maps illustrating a theoretical example of the production of an annual risk map and the results for 2 pixels (P1 and P2) in the GBR at a river mouth, their classification, and final risk classification." title="Figure A1 3: Theoretical example of the production of an annual risk map and the results for 2 pixels (P1 and P2) in the GBR at a river mouth, their classification, and final risk classif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7" cstate="print">
                      <a:extLst>
                        <a:ext uri="{28A0092B-C50C-407E-A947-70E740481C1C}">
                          <a14:useLocalDpi xmlns:a14="http://schemas.microsoft.com/office/drawing/2010/main" val="0"/>
                        </a:ext>
                      </a:extLst>
                    </a:blip>
                    <a:srcRect/>
                    <a:stretch>
                      <a:fillRect/>
                    </a:stretch>
                  </pic:blipFill>
                  <pic:spPr bwMode="auto">
                    <a:xfrm>
                      <a:off x="0" y="0"/>
                      <a:ext cx="5741253" cy="3390589"/>
                    </a:xfrm>
                    <a:prstGeom prst="rect">
                      <a:avLst/>
                    </a:prstGeom>
                    <a:noFill/>
                  </pic:spPr>
                </pic:pic>
              </a:graphicData>
            </a:graphic>
          </wp:inline>
        </w:drawing>
      </w:r>
    </w:p>
    <w:p w14:paraId="5F22F90B" w14:textId="431CE142" w:rsidR="008A37CB" w:rsidRPr="009E7A16" w:rsidRDefault="00725F21" w:rsidP="00164E5E">
      <w:pPr>
        <w:pStyle w:val="Caption"/>
        <w:rPr>
          <w:rStyle w:val="IntenseReference"/>
        </w:rPr>
      </w:pPr>
      <w:bookmarkStart w:id="1549" w:name="_Ref428191856"/>
      <w:bookmarkStart w:id="1550" w:name="_Toc437591232"/>
      <w:bookmarkStart w:id="1551" w:name="_Toc459332192"/>
      <w:bookmarkStart w:id="1552" w:name="_Toc436913510"/>
      <w:bookmarkStart w:id="1553" w:name="_Toc461194300"/>
      <w:r>
        <w:t xml:space="preserve">Figure A1 </w:t>
      </w:r>
      <w:r w:rsidR="00EB33A6">
        <w:fldChar w:fldCharType="begin"/>
      </w:r>
      <w:r w:rsidR="00D8225E">
        <w:instrText xml:space="preserve"> SEQ Figure_A1 \* ARABIC </w:instrText>
      </w:r>
      <w:r w:rsidR="00EB33A6">
        <w:fldChar w:fldCharType="separate"/>
      </w:r>
      <w:r w:rsidR="007F5336">
        <w:rPr>
          <w:noProof/>
        </w:rPr>
        <w:t>3</w:t>
      </w:r>
      <w:r w:rsidR="00EB33A6">
        <w:rPr>
          <w:noProof/>
        </w:rPr>
        <w:fldChar w:fldCharType="end"/>
      </w:r>
      <w:r w:rsidR="008A37CB" w:rsidRPr="009E7A16">
        <w:t xml:space="preserve">: </w:t>
      </w:r>
      <w:bookmarkEnd w:id="1549"/>
      <w:r w:rsidR="00C1154E">
        <w:t>T</w:t>
      </w:r>
      <w:r w:rsidR="008A37CB" w:rsidRPr="009E7A16">
        <w:t>heoretical example of the production of an annual risk map and the results for 2 pixels</w:t>
      </w:r>
      <w:bookmarkEnd w:id="1550"/>
      <w:bookmarkEnd w:id="1551"/>
      <w:r w:rsidR="008A37CB" w:rsidRPr="009E7A16">
        <w:t xml:space="preserve"> </w:t>
      </w:r>
      <w:r w:rsidR="008A37CB" w:rsidRPr="009E7A16">
        <w:rPr>
          <w:rStyle w:val="IntenseReference"/>
        </w:rPr>
        <w:t>(P1 and P2) in the GBR</w:t>
      </w:r>
      <w:r w:rsidR="00C1154E">
        <w:rPr>
          <w:rStyle w:val="IntenseReference"/>
        </w:rPr>
        <w:t xml:space="preserve"> at a river mouth</w:t>
      </w:r>
      <w:r w:rsidR="008A37CB" w:rsidRPr="009E7A16">
        <w:rPr>
          <w:rStyle w:val="IntenseReference"/>
        </w:rPr>
        <w:t>, their classification, and final risk classification.</w:t>
      </w:r>
      <w:bookmarkEnd w:id="1552"/>
      <w:bookmarkEnd w:id="1553"/>
    </w:p>
    <w:p w14:paraId="5F22F90C" w14:textId="77777777" w:rsidR="008A37CB" w:rsidRPr="008467AA" w:rsidRDefault="008A37CB" w:rsidP="008A37CB">
      <w:pPr>
        <w:rPr>
          <w:rFonts w:ascii="Calibri" w:eastAsia="Calibri" w:hAnsi="Calibri"/>
          <w:lang w:val="en-AU"/>
        </w:rPr>
      </w:pPr>
    </w:p>
    <w:p w14:paraId="5F22F90D" w14:textId="77777777" w:rsidR="008A37CB" w:rsidRDefault="008A37CB" w:rsidP="008A37CB">
      <w:pPr>
        <w:spacing w:before="0" w:after="200" w:line="276" w:lineRule="auto"/>
        <w:jc w:val="left"/>
        <w:rPr>
          <w:rFonts w:eastAsia="SimSun"/>
          <w:b/>
          <w:sz w:val="16"/>
          <w:szCs w:val="24"/>
          <w:lang w:val="en-AU"/>
        </w:rPr>
      </w:pPr>
      <w:bookmarkStart w:id="1554" w:name="_Ref435023536"/>
      <w:r>
        <w:rPr>
          <w:lang w:val="en-AU"/>
        </w:rPr>
        <w:br w:type="page"/>
      </w:r>
    </w:p>
    <w:p w14:paraId="5F22F90E" w14:textId="60D7F851" w:rsidR="008A37CB" w:rsidRPr="008467AA" w:rsidRDefault="006A00D6" w:rsidP="00164E5E">
      <w:pPr>
        <w:pStyle w:val="Caption"/>
      </w:pPr>
      <w:bookmarkStart w:id="1555" w:name="_Toc459332183"/>
      <w:r>
        <w:t>Table A1</w:t>
      </w:r>
      <w:r w:rsidR="00ED1198">
        <w:t xml:space="preserve"> </w:t>
      </w:r>
      <w:r w:rsidR="00EB33A6">
        <w:fldChar w:fldCharType="begin"/>
      </w:r>
      <w:r w:rsidR="00D8225E">
        <w:instrText xml:space="preserve"> SEQ Table_A1 \* ARABIC </w:instrText>
      </w:r>
      <w:r w:rsidR="00EB33A6">
        <w:fldChar w:fldCharType="separate"/>
      </w:r>
      <w:r w:rsidR="007F5336">
        <w:rPr>
          <w:noProof/>
        </w:rPr>
        <w:t>4</w:t>
      </w:r>
      <w:r w:rsidR="00EB33A6">
        <w:rPr>
          <w:noProof/>
        </w:rPr>
        <w:fldChar w:fldCharType="end"/>
      </w:r>
      <w:bookmarkEnd w:id="1554"/>
      <w:r w:rsidR="008A37CB" w:rsidRPr="009E7A16">
        <w:t>: Frequency categories used to categori</w:t>
      </w:r>
      <w:r w:rsidR="009E7A16" w:rsidRPr="009E7A16">
        <w:t>s</w:t>
      </w:r>
      <w:r w:rsidR="008A37CB" w:rsidRPr="009E7A16">
        <w:t>e the multi-annual maps of frequency of occurrence of plume water types (TC and L2 methods)</w:t>
      </w:r>
      <w:r w:rsidR="008A37CB" w:rsidRPr="008467AA">
        <w:t>.</w:t>
      </w:r>
      <w:bookmarkEnd w:id="1555"/>
    </w:p>
    <w:tbl>
      <w:tblPr>
        <w:tblStyle w:val="TableGrid1"/>
        <w:tblW w:w="8931" w:type="dxa"/>
        <w:tblInd w:w="108" w:type="dxa"/>
        <w:tblLook w:val="04A0" w:firstRow="1" w:lastRow="0" w:firstColumn="1" w:lastColumn="0" w:noHBand="0" w:noVBand="1"/>
        <w:tblCaption w:val="Table A1 4: Frequency categories used to categorise the multi-annual maps of frequency of occurrence of plume water types (TC and L2 methods)."/>
        <w:tblDescription w:val="Table of frequency categories used to categorise the multi-annual maps of frequency of occurrence of plume water types (TC and L2 methods)."/>
      </w:tblPr>
      <w:tblGrid>
        <w:gridCol w:w="2268"/>
        <w:gridCol w:w="1134"/>
        <w:gridCol w:w="1559"/>
        <w:gridCol w:w="1284"/>
        <w:gridCol w:w="1343"/>
        <w:gridCol w:w="1343"/>
      </w:tblGrid>
      <w:tr w:rsidR="008A37CB" w:rsidRPr="00144CC7" w14:paraId="5F22F915" w14:textId="77777777" w:rsidTr="008E2CEA">
        <w:trPr>
          <w:trHeight w:val="333"/>
          <w:tblHeader/>
        </w:trPr>
        <w:tc>
          <w:tcPr>
            <w:tcW w:w="2268" w:type="dxa"/>
            <w:shd w:val="clear" w:color="auto" w:fill="D9D9D9" w:themeFill="background1" w:themeFillShade="D9"/>
          </w:tcPr>
          <w:p w14:paraId="5F22F90F" w14:textId="77777777" w:rsidR="008A37CB" w:rsidRPr="00144CC7" w:rsidRDefault="008A37CB" w:rsidP="00E437B8">
            <w:pPr>
              <w:rPr>
                <w:b/>
                <w:sz w:val="20"/>
                <w:lang w:val="en-AU"/>
              </w:rPr>
            </w:pPr>
            <w:r w:rsidRPr="00144CC7">
              <w:rPr>
                <w:b/>
                <w:sz w:val="20"/>
                <w:lang w:val="en-AU"/>
              </w:rPr>
              <w:t>Likelihood</w:t>
            </w:r>
          </w:p>
        </w:tc>
        <w:tc>
          <w:tcPr>
            <w:tcW w:w="1134" w:type="dxa"/>
            <w:shd w:val="clear" w:color="auto" w:fill="D9D9D9" w:themeFill="background1" w:themeFillShade="D9"/>
          </w:tcPr>
          <w:p w14:paraId="5F22F910" w14:textId="77777777" w:rsidR="008A37CB" w:rsidRPr="00144CC7" w:rsidRDefault="008A37CB" w:rsidP="00E437B8">
            <w:pPr>
              <w:rPr>
                <w:b/>
                <w:sz w:val="20"/>
                <w:lang w:val="en-AU"/>
              </w:rPr>
            </w:pPr>
            <w:r w:rsidRPr="00144CC7">
              <w:rPr>
                <w:b/>
                <w:sz w:val="20"/>
                <w:lang w:val="en-AU"/>
              </w:rPr>
              <w:t>Rare</w:t>
            </w:r>
          </w:p>
        </w:tc>
        <w:tc>
          <w:tcPr>
            <w:tcW w:w="1559" w:type="dxa"/>
            <w:shd w:val="clear" w:color="auto" w:fill="D9D9D9" w:themeFill="background1" w:themeFillShade="D9"/>
          </w:tcPr>
          <w:p w14:paraId="5F22F911" w14:textId="77777777" w:rsidR="008A37CB" w:rsidRPr="00144CC7" w:rsidRDefault="008A37CB" w:rsidP="00E437B8">
            <w:pPr>
              <w:rPr>
                <w:b/>
                <w:sz w:val="20"/>
                <w:lang w:val="en-AU"/>
              </w:rPr>
            </w:pPr>
            <w:r w:rsidRPr="00144CC7">
              <w:rPr>
                <w:b/>
                <w:sz w:val="20"/>
                <w:lang w:val="en-AU"/>
              </w:rPr>
              <w:t>Infrequent</w:t>
            </w:r>
          </w:p>
        </w:tc>
        <w:tc>
          <w:tcPr>
            <w:tcW w:w="1284" w:type="dxa"/>
            <w:shd w:val="clear" w:color="auto" w:fill="D9D9D9" w:themeFill="background1" w:themeFillShade="D9"/>
          </w:tcPr>
          <w:p w14:paraId="5F22F912" w14:textId="77777777" w:rsidR="008A37CB" w:rsidRPr="00144CC7" w:rsidRDefault="008A37CB" w:rsidP="00E437B8">
            <w:pPr>
              <w:rPr>
                <w:b/>
                <w:sz w:val="20"/>
                <w:lang w:val="en-AU"/>
              </w:rPr>
            </w:pPr>
            <w:r w:rsidRPr="00144CC7">
              <w:rPr>
                <w:b/>
                <w:sz w:val="20"/>
                <w:lang w:val="en-AU"/>
              </w:rPr>
              <w:t>Occasional</w:t>
            </w:r>
          </w:p>
        </w:tc>
        <w:tc>
          <w:tcPr>
            <w:tcW w:w="1343" w:type="dxa"/>
            <w:shd w:val="clear" w:color="auto" w:fill="D9D9D9" w:themeFill="background1" w:themeFillShade="D9"/>
          </w:tcPr>
          <w:p w14:paraId="5F22F913" w14:textId="77777777" w:rsidR="008A37CB" w:rsidRPr="00144CC7" w:rsidRDefault="008A37CB" w:rsidP="00E437B8">
            <w:pPr>
              <w:rPr>
                <w:b/>
                <w:sz w:val="20"/>
                <w:lang w:val="en-AU"/>
              </w:rPr>
            </w:pPr>
            <w:r w:rsidRPr="00144CC7">
              <w:rPr>
                <w:b/>
                <w:sz w:val="20"/>
                <w:lang w:val="en-AU"/>
              </w:rPr>
              <w:t>Frequent</w:t>
            </w:r>
          </w:p>
        </w:tc>
        <w:tc>
          <w:tcPr>
            <w:tcW w:w="1343" w:type="dxa"/>
            <w:shd w:val="clear" w:color="auto" w:fill="D9D9D9" w:themeFill="background1" w:themeFillShade="D9"/>
          </w:tcPr>
          <w:p w14:paraId="5F22F914" w14:textId="77777777" w:rsidR="008A37CB" w:rsidRPr="00144CC7" w:rsidRDefault="008A37CB" w:rsidP="00E437B8">
            <w:pPr>
              <w:rPr>
                <w:b/>
                <w:sz w:val="20"/>
                <w:lang w:val="en-AU"/>
              </w:rPr>
            </w:pPr>
            <w:r w:rsidRPr="00144CC7">
              <w:rPr>
                <w:b/>
                <w:sz w:val="20"/>
                <w:lang w:val="en-AU"/>
              </w:rPr>
              <w:t>Very frequent</w:t>
            </w:r>
          </w:p>
        </w:tc>
      </w:tr>
      <w:tr w:rsidR="008A37CB" w:rsidRPr="003A77F5" w14:paraId="5F22F921" w14:textId="77777777" w:rsidTr="008E2CEA">
        <w:trPr>
          <w:trHeight w:val="590"/>
        </w:trPr>
        <w:tc>
          <w:tcPr>
            <w:tcW w:w="2268" w:type="dxa"/>
            <w:vAlign w:val="center"/>
          </w:tcPr>
          <w:p w14:paraId="5F22F916" w14:textId="77777777" w:rsidR="008A37CB" w:rsidRPr="008467AA" w:rsidRDefault="008A37CB" w:rsidP="00E437B8">
            <w:pPr>
              <w:jc w:val="left"/>
              <w:rPr>
                <w:sz w:val="20"/>
                <w:lang w:val="en-AU"/>
              </w:rPr>
            </w:pPr>
            <w:r w:rsidRPr="008467AA">
              <w:rPr>
                <w:sz w:val="20"/>
                <w:lang w:val="en-AU"/>
              </w:rPr>
              <w:t>Frequency: number of weeks per wet season [normalized value]</w:t>
            </w:r>
          </w:p>
        </w:tc>
        <w:tc>
          <w:tcPr>
            <w:tcW w:w="1134" w:type="dxa"/>
            <w:vAlign w:val="center"/>
          </w:tcPr>
          <w:p w14:paraId="5F22F917" w14:textId="77777777" w:rsidR="008A37CB" w:rsidRPr="008467AA" w:rsidRDefault="008A37CB" w:rsidP="00E437B8">
            <w:pPr>
              <w:jc w:val="left"/>
              <w:rPr>
                <w:sz w:val="20"/>
                <w:lang w:val="en-AU"/>
              </w:rPr>
            </w:pPr>
            <w:r w:rsidRPr="008467AA">
              <w:rPr>
                <w:sz w:val="20"/>
                <w:lang w:val="en-AU"/>
              </w:rPr>
              <w:t>1-4</w:t>
            </w:r>
          </w:p>
          <w:p w14:paraId="5F22F918" w14:textId="77777777" w:rsidR="008A37CB" w:rsidRPr="008467AA" w:rsidRDefault="008A37CB" w:rsidP="00E437B8">
            <w:pPr>
              <w:jc w:val="left"/>
              <w:rPr>
                <w:sz w:val="20"/>
                <w:lang w:val="en-AU"/>
              </w:rPr>
            </w:pPr>
            <w:r>
              <w:rPr>
                <w:sz w:val="20"/>
                <w:lang w:val="en-AU"/>
              </w:rPr>
              <w:t>[&gt;</w:t>
            </w:r>
            <w:r w:rsidRPr="008467AA">
              <w:rPr>
                <w:sz w:val="20"/>
                <w:lang w:val="en-AU"/>
              </w:rPr>
              <w:t>0 – 0.2]</w:t>
            </w:r>
          </w:p>
        </w:tc>
        <w:tc>
          <w:tcPr>
            <w:tcW w:w="1559" w:type="dxa"/>
            <w:vAlign w:val="center"/>
          </w:tcPr>
          <w:p w14:paraId="5F22F919" w14:textId="77777777" w:rsidR="008A37CB" w:rsidRPr="008467AA" w:rsidRDefault="008A37CB" w:rsidP="00E437B8">
            <w:pPr>
              <w:jc w:val="left"/>
              <w:rPr>
                <w:sz w:val="20"/>
                <w:lang w:val="en-AU"/>
              </w:rPr>
            </w:pPr>
            <w:r w:rsidRPr="008467AA">
              <w:rPr>
                <w:sz w:val="20"/>
                <w:lang w:val="en-AU"/>
              </w:rPr>
              <w:t>&gt;4 – 8</w:t>
            </w:r>
          </w:p>
          <w:p w14:paraId="5F22F91A" w14:textId="77777777" w:rsidR="008A37CB" w:rsidRPr="008467AA" w:rsidRDefault="008A37CB" w:rsidP="00E437B8">
            <w:pPr>
              <w:jc w:val="left"/>
              <w:rPr>
                <w:sz w:val="20"/>
                <w:lang w:val="en-AU"/>
              </w:rPr>
            </w:pPr>
            <w:r>
              <w:rPr>
                <w:sz w:val="20"/>
                <w:lang w:val="en-AU"/>
              </w:rPr>
              <w:t>[&gt;</w:t>
            </w:r>
            <w:r w:rsidRPr="008467AA">
              <w:rPr>
                <w:sz w:val="20"/>
                <w:lang w:val="en-AU"/>
              </w:rPr>
              <w:t>0.2 – 0.4]</w:t>
            </w:r>
          </w:p>
        </w:tc>
        <w:tc>
          <w:tcPr>
            <w:tcW w:w="1284" w:type="dxa"/>
            <w:vAlign w:val="center"/>
          </w:tcPr>
          <w:p w14:paraId="5F22F91B" w14:textId="77777777" w:rsidR="008A37CB" w:rsidRPr="008467AA" w:rsidRDefault="008A37CB" w:rsidP="00E437B8">
            <w:pPr>
              <w:jc w:val="left"/>
              <w:rPr>
                <w:sz w:val="20"/>
                <w:lang w:val="en-AU"/>
              </w:rPr>
            </w:pPr>
            <w:r w:rsidRPr="008467AA">
              <w:rPr>
                <w:sz w:val="20"/>
                <w:lang w:val="en-AU"/>
              </w:rPr>
              <w:t>&gt;8 – 13</w:t>
            </w:r>
          </w:p>
          <w:p w14:paraId="5F22F91C" w14:textId="77777777" w:rsidR="008A37CB" w:rsidRPr="008467AA" w:rsidRDefault="008A37CB" w:rsidP="00E437B8">
            <w:pPr>
              <w:jc w:val="left"/>
              <w:rPr>
                <w:sz w:val="20"/>
                <w:lang w:val="en-AU"/>
              </w:rPr>
            </w:pPr>
            <w:r>
              <w:rPr>
                <w:sz w:val="20"/>
                <w:lang w:val="en-AU"/>
              </w:rPr>
              <w:t>[&gt;</w:t>
            </w:r>
            <w:r w:rsidRPr="008467AA">
              <w:rPr>
                <w:sz w:val="20"/>
                <w:lang w:val="en-AU"/>
              </w:rPr>
              <w:t>0.4 – 0.6]</w:t>
            </w:r>
          </w:p>
        </w:tc>
        <w:tc>
          <w:tcPr>
            <w:tcW w:w="1343" w:type="dxa"/>
            <w:vAlign w:val="center"/>
          </w:tcPr>
          <w:p w14:paraId="5F22F91D" w14:textId="77777777" w:rsidR="008A37CB" w:rsidRPr="008467AA" w:rsidRDefault="008A37CB" w:rsidP="00E437B8">
            <w:pPr>
              <w:jc w:val="left"/>
              <w:rPr>
                <w:sz w:val="20"/>
                <w:lang w:val="en-AU"/>
              </w:rPr>
            </w:pPr>
            <w:r w:rsidRPr="008467AA">
              <w:rPr>
                <w:sz w:val="20"/>
                <w:lang w:val="en-AU"/>
              </w:rPr>
              <w:t>&gt;13 – 17</w:t>
            </w:r>
          </w:p>
          <w:p w14:paraId="5F22F91E" w14:textId="77777777" w:rsidR="008A37CB" w:rsidRPr="008467AA" w:rsidRDefault="008A37CB" w:rsidP="00E437B8">
            <w:pPr>
              <w:jc w:val="left"/>
              <w:rPr>
                <w:sz w:val="20"/>
                <w:lang w:val="en-AU"/>
              </w:rPr>
            </w:pPr>
            <w:r>
              <w:rPr>
                <w:sz w:val="20"/>
                <w:lang w:val="en-AU"/>
              </w:rPr>
              <w:t>[&gt;</w:t>
            </w:r>
            <w:r w:rsidRPr="008467AA">
              <w:rPr>
                <w:sz w:val="20"/>
                <w:lang w:val="en-AU"/>
              </w:rPr>
              <w:t>0.6 – 0.8]</w:t>
            </w:r>
          </w:p>
        </w:tc>
        <w:tc>
          <w:tcPr>
            <w:tcW w:w="1343" w:type="dxa"/>
            <w:vAlign w:val="center"/>
          </w:tcPr>
          <w:p w14:paraId="5F22F91F" w14:textId="77777777" w:rsidR="008A37CB" w:rsidRPr="008467AA" w:rsidRDefault="008A37CB" w:rsidP="00E437B8">
            <w:pPr>
              <w:jc w:val="left"/>
              <w:rPr>
                <w:sz w:val="20"/>
                <w:lang w:val="en-AU"/>
              </w:rPr>
            </w:pPr>
            <w:r w:rsidRPr="008467AA">
              <w:rPr>
                <w:sz w:val="20"/>
                <w:lang w:val="en-AU"/>
              </w:rPr>
              <w:t>&gt;17 – 22</w:t>
            </w:r>
          </w:p>
          <w:p w14:paraId="5F22F920" w14:textId="77777777" w:rsidR="008A37CB" w:rsidRPr="008467AA" w:rsidRDefault="008A37CB" w:rsidP="00E437B8">
            <w:pPr>
              <w:jc w:val="left"/>
              <w:rPr>
                <w:sz w:val="20"/>
                <w:lang w:val="en-AU"/>
              </w:rPr>
            </w:pPr>
            <w:r>
              <w:rPr>
                <w:sz w:val="20"/>
                <w:lang w:val="en-AU"/>
              </w:rPr>
              <w:t>[&gt;</w:t>
            </w:r>
            <w:r w:rsidRPr="008467AA">
              <w:rPr>
                <w:sz w:val="20"/>
                <w:lang w:val="en-AU"/>
              </w:rPr>
              <w:t>0.8 – 1.0]</w:t>
            </w:r>
          </w:p>
        </w:tc>
      </w:tr>
    </w:tbl>
    <w:p w14:paraId="5F22F922" w14:textId="77777777" w:rsidR="008A37CB" w:rsidRPr="008467AA" w:rsidRDefault="008A37CB" w:rsidP="008A37CB">
      <w:pPr>
        <w:rPr>
          <w:color w:val="000000" w:themeColor="text1"/>
          <w:lang w:val="en-AU"/>
        </w:rPr>
      </w:pPr>
    </w:p>
    <w:p w14:paraId="5F22F923" w14:textId="77777777" w:rsidR="008A37CB" w:rsidRPr="008467AA" w:rsidRDefault="008A37CB" w:rsidP="008A37CB">
      <w:pPr>
        <w:rPr>
          <w:rFonts w:eastAsia="Calibri"/>
          <w:lang w:val="en-AU"/>
        </w:rPr>
      </w:pPr>
      <w:r w:rsidRPr="008467AA">
        <w:rPr>
          <w:lang w:val="en-AU"/>
        </w:rPr>
        <w:t xml:space="preserve">A risk does not exist unless (i) the stressor has the inherent ability to cause one or more adverse effects, and (ii) it co-occurs or comes into contact with an ecological component (i.e., organisms, populations, communities, or ecosystems; US EPA, 1998) susceptible to the stressor. Ecological consequences of the risk will primarily be a function of the presence/absence of GBR ecosystems subjected to different occurrence and magnitude of risk (i.e. potential risk score). </w:t>
      </w:r>
    </w:p>
    <w:p w14:paraId="5F22F924" w14:textId="77777777" w:rsidR="008A37CB" w:rsidRDefault="008A37CB" w:rsidP="008A37CB">
      <w:pPr>
        <w:rPr>
          <w:lang w:val="en-AU"/>
        </w:rPr>
      </w:pPr>
      <w:r w:rsidRPr="008467AA">
        <w:rPr>
          <w:lang w:val="en-AU"/>
        </w:rPr>
        <w:t xml:space="preserve">Community characteristics such as the sensitivity and resilience of particular seagrass or coral communities, including the resilience associated with their natural levels of exposure to pollutants, are additional parameters that must be considered when scoring the risk from river plume exposure. However, the consequence of the exposure of species is complicated by the influence of the combined stressors and additional external influences including weather and climate conditions and the ecological significance of pollutant concentrations are mostly unknown at a regional or species level (Brodie et al., 2013). </w:t>
      </w:r>
    </w:p>
    <w:p w14:paraId="5F22F925" w14:textId="45F90610" w:rsidR="008A37CB" w:rsidRPr="008467AA" w:rsidRDefault="008A37CB" w:rsidP="008A37CB">
      <w:pPr>
        <w:rPr>
          <w:rFonts w:eastAsia="Calibri"/>
          <w:lang w:val="en-AU"/>
        </w:rPr>
      </w:pPr>
      <w:r w:rsidRPr="008467AA">
        <w:rPr>
          <w:lang w:val="en-AU"/>
        </w:rPr>
        <w:t>In this report, we simply describe the area (km</w:t>
      </w:r>
      <w:r w:rsidRPr="008467AA">
        <w:rPr>
          <w:vertAlign w:val="superscript"/>
          <w:lang w:val="en-AU"/>
        </w:rPr>
        <w:t>2</w:t>
      </w:r>
      <w:r w:rsidRPr="008467AA">
        <w:rPr>
          <w:lang w:val="en-AU"/>
        </w:rPr>
        <w:t xml:space="preserve">) and percentage (%) of coral reefs and seagrass meadows </w:t>
      </w:r>
      <w:r w:rsidR="001809E8">
        <w:rPr>
          <w:lang w:val="en-AU"/>
        </w:rPr>
        <w:t xml:space="preserve">potentially </w:t>
      </w:r>
      <w:r w:rsidRPr="008467AA">
        <w:rPr>
          <w:lang w:val="en-AU"/>
        </w:rPr>
        <w:t xml:space="preserve">exposed to river plume and to different categories of potential risk from river plume exposure. Areas of GBR waters within each marine NRM region exposed to different categories of river plume and river plume risk are also reported in recognition of other important habitats and populations that exist in these areas (Brodie et al., 2013). </w:t>
      </w:r>
      <w:r w:rsidR="00B003CF">
        <w:rPr>
          <w:lang w:val="en-AU"/>
        </w:rPr>
        <w:t>Figure A1-4 and Figure A1-5</w:t>
      </w:r>
      <w:r w:rsidR="00B003CF" w:rsidRPr="00B003CF">
        <w:rPr>
          <w:rFonts w:eastAsia="Calibri"/>
          <w:lang w:val="en-AU"/>
        </w:rPr>
        <w:t xml:space="preserve"> </w:t>
      </w:r>
      <w:r w:rsidRPr="00B003CF">
        <w:rPr>
          <w:rFonts w:eastAsia="Calibri"/>
          <w:lang w:val="en-AU"/>
        </w:rPr>
        <w:t>present</w:t>
      </w:r>
      <w:r w:rsidRPr="008467AA">
        <w:rPr>
          <w:rFonts w:eastAsia="Calibri"/>
          <w:lang w:val="en-AU"/>
        </w:rPr>
        <w:t xml:space="preserve"> the marine boundaries used for the GBR Marine Park, each NRM region and the seagrass and coral reefs ecosystems. We assumed in this study that the shapefile can be used as a representation of the actual seagrass distribution</w:t>
      </w:r>
      <w:r w:rsidR="001809E8">
        <w:rPr>
          <w:rFonts w:eastAsia="Calibri"/>
          <w:lang w:val="en-AU"/>
        </w:rPr>
        <w:t>. It is known however that absence on the composite map does not definitively equate to absence of seagrass and may also indicate unsurveyed areas</w:t>
      </w:r>
      <w:r w:rsidRPr="008467AA">
        <w:rPr>
          <w:rFonts w:eastAsia="Calibri"/>
          <w:lang w:val="en-AU"/>
        </w:rPr>
        <w:t xml:space="preserve">. Spatial distribution of the </w:t>
      </w:r>
      <w:r w:rsidR="003704F8" w:rsidRPr="008467AA">
        <w:rPr>
          <w:rFonts w:eastAsia="Calibri"/>
          <w:lang w:val="en-AU"/>
        </w:rPr>
        <w:t>deep water</w:t>
      </w:r>
      <w:r w:rsidRPr="008467AA">
        <w:rPr>
          <w:rFonts w:eastAsia="Calibri"/>
          <w:lang w:val="en-AU"/>
        </w:rPr>
        <w:t xml:space="preserve"> seagrass is a statistically modelled probability of seagrass presence (using generalized additive models (GAMs) with binomial error and smoothed terms in relative distance across and along the GBR) in GBRWHA waters &gt;15m depth, based on ground-</w:t>
      </w:r>
      <w:r w:rsidR="003704F8" w:rsidRPr="008467AA">
        <w:rPr>
          <w:rFonts w:eastAsia="Calibri"/>
          <w:lang w:val="en-AU"/>
        </w:rPr>
        <w:t>tr</w:t>
      </w:r>
      <w:r w:rsidR="002C467D">
        <w:rPr>
          <w:rFonts w:eastAsia="Calibri"/>
          <w:lang w:val="en-AU"/>
        </w:rPr>
        <w:t>u</w:t>
      </w:r>
      <w:r w:rsidR="003704F8" w:rsidRPr="008467AA">
        <w:rPr>
          <w:rFonts w:eastAsia="Calibri"/>
          <w:lang w:val="en-AU"/>
        </w:rPr>
        <w:t>thing</w:t>
      </w:r>
      <w:r w:rsidRPr="008467AA">
        <w:rPr>
          <w:rFonts w:eastAsia="Calibri"/>
          <w:lang w:val="en-AU"/>
        </w:rPr>
        <w:t xml:space="preserve"> of each data point. For details on approach, see Coles et al. (2009).</w:t>
      </w:r>
    </w:p>
    <w:p w14:paraId="5F22F926" w14:textId="77777777" w:rsidR="008A37CB" w:rsidRPr="008467AA" w:rsidRDefault="008A37CB" w:rsidP="008A37CB">
      <w:pPr>
        <w:rPr>
          <w:lang w:val="en-AU"/>
        </w:rPr>
      </w:pPr>
    </w:p>
    <w:p w14:paraId="5F22F927" w14:textId="77777777" w:rsidR="008A37CB" w:rsidRPr="008467AA" w:rsidRDefault="008A37CB" w:rsidP="00C951C9">
      <w:pPr>
        <w:jc w:val="center"/>
        <w:rPr>
          <w:rFonts w:ascii="Calibri" w:eastAsia="Calibri" w:hAnsi="Calibri"/>
          <w:lang w:val="en-AU"/>
        </w:rPr>
      </w:pPr>
      <w:r w:rsidRPr="0026385A">
        <w:rPr>
          <w:rFonts w:ascii="Calibri" w:eastAsia="Calibri" w:hAnsi="Calibri"/>
          <w:noProof/>
          <w:lang w:val="en-AU" w:eastAsia="en-AU"/>
        </w:rPr>
        <w:drawing>
          <wp:inline distT="0" distB="0" distL="0" distR="0" wp14:anchorId="5F232417" wp14:editId="46115B10">
            <wp:extent cx="3659205" cy="3733800"/>
            <wp:effectExtent l="19050" t="19050" r="17780" b="19050"/>
            <wp:docPr id="77" name="Picture 3" descr="Map showing marine boundaries used for the GBR Marine Park (a), each NRM region and the coral reefs ecosystems. " title="Figure A1 4: Marine boundaries used for the GBR Marine Park (a), each NRM region and the coral reefs ecosystem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8" cstate="print">
                      <a:extLst>
                        <a:ext uri="{28A0092B-C50C-407E-A947-70E740481C1C}">
                          <a14:useLocalDpi xmlns:a14="http://schemas.microsoft.com/office/drawing/2010/main" val="0"/>
                        </a:ext>
                      </a:extLst>
                    </a:blip>
                    <a:srcRect/>
                    <a:stretch>
                      <a:fillRect/>
                    </a:stretch>
                  </pic:blipFill>
                  <pic:spPr bwMode="auto">
                    <a:xfrm>
                      <a:off x="0" y="0"/>
                      <a:ext cx="3662601" cy="3737266"/>
                    </a:xfrm>
                    <a:prstGeom prst="rect">
                      <a:avLst/>
                    </a:prstGeom>
                    <a:solidFill>
                      <a:sysClr val="window" lastClr="FFFFFF"/>
                    </a:solidFill>
                    <a:ln>
                      <a:solidFill>
                        <a:schemeClr val="tx1"/>
                      </a:solidFill>
                    </a:ln>
                  </pic:spPr>
                </pic:pic>
              </a:graphicData>
            </a:graphic>
          </wp:inline>
        </w:drawing>
      </w:r>
    </w:p>
    <w:p w14:paraId="5F22F929" w14:textId="6D6DF0B2" w:rsidR="008A37CB" w:rsidRPr="009E7A16" w:rsidRDefault="00725F21" w:rsidP="00164E5E">
      <w:pPr>
        <w:pStyle w:val="Caption"/>
        <w:rPr>
          <w:rStyle w:val="IntenseReference"/>
        </w:rPr>
      </w:pPr>
      <w:bookmarkStart w:id="1556" w:name="_Toc437591233"/>
      <w:bookmarkStart w:id="1557" w:name="_Toc459332193"/>
      <w:bookmarkStart w:id="1558" w:name="_Toc461194301"/>
      <w:bookmarkStart w:id="1559" w:name="_Toc427833269"/>
      <w:bookmarkStart w:id="1560" w:name="_Toc434607166"/>
      <w:bookmarkStart w:id="1561" w:name="_Toc436913511"/>
      <w:r w:rsidRPr="00A42913">
        <w:t xml:space="preserve">Figure A1 </w:t>
      </w:r>
      <w:r w:rsidR="00EB33A6">
        <w:fldChar w:fldCharType="begin"/>
      </w:r>
      <w:r w:rsidR="00D8225E">
        <w:instrText xml:space="preserve"> SEQ Figure_A1 \* ARABIC </w:instrText>
      </w:r>
      <w:r w:rsidR="00EB33A6">
        <w:fldChar w:fldCharType="separate"/>
      </w:r>
      <w:r w:rsidR="007F5336">
        <w:rPr>
          <w:noProof/>
        </w:rPr>
        <w:t>4</w:t>
      </w:r>
      <w:r w:rsidR="00EB33A6">
        <w:rPr>
          <w:noProof/>
        </w:rPr>
        <w:fldChar w:fldCharType="end"/>
      </w:r>
      <w:r w:rsidR="008A37CB" w:rsidRPr="00A42913">
        <w:t>: Marine boundaries used for the GBR Marine Park</w:t>
      </w:r>
      <w:bookmarkEnd w:id="1556"/>
      <w:r w:rsidR="008A37CB" w:rsidRPr="00A42913">
        <w:t xml:space="preserve"> (a), each NRM region and the coral reefs ecosystems</w:t>
      </w:r>
      <w:r w:rsidR="00A42913">
        <w:rPr>
          <w:rStyle w:val="IntenseReference"/>
        </w:rPr>
        <w:t>.</w:t>
      </w:r>
      <w:bookmarkEnd w:id="1557"/>
      <w:bookmarkEnd w:id="1558"/>
      <w:r w:rsidR="008E2CEA">
        <w:rPr>
          <w:rStyle w:val="IntenseReference"/>
        </w:rPr>
        <w:t xml:space="preserve"> </w:t>
      </w:r>
      <w:r w:rsidR="008A37CB" w:rsidRPr="009E7A16">
        <w:rPr>
          <w:rStyle w:val="IntenseReference"/>
        </w:rPr>
        <w:t xml:space="preserve">Coral Reef and NRM layers derived from: GBRMPA, 2013, GBR feature shapefiles and enlargements around (b) the Tully-Herbert Rivers and (c) the Burdekin </w:t>
      </w:r>
      <w:r w:rsidR="009B7E24">
        <w:rPr>
          <w:rStyle w:val="IntenseReference"/>
        </w:rPr>
        <w:t>R</w:t>
      </w:r>
      <w:r w:rsidR="008A37CB" w:rsidRPr="009E7A16">
        <w:rPr>
          <w:rStyle w:val="IntenseReference"/>
        </w:rPr>
        <w:t>iver.</w:t>
      </w:r>
      <w:bookmarkEnd w:id="1559"/>
      <w:bookmarkEnd w:id="1560"/>
      <w:bookmarkEnd w:id="1561"/>
      <w:r w:rsidR="008A37CB" w:rsidRPr="009E7A16">
        <w:rPr>
          <w:rStyle w:val="IntenseReference"/>
        </w:rPr>
        <w:t xml:space="preserve"> </w:t>
      </w:r>
    </w:p>
    <w:p w14:paraId="5F22F92A" w14:textId="77777777" w:rsidR="008A37CB" w:rsidRPr="008467AA" w:rsidRDefault="008A37CB" w:rsidP="00C951C9">
      <w:pPr>
        <w:jc w:val="center"/>
        <w:rPr>
          <w:rFonts w:eastAsia="Calibri"/>
          <w:lang w:val="en-AU"/>
        </w:rPr>
      </w:pPr>
      <w:r w:rsidRPr="0026385A">
        <w:rPr>
          <w:rFonts w:ascii="Calibri" w:eastAsia="Calibri" w:hAnsi="Calibri"/>
          <w:noProof/>
          <w:color w:val="17365D" w:themeColor="text2" w:themeShade="BF"/>
          <w:lang w:val="en-AU" w:eastAsia="en-AU"/>
        </w:rPr>
        <w:drawing>
          <wp:inline distT="0" distB="0" distL="0" distR="0" wp14:anchorId="5F232419" wp14:editId="1EB28328">
            <wp:extent cx="3563815" cy="3542639"/>
            <wp:effectExtent l="19050" t="19050" r="17780" b="20320"/>
            <wp:docPr id="78" name="Picture 11" descr="Panel of maps showing marine boundaries used for the GBR Marine Park (a), each NRM region and the seagrass ecosystems." title="Figure A1 5: Marine boundaries used for the GBR Marine Park (a), each NRM region and the seagrass eco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9" cstate="print">
                      <a:extLst>
                        <a:ext uri="{28A0092B-C50C-407E-A947-70E740481C1C}">
                          <a14:useLocalDpi xmlns:a14="http://schemas.microsoft.com/office/drawing/2010/main" val="0"/>
                        </a:ext>
                      </a:extLst>
                    </a:blip>
                    <a:srcRect/>
                    <a:stretch>
                      <a:fillRect/>
                    </a:stretch>
                  </pic:blipFill>
                  <pic:spPr bwMode="auto">
                    <a:xfrm>
                      <a:off x="0" y="0"/>
                      <a:ext cx="3581237" cy="3559957"/>
                    </a:xfrm>
                    <a:prstGeom prst="rect">
                      <a:avLst/>
                    </a:prstGeom>
                    <a:solidFill>
                      <a:sysClr val="window" lastClr="FFFFFF"/>
                    </a:solidFill>
                    <a:ln>
                      <a:solidFill>
                        <a:schemeClr val="tx1"/>
                      </a:solidFill>
                    </a:ln>
                  </pic:spPr>
                </pic:pic>
              </a:graphicData>
            </a:graphic>
          </wp:inline>
        </w:drawing>
      </w:r>
    </w:p>
    <w:p w14:paraId="5F22F92C" w14:textId="3CA0EF60" w:rsidR="008A37CB" w:rsidRPr="009E7A16" w:rsidRDefault="00725F21" w:rsidP="00164E5E">
      <w:pPr>
        <w:pStyle w:val="Caption"/>
        <w:rPr>
          <w:rStyle w:val="IntenseReference"/>
        </w:rPr>
      </w:pPr>
      <w:bookmarkStart w:id="1562" w:name="_Toc437591234"/>
      <w:bookmarkStart w:id="1563" w:name="_Toc459332194"/>
      <w:bookmarkStart w:id="1564" w:name="_Toc434607167"/>
      <w:bookmarkStart w:id="1565" w:name="_Toc436913512"/>
      <w:bookmarkStart w:id="1566" w:name="_Toc461194302"/>
      <w:bookmarkStart w:id="1567" w:name="_Toc427833270"/>
      <w:r w:rsidRPr="00A42913">
        <w:t xml:space="preserve">Figure A1 </w:t>
      </w:r>
      <w:r w:rsidR="00EB33A6">
        <w:fldChar w:fldCharType="begin"/>
      </w:r>
      <w:r w:rsidR="00D8225E">
        <w:instrText xml:space="preserve"> SEQ Figure_A1 \* ARABIC </w:instrText>
      </w:r>
      <w:r w:rsidR="00EB33A6">
        <w:fldChar w:fldCharType="separate"/>
      </w:r>
      <w:r w:rsidR="007F5336">
        <w:rPr>
          <w:noProof/>
        </w:rPr>
        <w:t>5</w:t>
      </w:r>
      <w:r w:rsidR="00EB33A6">
        <w:rPr>
          <w:noProof/>
        </w:rPr>
        <w:fldChar w:fldCharType="end"/>
      </w:r>
      <w:r w:rsidR="009E7A16" w:rsidRPr="00A42913">
        <w:t>:</w:t>
      </w:r>
      <w:r w:rsidR="008A37CB" w:rsidRPr="00A42913">
        <w:t xml:space="preserve"> Marine boundaries used for the GBR Marine Park</w:t>
      </w:r>
      <w:bookmarkEnd w:id="1562"/>
      <w:r w:rsidR="008A37CB" w:rsidRPr="00A42913">
        <w:rPr>
          <w:rStyle w:val="IntenseReference"/>
          <w:bCs w:val="0"/>
          <w:color w:val="auto"/>
          <w:lang w:val="en-AU"/>
        </w:rPr>
        <w:t xml:space="preserve"> (a), each NRM region and the seagrass ecosystems.</w:t>
      </w:r>
      <w:bookmarkEnd w:id="1563"/>
      <w:r w:rsidR="008A37CB" w:rsidRPr="00A42913">
        <w:rPr>
          <w:rStyle w:val="IntenseReference"/>
          <w:bCs w:val="0"/>
          <w:color w:val="auto"/>
          <w:lang w:val="en-AU"/>
        </w:rPr>
        <w:t xml:space="preserve"> </w:t>
      </w:r>
      <w:r w:rsidR="008A37CB" w:rsidRPr="009E7A16">
        <w:rPr>
          <w:rStyle w:val="IntenseReference"/>
        </w:rPr>
        <w:t xml:space="preserve">NRM layers derived from: GBRMPA, 2013, GBR feature shapefiles and seagrass layers from DAFF, Feb. 2013; and enlargements around (b) the Tully-Herbert </w:t>
      </w:r>
      <w:r w:rsidR="009B7E24">
        <w:rPr>
          <w:rStyle w:val="IntenseReference"/>
        </w:rPr>
        <w:t>R</w:t>
      </w:r>
      <w:r w:rsidR="008A37CB" w:rsidRPr="009E7A16">
        <w:rPr>
          <w:rStyle w:val="IntenseReference"/>
        </w:rPr>
        <w:t xml:space="preserve">ivers and (c) the Burdekin </w:t>
      </w:r>
      <w:r w:rsidR="009B7E24">
        <w:rPr>
          <w:rStyle w:val="IntenseReference"/>
        </w:rPr>
        <w:t>R</w:t>
      </w:r>
      <w:r w:rsidR="008A37CB" w:rsidRPr="009E7A16">
        <w:rPr>
          <w:rStyle w:val="IntenseReference"/>
        </w:rPr>
        <w:t xml:space="preserve">ivers. Spatial distribution of the surveyed seagrasses bed is an historical layer composed from all meadows examined between 1984 and 2008 (see reports at: </w:t>
      </w:r>
      <w:hyperlink r:id="rId390" w:history="1">
        <w:r w:rsidR="008A37CB" w:rsidRPr="009E7A16">
          <w:rPr>
            <w:rStyle w:val="IntenseReference"/>
          </w:rPr>
          <w:t>http://www.seagrasswatch.org/meg.html</w:t>
        </w:r>
      </w:hyperlink>
      <w:r w:rsidR="008A37CB" w:rsidRPr="009E7A16">
        <w:rPr>
          <w:rStyle w:val="IntenseReference"/>
        </w:rPr>
        <w:t>).</w:t>
      </w:r>
      <w:bookmarkEnd w:id="1564"/>
      <w:bookmarkEnd w:id="1565"/>
      <w:bookmarkEnd w:id="1566"/>
      <w:r w:rsidR="008A37CB" w:rsidRPr="009E7A16">
        <w:rPr>
          <w:rStyle w:val="IntenseReference"/>
        </w:rPr>
        <w:t xml:space="preserve"> </w:t>
      </w:r>
    </w:p>
    <w:bookmarkEnd w:id="1567"/>
    <w:p w14:paraId="5F22F92D" w14:textId="2B9E2C40" w:rsidR="008A37CB" w:rsidRPr="00B66CC3" w:rsidRDefault="00B66CC3" w:rsidP="004A5BF7">
      <w:pPr>
        <w:pStyle w:val="Heading7"/>
        <w:rPr>
          <w:lang w:val="en-AU"/>
        </w:rPr>
      </w:pPr>
      <w:r w:rsidRPr="00B66CC3">
        <w:rPr>
          <w:lang w:val="en-AU"/>
        </w:rPr>
        <w:t>Mapping the superficial dispersion of land-sourced nitrogen and sediment in the Great Barrier Reef: an Ocean Colour based approach</w:t>
      </w:r>
    </w:p>
    <w:p w14:paraId="409FAEE6" w14:textId="77777777" w:rsidR="00B66CC3" w:rsidRDefault="00B66CC3" w:rsidP="00B66CC3">
      <w:pPr>
        <w:rPr>
          <w:lang w:val="en-AU"/>
        </w:rPr>
      </w:pPr>
    </w:p>
    <w:p w14:paraId="5759412E" w14:textId="057D5B3B" w:rsidR="00B66CC3" w:rsidRPr="00961331" w:rsidRDefault="00B66CC3" w:rsidP="00B66CC3">
      <w:pPr>
        <w:rPr>
          <w:rFonts w:cs="Arial"/>
          <w:szCs w:val="22"/>
        </w:rPr>
      </w:pPr>
      <w:r w:rsidRPr="00961331">
        <w:rPr>
          <w:rFonts w:cs="Arial"/>
          <w:szCs w:val="22"/>
        </w:rPr>
        <w:t>An accurate quantification of DIN exposure in the GBR lagoon is highly desirable to identify the main areas under the highest exposure so that land-based management efforts can be targeted to specific regions. While previous studie</w:t>
      </w:r>
      <w:r>
        <w:rPr>
          <w:rFonts w:cs="Arial"/>
          <w:szCs w:val="22"/>
        </w:rPr>
        <w:t>s have attempted to characteris</w:t>
      </w:r>
      <w:r w:rsidRPr="00961331">
        <w:rPr>
          <w:rFonts w:cs="Arial"/>
          <w:szCs w:val="22"/>
        </w:rPr>
        <w:t xml:space="preserve">e the varying levels of DIN exposure within the GBR </w:t>
      </w:r>
      <w:r w:rsidRPr="00961331">
        <w:rPr>
          <w:rFonts w:cs="Arial"/>
          <w:szCs w:val="22"/>
        </w:rPr>
        <w:fldChar w:fldCharType="begin"/>
      </w:r>
      <w:r w:rsidRPr="00961331">
        <w:rPr>
          <w:rFonts w:cs="Arial"/>
          <w:szCs w:val="22"/>
        </w:rPr>
        <w:instrText xml:space="preserve"> ADDIN ZOTERO_ITEM CSL_CITATION {"citationID":"YAZaJjhY","properties":{"formattedCitation":"{\\rtf (e.g., \\uc0\\u193{}lvarez-Romero et al., 2013; Devlin et al., 2012a, 2012b)}","plainCitation":"(e.g., Álvarez-Romero et al., 2013; Devlin et al., 2012a, 2012b)"},"citationItems":[{"id":1,"uris":["http://zotero.org/users/2324349/items/TQTS3DE2"],"uri":["http://zotero.org/users/2324349/items/TQTS3DE2"],"itemData":{"id":1,"type":"article-journal","title":"A novel approach to model exposure of coastal-marine ecosystems to riverine flood plumes based on remote sensing techniques","container-title":"Journal of Environmental Management","page":"194-207","volume":"119","source":"ScienceDirect","abstract":"Increased loads of land-based pollutants are a major threat to coastal-marine ecosystems. Identifying the affected marine areas and the scale of influence on ecosystems is critical to assess the impacts of degraded water quality and to inform planning for catchment management and marine conservation. Studies using remotely-sensed data have contributed to our understanding of the occurrence and influence of river plumes, and to our ability to assess exposure of marine ecosystems to land-based pollutants. However, refinement of plume modeling techniques is required to improve risk assessments. We developed a novel, complementary, approach to model exposure of coastal-marine ecosystems to land-based pollutants. We used supervised classification of MODIS-Aqua true-color satellite imagery to map the extent of plumes and to qualitatively assess the dispersal of pollutants in plumes. We used the Great Barrier Reef (GBR), the world's largest coral reef system, to test our approach. We combined frequency of plume occurrence with spatially distributed loads (based on a cost-distance function) to create maps of exposure to suspended sediment and dissolved inorganic nitrogen. We then compared annual exposure maps (2007–2011) to assess inter-annual variability in the exposure of coral reefs and seagrass beds to these pollutants. We found this method useful to map plumes and qualitatively assess exposure to land-based pollutants. We observed inter-annual variation in exposure of ecosystems to pollutants in the GBR, stressing the need to incorporate a temporal component into plume exposure/risk models. Our study contributes to our understanding of plume spatial–temporal dynamics of the GBR and offers a method that can also be applied to monitor exposure of coastal-marine ecosystems to plumes and explore their ecological influences.","DOI":"10.1016/j.jenvman.2013.01.036","ISSN":"0301-4797","journalAbbreviation":"Journal of Environmental Management","author":[{"family":"Álvarez-Romero","given":"Jorge G."},{"family":"Devlin","given":"Michelle"},{"family":"Teixeira da Silva","given":"Eduardo"},{"family":"Petus","given":"Caroline"},{"family":"Ban","given":"Natalie C."},{"family":"Pressey","given":"Robert L."},{"family":"Kool","given":"Johnathan"},{"family":"Roberts","given":"Jason J."},{"family":"Cerdeira-Estrada","given":"Sergio"},{"family":"Wenger","given":"Amelia S."},{"family":"Brodie","given":"Jon"}],"issued":{"date-parts":[["2013",4,15]]}},"label":"page","prefix":"e.g., "},{"id":19,"uris":["http://zotero.org/users/2324349/items/Q39GZNEF"],"uri":["http://zotero.org/users/2324349/items/Q39GZNEF"],"itemData":{"id":19,"type":"article-journal","title":"Mapping the pollutants in surface riverine flood plume waters in the Great Barrier Reef, Australia","container-title":"Marine Pollution Bulletin","collection-title":"The Catchment to Reef Continuum: Case studies from the Great Barrier Reef","page":"224-235","volume":"65","issue":"4–9","source":"ScienceDirect","abstract":"The extent of flood plume water over a 10 year period was mapped using quasi-true colour imagery and used to calculate long-term frequency of occurrence of the plumes. The proportional contribution of riverine loads of dissolved inorganic nitrogen, total suspended sediments and Photosystem-II herbicides from each catchment was used to scale the surface exposure maps for each pollutant. A classification procedure was also applied to satellite imagery (only Wet Tropics region) during 11 flood events (2000–2010) through processing of level-2 ocean colour products to discriminate the changing characteristics across three water types: “primary plume water”, characterised by high TSS values; “secondary plume water”, characterised by high phytoplankton production as measured by elevated chlorophyll-a (chl-a), and “tertiary plume water”, characterised by elevated coloured dissolved and detrital matter (CDOM + D). This classification is a first step to characterise flood plumes.","DOI":"10.1016/j.marpolbul.2012.03.001","ISSN":"0025-326X","journalAbbreviation":"Marine Pollution Bulletin","author":[{"family":"Devlin","given":"Michelle"},{"family":"McKinna","given":"L."},{"family":"Álvarez-Romero","given":"J. G."},{"family":"Petus","given":"C."},{"family":"Abott","given":"B."},{"family":"Harkness","given":"P."},{"family":"Brodie","given":"J."}],"issued":{"date-parts":[["2012"]]}},"label":"page"},{"id":25,"uris":["http://zotero.org/users/2324349/items/TRJAN8JF"],"uri":["http://zotero.org/users/2324349/items/TRJAN8JF"],"itemData":{"id":25,"type":"chapter","title":"Monitoring and mapping of flood plumes in the Great Barrier Reef based on in-situ and remote sensing observations.","container-title":"Advances in Environmental Remote Sensing to Monitor Global Changes","publisher":"CRC Press","publisher-place":"Boca Raton","event-place":"Boca Raton","URL":"http://www.nerptropical.edu.au/publication/monitoring-and-mapping-flood-plumes-great-barrier-reef-based-situ-and-remote-sensing","author":[{"family":"Devlin","given":"Michelle"},{"family":"Schroeder","given":"Thomas"},{"family":"McKinna","given":"L."},{"family":"Brodie","given":"Jon"},{"family":"Brando","given":"Vittorio"},{"family":"Dekker","given":"A."}],"issued":{"date-parts":[["2012"]]},"accessed":{"date-parts":[["2015",5,20]]}},"label":"page"}],"schema":"https://github.com/citation-style-language/schema/raw/master/csl-citation.json"} </w:instrText>
      </w:r>
      <w:r w:rsidRPr="00961331">
        <w:rPr>
          <w:rFonts w:cs="Arial"/>
          <w:szCs w:val="22"/>
        </w:rPr>
        <w:fldChar w:fldCharType="separate"/>
      </w:r>
      <w:r w:rsidRPr="00961331">
        <w:rPr>
          <w:rFonts w:cs="Arial"/>
          <w:szCs w:val="22"/>
        </w:rPr>
        <w:t>(e.g., Álvarez-Romero et al., 2013; Devlin et al., 2012a, 2012b)</w:t>
      </w:r>
      <w:r w:rsidRPr="00961331">
        <w:rPr>
          <w:rFonts w:cs="Arial"/>
          <w:szCs w:val="22"/>
        </w:rPr>
        <w:fldChar w:fldCharType="end"/>
      </w:r>
      <w:r w:rsidRPr="00961331">
        <w:rPr>
          <w:rFonts w:cs="Arial"/>
          <w:szCs w:val="22"/>
        </w:rPr>
        <w:t xml:space="preserve">, they have been limited by a lack of reliable catchment loading data and relative lower control of its dispersal mechanisms by not using in-situ measured data. For example, those limitations in Devlin et al. </w:t>
      </w:r>
      <w:r w:rsidRPr="00961331">
        <w:rPr>
          <w:rFonts w:cs="Arial"/>
          <w:szCs w:val="22"/>
        </w:rPr>
        <w:fldChar w:fldCharType="begin"/>
      </w:r>
      <w:r w:rsidRPr="00961331">
        <w:rPr>
          <w:rFonts w:cs="Arial"/>
          <w:szCs w:val="22"/>
        </w:rPr>
        <w:instrText xml:space="preserve"> ADDIN ZOTERO_ITEM CSL_CITATION {"citationID":"zis31sUi","properties":{"formattedCitation":"(2012a, 2012b)","plainCitation":"(2012a, 2012b)"},"citationItems":[{"id":25,"uris":["http://zotero.org/users/2324349/items/TRJAN8JF"],"uri":["http://zotero.org/users/2324349/items/TRJAN8JF"],"itemData":{"id":25,"type":"chapter","title":"Monitoring and mapping of flood plumes in the Great Barrier Reef based on in-situ and remote sensing observations.","container-title":"Advances in Environmental Remote Sensing to Monitor Global Changes","publisher":"CRC Press","publisher-place":"Boca Raton","event-place":"Boca Raton","URL":"http://www.nerptropical.edu.au/publication/monitoring-and-mapping-flood-plumes-great-barrier-reef-based-situ-and-remote-sensing","author":[{"family":"Devlin","given":"Michelle"},{"family":"Schroeder","given":"Thomas"},{"family":"McKinna","given":"L."},{"family":"Brodie","given":"Jon"},{"family":"Brando","given":"Vittorio"},{"family":"Dekker","given":"A."}],"issued":{"date-parts":[["2012"]]},"accessed":{"date-parts":[["2015",5,20]]}},"label":"page","suppress-author":true},{"id":19,"uris":["http://zotero.org/users/2324349/items/Q39GZNEF"],"uri":["http://zotero.org/users/2324349/items/Q39GZNEF"],"itemData":{"id":19,"type":"article-journal","title":"Mapping the pollutants in surface riverine flood plume waters in the Great Barrier Reef, Australia","container-title":"Marine Pollution Bulletin","collection-title":"The Catchment to Reef Continuum: Case studies from the Great Barrier Reef","page":"224-235","volume":"65","issue":"4–9","source":"ScienceDirect","abstract":"The extent of flood plume water over a 10 year period was mapped using quasi-true colour imagery and used to calculate long-term frequency of occurrence of the plumes. The proportional contribution of riverine loads of dissolved inorganic nitrogen, total suspended sediments and Photosystem-II herbicides from each catchment was used to scale the surface exposure maps for each pollutant. A classification procedure was also applied to satellite imagery (only Wet Tropics region) during 11 flood events (2000–2010) through processing of level-2 ocean colour products to discriminate the changing characteristics across three water types: “primary plume water”, characterised by high TSS values; “secondary plume water”, characterised by high phytoplankton production as measured by elevated chlorophyll-a (chl-a), and “tertiary plume water”, characterised by elevated coloured dissolved and detrital matter (CDOM + D). This classification is a first step to characterise flood plumes.","DOI":"10.1016/j.marpolbul.2012.03.001","ISSN":"0025-326X","journalAbbreviation":"Marine Pollution Bulletin","author":[{"family":"Devlin","given":"Michelle"},{"family":"McKinna","given":"L."},{"family":"Álvarez-Romero","given":"J. G."},{"family":"Petus","given":"C."},{"family":"Abott","given":"B."},{"family":"Harkness","given":"P."},{"family":"Brodie","given":"J."}],"issued":{"date-parts":[["2012"]]}},"label":"page","suppress-author":true}],"schema":"https://github.com/citation-style-language/schema/raw/master/csl-citation.json"} </w:instrText>
      </w:r>
      <w:r w:rsidRPr="00961331">
        <w:rPr>
          <w:rFonts w:cs="Arial"/>
          <w:szCs w:val="22"/>
        </w:rPr>
        <w:fldChar w:fldCharType="separate"/>
      </w:r>
      <w:r w:rsidRPr="00961331">
        <w:rPr>
          <w:rFonts w:cs="Arial"/>
          <w:szCs w:val="22"/>
        </w:rPr>
        <w:t>(2012a, 2012b)</w:t>
      </w:r>
      <w:r w:rsidRPr="00961331">
        <w:rPr>
          <w:rFonts w:cs="Arial"/>
          <w:szCs w:val="22"/>
        </w:rPr>
        <w:fldChar w:fldCharType="end"/>
      </w:r>
      <w:r w:rsidRPr="00961331">
        <w:rPr>
          <w:rFonts w:cs="Arial"/>
          <w:szCs w:val="22"/>
        </w:rPr>
        <w:t xml:space="preserve">, such as not account for differential patterns of diffusion and deposition of nitrogen in the coastal waters and the use of artificial boundaries in exposure levels (i.e.,  boundaries of marine Natural Resources Management (NRM) regions), resulted in some areas being associated/assigned with higher or lower exposure levels that those expected or reported. Álvarez-Romero et al. </w:t>
      </w:r>
      <w:r w:rsidRPr="00961331">
        <w:rPr>
          <w:rFonts w:cs="Arial"/>
          <w:szCs w:val="22"/>
        </w:rPr>
        <w:fldChar w:fldCharType="begin"/>
      </w:r>
      <w:r w:rsidRPr="00961331">
        <w:rPr>
          <w:rFonts w:cs="Arial"/>
          <w:szCs w:val="22"/>
        </w:rPr>
        <w:instrText xml:space="preserve"> ADDIN ZOTERO_ITEM CSL_CITATION {"citationID":"Kz6AQ1wU","properties":{"formattedCitation":"(2013)","plainCitation":"(2013)"},"citationItems":[{"id":1,"uris":["http://zotero.org/users/2324349/items/TQTS3DE2"],"uri":["http://zotero.org/users/2324349/items/TQTS3DE2"],"itemData":{"id":1,"type":"article-journal","title":"A novel approach to model exposure of coastal-marine ecosystems to riverine flood plumes based on remote sensing techniques","container-title":"Journal of Environmental Management","page":"194-207","volume":"119","source":"ScienceDirect","abstract":"Increased loads of land-based pollutants are a major threat to coastal-marine ecosystems. Identifying the affected marine areas and the scale of influence on ecosystems is critical to assess the impacts of degraded water quality and to inform planning for catchment management and marine conservation. Studies using remotely-sensed data have contributed to our understanding of the occurrence and influence of river plumes, and to our ability to assess exposure of marine ecosystems to land-based pollutants. However, refinement of plume modeling techniques is required to improve risk assessments. We developed a novel, complementary, approach to model exposure of coastal-marine ecosystems to land-based pollutants. We used supervised classification of MODIS-Aqua true-color satellite imagery to map the extent of plumes and to qualitatively assess the dispersal of pollutants in plumes. We used the Great Barrier Reef (GBR), the world's largest coral reef system, to test our approach. We combined frequency of plume occurrence with spatially distributed loads (based on a cost-distance function) to create maps of exposure to suspended sediment and dissolved inorganic nitrogen. We then compared annual exposure maps (2007–2011) to assess inter-annual variability in the exposure of coral reefs and seagrass beds to these pollutants. We found this method useful to map plumes and qualitatively assess exposure to land-based pollutants. We observed inter-annual variation in exposure of ecosystems to pollutants in the GBR, stressing the need to incorporate a temporal component into plume exposure/risk models. Our study contributes to our understanding of plume spatial–temporal dynamics of the GBR and offers a method that can also be applied to monitor exposure of coastal-marine ecosystems to plumes and explore their ecological influences.","DOI":"10.1016/j.jenvman.2013.01.036","ISSN":"0301-4797","journalAbbreviation":"Journal of Environmental Management","author":[{"family":"Álvarez-Romero","given":"Jorge G."},{"family":"Devlin","given":"Michelle"},{"family":"Teixeira da Silva","given":"Eduardo"},{"family":"Petus","given":"Caroline"},{"family":"Ban","given":"Natalie C."},{"family":"Pressey","given":"Robert L."},{"family":"Kool","given":"Johnathan"},{"family":"Roberts","given":"Jason J."},{"family":"Cerdeira-Estrada","given":"Sergio"},{"family":"Wenger","given":"Amelia S."},{"family":"Brodie","given":"Jon"}],"issued":{"date-parts":[["2013",4,15]]}},"suppress-author":true}],"schema":"https://github.com/citation-style-language/schema/raw/master/csl-citation.json"} </w:instrText>
      </w:r>
      <w:r w:rsidRPr="00961331">
        <w:rPr>
          <w:rFonts w:cs="Arial"/>
          <w:szCs w:val="22"/>
        </w:rPr>
        <w:fldChar w:fldCharType="separate"/>
      </w:r>
      <w:r w:rsidRPr="00961331">
        <w:rPr>
          <w:rFonts w:cs="Arial"/>
          <w:szCs w:val="22"/>
        </w:rPr>
        <w:t>(2013)</w:t>
      </w:r>
      <w:r w:rsidRPr="00961331">
        <w:rPr>
          <w:rFonts w:cs="Arial"/>
          <w:szCs w:val="22"/>
        </w:rPr>
        <w:fldChar w:fldCharType="end"/>
      </w:r>
      <w:r w:rsidRPr="00961331">
        <w:rPr>
          <w:rFonts w:cs="Arial"/>
          <w:szCs w:val="22"/>
        </w:rPr>
        <w:t xml:space="preserve"> improved the dispersion mechanism of the nitrogen using satellite information, but this work provides the likelihood of nitrogen exposures and not its mass distribution over the GRB. Although the likelihood of nitrogen exposure suits to identify high risk exposure areas, it does not allow evaluating potential land-based management actions on the reduction of nitrogen discharge.</w:t>
      </w:r>
    </w:p>
    <w:p w14:paraId="16265CFA" w14:textId="033FB948" w:rsidR="00B66CC3" w:rsidRPr="00961331" w:rsidRDefault="00B66CC3" w:rsidP="00B66CC3">
      <w:pPr>
        <w:rPr>
          <w:rFonts w:cs="Arial"/>
          <w:szCs w:val="22"/>
        </w:rPr>
      </w:pPr>
      <w:r w:rsidRPr="00961331">
        <w:rPr>
          <w:rFonts w:cs="Arial"/>
          <w:szCs w:val="22"/>
        </w:rPr>
        <w:t>An ocean colour based model has been under development to estimate the dispersion of dissolved inorganic nitrogen (</w:t>
      </w:r>
      <m:oMath>
        <m:r>
          <m:rPr>
            <m:sty m:val="p"/>
          </m:rPr>
          <w:rPr>
            <w:rFonts w:ascii="Cambria Math" w:hAnsi="Cambria Math" w:cs="Arial"/>
            <w:szCs w:val="22"/>
          </w:rPr>
          <m:t>DIN=</m:t>
        </m:r>
        <m:sSubSup>
          <m:sSubSupPr>
            <m:ctrlPr>
              <w:rPr>
                <w:rFonts w:ascii="Cambria Math" w:hAnsi="Cambria Math" w:cs="Arial"/>
                <w:szCs w:val="22"/>
              </w:rPr>
            </m:ctrlPr>
          </m:sSubSupPr>
          <m:e>
            <m:r>
              <m:rPr>
                <m:nor/>
              </m:rPr>
              <w:rPr>
                <w:rFonts w:cs="Arial"/>
                <w:szCs w:val="22"/>
              </w:rPr>
              <m:t>NH</m:t>
            </m:r>
          </m:e>
          <m:sub>
            <m:r>
              <m:rPr>
                <m:nor/>
              </m:rPr>
              <w:rPr>
                <w:rFonts w:cs="Arial"/>
                <w:szCs w:val="22"/>
              </w:rPr>
              <m:t>4</m:t>
            </m:r>
          </m:sub>
          <m:sup>
            <m:r>
              <m:rPr>
                <m:nor/>
              </m:rPr>
              <w:rPr>
                <w:rFonts w:cs="Arial"/>
                <w:szCs w:val="22"/>
              </w:rPr>
              <m:t>+</m:t>
            </m:r>
          </m:sup>
        </m:sSubSup>
        <m:r>
          <m:rPr>
            <m:nor/>
          </m:rPr>
          <w:rPr>
            <w:rFonts w:cs="Arial"/>
            <w:szCs w:val="22"/>
          </w:rPr>
          <m:t>+</m:t>
        </m:r>
        <m:sSubSup>
          <m:sSubSupPr>
            <m:ctrlPr>
              <w:rPr>
                <w:rFonts w:ascii="Cambria Math" w:hAnsi="Cambria Math" w:cs="Arial"/>
                <w:szCs w:val="22"/>
              </w:rPr>
            </m:ctrlPr>
          </m:sSubSupPr>
          <m:e>
            <m:r>
              <m:rPr>
                <m:nor/>
              </m:rPr>
              <w:rPr>
                <w:rFonts w:cs="Arial"/>
                <w:szCs w:val="22"/>
              </w:rPr>
              <m:t>NO</m:t>
            </m:r>
          </m:e>
          <m:sub>
            <m:r>
              <m:rPr>
                <m:nor/>
              </m:rPr>
              <w:rPr>
                <w:rFonts w:cs="Arial"/>
                <w:szCs w:val="22"/>
              </w:rPr>
              <m:t>2</m:t>
            </m:r>
          </m:sub>
          <m:sup>
            <m:r>
              <m:rPr>
                <m:nor/>
              </m:rPr>
              <w:rPr>
                <w:rFonts w:cs="Arial"/>
                <w:szCs w:val="22"/>
              </w:rPr>
              <m:t>-</m:t>
            </m:r>
          </m:sup>
        </m:sSubSup>
        <m:r>
          <m:rPr>
            <m:nor/>
          </m:rPr>
          <w:rPr>
            <w:rFonts w:cs="Arial"/>
            <w:szCs w:val="22"/>
          </w:rPr>
          <m:t>+</m:t>
        </m:r>
        <m:sSubSup>
          <m:sSubSupPr>
            <m:ctrlPr>
              <w:rPr>
                <w:rFonts w:ascii="Cambria Math" w:hAnsi="Cambria Math" w:cs="Arial"/>
                <w:szCs w:val="22"/>
              </w:rPr>
            </m:ctrlPr>
          </m:sSubSupPr>
          <m:e>
            <m:r>
              <m:rPr>
                <m:nor/>
              </m:rPr>
              <w:rPr>
                <w:rFonts w:cs="Arial"/>
                <w:szCs w:val="22"/>
              </w:rPr>
              <m:t>NO</m:t>
            </m:r>
          </m:e>
          <m:sub>
            <m:r>
              <m:rPr>
                <m:nor/>
              </m:rPr>
              <w:rPr>
                <w:rFonts w:cs="Arial"/>
                <w:szCs w:val="22"/>
              </w:rPr>
              <m:t>3</m:t>
            </m:r>
          </m:sub>
          <m:sup>
            <m:r>
              <m:rPr>
                <m:nor/>
              </m:rPr>
              <w:rPr>
                <w:rFonts w:cs="Arial"/>
                <w:szCs w:val="22"/>
              </w:rPr>
              <m:t>-</m:t>
            </m:r>
          </m:sup>
        </m:sSubSup>
      </m:oMath>
      <w:r w:rsidRPr="00961331">
        <w:rPr>
          <w:rFonts w:cs="Arial"/>
          <w:szCs w:val="22"/>
        </w:rPr>
        <w:t xml:space="preserve">) delivered by river plumes to the Great Barrier Reef (hereafter GBR) waters </w:t>
      </w:r>
      <w:r w:rsidRPr="00961331">
        <w:rPr>
          <w:rFonts w:cs="Arial"/>
          <w:szCs w:val="22"/>
        </w:rPr>
        <w:fldChar w:fldCharType="begin"/>
      </w:r>
      <w:r>
        <w:rPr>
          <w:rFonts w:cs="Arial"/>
          <w:szCs w:val="22"/>
        </w:rPr>
        <w:instrText xml:space="preserve"> ADDIN ZOTERO_ITEM CSL_CITATION {"citationID":"h7XPq8CJ","properties":{"formattedCitation":"(da Silva et al., in prep.)","plainCitation":"(da Silva et al., in prep.)"},"citationItems":[{"id":261,"uris":["http://zotero.org/users/2324349/items/9UZKV4N9"],"uri":["http://zotero.org/users/2324349/items/9UZKV4N9"],"itemData":{"id":261,"type":"article-journal","title":"Mapping the Superficial Dispersion of Land-sourced Nitrogen in the Great Barrier Reef Marine Park: an Ocean Color Based Approach.","author":[{"family":"Silva","given":"Eduardo Teixeira","non-dropping-particle":"da"},{"family":"Mark","given":"Baird"},{"family":"Dieter","given":"Tracey"},{"family":"Devlin","given":"Michelle"},{"family":"Wolff","given":"Nicholas"},{"family":"Lewis","given":"Stephen"},{"family":"Petus","given":"Caroline"},{"family":"Brodie","given":"J."}],"issued":{"literal":"in prep."}}}],"schema":"https://github.com/citation-style-language/schema/raw/master/csl-citation.json"} </w:instrText>
      </w:r>
      <w:r w:rsidRPr="00961331">
        <w:rPr>
          <w:rFonts w:cs="Arial"/>
          <w:szCs w:val="22"/>
        </w:rPr>
        <w:fldChar w:fldCharType="separate"/>
      </w:r>
      <w:r w:rsidRPr="00961331">
        <w:rPr>
          <w:rFonts w:cs="Arial"/>
          <w:szCs w:val="22"/>
        </w:rPr>
        <w:t>(da Silva et al., in prep.)</w:t>
      </w:r>
      <w:r w:rsidRPr="00961331">
        <w:rPr>
          <w:rFonts w:cs="Arial"/>
          <w:szCs w:val="22"/>
        </w:rPr>
        <w:fldChar w:fldCharType="end"/>
      </w:r>
      <w:r w:rsidRPr="00961331">
        <w:rPr>
          <w:rFonts w:cs="Arial"/>
          <w:szCs w:val="22"/>
        </w:rPr>
        <w:t xml:space="preserve">. This model, built on Álvarez-Romero et al. </w:t>
      </w:r>
      <w:r w:rsidRPr="00961331">
        <w:rPr>
          <w:rFonts w:cs="Arial"/>
          <w:szCs w:val="22"/>
        </w:rPr>
        <w:fldChar w:fldCharType="begin"/>
      </w:r>
      <w:r>
        <w:rPr>
          <w:rFonts w:cs="Arial"/>
          <w:szCs w:val="22"/>
        </w:rPr>
        <w:instrText xml:space="preserve"> ADDIN ZOTERO_ITEM CSL_CITATION {"citationID":"ZXdt64NB","properties":{"formattedCitation":"(2013)","plainCitation":"(2013)"},"citationItems":[{"id":1,"uris":["http://zotero.org/users/2324349/items/TQTS3DE2"],"uri":["http://zotero.org/users/2324349/items/TQTS3DE2"],"itemData":{"id":1,"type":"article-journal","title":"A novel approach to model exposure of coastal-marine ecosystems to riverine flood plumes based on remote sensing techniques","container-title":"Journal of Environmental Management","page":"194-207","volume":"119","source":"ScienceDirect","abstract":"Increased loads of land-based pollutants are a major threat to coastal-marine ecosystems. Identifying the affected marine areas and the scale of influence on ecosystems is critical to assess the impacts of degraded water quality and to inform planning for catchment management and marine conservation. Studies using remotely-sensed data have contributed to our understanding of the occurrence and influence of river plumes, and to our ability to assess exposure of marine ecosystems to land-based pollutants. However, refinement of plume modeling techniques is required to improve risk assessments. We developed a novel, complementary, approach to model exposure of coastal-marine ecosystems to land-based pollutants. We used supervised classification of MODIS-Aqua true-color satellite imagery to map the extent of plumes and to qualitatively assess the dispersal of pollutants in plumes. We used the Great Barrier Reef (GBR), the world's largest coral reef system, to test our approach. We combined frequency of plume occurrence with spatially distributed loads (based on a cost-distance function) to create maps of exposure to suspended sediment and dissolved inorganic nitrogen. We then compared annual exposure maps (2007–2011) to assess inter-annual variability in the exposure of coral reefs and seagrass beds to these pollutants. We found this method useful to map plumes and qualitatively assess exposure to land-based pollutants. We observed inter-annual variation in exposure of ecosystems to pollutants in the GBR, stressing the need to incorporate a temporal component into plume exposure/risk models. Our study contributes to our understanding of plume spatial–temporal dynamics of the GBR and offers a method that can also be applied to monitor exposure of coastal-marine ecosystems to plumes and explore their ecological influences.","DOI":"10.1016/j.jenvman.2013.01.036","ISSN":"0301-4797","journalAbbreviation":"Journal of Environmental Management","author":[{"family":"Álvarez-Romero","given":"Jorge G."},{"family":"Devlin","given":"Michelle"},{"family":"Teixeira da Silva","given":"Eduardo"},{"family":"Petus","given":"Caroline"},{"family":"Ban","given":"Natalie C."},{"family":"Pressey","given":"Robert L."},{"family":"Kool","given":"Johnathan"},{"family":"Roberts","given":"Jason J."},{"family":"Cerdeira-Estrada","given":"Sergio"},{"family":"Wenger","given":"Amelia S."},{"family":"Brodie","given":"Jon"}],"issued":{"date-parts":[["2013",4,15]]}},"suppress-author":true}],"schema":"https://github.com/citation-style-language/schema/raw/master/csl-citation.json"} </w:instrText>
      </w:r>
      <w:r w:rsidRPr="00961331">
        <w:rPr>
          <w:rFonts w:cs="Arial"/>
          <w:szCs w:val="22"/>
        </w:rPr>
        <w:fldChar w:fldCharType="separate"/>
      </w:r>
      <w:r w:rsidRPr="00961331">
        <w:rPr>
          <w:rFonts w:cs="Arial"/>
          <w:szCs w:val="22"/>
        </w:rPr>
        <w:t>(2013)</w:t>
      </w:r>
      <w:r w:rsidRPr="00961331">
        <w:rPr>
          <w:rFonts w:cs="Arial"/>
          <w:szCs w:val="22"/>
        </w:rPr>
        <w:fldChar w:fldCharType="end"/>
      </w:r>
      <w:r w:rsidRPr="00961331">
        <w:rPr>
          <w:rFonts w:cs="Arial"/>
          <w:szCs w:val="22"/>
        </w:rPr>
        <w:t xml:space="preserve">, combines in-situ data from the Marine Monitoring Program, Moderate Resolution Imaging Spectroradiometer (MODIS satellite) imagery and modelled annual end-of-catchment DIN loads from the GBR watersheds. In the model, loads provide the amount of DIN delivered along the GBR, in-situ data provides the DIN mass in river plumes, and satellite imagery provides the direction and intensity of DIN mass dispersed over the GBR lagoon. This model produces annual maps of average DIN concentration in the </w:t>
      </w:r>
      <w:r w:rsidR="000F3684">
        <w:rPr>
          <w:rFonts w:cs="Arial"/>
          <w:szCs w:val="22"/>
        </w:rPr>
        <w:t>GBR</w:t>
      </w:r>
      <w:r w:rsidR="000F3684" w:rsidRPr="00961331">
        <w:rPr>
          <w:rFonts w:cs="Arial"/>
          <w:szCs w:val="22"/>
        </w:rPr>
        <w:t xml:space="preserve"> </w:t>
      </w:r>
      <w:r w:rsidRPr="00961331">
        <w:rPr>
          <w:rFonts w:cs="Arial"/>
          <w:szCs w:val="22"/>
        </w:rPr>
        <w:t xml:space="preserve">waters. Maps are in a raster format, which is a spatial data model that defines space as an array of equally sized cells arranged in rows and columns </w:t>
      </w:r>
      <w:r w:rsidRPr="00961331">
        <w:rPr>
          <w:rFonts w:cs="Arial"/>
          <w:szCs w:val="22"/>
        </w:rPr>
        <w:fldChar w:fldCharType="begin"/>
      </w:r>
      <w:r>
        <w:rPr>
          <w:rFonts w:cs="Arial"/>
          <w:szCs w:val="22"/>
        </w:rPr>
        <w:instrText xml:space="preserve"> ADDIN ZOTERO_ITEM CSL_CITATION {"citationID":"rWgqLrOQ","properties":{"formattedCitation":"(ArcMap Spatial Analyst, ESRI, 2010)","plainCitation":"(ArcMap Spatial Analyst, ESRI, 2010)"},"citationItems":[{"id":44,"uris":["http://zotero.org/users/2324349/items/R9RFNZI2"],"uri":["http://zotero.org/users/2324349/items/R9RFNZI2"],"itemData":{"id":44,"type":"book","title":"ArcGIS 10.0. Environmental Systems Research Institute (ESRI)","publisher-place":"Redlands, CA.","event-place":"Redlands, CA.","author":[{"family":"ESRI","given":""}],"issued":{"date-parts":[["2010"]]}},"prefix":"ArcMap Spatial Analyst, "}],"schema":"https://github.com/citation-style-language/schema/raw/master/csl-citation.json"} </w:instrText>
      </w:r>
      <w:r w:rsidRPr="00961331">
        <w:rPr>
          <w:rFonts w:cs="Arial"/>
          <w:szCs w:val="22"/>
        </w:rPr>
        <w:fldChar w:fldCharType="separate"/>
      </w:r>
      <w:r w:rsidRPr="00961331">
        <w:rPr>
          <w:rFonts w:cs="Arial"/>
          <w:szCs w:val="22"/>
        </w:rPr>
        <w:t>(ESRI, 2010)</w:t>
      </w:r>
      <w:r w:rsidRPr="00961331">
        <w:rPr>
          <w:rFonts w:cs="Arial"/>
          <w:szCs w:val="22"/>
        </w:rPr>
        <w:fldChar w:fldCharType="end"/>
      </w:r>
      <w:r w:rsidRPr="00961331">
        <w:rPr>
          <w:rFonts w:cs="Arial"/>
          <w:szCs w:val="22"/>
        </w:rPr>
        <w:t>.</w:t>
      </w:r>
    </w:p>
    <w:p w14:paraId="58C99F70" w14:textId="31FA0D31" w:rsidR="00B66CC3" w:rsidRPr="00961331" w:rsidRDefault="00B66CC3" w:rsidP="00B66CC3">
      <w:pPr>
        <w:rPr>
          <w:rFonts w:cs="Arial"/>
          <w:szCs w:val="22"/>
        </w:rPr>
      </w:pPr>
      <w:r w:rsidRPr="00961331">
        <w:rPr>
          <w:rFonts w:cs="Arial"/>
          <w:szCs w:val="22"/>
        </w:rPr>
        <w:t xml:space="preserve">The main modifications applied to the method presented in </w:t>
      </w:r>
      <w:r w:rsidRPr="00961331">
        <w:rPr>
          <w:rFonts w:cs="Arial"/>
          <w:szCs w:val="22"/>
        </w:rPr>
        <w:fldChar w:fldCharType="begin"/>
      </w:r>
      <w:r w:rsidRPr="00961331">
        <w:rPr>
          <w:rFonts w:cs="Arial"/>
          <w:szCs w:val="22"/>
        </w:rPr>
        <w:instrText xml:space="preserve"> ADDIN EN.CITE &lt;EndNote&gt;&lt;Cite AuthorYear="1"&gt;&lt;Author&gt;Álvarez-Romero&lt;/Author&gt;&lt;Year&gt;2013&lt;/Year&gt;&lt;RecNum&gt;1084&lt;/RecNum&gt;&lt;DisplayText&gt;Álvarez-Romero et al. (2013)&lt;/DisplayText&gt;&lt;record&gt;&lt;rec-number&gt;1084&lt;/rec-number&gt;&lt;foreign-keys&gt;&lt;key app="EN" db-id="tsw9ppz0wtsernexad8pdrfqzrvpraxppard"&gt;1084&lt;/key&gt;&lt;/foreign-keys&gt;&lt;ref-type name="Journal Article"&gt;17&lt;/ref-type&gt;&lt;contributors&gt;&lt;authors&gt;&lt;author&gt;Álvarez-Romero, Jorge G.&lt;/author&gt;&lt;author&gt;Devlin, Michelle&lt;/author&gt;&lt;author&gt;Teixeira da Silva, Eduardo&lt;/author&gt;&lt;author&gt;Petus, Caroline&lt;/author&gt;&lt;author&gt;Ban, Natalie C.&lt;/author&gt;&lt;author&gt;Pressey, Robert L.&lt;/author&gt;&lt;author&gt;Kool, Johnathan&lt;/author&gt;&lt;author&gt;Roberts, Jason J.&lt;/author&gt;&lt;author&gt;Cerdeira-Estrada, Sergio&lt;/author&gt;&lt;author&gt;Wenger, Amelia S.&lt;/author&gt;&lt;author&gt;Brodie, Jon&lt;/author&gt;&lt;/authors&gt;&lt;/contributors&gt;&lt;titles&gt;&lt;title&gt;A novel approach to model exposure of coastal-marine ecosystems to riverine flood plumes based on remote sensing techniques&lt;/title&gt;&lt;secondary-title&gt;Journal of Environmental Management&lt;/secondary-title&gt;&lt;/titles&gt;&lt;periodical&gt;&lt;full-title&gt;Journal of Environmental Management&lt;/full-title&gt;&lt;/periodical&gt;&lt;pages&gt;194-207&lt;/pages&gt;&lt;volume&gt;119&lt;/volume&gt;&lt;number&gt;0&lt;/number&gt;&lt;keywords&gt;&lt;keyword&gt;Marine spatial planning&lt;/keyword&gt;&lt;keyword&gt;River plume&lt;/keyword&gt;&lt;keyword&gt;Flood plume&lt;/keyword&gt;&lt;keyword&gt;Land-based pollution&lt;/keyword&gt;&lt;keyword&gt;Marine water quality&lt;/keyword&gt;&lt;keyword&gt;Marine conservation&lt;/keyword&gt;&lt;/keywords&gt;&lt;dates&gt;&lt;year&gt;2013&lt;/year&gt;&lt;pub-dates&gt;&lt;date&gt;4/15/&lt;/date&gt;&lt;/pub-dates&gt;&lt;/dates&gt;&lt;isbn&gt;0301-4797&lt;/isbn&gt;&lt;urls&gt;&lt;related-urls&gt;&lt;url&gt;http://www.sciencedirect.com/science/article/pii/S0301479713000789&lt;/url&gt;&lt;/related-urls&gt;&lt;/urls&gt;&lt;electronic-resource-num&gt;http://dx.doi.org/10.1016/j.jenvman.2013.01.036&lt;/electronic-resource-num&gt;&lt;/record&gt;&lt;/Cite&gt;&lt;/EndNote&gt;</w:instrText>
      </w:r>
      <w:r w:rsidRPr="00961331">
        <w:rPr>
          <w:rFonts w:cs="Arial"/>
          <w:szCs w:val="22"/>
        </w:rPr>
        <w:fldChar w:fldCharType="separate"/>
      </w:r>
      <w:hyperlink w:anchor="_ENREF_1" w:tooltip="Álvarez-Romero, 2013 #1084" w:history="1">
        <w:r w:rsidRPr="00961331">
          <w:rPr>
            <w:rFonts w:cs="Arial"/>
            <w:noProof/>
            <w:szCs w:val="22"/>
          </w:rPr>
          <w:t>Álvarez-Romero et al. (2013</w:t>
        </w:r>
      </w:hyperlink>
      <w:r w:rsidRPr="00961331">
        <w:rPr>
          <w:rFonts w:cs="Arial"/>
          <w:noProof/>
          <w:szCs w:val="22"/>
        </w:rPr>
        <w:t>)</w:t>
      </w:r>
      <w:r w:rsidRPr="00961331">
        <w:rPr>
          <w:rFonts w:cs="Arial"/>
          <w:szCs w:val="22"/>
        </w:rPr>
        <w:fldChar w:fldCharType="end"/>
      </w:r>
      <w:r w:rsidRPr="00961331">
        <w:rPr>
          <w:rFonts w:cs="Arial"/>
          <w:szCs w:val="22"/>
        </w:rPr>
        <w:t xml:space="preserve"> are: the qualitative assessment of pollutant dispersion in river plumes is replaced by a relationship between </w:t>
      </w:r>
      <w:r w:rsidRPr="00961331">
        <w:rPr>
          <w:rFonts w:cs="Arial"/>
          <w:i/>
          <w:szCs w:val="22"/>
        </w:rPr>
        <w:t>in-situ</w:t>
      </w:r>
      <w:r w:rsidRPr="00961331">
        <w:rPr>
          <w:rFonts w:cs="Arial"/>
          <w:szCs w:val="22"/>
        </w:rPr>
        <w:t xml:space="preserve"> DIN mass and the six colour classes in the river plume maps; the cost-distance function used in </w:t>
      </w:r>
      <w:r w:rsidRPr="00961331">
        <w:rPr>
          <w:rFonts w:cs="Arial"/>
          <w:szCs w:val="22"/>
        </w:rPr>
        <w:fldChar w:fldCharType="begin"/>
      </w:r>
      <w:r w:rsidRPr="00961331">
        <w:rPr>
          <w:rFonts w:cs="Arial"/>
          <w:szCs w:val="22"/>
        </w:rPr>
        <w:instrText xml:space="preserve"> ADDIN EN.CITE &lt;EndNote&gt;&lt;Cite AuthorYear="1"&gt;&lt;Author&gt;Álvarez-Romero&lt;/Author&gt;&lt;Year&gt;2013&lt;/Year&gt;&lt;RecNum&gt;1084&lt;/RecNum&gt;&lt;DisplayText&gt;Álvarez-Romero et al. (2013)&lt;/DisplayText&gt;&lt;record&gt;&lt;rec-number&gt;1084&lt;/rec-number&gt;&lt;foreign-keys&gt;&lt;key app="EN" db-id="tsw9ppz0wtsernexad8pdrfqzrvpraxppard"&gt;1084&lt;/key&gt;&lt;/foreign-keys&gt;&lt;ref-type name="Journal Article"&gt;17&lt;/ref-type&gt;&lt;contributors&gt;&lt;authors&gt;&lt;author&gt;Álvarez-Romero, Jorge G.&lt;/author&gt;&lt;author&gt;Devlin, Michelle&lt;/author&gt;&lt;author&gt;Teixeira da Silva, Eduardo&lt;/author&gt;&lt;author&gt;Petus, Caroline&lt;/author&gt;&lt;author&gt;Ban, Natalie C.&lt;/author&gt;&lt;author&gt;Pressey, Robert L.&lt;/author&gt;&lt;author&gt;Kool, Johnathan&lt;/author&gt;&lt;author&gt;Roberts, Jason J.&lt;/author&gt;&lt;author&gt;Cerdeira-Estrada, Sergio&lt;/author&gt;&lt;author&gt;Wenger, Amelia S.&lt;/author&gt;&lt;author&gt;Brodie, Jon&lt;/author&gt;&lt;/authors&gt;&lt;/contributors&gt;&lt;titles&gt;&lt;title&gt;A novel approach to model exposure of coastal-marine ecosystems to riverine flood plumes based on remote sensing techniques&lt;/title&gt;&lt;secondary-title&gt;Journal of Environmental Management&lt;/secondary-title&gt;&lt;/titles&gt;&lt;periodical&gt;&lt;full-title&gt;Journal of Environmental Management&lt;/full-title&gt;&lt;/periodical&gt;&lt;pages&gt;194-207&lt;/pages&gt;&lt;volume&gt;119&lt;/volume&gt;&lt;number&gt;0&lt;/number&gt;&lt;keywords&gt;&lt;keyword&gt;Marine spatial planning&lt;/keyword&gt;&lt;keyword&gt;River plume&lt;/keyword&gt;&lt;keyword&gt;Flood plume&lt;/keyword&gt;&lt;keyword&gt;Land-based pollution&lt;/keyword&gt;&lt;keyword&gt;Marine water quality&lt;/keyword&gt;&lt;keyword&gt;Marine conservation&lt;/keyword&gt;&lt;/keywords&gt;&lt;dates&gt;&lt;year&gt;2013&lt;/year&gt;&lt;pub-dates&gt;&lt;date&gt;4/15/&lt;/date&gt;&lt;/pub-dates&gt;&lt;/dates&gt;&lt;isbn&gt;0301-4797&lt;/isbn&gt;&lt;urls&gt;&lt;related-urls&gt;&lt;url&gt;http://www.sciencedirect.com/science/article/pii/S0301479713000789&lt;/url&gt;&lt;/related-urls&gt;&lt;/urls&gt;&lt;electronic-resource-num&gt;http://dx.doi.org/10.1016/j.jenvman.2013.01.036&lt;/electronic-resource-num&gt;&lt;/record&gt;&lt;/Cite&gt;&lt;/EndNote&gt;</w:instrText>
      </w:r>
      <w:r w:rsidRPr="00961331">
        <w:rPr>
          <w:rFonts w:cs="Arial"/>
          <w:szCs w:val="22"/>
        </w:rPr>
        <w:fldChar w:fldCharType="separate"/>
      </w:r>
      <w:hyperlink w:anchor="_ENREF_1" w:tooltip="Álvarez-Romero, 2013 #1084" w:history="1">
        <w:r w:rsidRPr="00961331">
          <w:rPr>
            <w:rFonts w:cs="Arial"/>
            <w:noProof/>
            <w:szCs w:val="22"/>
          </w:rPr>
          <w:t>Álvarez-Romero et al. (2013</w:t>
        </w:r>
      </w:hyperlink>
      <w:r w:rsidRPr="00961331">
        <w:rPr>
          <w:rFonts w:cs="Arial"/>
          <w:noProof/>
          <w:szCs w:val="22"/>
        </w:rPr>
        <w:t>)</w:t>
      </w:r>
      <w:r w:rsidRPr="00961331">
        <w:rPr>
          <w:rFonts w:cs="Arial"/>
          <w:szCs w:val="22"/>
        </w:rPr>
        <w:fldChar w:fldCharType="end"/>
      </w:r>
      <w:r w:rsidRPr="00961331">
        <w:rPr>
          <w:rFonts w:cs="Arial"/>
          <w:szCs w:val="22"/>
        </w:rPr>
        <w:t xml:space="preserve"> to reproduce the shape of each individual river plume is replaced by the path-distance function, which is also available in ArcMap Spatial Analyst </w:t>
      </w:r>
      <w:r w:rsidRPr="00961331">
        <w:rPr>
          <w:rFonts w:cs="Arial"/>
          <w:szCs w:val="22"/>
        </w:rPr>
        <w:fldChar w:fldCharType="begin"/>
      </w:r>
      <w:r w:rsidRPr="00961331">
        <w:rPr>
          <w:rFonts w:cs="Arial"/>
          <w:szCs w:val="22"/>
        </w:rPr>
        <w:instrText xml:space="preserve"> ADDIN EN.CITE &lt;EndNote&gt;&lt;Cite&gt;&lt;Author&gt;ESRI&lt;/Author&gt;&lt;Year&gt;2010&lt;/Year&gt;&lt;RecNum&gt;1270&lt;/RecNum&gt;&lt;DisplayText&gt;(ESRI 2010)&lt;/DisplayText&gt;&lt;record&gt;&lt;rec-number&gt;1270&lt;/rec-number&gt;&lt;foreign-keys&gt;&lt;key app="EN" db-id="tsw9ppz0wtsernexad8pdrfqzrvpraxppard"&gt;1270&lt;/key&gt;&lt;/foreign-keys&gt;&lt;ref-type name="Computer Program"&gt;9&lt;/ref-type&gt;&lt;contributors&gt;&lt;authors&gt;&lt;author&gt;ESRI&lt;/author&gt;&lt;/authors&gt;&lt;/contributors&gt;&lt;titles&gt;&lt;title&gt;ArcGIS 10.0. Environmental Systems Research Institute (ESRI)&lt;/title&gt;&lt;/titles&gt;&lt;dates&gt;&lt;year&gt;2010&lt;/year&gt;&lt;/dates&gt;&lt;publisher&gt;Redlands, CA.&lt;/publisher&gt;&lt;urls&gt;&lt;/urls&gt;&lt;/record&gt;&lt;/Cite&gt;&lt;/EndNote&gt;</w:instrText>
      </w:r>
      <w:r w:rsidRPr="00961331">
        <w:rPr>
          <w:rFonts w:cs="Arial"/>
          <w:szCs w:val="22"/>
        </w:rPr>
        <w:fldChar w:fldCharType="separate"/>
      </w:r>
      <w:r w:rsidRPr="00961331">
        <w:rPr>
          <w:rFonts w:cs="Arial"/>
          <w:noProof/>
          <w:szCs w:val="22"/>
        </w:rPr>
        <w:t>(</w:t>
      </w:r>
      <w:hyperlink w:anchor="_ENREF_8" w:tooltip="ESRI, 2010 #1270" w:history="1">
        <w:r w:rsidRPr="00961331">
          <w:rPr>
            <w:rFonts w:cs="Arial"/>
            <w:noProof/>
            <w:szCs w:val="22"/>
          </w:rPr>
          <w:t>ESRI 2010</w:t>
        </w:r>
      </w:hyperlink>
      <w:r w:rsidRPr="00961331">
        <w:rPr>
          <w:rFonts w:cs="Arial"/>
          <w:noProof/>
          <w:szCs w:val="22"/>
        </w:rPr>
        <w:t>)</w:t>
      </w:r>
      <w:r w:rsidRPr="00961331">
        <w:rPr>
          <w:rFonts w:cs="Arial"/>
          <w:szCs w:val="22"/>
        </w:rPr>
        <w:fldChar w:fldCharType="end"/>
      </w:r>
      <w:r w:rsidRPr="00961331">
        <w:rPr>
          <w:rFonts w:cs="Arial"/>
          <w:szCs w:val="22"/>
        </w:rPr>
        <w:t>; and a DIN decay function is applied to DIN mass exported from the rivers to account for potential biological uptake.</w:t>
      </w:r>
    </w:p>
    <w:p w14:paraId="49F66381" w14:textId="36B217DA" w:rsidR="00B66CC3" w:rsidRPr="00961331" w:rsidRDefault="00B66CC3" w:rsidP="00B66CC3">
      <w:pPr>
        <w:rPr>
          <w:rFonts w:cs="Arial"/>
          <w:szCs w:val="22"/>
        </w:rPr>
      </w:pPr>
      <w:r w:rsidRPr="00961331">
        <w:rPr>
          <w:rFonts w:cs="Arial"/>
          <w:szCs w:val="22"/>
        </w:rPr>
        <w:t xml:space="preserve">Our model has four main components: (a) modelling of individual river plumes; (b) DIN dispersion function; (c) DIN decay function; and (d) mapping of DIN concentration over the GBR lagoon. The conceptual </w:t>
      </w:r>
      <w:r w:rsidRPr="00C65A97">
        <w:rPr>
          <w:rFonts w:cs="Arial"/>
          <w:szCs w:val="22"/>
        </w:rPr>
        <w:t xml:space="preserve">model in </w:t>
      </w:r>
      <w:r w:rsidRPr="00C65A97">
        <w:rPr>
          <w:rFonts w:cs="Arial"/>
          <w:szCs w:val="22"/>
        </w:rPr>
        <w:fldChar w:fldCharType="begin"/>
      </w:r>
      <w:r w:rsidRPr="00C65A97">
        <w:rPr>
          <w:rFonts w:cs="Arial"/>
          <w:szCs w:val="22"/>
        </w:rPr>
        <w:instrText xml:space="preserve"> REF _Ref449099550 \h  \* MERGEFORMAT </w:instrText>
      </w:r>
      <w:r w:rsidRPr="00C65A97">
        <w:rPr>
          <w:rFonts w:cs="Arial"/>
          <w:szCs w:val="22"/>
        </w:rPr>
      </w:r>
      <w:r w:rsidRPr="00C65A97">
        <w:rPr>
          <w:rFonts w:cs="Arial"/>
          <w:szCs w:val="22"/>
        </w:rPr>
        <w:fldChar w:fldCharType="separate"/>
      </w:r>
      <w:r w:rsidR="007F5336" w:rsidRPr="007F5336">
        <w:rPr>
          <w:rFonts w:cs="Arial"/>
          <w:szCs w:val="22"/>
        </w:rPr>
        <w:t>Figure</w:t>
      </w:r>
      <w:r w:rsidR="007F5336" w:rsidRPr="006C0640">
        <w:t xml:space="preserve"> </w:t>
      </w:r>
      <w:r w:rsidR="007F5336">
        <w:rPr>
          <w:noProof/>
        </w:rPr>
        <w:t>4</w:t>
      </w:r>
      <w:r w:rsidR="007F5336">
        <w:rPr>
          <w:noProof/>
        </w:rPr>
        <w:noBreakHyphen/>
        <w:t>5</w:t>
      </w:r>
      <w:r w:rsidR="007F5336" w:rsidRPr="006C0640">
        <w:t xml:space="preserve">:  </w:t>
      </w:r>
      <w:r w:rsidRPr="00C65A97">
        <w:rPr>
          <w:rFonts w:cs="Arial"/>
          <w:szCs w:val="22"/>
        </w:rPr>
        <w:fldChar w:fldCharType="end"/>
      </w:r>
      <w:r w:rsidR="00C65A97" w:rsidRPr="00C65A97">
        <w:rPr>
          <w:rFonts w:cs="Arial"/>
          <w:szCs w:val="22"/>
        </w:rPr>
        <w:t xml:space="preserve"> A1 6</w:t>
      </w:r>
      <w:r w:rsidRPr="00C65A97">
        <w:rPr>
          <w:rFonts w:cs="Arial"/>
          <w:szCs w:val="22"/>
        </w:rPr>
        <w:t xml:space="preserve"> shows</w:t>
      </w:r>
      <w:r w:rsidRPr="00961331">
        <w:rPr>
          <w:rFonts w:cs="Arial"/>
          <w:szCs w:val="22"/>
        </w:rPr>
        <w:t xml:space="preserve"> how each model component is set up and how they are combined to produce the DIN dispersion maps. The basic idea of the DIN dispersion maps is to produce river plume maps, like those produced for the GBR (see Remote Sensing section in this report), for each individual river in the model. Doing that, the end-of-catchment load of each river can be dispersed over its individual river plume. To control this dispersion a relationship based on the mass proportion of DIN in each plume colour class determined at GBR scale is used. To account for potential DIN uptake, the ratio between an in-situ DIN x salinity relationship and the theoretical DIN decay due to dilution (i.e., freshwater – marine water mixing) is used. This ratio defines a DIN decay coefficient, which is multiplied by the dispersed DIN load. After the load has been dispersed over each individual river plume, and corrected for DIN uptake, the resultant dispersed DIN from each river is summed together to represent the total annual DIN dispersion over the GBR lagoon discharged by the rivers. In the following these four major steps are presented, starting with the generation of individual river plumes.</w:t>
      </w:r>
    </w:p>
    <w:p w14:paraId="0C542136" w14:textId="77777777" w:rsidR="00B66CC3" w:rsidRPr="00961331" w:rsidRDefault="00B66CC3" w:rsidP="00B66CC3">
      <w:pPr>
        <w:jc w:val="center"/>
        <w:rPr>
          <w:rFonts w:cs="Arial"/>
          <w:szCs w:val="22"/>
        </w:rPr>
      </w:pPr>
      <w:r w:rsidRPr="00B05E41">
        <w:rPr>
          <w:rFonts w:cs="Arial"/>
          <w:noProof/>
          <w:szCs w:val="22"/>
          <w:lang w:val="en-AU" w:eastAsia="en-AU"/>
        </w:rPr>
        <w:drawing>
          <wp:inline distT="0" distB="0" distL="0" distR="0" wp14:anchorId="05F7CB52" wp14:editId="6E1A51E9">
            <wp:extent cx="5760000" cy="4623310"/>
            <wp:effectExtent l="0" t="0" r="0" b="6350"/>
            <wp:docPr id="74" name="Picture 74" descr="Diagram of a conceptual model for DIN concentration load mapping. " title="Figure A1 6: Conceptual model for DIN concentration load mapping. See text for expla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2">
                      <a:extLst>
                        <a:ext uri="{28A0092B-C50C-407E-A947-70E740481C1C}">
                          <a14:useLocalDpi xmlns:a14="http://schemas.microsoft.com/office/drawing/2010/main" val="0"/>
                        </a:ext>
                      </a:extLst>
                    </a:blip>
                    <a:srcRect/>
                    <a:stretch>
                      <a:fillRect/>
                    </a:stretch>
                  </pic:blipFill>
                  <pic:spPr bwMode="auto">
                    <a:xfrm>
                      <a:off x="0" y="0"/>
                      <a:ext cx="5760000" cy="4623310"/>
                    </a:xfrm>
                    <a:prstGeom prst="rect">
                      <a:avLst/>
                    </a:prstGeom>
                    <a:noFill/>
                  </pic:spPr>
                </pic:pic>
              </a:graphicData>
            </a:graphic>
          </wp:inline>
        </w:drawing>
      </w:r>
    </w:p>
    <w:p w14:paraId="128AC3D3" w14:textId="296EAC9B" w:rsidR="00B66CC3" w:rsidRPr="00961331" w:rsidRDefault="00C65A97" w:rsidP="004A5BF7">
      <w:pPr>
        <w:pStyle w:val="Caption"/>
      </w:pPr>
      <w:bookmarkStart w:id="1568" w:name="_Toc459332195"/>
      <w:bookmarkStart w:id="1569" w:name="_Toc461194303"/>
      <w:r>
        <w:t xml:space="preserve">Figure A1 </w:t>
      </w:r>
      <w:r>
        <w:fldChar w:fldCharType="begin"/>
      </w:r>
      <w:r>
        <w:instrText xml:space="preserve"> SEQ Figure_A1 \* ARABIC </w:instrText>
      </w:r>
      <w:r>
        <w:fldChar w:fldCharType="separate"/>
      </w:r>
      <w:r w:rsidR="007F5336">
        <w:rPr>
          <w:noProof/>
        </w:rPr>
        <w:t>6</w:t>
      </w:r>
      <w:r>
        <w:rPr>
          <w:noProof/>
        </w:rPr>
        <w:fldChar w:fldCharType="end"/>
      </w:r>
      <w:r>
        <w:rPr>
          <w:noProof/>
        </w:rPr>
        <w:t xml:space="preserve">: </w:t>
      </w:r>
      <w:r w:rsidR="00B66CC3" w:rsidRPr="00961331">
        <w:t>Conceptual model for DIN concentration load mapping. See text for explanation.</w:t>
      </w:r>
      <w:bookmarkEnd w:id="1568"/>
      <w:bookmarkEnd w:id="1569"/>
    </w:p>
    <w:p w14:paraId="0EBFCBF4" w14:textId="77777777" w:rsidR="00B66CC3" w:rsidRPr="00961331" w:rsidRDefault="00B66CC3" w:rsidP="00B66CC3">
      <w:pPr>
        <w:rPr>
          <w:rFonts w:cs="Arial"/>
          <w:b/>
          <w:szCs w:val="22"/>
        </w:rPr>
      </w:pPr>
      <w:r w:rsidRPr="00961331">
        <w:rPr>
          <w:rFonts w:cs="Arial"/>
          <w:b/>
          <w:szCs w:val="22"/>
        </w:rPr>
        <w:t>(a) Modelling Individual River Plume (Ocean Colour Plume)</w:t>
      </w:r>
    </w:p>
    <w:p w14:paraId="6F000882" w14:textId="77777777" w:rsidR="00B66CC3" w:rsidRPr="00961331" w:rsidRDefault="00B66CC3" w:rsidP="00B66CC3">
      <w:pPr>
        <w:rPr>
          <w:rFonts w:cs="Arial"/>
          <w:szCs w:val="22"/>
        </w:rPr>
      </w:pPr>
      <w:r w:rsidRPr="00961331">
        <w:rPr>
          <w:rFonts w:cs="Arial"/>
          <w:szCs w:val="22"/>
        </w:rPr>
        <w:t xml:space="preserve">The modelling of individual river plumes uses weekly river plume maps (i.e., raster files, see Remote Sensing section of this report), the path-distance tool in ArcMap Spatial Analyst </w:t>
      </w:r>
      <w:r w:rsidRPr="00961331">
        <w:rPr>
          <w:rFonts w:cs="Arial"/>
          <w:szCs w:val="22"/>
        </w:rPr>
        <w:fldChar w:fldCharType="begin"/>
      </w:r>
      <w:r w:rsidRPr="00961331">
        <w:rPr>
          <w:rFonts w:cs="Arial"/>
          <w:szCs w:val="22"/>
        </w:rPr>
        <w:instrText xml:space="preserve"> ADDIN ZOTERO_ITEM CSL_CITATION {"citationID":"bnpI2FEY","properties":{"formattedCitation":"(ESRI, 2010)","plainCitation":"(ESRI, 2010)"},"citationItems":[{"id":44,"uris":["http://zotero.org/users/2324349/items/R9RFNZI2"],"uri":["http://zotero.org/users/2324349/items/R9RFNZI2"],"itemData":{"id":44,"type":"book","title":"ArcGIS 10.0. Environmental Systems Research Institute (ESRI)","publisher-place":"Redlands, CA.","event-place":"Redlands, CA.","author":[{"family":"ESRI","given":""}],"issued":{"date-parts":[["2010"]]}}}],"schema":"https://github.com/citation-style-language/schema/raw/master/csl-citation.json"} </w:instrText>
      </w:r>
      <w:r w:rsidRPr="00961331">
        <w:rPr>
          <w:rFonts w:cs="Arial"/>
          <w:szCs w:val="22"/>
        </w:rPr>
        <w:fldChar w:fldCharType="separate"/>
      </w:r>
      <w:r w:rsidRPr="00961331">
        <w:rPr>
          <w:rFonts w:cs="Arial"/>
          <w:szCs w:val="22"/>
        </w:rPr>
        <w:t>(ESRI, 2010)</w:t>
      </w:r>
      <w:r w:rsidRPr="00961331">
        <w:rPr>
          <w:rFonts w:cs="Arial"/>
          <w:szCs w:val="22"/>
        </w:rPr>
        <w:fldChar w:fldCharType="end"/>
      </w:r>
      <w:r w:rsidRPr="00961331">
        <w:rPr>
          <w:rFonts w:cs="Arial"/>
          <w:szCs w:val="22"/>
        </w:rPr>
        <w:t xml:space="preserve"> and a relationship between river discharge and plume extent obtained from a highly resolved hydrodynamic model for the GBR.</w:t>
      </w:r>
    </w:p>
    <w:p w14:paraId="6F535E42" w14:textId="77777777" w:rsidR="00B66CC3" w:rsidRPr="00961331" w:rsidRDefault="00B66CC3" w:rsidP="00B66CC3">
      <w:pPr>
        <w:rPr>
          <w:rFonts w:cs="Arial"/>
          <w:szCs w:val="22"/>
        </w:rPr>
      </w:pPr>
      <w:r w:rsidRPr="00961331">
        <w:rPr>
          <w:rFonts w:cs="Arial"/>
          <w:szCs w:val="22"/>
        </w:rPr>
        <w:t xml:space="preserve">Path-distance tool determines the minimum accumulative travel cost from a source to each cell location in a raster </w:t>
      </w:r>
      <w:r w:rsidRPr="00961331">
        <w:rPr>
          <w:rFonts w:cs="Arial"/>
          <w:szCs w:val="22"/>
        </w:rPr>
        <w:fldChar w:fldCharType="begin"/>
      </w:r>
      <w:r w:rsidRPr="00961331">
        <w:rPr>
          <w:rFonts w:cs="Arial"/>
          <w:szCs w:val="22"/>
        </w:rPr>
        <w:instrText xml:space="preserve"> ADDIN ZOTERO_ITEM CSL_CITATION {"citationID":"aQHcHPae","properties":{"formattedCitation":"(ESRI, 2010)","plainCitation":"(ESRI, 2010)"},"citationItems":[{"id":44,"uris":["http://zotero.org/users/2324349/items/R9RFNZI2"],"uri":["http://zotero.org/users/2324349/items/R9RFNZI2"],"itemData":{"id":44,"type":"book","title":"ArcGIS 10.0. Environmental Systems Research Institute (ESRI)","publisher-place":"Redlands, CA.","event-place":"Redlands, CA.","author":[{"family":"ESRI","given":""}],"issued":{"date-parts":[["2010"]]}}}],"schema":"https://github.com/citation-style-language/schema/raw/master/csl-citation.json"} </w:instrText>
      </w:r>
      <w:r w:rsidRPr="00961331">
        <w:rPr>
          <w:rFonts w:cs="Arial"/>
          <w:szCs w:val="22"/>
        </w:rPr>
        <w:fldChar w:fldCharType="separate"/>
      </w:r>
      <w:r w:rsidRPr="00961331">
        <w:rPr>
          <w:rFonts w:cs="Arial"/>
          <w:szCs w:val="22"/>
        </w:rPr>
        <w:t>(ESRI, 2010)</w:t>
      </w:r>
      <w:r w:rsidRPr="00961331">
        <w:rPr>
          <w:rFonts w:cs="Arial"/>
          <w:szCs w:val="22"/>
        </w:rPr>
        <w:fldChar w:fldCharType="end"/>
      </w:r>
      <w:r w:rsidRPr="00961331">
        <w:rPr>
          <w:rFonts w:cs="Arial"/>
          <w:szCs w:val="22"/>
        </w:rPr>
        <w:t xml:space="preserve">. For the path-distance tool, the point coordinates of the river mouths, a surface raster indicating the impedance for the plume movement, and a surface raster indicating the main direction of plume propagation are provided. For all rivers, a propagation direction of 315° Azimuth is selected to account for the prevailing wind (i.e., trade winds) and sea current direction in the wet season </w:t>
      </w:r>
      <w:r w:rsidRPr="00961331">
        <w:rPr>
          <w:rFonts w:cs="Arial"/>
          <w:szCs w:val="22"/>
        </w:rPr>
        <w:fldChar w:fldCharType="begin"/>
      </w:r>
      <w:r w:rsidRPr="00961331">
        <w:rPr>
          <w:rFonts w:cs="Arial"/>
          <w:szCs w:val="22"/>
        </w:rPr>
        <w:instrText xml:space="preserve"> ADDIN ZOTERO_ITEM CSL_CITATION {"citationID":"hHOB1RMj","properties":{"formattedCitation":"(Brinkman et al., 2014; Luick et al., 2007a)","plainCitation":"(Brinkman et al., 2014; Luick et al., 2007a)"},"citationItems":[{"id":233,"uris":["http://zotero.org/users/2324349/items/TCI3PMFH"],"uri":["http://zotero.org/users/2324349/items/TCI3PMFH"],"itemData":{"id":233,"type":"report","title":"Targeted analysis of the linkages between river runoff and risks for crown-of-thorns starfish outbreaks in the Northern GBR","collection-title":"Australian Institute of marine Science","publisher-place":"Townsville, AU","page":"47","event-place":"Townsville, AU","author":[{"family":"Brinkman","given":"Richard"},{"family":"Tonin","given":"Hemerson"},{"family":"Furnas","given":"Miles"},{"family":"Schaffelke","given":"Britta"},{"family":"Fabricius","given":"Katharina"}],"issued":{"date-parts":[["2014",6]]}}},{"id":91,"uris":["http://zotero.org/users/2324349/items/QHN4NRFP"],"uri":["http://zotero.org/users/2324349/items/QHN4NRFP"],"itemData":{"id":91,"type":"article-journal","title":"Circulation in the Great Barrier Reef Lagoon using numerical tracers and in situ data","container-title":"Continental Shelf Research","page":"757-778","volume":"27","issue":"6","source":"ScienceDirect","abstract":"Numerical hydrodynamic models of the northeastern Queensland shelf, forced by regional winds and modelled boundary currents in the northern Coral Sea, are used to provide improved estimates of general flow trajectories and water residence times within the Great Barrier Reef (GBR) shelf system. Model performance was checked against a limited set of current metre records obtained at Lark Reef (16°S) and the Ribbon Reefs (15.5°S). Estimates of water parcel trajectories are derived from a series of numerical tracer experiments, with daily releases of neutrally buoyant, un-reactive particles at 320 sites along the coast between Cape York (10.7°S) and Hervey Bay (25°S). Flow trajectories and residence times for tracer particles introduced to the GBR lagoon in the southern—ca. 22°S, central—19°S, and northern reef—14°S are emphasised. For purposes of the analysis, the year was divided into two seasons based on mean alongshore current direction. Most coastal sourced tracers entering the central GBR lagoon between 16° and 20°S during the northward-current season (January–August) primarily encounter the outer-shelf reef matrix after exiting the lagoon at its northern “head” (nominally 16°S), after 50–150 days. Up to 70% of tracer particles entering in the southward-current season (August–December) eventually crossed the lagoon to the outer-shelf reef matrix, with median crossing times between 20 and 330 days. During favourable wind conditions, tracers introduced at the coast may move rapidly across the lagoon into the reef matrix. The tracer experiments indicate that most coastal-sourced tracers entering the GBR lagoon remain near the coast for extended periods of time, moving north and south in a coastal band. Residence times for conservative tracer particles (and implied residence times for water-borne materials) within the GBR shelf system ranged from ca. 1 month to 1 year—time frames that are very long relative to development times of planktonic larvae and cycling times for nutrient materials in the water column, implying they are transformed long before reaching the outer reef matrix.","DOI":"10.1016/j.csr.2006.11.020","ISSN":"0278-4343","journalAbbreviation":"Continental Shelf Research","author":[{"family":"Luick","given":"John L."},{"family":"Mason","given":"Luciano"},{"family":"Hardy","given":"Thomas"},{"family":"Furnas","given":"Miles J."}],"issued":{"date-parts":[["2007",3,15]]}}}],"schema":"https://github.com/citation-style-language/schema/raw/master/csl-citation.json"} </w:instrText>
      </w:r>
      <w:r w:rsidRPr="00961331">
        <w:rPr>
          <w:rFonts w:cs="Arial"/>
          <w:szCs w:val="22"/>
        </w:rPr>
        <w:fldChar w:fldCharType="separate"/>
      </w:r>
      <w:r w:rsidRPr="00961331">
        <w:rPr>
          <w:rFonts w:cs="Arial"/>
          <w:szCs w:val="22"/>
        </w:rPr>
        <w:t>(Brinkman et al., 2014; Luick et al., 2007a)</w:t>
      </w:r>
      <w:r w:rsidRPr="00961331">
        <w:rPr>
          <w:rFonts w:cs="Arial"/>
          <w:szCs w:val="22"/>
        </w:rPr>
        <w:fldChar w:fldCharType="end"/>
      </w:r>
      <w:r w:rsidRPr="00961331">
        <w:rPr>
          <w:rFonts w:cs="Arial"/>
          <w:szCs w:val="22"/>
        </w:rPr>
        <w:t>. Future development of this model, which will incur in smaller time step (it can be as short as a week, small temporal resolution of our plume maps), will allow to incorporate different directions of plume propagation as a function of main wind direction in a week. The weekly river plume maps are used to provide the surface raster. This surface is calculated as the reciprocal (1/x) of the plume mode per wet season. In the plume calculation, the colour classes are inverted, so class 6 is placed close to the coast, class 5 is the second closest to the coast and so on. This inversion of the plume values is done so when calculating the reciprocal it produces higher travel cost close to the coast and slower travel cost at the outer edge of the plume, aiming to reproduce the increasing size of plume types from the inner class to the outer classes (see river plume maps in the Remote Sensing section of this report).</w:t>
      </w:r>
    </w:p>
    <w:p w14:paraId="6C53EDB4" w14:textId="58A877F3" w:rsidR="00B66CC3" w:rsidRPr="00961331" w:rsidRDefault="00B66CC3" w:rsidP="00B66CC3">
      <w:pPr>
        <w:rPr>
          <w:rFonts w:cs="Arial"/>
          <w:szCs w:val="22"/>
        </w:rPr>
      </w:pPr>
      <w:r w:rsidRPr="00961331">
        <w:rPr>
          <w:rFonts w:cs="Arial"/>
          <w:szCs w:val="22"/>
        </w:rPr>
        <w:t xml:space="preserve">Defining the edge of each river plume (i.e., its area of influence) is critical to calculate the dispersion of DIN load. To do that, a discharge-plume distance relationship is derived from the dispersion of virtual tracers in a highly resolved hydrodynamic model </w:t>
      </w:r>
      <w:r w:rsidRPr="00961331">
        <w:rPr>
          <w:rFonts w:cs="Arial"/>
          <w:szCs w:val="22"/>
        </w:rPr>
        <w:fldChar w:fldCharType="begin"/>
      </w:r>
      <w:r w:rsidRPr="00961331">
        <w:rPr>
          <w:rFonts w:cs="Arial"/>
          <w:szCs w:val="22"/>
        </w:rPr>
        <w:instrText xml:space="preserve"> ADDIN ZOTERO_ITEM CSL_CITATION {"citationID":"qg2j5mbem","properties":{"formattedCitation":"(eReefs, Brinkman et al., 2014)","plainCitation":"(eReefs, Brinkman et al., 2014)"},"citationItems":[{"id":233,"uris":["http://zotero.org/users/2324349/items/TCI3PMFH"],"uri":["http://zotero.org/users/2324349/items/TCI3PMFH"],"itemData":{"id":233,"type":"report","title":"Targeted analysis of the linkages between river runoff and risks for crown-of-thorns starfish outbreaks in the Northern GBR","collection-title":"Australian Institute of marine Science","publisher-place":"Townsville, AU","page":"47","event-place":"Townsville, AU","author":[{"family":"Brinkman","given":"Richard"},{"family":"Tonin","given":"Hemerson"},{"family":"Furnas","given":"Miles"},{"family":"Schaffelke","given":"Britta"},{"family":"Fabricius","given":"Katharina"}],"issued":{"date-parts":[["2014",6]]}},"prefix":"eReefs, "}],"schema":"https://github.com/citation-style-language/schema/raw/master/csl-citation.json"} </w:instrText>
      </w:r>
      <w:r w:rsidRPr="00961331">
        <w:rPr>
          <w:rFonts w:cs="Arial"/>
          <w:szCs w:val="22"/>
        </w:rPr>
        <w:fldChar w:fldCharType="separate"/>
      </w:r>
      <w:r w:rsidRPr="00961331">
        <w:rPr>
          <w:rFonts w:cs="Arial"/>
          <w:szCs w:val="22"/>
        </w:rPr>
        <w:t>(eReefs, Brinkman et al., 2014)</w:t>
      </w:r>
      <w:r w:rsidRPr="00961331">
        <w:rPr>
          <w:rFonts w:cs="Arial"/>
          <w:szCs w:val="22"/>
        </w:rPr>
        <w:fldChar w:fldCharType="end"/>
      </w:r>
      <w:r w:rsidRPr="00961331">
        <w:rPr>
          <w:rFonts w:cs="Arial"/>
          <w:szCs w:val="22"/>
        </w:rPr>
        <w:t xml:space="preserve">. In this approach, currently under development </w:t>
      </w:r>
      <w:r w:rsidRPr="00961331">
        <w:rPr>
          <w:rFonts w:cs="Arial"/>
          <w:szCs w:val="22"/>
        </w:rPr>
        <w:fldChar w:fldCharType="begin"/>
      </w:r>
      <w:r w:rsidRPr="00961331">
        <w:rPr>
          <w:rFonts w:cs="Arial"/>
          <w:szCs w:val="22"/>
        </w:rPr>
        <w:instrText xml:space="preserve"> ADDIN ZOTERO_ITEM CSL_CITATION {"citationID":"pJzswAn9","properties":{"formattedCitation":"(Wolff et al., 2014, in prep.)","plainCitation":"(Wolff et al., 2014, in prep.)"},"citationItems":[{"id":127,"uris":["http://zotero.org/users/2324349/items/K5H9DIIG"],"uri":["http://zotero.org/users/2324349/items/K5H9DIIG"],"itemData":{"id":127,"type":"paper-conference","title":"Impacts of terrestrial runoff on the vulnerability of the Great Barrier Reef.","container-title":"The 22nd Ocean Optics Conference","publisher-place":"Portland, ME","event-place":"Portland, ME","author":[{"family":"Wolff","given":"Nick"},{"family":"Devlin","given":"Michelle"},{"family":"Silva","given":"Eduardo Teixeira","non-dropping-particle":"da"},{"family":"Brinkman","given":"Richard"},{"family":"Petus","given":"Caroline"},{"family":"Tracey","given":"Dieter"},{"family":"Tonin","given":"Hemerson"},{"family":"Stephen","given":"Lewis"},{"family":"Mumby","given":"Peter"},{"family":"Anthony","given":"Kenneth"}],"issued":{"date-parts":[["2014",10,26]]}}},{"id":260,"uris":["http://zotero.org/users/2324349/items/D2D6JSQT"],"uri":["http://zotero.org/users/2324349/items/D2D6JSQT"],"itemData":{"id":260,"type":"article-journal","title":"Exposure of the Great Barrier Reef to riverine dissolved inorganic nitrogen inputs.","author":[{"family":"Wolff","given":"N."},{"family":"Silva","given":"E. T.","non-dropping-particle":"da"},{"family":"Tonin","given":"H."},{"family":"Brinkman","given":"R."},{"family":"Lewis","given":"S."},{"family":"Devlin","given":"M."},{"family":"Anthony","given":"K."},{"family":"Mumby","given":"P."}],"issued":{"literal":"in prep."}}}],"schema":"https://github.com/citation-style-language/schema/raw/master/csl-citation.json"} </w:instrText>
      </w:r>
      <w:r w:rsidRPr="00961331">
        <w:rPr>
          <w:rFonts w:cs="Arial"/>
          <w:szCs w:val="22"/>
        </w:rPr>
        <w:fldChar w:fldCharType="separate"/>
      </w:r>
      <w:r w:rsidRPr="00961331">
        <w:rPr>
          <w:rFonts w:cs="Arial"/>
          <w:szCs w:val="22"/>
        </w:rPr>
        <w:t>(Wolff et al., 2014, in prep.)</w:t>
      </w:r>
      <w:r w:rsidRPr="00961331">
        <w:rPr>
          <w:rFonts w:cs="Arial"/>
          <w:szCs w:val="22"/>
        </w:rPr>
        <w:fldChar w:fldCharType="end"/>
      </w:r>
      <w:r w:rsidRPr="00961331">
        <w:rPr>
          <w:rFonts w:cs="Arial"/>
          <w:szCs w:val="22"/>
        </w:rPr>
        <w:t>, the river plume influence is defined as the area where tracer concentration is equivalent to or below salinity 36, which corresponds to at least 5% hydrodynamic model simulation time (c.a., form December to April, inclusive). The maximum plume extent is set as a maximum distance between the river mouth and the outer edge of the plume influence area. Equation 1 (</w:t>
      </w:r>
      <w:r w:rsidR="00C65A97">
        <w:rPr>
          <w:rFonts w:cs="Arial"/>
          <w:szCs w:val="22"/>
        </w:rPr>
        <w:t>Figure A1 7</w:t>
      </w:r>
      <w:r w:rsidRPr="00961331">
        <w:rPr>
          <w:rFonts w:cs="Arial"/>
          <w:szCs w:val="22"/>
        </w:rPr>
        <w:t>) presents the discharge-distance relationship, which is used to determine the maximum extent of the modelled individual river plume (</w:t>
      </w:r>
      <w:r w:rsidRPr="00961331">
        <w:rPr>
          <w:rFonts w:cs="Arial"/>
          <w:i/>
          <w:szCs w:val="22"/>
        </w:rPr>
        <w:t>Dist</w:t>
      </w:r>
      <w:r w:rsidRPr="00961331">
        <w:rPr>
          <w:rFonts w:cs="Arial"/>
          <w:szCs w:val="22"/>
        </w:rPr>
        <w:t>, km) as a function of its total wet season discharge (</w:t>
      </w:r>
      <w:r w:rsidRPr="00961331">
        <w:rPr>
          <w:rFonts w:cs="Arial"/>
          <w:i/>
          <w:szCs w:val="22"/>
        </w:rPr>
        <w:t>Disch</w:t>
      </w:r>
      <w:r w:rsidRPr="00961331">
        <w:rPr>
          <w:rFonts w:cs="Arial"/>
          <w:szCs w:val="22"/>
        </w:rPr>
        <w:t>, in mega-litters, ML).</w:t>
      </w:r>
    </w:p>
    <w:p w14:paraId="6AD30999" w14:textId="54243D22" w:rsidR="00B66CC3" w:rsidRPr="00961331" w:rsidRDefault="00B66CC3" w:rsidP="00B66CC3">
      <w:pPr>
        <w:pStyle w:val="equation"/>
        <w:rPr>
          <w:rFonts w:ascii="Arial" w:hAnsi="Arial" w:cs="Arial"/>
          <w:i w:val="0"/>
          <w:sz w:val="22"/>
          <w:szCs w:val="22"/>
        </w:rPr>
      </w:pPr>
      <m:oMath>
        <m:r>
          <w:rPr>
            <w:rFonts w:cs="Arial"/>
            <w:sz w:val="22"/>
            <w:szCs w:val="22"/>
          </w:rPr>
          <m:t>Dist=-2.720∙</m:t>
        </m:r>
        <m:sSup>
          <m:sSupPr>
            <m:ctrlPr>
              <w:rPr>
                <w:rFonts w:cs="Arial"/>
                <w:sz w:val="22"/>
                <w:szCs w:val="22"/>
              </w:rPr>
            </m:ctrlPr>
          </m:sSupPr>
          <m:e>
            <m:r>
              <w:rPr>
                <w:rFonts w:cs="Arial"/>
                <w:sz w:val="22"/>
                <w:szCs w:val="22"/>
              </w:rPr>
              <m:t>10</m:t>
            </m:r>
          </m:e>
          <m:sup>
            <m:r>
              <w:rPr>
                <w:rFonts w:cs="Arial"/>
                <w:sz w:val="22"/>
                <w:szCs w:val="22"/>
              </w:rPr>
              <m:t>-13</m:t>
            </m:r>
          </m:sup>
        </m:sSup>
        <m:r>
          <w:rPr>
            <w:rFonts w:cs="Arial"/>
            <w:sz w:val="22"/>
            <w:szCs w:val="22"/>
          </w:rPr>
          <m:t>∙</m:t>
        </m:r>
        <m:sSup>
          <m:sSupPr>
            <m:ctrlPr>
              <w:rPr>
                <w:rFonts w:cs="Arial"/>
                <w:sz w:val="22"/>
                <w:szCs w:val="22"/>
              </w:rPr>
            </m:ctrlPr>
          </m:sSupPr>
          <m:e>
            <m:r>
              <w:rPr>
                <w:rFonts w:cs="Arial"/>
                <w:sz w:val="22"/>
                <w:szCs w:val="22"/>
              </w:rPr>
              <m:t>Disch</m:t>
            </m:r>
          </m:e>
          <m:sup>
            <m:r>
              <w:rPr>
                <w:rFonts w:cs="Arial"/>
                <w:sz w:val="22"/>
                <w:szCs w:val="22"/>
              </w:rPr>
              <m:t>2</m:t>
            </m:r>
          </m:sup>
        </m:sSup>
        <m:r>
          <w:rPr>
            <w:rFonts w:cs="Arial"/>
            <w:sz w:val="22"/>
            <w:szCs w:val="22"/>
          </w:rPr>
          <m:t>+2.028∙</m:t>
        </m:r>
        <m:sSup>
          <m:sSupPr>
            <m:ctrlPr>
              <w:rPr>
                <w:rFonts w:cs="Arial"/>
                <w:sz w:val="22"/>
                <w:szCs w:val="22"/>
              </w:rPr>
            </m:ctrlPr>
          </m:sSupPr>
          <m:e>
            <m:r>
              <w:rPr>
                <w:rFonts w:cs="Arial"/>
                <w:sz w:val="22"/>
                <w:szCs w:val="22"/>
              </w:rPr>
              <m:t>10</m:t>
            </m:r>
          </m:e>
          <m:sup>
            <m:r>
              <w:rPr>
                <w:rFonts w:cs="Arial"/>
                <w:sz w:val="22"/>
                <w:szCs w:val="22"/>
              </w:rPr>
              <m:t>-5</m:t>
            </m:r>
          </m:sup>
        </m:sSup>
        <m:r>
          <w:rPr>
            <w:rFonts w:cs="Arial"/>
            <w:sz w:val="22"/>
            <w:szCs w:val="22"/>
          </w:rPr>
          <m:t>∙Disch+</m:t>
        </m:r>
        <m:r>
          <w:rPr>
            <w:rFonts w:cs="Arial"/>
            <w:sz w:val="22"/>
            <w:szCs w:val="22"/>
          </w:rPr>
          <m:t>58.84</m:t>
        </m:r>
      </m:oMath>
      <w:r w:rsidRPr="00961331">
        <w:rPr>
          <w:rFonts w:ascii="Arial" w:eastAsiaTheme="minorEastAsia" w:hAnsi="Arial" w:cs="Arial"/>
          <w:sz w:val="22"/>
          <w:szCs w:val="22"/>
        </w:rPr>
        <w:tab/>
      </w:r>
      <w:r w:rsidRPr="00961331">
        <w:rPr>
          <w:rFonts w:ascii="Arial" w:eastAsiaTheme="minorEastAsia" w:hAnsi="Arial" w:cs="Arial"/>
          <w:i w:val="0"/>
          <w:sz w:val="22"/>
          <w:szCs w:val="22"/>
        </w:rPr>
        <w:t>(</w:t>
      </w:r>
      <w:r w:rsidRPr="00961331">
        <w:rPr>
          <w:rFonts w:ascii="Arial" w:hAnsi="Arial" w:cs="Arial"/>
          <w:i w:val="0"/>
          <w:sz w:val="22"/>
          <w:szCs w:val="22"/>
        </w:rPr>
        <w:t xml:space="preserve">Eq. </w:t>
      </w:r>
      <w:r w:rsidRPr="00961331">
        <w:rPr>
          <w:rFonts w:ascii="Arial" w:hAnsi="Arial" w:cs="Arial"/>
          <w:i w:val="0"/>
          <w:sz w:val="22"/>
          <w:szCs w:val="22"/>
        </w:rPr>
        <w:fldChar w:fldCharType="begin"/>
      </w:r>
      <w:r w:rsidRPr="00961331">
        <w:rPr>
          <w:rFonts w:ascii="Arial" w:hAnsi="Arial" w:cs="Arial"/>
          <w:i w:val="0"/>
          <w:sz w:val="22"/>
          <w:szCs w:val="22"/>
        </w:rPr>
        <w:instrText xml:space="preserve"> SEQ Eq. \* ARABIC </w:instrText>
      </w:r>
      <w:r w:rsidRPr="00961331">
        <w:rPr>
          <w:rFonts w:ascii="Arial" w:hAnsi="Arial" w:cs="Arial"/>
          <w:i w:val="0"/>
          <w:sz w:val="22"/>
          <w:szCs w:val="22"/>
        </w:rPr>
        <w:fldChar w:fldCharType="separate"/>
      </w:r>
      <w:r w:rsidR="007F5336">
        <w:rPr>
          <w:rFonts w:ascii="Arial" w:hAnsi="Arial" w:cs="Arial"/>
          <w:i w:val="0"/>
          <w:noProof/>
          <w:sz w:val="22"/>
          <w:szCs w:val="22"/>
        </w:rPr>
        <w:t>1</w:t>
      </w:r>
      <w:r w:rsidRPr="00961331">
        <w:rPr>
          <w:rFonts w:ascii="Arial" w:hAnsi="Arial" w:cs="Arial"/>
          <w:i w:val="0"/>
          <w:sz w:val="22"/>
          <w:szCs w:val="22"/>
        </w:rPr>
        <w:fldChar w:fldCharType="end"/>
      </w:r>
      <w:r w:rsidRPr="00961331">
        <w:rPr>
          <w:rFonts w:ascii="Arial" w:hAnsi="Arial" w:cs="Arial"/>
          <w:i w:val="0"/>
          <w:sz w:val="22"/>
          <w:szCs w:val="22"/>
        </w:rPr>
        <w:t>)</w:t>
      </w:r>
    </w:p>
    <w:p w14:paraId="3D24327C" w14:textId="77777777" w:rsidR="00B66CC3" w:rsidRPr="00961331" w:rsidRDefault="00B66CC3" w:rsidP="00B66CC3">
      <w:pPr>
        <w:jc w:val="center"/>
        <w:rPr>
          <w:rFonts w:cs="Arial"/>
          <w:szCs w:val="22"/>
        </w:rPr>
      </w:pPr>
      <w:r w:rsidRPr="00B05E41">
        <w:rPr>
          <w:rFonts w:cs="Arial"/>
          <w:noProof/>
          <w:szCs w:val="22"/>
          <w:lang w:val="en-AU" w:eastAsia="en-AU"/>
        </w:rPr>
        <w:drawing>
          <wp:inline distT="0" distB="0" distL="0" distR="0" wp14:anchorId="40BE5080" wp14:editId="1BA0E60D">
            <wp:extent cx="4320000" cy="3024000"/>
            <wp:effectExtent l="0" t="0" r="4445" b="5080"/>
            <wp:docPr id="76" name="Picture 76" descr="Graph showing relationship between river discharge (megaliters, ML) and distance (km) between river mouth and the outer edge of tracer plume as obtained from the eReefs hydrodynamic model for the GBR. Dashed lines stand for CI 95%. Red dot stands for point excluded from the regression model." title="Figure A1 7: Relationship between river discharge (megaliters, ML) and distance (km) between river mouth and the outer edge of tracer plu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1"/>
                    <a:stretch>
                      <a:fillRect/>
                    </a:stretch>
                  </pic:blipFill>
                  <pic:spPr>
                    <a:xfrm>
                      <a:off x="0" y="0"/>
                      <a:ext cx="4320000" cy="3024000"/>
                    </a:xfrm>
                    <a:prstGeom prst="rect">
                      <a:avLst/>
                    </a:prstGeom>
                  </pic:spPr>
                </pic:pic>
              </a:graphicData>
            </a:graphic>
          </wp:inline>
        </w:drawing>
      </w:r>
    </w:p>
    <w:p w14:paraId="30B19B49" w14:textId="1D401171" w:rsidR="00B66CC3" w:rsidRPr="00961331" w:rsidRDefault="00C65A97" w:rsidP="004A5BF7">
      <w:pPr>
        <w:pStyle w:val="Caption"/>
      </w:pPr>
      <w:bookmarkStart w:id="1570" w:name="_Ref449129739"/>
      <w:bookmarkStart w:id="1571" w:name="_Toc443300187"/>
      <w:bookmarkStart w:id="1572" w:name="_Toc459332196"/>
      <w:bookmarkStart w:id="1573" w:name="_Toc461194304"/>
      <w:r>
        <w:t xml:space="preserve">Figure A1 </w:t>
      </w:r>
      <w:r>
        <w:fldChar w:fldCharType="begin"/>
      </w:r>
      <w:r>
        <w:instrText xml:space="preserve"> SEQ Figure_A1 \* ARABIC </w:instrText>
      </w:r>
      <w:r>
        <w:fldChar w:fldCharType="separate"/>
      </w:r>
      <w:r w:rsidR="007F5336">
        <w:rPr>
          <w:noProof/>
        </w:rPr>
        <w:t>7</w:t>
      </w:r>
      <w:r>
        <w:rPr>
          <w:noProof/>
        </w:rPr>
        <w:fldChar w:fldCharType="end"/>
      </w:r>
      <w:r>
        <w:rPr>
          <w:noProof/>
        </w:rPr>
        <w:t>:</w:t>
      </w:r>
      <w:bookmarkEnd w:id="1570"/>
      <w:r w:rsidR="00B66CC3" w:rsidRPr="00961331">
        <w:t xml:space="preserve"> Relationship between river discharge (megaliters, ML) and distance (km) between river mouth and the outer edge of tracer plume as obtained from the eReefs hydrodynamic model for the GBR. Dashed lines stand for CI 95%. Red dot stands for point excluded from the regression model.</w:t>
      </w:r>
      <w:bookmarkEnd w:id="1571"/>
      <w:bookmarkEnd w:id="1572"/>
      <w:bookmarkEnd w:id="1573"/>
    </w:p>
    <w:p w14:paraId="289F0A00" w14:textId="77777777" w:rsidR="00B66CC3" w:rsidRPr="00961331" w:rsidRDefault="00B66CC3" w:rsidP="00B66CC3">
      <w:pPr>
        <w:rPr>
          <w:rFonts w:cs="Arial"/>
          <w:szCs w:val="22"/>
        </w:rPr>
      </w:pPr>
    </w:p>
    <w:p w14:paraId="784F6A9A" w14:textId="77777777" w:rsidR="00B66CC3" w:rsidRPr="00961331" w:rsidRDefault="00B66CC3" w:rsidP="00B66CC3">
      <w:pPr>
        <w:rPr>
          <w:rFonts w:cs="Arial"/>
          <w:szCs w:val="22"/>
        </w:rPr>
      </w:pPr>
      <w:r w:rsidRPr="00961331">
        <w:rPr>
          <w:rFonts w:cs="Arial"/>
          <w:szCs w:val="22"/>
        </w:rPr>
        <w:t xml:space="preserve">The edge of the plume influence area (i.e., </w:t>
      </w:r>
      <w:r w:rsidRPr="00961331">
        <w:rPr>
          <w:rFonts w:cs="Arial"/>
          <w:i/>
          <w:szCs w:val="22"/>
        </w:rPr>
        <w:t>Pd</w:t>
      </w:r>
      <w:r w:rsidRPr="00961331">
        <w:rPr>
          <w:rFonts w:cs="Arial"/>
          <w:i/>
          <w:szCs w:val="22"/>
          <w:vertAlign w:val="subscript"/>
        </w:rPr>
        <w:t>max</w:t>
      </w:r>
      <w:r w:rsidRPr="00961331">
        <w:rPr>
          <w:rFonts w:cs="Arial"/>
          <w:szCs w:val="22"/>
        </w:rPr>
        <w:t>) is used to recalculate the modelled plume (</w:t>
      </w:r>
      <w:r w:rsidRPr="00961331">
        <w:rPr>
          <w:rFonts w:cs="Arial"/>
          <w:i/>
          <w:szCs w:val="22"/>
        </w:rPr>
        <w:t>MP</w:t>
      </w:r>
      <w:r w:rsidRPr="00961331">
        <w:rPr>
          <w:rFonts w:cs="Arial"/>
          <w:szCs w:val="22"/>
        </w:rPr>
        <w:t>), resulting in an ocean colour plume (</w:t>
      </w:r>
      <w:r w:rsidRPr="00961331">
        <w:rPr>
          <w:rFonts w:cs="Arial"/>
          <w:i/>
          <w:szCs w:val="22"/>
        </w:rPr>
        <w:t>OCP</w:t>
      </w:r>
      <w:r w:rsidRPr="00961331">
        <w:rPr>
          <w:rFonts w:cs="Arial"/>
          <w:szCs w:val="22"/>
        </w:rPr>
        <w:t>) as indicated below:</w:t>
      </w:r>
    </w:p>
    <w:p w14:paraId="19B99686" w14:textId="77777777" w:rsidR="00B66CC3" w:rsidRPr="00961331" w:rsidRDefault="00B66CC3" w:rsidP="00B66CC3">
      <w:pPr>
        <w:pStyle w:val="equation"/>
        <w:rPr>
          <w:rFonts w:ascii="Arial" w:hAnsi="Arial" w:cs="Arial"/>
          <w:i w:val="0"/>
          <w:sz w:val="22"/>
          <w:szCs w:val="22"/>
        </w:rPr>
      </w:pPr>
      <m:oMath>
        <m:r>
          <w:rPr>
            <w:rFonts w:cs="Arial"/>
            <w:sz w:val="22"/>
            <w:szCs w:val="22"/>
          </w:rPr>
          <m:t>OCP=1+</m:t>
        </m:r>
        <m:f>
          <m:fPr>
            <m:ctrlPr>
              <w:rPr>
                <w:rFonts w:cs="Arial"/>
                <w:sz w:val="22"/>
                <w:szCs w:val="22"/>
              </w:rPr>
            </m:ctrlPr>
          </m:fPr>
          <m:num>
            <m:r>
              <w:rPr>
                <w:rFonts w:cs="Arial"/>
                <w:sz w:val="22"/>
                <w:szCs w:val="22"/>
              </w:rPr>
              <m:t>MP</m:t>
            </m:r>
          </m:num>
          <m:den>
            <m:f>
              <m:fPr>
                <m:type m:val="skw"/>
                <m:ctrlPr>
                  <w:rPr>
                    <w:rFonts w:cs="Arial"/>
                    <w:sz w:val="22"/>
                    <w:szCs w:val="22"/>
                  </w:rPr>
                </m:ctrlPr>
              </m:fPr>
              <m:num>
                <m:sSub>
                  <m:sSubPr>
                    <m:ctrlPr>
                      <w:rPr>
                        <w:rFonts w:cs="Arial"/>
                        <w:sz w:val="22"/>
                        <w:szCs w:val="22"/>
                      </w:rPr>
                    </m:ctrlPr>
                  </m:sSubPr>
                  <m:e>
                    <m:r>
                      <w:rPr>
                        <w:rFonts w:cs="Arial"/>
                        <w:sz w:val="22"/>
                        <w:szCs w:val="22"/>
                      </w:rPr>
                      <m:t>Pd</m:t>
                    </m:r>
                  </m:e>
                  <m:sub>
                    <m:r>
                      <w:rPr>
                        <w:rFonts w:cs="Arial"/>
                        <w:sz w:val="22"/>
                        <w:szCs w:val="22"/>
                      </w:rPr>
                      <m:t>max</m:t>
                    </m:r>
                  </m:sub>
                </m:sSub>
              </m:num>
              <m:den>
                <m:r>
                  <w:rPr>
                    <w:rFonts w:cs="Arial"/>
                    <w:sz w:val="22"/>
                    <w:szCs w:val="22"/>
                  </w:rPr>
                  <m:t>5</m:t>
                </m:r>
              </m:den>
            </m:f>
          </m:den>
        </m:f>
      </m:oMath>
      <w:r w:rsidRPr="00961331">
        <w:rPr>
          <w:rFonts w:ascii="Arial" w:eastAsiaTheme="minorEastAsia" w:hAnsi="Arial" w:cs="Arial"/>
          <w:sz w:val="22"/>
          <w:szCs w:val="22"/>
        </w:rPr>
        <w:t>.</w:t>
      </w:r>
      <w:r w:rsidRPr="00961331">
        <w:rPr>
          <w:rFonts w:ascii="Arial" w:hAnsi="Arial" w:cs="Arial"/>
          <w:sz w:val="22"/>
          <w:szCs w:val="22"/>
        </w:rPr>
        <w:tab/>
      </w:r>
      <w:r w:rsidRPr="00961331">
        <w:rPr>
          <w:rFonts w:ascii="Arial" w:hAnsi="Arial" w:cs="Arial"/>
          <w:i w:val="0"/>
          <w:sz w:val="22"/>
          <w:szCs w:val="22"/>
        </w:rPr>
        <w:t>(Eq. 2)</w:t>
      </w:r>
    </w:p>
    <w:p w14:paraId="7FD060D4" w14:textId="77777777" w:rsidR="00B66CC3" w:rsidRPr="00961331" w:rsidRDefault="00B66CC3" w:rsidP="00B66CC3">
      <w:pPr>
        <w:rPr>
          <w:rFonts w:cs="Arial"/>
          <w:szCs w:val="22"/>
        </w:rPr>
      </w:pPr>
      <w:r w:rsidRPr="00961331">
        <w:rPr>
          <w:rFonts w:cs="Arial"/>
          <w:szCs w:val="22"/>
        </w:rPr>
        <w:t xml:space="preserve">In Equation 2, '1' changes the lowest value of the ocean colour plume at the river mouth from 0 to 1 (i.e., the first colour class), and '5' adjusts the quotient </w:t>
      </w:r>
      <w:r w:rsidRPr="00961331">
        <w:rPr>
          <w:rFonts w:cs="Arial"/>
          <w:i/>
          <w:szCs w:val="22"/>
        </w:rPr>
        <w:t>MP/Pd</w:t>
      </w:r>
      <w:r w:rsidRPr="00961331">
        <w:rPr>
          <w:rFonts w:cs="Arial"/>
          <w:i/>
          <w:szCs w:val="22"/>
          <w:vertAlign w:val="subscript"/>
        </w:rPr>
        <w:t>max</w:t>
      </w:r>
      <w:r w:rsidRPr="00961331">
        <w:rPr>
          <w:rFonts w:cs="Arial"/>
          <w:szCs w:val="22"/>
        </w:rPr>
        <w:t xml:space="preserve"> to result in a </w:t>
      </w:r>
      <w:r w:rsidRPr="00961331">
        <w:rPr>
          <w:rFonts w:cs="Arial"/>
          <w:i/>
          <w:szCs w:val="22"/>
        </w:rPr>
        <w:t>OCP</w:t>
      </w:r>
      <w:r w:rsidRPr="00961331">
        <w:rPr>
          <w:rFonts w:cs="Arial"/>
          <w:szCs w:val="22"/>
        </w:rPr>
        <w:t xml:space="preserve"> equal to 6 at the outer edge of the plume (i.e., when </w:t>
      </w:r>
      <w:r w:rsidRPr="00961331">
        <w:rPr>
          <w:rFonts w:cs="Arial"/>
          <w:i/>
          <w:szCs w:val="22"/>
        </w:rPr>
        <w:t xml:space="preserve">OCP </w:t>
      </w:r>
      <w:r w:rsidRPr="00961331">
        <w:rPr>
          <w:rFonts w:cs="Arial"/>
          <w:szCs w:val="22"/>
        </w:rPr>
        <w:t xml:space="preserve">= </w:t>
      </w:r>
      <w:r w:rsidRPr="00961331">
        <w:rPr>
          <w:rFonts w:cs="Arial"/>
          <w:i/>
          <w:szCs w:val="22"/>
        </w:rPr>
        <w:t>Pd</w:t>
      </w:r>
      <w:r w:rsidRPr="00961331">
        <w:rPr>
          <w:rFonts w:cs="Arial"/>
          <w:i/>
          <w:szCs w:val="22"/>
          <w:vertAlign w:val="subscript"/>
        </w:rPr>
        <w:t>max</w:t>
      </w:r>
      <w:r w:rsidRPr="00961331">
        <w:rPr>
          <w:rFonts w:cs="Arial"/>
          <w:szCs w:val="22"/>
        </w:rPr>
        <w:t>). Thus, ocean colour plume (</w:t>
      </w:r>
      <w:r w:rsidRPr="00961331">
        <w:rPr>
          <w:rFonts w:cs="Arial"/>
          <w:i/>
          <w:szCs w:val="22"/>
        </w:rPr>
        <w:t>OCP</w:t>
      </w:r>
      <w:r w:rsidRPr="00961331">
        <w:rPr>
          <w:rFonts w:cs="Arial"/>
          <w:szCs w:val="22"/>
        </w:rPr>
        <w:t>) has values varying from 1 at the river mouth to 6 at the edge of the plume, similar to the river plume maps.</w:t>
      </w:r>
    </w:p>
    <w:p w14:paraId="781F9029" w14:textId="11839FFB" w:rsidR="00B66CC3" w:rsidRPr="00961331" w:rsidRDefault="00B66CC3" w:rsidP="00B66CC3">
      <w:pPr>
        <w:rPr>
          <w:rFonts w:cs="Arial"/>
          <w:szCs w:val="22"/>
        </w:rPr>
      </w:pPr>
      <w:r w:rsidRPr="00961331">
        <w:rPr>
          <w:rFonts w:cs="Arial"/>
          <w:szCs w:val="22"/>
        </w:rPr>
        <w:t>Although the path distance captures the general shape of the river plumes when compared to those plumes produced by the hydrodynamic model (data not shown), it fails to distinguish each individual colour class. To correct that, the proportion between the median of the plume areas in the six-colour class maps is used to rescale the size of each six-colour class in the ocean colour plume (</w:t>
      </w:r>
      <w:r w:rsidR="00C65A97">
        <w:rPr>
          <w:rFonts w:cs="Arial"/>
          <w:szCs w:val="22"/>
        </w:rPr>
        <w:t>Table A1 5</w:t>
      </w:r>
      <w:r w:rsidRPr="00961331">
        <w:rPr>
          <w:rFonts w:cs="Arial"/>
          <w:szCs w:val="22"/>
        </w:rPr>
        <w:t>).</w:t>
      </w:r>
    </w:p>
    <w:p w14:paraId="6DEA6B81" w14:textId="016436CA" w:rsidR="00B66CC3" w:rsidRPr="00961331" w:rsidRDefault="00C65A97" w:rsidP="004A5BF7">
      <w:pPr>
        <w:pStyle w:val="Caption"/>
      </w:pPr>
      <w:bookmarkStart w:id="1574" w:name="_Ref450045512"/>
      <w:bookmarkStart w:id="1575" w:name="_Toc459332184"/>
      <w:r>
        <w:t xml:space="preserve">Table A1 </w:t>
      </w:r>
      <w:r>
        <w:fldChar w:fldCharType="begin"/>
      </w:r>
      <w:r>
        <w:instrText xml:space="preserve"> SEQ Table_A1 \* ARABIC </w:instrText>
      </w:r>
      <w:r>
        <w:fldChar w:fldCharType="separate"/>
      </w:r>
      <w:r w:rsidR="007F5336">
        <w:rPr>
          <w:noProof/>
        </w:rPr>
        <w:t>5</w:t>
      </w:r>
      <w:r>
        <w:rPr>
          <w:noProof/>
        </w:rPr>
        <w:fldChar w:fldCharType="end"/>
      </w:r>
      <w:bookmarkEnd w:id="1574"/>
      <w:r w:rsidR="00B66CC3" w:rsidRPr="00961331">
        <w:t xml:space="preserve">: Recalculation of the plume class interval for rescaling the size of each </w:t>
      </w:r>
      <w:r>
        <w:t xml:space="preserve">of the </w:t>
      </w:r>
      <w:r w:rsidR="00B66CC3" w:rsidRPr="00961331">
        <w:t>six</w:t>
      </w:r>
      <w:r>
        <w:t xml:space="preserve"> </w:t>
      </w:r>
      <w:r w:rsidR="00B66CC3" w:rsidRPr="00961331">
        <w:t>colour class</w:t>
      </w:r>
      <w:r>
        <w:t>es</w:t>
      </w:r>
      <w:r w:rsidR="00B66CC3" w:rsidRPr="00961331">
        <w:t>.</w:t>
      </w:r>
      <w:bookmarkEnd w:id="1575"/>
    </w:p>
    <w:tbl>
      <w:tblPr>
        <w:tblW w:w="0" w:type="auto"/>
        <w:tblLook w:val="04A0" w:firstRow="1" w:lastRow="0" w:firstColumn="1" w:lastColumn="0" w:noHBand="0" w:noVBand="1"/>
        <w:tblCaption w:val="Table A1 5: Recalculation of the plume class interval for rescaling the size of each of the six colour classes."/>
        <w:tblDescription w:val="Recalculation of the plume class interval for rescaling the size of each of the six colour classes."/>
      </w:tblPr>
      <w:tblGrid>
        <w:gridCol w:w="1230"/>
        <w:gridCol w:w="2205"/>
        <w:gridCol w:w="1435"/>
        <w:gridCol w:w="914"/>
        <w:gridCol w:w="1170"/>
        <w:gridCol w:w="970"/>
        <w:gridCol w:w="349"/>
        <w:gridCol w:w="970"/>
      </w:tblGrid>
      <w:tr w:rsidR="00B66CC3" w:rsidRPr="00C65A97" w14:paraId="080BACC5" w14:textId="77777777" w:rsidTr="0062364F">
        <w:trPr>
          <w:trHeight w:val="720"/>
          <w:tblHeader/>
        </w:trPr>
        <w:tc>
          <w:tcPr>
            <w:tcW w:w="0" w:type="auto"/>
            <w:tcBorders>
              <w:top w:val="single" w:sz="4" w:space="0" w:color="auto"/>
              <w:left w:val="nil"/>
              <w:bottom w:val="single" w:sz="4" w:space="0" w:color="auto"/>
              <w:right w:val="nil"/>
            </w:tcBorders>
            <w:shd w:val="clear" w:color="auto" w:fill="auto"/>
            <w:vAlign w:val="center"/>
            <w:hideMark/>
          </w:tcPr>
          <w:p w14:paraId="552B2262" w14:textId="56FABA1B" w:rsidR="00B66CC3" w:rsidRPr="004A5BF7" w:rsidRDefault="00C65A97" w:rsidP="00B66CC3">
            <w:pPr>
              <w:spacing w:before="0" w:after="0"/>
              <w:jc w:val="center"/>
              <w:rPr>
                <w:rFonts w:cs="Arial"/>
                <w:color w:val="000000"/>
                <w:sz w:val="18"/>
                <w:szCs w:val="18"/>
              </w:rPr>
            </w:pPr>
            <w:r>
              <w:rPr>
                <w:rFonts w:cs="Arial"/>
                <w:color w:val="000000"/>
                <w:sz w:val="18"/>
                <w:szCs w:val="18"/>
              </w:rPr>
              <w:t>P</w:t>
            </w:r>
            <w:r w:rsidR="00B66CC3" w:rsidRPr="004A5BF7">
              <w:rPr>
                <w:rFonts w:cs="Arial"/>
                <w:color w:val="000000"/>
                <w:sz w:val="18"/>
                <w:szCs w:val="18"/>
              </w:rPr>
              <w:t>lume interval</w:t>
            </w:r>
          </w:p>
        </w:tc>
        <w:tc>
          <w:tcPr>
            <w:tcW w:w="0" w:type="auto"/>
            <w:tcBorders>
              <w:top w:val="single" w:sz="4" w:space="0" w:color="auto"/>
              <w:left w:val="nil"/>
              <w:bottom w:val="single" w:sz="4" w:space="0" w:color="auto"/>
              <w:right w:val="nil"/>
            </w:tcBorders>
            <w:shd w:val="clear" w:color="auto" w:fill="auto"/>
            <w:vAlign w:val="center"/>
            <w:hideMark/>
          </w:tcPr>
          <w:p w14:paraId="72D2E071" w14:textId="6BC27CD1" w:rsidR="00B66CC3" w:rsidRPr="004A5BF7" w:rsidRDefault="00C65A97" w:rsidP="00B66CC3">
            <w:pPr>
              <w:spacing w:before="0" w:after="0"/>
              <w:jc w:val="center"/>
              <w:rPr>
                <w:rFonts w:cs="Arial"/>
                <w:color w:val="000000"/>
                <w:sz w:val="18"/>
                <w:szCs w:val="18"/>
              </w:rPr>
            </w:pPr>
            <w:r>
              <w:rPr>
                <w:rFonts w:cs="Arial"/>
                <w:color w:val="000000"/>
                <w:sz w:val="18"/>
                <w:szCs w:val="18"/>
              </w:rPr>
              <w:t>P</w:t>
            </w:r>
            <w:r w:rsidR="00B66CC3" w:rsidRPr="004A5BF7">
              <w:rPr>
                <w:rFonts w:cs="Arial"/>
                <w:color w:val="000000"/>
                <w:sz w:val="18"/>
                <w:szCs w:val="18"/>
              </w:rPr>
              <w:t>lume area median (2003-15)</w:t>
            </w:r>
          </w:p>
        </w:tc>
        <w:tc>
          <w:tcPr>
            <w:tcW w:w="0" w:type="auto"/>
            <w:tcBorders>
              <w:top w:val="single" w:sz="4" w:space="0" w:color="auto"/>
              <w:left w:val="nil"/>
              <w:bottom w:val="single" w:sz="4" w:space="0" w:color="auto"/>
              <w:right w:val="nil"/>
            </w:tcBorders>
            <w:shd w:val="clear" w:color="auto" w:fill="auto"/>
            <w:vAlign w:val="center"/>
            <w:hideMark/>
          </w:tcPr>
          <w:p w14:paraId="1EF93CE6"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Cumulative area</w:t>
            </w:r>
          </w:p>
        </w:tc>
        <w:tc>
          <w:tcPr>
            <w:tcW w:w="0" w:type="auto"/>
            <w:tcBorders>
              <w:top w:val="single" w:sz="4" w:space="0" w:color="auto"/>
              <w:left w:val="nil"/>
              <w:bottom w:val="single" w:sz="4" w:space="0" w:color="auto"/>
              <w:right w:val="nil"/>
            </w:tcBorders>
            <w:shd w:val="clear" w:color="auto" w:fill="auto"/>
            <w:vAlign w:val="center"/>
            <w:hideMark/>
          </w:tcPr>
          <w:p w14:paraId="5AA2021E"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 in total</w:t>
            </w:r>
          </w:p>
        </w:tc>
        <w:tc>
          <w:tcPr>
            <w:tcW w:w="0" w:type="auto"/>
            <w:tcBorders>
              <w:top w:val="single" w:sz="4" w:space="0" w:color="auto"/>
              <w:left w:val="nil"/>
              <w:bottom w:val="single" w:sz="4" w:space="0" w:color="auto"/>
              <w:right w:val="nil"/>
            </w:tcBorders>
            <w:shd w:val="clear" w:color="auto" w:fill="auto"/>
            <w:vAlign w:val="center"/>
            <w:hideMark/>
          </w:tcPr>
          <w:p w14:paraId="14382C71"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 increment</w:t>
            </w:r>
          </w:p>
        </w:tc>
        <w:tc>
          <w:tcPr>
            <w:tcW w:w="0" w:type="auto"/>
            <w:gridSpan w:val="3"/>
            <w:tcBorders>
              <w:top w:val="single" w:sz="4" w:space="0" w:color="auto"/>
              <w:left w:val="nil"/>
              <w:bottom w:val="single" w:sz="4" w:space="0" w:color="auto"/>
              <w:right w:val="nil"/>
            </w:tcBorders>
            <w:shd w:val="clear" w:color="auto" w:fill="auto"/>
            <w:vAlign w:val="center"/>
            <w:hideMark/>
          </w:tcPr>
          <w:p w14:paraId="4A0DA1F9" w14:textId="3FAE96BE" w:rsidR="00B66CC3" w:rsidRPr="004A5BF7" w:rsidRDefault="00C65A97" w:rsidP="00C65A97">
            <w:pPr>
              <w:spacing w:before="0" w:after="0"/>
              <w:jc w:val="center"/>
              <w:rPr>
                <w:rFonts w:cs="Arial"/>
                <w:color w:val="000000"/>
                <w:sz w:val="18"/>
                <w:szCs w:val="18"/>
              </w:rPr>
            </w:pPr>
            <w:r>
              <w:rPr>
                <w:rFonts w:cs="Arial"/>
                <w:color w:val="000000"/>
                <w:sz w:val="18"/>
                <w:szCs w:val="18"/>
              </w:rPr>
              <w:t>Re</w:t>
            </w:r>
            <w:r w:rsidR="00B66CC3" w:rsidRPr="004A5BF7">
              <w:rPr>
                <w:rFonts w:cs="Arial"/>
                <w:color w:val="000000"/>
                <w:sz w:val="18"/>
                <w:szCs w:val="18"/>
              </w:rPr>
              <w:t>calculate</w:t>
            </w:r>
            <w:r>
              <w:rPr>
                <w:rFonts w:cs="Arial"/>
                <w:color w:val="000000"/>
                <w:sz w:val="18"/>
                <w:szCs w:val="18"/>
              </w:rPr>
              <w:t>d</w:t>
            </w:r>
            <w:r w:rsidR="00B66CC3" w:rsidRPr="004A5BF7">
              <w:rPr>
                <w:rFonts w:cs="Arial"/>
                <w:color w:val="000000"/>
                <w:sz w:val="18"/>
                <w:szCs w:val="18"/>
              </w:rPr>
              <w:t xml:space="preserve"> plume interval</w:t>
            </w:r>
          </w:p>
        </w:tc>
      </w:tr>
      <w:tr w:rsidR="00B66CC3" w:rsidRPr="00C65A97" w14:paraId="56236985" w14:textId="77777777" w:rsidTr="00B66CC3">
        <w:trPr>
          <w:trHeight w:val="300"/>
        </w:trPr>
        <w:tc>
          <w:tcPr>
            <w:tcW w:w="0" w:type="auto"/>
            <w:tcBorders>
              <w:top w:val="nil"/>
              <w:left w:val="nil"/>
              <w:bottom w:val="nil"/>
              <w:right w:val="nil"/>
            </w:tcBorders>
            <w:shd w:val="clear" w:color="auto" w:fill="auto"/>
            <w:noWrap/>
            <w:vAlign w:val="center"/>
            <w:hideMark/>
          </w:tcPr>
          <w:p w14:paraId="42EFB6D7"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1 - 2</w:t>
            </w:r>
          </w:p>
        </w:tc>
        <w:tc>
          <w:tcPr>
            <w:tcW w:w="0" w:type="auto"/>
            <w:tcBorders>
              <w:top w:val="nil"/>
              <w:left w:val="nil"/>
              <w:bottom w:val="nil"/>
              <w:right w:val="nil"/>
            </w:tcBorders>
            <w:shd w:val="clear" w:color="auto" w:fill="auto"/>
            <w:noWrap/>
            <w:vAlign w:val="center"/>
            <w:hideMark/>
          </w:tcPr>
          <w:p w14:paraId="01463591"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2149</w:t>
            </w:r>
          </w:p>
        </w:tc>
        <w:tc>
          <w:tcPr>
            <w:tcW w:w="0" w:type="auto"/>
            <w:tcBorders>
              <w:top w:val="nil"/>
              <w:left w:val="nil"/>
              <w:bottom w:val="nil"/>
              <w:right w:val="nil"/>
            </w:tcBorders>
            <w:shd w:val="clear" w:color="auto" w:fill="auto"/>
            <w:noWrap/>
            <w:vAlign w:val="center"/>
            <w:hideMark/>
          </w:tcPr>
          <w:p w14:paraId="7D81BEE2"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2149</w:t>
            </w:r>
          </w:p>
        </w:tc>
        <w:tc>
          <w:tcPr>
            <w:tcW w:w="0" w:type="auto"/>
            <w:tcBorders>
              <w:top w:val="nil"/>
              <w:left w:val="nil"/>
              <w:bottom w:val="nil"/>
              <w:right w:val="nil"/>
            </w:tcBorders>
            <w:shd w:val="clear" w:color="auto" w:fill="auto"/>
            <w:noWrap/>
            <w:vAlign w:val="center"/>
            <w:hideMark/>
          </w:tcPr>
          <w:p w14:paraId="7584E1AE"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0.75</w:t>
            </w:r>
          </w:p>
        </w:tc>
        <w:tc>
          <w:tcPr>
            <w:tcW w:w="0" w:type="auto"/>
            <w:tcBorders>
              <w:top w:val="nil"/>
              <w:left w:val="nil"/>
              <w:bottom w:val="nil"/>
              <w:right w:val="nil"/>
            </w:tcBorders>
            <w:shd w:val="clear" w:color="auto" w:fill="auto"/>
            <w:noWrap/>
            <w:vAlign w:val="center"/>
            <w:hideMark/>
          </w:tcPr>
          <w:p w14:paraId="05D2C614"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0.75</w:t>
            </w:r>
          </w:p>
        </w:tc>
        <w:tc>
          <w:tcPr>
            <w:tcW w:w="0" w:type="auto"/>
            <w:tcBorders>
              <w:top w:val="nil"/>
              <w:left w:val="nil"/>
              <w:bottom w:val="nil"/>
              <w:right w:val="nil"/>
            </w:tcBorders>
            <w:shd w:val="clear" w:color="auto" w:fill="auto"/>
            <w:noWrap/>
            <w:vAlign w:val="bottom"/>
            <w:hideMark/>
          </w:tcPr>
          <w:p w14:paraId="0205961B" w14:textId="77777777" w:rsidR="00B66CC3" w:rsidRPr="004A5BF7" w:rsidRDefault="00B66CC3" w:rsidP="00B66CC3">
            <w:pPr>
              <w:spacing w:before="0" w:after="0"/>
              <w:jc w:val="right"/>
              <w:rPr>
                <w:rFonts w:cs="Arial"/>
                <w:color w:val="000000"/>
                <w:sz w:val="18"/>
                <w:szCs w:val="18"/>
              </w:rPr>
            </w:pPr>
            <w:r w:rsidRPr="004A5BF7">
              <w:rPr>
                <w:rFonts w:cs="Arial"/>
                <w:color w:val="000000"/>
                <w:sz w:val="18"/>
                <w:szCs w:val="18"/>
              </w:rPr>
              <w:t>1.0000</w:t>
            </w:r>
          </w:p>
        </w:tc>
        <w:tc>
          <w:tcPr>
            <w:tcW w:w="0" w:type="auto"/>
            <w:tcBorders>
              <w:top w:val="nil"/>
              <w:left w:val="nil"/>
              <w:bottom w:val="nil"/>
              <w:right w:val="nil"/>
            </w:tcBorders>
            <w:shd w:val="clear" w:color="auto" w:fill="auto"/>
            <w:noWrap/>
            <w:vAlign w:val="bottom"/>
            <w:hideMark/>
          </w:tcPr>
          <w:p w14:paraId="2B5C3D10"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w:t>
            </w:r>
          </w:p>
        </w:tc>
        <w:tc>
          <w:tcPr>
            <w:tcW w:w="0" w:type="auto"/>
            <w:tcBorders>
              <w:top w:val="nil"/>
              <w:left w:val="nil"/>
              <w:bottom w:val="nil"/>
              <w:right w:val="nil"/>
            </w:tcBorders>
            <w:shd w:val="clear" w:color="auto" w:fill="auto"/>
            <w:noWrap/>
            <w:vAlign w:val="center"/>
            <w:hideMark/>
          </w:tcPr>
          <w:p w14:paraId="0C9F4B96"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1.0448</w:t>
            </w:r>
          </w:p>
        </w:tc>
      </w:tr>
      <w:tr w:rsidR="00B66CC3" w:rsidRPr="00C65A97" w14:paraId="061391B8" w14:textId="77777777" w:rsidTr="00B66CC3">
        <w:trPr>
          <w:trHeight w:val="300"/>
        </w:trPr>
        <w:tc>
          <w:tcPr>
            <w:tcW w:w="0" w:type="auto"/>
            <w:tcBorders>
              <w:top w:val="nil"/>
              <w:left w:val="nil"/>
              <w:bottom w:val="nil"/>
              <w:right w:val="nil"/>
            </w:tcBorders>
            <w:shd w:val="clear" w:color="auto" w:fill="auto"/>
            <w:noWrap/>
            <w:vAlign w:val="center"/>
            <w:hideMark/>
          </w:tcPr>
          <w:p w14:paraId="2793FDB7"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2 - 3</w:t>
            </w:r>
          </w:p>
        </w:tc>
        <w:tc>
          <w:tcPr>
            <w:tcW w:w="0" w:type="auto"/>
            <w:tcBorders>
              <w:top w:val="nil"/>
              <w:left w:val="nil"/>
              <w:bottom w:val="nil"/>
              <w:right w:val="nil"/>
            </w:tcBorders>
            <w:shd w:val="clear" w:color="auto" w:fill="auto"/>
            <w:noWrap/>
            <w:vAlign w:val="center"/>
            <w:hideMark/>
          </w:tcPr>
          <w:p w14:paraId="73792C9F"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4253</w:t>
            </w:r>
          </w:p>
        </w:tc>
        <w:tc>
          <w:tcPr>
            <w:tcW w:w="0" w:type="auto"/>
            <w:tcBorders>
              <w:top w:val="nil"/>
              <w:left w:val="nil"/>
              <w:bottom w:val="nil"/>
              <w:right w:val="nil"/>
            </w:tcBorders>
            <w:shd w:val="clear" w:color="auto" w:fill="auto"/>
            <w:noWrap/>
            <w:vAlign w:val="center"/>
            <w:hideMark/>
          </w:tcPr>
          <w:p w14:paraId="0AB1B31F"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6402</w:t>
            </w:r>
          </w:p>
        </w:tc>
        <w:tc>
          <w:tcPr>
            <w:tcW w:w="0" w:type="auto"/>
            <w:tcBorders>
              <w:top w:val="nil"/>
              <w:left w:val="nil"/>
              <w:bottom w:val="nil"/>
              <w:right w:val="nil"/>
            </w:tcBorders>
            <w:shd w:val="clear" w:color="auto" w:fill="auto"/>
            <w:noWrap/>
            <w:vAlign w:val="center"/>
            <w:hideMark/>
          </w:tcPr>
          <w:p w14:paraId="5E315A57"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2.22</w:t>
            </w:r>
          </w:p>
        </w:tc>
        <w:tc>
          <w:tcPr>
            <w:tcW w:w="0" w:type="auto"/>
            <w:tcBorders>
              <w:top w:val="nil"/>
              <w:left w:val="nil"/>
              <w:bottom w:val="nil"/>
              <w:right w:val="nil"/>
            </w:tcBorders>
            <w:shd w:val="clear" w:color="auto" w:fill="auto"/>
            <w:noWrap/>
            <w:vAlign w:val="center"/>
            <w:hideMark/>
          </w:tcPr>
          <w:p w14:paraId="2663B0A5"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1.48</w:t>
            </w:r>
          </w:p>
        </w:tc>
        <w:tc>
          <w:tcPr>
            <w:tcW w:w="0" w:type="auto"/>
            <w:tcBorders>
              <w:top w:val="nil"/>
              <w:left w:val="nil"/>
              <w:bottom w:val="nil"/>
              <w:right w:val="nil"/>
            </w:tcBorders>
            <w:shd w:val="clear" w:color="auto" w:fill="auto"/>
            <w:noWrap/>
            <w:vAlign w:val="bottom"/>
            <w:hideMark/>
          </w:tcPr>
          <w:p w14:paraId="597C7924" w14:textId="77777777" w:rsidR="00B66CC3" w:rsidRPr="004A5BF7" w:rsidRDefault="00B66CC3" w:rsidP="00B66CC3">
            <w:pPr>
              <w:spacing w:before="0" w:after="0"/>
              <w:jc w:val="right"/>
              <w:rPr>
                <w:rFonts w:cs="Arial"/>
                <w:color w:val="000000"/>
                <w:sz w:val="18"/>
                <w:szCs w:val="18"/>
              </w:rPr>
            </w:pPr>
            <w:r w:rsidRPr="004A5BF7">
              <w:rPr>
                <w:rFonts w:cs="Arial"/>
                <w:color w:val="000000"/>
                <w:sz w:val="18"/>
                <w:szCs w:val="18"/>
              </w:rPr>
              <w:t>1.0449</w:t>
            </w:r>
          </w:p>
        </w:tc>
        <w:tc>
          <w:tcPr>
            <w:tcW w:w="0" w:type="auto"/>
            <w:tcBorders>
              <w:top w:val="nil"/>
              <w:left w:val="nil"/>
              <w:bottom w:val="nil"/>
              <w:right w:val="nil"/>
            </w:tcBorders>
            <w:shd w:val="clear" w:color="auto" w:fill="auto"/>
            <w:noWrap/>
            <w:vAlign w:val="bottom"/>
            <w:hideMark/>
          </w:tcPr>
          <w:p w14:paraId="174033B2"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w:t>
            </w:r>
          </w:p>
        </w:tc>
        <w:tc>
          <w:tcPr>
            <w:tcW w:w="0" w:type="auto"/>
            <w:tcBorders>
              <w:top w:val="nil"/>
              <w:left w:val="nil"/>
              <w:bottom w:val="nil"/>
              <w:right w:val="nil"/>
            </w:tcBorders>
            <w:shd w:val="clear" w:color="auto" w:fill="auto"/>
            <w:noWrap/>
            <w:vAlign w:val="center"/>
            <w:hideMark/>
          </w:tcPr>
          <w:p w14:paraId="150BF06F"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1.1335</w:t>
            </w:r>
          </w:p>
        </w:tc>
      </w:tr>
      <w:tr w:rsidR="00B66CC3" w:rsidRPr="00C65A97" w14:paraId="412E413C" w14:textId="77777777" w:rsidTr="00B66CC3">
        <w:trPr>
          <w:trHeight w:val="300"/>
        </w:trPr>
        <w:tc>
          <w:tcPr>
            <w:tcW w:w="0" w:type="auto"/>
            <w:tcBorders>
              <w:top w:val="nil"/>
              <w:left w:val="nil"/>
              <w:bottom w:val="nil"/>
              <w:right w:val="nil"/>
            </w:tcBorders>
            <w:shd w:val="clear" w:color="auto" w:fill="auto"/>
            <w:noWrap/>
            <w:vAlign w:val="center"/>
            <w:hideMark/>
          </w:tcPr>
          <w:p w14:paraId="37C9E695"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3 - 4</w:t>
            </w:r>
          </w:p>
        </w:tc>
        <w:tc>
          <w:tcPr>
            <w:tcW w:w="0" w:type="auto"/>
            <w:tcBorders>
              <w:top w:val="nil"/>
              <w:left w:val="nil"/>
              <w:bottom w:val="nil"/>
              <w:right w:val="nil"/>
            </w:tcBorders>
            <w:shd w:val="clear" w:color="auto" w:fill="auto"/>
            <w:noWrap/>
            <w:vAlign w:val="center"/>
            <w:hideMark/>
          </w:tcPr>
          <w:p w14:paraId="579FB872"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2218</w:t>
            </w:r>
          </w:p>
        </w:tc>
        <w:tc>
          <w:tcPr>
            <w:tcW w:w="0" w:type="auto"/>
            <w:tcBorders>
              <w:top w:val="nil"/>
              <w:left w:val="nil"/>
              <w:bottom w:val="nil"/>
              <w:right w:val="nil"/>
            </w:tcBorders>
            <w:shd w:val="clear" w:color="auto" w:fill="auto"/>
            <w:noWrap/>
            <w:vAlign w:val="center"/>
            <w:hideMark/>
          </w:tcPr>
          <w:p w14:paraId="2573D0D9"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8620</w:t>
            </w:r>
          </w:p>
        </w:tc>
        <w:tc>
          <w:tcPr>
            <w:tcW w:w="0" w:type="auto"/>
            <w:tcBorders>
              <w:top w:val="nil"/>
              <w:left w:val="nil"/>
              <w:bottom w:val="nil"/>
              <w:right w:val="nil"/>
            </w:tcBorders>
            <w:shd w:val="clear" w:color="auto" w:fill="auto"/>
            <w:noWrap/>
            <w:vAlign w:val="center"/>
            <w:hideMark/>
          </w:tcPr>
          <w:p w14:paraId="671FC9BB"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3.00</w:t>
            </w:r>
          </w:p>
        </w:tc>
        <w:tc>
          <w:tcPr>
            <w:tcW w:w="0" w:type="auto"/>
            <w:tcBorders>
              <w:top w:val="nil"/>
              <w:left w:val="nil"/>
              <w:bottom w:val="nil"/>
              <w:right w:val="nil"/>
            </w:tcBorders>
            <w:shd w:val="clear" w:color="auto" w:fill="auto"/>
            <w:noWrap/>
            <w:vAlign w:val="center"/>
            <w:hideMark/>
          </w:tcPr>
          <w:p w14:paraId="498AEDEA"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0.77</w:t>
            </w:r>
          </w:p>
        </w:tc>
        <w:tc>
          <w:tcPr>
            <w:tcW w:w="0" w:type="auto"/>
            <w:tcBorders>
              <w:top w:val="nil"/>
              <w:left w:val="nil"/>
              <w:bottom w:val="nil"/>
              <w:right w:val="nil"/>
            </w:tcBorders>
            <w:shd w:val="clear" w:color="auto" w:fill="auto"/>
            <w:noWrap/>
            <w:vAlign w:val="bottom"/>
            <w:hideMark/>
          </w:tcPr>
          <w:p w14:paraId="71D601D2" w14:textId="77777777" w:rsidR="00B66CC3" w:rsidRPr="004A5BF7" w:rsidRDefault="00B66CC3" w:rsidP="00B66CC3">
            <w:pPr>
              <w:spacing w:before="0" w:after="0"/>
              <w:jc w:val="right"/>
              <w:rPr>
                <w:rFonts w:cs="Arial"/>
                <w:color w:val="000000"/>
                <w:sz w:val="18"/>
                <w:szCs w:val="18"/>
              </w:rPr>
            </w:pPr>
            <w:r w:rsidRPr="004A5BF7">
              <w:rPr>
                <w:rFonts w:cs="Arial"/>
                <w:color w:val="000000"/>
                <w:sz w:val="18"/>
                <w:szCs w:val="18"/>
              </w:rPr>
              <w:t>1.1336</w:t>
            </w:r>
          </w:p>
        </w:tc>
        <w:tc>
          <w:tcPr>
            <w:tcW w:w="0" w:type="auto"/>
            <w:tcBorders>
              <w:top w:val="nil"/>
              <w:left w:val="nil"/>
              <w:bottom w:val="nil"/>
              <w:right w:val="nil"/>
            </w:tcBorders>
            <w:shd w:val="clear" w:color="auto" w:fill="auto"/>
            <w:noWrap/>
            <w:vAlign w:val="bottom"/>
            <w:hideMark/>
          </w:tcPr>
          <w:p w14:paraId="3A10D0FF"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w:t>
            </w:r>
          </w:p>
        </w:tc>
        <w:tc>
          <w:tcPr>
            <w:tcW w:w="0" w:type="auto"/>
            <w:tcBorders>
              <w:top w:val="nil"/>
              <w:left w:val="nil"/>
              <w:bottom w:val="nil"/>
              <w:right w:val="nil"/>
            </w:tcBorders>
            <w:shd w:val="clear" w:color="auto" w:fill="auto"/>
            <w:noWrap/>
            <w:vAlign w:val="center"/>
            <w:hideMark/>
          </w:tcPr>
          <w:p w14:paraId="322E9C48"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1.1797</w:t>
            </w:r>
          </w:p>
        </w:tc>
      </w:tr>
      <w:tr w:rsidR="00B66CC3" w:rsidRPr="00C65A97" w14:paraId="122DB8D1" w14:textId="77777777" w:rsidTr="00B66CC3">
        <w:trPr>
          <w:trHeight w:val="300"/>
        </w:trPr>
        <w:tc>
          <w:tcPr>
            <w:tcW w:w="0" w:type="auto"/>
            <w:tcBorders>
              <w:top w:val="nil"/>
              <w:left w:val="nil"/>
              <w:bottom w:val="nil"/>
              <w:right w:val="nil"/>
            </w:tcBorders>
            <w:shd w:val="clear" w:color="auto" w:fill="auto"/>
            <w:noWrap/>
            <w:vAlign w:val="center"/>
            <w:hideMark/>
          </w:tcPr>
          <w:p w14:paraId="268974CA"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4 - 5</w:t>
            </w:r>
          </w:p>
        </w:tc>
        <w:tc>
          <w:tcPr>
            <w:tcW w:w="0" w:type="auto"/>
            <w:tcBorders>
              <w:top w:val="nil"/>
              <w:left w:val="nil"/>
              <w:bottom w:val="nil"/>
              <w:right w:val="nil"/>
            </w:tcBorders>
            <w:shd w:val="clear" w:color="auto" w:fill="auto"/>
            <w:noWrap/>
            <w:vAlign w:val="center"/>
            <w:hideMark/>
          </w:tcPr>
          <w:p w14:paraId="025222A2"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15526</w:t>
            </w:r>
          </w:p>
        </w:tc>
        <w:tc>
          <w:tcPr>
            <w:tcW w:w="0" w:type="auto"/>
            <w:tcBorders>
              <w:top w:val="nil"/>
              <w:left w:val="nil"/>
              <w:bottom w:val="nil"/>
              <w:right w:val="nil"/>
            </w:tcBorders>
            <w:shd w:val="clear" w:color="auto" w:fill="auto"/>
            <w:noWrap/>
            <w:vAlign w:val="center"/>
            <w:hideMark/>
          </w:tcPr>
          <w:p w14:paraId="24074BA3"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24146</w:t>
            </w:r>
          </w:p>
        </w:tc>
        <w:tc>
          <w:tcPr>
            <w:tcW w:w="0" w:type="auto"/>
            <w:tcBorders>
              <w:top w:val="nil"/>
              <w:left w:val="nil"/>
              <w:bottom w:val="nil"/>
              <w:right w:val="nil"/>
            </w:tcBorders>
            <w:shd w:val="clear" w:color="auto" w:fill="auto"/>
            <w:noWrap/>
            <w:vAlign w:val="center"/>
            <w:hideMark/>
          </w:tcPr>
          <w:p w14:paraId="46ED7B31"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8.39</w:t>
            </w:r>
          </w:p>
        </w:tc>
        <w:tc>
          <w:tcPr>
            <w:tcW w:w="0" w:type="auto"/>
            <w:tcBorders>
              <w:top w:val="nil"/>
              <w:left w:val="nil"/>
              <w:bottom w:val="nil"/>
              <w:right w:val="nil"/>
            </w:tcBorders>
            <w:shd w:val="clear" w:color="auto" w:fill="auto"/>
            <w:noWrap/>
            <w:vAlign w:val="center"/>
            <w:hideMark/>
          </w:tcPr>
          <w:p w14:paraId="1F9BE284"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5.39</w:t>
            </w:r>
          </w:p>
        </w:tc>
        <w:tc>
          <w:tcPr>
            <w:tcW w:w="0" w:type="auto"/>
            <w:tcBorders>
              <w:top w:val="nil"/>
              <w:left w:val="nil"/>
              <w:bottom w:val="nil"/>
              <w:right w:val="nil"/>
            </w:tcBorders>
            <w:shd w:val="clear" w:color="auto" w:fill="auto"/>
            <w:noWrap/>
            <w:vAlign w:val="bottom"/>
            <w:hideMark/>
          </w:tcPr>
          <w:p w14:paraId="3A4DA204" w14:textId="77777777" w:rsidR="00B66CC3" w:rsidRPr="004A5BF7" w:rsidRDefault="00B66CC3" w:rsidP="00B66CC3">
            <w:pPr>
              <w:spacing w:before="0" w:after="0"/>
              <w:jc w:val="right"/>
              <w:rPr>
                <w:rFonts w:cs="Arial"/>
                <w:color w:val="000000"/>
                <w:sz w:val="18"/>
                <w:szCs w:val="18"/>
              </w:rPr>
            </w:pPr>
            <w:r w:rsidRPr="004A5BF7">
              <w:rPr>
                <w:rFonts w:cs="Arial"/>
                <w:color w:val="000000"/>
                <w:sz w:val="18"/>
                <w:szCs w:val="18"/>
              </w:rPr>
              <w:t>1.1798</w:t>
            </w:r>
          </w:p>
        </w:tc>
        <w:tc>
          <w:tcPr>
            <w:tcW w:w="0" w:type="auto"/>
            <w:tcBorders>
              <w:top w:val="nil"/>
              <w:left w:val="nil"/>
              <w:bottom w:val="nil"/>
              <w:right w:val="nil"/>
            </w:tcBorders>
            <w:shd w:val="clear" w:color="auto" w:fill="auto"/>
            <w:noWrap/>
            <w:vAlign w:val="bottom"/>
            <w:hideMark/>
          </w:tcPr>
          <w:p w14:paraId="4F4D58E8"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w:t>
            </w:r>
          </w:p>
        </w:tc>
        <w:tc>
          <w:tcPr>
            <w:tcW w:w="0" w:type="auto"/>
            <w:tcBorders>
              <w:top w:val="nil"/>
              <w:left w:val="nil"/>
              <w:bottom w:val="nil"/>
              <w:right w:val="nil"/>
            </w:tcBorders>
            <w:shd w:val="clear" w:color="auto" w:fill="auto"/>
            <w:noWrap/>
            <w:vAlign w:val="center"/>
            <w:hideMark/>
          </w:tcPr>
          <w:p w14:paraId="655893DF"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1.5034</w:t>
            </w:r>
          </w:p>
        </w:tc>
      </w:tr>
      <w:tr w:rsidR="00B66CC3" w:rsidRPr="00C65A97" w14:paraId="3B470B6A" w14:textId="77777777" w:rsidTr="00B66CC3">
        <w:trPr>
          <w:trHeight w:val="300"/>
        </w:trPr>
        <w:tc>
          <w:tcPr>
            <w:tcW w:w="0" w:type="auto"/>
            <w:tcBorders>
              <w:top w:val="nil"/>
              <w:left w:val="nil"/>
              <w:bottom w:val="nil"/>
              <w:right w:val="nil"/>
            </w:tcBorders>
            <w:shd w:val="clear" w:color="auto" w:fill="auto"/>
            <w:noWrap/>
            <w:vAlign w:val="center"/>
            <w:hideMark/>
          </w:tcPr>
          <w:p w14:paraId="7F17E57E"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5 - 6</w:t>
            </w:r>
          </w:p>
        </w:tc>
        <w:tc>
          <w:tcPr>
            <w:tcW w:w="0" w:type="auto"/>
            <w:tcBorders>
              <w:top w:val="nil"/>
              <w:left w:val="nil"/>
              <w:bottom w:val="nil"/>
              <w:right w:val="nil"/>
            </w:tcBorders>
            <w:shd w:val="clear" w:color="auto" w:fill="auto"/>
            <w:noWrap/>
            <w:vAlign w:val="center"/>
            <w:hideMark/>
          </w:tcPr>
          <w:p w14:paraId="52CBFC1F"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106585</w:t>
            </w:r>
          </w:p>
        </w:tc>
        <w:tc>
          <w:tcPr>
            <w:tcW w:w="0" w:type="auto"/>
            <w:tcBorders>
              <w:top w:val="nil"/>
              <w:left w:val="nil"/>
              <w:bottom w:val="nil"/>
              <w:right w:val="nil"/>
            </w:tcBorders>
            <w:shd w:val="clear" w:color="auto" w:fill="auto"/>
            <w:noWrap/>
            <w:vAlign w:val="center"/>
            <w:hideMark/>
          </w:tcPr>
          <w:p w14:paraId="76941A15"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130731</w:t>
            </w:r>
          </w:p>
        </w:tc>
        <w:tc>
          <w:tcPr>
            <w:tcW w:w="0" w:type="auto"/>
            <w:tcBorders>
              <w:top w:val="nil"/>
              <w:left w:val="nil"/>
              <w:bottom w:val="nil"/>
              <w:right w:val="nil"/>
            </w:tcBorders>
            <w:shd w:val="clear" w:color="auto" w:fill="auto"/>
            <w:noWrap/>
            <w:vAlign w:val="center"/>
            <w:hideMark/>
          </w:tcPr>
          <w:p w14:paraId="2AB99C41"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45.42</w:t>
            </w:r>
          </w:p>
        </w:tc>
        <w:tc>
          <w:tcPr>
            <w:tcW w:w="0" w:type="auto"/>
            <w:tcBorders>
              <w:top w:val="nil"/>
              <w:left w:val="nil"/>
              <w:bottom w:val="nil"/>
              <w:right w:val="nil"/>
            </w:tcBorders>
            <w:shd w:val="clear" w:color="auto" w:fill="auto"/>
            <w:noWrap/>
            <w:vAlign w:val="center"/>
            <w:hideMark/>
          </w:tcPr>
          <w:p w14:paraId="2DAC3092"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37.03</w:t>
            </w:r>
          </w:p>
        </w:tc>
        <w:tc>
          <w:tcPr>
            <w:tcW w:w="0" w:type="auto"/>
            <w:tcBorders>
              <w:top w:val="nil"/>
              <w:left w:val="nil"/>
              <w:bottom w:val="nil"/>
              <w:right w:val="nil"/>
            </w:tcBorders>
            <w:shd w:val="clear" w:color="auto" w:fill="auto"/>
            <w:noWrap/>
            <w:vAlign w:val="bottom"/>
            <w:hideMark/>
          </w:tcPr>
          <w:p w14:paraId="41D02B67" w14:textId="77777777" w:rsidR="00B66CC3" w:rsidRPr="004A5BF7" w:rsidRDefault="00B66CC3" w:rsidP="00B66CC3">
            <w:pPr>
              <w:spacing w:before="0" w:after="0"/>
              <w:jc w:val="right"/>
              <w:rPr>
                <w:rFonts w:cs="Arial"/>
                <w:color w:val="000000"/>
                <w:sz w:val="18"/>
                <w:szCs w:val="18"/>
              </w:rPr>
            </w:pPr>
            <w:r w:rsidRPr="004A5BF7">
              <w:rPr>
                <w:rFonts w:cs="Arial"/>
                <w:color w:val="000000"/>
                <w:sz w:val="18"/>
                <w:szCs w:val="18"/>
              </w:rPr>
              <w:t>1.5035</w:t>
            </w:r>
          </w:p>
        </w:tc>
        <w:tc>
          <w:tcPr>
            <w:tcW w:w="0" w:type="auto"/>
            <w:tcBorders>
              <w:top w:val="nil"/>
              <w:left w:val="nil"/>
              <w:bottom w:val="nil"/>
              <w:right w:val="nil"/>
            </w:tcBorders>
            <w:shd w:val="clear" w:color="auto" w:fill="auto"/>
            <w:noWrap/>
            <w:vAlign w:val="bottom"/>
            <w:hideMark/>
          </w:tcPr>
          <w:p w14:paraId="6A1DEA81"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w:t>
            </w:r>
          </w:p>
        </w:tc>
        <w:tc>
          <w:tcPr>
            <w:tcW w:w="0" w:type="auto"/>
            <w:tcBorders>
              <w:top w:val="nil"/>
              <w:left w:val="nil"/>
              <w:bottom w:val="nil"/>
              <w:right w:val="nil"/>
            </w:tcBorders>
            <w:shd w:val="clear" w:color="auto" w:fill="auto"/>
            <w:noWrap/>
            <w:vAlign w:val="center"/>
            <w:hideMark/>
          </w:tcPr>
          <w:p w14:paraId="18BA39C5"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3.7255</w:t>
            </w:r>
          </w:p>
        </w:tc>
      </w:tr>
      <w:tr w:rsidR="00B66CC3" w:rsidRPr="00C65A97" w14:paraId="5B613268" w14:textId="77777777" w:rsidTr="00B66CC3">
        <w:trPr>
          <w:trHeight w:val="300"/>
        </w:trPr>
        <w:tc>
          <w:tcPr>
            <w:tcW w:w="0" w:type="auto"/>
            <w:tcBorders>
              <w:top w:val="nil"/>
              <w:left w:val="nil"/>
              <w:bottom w:val="single" w:sz="4" w:space="0" w:color="auto"/>
              <w:right w:val="nil"/>
            </w:tcBorders>
            <w:shd w:val="clear" w:color="auto" w:fill="auto"/>
            <w:noWrap/>
            <w:vAlign w:val="center"/>
            <w:hideMark/>
          </w:tcPr>
          <w:p w14:paraId="2F8DBAF9"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6 - 7</w:t>
            </w:r>
          </w:p>
        </w:tc>
        <w:tc>
          <w:tcPr>
            <w:tcW w:w="0" w:type="auto"/>
            <w:tcBorders>
              <w:top w:val="nil"/>
              <w:left w:val="nil"/>
              <w:bottom w:val="single" w:sz="4" w:space="0" w:color="auto"/>
              <w:right w:val="nil"/>
            </w:tcBorders>
            <w:shd w:val="clear" w:color="auto" w:fill="auto"/>
            <w:noWrap/>
            <w:vAlign w:val="center"/>
            <w:hideMark/>
          </w:tcPr>
          <w:p w14:paraId="6B4AB7A6"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157065</w:t>
            </w:r>
          </w:p>
        </w:tc>
        <w:tc>
          <w:tcPr>
            <w:tcW w:w="0" w:type="auto"/>
            <w:tcBorders>
              <w:top w:val="nil"/>
              <w:left w:val="nil"/>
              <w:bottom w:val="single" w:sz="4" w:space="0" w:color="auto"/>
              <w:right w:val="nil"/>
            </w:tcBorders>
            <w:shd w:val="clear" w:color="auto" w:fill="auto"/>
            <w:noWrap/>
            <w:vAlign w:val="center"/>
            <w:hideMark/>
          </w:tcPr>
          <w:p w14:paraId="2C74494D"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287796</w:t>
            </w:r>
          </w:p>
        </w:tc>
        <w:tc>
          <w:tcPr>
            <w:tcW w:w="0" w:type="auto"/>
            <w:tcBorders>
              <w:top w:val="nil"/>
              <w:left w:val="nil"/>
              <w:bottom w:val="single" w:sz="4" w:space="0" w:color="auto"/>
              <w:right w:val="nil"/>
            </w:tcBorders>
            <w:shd w:val="clear" w:color="auto" w:fill="auto"/>
            <w:noWrap/>
            <w:vAlign w:val="center"/>
            <w:hideMark/>
          </w:tcPr>
          <w:p w14:paraId="042CDB54"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100.00</w:t>
            </w:r>
          </w:p>
        </w:tc>
        <w:tc>
          <w:tcPr>
            <w:tcW w:w="0" w:type="auto"/>
            <w:tcBorders>
              <w:top w:val="nil"/>
              <w:left w:val="nil"/>
              <w:bottom w:val="single" w:sz="4" w:space="0" w:color="auto"/>
              <w:right w:val="nil"/>
            </w:tcBorders>
            <w:shd w:val="clear" w:color="auto" w:fill="auto"/>
            <w:noWrap/>
            <w:vAlign w:val="center"/>
            <w:hideMark/>
          </w:tcPr>
          <w:p w14:paraId="47E6DC83"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54.58</w:t>
            </w:r>
          </w:p>
        </w:tc>
        <w:tc>
          <w:tcPr>
            <w:tcW w:w="0" w:type="auto"/>
            <w:tcBorders>
              <w:top w:val="nil"/>
              <w:left w:val="nil"/>
              <w:bottom w:val="single" w:sz="4" w:space="0" w:color="auto"/>
              <w:right w:val="nil"/>
            </w:tcBorders>
            <w:shd w:val="clear" w:color="auto" w:fill="auto"/>
            <w:noWrap/>
            <w:vAlign w:val="bottom"/>
            <w:hideMark/>
          </w:tcPr>
          <w:p w14:paraId="7EA673DD" w14:textId="77777777" w:rsidR="00B66CC3" w:rsidRPr="004A5BF7" w:rsidRDefault="00B66CC3" w:rsidP="00B66CC3">
            <w:pPr>
              <w:spacing w:before="0" w:after="0"/>
              <w:jc w:val="right"/>
              <w:rPr>
                <w:rFonts w:cs="Arial"/>
                <w:color w:val="000000"/>
                <w:sz w:val="18"/>
                <w:szCs w:val="18"/>
              </w:rPr>
            </w:pPr>
            <w:r w:rsidRPr="004A5BF7">
              <w:rPr>
                <w:rFonts w:cs="Arial"/>
                <w:color w:val="000000"/>
                <w:sz w:val="18"/>
                <w:szCs w:val="18"/>
              </w:rPr>
              <w:t>3.7256</w:t>
            </w:r>
          </w:p>
        </w:tc>
        <w:tc>
          <w:tcPr>
            <w:tcW w:w="0" w:type="auto"/>
            <w:tcBorders>
              <w:top w:val="nil"/>
              <w:left w:val="nil"/>
              <w:bottom w:val="single" w:sz="4" w:space="0" w:color="auto"/>
              <w:right w:val="nil"/>
            </w:tcBorders>
            <w:shd w:val="clear" w:color="auto" w:fill="auto"/>
            <w:noWrap/>
            <w:vAlign w:val="bottom"/>
            <w:hideMark/>
          </w:tcPr>
          <w:p w14:paraId="52B7E32A"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w:t>
            </w:r>
          </w:p>
        </w:tc>
        <w:tc>
          <w:tcPr>
            <w:tcW w:w="0" w:type="auto"/>
            <w:tcBorders>
              <w:top w:val="nil"/>
              <w:left w:val="nil"/>
              <w:bottom w:val="single" w:sz="4" w:space="0" w:color="auto"/>
              <w:right w:val="nil"/>
            </w:tcBorders>
            <w:shd w:val="clear" w:color="auto" w:fill="auto"/>
            <w:noWrap/>
            <w:vAlign w:val="center"/>
            <w:hideMark/>
          </w:tcPr>
          <w:p w14:paraId="7392A217" w14:textId="77777777" w:rsidR="00B66CC3" w:rsidRPr="004A5BF7" w:rsidRDefault="00B66CC3" w:rsidP="00B66CC3">
            <w:pPr>
              <w:spacing w:before="0" w:after="0"/>
              <w:jc w:val="center"/>
              <w:rPr>
                <w:rFonts w:cs="Arial"/>
                <w:color w:val="000000"/>
                <w:sz w:val="18"/>
                <w:szCs w:val="18"/>
              </w:rPr>
            </w:pPr>
            <w:r w:rsidRPr="004A5BF7">
              <w:rPr>
                <w:rFonts w:cs="Arial"/>
                <w:color w:val="000000"/>
                <w:sz w:val="18"/>
                <w:szCs w:val="18"/>
              </w:rPr>
              <w:t>7.0000</w:t>
            </w:r>
          </w:p>
        </w:tc>
      </w:tr>
    </w:tbl>
    <w:p w14:paraId="7E77A00C" w14:textId="77777777" w:rsidR="00B66CC3" w:rsidRPr="00961331" w:rsidRDefault="00B66CC3" w:rsidP="00B66CC3">
      <w:pPr>
        <w:rPr>
          <w:rFonts w:cs="Arial"/>
          <w:szCs w:val="22"/>
        </w:rPr>
      </w:pPr>
    </w:p>
    <w:p w14:paraId="4E43EF69" w14:textId="77777777" w:rsidR="00B66CC3" w:rsidRPr="00961331" w:rsidRDefault="00B66CC3" w:rsidP="00B66CC3">
      <w:pPr>
        <w:rPr>
          <w:rFonts w:cs="Arial"/>
          <w:b/>
          <w:szCs w:val="22"/>
        </w:rPr>
      </w:pPr>
      <w:r w:rsidRPr="00961331">
        <w:rPr>
          <w:rFonts w:cs="Arial"/>
          <w:b/>
          <w:szCs w:val="22"/>
        </w:rPr>
        <w:t>(b) DIN dispersion function</w:t>
      </w:r>
    </w:p>
    <w:p w14:paraId="1F445D26" w14:textId="4F0FE371" w:rsidR="00B66CC3" w:rsidRDefault="00B66CC3" w:rsidP="00B66CC3">
      <w:pPr>
        <w:rPr>
          <w:rFonts w:cs="Arial"/>
          <w:szCs w:val="22"/>
        </w:rPr>
      </w:pPr>
      <w:r w:rsidRPr="00961331">
        <w:rPr>
          <w:rFonts w:cs="Arial"/>
          <w:szCs w:val="22"/>
        </w:rPr>
        <w:t xml:space="preserve">The DIN dispersion function is a raster surface that represents how much of the land-sourced DIN ends up in each colour class over the ocean colour plumes. The DIN dispersion function is based on the proportion of DIN mass among each colour class, and uses three sources of data: (i) the river plume maps with six-colour class; (ii) in-situ DIN concentration, and (ii) Conductivity-Temperature-Depth (CTD) vertical profiles. The latest two datasets have been opportunistically collected in river plume waters over the GBR lagoon as part of the water quality program under the Reef Rescue </w:t>
      </w:r>
      <w:r w:rsidR="00C65A97">
        <w:rPr>
          <w:rFonts w:cs="Arial"/>
          <w:szCs w:val="22"/>
        </w:rPr>
        <w:t>MMP</w:t>
      </w:r>
      <w:r w:rsidRPr="00961331">
        <w:rPr>
          <w:rFonts w:cs="Arial"/>
          <w:szCs w:val="22"/>
        </w:rPr>
        <w:t xml:space="preserve"> (</w:t>
      </w:r>
      <w:r w:rsidRPr="00961331">
        <w:rPr>
          <w:rFonts w:cs="Arial"/>
          <w:szCs w:val="22"/>
        </w:rPr>
        <w:fldChar w:fldCharType="begin"/>
      </w:r>
      <w:r w:rsidRPr="00961331">
        <w:rPr>
          <w:rFonts w:cs="Arial"/>
          <w:szCs w:val="22"/>
        </w:rPr>
        <w:instrText xml:space="preserve"> REF _Ref449130092 \h  \* MERGEFORMAT </w:instrText>
      </w:r>
      <w:r w:rsidRPr="00961331">
        <w:rPr>
          <w:rFonts w:cs="Arial"/>
          <w:szCs w:val="22"/>
        </w:rPr>
      </w:r>
      <w:r w:rsidRPr="00961331">
        <w:rPr>
          <w:rFonts w:cs="Arial"/>
          <w:szCs w:val="22"/>
        </w:rPr>
        <w:fldChar w:fldCharType="separate"/>
      </w:r>
      <w:r w:rsidR="007F5336" w:rsidRPr="007F5336">
        <w:rPr>
          <w:rFonts w:cs="Arial"/>
          <w:szCs w:val="22"/>
        </w:rPr>
        <w:t xml:space="preserve">Figure </w:t>
      </w:r>
      <w:r w:rsidR="007F5336" w:rsidRPr="007F5336">
        <w:rPr>
          <w:rFonts w:cs="Arial"/>
          <w:noProof/>
          <w:szCs w:val="22"/>
        </w:rPr>
        <w:t>A1</w:t>
      </w:r>
      <w:r w:rsidR="007F5336" w:rsidRPr="00C65A97">
        <w:t xml:space="preserve"> </w:t>
      </w:r>
      <w:r w:rsidR="007F5336">
        <w:rPr>
          <w:noProof/>
        </w:rPr>
        <w:t>8</w:t>
      </w:r>
      <w:r w:rsidR="007F5336" w:rsidRPr="00C65A97">
        <w:rPr>
          <w:noProof/>
        </w:rPr>
        <w:t>:</w:t>
      </w:r>
      <w:r w:rsidRPr="00961331">
        <w:rPr>
          <w:rFonts w:cs="Arial"/>
          <w:szCs w:val="22"/>
        </w:rPr>
        <w:fldChar w:fldCharType="end"/>
      </w:r>
      <w:r w:rsidRPr="00961331">
        <w:rPr>
          <w:rFonts w:cs="Arial"/>
          <w:szCs w:val="22"/>
        </w:rPr>
        <w:t>).</w:t>
      </w:r>
    </w:p>
    <w:p w14:paraId="5D70C628" w14:textId="0CD112D4" w:rsidR="00BA304F" w:rsidRDefault="00E105A9" w:rsidP="00B66CC3">
      <w:pPr>
        <w:rPr>
          <w:rFonts w:cs="Arial"/>
          <w:szCs w:val="22"/>
        </w:rPr>
      </w:pPr>
      <w:r w:rsidRPr="00B05E41">
        <w:rPr>
          <w:rFonts w:cs="Arial"/>
          <w:noProof/>
          <w:szCs w:val="22"/>
          <w:lang w:val="en-AU" w:eastAsia="en-AU"/>
        </w:rPr>
        <w:drawing>
          <wp:anchor distT="0" distB="0" distL="114300" distR="114300" simplePos="0" relativeHeight="251765760" behindDoc="0" locked="0" layoutInCell="1" allowOverlap="1" wp14:anchorId="28693156" wp14:editId="4BCBFB86">
            <wp:simplePos x="0" y="0"/>
            <wp:positionH relativeFrom="column">
              <wp:posOffset>1266825</wp:posOffset>
            </wp:positionH>
            <wp:positionV relativeFrom="paragraph">
              <wp:posOffset>234950</wp:posOffset>
            </wp:positionV>
            <wp:extent cx="2879725" cy="3940810"/>
            <wp:effectExtent l="0" t="0" r="0" b="2540"/>
            <wp:wrapTopAndBottom/>
            <wp:docPr id="79" name="Picture 79" descr="Map showing the Great Barrier Reef Marine Park (Queensland, Australia), major rivers included in the model, the delimitation of the Natural Resource Management (NRM) regions, and the sampling sites (colour density indicates recurrent sampling)." title="Figure A1 8: The Great Barrier Reef Marine Park (Queensland, Australia), major rivers included in the model, the delimitation of the Natural Resource Management (NRM) regions, and the sampl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ocuments\10. RS Ocean Colour\PAPERS-REPORTS\TropWATER report 2011-12\GBR_TropWATER_report2011-12.jpg"/>
                    <pic:cNvPicPr>
                      <a:picLocks noChangeAspect="1" noChangeArrowheads="1"/>
                    </pic:cNvPicPr>
                  </pic:nvPicPr>
                  <pic:blipFill>
                    <a:blip r:embed="rId392" cstate="print">
                      <a:extLst>
                        <a:ext uri="{28A0092B-C50C-407E-A947-70E740481C1C}">
                          <a14:useLocalDpi xmlns:a14="http://schemas.microsoft.com/office/drawing/2010/main" val="0"/>
                        </a:ext>
                      </a:extLst>
                    </a:blip>
                    <a:stretch>
                      <a:fillRect/>
                    </a:stretch>
                  </pic:blipFill>
                  <pic:spPr bwMode="auto">
                    <a:xfrm>
                      <a:off x="0" y="0"/>
                      <a:ext cx="2879725" cy="39408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A6ED3EF" w14:textId="4217241C" w:rsidR="00BA304F" w:rsidRDefault="00BA304F" w:rsidP="00BA304F">
      <w:pPr>
        <w:pStyle w:val="Caption"/>
        <w:rPr>
          <w:rFonts w:cs="Arial"/>
        </w:rPr>
      </w:pPr>
      <w:bookmarkStart w:id="1576" w:name="_Ref449130092"/>
      <w:bookmarkStart w:id="1577" w:name="_Toc459332197"/>
      <w:bookmarkStart w:id="1578" w:name="_Toc461194305"/>
      <w:r w:rsidRPr="00C65A97">
        <w:t xml:space="preserve">Figure A1 </w:t>
      </w:r>
      <w:r w:rsidRPr="00C65A97">
        <w:fldChar w:fldCharType="begin"/>
      </w:r>
      <w:r w:rsidRPr="00C65A97">
        <w:instrText xml:space="preserve"> SEQ Figure_A1 \* ARABIC </w:instrText>
      </w:r>
      <w:r w:rsidRPr="00C65A97">
        <w:fldChar w:fldCharType="separate"/>
      </w:r>
      <w:r w:rsidR="007F5336">
        <w:rPr>
          <w:noProof/>
        </w:rPr>
        <w:t>8</w:t>
      </w:r>
      <w:r w:rsidRPr="00C65A97">
        <w:rPr>
          <w:noProof/>
        </w:rPr>
        <w:fldChar w:fldCharType="end"/>
      </w:r>
      <w:r w:rsidRPr="00C65A97">
        <w:rPr>
          <w:noProof/>
        </w:rPr>
        <w:t>:</w:t>
      </w:r>
      <w:bookmarkEnd w:id="1576"/>
      <w:r w:rsidRPr="00C65A97">
        <w:t xml:space="preserve"> The Great Barrier Reef Marine Park (Queensland, Australia), major rivers included in the model, the delimitation of the Natural Resource Management (NRM) regions, and the sampling sites (colour density indicates recurrent sampling).</w:t>
      </w:r>
      <w:bookmarkEnd w:id="1577"/>
      <w:bookmarkEnd w:id="1578"/>
    </w:p>
    <w:p w14:paraId="67489F39" w14:textId="77777777" w:rsidR="00B66CC3" w:rsidRPr="00961331" w:rsidRDefault="00B66CC3" w:rsidP="00B66CC3">
      <w:pPr>
        <w:rPr>
          <w:rFonts w:cs="Arial"/>
          <w:szCs w:val="22"/>
        </w:rPr>
      </w:pPr>
      <w:r w:rsidRPr="00961331">
        <w:rPr>
          <w:rFonts w:cs="Arial"/>
          <w:szCs w:val="22"/>
        </w:rPr>
        <w:t>The CTD profiles are used to determine the depth of the mixing layer for each colour class and also the surface salinity. The depth of the mixing layer is determined based on the mixing between the marine water and the freshwater, which creates a gradient in concentration. It is assumed that freshwater is diluted with the marine water at the same rate as DIN, so mixing depth can be used to estimate total DIN mass throughout the water column under plume water influence. Using salinity variation from CTD vertical profiles to estimate the conservative mixing between freshwater and marine water, the appropriate mixing depth (</w:t>
      </w:r>
      <w:r w:rsidRPr="00961331">
        <w:rPr>
          <w:rFonts w:cs="Arial"/>
          <w:i/>
          <w:szCs w:val="22"/>
        </w:rPr>
        <w:t>D</w:t>
      </w:r>
      <w:r w:rsidRPr="00961331">
        <w:rPr>
          <w:rFonts w:cs="Arial"/>
          <w:szCs w:val="22"/>
        </w:rPr>
        <w:t>, in meters) becomes:</w:t>
      </w:r>
    </w:p>
    <w:p w14:paraId="681143A4" w14:textId="77777777" w:rsidR="00B66CC3" w:rsidRPr="00961331" w:rsidRDefault="00B66CC3" w:rsidP="00B66CC3">
      <w:pPr>
        <w:pStyle w:val="equation"/>
        <w:rPr>
          <w:rFonts w:ascii="Arial" w:hAnsi="Arial" w:cs="Arial"/>
          <w:i w:val="0"/>
          <w:sz w:val="22"/>
          <w:szCs w:val="22"/>
        </w:rPr>
      </w:pPr>
      <m:oMath>
        <m:r>
          <w:rPr>
            <w:rFonts w:cs="Arial"/>
            <w:sz w:val="22"/>
            <w:szCs w:val="22"/>
          </w:rPr>
          <m:t>D=</m:t>
        </m:r>
        <m:f>
          <m:fPr>
            <m:ctrlPr>
              <w:rPr>
                <w:rFonts w:cs="Arial"/>
                <w:sz w:val="22"/>
                <w:szCs w:val="22"/>
              </w:rPr>
            </m:ctrlPr>
          </m:fPr>
          <m:num>
            <m:r>
              <w:rPr>
                <w:rFonts w:cs="Arial"/>
                <w:sz w:val="22"/>
                <w:szCs w:val="22"/>
              </w:rPr>
              <m:t>1</m:t>
            </m:r>
          </m:num>
          <m:den>
            <m:d>
              <m:dPr>
                <m:ctrlPr>
                  <w:rPr>
                    <w:rFonts w:cs="Arial"/>
                    <w:sz w:val="22"/>
                    <w:szCs w:val="22"/>
                  </w:rPr>
                </m:ctrlPr>
              </m:dPr>
              <m:e>
                <m:sSub>
                  <m:sSubPr>
                    <m:ctrlPr>
                      <w:rPr>
                        <w:rFonts w:cs="Arial"/>
                        <w:sz w:val="22"/>
                        <w:szCs w:val="22"/>
                      </w:rPr>
                    </m:ctrlPr>
                  </m:sSubPr>
                  <m:e>
                    <m:r>
                      <w:rPr>
                        <w:rFonts w:cs="Arial"/>
                        <w:sz w:val="22"/>
                        <w:szCs w:val="22"/>
                      </w:rPr>
                      <m:t>SAL</m:t>
                    </m:r>
                  </m:e>
                  <m:sub>
                    <m:r>
                      <w:rPr>
                        <w:rFonts w:cs="Arial"/>
                        <w:sz w:val="22"/>
                        <w:szCs w:val="22"/>
                      </w:rPr>
                      <m:t>max</m:t>
                    </m:r>
                  </m:sub>
                </m:sSub>
                <m:r>
                  <w:rPr>
                    <w:rFonts w:cs="Arial"/>
                    <w:sz w:val="22"/>
                    <w:szCs w:val="22"/>
                  </w:rPr>
                  <m:t>-</m:t>
                </m:r>
                <m:sSub>
                  <m:sSubPr>
                    <m:ctrlPr>
                      <w:rPr>
                        <w:rFonts w:cs="Arial"/>
                        <w:sz w:val="22"/>
                        <w:szCs w:val="22"/>
                      </w:rPr>
                    </m:ctrlPr>
                  </m:sSubPr>
                  <m:e>
                    <m:r>
                      <w:rPr>
                        <w:rFonts w:cs="Arial"/>
                        <w:sz w:val="22"/>
                        <w:szCs w:val="22"/>
                      </w:rPr>
                      <m:t>SAL</m:t>
                    </m:r>
                  </m:e>
                  <m:sub>
                    <m:r>
                      <w:rPr>
                        <w:rFonts w:cs="Arial"/>
                        <w:sz w:val="22"/>
                        <w:szCs w:val="22"/>
                      </w:rPr>
                      <m:t>min</m:t>
                    </m:r>
                  </m:sub>
                </m:sSub>
              </m:e>
            </m:d>
          </m:den>
        </m:f>
        <m:nary>
          <m:naryPr>
            <m:limLoc m:val="undOvr"/>
            <m:ctrlPr>
              <w:rPr>
                <w:rFonts w:cs="Arial"/>
                <w:sz w:val="22"/>
                <w:szCs w:val="22"/>
              </w:rPr>
            </m:ctrlPr>
          </m:naryPr>
          <m:sub>
            <m:r>
              <w:rPr>
                <w:rFonts w:cs="Arial"/>
                <w:sz w:val="22"/>
                <w:szCs w:val="22"/>
              </w:rPr>
              <m:t>0</m:t>
            </m:r>
          </m:sub>
          <m:sup>
            <m:sSub>
              <m:sSubPr>
                <m:ctrlPr>
                  <w:rPr>
                    <w:rFonts w:cs="Arial"/>
                    <w:sz w:val="22"/>
                    <w:szCs w:val="22"/>
                  </w:rPr>
                </m:ctrlPr>
              </m:sSubPr>
              <m:e>
                <m:r>
                  <w:rPr>
                    <w:rFonts w:cs="Arial"/>
                    <w:sz w:val="22"/>
                    <w:szCs w:val="22"/>
                  </w:rPr>
                  <m:t>Z</m:t>
                </m:r>
              </m:e>
              <m:sub>
                <m:r>
                  <w:rPr>
                    <w:rFonts w:cs="Arial"/>
                    <w:sz w:val="22"/>
                    <w:szCs w:val="22"/>
                  </w:rPr>
                  <m:t>max</m:t>
                </m:r>
              </m:sub>
            </m:sSub>
          </m:sup>
          <m:e>
            <m:d>
              <m:dPr>
                <m:ctrlPr>
                  <w:rPr>
                    <w:rFonts w:cs="Arial"/>
                    <w:sz w:val="22"/>
                    <w:szCs w:val="22"/>
                  </w:rPr>
                </m:ctrlPr>
              </m:dPr>
              <m:e>
                <m:sSub>
                  <m:sSubPr>
                    <m:ctrlPr>
                      <w:rPr>
                        <w:rFonts w:cs="Arial"/>
                        <w:sz w:val="22"/>
                        <w:szCs w:val="22"/>
                      </w:rPr>
                    </m:ctrlPr>
                  </m:sSubPr>
                  <m:e>
                    <m:r>
                      <w:rPr>
                        <w:rFonts w:cs="Arial"/>
                        <w:sz w:val="22"/>
                        <w:szCs w:val="22"/>
                      </w:rPr>
                      <m:t>SAL</m:t>
                    </m:r>
                  </m:e>
                  <m:sub>
                    <m:r>
                      <w:rPr>
                        <w:rFonts w:cs="Arial"/>
                        <w:sz w:val="22"/>
                        <w:szCs w:val="22"/>
                      </w:rPr>
                      <m:t>max</m:t>
                    </m:r>
                  </m:sub>
                </m:sSub>
                <m:r>
                  <w:rPr>
                    <w:rFonts w:cs="Arial"/>
                    <w:sz w:val="22"/>
                    <w:szCs w:val="22"/>
                  </w:rPr>
                  <m:t>-</m:t>
                </m:r>
                <m:sSub>
                  <m:sSubPr>
                    <m:ctrlPr>
                      <w:rPr>
                        <w:rFonts w:cs="Arial"/>
                        <w:sz w:val="22"/>
                        <w:szCs w:val="22"/>
                      </w:rPr>
                    </m:ctrlPr>
                  </m:sSubPr>
                  <m:e>
                    <m:r>
                      <w:rPr>
                        <w:rFonts w:cs="Arial"/>
                        <w:sz w:val="22"/>
                        <w:szCs w:val="22"/>
                      </w:rPr>
                      <m:t>SAL</m:t>
                    </m:r>
                  </m:e>
                  <m:sub>
                    <m:r>
                      <w:rPr>
                        <w:rFonts w:cs="Arial"/>
                        <w:sz w:val="22"/>
                        <w:szCs w:val="22"/>
                      </w:rPr>
                      <m:t>z</m:t>
                    </m:r>
                  </m:sub>
                </m:sSub>
              </m:e>
            </m:d>
            <m:sSub>
              <m:sSubPr>
                <m:ctrlPr>
                  <w:rPr>
                    <w:rFonts w:cs="Arial"/>
                    <w:sz w:val="22"/>
                    <w:szCs w:val="22"/>
                  </w:rPr>
                </m:ctrlPr>
              </m:sSubPr>
              <m:e>
                <m:r>
                  <w:rPr>
                    <w:rFonts w:cs="Arial"/>
                    <w:sz w:val="22"/>
                    <w:szCs w:val="22"/>
                  </w:rPr>
                  <m:t>d</m:t>
                </m:r>
              </m:e>
              <m:sub>
                <m:r>
                  <w:rPr>
                    <w:rFonts w:cs="Arial"/>
                    <w:sz w:val="22"/>
                    <w:szCs w:val="22"/>
                  </w:rPr>
                  <m:t>Z</m:t>
                </m:r>
              </m:sub>
            </m:sSub>
          </m:e>
        </m:nary>
      </m:oMath>
      <w:r w:rsidRPr="00961331">
        <w:rPr>
          <w:rFonts w:ascii="Arial" w:eastAsiaTheme="minorEastAsia" w:hAnsi="Arial" w:cs="Arial"/>
          <w:i w:val="0"/>
          <w:sz w:val="22"/>
          <w:szCs w:val="22"/>
        </w:rPr>
        <w:t>,</w:t>
      </w:r>
      <w:r w:rsidRPr="00961331">
        <w:rPr>
          <w:rFonts w:ascii="Arial" w:eastAsiaTheme="minorEastAsia" w:hAnsi="Arial" w:cs="Arial"/>
          <w:sz w:val="22"/>
          <w:szCs w:val="22"/>
        </w:rPr>
        <w:tab/>
      </w:r>
      <w:r w:rsidRPr="00961331">
        <w:rPr>
          <w:rFonts w:ascii="Arial" w:hAnsi="Arial" w:cs="Arial"/>
          <w:i w:val="0"/>
          <w:sz w:val="22"/>
          <w:szCs w:val="22"/>
        </w:rPr>
        <w:t>(Eq. 3)</w:t>
      </w:r>
    </w:p>
    <w:p w14:paraId="795CE708" w14:textId="77777777" w:rsidR="00B66CC3" w:rsidRPr="00961331" w:rsidRDefault="00B66CC3" w:rsidP="00B66CC3">
      <w:pPr>
        <w:rPr>
          <w:rFonts w:cs="Arial"/>
          <w:szCs w:val="22"/>
        </w:rPr>
      </w:pPr>
      <w:r w:rsidRPr="00961331">
        <w:rPr>
          <w:rFonts w:cs="Arial"/>
          <w:szCs w:val="22"/>
        </w:rPr>
        <w:t xml:space="preserve">where </w:t>
      </w:r>
      <w:r w:rsidRPr="00961331">
        <w:rPr>
          <w:rFonts w:cs="Arial"/>
          <w:i/>
          <w:szCs w:val="22"/>
        </w:rPr>
        <w:t>SAL</w:t>
      </w:r>
      <w:r w:rsidRPr="00961331">
        <w:rPr>
          <w:rFonts w:cs="Arial"/>
          <w:i/>
          <w:szCs w:val="22"/>
          <w:vertAlign w:val="subscript"/>
        </w:rPr>
        <w:t>max</w:t>
      </w:r>
      <w:r w:rsidRPr="00961331">
        <w:rPr>
          <w:rFonts w:cs="Arial"/>
          <w:szCs w:val="22"/>
        </w:rPr>
        <w:t xml:space="preserve"> and </w:t>
      </w:r>
      <w:r w:rsidRPr="00961331">
        <w:rPr>
          <w:rFonts w:cs="Arial"/>
          <w:i/>
          <w:szCs w:val="22"/>
        </w:rPr>
        <w:t>SAL</w:t>
      </w:r>
      <w:r w:rsidRPr="00961331">
        <w:rPr>
          <w:rFonts w:cs="Arial"/>
          <w:i/>
          <w:szCs w:val="22"/>
          <w:vertAlign w:val="subscript"/>
        </w:rPr>
        <w:t>min</w:t>
      </w:r>
      <w:r w:rsidRPr="00961331">
        <w:rPr>
          <w:rFonts w:cs="Arial"/>
          <w:szCs w:val="22"/>
        </w:rPr>
        <w:t xml:space="preserve"> stand for the maximum and minimum salinity, respectively, in the mixing gradient from surface to the bottom. The integral is the sum of the salinity difference from the salinity at depth </w:t>
      </w:r>
      <w:r w:rsidRPr="00961331">
        <w:rPr>
          <w:rFonts w:cs="Arial"/>
          <w:i/>
          <w:szCs w:val="22"/>
        </w:rPr>
        <w:t>Z</w:t>
      </w:r>
      <w:r w:rsidRPr="00961331">
        <w:rPr>
          <w:rFonts w:cs="Arial"/>
          <w:szCs w:val="22"/>
        </w:rPr>
        <w:t xml:space="preserve"> to the maximum depth. This represents the sum of the total mass of freshwater throughout the water column. Dividing this sum by the maximum salinity difference, it is as though the total mass of the freshwater in the entire water column was compressed into a layer D thick of freshwater.</w:t>
      </w:r>
    </w:p>
    <w:p w14:paraId="7C1812CB" w14:textId="2443390C" w:rsidR="00B66CC3" w:rsidRPr="00961331" w:rsidRDefault="00B66CC3" w:rsidP="00B66CC3">
      <w:pPr>
        <w:rPr>
          <w:rFonts w:cs="Arial"/>
          <w:szCs w:val="22"/>
        </w:rPr>
      </w:pPr>
      <w:r w:rsidRPr="00961331">
        <w:rPr>
          <w:rFonts w:cs="Arial"/>
          <w:szCs w:val="22"/>
        </w:rPr>
        <w:t xml:space="preserve">The river plume maps are used to calculate the area of each colour class and also for the match-ups between in-situ data (DIN concentration and CTD profiles) and the colour classes. The match-ups are done on a weekly basis, which is the smallest temporal resolution of the river plume maps </w:t>
      </w:r>
      <w:r w:rsidRPr="00961331">
        <w:rPr>
          <w:rFonts w:cs="Arial"/>
          <w:szCs w:val="22"/>
        </w:rPr>
        <w:fldChar w:fldCharType="begin"/>
      </w:r>
      <w:r w:rsidRPr="00961331">
        <w:rPr>
          <w:rFonts w:cs="Arial"/>
          <w:szCs w:val="22"/>
        </w:rPr>
        <w:instrText xml:space="preserve"> ADDIN ZOTERO_ITEM CSL_CITATION {"citationID":"1svneg5ent","properties":{"formattedCitation":"{\\rtf (\\uc0\\u193{}lvarez-Romero et al., 2013)}","plainCitation":"(Álvarez-Romero et al., 2013)"},"citationItems":[{"id":1,"uris":["http://zotero.org/users/2324349/items/TQTS3DE2"],"uri":["http://zotero.org/users/2324349/items/TQTS3DE2"],"itemData":{"id":1,"type":"article-journal","title":"A novel approach to model exposure of coastal-marine ecosystems to riverine flood plumes based on remote sensing techniques","container-title":"Journal of Environmental Management","page":"194-207","volume":"119","source":"ScienceDirect","abstract":"Increased loads of land-based pollutants are a major threat to coastal-marine ecosystems. Identifying the affected marine areas and the scale of influence on ecosystems is critical to assess the impacts of degraded water quality and to inform planning for catchment management and marine conservation. Studies using remotely-sensed data have contributed to our understanding of the occurrence and influence of river plumes, and to our ability to assess exposure of marine ecosystems to land-based pollutants. However, refinement of plume modeling techniques is required to improve risk assessments. We developed a novel, complementary, approach to model exposure of coastal-marine ecosystems to land-based pollutants. We used supervised classification of MODIS-Aqua true-color satellite imagery to map the extent of plumes and to qualitatively assess the dispersal of pollutants in plumes. We used the Great Barrier Reef (GBR), the world's largest coral reef system, to test our approach. We combined frequency of plume occurrence with spatially distributed loads (based on a cost-distance function) to create maps of exposure to suspended sediment and dissolved inorganic nitrogen. We then compared annual exposure maps (2007–2011) to assess inter-annual variability in the exposure of coral reefs and seagrass beds to these pollutants. We found this method useful to map plumes and qualitatively assess exposure to land-based pollutants. We observed inter-annual variation in exposure of ecosystems to pollutants in the GBR, stressing the need to incorporate a temporal component into plume exposure/risk models. Our study contributes to our understanding of plume spatial–temporal dynamics of the GBR and offers a method that can also be applied to monitor exposure of coastal-marine ecosystems to plumes and explore their ecological influences.","DOI":"10.1016/j.jenvman.2013.01.036","ISSN":"0301-4797","journalAbbreviation":"Journal of Environmental Management","author":[{"family":"Álvarez-Romero","given":"Jorge G."},{"family":"Devlin","given":"Michelle"},{"family":"Teixeira da Silva","given":"Eduardo"},{"family":"Petus","given":"Caroline"},{"family":"Ban","given":"Natalie C."},{"family":"Pressey","given":"Robert L."},{"family":"Kool","given":"Johnathan"},{"family":"Roberts","given":"Jason J."},{"family":"Cerdeira-Estrada","given":"Sergio"},{"family":"Wenger","given":"Amelia S."},{"family":"Brodie","given":"Jon"}],"issued":{"date-parts":[["2013",4,15]]}}}],"schema":"https://github.com/citation-style-language/schema/raw/master/csl-citation.json"} </w:instrText>
      </w:r>
      <w:r w:rsidRPr="00961331">
        <w:rPr>
          <w:rFonts w:cs="Arial"/>
          <w:szCs w:val="22"/>
        </w:rPr>
        <w:fldChar w:fldCharType="separate"/>
      </w:r>
      <w:r w:rsidRPr="00961331">
        <w:rPr>
          <w:rFonts w:cs="Arial"/>
          <w:szCs w:val="22"/>
        </w:rPr>
        <w:t>(Álvarez-Romero et al., 2013)</w:t>
      </w:r>
      <w:r w:rsidRPr="00961331">
        <w:rPr>
          <w:rFonts w:cs="Arial"/>
          <w:szCs w:val="22"/>
        </w:rPr>
        <w:fldChar w:fldCharType="end"/>
      </w:r>
      <w:r w:rsidRPr="00961331">
        <w:rPr>
          <w:rFonts w:cs="Arial"/>
          <w:szCs w:val="22"/>
        </w:rPr>
        <w:t xml:space="preserve">. Match-ups are performed using </w:t>
      </w:r>
      <w:r w:rsidRPr="00961331">
        <w:rPr>
          <w:rFonts w:cs="Arial"/>
          <w:i/>
          <w:szCs w:val="22"/>
        </w:rPr>
        <w:t>extract</w:t>
      </w:r>
      <w:r w:rsidRPr="00961331">
        <w:rPr>
          <w:rFonts w:cs="Arial"/>
          <w:szCs w:val="22"/>
        </w:rPr>
        <w:t xml:space="preserve"> in the raster package </w:t>
      </w:r>
      <w:r w:rsidRPr="00961331">
        <w:rPr>
          <w:rFonts w:cs="Arial"/>
          <w:szCs w:val="22"/>
        </w:rPr>
        <w:fldChar w:fldCharType="begin"/>
      </w:r>
      <w:r>
        <w:rPr>
          <w:rFonts w:cs="Arial"/>
          <w:szCs w:val="22"/>
        </w:rPr>
        <w:instrText xml:space="preserve"> ADDIN ZOTERO_ITEM CSL_CITATION {"citationID":"gHfJn4Rp","properties":{"formattedCitation":"(Hijmans et al., 2015)","plainCitation":"(Hijmans et al., 2015)"},"citationItems":[{"id":32,"uris":["http://zotero.org/users/2324349/items/NHNDRKGI"],"uri":["http://zotero.org/users/2324349/items/NHNDRKGI"],"itemData":{"id":32,"type":"book","title":"raster: Geographic Data Analysis and Modeling","version":"2.3-40","source":"R-Packages","abstract":"Reading, writing, manipulating, analyzing and modeling of gridded spatial data. The package implements basic and high-level functions. Processing of very large files is supported.","URL":"http://cran.r-project.org/web/packages/raster/index.html","shortTitle":"raster","author":[{"family":"Hijmans","given":"Robert J."},{"family":"Etten","given":"Jacob","dropping-particle":"van"},{"family":"Mattiuzzi","given":"Matteo"},{"family":"Sumner","given":"Michael"},{"family":"Greenberg","given":"Jonathan A."},{"family":"Lamigueiro","given":"Oscar Perpinan"},{"family":"Bevan","given":"Andrew"},{"family":"Racine","given":"Etienne B."},{"family":"Shortridge","given":"Ashton"}],"issued":{"date-parts":[["2015",4,11]]},"accessed":{"date-parts":[["2015",5,20]]}}}],"schema":"https://github.com/citation-style-language/schema/raw/master/csl-citation.json"} </w:instrText>
      </w:r>
      <w:r w:rsidRPr="00961331">
        <w:rPr>
          <w:rFonts w:cs="Arial"/>
          <w:szCs w:val="22"/>
        </w:rPr>
        <w:fldChar w:fldCharType="separate"/>
      </w:r>
      <w:r w:rsidRPr="00961331">
        <w:rPr>
          <w:rFonts w:cs="Arial"/>
          <w:szCs w:val="22"/>
        </w:rPr>
        <w:t>(Hijmans et al., 2015)</w:t>
      </w:r>
      <w:r w:rsidRPr="00961331">
        <w:rPr>
          <w:rFonts w:cs="Arial"/>
          <w:szCs w:val="22"/>
        </w:rPr>
        <w:fldChar w:fldCharType="end"/>
      </w:r>
      <w:r w:rsidRPr="00961331">
        <w:rPr>
          <w:rFonts w:cs="Arial"/>
          <w:szCs w:val="22"/>
        </w:rPr>
        <w:t xml:space="preserve"> with bilinear interpolation method in R 3.2.4, which interpolates from the values of the four nearest raster cells </w:t>
      </w:r>
      <w:r w:rsidRPr="00961331">
        <w:rPr>
          <w:rFonts w:cs="Arial"/>
          <w:szCs w:val="22"/>
        </w:rPr>
        <w:fldChar w:fldCharType="begin"/>
      </w:r>
      <w:r>
        <w:rPr>
          <w:rFonts w:cs="Arial"/>
          <w:szCs w:val="22"/>
        </w:rPr>
        <w:instrText xml:space="preserve"> ADDIN ZOTERO_ITEM CSL_CITATION {"citationID":"LBtbj9Lb","properties":{"formattedCitation":"(R Development Core Team, 2015)","plainCitation":"(R Development Core Team, 2015)"},"citationItems":[{"id":38,"uris":["http://zotero.org/users/2324349/items/CMEWUF68"],"uri":["http://zotero.org/users/2324349/items/CMEWUF68"],"itemData":{"id":38,"type":"webpage","title":"R: a language and environment for statistical computing","container-title":"GBIF.ORG","genre":"Text","abstract":"R is a free software environment for statistical computing and graphics. It can be used to generate species distribution models using as a base data such as those made available through GBIF.","URL":"http://www.gbif.org/resource/81287","shortTitle":"R","language":"und","author":[{"family":"R Development Core Team","given":""}],"issued":{"date-parts":[["2015",2,10]]},"accessed":{"date-parts":[["2015",5,20]]}}}],"schema":"https://github.com/citation-style-language/schema/raw/master/csl-citation.json"} </w:instrText>
      </w:r>
      <w:r w:rsidRPr="00961331">
        <w:rPr>
          <w:rFonts w:cs="Arial"/>
          <w:szCs w:val="22"/>
        </w:rPr>
        <w:fldChar w:fldCharType="separate"/>
      </w:r>
      <w:r w:rsidRPr="00961331">
        <w:rPr>
          <w:rFonts w:cs="Arial"/>
          <w:szCs w:val="22"/>
        </w:rPr>
        <w:t>(R Development Core Team, 2015)</w:t>
      </w:r>
      <w:r w:rsidRPr="00961331">
        <w:rPr>
          <w:rFonts w:cs="Arial"/>
          <w:szCs w:val="22"/>
        </w:rPr>
        <w:fldChar w:fldCharType="end"/>
      </w:r>
      <w:r w:rsidRPr="00961331">
        <w:rPr>
          <w:rFonts w:cs="Arial"/>
          <w:szCs w:val="22"/>
        </w:rPr>
        <w:t>. Only data sampled during flood regimes (c.a., flow exceeding the 75</w:t>
      </w:r>
      <w:r w:rsidRPr="00961331">
        <w:rPr>
          <w:rFonts w:cs="Arial"/>
          <w:szCs w:val="22"/>
          <w:vertAlign w:val="superscript"/>
        </w:rPr>
        <w:t>th</w:t>
      </w:r>
      <w:r w:rsidRPr="00961331">
        <w:rPr>
          <w:rFonts w:cs="Arial"/>
          <w:szCs w:val="22"/>
        </w:rPr>
        <w:t xml:space="preserve"> percentile of daily long-term wet season flow, from 1970 to 2000) are used in the match-ups, as these data better represent the biogeochemical and transport processes for </w:t>
      </w:r>
      <w:r w:rsidRPr="00C65A97">
        <w:rPr>
          <w:rFonts w:cs="Arial"/>
          <w:szCs w:val="22"/>
        </w:rPr>
        <w:t xml:space="preserve">DIN. </w:t>
      </w:r>
      <w:r w:rsidRPr="00C65A97">
        <w:rPr>
          <w:rFonts w:cs="Arial"/>
          <w:szCs w:val="22"/>
        </w:rPr>
        <w:fldChar w:fldCharType="begin"/>
      </w:r>
      <w:r w:rsidRPr="00C65A97">
        <w:rPr>
          <w:rFonts w:cs="Arial"/>
          <w:szCs w:val="22"/>
        </w:rPr>
        <w:instrText xml:space="preserve"> REF _Ref449130369 \h  \* MERGEFORMAT </w:instrText>
      </w:r>
      <w:r w:rsidRPr="00C65A97">
        <w:rPr>
          <w:rFonts w:cs="Arial"/>
          <w:szCs w:val="22"/>
        </w:rPr>
      </w:r>
      <w:r w:rsidRPr="00C65A97">
        <w:rPr>
          <w:rFonts w:cs="Arial"/>
          <w:szCs w:val="22"/>
        </w:rPr>
        <w:fldChar w:fldCharType="separate"/>
      </w:r>
      <w:r w:rsidR="007F5336" w:rsidRPr="007F5336">
        <w:rPr>
          <w:rFonts w:cs="Arial"/>
          <w:szCs w:val="22"/>
        </w:rPr>
        <w:t xml:space="preserve">Figure </w:t>
      </w:r>
      <w:r w:rsidR="007F5336" w:rsidRPr="007F5336">
        <w:rPr>
          <w:rFonts w:cs="Arial"/>
          <w:noProof/>
          <w:szCs w:val="22"/>
        </w:rPr>
        <w:t>A1</w:t>
      </w:r>
      <w:r w:rsidR="007F5336">
        <w:t xml:space="preserve"> </w:t>
      </w:r>
      <w:r w:rsidR="007F5336">
        <w:rPr>
          <w:noProof/>
        </w:rPr>
        <w:t>9:</w:t>
      </w:r>
      <w:r w:rsidR="007F5336" w:rsidRPr="00961331">
        <w:t xml:space="preserve"> </w:t>
      </w:r>
      <w:r w:rsidRPr="00C65A97">
        <w:rPr>
          <w:rFonts w:cs="Arial"/>
          <w:szCs w:val="22"/>
        </w:rPr>
        <w:fldChar w:fldCharType="end"/>
      </w:r>
      <w:r w:rsidRPr="00C65A97">
        <w:rPr>
          <w:rFonts w:cs="Arial"/>
          <w:szCs w:val="22"/>
        </w:rPr>
        <w:t xml:space="preserve"> presents the variation of DIN concentration, superficial salinity, mixing depth layer and plume area grouped by the six-colour classes. Due to the skewed nature of these</w:t>
      </w:r>
      <w:r w:rsidRPr="00961331">
        <w:rPr>
          <w:rFonts w:cs="Arial"/>
          <w:szCs w:val="22"/>
        </w:rPr>
        <w:t xml:space="preserve"> four variables, the median value is used as a measurement of the central tendency rather than the mean.</w:t>
      </w:r>
    </w:p>
    <w:p w14:paraId="4295DD5F" w14:textId="07853A29" w:rsidR="00B66CC3" w:rsidRPr="00961331" w:rsidRDefault="00B66CC3" w:rsidP="00B66CC3">
      <w:pPr>
        <w:rPr>
          <w:rFonts w:cs="Arial"/>
          <w:szCs w:val="22"/>
        </w:rPr>
      </w:pPr>
      <w:r w:rsidRPr="00961331">
        <w:rPr>
          <w:rFonts w:cs="Arial"/>
          <w:szCs w:val="22"/>
        </w:rPr>
        <w:t>Because we do not have sufficient in situ DIN data to calibrate each river individually, we made the assumption that DIN behaviour (exponential decay) is consistent across plumes. Although DIN data sampled in the flood river plumes were not evenly distributed over the GBR lagoon, they were representative of its major portion and of those areas that experience large rainfall and higher nitrogen loads (</w:t>
      </w:r>
      <w:r w:rsidRPr="00961331">
        <w:rPr>
          <w:rFonts w:cs="Arial"/>
          <w:szCs w:val="22"/>
        </w:rPr>
        <w:fldChar w:fldCharType="begin"/>
      </w:r>
      <w:r w:rsidRPr="00961331">
        <w:rPr>
          <w:rFonts w:cs="Arial"/>
          <w:szCs w:val="22"/>
        </w:rPr>
        <w:instrText xml:space="preserve"> REF _Ref449130092 \h  \* MERGEFORMAT </w:instrText>
      </w:r>
      <w:r w:rsidRPr="00961331">
        <w:rPr>
          <w:rFonts w:cs="Arial"/>
          <w:szCs w:val="22"/>
        </w:rPr>
      </w:r>
      <w:r w:rsidRPr="00961331">
        <w:rPr>
          <w:rFonts w:cs="Arial"/>
          <w:szCs w:val="22"/>
        </w:rPr>
        <w:fldChar w:fldCharType="separate"/>
      </w:r>
      <w:r w:rsidR="007F5336" w:rsidRPr="007F5336">
        <w:rPr>
          <w:rFonts w:cs="Arial"/>
          <w:szCs w:val="22"/>
        </w:rPr>
        <w:t>Figure A1 8</w:t>
      </w:r>
      <w:r w:rsidR="007F5336" w:rsidRPr="00C65A97">
        <w:rPr>
          <w:noProof/>
        </w:rPr>
        <w:t>:</w:t>
      </w:r>
      <w:r w:rsidRPr="00961331">
        <w:rPr>
          <w:rFonts w:cs="Arial"/>
          <w:szCs w:val="22"/>
        </w:rPr>
        <w:fldChar w:fldCharType="end"/>
      </w:r>
      <w:r w:rsidRPr="00961331">
        <w:rPr>
          <w:rFonts w:cs="Arial"/>
          <w:szCs w:val="22"/>
        </w:rPr>
        <w:t>). Further work (and monitoring data) is needed to develop regionally specific pollutant dispersion models.</w:t>
      </w:r>
    </w:p>
    <w:p w14:paraId="0A5A6772" w14:textId="77777777" w:rsidR="00B66CC3" w:rsidRPr="00961331" w:rsidRDefault="00B66CC3" w:rsidP="00B66CC3">
      <w:pPr>
        <w:jc w:val="center"/>
        <w:rPr>
          <w:rFonts w:cs="Arial"/>
          <w:szCs w:val="22"/>
        </w:rPr>
      </w:pPr>
      <w:r w:rsidRPr="00B05E41">
        <w:rPr>
          <w:rFonts w:cs="Arial"/>
          <w:noProof/>
          <w:szCs w:val="22"/>
          <w:lang w:val="en-AU" w:eastAsia="en-AU"/>
        </w:rPr>
        <w:drawing>
          <wp:inline distT="0" distB="0" distL="0" distR="0" wp14:anchorId="6B1D8F58" wp14:editId="111D2224">
            <wp:extent cx="5760000" cy="4932302"/>
            <wp:effectExtent l="0" t="0" r="0" b="1905"/>
            <wp:docPr id="80" name="Picture 80" descr="Panel of plots showing In-situ dissolved inorganic nitrogen concentration (a), depth of the mixing layer (b), superficial salinity (c) and plume area (d) per colour class, measured over 13 wet seasons (c.a., December to April inclusive) from 2002/03 to 2014/15 wet season. Boxplot presents the median (dark black line), 25th and 75th percentile values (rectangle) and 5th and 95th percentile values (vertical lines). Nudge was applied to data on x-axis for better data visualization." title="Figure A1 9: In-situ dissolved inorganic nitrogen concentration (a), depth of the mixing layer (b), superficial salinity (c) and plume area (d) per colour class, measured over 13 wet seasons (c.a., December to April inclusive) from 2002/03 to 2014/15 wet seas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3">
                      <a:extLst>
                        <a:ext uri="{28A0092B-C50C-407E-A947-70E740481C1C}">
                          <a14:useLocalDpi xmlns:a14="http://schemas.microsoft.com/office/drawing/2010/main" val="0"/>
                        </a:ext>
                      </a:extLst>
                    </a:blip>
                    <a:srcRect/>
                    <a:stretch>
                      <a:fillRect/>
                    </a:stretch>
                  </pic:blipFill>
                  <pic:spPr bwMode="auto">
                    <a:xfrm>
                      <a:off x="0" y="0"/>
                      <a:ext cx="5760000" cy="4932302"/>
                    </a:xfrm>
                    <a:prstGeom prst="rect">
                      <a:avLst/>
                    </a:prstGeom>
                    <a:noFill/>
                  </pic:spPr>
                </pic:pic>
              </a:graphicData>
            </a:graphic>
          </wp:inline>
        </w:drawing>
      </w:r>
    </w:p>
    <w:p w14:paraId="493F4366" w14:textId="0DD96789" w:rsidR="00B66CC3" w:rsidRPr="00961331" w:rsidRDefault="00C65A97" w:rsidP="004A5BF7">
      <w:pPr>
        <w:pStyle w:val="Caption"/>
      </w:pPr>
      <w:bookmarkStart w:id="1579" w:name="_Ref449130369"/>
      <w:bookmarkStart w:id="1580" w:name="_Toc459332198"/>
      <w:bookmarkStart w:id="1581" w:name="_Toc461194306"/>
      <w:r>
        <w:t xml:space="preserve">Figure A1 </w:t>
      </w:r>
      <w:r>
        <w:fldChar w:fldCharType="begin"/>
      </w:r>
      <w:r>
        <w:instrText xml:space="preserve"> SEQ Figure_A1 \* ARABIC </w:instrText>
      </w:r>
      <w:r>
        <w:fldChar w:fldCharType="separate"/>
      </w:r>
      <w:r w:rsidR="007F5336">
        <w:rPr>
          <w:noProof/>
        </w:rPr>
        <w:t>9</w:t>
      </w:r>
      <w:r>
        <w:rPr>
          <w:noProof/>
        </w:rPr>
        <w:fldChar w:fldCharType="end"/>
      </w:r>
      <w:r>
        <w:rPr>
          <w:noProof/>
        </w:rPr>
        <w:t>:</w:t>
      </w:r>
      <w:r w:rsidRPr="00961331">
        <w:t xml:space="preserve"> </w:t>
      </w:r>
      <w:bookmarkEnd w:id="1579"/>
      <w:r w:rsidR="00B66CC3" w:rsidRPr="00961331">
        <w:t>In-situ dissolved inorganic nitrogen concentration (a), depth of the mixing layer (b), superficial salinity (c) and plume area (d) per colour class, measured over 13 wet seasons (c.a., December to April inclusive) from 2002/03 to 2014/15 wet season. Boxplot presents the median (dark black line), 25</w:t>
      </w:r>
      <w:r w:rsidR="00B66CC3" w:rsidRPr="00961331">
        <w:rPr>
          <w:vertAlign w:val="superscript"/>
        </w:rPr>
        <w:t>th</w:t>
      </w:r>
      <w:r w:rsidR="00B66CC3" w:rsidRPr="00961331">
        <w:t xml:space="preserve"> and 75</w:t>
      </w:r>
      <w:r w:rsidR="00B66CC3" w:rsidRPr="00961331">
        <w:rPr>
          <w:vertAlign w:val="superscript"/>
        </w:rPr>
        <w:t>th</w:t>
      </w:r>
      <w:r w:rsidR="00B66CC3" w:rsidRPr="00961331">
        <w:t xml:space="preserve"> percentile values (rectangle) and 5</w:t>
      </w:r>
      <w:r w:rsidR="00B66CC3" w:rsidRPr="00961331">
        <w:rPr>
          <w:vertAlign w:val="superscript"/>
        </w:rPr>
        <w:t>th</w:t>
      </w:r>
      <w:r w:rsidR="00B66CC3" w:rsidRPr="00961331">
        <w:t xml:space="preserve"> and 95</w:t>
      </w:r>
      <w:r w:rsidR="00B66CC3" w:rsidRPr="00961331">
        <w:rPr>
          <w:vertAlign w:val="superscript"/>
        </w:rPr>
        <w:t>th</w:t>
      </w:r>
      <w:r w:rsidR="00B66CC3" w:rsidRPr="00961331">
        <w:t xml:space="preserve"> percentile values (vertical lines). Nudge was applied to data on x-axis for better data visualization.</w:t>
      </w:r>
      <w:bookmarkEnd w:id="1580"/>
      <w:bookmarkEnd w:id="1581"/>
    </w:p>
    <w:p w14:paraId="1B0988BB" w14:textId="77777777" w:rsidR="00B66CC3" w:rsidRPr="00961331" w:rsidRDefault="00B66CC3" w:rsidP="00B66CC3">
      <w:pPr>
        <w:rPr>
          <w:rFonts w:cs="Arial"/>
          <w:szCs w:val="22"/>
        </w:rPr>
      </w:pPr>
    </w:p>
    <w:p w14:paraId="57CF3E41" w14:textId="612ADCA8" w:rsidR="00B66CC3" w:rsidRPr="00961331" w:rsidRDefault="00B66CC3" w:rsidP="00B66CC3">
      <w:pPr>
        <w:rPr>
          <w:rFonts w:cs="Arial"/>
          <w:szCs w:val="22"/>
        </w:rPr>
      </w:pPr>
      <w:r w:rsidRPr="00961331">
        <w:rPr>
          <w:rFonts w:cs="Arial"/>
          <w:szCs w:val="22"/>
        </w:rPr>
        <w:t xml:space="preserve">The depth of the mixing layer, the in-situ DIN concentration and the area of each plume colour class are then used to estimate the DIN mass in each colour class by simple multiplication. The measured in-situ DIN concentration in plume waters is resultant of a mixing gradient between freshwater and marine water. To account for this mixing, a simple dilution model based on salinity is used. For example, under salinity half way between marine and freshwater, 50% of the total measured in-situ DIN concentration is assumed to be attributed to the river discharge. </w:t>
      </w:r>
      <w:r w:rsidRPr="00961331">
        <w:rPr>
          <w:rFonts w:cs="Arial"/>
          <w:szCs w:val="22"/>
        </w:rPr>
        <w:fldChar w:fldCharType="begin"/>
      </w:r>
      <w:r w:rsidRPr="00961331">
        <w:rPr>
          <w:rFonts w:cs="Arial"/>
          <w:szCs w:val="22"/>
        </w:rPr>
        <w:instrText xml:space="preserve"> REF _Ref449130587 \h  \* MERGEFORMAT </w:instrText>
      </w:r>
      <w:r w:rsidRPr="00961331">
        <w:rPr>
          <w:rFonts w:cs="Arial"/>
          <w:szCs w:val="22"/>
        </w:rPr>
      </w:r>
      <w:r w:rsidRPr="00961331">
        <w:rPr>
          <w:rFonts w:cs="Arial"/>
          <w:szCs w:val="22"/>
        </w:rPr>
        <w:fldChar w:fldCharType="separate"/>
      </w:r>
      <w:r w:rsidR="007F5336" w:rsidRPr="007F5336">
        <w:rPr>
          <w:rFonts w:cs="Arial"/>
          <w:szCs w:val="22"/>
        </w:rPr>
        <w:t xml:space="preserve">Figure </w:t>
      </w:r>
      <w:r w:rsidR="007F5336" w:rsidRPr="007F5336">
        <w:rPr>
          <w:rFonts w:cs="Arial"/>
          <w:noProof/>
          <w:szCs w:val="22"/>
        </w:rPr>
        <w:t>A1</w:t>
      </w:r>
      <w:r w:rsidR="007F5336">
        <w:t xml:space="preserve"> </w:t>
      </w:r>
      <w:r w:rsidR="007F5336">
        <w:rPr>
          <w:noProof/>
        </w:rPr>
        <w:t>10:</w:t>
      </w:r>
      <w:r w:rsidR="007F5336" w:rsidRPr="00961331">
        <w:t xml:space="preserve"> </w:t>
      </w:r>
      <w:r w:rsidRPr="00961331">
        <w:rPr>
          <w:rFonts w:cs="Arial"/>
          <w:szCs w:val="22"/>
        </w:rPr>
        <w:fldChar w:fldCharType="end"/>
      </w:r>
      <w:r w:rsidRPr="00961331">
        <w:rPr>
          <w:rFonts w:cs="Arial"/>
          <w:szCs w:val="22"/>
        </w:rPr>
        <w:t xml:space="preserve"> shows the DIN mass variation over the six-colour class. To account for the error associated with each variable included in the DIN mass calculation, the 95%CI is calculated as two times the median absolute deviation </w:t>
      </w:r>
      <w:r w:rsidRPr="00961331">
        <w:rPr>
          <w:rFonts w:cs="Arial"/>
          <w:szCs w:val="22"/>
        </w:rPr>
        <w:fldChar w:fldCharType="begin"/>
      </w:r>
      <w:r w:rsidRPr="00961331">
        <w:rPr>
          <w:rFonts w:cs="Arial"/>
          <w:szCs w:val="22"/>
        </w:rPr>
        <w:instrText xml:space="preserve"> ADDIN ZOTERO_ITEM CSL_CITATION {"citationID":"13tic3a4po","properties":{"formattedCitation":"(Harding et al., 2014)","plainCitation":"(Harding et al., 2014)"},"citationItems":[{"id":245,"uris":["http://zotero.org/users/2324349/items/SRDAZAXZ"],"uri":["http://zotero.org/users/2324349/items/SRDAZAXZ"],"itemData":{"id":245,"type":"article-journal","title":"Standard errors: A review and evaluation of standard error estimators using Monte Carlo simulations.","container-title":"The Quantitative Methods for Phycology","page":"107-123","volume":"10","issue":"2","author":[{"family":"Harding","given":"Bradley"},{"family":"Tremblay","given":"Christophe"},{"family":"Cousineau","given":"Denis"}],"issued":{"date-parts":[["2014"]]}}}],"schema":"https://github.com/citation-style-language/schema/raw/master/csl-citation.json"} </w:instrText>
      </w:r>
      <w:r w:rsidRPr="00961331">
        <w:rPr>
          <w:rFonts w:cs="Arial"/>
          <w:szCs w:val="22"/>
        </w:rPr>
        <w:fldChar w:fldCharType="separate"/>
      </w:r>
      <w:r w:rsidRPr="00961331">
        <w:rPr>
          <w:rFonts w:cs="Arial"/>
          <w:szCs w:val="22"/>
        </w:rPr>
        <w:t>(Harding et al., 2014)</w:t>
      </w:r>
      <w:r w:rsidRPr="00961331">
        <w:rPr>
          <w:rFonts w:cs="Arial"/>
          <w:szCs w:val="22"/>
        </w:rPr>
        <w:fldChar w:fldCharType="end"/>
      </w:r>
      <w:r w:rsidRPr="00961331">
        <w:rPr>
          <w:rFonts w:cs="Arial"/>
          <w:szCs w:val="22"/>
        </w:rPr>
        <w:t xml:space="preserve"> for each set of data and then transferred to the DIN mass per colour class by using basic rules for error propagation.</w:t>
      </w:r>
    </w:p>
    <w:p w14:paraId="44943907" w14:textId="77777777" w:rsidR="00B66CC3" w:rsidRPr="00961331" w:rsidRDefault="00B66CC3" w:rsidP="00B66CC3">
      <w:pPr>
        <w:jc w:val="center"/>
        <w:rPr>
          <w:rFonts w:cs="Arial"/>
          <w:szCs w:val="22"/>
        </w:rPr>
      </w:pPr>
      <w:r w:rsidRPr="00B05E41">
        <w:rPr>
          <w:rFonts w:cs="Arial"/>
          <w:noProof/>
          <w:szCs w:val="22"/>
          <w:lang w:val="en-AU" w:eastAsia="en-AU"/>
        </w:rPr>
        <w:drawing>
          <wp:inline distT="0" distB="0" distL="0" distR="0" wp14:anchorId="716B842A" wp14:editId="48F85084">
            <wp:extent cx="4320000" cy="3555284"/>
            <wp:effectExtent l="0" t="0" r="4445" b="7620"/>
            <wp:docPr id="81" name="Picture 81" descr="Graph showing median DIN mass and percent contribution across the six-colour class. Error bars represent 95%CI " title="Figure A1 10: Median DIN mass and percent contribution across the six-colour class. Error bars represent 95%CI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4" cstate="print">
                      <a:extLst>
                        <a:ext uri="{28A0092B-C50C-407E-A947-70E740481C1C}">
                          <a14:useLocalDpi xmlns:a14="http://schemas.microsoft.com/office/drawing/2010/main" val="0"/>
                        </a:ext>
                      </a:extLst>
                    </a:blip>
                    <a:srcRect/>
                    <a:stretch>
                      <a:fillRect/>
                    </a:stretch>
                  </pic:blipFill>
                  <pic:spPr bwMode="auto">
                    <a:xfrm>
                      <a:off x="0" y="0"/>
                      <a:ext cx="4320000" cy="3555284"/>
                    </a:xfrm>
                    <a:prstGeom prst="rect">
                      <a:avLst/>
                    </a:prstGeom>
                    <a:noFill/>
                  </pic:spPr>
                </pic:pic>
              </a:graphicData>
            </a:graphic>
          </wp:inline>
        </w:drawing>
      </w:r>
    </w:p>
    <w:p w14:paraId="055C8D39" w14:textId="5C7C27D3" w:rsidR="00B66CC3" w:rsidRPr="00961331" w:rsidRDefault="00C65A97" w:rsidP="004A5BF7">
      <w:pPr>
        <w:pStyle w:val="Caption"/>
      </w:pPr>
      <w:bookmarkStart w:id="1582" w:name="_Ref449130587"/>
      <w:bookmarkStart w:id="1583" w:name="_Toc459332199"/>
      <w:bookmarkStart w:id="1584" w:name="_Toc461194307"/>
      <w:r>
        <w:t xml:space="preserve">Figure A1 </w:t>
      </w:r>
      <w:r>
        <w:fldChar w:fldCharType="begin"/>
      </w:r>
      <w:r>
        <w:instrText xml:space="preserve"> SEQ Figure_A1 \* ARABIC </w:instrText>
      </w:r>
      <w:r>
        <w:fldChar w:fldCharType="separate"/>
      </w:r>
      <w:r w:rsidR="007F5336">
        <w:rPr>
          <w:noProof/>
        </w:rPr>
        <w:t>10</w:t>
      </w:r>
      <w:r>
        <w:rPr>
          <w:noProof/>
        </w:rPr>
        <w:fldChar w:fldCharType="end"/>
      </w:r>
      <w:r>
        <w:rPr>
          <w:noProof/>
        </w:rPr>
        <w:t>:</w:t>
      </w:r>
      <w:r w:rsidRPr="00961331">
        <w:t xml:space="preserve"> </w:t>
      </w:r>
      <w:bookmarkEnd w:id="1582"/>
      <w:r w:rsidR="00B66CC3" w:rsidRPr="00961331">
        <w:t>Median DIN mass and percent contribution across the six-colour class. Error bars represent 95%CI (see text for explanation).</w:t>
      </w:r>
      <w:bookmarkEnd w:id="1583"/>
      <w:bookmarkEnd w:id="1584"/>
    </w:p>
    <w:p w14:paraId="4AA288B7" w14:textId="77777777" w:rsidR="00B66CC3" w:rsidRPr="00961331" w:rsidRDefault="00B66CC3" w:rsidP="00B66CC3">
      <w:pPr>
        <w:pStyle w:val="Figure"/>
        <w:rPr>
          <w:rFonts w:ascii="Arial" w:hAnsi="Arial" w:cs="Arial"/>
          <w:szCs w:val="22"/>
        </w:rPr>
      </w:pPr>
    </w:p>
    <w:p w14:paraId="5863B97C" w14:textId="24309920" w:rsidR="00B66CC3" w:rsidRPr="00961331" w:rsidRDefault="00B66CC3" w:rsidP="00B66CC3">
      <w:pPr>
        <w:rPr>
          <w:rFonts w:cs="Arial"/>
          <w:szCs w:val="22"/>
        </w:rPr>
      </w:pPr>
      <w:r w:rsidRPr="00961331">
        <w:rPr>
          <w:rFonts w:cs="Arial"/>
          <w:szCs w:val="22"/>
        </w:rPr>
        <w:t xml:space="preserve">Therefore, the values of 1 to 6 in the ocean colour plumes (raster file) are converted into DIN mass, as per </w:t>
      </w:r>
      <w:r w:rsidRPr="00961331">
        <w:rPr>
          <w:rFonts w:cs="Arial"/>
          <w:szCs w:val="22"/>
        </w:rPr>
        <w:fldChar w:fldCharType="begin"/>
      </w:r>
      <w:r w:rsidRPr="00961331">
        <w:rPr>
          <w:rFonts w:cs="Arial"/>
          <w:szCs w:val="22"/>
        </w:rPr>
        <w:instrText xml:space="preserve"> REF _Ref449130587 \h  \* MERGEFORMAT </w:instrText>
      </w:r>
      <w:r w:rsidRPr="00961331">
        <w:rPr>
          <w:rFonts w:cs="Arial"/>
          <w:szCs w:val="22"/>
        </w:rPr>
      </w:r>
      <w:r w:rsidRPr="00961331">
        <w:rPr>
          <w:rFonts w:cs="Arial"/>
          <w:szCs w:val="22"/>
        </w:rPr>
        <w:fldChar w:fldCharType="separate"/>
      </w:r>
      <w:r w:rsidR="007F5336" w:rsidRPr="007F5336">
        <w:rPr>
          <w:rFonts w:cs="Arial"/>
          <w:szCs w:val="22"/>
        </w:rPr>
        <w:t xml:space="preserve">Figure </w:t>
      </w:r>
      <w:r w:rsidR="007F5336" w:rsidRPr="007F5336">
        <w:rPr>
          <w:rFonts w:cs="Arial"/>
          <w:noProof/>
          <w:szCs w:val="22"/>
        </w:rPr>
        <w:t>A1</w:t>
      </w:r>
      <w:r w:rsidR="007F5336">
        <w:t xml:space="preserve"> </w:t>
      </w:r>
      <w:r w:rsidR="007F5336">
        <w:rPr>
          <w:noProof/>
        </w:rPr>
        <w:t>10:</w:t>
      </w:r>
      <w:r w:rsidR="007F5336" w:rsidRPr="00961331">
        <w:t xml:space="preserve"> </w:t>
      </w:r>
      <w:r w:rsidRPr="00961331">
        <w:rPr>
          <w:rFonts w:cs="Arial"/>
          <w:szCs w:val="22"/>
        </w:rPr>
        <w:fldChar w:fldCharType="end"/>
      </w:r>
      <w:r w:rsidRPr="00961331">
        <w:rPr>
          <w:rFonts w:cs="Arial"/>
          <w:szCs w:val="22"/>
        </w:rPr>
        <w:t>. Values of DIN mass are then normalized by dividing each cell-raster value by the sum of all the values in the raster. This resulted in an annual normalized DIN dispersion map (or DIN dispersion function, no unity) for each river, in which the sum of the cell-raster values is equal to one. Multiplying the load of each river by its respective DIN dispersion function, a map of mass dispersion is produced.</w:t>
      </w:r>
    </w:p>
    <w:p w14:paraId="04CF9E32" w14:textId="77777777" w:rsidR="00B66CC3" w:rsidRPr="00961331" w:rsidRDefault="00B66CC3" w:rsidP="00B66CC3">
      <w:pPr>
        <w:rPr>
          <w:rFonts w:cs="Arial"/>
          <w:szCs w:val="22"/>
        </w:rPr>
      </w:pPr>
    </w:p>
    <w:p w14:paraId="2BF496F8" w14:textId="77777777" w:rsidR="00B66CC3" w:rsidRPr="00961331" w:rsidRDefault="00B66CC3" w:rsidP="00B66CC3">
      <w:pPr>
        <w:rPr>
          <w:rFonts w:cs="Arial"/>
          <w:b/>
          <w:szCs w:val="22"/>
        </w:rPr>
      </w:pPr>
      <w:r w:rsidRPr="00961331">
        <w:rPr>
          <w:rFonts w:cs="Arial"/>
          <w:b/>
          <w:szCs w:val="22"/>
        </w:rPr>
        <w:t>(c) DIN decay function</w:t>
      </w:r>
    </w:p>
    <w:p w14:paraId="6150616A" w14:textId="31DC7EEE" w:rsidR="00B66CC3" w:rsidRPr="00961331" w:rsidRDefault="00B66CC3" w:rsidP="00B66CC3">
      <w:pPr>
        <w:rPr>
          <w:rFonts w:cs="Arial"/>
          <w:szCs w:val="22"/>
        </w:rPr>
      </w:pPr>
      <w:r w:rsidRPr="00961331">
        <w:rPr>
          <w:rFonts w:cs="Arial"/>
          <w:szCs w:val="22"/>
        </w:rPr>
        <w:t xml:space="preserve">To account for potential biological uptake of the DIN load discharged by rivers to the GBR lagoon, the variation of in-situ DIN concentration against salinity was compared to the theoretical variation of DIN due to the mixing process between freshwater and marine water. The best relationship between DIN concentration and salinity is presented </w:t>
      </w:r>
      <w:r w:rsidRPr="00C65A97">
        <w:rPr>
          <w:rFonts w:cs="Arial"/>
          <w:szCs w:val="22"/>
        </w:rPr>
        <w:t xml:space="preserve">in </w:t>
      </w:r>
      <w:r w:rsidRPr="00C65A97">
        <w:rPr>
          <w:rFonts w:cs="Arial"/>
          <w:szCs w:val="22"/>
        </w:rPr>
        <w:fldChar w:fldCharType="begin"/>
      </w:r>
      <w:r w:rsidRPr="00C65A97">
        <w:rPr>
          <w:rFonts w:cs="Arial"/>
          <w:szCs w:val="22"/>
        </w:rPr>
        <w:instrText xml:space="preserve"> REF _Ref449130853 \h  \* MERGEFORMAT </w:instrText>
      </w:r>
      <w:r w:rsidRPr="00C65A97">
        <w:rPr>
          <w:rFonts w:cs="Arial"/>
          <w:szCs w:val="22"/>
        </w:rPr>
      </w:r>
      <w:r w:rsidRPr="00C65A97">
        <w:rPr>
          <w:rFonts w:cs="Arial"/>
          <w:szCs w:val="22"/>
        </w:rPr>
        <w:fldChar w:fldCharType="separate"/>
      </w:r>
      <w:r w:rsidR="007F5336" w:rsidRPr="007F5336">
        <w:rPr>
          <w:rFonts w:cs="Arial"/>
          <w:szCs w:val="22"/>
        </w:rPr>
        <w:t xml:space="preserve">Figure </w:t>
      </w:r>
      <w:r w:rsidR="007F5336" w:rsidRPr="007F5336">
        <w:rPr>
          <w:rFonts w:cs="Arial"/>
          <w:noProof/>
          <w:szCs w:val="22"/>
        </w:rPr>
        <w:t>A1</w:t>
      </w:r>
      <w:r w:rsidR="007F5336">
        <w:t xml:space="preserve"> </w:t>
      </w:r>
      <w:r w:rsidR="007F5336">
        <w:rPr>
          <w:noProof/>
        </w:rPr>
        <w:t>11:</w:t>
      </w:r>
      <w:r w:rsidRPr="00C65A97">
        <w:rPr>
          <w:rFonts w:cs="Arial"/>
          <w:szCs w:val="22"/>
        </w:rPr>
        <w:fldChar w:fldCharType="end"/>
      </w:r>
      <w:r w:rsidRPr="00C65A97">
        <w:rPr>
          <w:rFonts w:cs="Arial"/>
          <w:szCs w:val="22"/>
        </w:rPr>
        <w:t>,</w:t>
      </w:r>
      <w:r w:rsidRPr="00961331">
        <w:rPr>
          <w:rFonts w:cs="Arial"/>
          <w:szCs w:val="22"/>
        </w:rPr>
        <w:t xml:space="preserve"> which shows an exponential DIN decay. </w:t>
      </w:r>
    </w:p>
    <w:p w14:paraId="63B5F79F" w14:textId="77777777" w:rsidR="00B66CC3" w:rsidRPr="00961331" w:rsidRDefault="00B66CC3" w:rsidP="00B66CC3">
      <w:pPr>
        <w:jc w:val="center"/>
        <w:rPr>
          <w:rFonts w:cs="Arial"/>
          <w:szCs w:val="22"/>
        </w:rPr>
      </w:pPr>
      <w:r w:rsidRPr="00B05E41">
        <w:rPr>
          <w:rFonts w:cs="Arial"/>
          <w:noProof/>
          <w:szCs w:val="22"/>
          <w:lang w:val="en-AU" w:eastAsia="en-AU"/>
        </w:rPr>
        <w:drawing>
          <wp:inline distT="0" distB="0" distL="0" distR="0" wp14:anchorId="35D9DDCB" wp14:editId="0989DA97">
            <wp:extent cx="4320000" cy="3365917"/>
            <wp:effectExtent l="0" t="0" r="4445" b="6350"/>
            <wp:docPr id="82" name="Picture 82" descr="Graph showing relationship between in-situ DIN concentration (µg/L) and salinity opportunistically measured at the surface in river plume waters over the GBR lagoon (2002-2003 to 2014-2015 wet season) under river discharge &gt; 75th percentile (see text for explanation)." title="Figure A1 11: Relationship between in-situ DIN concentration (µg/L) and salinity opportunistically measured at the surface in river plume waters over the GBR lagoon (2002-2003 to 2014-2015 wet season) under river discharge &gt; 75th percent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5">
                      <a:extLst>
                        <a:ext uri="{28A0092B-C50C-407E-A947-70E740481C1C}">
                          <a14:useLocalDpi xmlns:a14="http://schemas.microsoft.com/office/drawing/2010/main" val="0"/>
                        </a:ext>
                      </a:extLst>
                    </a:blip>
                    <a:srcRect/>
                    <a:stretch>
                      <a:fillRect/>
                    </a:stretch>
                  </pic:blipFill>
                  <pic:spPr bwMode="auto">
                    <a:xfrm>
                      <a:off x="0" y="0"/>
                      <a:ext cx="4320000" cy="3365917"/>
                    </a:xfrm>
                    <a:prstGeom prst="rect">
                      <a:avLst/>
                    </a:prstGeom>
                    <a:noFill/>
                  </pic:spPr>
                </pic:pic>
              </a:graphicData>
            </a:graphic>
          </wp:inline>
        </w:drawing>
      </w:r>
    </w:p>
    <w:p w14:paraId="56E97FFA" w14:textId="645B58FE" w:rsidR="00B66CC3" w:rsidRPr="00961331" w:rsidRDefault="00C65A97" w:rsidP="004A5BF7">
      <w:pPr>
        <w:pStyle w:val="Caption"/>
      </w:pPr>
      <w:bookmarkStart w:id="1585" w:name="_Ref449130853"/>
      <w:bookmarkStart w:id="1586" w:name="_Toc459332200"/>
      <w:bookmarkStart w:id="1587" w:name="_Toc461194308"/>
      <w:r>
        <w:t xml:space="preserve">Figure A1 </w:t>
      </w:r>
      <w:r>
        <w:fldChar w:fldCharType="begin"/>
      </w:r>
      <w:r>
        <w:instrText xml:space="preserve"> SEQ Figure_A1 \* ARABIC </w:instrText>
      </w:r>
      <w:r>
        <w:fldChar w:fldCharType="separate"/>
      </w:r>
      <w:r w:rsidR="007F5336">
        <w:rPr>
          <w:noProof/>
        </w:rPr>
        <w:t>11</w:t>
      </w:r>
      <w:r>
        <w:rPr>
          <w:noProof/>
        </w:rPr>
        <w:fldChar w:fldCharType="end"/>
      </w:r>
      <w:r>
        <w:rPr>
          <w:noProof/>
        </w:rPr>
        <w:t>:</w:t>
      </w:r>
      <w:bookmarkEnd w:id="1585"/>
      <w:r w:rsidR="00B66CC3" w:rsidRPr="00961331">
        <w:t xml:space="preserve"> Relationship between in-situ DIN concentration (µg/L) and salinity opportunistically measured at the surface in river plume waters over the GBR lagoon (2002-2003 to 2014-2015 wet season) under river discharge &gt; 75</w:t>
      </w:r>
      <w:r w:rsidR="00B66CC3" w:rsidRPr="00961331">
        <w:rPr>
          <w:vertAlign w:val="superscript"/>
        </w:rPr>
        <w:t>th</w:t>
      </w:r>
      <w:r w:rsidR="00B66CC3" w:rsidRPr="00961331">
        <w:t xml:space="preserve"> percentile (see text for explanation).</w:t>
      </w:r>
      <w:bookmarkEnd w:id="1586"/>
      <w:bookmarkEnd w:id="1587"/>
    </w:p>
    <w:p w14:paraId="56DF8544" w14:textId="77777777" w:rsidR="00B66CC3" w:rsidRPr="00961331" w:rsidRDefault="00B66CC3" w:rsidP="00B66CC3">
      <w:pPr>
        <w:rPr>
          <w:rFonts w:cs="Arial"/>
          <w:szCs w:val="22"/>
        </w:rPr>
      </w:pPr>
    </w:p>
    <w:p w14:paraId="58086DAC" w14:textId="77777777" w:rsidR="00B66CC3" w:rsidRPr="00961331" w:rsidRDefault="00B66CC3" w:rsidP="00B66CC3">
      <w:pPr>
        <w:rPr>
          <w:rFonts w:cs="Arial"/>
          <w:szCs w:val="22"/>
        </w:rPr>
      </w:pPr>
      <w:r w:rsidRPr="00961331">
        <w:rPr>
          <w:rFonts w:cs="Arial"/>
          <w:szCs w:val="22"/>
        </w:rPr>
        <w:t xml:space="preserve">The theoretical dilution model </w:t>
      </w:r>
      <w:r w:rsidRPr="00961331">
        <w:rPr>
          <w:rFonts w:cs="Arial"/>
          <w:szCs w:val="22"/>
        </w:rPr>
        <w:fldChar w:fldCharType="begin"/>
      </w:r>
      <w:r w:rsidRPr="00961331">
        <w:rPr>
          <w:rFonts w:cs="Arial"/>
          <w:szCs w:val="22"/>
        </w:rPr>
        <w:instrText xml:space="preserve"> ADDIN ZOTERO_ITEM CSL_CITATION {"citationID":"4wgBOe3I","properties":{"formattedCitation":"(Middelburg and Nieuwenhuize, 2001, Eq. 4)","plainCitation":"(Middelburg and Nieuwenhuize, 2001, Eq. 4)"},"citationItems":[{"id":254,"uris":["http://zotero.org/users/2324349/items/MZ3MHTR9"],"uri":["http://zotero.org/users/2324349/items/MZ3MHTR9"],"itemData":{"id":254,"type":"article-journal","title":"Nitrogen Isotope Tracing of Dissolved Inorganic Nitrogen Behaviour in Tidal Estuaries","container-title":"Estuarine, Coastal and Shelf Science","page":"385-391","volume":"53","issue":"3","DOI":"10.1006/ecss.2001.0805","ISSN":"0272-7714","author":[{"family":"Middelburg","given":"J."},{"family":"Nieuwenhuize","given":"J."}],"issued":{"date-parts":[["2001"]]}},"suffix":", Eq. 4"}],"schema":"https://github.com/citation-style-language/schema/raw/master/csl-citation.json"} </w:instrText>
      </w:r>
      <w:r w:rsidRPr="00961331">
        <w:rPr>
          <w:rFonts w:cs="Arial"/>
          <w:szCs w:val="22"/>
        </w:rPr>
        <w:fldChar w:fldCharType="separate"/>
      </w:r>
      <w:r w:rsidRPr="00961331">
        <w:rPr>
          <w:rFonts w:cs="Arial"/>
          <w:szCs w:val="22"/>
        </w:rPr>
        <w:t>(Middelburg and Nieuwenhuize, 2001, Eq. 4)</w:t>
      </w:r>
      <w:r w:rsidRPr="00961331">
        <w:rPr>
          <w:rFonts w:cs="Arial"/>
          <w:szCs w:val="22"/>
        </w:rPr>
        <w:fldChar w:fldCharType="end"/>
      </w:r>
      <w:r w:rsidRPr="00961331">
        <w:rPr>
          <w:rFonts w:cs="Arial"/>
          <w:szCs w:val="22"/>
        </w:rPr>
        <w:t xml:space="preserve"> is used to determine the potential DIN concentration at any salinity given the end-member DIN concentrations.</w:t>
      </w:r>
    </w:p>
    <w:p w14:paraId="566455DF" w14:textId="77777777" w:rsidR="00B66CC3" w:rsidRPr="00961331" w:rsidRDefault="00B66CC3" w:rsidP="00B66CC3">
      <w:pPr>
        <w:pStyle w:val="equation"/>
        <w:rPr>
          <w:rFonts w:ascii="Arial" w:hAnsi="Arial" w:cs="Arial"/>
          <w:sz w:val="22"/>
          <w:szCs w:val="22"/>
        </w:rPr>
      </w:pPr>
      <m:oMath>
        <m:r>
          <w:rPr>
            <w:rFonts w:cs="Arial"/>
            <w:sz w:val="22"/>
            <w:szCs w:val="22"/>
          </w:rPr>
          <m:t>DIN=f×</m:t>
        </m:r>
        <m:sSub>
          <m:sSubPr>
            <m:ctrlPr>
              <w:rPr>
                <w:rFonts w:cs="Arial"/>
                <w:sz w:val="22"/>
                <w:szCs w:val="22"/>
              </w:rPr>
            </m:ctrlPr>
          </m:sSubPr>
          <m:e>
            <m:r>
              <w:rPr>
                <w:rFonts w:cs="Arial"/>
                <w:sz w:val="22"/>
                <w:szCs w:val="22"/>
              </w:rPr>
              <m:t>DIN</m:t>
            </m:r>
          </m:e>
          <m:sub>
            <m:r>
              <w:rPr>
                <w:rFonts w:cs="Arial"/>
                <w:sz w:val="22"/>
                <w:szCs w:val="22"/>
              </w:rPr>
              <m:t>m</m:t>
            </m:r>
          </m:sub>
        </m:sSub>
        <m:r>
          <w:rPr>
            <w:rFonts w:cs="Arial"/>
            <w:sz w:val="22"/>
            <w:szCs w:val="22"/>
          </w:rPr>
          <m:t>+</m:t>
        </m:r>
        <m:d>
          <m:dPr>
            <m:ctrlPr>
              <w:rPr>
                <w:rFonts w:cs="Arial"/>
                <w:sz w:val="22"/>
                <w:szCs w:val="22"/>
              </w:rPr>
            </m:ctrlPr>
          </m:dPr>
          <m:e>
            <m:r>
              <w:rPr>
                <w:rFonts w:cs="Arial"/>
                <w:sz w:val="22"/>
                <w:szCs w:val="22"/>
              </w:rPr>
              <m:t>1-f</m:t>
            </m:r>
          </m:e>
        </m:d>
        <m:r>
          <w:rPr>
            <w:rFonts w:cs="Arial"/>
            <w:sz w:val="22"/>
            <w:szCs w:val="22"/>
          </w:rPr>
          <m:t>×</m:t>
        </m:r>
        <m:sSub>
          <m:sSubPr>
            <m:ctrlPr>
              <w:rPr>
                <w:rFonts w:cs="Arial"/>
                <w:sz w:val="22"/>
                <w:szCs w:val="22"/>
              </w:rPr>
            </m:ctrlPr>
          </m:sSubPr>
          <m:e>
            <m:r>
              <w:rPr>
                <w:rFonts w:cs="Arial"/>
                <w:sz w:val="22"/>
                <w:szCs w:val="22"/>
              </w:rPr>
              <m:t>DIN</m:t>
            </m:r>
          </m:e>
          <m:sub>
            <m:r>
              <w:rPr>
                <w:rFonts w:cs="Arial"/>
                <w:sz w:val="22"/>
                <w:szCs w:val="22"/>
              </w:rPr>
              <m:t>r</m:t>
            </m:r>
          </m:sub>
        </m:sSub>
      </m:oMath>
      <w:r w:rsidRPr="00961331">
        <w:rPr>
          <w:rFonts w:ascii="Arial" w:hAnsi="Arial" w:cs="Arial"/>
          <w:sz w:val="22"/>
          <w:szCs w:val="22"/>
        </w:rPr>
        <w:t xml:space="preserve"> </w:t>
      </w:r>
      <w:r w:rsidRPr="00961331">
        <w:rPr>
          <w:rFonts w:ascii="Arial" w:hAnsi="Arial" w:cs="Arial"/>
          <w:i w:val="0"/>
          <w:sz w:val="22"/>
          <w:szCs w:val="22"/>
        </w:rPr>
        <w:t>,</w:t>
      </w:r>
      <w:r w:rsidRPr="00961331">
        <w:rPr>
          <w:rFonts w:ascii="Arial" w:hAnsi="Arial" w:cs="Arial"/>
          <w:i w:val="0"/>
          <w:sz w:val="22"/>
          <w:szCs w:val="22"/>
        </w:rPr>
        <w:tab/>
        <w:t>(Eq. 4)</w:t>
      </w:r>
    </w:p>
    <w:p w14:paraId="623F258D" w14:textId="77777777" w:rsidR="00B66CC3" w:rsidRPr="00961331" w:rsidRDefault="00B66CC3" w:rsidP="00B66CC3">
      <w:pPr>
        <w:rPr>
          <w:rFonts w:cs="Arial"/>
          <w:szCs w:val="22"/>
        </w:rPr>
      </w:pPr>
      <w:r w:rsidRPr="00961331">
        <w:rPr>
          <w:rFonts w:cs="Arial"/>
          <w:szCs w:val="22"/>
        </w:rPr>
        <w:t xml:space="preserve">where </w:t>
      </w:r>
      <w:r w:rsidRPr="00961331">
        <w:rPr>
          <w:rFonts w:cs="Arial"/>
          <w:i/>
          <w:szCs w:val="22"/>
        </w:rPr>
        <w:t>DIN</w:t>
      </w:r>
      <w:r w:rsidRPr="00961331">
        <w:rPr>
          <w:rFonts w:cs="Arial"/>
          <w:i/>
          <w:szCs w:val="22"/>
          <w:vertAlign w:val="subscript"/>
        </w:rPr>
        <w:t>m</w:t>
      </w:r>
      <w:r w:rsidRPr="00961331">
        <w:rPr>
          <w:rFonts w:cs="Arial"/>
          <w:szCs w:val="22"/>
        </w:rPr>
        <w:t xml:space="preserve"> and </w:t>
      </w:r>
      <w:r w:rsidRPr="00961331">
        <w:rPr>
          <w:rFonts w:cs="Arial"/>
          <w:i/>
          <w:szCs w:val="22"/>
        </w:rPr>
        <w:t>DIN</w:t>
      </w:r>
      <w:r w:rsidRPr="00961331">
        <w:rPr>
          <w:rFonts w:cs="Arial"/>
          <w:i/>
          <w:szCs w:val="22"/>
          <w:vertAlign w:val="subscript"/>
        </w:rPr>
        <w:t>r</w:t>
      </w:r>
      <w:r w:rsidRPr="00961331">
        <w:rPr>
          <w:rFonts w:cs="Arial"/>
          <w:szCs w:val="22"/>
        </w:rPr>
        <w:t xml:space="preserve"> are the in-situ DIN concentrations in the marine water (at salinity 36, to be consistent with plume area definition) and at the river mouth (salinity 0), respectively. And </w:t>
      </w:r>
      <w:r w:rsidRPr="00961331">
        <w:rPr>
          <w:rFonts w:cs="Arial"/>
          <w:i/>
          <w:szCs w:val="22"/>
        </w:rPr>
        <w:t>f</w:t>
      </w:r>
      <w:r w:rsidRPr="00961331">
        <w:rPr>
          <w:rFonts w:cs="Arial"/>
          <w:szCs w:val="22"/>
        </w:rPr>
        <w:t xml:space="preserve"> is the marine water fraction, which is calculated as:</w:t>
      </w:r>
    </w:p>
    <w:p w14:paraId="2B906E63" w14:textId="77777777" w:rsidR="00B66CC3" w:rsidRPr="00961331" w:rsidRDefault="00B66CC3" w:rsidP="00B66CC3">
      <w:pPr>
        <w:pStyle w:val="equation"/>
        <w:rPr>
          <w:rFonts w:ascii="Arial" w:hAnsi="Arial" w:cs="Arial"/>
          <w:sz w:val="22"/>
          <w:szCs w:val="22"/>
        </w:rPr>
      </w:pPr>
      <m:oMath>
        <m:r>
          <w:rPr>
            <w:rFonts w:cs="Arial"/>
            <w:sz w:val="22"/>
            <w:szCs w:val="22"/>
          </w:rPr>
          <m:t>f=</m:t>
        </m:r>
        <m:f>
          <m:fPr>
            <m:ctrlPr>
              <w:rPr>
                <w:rFonts w:cs="Arial"/>
                <w:sz w:val="22"/>
                <w:szCs w:val="22"/>
              </w:rPr>
            </m:ctrlPr>
          </m:fPr>
          <m:num>
            <m:r>
              <w:rPr>
                <w:rFonts w:cs="Arial"/>
                <w:sz w:val="22"/>
                <w:szCs w:val="22"/>
              </w:rPr>
              <m:t>S-</m:t>
            </m:r>
            <m:sSub>
              <m:sSubPr>
                <m:ctrlPr>
                  <w:rPr>
                    <w:rFonts w:cs="Arial"/>
                    <w:sz w:val="22"/>
                    <w:szCs w:val="22"/>
                  </w:rPr>
                </m:ctrlPr>
              </m:sSubPr>
              <m:e>
                <m:r>
                  <w:rPr>
                    <w:rFonts w:cs="Arial"/>
                    <w:sz w:val="22"/>
                    <w:szCs w:val="22"/>
                  </w:rPr>
                  <m:t>S</m:t>
                </m:r>
              </m:e>
              <m:sub>
                <m:r>
                  <w:rPr>
                    <w:rFonts w:cs="Arial"/>
                    <w:sz w:val="22"/>
                    <w:szCs w:val="22"/>
                  </w:rPr>
                  <m:t>r</m:t>
                </m:r>
              </m:sub>
            </m:sSub>
          </m:num>
          <m:den>
            <m:sSub>
              <m:sSubPr>
                <m:ctrlPr>
                  <w:rPr>
                    <w:rFonts w:cs="Arial"/>
                    <w:sz w:val="22"/>
                    <w:szCs w:val="22"/>
                  </w:rPr>
                </m:ctrlPr>
              </m:sSubPr>
              <m:e>
                <m:r>
                  <w:rPr>
                    <w:rFonts w:cs="Arial"/>
                    <w:sz w:val="22"/>
                    <w:szCs w:val="22"/>
                  </w:rPr>
                  <m:t>S</m:t>
                </m:r>
              </m:e>
              <m:sub>
                <m:r>
                  <w:rPr>
                    <w:rFonts w:cs="Arial"/>
                    <w:sz w:val="22"/>
                    <w:szCs w:val="22"/>
                  </w:rPr>
                  <m:t>m</m:t>
                </m:r>
              </m:sub>
            </m:sSub>
            <m:r>
              <w:rPr>
                <w:rFonts w:cs="Arial"/>
                <w:sz w:val="22"/>
                <w:szCs w:val="22"/>
              </w:rPr>
              <m:t>-</m:t>
            </m:r>
            <m:sSub>
              <m:sSubPr>
                <m:ctrlPr>
                  <w:rPr>
                    <w:rFonts w:cs="Arial"/>
                    <w:sz w:val="22"/>
                    <w:szCs w:val="22"/>
                  </w:rPr>
                </m:ctrlPr>
              </m:sSubPr>
              <m:e>
                <m:r>
                  <w:rPr>
                    <w:rFonts w:cs="Arial"/>
                    <w:sz w:val="22"/>
                    <w:szCs w:val="22"/>
                  </w:rPr>
                  <m:t>S</m:t>
                </m:r>
              </m:e>
              <m:sub>
                <m:r>
                  <w:rPr>
                    <w:rFonts w:cs="Arial"/>
                    <w:sz w:val="22"/>
                    <w:szCs w:val="22"/>
                  </w:rPr>
                  <m:t>r</m:t>
                </m:r>
              </m:sub>
            </m:sSub>
          </m:den>
        </m:f>
      </m:oMath>
      <w:r w:rsidRPr="00961331">
        <w:rPr>
          <w:rFonts w:ascii="Arial" w:hAnsi="Arial" w:cs="Arial"/>
          <w:sz w:val="22"/>
          <w:szCs w:val="22"/>
        </w:rPr>
        <w:t xml:space="preserve"> </w:t>
      </w:r>
      <w:r w:rsidRPr="00961331">
        <w:rPr>
          <w:rFonts w:ascii="Arial" w:hAnsi="Arial" w:cs="Arial"/>
          <w:i w:val="0"/>
          <w:sz w:val="22"/>
          <w:szCs w:val="22"/>
        </w:rPr>
        <w:t>,</w:t>
      </w:r>
      <w:r w:rsidRPr="00961331">
        <w:rPr>
          <w:rFonts w:ascii="Arial" w:hAnsi="Arial" w:cs="Arial"/>
          <w:i w:val="0"/>
          <w:sz w:val="22"/>
          <w:szCs w:val="22"/>
        </w:rPr>
        <w:tab/>
        <w:t>(Eq. 5)</w:t>
      </w:r>
    </w:p>
    <w:p w14:paraId="5EE78F79" w14:textId="77777777" w:rsidR="00B66CC3" w:rsidRPr="00961331" w:rsidRDefault="00B66CC3" w:rsidP="00B66CC3">
      <w:pPr>
        <w:rPr>
          <w:rFonts w:cs="Arial"/>
          <w:szCs w:val="22"/>
        </w:rPr>
      </w:pPr>
      <w:r w:rsidRPr="00961331">
        <w:rPr>
          <w:rFonts w:cs="Arial"/>
          <w:szCs w:val="22"/>
        </w:rPr>
        <w:t xml:space="preserve">where </w:t>
      </w:r>
      <w:r w:rsidRPr="00961331">
        <w:rPr>
          <w:rFonts w:cs="Arial"/>
          <w:i/>
          <w:szCs w:val="22"/>
        </w:rPr>
        <w:t>S</w:t>
      </w:r>
      <w:r w:rsidRPr="00961331">
        <w:rPr>
          <w:rFonts w:cs="Arial"/>
          <w:szCs w:val="22"/>
        </w:rPr>
        <w:t xml:space="preserve"> is the sample salinity, </w:t>
      </w:r>
      <w:r w:rsidRPr="00961331">
        <w:rPr>
          <w:rFonts w:cs="Arial"/>
          <w:i/>
          <w:szCs w:val="22"/>
        </w:rPr>
        <w:t>S</w:t>
      </w:r>
      <w:r w:rsidRPr="00961331">
        <w:rPr>
          <w:rFonts w:cs="Arial"/>
          <w:i/>
          <w:szCs w:val="22"/>
          <w:vertAlign w:val="subscript"/>
        </w:rPr>
        <w:t>m</w:t>
      </w:r>
      <w:r w:rsidRPr="00961331">
        <w:rPr>
          <w:rFonts w:cs="Arial"/>
          <w:szCs w:val="22"/>
        </w:rPr>
        <w:t xml:space="preserve"> stands for the marine salinity (i.e., 36) and </w:t>
      </w:r>
      <w:r w:rsidRPr="00961331">
        <w:rPr>
          <w:rFonts w:cs="Arial"/>
          <w:i/>
          <w:szCs w:val="22"/>
        </w:rPr>
        <w:t>S</w:t>
      </w:r>
      <w:r w:rsidRPr="00961331">
        <w:rPr>
          <w:rFonts w:cs="Arial"/>
          <w:i/>
          <w:szCs w:val="22"/>
          <w:vertAlign w:val="subscript"/>
        </w:rPr>
        <w:t>r</w:t>
      </w:r>
      <w:r w:rsidRPr="00961331">
        <w:rPr>
          <w:rFonts w:cs="Arial"/>
          <w:szCs w:val="22"/>
        </w:rPr>
        <w:t xml:space="preserve"> the river mouth salinity (i.e., 0). </w:t>
      </w:r>
    </w:p>
    <w:p w14:paraId="7478080B" w14:textId="3FE9A7CC" w:rsidR="00B66CC3" w:rsidRPr="00961331" w:rsidRDefault="00B66CC3" w:rsidP="00B66CC3">
      <w:pPr>
        <w:rPr>
          <w:rFonts w:cs="Arial"/>
          <w:szCs w:val="22"/>
        </w:rPr>
      </w:pPr>
      <w:r w:rsidRPr="00961331">
        <w:rPr>
          <w:rFonts w:cs="Arial"/>
          <w:szCs w:val="22"/>
        </w:rPr>
        <w:t xml:space="preserve">For this theoretical model, a steady-state was assumed, which might not be the case for river plumes, but represents a first approach to include DIN uptake in this model. In </w:t>
      </w:r>
      <w:r w:rsidRPr="00961331">
        <w:rPr>
          <w:rFonts w:cs="Arial"/>
          <w:szCs w:val="22"/>
        </w:rPr>
        <w:fldChar w:fldCharType="begin"/>
      </w:r>
      <w:r w:rsidRPr="00961331">
        <w:rPr>
          <w:rFonts w:cs="Arial"/>
          <w:szCs w:val="22"/>
        </w:rPr>
        <w:instrText xml:space="preserve"> REF _Ref449131185 \h  \* MERGEFORMAT </w:instrText>
      </w:r>
      <w:r w:rsidRPr="00961331">
        <w:rPr>
          <w:rFonts w:cs="Arial"/>
          <w:szCs w:val="22"/>
        </w:rPr>
      </w:r>
      <w:r w:rsidRPr="00961331">
        <w:rPr>
          <w:rFonts w:cs="Arial"/>
          <w:szCs w:val="22"/>
        </w:rPr>
        <w:fldChar w:fldCharType="separate"/>
      </w:r>
      <w:r w:rsidR="007F5336" w:rsidRPr="007F5336">
        <w:rPr>
          <w:rFonts w:cs="Arial"/>
          <w:szCs w:val="22"/>
        </w:rPr>
        <w:t xml:space="preserve">Figure </w:t>
      </w:r>
      <w:r w:rsidR="007F5336" w:rsidRPr="007F5336">
        <w:rPr>
          <w:rFonts w:cs="Arial"/>
          <w:noProof/>
          <w:szCs w:val="22"/>
        </w:rPr>
        <w:t>A1</w:t>
      </w:r>
      <w:r w:rsidR="007F5336">
        <w:t xml:space="preserve"> </w:t>
      </w:r>
      <w:r w:rsidR="007F5336">
        <w:rPr>
          <w:noProof/>
        </w:rPr>
        <w:t xml:space="preserve">12: </w:t>
      </w:r>
      <w:r w:rsidRPr="00961331">
        <w:rPr>
          <w:rFonts w:cs="Arial"/>
          <w:szCs w:val="22"/>
        </w:rPr>
        <w:fldChar w:fldCharType="end"/>
      </w:r>
      <w:r w:rsidRPr="00961331">
        <w:rPr>
          <w:rFonts w:cs="Arial"/>
          <w:szCs w:val="22"/>
        </w:rPr>
        <w:t xml:space="preserve"> both models are plotted together, and the ratio between them is associated to a potential DIN uptake (red line). The DIN uptake function reduces the DIN load dispersed over the GBR as a multiplicative coefficient, c.a., </w:t>
      </w:r>
      <w:r w:rsidRPr="00961331">
        <w:rPr>
          <w:rFonts w:cs="Arial"/>
          <w:i/>
          <w:szCs w:val="22"/>
        </w:rPr>
        <w:t>1 - Potential DIN uptake</w:t>
      </w:r>
      <w:r w:rsidRPr="00961331">
        <w:rPr>
          <w:rFonts w:cs="Arial"/>
          <w:szCs w:val="22"/>
        </w:rPr>
        <w:t>.</w:t>
      </w:r>
    </w:p>
    <w:p w14:paraId="3BD98E33" w14:textId="77777777" w:rsidR="00B66CC3" w:rsidRPr="00961331" w:rsidRDefault="00B66CC3" w:rsidP="00B66CC3">
      <w:pPr>
        <w:jc w:val="center"/>
        <w:rPr>
          <w:rFonts w:cs="Arial"/>
          <w:szCs w:val="22"/>
        </w:rPr>
      </w:pPr>
      <w:r w:rsidRPr="00B05E41">
        <w:rPr>
          <w:rFonts w:cs="Arial"/>
          <w:noProof/>
          <w:szCs w:val="22"/>
          <w:lang w:val="en-AU" w:eastAsia="en-AU"/>
        </w:rPr>
        <w:drawing>
          <wp:inline distT="0" distB="0" distL="0" distR="0" wp14:anchorId="68230FBE" wp14:editId="21D63472">
            <wp:extent cx="4320000" cy="3026694"/>
            <wp:effectExtent l="0" t="0" r="4445" b="2540"/>
            <wp:docPr id="83" name="Picture 83" descr="Graph showing potential DIN uptake (red line) derived from the ratio between in-situ DIN concentration x salinity (black solid line, as in Figure A1 11:) and the theoretical dilution model (black dashed line, derived from Eq. 4)." title="Figure A1 12: Potential DIN uptake (red line) derived from the ratio between in-situ DIN concentration x salinity (black solid line, as in Figure A1 11:) and the theoretical dilution model (black dashed line, derived from Eq.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6">
                      <a:extLst>
                        <a:ext uri="{28A0092B-C50C-407E-A947-70E740481C1C}">
                          <a14:useLocalDpi xmlns:a14="http://schemas.microsoft.com/office/drawing/2010/main" val="0"/>
                        </a:ext>
                      </a:extLst>
                    </a:blip>
                    <a:srcRect/>
                    <a:stretch>
                      <a:fillRect/>
                    </a:stretch>
                  </pic:blipFill>
                  <pic:spPr bwMode="auto">
                    <a:xfrm>
                      <a:off x="0" y="0"/>
                      <a:ext cx="4320000" cy="3026694"/>
                    </a:xfrm>
                    <a:prstGeom prst="rect">
                      <a:avLst/>
                    </a:prstGeom>
                    <a:noFill/>
                  </pic:spPr>
                </pic:pic>
              </a:graphicData>
            </a:graphic>
          </wp:inline>
        </w:drawing>
      </w:r>
    </w:p>
    <w:p w14:paraId="24310C47" w14:textId="124E1C32" w:rsidR="00B66CC3" w:rsidRPr="00961331" w:rsidRDefault="00C65A97" w:rsidP="004A5BF7">
      <w:pPr>
        <w:pStyle w:val="Caption"/>
      </w:pPr>
      <w:bookmarkStart w:id="1588" w:name="_Ref449131185"/>
      <w:bookmarkStart w:id="1589" w:name="_Toc459332201"/>
      <w:bookmarkStart w:id="1590" w:name="_Toc461194309"/>
      <w:r>
        <w:t xml:space="preserve">Figure A1 </w:t>
      </w:r>
      <w:r>
        <w:fldChar w:fldCharType="begin"/>
      </w:r>
      <w:r>
        <w:instrText xml:space="preserve"> SEQ Figure_A1 \* ARABIC </w:instrText>
      </w:r>
      <w:r>
        <w:fldChar w:fldCharType="separate"/>
      </w:r>
      <w:r w:rsidR="007F5336">
        <w:rPr>
          <w:noProof/>
        </w:rPr>
        <w:t>12</w:t>
      </w:r>
      <w:r>
        <w:rPr>
          <w:noProof/>
        </w:rPr>
        <w:fldChar w:fldCharType="end"/>
      </w:r>
      <w:r>
        <w:rPr>
          <w:noProof/>
        </w:rPr>
        <w:t xml:space="preserve">: </w:t>
      </w:r>
      <w:bookmarkEnd w:id="1588"/>
      <w:r w:rsidR="00B66CC3" w:rsidRPr="00961331">
        <w:t xml:space="preserve">Potential DIN uptake (red line) derived from the ratio between in-situ DIN concentration x salinity (black solid line, as in </w:t>
      </w:r>
      <w:r w:rsidR="00B66CC3" w:rsidRPr="00961331">
        <w:fldChar w:fldCharType="begin"/>
      </w:r>
      <w:r w:rsidR="00B66CC3" w:rsidRPr="00961331">
        <w:instrText xml:space="preserve"> REF _Ref449130853 \h  \* MERGEFORMAT </w:instrText>
      </w:r>
      <w:r w:rsidR="00B66CC3" w:rsidRPr="00961331">
        <w:fldChar w:fldCharType="separate"/>
      </w:r>
      <w:r w:rsidR="007F5336">
        <w:t xml:space="preserve">Figure </w:t>
      </w:r>
      <w:r w:rsidR="007F5336">
        <w:rPr>
          <w:noProof/>
        </w:rPr>
        <w:t>A1</w:t>
      </w:r>
      <w:r w:rsidR="007F5336">
        <w:t xml:space="preserve"> </w:t>
      </w:r>
      <w:r w:rsidR="007F5336">
        <w:rPr>
          <w:noProof/>
        </w:rPr>
        <w:t>11:</w:t>
      </w:r>
      <w:r w:rsidR="00B66CC3" w:rsidRPr="00961331">
        <w:fldChar w:fldCharType="end"/>
      </w:r>
      <w:r w:rsidR="00B66CC3" w:rsidRPr="00961331">
        <w:t>) and the theoretical dilution model (black dashed line, derived from Eq. 4).</w:t>
      </w:r>
      <w:bookmarkEnd w:id="1589"/>
      <w:bookmarkEnd w:id="1590"/>
    </w:p>
    <w:p w14:paraId="08B0B9CB" w14:textId="77777777" w:rsidR="00B66CC3" w:rsidRPr="00961331" w:rsidRDefault="00B66CC3" w:rsidP="00B66CC3">
      <w:pPr>
        <w:rPr>
          <w:rFonts w:cs="Arial"/>
          <w:szCs w:val="22"/>
        </w:rPr>
      </w:pPr>
    </w:p>
    <w:p w14:paraId="30543B8A" w14:textId="77777777" w:rsidR="00B66CC3" w:rsidRPr="00961331" w:rsidRDefault="00B66CC3" w:rsidP="00B66CC3">
      <w:pPr>
        <w:rPr>
          <w:rFonts w:cs="Arial"/>
          <w:b/>
          <w:szCs w:val="22"/>
        </w:rPr>
      </w:pPr>
      <w:r w:rsidRPr="00961331">
        <w:rPr>
          <w:rFonts w:cs="Arial"/>
          <w:b/>
          <w:szCs w:val="22"/>
        </w:rPr>
        <w:t>(d) Mapping of DIN concentration over the GBR lagoon</w:t>
      </w:r>
    </w:p>
    <w:p w14:paraId="2A7CE597" w14:textId="77777777" w:rsidR="00B66CC3" w:rsidRPr="00961331" w:rsidRDefault="00B66CC3" w:rsidP="00B66CC3">
      <w:pPr>
        <w:rPr>
          <w:rFonts w:cs="Arial"/>
          <w:szCs w:val="22"/>
        </w:rPr>
      </w:pPr>
      <w:r w:rsidRPr="00961331">
        <w:rPr>
          <w:rFonts w:cs="Arial"/>
          <w:szCs w:val="22"/>
        </w:rPr>
        <w:t>Using the maps of mass dispersion and accounting for the cell-raster size and the depth of the mixing layer for each colour class, a map for the spatial DIN concentration is constructed. DIN concentration maps are calculated for each river per year, and annual composite maps are produced by the sum of all river DIN concentration maps within each year.</w:t>
      </w:r>
    </w:p>
    <w:p w14:paraId="14809E23" w14:textId="6B8CFC24" w:rsidR="00B66CC3" w:rsidRPr="00961331" w:rsidRDefault="00B66CC3" w:rsidP="00B66CC3">
      <w:pPr>
        <w:rPr>
          <w:rFonts w:cs="Arial"/>
          <w:szCs w:val="22"/>
        </w:rPr>
      </w:pPr>
      <w:r w:rsidRPr="00961331">
        <w:rPr>
          <w:rFonts w:cs="Arial"/>
          <w:szCs w:val="22"/>
        </w:rPr>
        <w:t xml:space="preserve">In this report, we use modelled annual DIN loads for rivers along the GBR. The modelled loads are generated in Lewis et al. </w:t>
      </w:r>
      <w:r w:rsidRPr="00961331">
        <w:rPr>
          <w:rFonts w:cs="Arial"/>
          <w:szCs w:val="22"/>
        </w:rPr>
        <w:fldChar w:fldCharType="begin"/>
      </w:r>
      <w:r w:rsidRPr="00961331">
        <w:rPr>
          <w:rFonts w:cs="Arial"/>
          <w:szCs w:val="22"/>
        </w:rPr>
        <w:instrText xml:space="preserve"> ADDIN ZOTERO_ITEM CSL_CITATION {"citationID":"qc3011jk9","properties":{"formattedCitation":"(2014)","plainCitation":"(2014)"},"citationItems":[{"id":121,"uris":["http://zotero.org/users/2324349/items/QBWCUFJF"],"uri":["http://zotero.org/users/2324349/items/QBWCUFJF"],"itemData":{"id":121,"type":"report","title":"Synthesizing historical land use change, fertiliser and pesticide usage and pollutant load data in the regulated catchments to quantify baseline and changing loads exported to the Great Barrier Reef.","collection-title":"TropWATER Report","publisher":"James Cook University","publisher-place":"Townsville, AU","page":"105","event-place":"Townsville, AU","number":"14/2014","author":[{"family":"Lewis","given":"S. E."},{"family":"Brodie","given":"J. E."},{"family":"Endo","given":"G."},{"family":"Lough","given":"J."},{"family":"Furnas","given":"M."},{"family":"Bainbridge","given":"Z. T."}],"issued":{"date-parts":[["2014"]]}},"suppress-author":true}],"schema":"https://github.com/citation-style-language/schema/raw/master/csl-citation.json"} </w:instrText>
      </w:r>
      <w:r w:rsidRPr="00961331">
        <w:rPr>
          <w:rFonts w:cs="Arial"/>
          <w:szCs w:val="22"/>
        </w:rPr>
        <w:fldChar w:fldCharType="separate"/>
      </w:r>
      <w:r w:rsidRPr="00961331">
        <w:rPr>
          <w:rFonts w:cs="Arial"/>
          <w:szCs w:val="22"/>
        </w:rPr>
        <w:t>(2014)</w:t>
      </w:r>
      <w:r w:rsidRPr="00961331">
        <w:rPr>
          <w:rFonts w:cs="Arial"/>
          <w:szCs w:val="22"/>
        </w:rPr>
        <w:fldChar w:fldCharType="end"/>
      </w:r>
      <w:r w:rsidRPr="00961331">
        <w:rPr>
          <w:rFonts w:cs="Arial"/>
          <w:szCs w:val="22"/>
        </w:rPr>
        <w:t xml:space="preserve"> for catchments of the Wet Tropics, Burdekin and Mackay Whitsunday Natural Resource Management (NRM) regions. Briefly, modelled DIN loads are calculated using existing load monitoring data to develop a relationship between the measured loads with flow volumes (at river monitoring sites) and amount of fertilizer applied to calculate the percentage of applied nitrogen fertiliser lost as DIN. This relationship is then applied to upscale loads for the entire catchment area. DIN loads for the Fitzroy River have been calculated based on available monitoring data from </w:t>
      </w:r>
      <w:r w:rsidRPr="00961331">
        <w:rPr>
          <w:rFonts w:cs="Arial"/>
          <w:szCs w:val="22"/>
        </w:rPr>
        <w:fldChar w:fldCharType="begin"/>
      </w:r>
      <w:r w:rsidRPr="00961331">
        <w:rPr>
          <w:rFonts w:cs="Arial"/>
          <w:szCs w:val="22"/>
        </w:rPr>
        <w:instrText xml:space="preserve"> ADDIN ZOTERO_ITEM CSL_CITATION {"citationID":"gknl2hbb6","properties":{"formattedCitation":"(Packett et al., 2009)","plainCitation":"(Packett et al., 2009)"},"citationItems":[{"id":159,"uris":["http://zotero.org/users/2324349/items/K66NSRJZ"],"uri":["http://zotero.org/users/2324349/items/K66NSRJZ"],"itemData":{"id":159,"type":"article-journal","title":"Agricultural lands are hot-spots for annual runoff polluting the southern Great Barrier Reef lagoon","container-title":"Marine Pollution Bulletin","page":"976-986","volume":"58","issue":"7","source":"ScienceDirect","abstract":"The world’s largest coral reef ecosystem, the Great Barrier Reef (GBR), continues to be degraded from land-based pollution. Information about the source of pollutants is critical for catchment management to improve GBR water quality. We report here on an 11-year source to sea study of pollutant delivery in runoff from the Fitzroy River Basin (FRB), the largest GBR catchment. An innovative technique that relates land use to pollutant generation is presented. Study results indicate that maximum pollutant concentrations at basin and sub-catchment scales are closely related to the percentage area of croplands receiving heavy rain. However, grazing lands contribute the majority of the long-term average annual load of most common pollutants. Findings suggest improved land management targets, rather than water quality targets should be implemented to reduce GBR pollution. This study provides a substantial contribution to the knowledge base for the targeted management of pollution ‘hot-spots’ to improve GBR water quality.","DOI":"10.1016/j.marpolbul.2009.02.017","ISSN":"0025-326X","journalAbbreviation":"Marine Pollution Bulletin","author":[{"family":"Packett","given":"Robert"},{"family":"Dougall","given":"Cameron"},{"family":"Rohde","given":"Ken"},{"family":"Noble","given":"Robert"}],"issued":{"date-parts":[["2009",7]]}}}],"schema":"https://github.com/citation-style-language/schema/raw/master/csl-citation.json"} </w:instrText>
      </w:r>
      <w:r w:rsidRPr="00961331">
        <w:rPr>
          <w:rFonts w:cs="Arial"/>
          <w:szCs w:val="22"/>
        </w:rPr>
        <w:fldChar w:fldCharType="separate"/>
      </w:r>
      <w:r w:rsidRPr="00961331">
        <w:rPr>
          <w:rFonts w:cs="Arial"/>
          <w:szCs w:val="22"/>
        </w:rPr>
        <w:t>(Packett et al., 2009)</w:t>
      </w:r>
      <w:r w:rsidRPr="00961331">
        <w:rPr>
          <w:rFonts w:cs="Arial"/>
          <w:szCs w:val="22"/>
        </w:rPr>
        <w:fldChar w:fldCharType="end"/>
      </w:r>
      <w:r w:rsidRPr="00961331">
        <w:rPr>
          <w:rFonts w:cs="Arial"/>
          <w:szCs w:val="22"/>
        </w:rPr>
        <w:t xml:space="preserve"> and AIMS (unpublished data) for the period 2002/03 to 2005/06 and for the 2006/07 to 2012/15 period we used the loads reported by the GBR Catchment Loads Monitoring Program </w:t>
      </w:r>
      <w:r w:rsidRPr="00961331">
        <w:rPr>
          <w:rFonts w:cs="Arial"/>
          <w:szCs w:val="22"/>
        </w:rPr>
        <w:fldChar w:fldCharType="begin"/>
      </w:r>
      <w:r w:rsidRPr="00961331">
        <w:rPr>
          <w:rFonts w:cs="Arial"/>
          <w:szCs w:val="22"/>
        </w:rPr>
        <w:instrText xml:space="preserve"> ADDIN ZOTERO_ITEM CSL_CITATION {"citationID":"AoFLzqrO","properties":{"formattedCitation":"(Joo et al., 2012; Turner et al., 2013; Wallace et al., 2015)","plainCitation":"(Joo et al., 2012; Turner et al., 2013; Wallace et al., 2015)"},"citationItems":[{"id":218,"uris":["http://zotero.org/users/2324349/items/4KW6V52R"],"uri":["http://zotero.org/users/2324349/items/4KW6V52R"],"itemData":{"id":218,"type":"article-journal","title":"Estimates of sediment and nutrient loads in 10 major catchments draining to the Great Barrier Reef during 2006–2009","container-title":"Marine Pollution Bulletin","collection-title":"The Catchment to Reef Continuum: Case studies from the Great Barrier Reef","page":"150-166","volume":"65","issue":"4–9","source":"ScienceDirect","abstract":"The Great Barrier Reef (GBR) catchment area has been monitored simultaneously for sediment and nutrient exports from 10 priority catchments discharging into the GBR lagoon between 2006 and 2009. This allows GBR catchment-wide exports to be estimated and spatially compared within a discrete time-frame. Elevated levels of sediment and nutrient exports were recorded in all monitored catchments as compared to pre-European estimates, but vary around previous estimates of mean annual loads. During the period of monitoring, the Burdekin and Fitzroy catchments contributed the highest sediment and nutrient exports, however when loads were normalised for area, these catchments produced the lowest unit yields. In contrast, the highest yields were produced in the wetter and proportionately more intensively cultivated Johnstone, O’Connell, and Pioneer catchments particularly for dissolved nitrogens. This assessment offers the necessary scientific foundation for future monitoring, assessment, and management of sediment and nutrient loads entering the GBR.","DOI":"10.1016/j.marpolbul.2012.01.002","ISSN":"0025-326X","journalAbbreviation":"Marine Pollution Bulletin","author":[{"family":"Joo","given":"Marianna"},{"family":"Raymond","given":"Myriam A. A."},{"family":"McNeil","given":"Vivienne H."},{"family":"Huggins","given":"Raethea"},{"family":"Turner","given":"Ryan D. R."},{"family":"Choy","given":"Satish"}],"issued":{"date-parts":[["2012"]]}}},{"id":59,"uris":["http://zotero.org/users/2324349/items/27QTTDQX"],"uri":["http://zotero.org/users/2324349/items/27QTTDQX"],"itemData":{"id":59,"type":"report","title":"Total suspended solids, nutrient and pesticide loads (2010-2011) for rivers that discharge to the Great Barrier Reef Great Barrier Reef Catchment. Loads monitoring 2010-2011.","collection-title":"Water Sciences Technical Report","publisher":"The State of Queensland ( Science, Information Technology, Innovation and the Arts )","publisher-place":"Brisbane, AU","page":"64","event-place":"Brisbane, AU","number":"Volume 2013, Number 1","author":[{"family":"Turner","given":"R."},{"family":"Huggins","given":"R."},{"family":"Wallace","given":"R."},{"family":"Smith","given":"R."},{"family":"Vardy","given":"S."},{"family":"Warne","given":"M St J."}],"issued":{"date-parts":[["2013"]]}}},{"id":125,"uris":["http://zotero.org/users/2324349/items/6HSEGMVE"],"uri":["http://zotero.org/users/2324349/items/6HSEGMVE"],"itemData":{"id":125,"type":"report","title":"Total suspended solids, nutrient and pesticide loads (2012–2013) for rivers that discharge to the Great Barrier Reef – Great Barrier Reef Catchment Loads Monitoring Program 2012–2013.","publisher":"Department of Science, Information Technology and Innovation.","publisher-place":"Brisbane","event-place":"Brisbane","author":[{"family":"Wallace","given":"R."},{"family":"Huggins","given":"R."},{"family":"Smith","given":"R.A."},{"family":"Turner","given":"R.D.R."},{"family":"Garzon-Garcia","given":"A."},{"family":"Warne","given":"M St J."}],"issued":{"date-parts":[["2015"]]}}}],"schema":"https://github.com/citation-style-language/schema/raw/master/csl-citation.json"} </w:instrText>
      </w:r>
      <w:r w:rsidRPr="00961331">
        <w:rPr>
          <w:rFonts w:cs="Arial"/>
          <w:szCs w:val="22"/>
        </w:rPr>
        <w:fldChar w:fldCharType="separate"/>
      </w:r>
      <w:r w:rsidRPr="00961331">
        <w:rPr>
          <w:rFonts w:cs="Arial"/>
          <w:szCs w:val="22"/>
        </w:rPr>
        <w:t>(Joo et al., 2012; Turner et al., 2013; Wallace et al., 2015)</w:t>
      </w:r>
      <w:r w:rsidRPr="00961331">
        <w:rPr>
          <w:rFonts w:cs="Arial"/>
          <w:szCs w:val="22"/>
        </w:rPr>
        <w:fldChar w:fldCharType="end"/>
      </w:r>
      <w:r w:rsidRPr="00961331">
        <w:rPr>
          <w:rFonts w:cs="Arial"/>
          <w:szCs w:val="22"/>
        </w:rPr>
        <w:t>. The rivers/</w:t>
      </w:r>
      <w:r w:rsidRPr="00C65A97">
        <w:rPr>
          <w:rFonts w:cs="Arial"/>
          <w:szCs w:val="22"/>
        </w:rPr>
        <w:t>catchments (</w:t>
      </w:r>
      <w:r w:rsidRPr="00C65A97">
        <w:rPr>
          <w:rFonts w:cs="Arial"/>
          <w:szCs w:val="22"/>
        </w:rPr>
        <w:fldChar w:fldCharType="begin"/>
      </w:r>
      <w:r w:rsidRPr="00C65A97">
        <w:rPr>
          <w:rFonts w:cs="Arial"/>
          <w:szCs w:val="22"/>
        </w:rPr>
        <w:instrText xml:space="preserve"> REF _Ref449130092 \h  \* MERGEFORMAT </w:instrText>
      </w:r>
      <w:r w:rsidRPr="00C65A97">
        <w:rPr>
          <w:rFonts w:cs="Arial"/>
          <w:szCs w:val="22"/>
        </w:rPr>
      </w:r>
      <w:r w:rsidRPr="00C65A97">
        <w:rPr>
          <w:rFonts w:cs="Arial"/>
          <w:szCs w:val="22"/>
        </w:rPr>
        <w:fldChar w:fldCharType="separate"/>
      </w:r>
      <w:r w:rsidR="007F5336" w:rsidRPr="007F5336">
        <w:rPr>
          <w:rFonts w:cs="Arial"/>
          <w:szCs w:val="22"/>
        </w:rPr>
        <w:t xml:space="preserve">Figure </w:t>
      </w:r>
      <w:r w:rsidR="007F5336" w:rsidRPr="007F5336">
        <w:rPr>
          <w:rFonts w:cs="Arial"/>
          <w:noProof/>
          <w:szCs w:val="22"/>
        </w:rPr>
        <w:t>A1</w:t>
      </w:r>
      <w:r w:rsidR="007F5336" w:rsidRPr="00C65A97">
        <w:t xml:space="preserve"> </w:t>
      </w:r>
      <w:r w:rsidR="007F5336">
        <w:rPr>
          <w:noProof/>
        </w:rPr>
        <w:t>8</w:t>
      </w:r>
      <w:r w:rsidR="007F5336" w:rsidRPr="00C65A97">
        <w:rPr>
          <w:noProof/>
        </w:rPr>
        <w:t>:</w:t>
      </w:r>
      <w:r w:rsidRPr="00C65A97">
        <w:rPr>
          <w:rFonts w:cs="Arial"/>
          <w:szCs w:val="22"/>
        </w:rPr>
        <w:fldChar w:fldCharType="end"/>
      </w:r>
      <w:r w:rsidRPr="00961331">
        <w:rPr>
          <w:rFonts w:cs="Arial"/>
          <w:szCs w:val="22"/>
        </w:rPr>
        <w:t xml:space="preserve">) where </w:t>
      </w:r>
      <w:r w:rsidRPr="00981224">
        <w:rPr>
          <w:rFonts w:cs="Arial"/>
          <w:szCs w:val="22"/>
        </w:rPr>
        <w:t xml:space="preserve">modelled DIN load and basin discharge data were available for the 13 years are presented in </w:t>
      </w:r>
      <w:r w:rsidRPr="00981224">
        <w:rPr>
          <w:rFonts w:cs="Arial"/>
          <w:szCs w:val="22"/>
        </w:rPr>
        <w:fldChar w:fldCharType="begin"/>
      </w:r>
      <w:r w:rsidRPr="00981224">
        <w:rPr>
          <w:rFonts w:cs="Arial"/>
          <w:szCs w:val="22"/>
        </w:rPr>
        <w:instrText xml:space="preserve"> REF _Ref449132194 \h  \* MERGEFORMAT </w:instrText>
      </w:r>
      <w:r w:rsidRPr="00981224">
        <w:rPr>
          <w:rFonts w:cs="Arial"/>
          <w:szCs w:val="22"/>
        </w:rPr>
      </w:r>
      <w:r w:rsidRPr="00981224">
        <w:rPr>
          <w:rFonts w:cs="Arial"/>
          <w:szCs w:val="22"/>
        </w:rPr>
        <w:fldChar w:fldCharType="separate"/>
      </w:r>
      <w:r w:rsidR="007F5336" w:rsidRPr="007F5336">
        <w:rPr>
          <w:rFonts w:cs="Arial"/>
          <w:szCs w:val="22"/>
        </w:rPr>
        <w:t xml:space="preserve">Table </w:t>
      </w:r>
      <w:r w:rsidR="007F5336" w:rsidRPr="007F5336">
        <w:rPr>
          <w:rFonts w:cs="Arial"/>
          <w:noProof/>
          <w:szCs w:val="22"/>
        </w:rPr>
        <w:t>A1</w:t>
      </w:r>
      <w:r w:rsidR="007F5336" w:rsidRPr="007F5336">
        <w:rPr>
          <w:rFonts w:cs="Arial"/>
          <w:szCs w:val="22"/>
        </w:rPr>
        <w:t xml:space="preserve"> </w:t>
      </w:r>
      <w:r w:rsidR="007F5336" w:rsidRPr="007F5336">
        <w:rPr>
          <w:rFonts w:cs="Arial"/>
          <w:noProof/>
          <w:szCs w:val="22"/>
        </w:rPr>
        <w:t>6</w:t>
      </w:r>
      <w:r w:rsidR="007F5336" w:rsidRPr="00961331">
        <w:t xml:space="preserve">: </w:t>
      </w:r>
      <w:r w:rsidRPr="00981224">
        <w:rPr>
          <w:rFonts w:cs="Arial"/>
          <w:szCs w:val="22"/>
        </w:rPr>
        <w:fldChar w:fldCharType="end"/>
      </w:r>
      <w:r w:rsidRPr="00981224">
        <w:rPr>
          <w:rFonts w:cs="Arial"/>
          <w:szCs w:val="22"/>
        </w:rPr>
        <w:t xml:space="preserve"> and </w:t>
      </w:r>
      <w:r w:rsidRPr="00981224">
        <w:rPr>
          <w:rFonts w:cs="Arial"/>
          <w:szCs w:val="22"/>
        </w:rPr>
        <w:fldChar w:fldCharType="begin"/>
      </w:r>
      <w:r w:rsidRPr="00981224">
        <w:rPr>
          <w:rFonts w:cs="Arial"/>
          <w:szCs w:val="22"/>
        </w:rPr>
        <w:instrText xml:space="preserve"> REF _Ref449132200 \h  \* MERGEFORMAT </w:instrText>
      </w:r>
      <w:r w:rsidRPr="00981224">
        <w:rPr>
          <w:rFonts w:cs="Arial"/>
          <w:szCs w:val="22"/>
        </w:rPr>
      </w:r>
      <w:r w:rsidRPr="00981224">
        <w:rPr>
          <w:rFonts w:cs="Arial"/>
          <w:szCs w:val="22"/>
        </w:rPr>
        <w:fldChar w:fldCharType="separate"/>
      </w:r>
      <w:r w:rsidR="007F5336" w:rsidRPr="007F5336">
        <w:rPr>
          <w:rFonts w:cs="Arial"/>
          <w:szCs w:val="22"/>
        </w:rPr>
        <w:t xml:space="preserve">Table </w:t>
      </w:r>
      <w:r w:rsidR="007F5336" w:rsidRPr="007F5336">
        <w:rPr>
          <w:rFonts w:cs="Arial"/>
          <w:noProof/>
          <w:szCs w:val="22"/>
        </w:rPr>
        <w:t>A1</w:t>
      </w:r>
      <w:r w:rsidR="007F5336" w:rsidRPr="007F5336">
        <w:rPr>
          <w:rFonts w:cs="Arial"/>
          <w:szCs w:val="22"/>
        </w:rPr>
        <w:t xml:space="preserve"> </w:t>
      </w:r>
      <w:r w:rsidR="007F5336" w:rsidRPr="007F5336">
        <w:rPr>
          <w:rFonts w:cs="Arial"/>
          <w:noProof/>
          <w:szCs w:val="22"/>
        </w:rPr>
        <w:t>7</w:t>
      </w:r>
      <w:r w:rsidR="007F5336" w:rsidRPr="00961331">
        <w:t xml:space="preserve">: </w:t>
      </w:r>
      <w:r w:rsidRPr="00981224">
        <w:rPr>
          <w:rFonts w:cs="Arial"/>
          <w:szCs w:val="22"/>
        </w:rPr>
        <w:fldChar w:fldCharType="end"/>
      </w:r>
      <w:r w:rsidRPr="00981224">
        <w:rPr>
          <w:rFonts w:cs="Arial"/>
          <w:szCs w:val="22"/>
        </w:rPr>
        <w:t>, respectively</w:t>
      </w:r>
      <w:r w:rsidRPr="00961331">
        <w:rPr>
          <w:rFonts w:cs="Arial"/>
          <w:szCs w:val="22"/>
        </w:rPr>
        <w:t>.</w:t>
      </w:r>
    </w:p>
    <w:p w14:paraId="253F54BF" w14:textId="736FECCF" w:rsidR="00B66CC3" w:rsidRPr="00961331" w:rsidRDefault="00B66CC3" w:rsidP="00B66CC3">
      <w:pPr>
        <w:rPr>
          <w:rFonts w:cs="Arial"/>
          <w:szCs w:val="22"/>
        </w:rPr>
      </w:pPr>
      <w:r w:rsidRPr="00961331">
        <w:rPr>
          <w:rFonts w:cs="Arial"/>
          <w:szCs w:val="22"/>
        </w:rPr>
        <w:t xml:space="preserve">The temporal incompatibility between the annual end-of-catchment DIN loads and the seasonal in-situ DIN, depth of the mixing layers and the river plume maps could not be explicitly resolved in the model. Whereas DIN river load represents the total annual DIN delivered by rivers into the GBR (c.a., from October to September, inclusive), the plume maps from satellite imagery, mixing depth and in-situ DIN concentration in flood plume waters are constrained to the wet season period (c.a., December to April, inclusive). Considering that 78% of the annual river discharge occurs over the wet season period (DNRM, </w:t>
      </w:r>
      <w:hyperlink r:id="rId397" w:history="1">
        <w:r w:rsidRPr="00961331">
          <w:rPr>
            <w:rStyle w:val="Hyperlink"/>
            <w:rFonts w:cs="Arial"/>
            <w:szCs w:val="22"/>
          </w:rPr>
          <w:t>http://watermonitoring.dnrm.qld.gov.au/host.htm</w:t>
        </w:r>
      </w:hyperlink>
      <w:r w:rsidRPr="00961331">
        <w:rPr>
          <w:rFonts w:cs="Arial"/>
          <w:szCs w:val="22"/>
        </w:rPr>
        <w:t>), the plume maps, mixing depth and in-situ DIN in plume waters, potentially represent the majority of the environmental condition when most of the end-of-catchment DIN load is delivered to the GBR waters.</w:t>
      </w:r>
    </w:p>
    <w:p w14:paraId="09A2E76D" w14:textId="77777777" w:rsidR="00B66CC3" w:rsidRPr="00961331" w:rsidRDefault="00B66CC3" w:rsidP="00B66CC3">
      <w:pPr>
        <w:rPr>
          <w:rFonts w:cs="Arial"/>
          <w:szCs w:val="22"/>
        </w:rPr>
        <w:sectPr w:rsidR="00B66CC3" w:rsidRPr="00961331" w:rsidSect="00B66CC3">
          <w:pgSz w:w="11907" w:h="16839" w:code="9"/>
          <w:pgMar w:top="1440" w:right="1440" w:bottom="1440" w:left="1440" w:header="708" w:footer="708" w:gutter="0"/>
          <w:cols w:space="708"/>
          <w:docGrid w:linePitch="272"/>
        </w:sectPr>
      </w:pPr>
    </w:p>
    <w:p w14:paraId="4994F160" w14:textId="2702A0FC" w:rsidR="00B66CC3" w:rsidRPr="00961331" w:rsidRDefault="00981224" w:rsidP="004A5BF7">
      <w:pPr>
        <w:pStyle w:val="Caption"/>
      </w:pPr>
      <w:bookmarkStart w:id="1591" w:name="_Ref449132194"/>
      <w:bookmarkStart w:id="1592" w:name="_Toc459332185"/>
      <w:r>
        <w:t xml:space="preserve">Table A1 </w:t>
      </w:r>
      <w:r>
        <w:fldChar w:fldCharType="begin"/>
      </w:r>
      <w:r>
        <w:instrText xml:space="preserve"> SEQ Table_A1 \* ARABIC </w:instrText>
      </w:r>
      <w:r>
        <w:fldChar w:fldCharType="separate"/>
      </w:r>
      <w:r w:rsidR="007F5336">
        <w:rPr>
          <w:noProof/>
        </w:rPr>
        <w:t>6</w:t>
      </w:r>
      <w:r>
        <w:rPr>
          <w:noProof/>
        </w:rPr>
        <w:fldChar w:fldCharType="end"/>
      </w:r>
      <w:r w:rsidRPr="00961331">
        <w:t xml:space="preserve">: </w:t>
      </w:r>
      <w:bookmarkEnd w:id="1591"/>
      <w:r w:rsidR="00B66CC3" w:rsidRPr="00961331">
        <w:t>End-of-catchment dissolved inorganic nitrogen loads (DIN, ton/year) from 2003 to 2015 water years (c.a., from October, 2002 to September, 2015).</w:t>
      </w:r>
      <w:bookmarkEnd w:id="1592"/>
    </w:p>
    <w:tbl>
      <w:tblPr>
        <w:tblW w:w="5000" w:type="pct"/>
        <w:tblLook w:val="04A0" w:firstRow="1" w:lastRow="0" w:firstColumn="1" w:lastColumn="0" w:noHBand="0" w:noVBand="1"/>
        <w:tblCaption w:val="Table A1 6: End-of-catchment dissolved inorganic nitrogen loads (DIN, ton/year) from 2003 to 2015 water years (c.a., from October, 2002 to September, 2015)."/>
        <w:tblDescription w:val="End-of-catchment dissolved inorganic nitrogen loads (DIN, ton/year) from 2003 to 2015 water years (c.a., from October, 2002 to September, 2015)."/>
      </w:tblPr>
      <w:tblGrid>
        <w:gridCol w:w="1607"/>
        <w:gridCol w:w="1827"/>
        <w:gridCol w:w="826"/>
        <w:gridCol w:w="826"/>
        <w:gridCol w:w="826"/>
        <w:gridCol w:w="826"/>
        <w:gridCol w:w="826"/>
        <w:gridCol w:w="826"/>
        <w:gridCol w:w="826"/>
        <w:gridCol w:w="826"/>
        <w:gridCol w:w="826"/>
        <w:gridCol w:w="826"/>
        <w:gridCol w:w="827"/>
        <w:gridCol w:w="827"/>
        <w:gridCol w:w="827"/>
      </w:tblGrid>
      <w:tr w:rsidR="00B66CC3" w:rsidRPr="009228CA" w14:paraId="62B1E9A3" w14:textId="77777777" w:rsidTr="00E27B69">
        <w:trPr>
          <w:trHeight w:val="454"/>
          <w:tblHeader/>
        </w:trPr>
        <w:tc>
          <w:tcPr>
            <w:tcW w:w="484" w:type="pct"/>
            <w:tcBorders>
              <w:top w:val="single" w:sz="4" w:space="0" w:color="auto"/>
              <w:left w:val="nil"/>
              <w:bottom w:val="single" w:sz="4" w:space="0" w:color="auto"/>
              <w:right w:val="nil"/>
            </w:tcBorders>
            <w:shd w:val="clear" w:color="auto" w:fill="auto"/>
            <w:noWrap/>
            <w:vAlign w:val="center"/>
            <w:hideMark/>
          </w:tcPr>
          <w:p w14:paraId="71FCD33A" w14:textId="77777777" w:rsidR="00B66CC3" w:rsidRPr="009228CA" w:rsidRDefault="00B66CC3" w:rsidP="004A5BF7">
            <w:pPr>
              <w:spacing w:before="0" w:after="0"/>
              <w:jc w:val="left"/>
              <w:rPr>
                <w:rFonts w:cs="Arial"/>
                <w:b/>
                <w:sz w:val="18"/>
                <w:szCs w:val="18"/>
              </w:rPr>
            </w:pPr>
            <w:r w:rsidRPr="009228CA">
              <w:rPr>
                <w:rFonts w:cs="Arial"/>
                <w:b/>
                <w:sz w:val="18"/>
                <w:szCs w:val="18"/>
              </w:rPr>
              <w:t>River</w:t>
            </w:r>
          </w:p>
        </w:tc>
        <w:tc>
          <w:tcPr>
            <w:tcW w:w="564" w:type="pct"/>
            <w:tcBorders>
              <w:top w:val="single" w:sz="4" w:space="0" w:color="auto"/>
              <w:left w:val="nil"/>
              <w:bottom w:val="single" w:sz="4" w:space="0" w:color="auto"/>
              <w:right w:val="nil"/>
            </w:tcBorders>
            <w:shd w:val="clear" w:color="auto" w:fill="auto"/>
            <w:noWrap/>
            <w:vAlign w:val="center"/>
            <w:hideMark/>
          </w:tcPr>
          <w:p w14:paraId="0B4052BB" w14:textId="77777777" w:rsidR="00B66CC3" w:rsidRPr="009228CA" w:rsidRDefault="00B66CC3" w:rsidP="00B66CC3">
            <w:pPr>
              <w:spacing w:before="0" w:after="0"/>
              <w:jc w:val="center"/>
              <w:rPr>
                <w:rFonts w:cs="Arial"/>
                <w:b/>
                <w:sz w:val="18"/>
                <w:szCs w:val="18"/>
              </w:rPr>
            </w:pPr>
            <w:r w:rsidRPr="009228CA">
              <w:rPr>
                <w:rFonts w:cs="Arial"/>
                <w:b/>
                <w:sz w:val="18"/>
                <w:szCs w:val="18"/>
              </w:rPr>
              <w:t>NRM* region</w:t>
            </w:r>
          </w:p>
        </w:tc>
        <w:tc>
          <w:tcPr>
            <w:tcW w:w="304" w:type="pct"/>
            <w:tcBorders>
              <w:top w:val="single" w:sz="4" w:space="0" w:color="auto"/>
              <w:left w:val="nil"/>
              <w:bottom w:val="single" w:sz="4" w:space="0" w:color="auto"/>
              <w:right w:val="nil"/>
            </w:tcBorders>
            <w:shd w:val="clear" w:color="auto" w:fill="auto"/>
            <w:noWrap/>
            <w:vAlign w:val="center"/>
            <w:hideMark/>
          </w:tcPr>
          <w:p w14:paraId="3DB290BF" w14:textId="77777777" w:rsidR="00B66CC3" w:rsidRPr="009228CA" w:rsidRDefault="00B66CC3" w:rsidP="00B66CC3">
            <w:pPr>
              <w:spacing w:before="0" w:after="0"/>
              <w:jc w:val="center"/>
              <w:rPr>
                <w:rFonts w:cs="Arial"/>
                <w:b/>
                <w:sz w:val="18"/>
                <w:szCs w:val="18"/>
              </w:rPr>
            </w:pPr>
            <w:r w:rsidRPr="009228CA">
              <w:rPr>
                <w:rFonts w:cs="Arial"/>
                <w:b/>
                <w:sz w:val="18"/>
                <w:szCs w:val="18"/>
              </w:rPr>
              <w:t>2003</w:t>
            </w:r>
          </w:p>
        </w:tc>
        <w:tc>
          <w:tcPr>
            <w:tcW w:w="304" w:type="pct"/>
            <w:tcBorders>
              <w:top w:val="single" w:sz="4" w:space="0" w:color="auto"/>
              <w:left w:val="nil"/>
              <w:bottom w:val="single" w:sz="4" w:space="0" w:color="auto"/>
              <w:right w:val="nil"/>
            </w:tcBorders>
            <w:shd w:val="clear" w:color="auto" w:fill="auto"/>
            <w:noWrap/>
            <w:vAlign w:val="center"/>
            <w:hideMark/>
          </w:tcPr>
          <w:p w14:paraId="0667CDCD" w14:textId="77777777" w:rsidR="00B66CC3" w:rsidRPr="009228CA" w:rsidRDefault="00B66CC3" w:rsidP="00B66CC3">
            <w:pPr>
              <w:spacing w:before="0" w:after="0"/>
              <w:jc w:val="center"/>
              <w:rPr>
                <w:rFonts w:cs="Arial"/>
                <w:b/>
                <w:sz w:val="18"/>
                <w:szCs w:val="18"/>
              </w:rPr>
            </w:pPr>
            <w:r w:rsidRPr="009228CA">
              <w:rPr>
                <w:rFonts w:cs="Arial"/>
                <w:b/>
                <w:sz w:val="18"/>
                <w:szCs w:val="18"/>
              </w:rPr>
              <w:t>2004</w:t>
            </w:r>
          </w:p>
        </w:tc>
        <w:tc>
          <w:tcPr>
            <w:tcW w:w="304" w:type="pct"/>
            <w:tcBorders>
              <w:top w:val="single" w:sz="4" w:space="0" w:color="auto"/>
              <w:left w:val="nil"/>
              <w:bottom w:val="single" w:sz="4" w:space="0" w:color="auto"/>
              <w:right w:val="nil"/>
            </w:tcBorders>
            <w:shd w:val="clear" w:color="auto" w:fill="auto"/>
            <w:noWrap/>
            <w:vAlign w:val="center"/>
            <w:hideMark/>
          </w:tcPr>
          <w:p w14:paraId="574EDFDA" w14:textId="77777777" w:rsidR="00B66CC3" w:rsidRPr="009228CA" w:rsidRDefault="00B66CC3" w:rsidP="00B66CC3">
            <w:pPr>
              <w:spacing w:before="0" w:after="0"/>
              <w:jc w:val="center"/>
              <w:rPr>
                <w:rFonts w:cs="Arial"/>
                <w:b/>
                <w:sz w:val="18"/>
                <w:szCs w:val="18"/>
              </w:rPr>
            </w:pPr>
            <w:r w:rsidRPr="009228CA">
              <w:rPr>
                <w:rFonts w:cs="Arial"/>
                <w:b/>
                <w:sz w:val="18"/>
                <w:szCs w:val="18"/>
              </w:rPr>
              <w:t>2005</w:t>
            </w:r>
          </w:p>
        </w:tc>
        <w:tc>
          <w:tcPr>
            <w:tcW w:w="304" w:type="pct"/>
            <w:tcBorders>
              <w:top w:val="single" w:sz="4" w:space="0" w:color="auto"/>
              <w:left w:val="nil"/>
              <w:bottom w:val="single" w:sz="4" w:space="0" w:color="auto"/>
              <w:right w:val="nil"/>
            </w:tcBorders>
            <w:shd w:val="clear" w:color="auto" w:fill="auto"/>
            <w:noWrap/>
            <w:vAlign w:val="center"/>
            <w:hideMark/>
          </w:tcPr>
          <w:p w14:paraId="07EE98BF" w14:textId="77777777" w:rsidR="00B66CC3" w:rsidRPr="009228CA" w:rsidRDefault="00B66CC3" w:rsidP="00B66CC3">
            <w:pPr>
              <w:spacing w:before="0" w:after="0"/>
              <w:jc w:val="center"/>
              <w:rPr>
                <w:rFonts w:cs="Arial"/>
                <w:b/>
                <w:sz w:val="18"/>
                <w:szCs w:val="18"/>
              </w:rPr>
            </w:pPr>
            <w:r w:rsidRPr="009228CA">
              <w:rPr>
                <w:rFonts w:cs="Arial"/>
                <w:b/>
                <w:sz w:val="18"/>
                <w:szCs w:val="18"/>
              </w:rPr>
              <w:t>2006</w:t>
            </w:r>
          </w:p>
        </w:tc>
        <w:tc>
          <w:tcPr>
            <w:tcW w:w="304" w:type="pct"/>
            <w:tcBorders>
              <w:top w:val="single" w:sz="4" w:space="0" w:color="auto"/>
              <w:left w:val="nil"/>
              <w:bottom w:val="single" w:sz="4" w:space="0" w:color="auto"/>
              <w:right w:val="nil"/>
            </w:tcBorders>
            <w:shd w:val="clear" w:color="auto" w:fill="auto"/>
            <w:noWrap/>
            <w:vAlign w:val="center"/>
            <w:hideMark/>
          </w:tcPr>
          <w:p w14:paraId="6766961A" w14:textId="77777777" w:rsidR="00B66CC3" w:rsidRPr="009228CA" w:rsidRDefault="00B66CC3" w:rsidP="00B66CC3">
            <w:pPr>
              <w:spacing w:before="0" w:after="0"/>
              <w:jc w:val="center"/>
              <w:rPr>
                <w:rFonts w:cs="Arial"/>
                <w:b/>
                <w:sz w:val="18"/>
                <w:szCs w:val="18"/>
              </w:rPr>
            </w:pPr>
            <w:r w:rsidRPr="009228CA">
              <w:rPr>
                <w:rFonts w:cs="Arial"/>
                <w:b/>
                <w:sz w:val="18"/>
                <w:szCs w:val="18"/>
              </w:rPr>
              <w:t>2007</w:t>
            </w:r>
          </w:p>
        </w:tc>
        <w:tc>
          <w:tcPr>
            <w:tcW w:w="304" w:type="pct"/>
            <w:tcBorders>
              <w:top w:val="single" w:sz="4" w:space="0" w:color="auto"/>
              <w:left w:val="nil"/>
              <w:bottom w:val="single" w:sz="4" w:space="0" w:color="auto"/>
              <w:right w:val="nil"/>
            </w:tcBorders>
            <w:shd w:val="clear" w:color="auto" w:fill="auto"/>
            <w:noWrap/>
            <w:vAlign w:val="center"/>
            <w:hideMark/>
          </w:tcPr>
          <w:p w14:paraId="65993E8E" w14:textId="77777777" w:rsidR="00B66CC3" w:rsidRPr="009228CA" w:rsidRDefault="00B66CC3" w:rsidP="00B66CC3">
            <w:pPr>
              <w:spacing w:before="0" w:after="0"/>
              <w:jc w:val="center"/>
              <w:rPr>
                <w:rFonts w:cs="Arial"/>
                <w:b/>
                <w:sz w:val="18"/>
                <w:szCs w:val="18"/>
              </w:rPr>
            </w:pPr>
            <w:r w:rsidRPr="009228CA">
              <w:rPr>
                <w:rFonts w:cs="Arial"/>
                <w:b/>
                <w:sz w:val="18"/>
                <w:szCs w:val="18"/>
              </w:rPr>
              <w:t>2008</w:t>
            </w:r>
          </w:p>
        </w:tc>
        <w:tc>
          <w:tcPr>
            <w:tcW w:w="304" w:type="pct"/>
            <w:tcBorders>
              <w:top w:val="single" w:sz="4" w:space="0" w:color="auto"/>
              <w:left w:val="nil"/>
              <w:bottom w:val="single" w:sz="4" w:space="0" w:color="auto"/>
              <w:right w:val="nil"/>
            </w:tcBorders>
            <w:shd w:val="clear" w:color="auto" w:fill="auto"/>
            <w:noWrap/>
            <w:vAlign w:val="center"/>
            <w:hideMark/>
          </w:tcPr>
          <w:p w14:paraId="4301C8FE" w14:textId="77777777" w:rsidR="00B66CC3" w:rsidRPr="009228CA" w:rsidRDefault="00B66CC3" w:rsidP="00B66CC3">
            <w:pPr>
              <w:spacing w:before="0" w:after="0"/>
              <w:jc w:val="center"/>
              <w:rPr>
                <w:rFonts w:cs="Arial"/>
                <w:b/>
                <w:sz w:val="18"/>
                <w:szCs w:val="18"/>
              </w:rPr>
            </w:pPr>
            <w:r w:rsidRPr="009228CA">
              <w:rPr>
                <w:rFonts w:cs="Arial"/>
                <w:b/>
                <w:sz w:val="18"/>
                <w:szCs w:val="18"/>
              </w:rPr>
              <w:t>2009</w:t>
            </w:r>
          </w:p>
        </w:tc>
        <w:tc>
          <w:tcPr>
            <w:tcW w:w="304" w:type="pct"/>
            <w:tcBorders>
              <w:top w:val="single" w:sz="4" w:space="0" w:color="auto"/>
              <w:left w:val="nil"/>
              <w:bottom w:val="single" w:sz="4" w:space="0" w:color="auto"/>
              <w:right w:val="nil"/>
            </w:tcBorders>
            <w:shd w:val="clear" w:color="auto" w:fill="auto"/>
            <w:noWrap/>
            <w:vAlign w:val="center"/>
            <w:hideMark/>
          </w:tcPr>
          <w:p w14:paraId="36889855" w14:textId="77777777" w:rsidR="00B66CC3" w:rsidRPr="009228CA" w:rsidRDefault="00B66CC3" w:rsidP="00B66CC3">
            <w:pPr>
              <w:spacing w:before="0" w:after="0"/>
              <w:jc w:val="center"/>
              <w:rPr>
                <w:rFonts w:cs="Arial"/>
                <w:b/>
                <w:sz w:val="18"/>
                <w:szCs w:val="18"/>
              </w:rPr>
            </w:pPr>
            <w:r w:rsidRPr="009228CA">
              <w:rPr>
                <w:rFonts w:cs="Arial"/>
                <w:b/>
                <w:sz w:val="18"/>
                <w:szCs w:val="18"/>
              </w:rPr>
              <w:t>2010</w:t>
            </w:r>
          </w:p>
        </w:tc>
        <w:tc>
          <w:tcPr>
            <w:tcW w:w="304" w:type="pct"/>
            <w:tcBorders>
              <w:top w:val="single" w:sz="4" w:space="0" w:color="auto"/>
              <w:left w:val="nil"/>
              <w:bottom w:val="single" w:sz="4" w:space="0" w:color="auto"/>
              <w:right w:val="nil"/>
            </w:tcBorders>
            <w:shd w:val="clear" w:color="auto" w:fill="auto"/>
            <w:noWrap/>
            <w:vAlign w:val="center"/>
            <w:hideMark/>
          </w:tcPr>
          <w:p w14:paraId="3148C979" w14:textId="77777777" w:rsidR="00B66CC3" w:rsidRPr="009228CA" w:rsidRDefault="00B66CC3" w:rsidP="00B66CC3">
            <w:pPr>
              <w:spacing w:before="0" w:after="0"/>
              <w:jc w:val="center"/>
              <w:rPr>
                <w:rFonts w:cs="Arial"/>
                <w:b/>
                <w:sz w:val="18"/>
                <w:szCs w:val="18"/>
              </w:rPr>
            </w:pPr>
            <w:r w:rsidRPr="009228CA">
              <w:rPr>
                <w:rFonts w:cs="Arial"/>
                <w:b/>
                <w:sz w:val="18"/>
                <w:szCs w:val="18"/>
              </w:rPr>
              <w:t>2011</w:t>
            </w:r>
          </w:p>
        </w:tc>
        <w:tc>
          <w:tcPr>
            <w:tcW w:w="304" w:type="pct"/>
            <w:tcBorders>
              <w:top w:val="single" w:sz="4" w:space="0" w:color="auto"/>
              <w:left w:val="nil"/>
              <w:bottom w:val="single" w:sz="4" w:space="0" w:color="auto"/>
              <w:right w:val="nil"/>
            </w:tcBorders>
            <w:shd w:val="clear" w:color="auto" w:fill="auto"/>
            <w:noWrap/>
            <w:vAlign w:val="center"/>
            <w:hideMark/>
          </w:tcPr>
          <w:p w14:paraId="50660391" w14:textId="77777777" w:rsidR="00B66CC3" w:rsidRPr="009228CA" w:rsidRDefault="00B66CC3" w:rsidP="00B66CC3">
            <w:pPr>
              <w:spacing w:before="0" w:after="0"/>
              <w:jc w:val="center"/>
              <w:rPr>
                <w:rFonts w:cs="Arial"/>
                <w:b/>
                <w:sz w:val="18"/>
                <w:szCs w:val="18"/>
              </w:rPr>
            </w:pPr>
            <w:r w:rsidRPr="009228CA">
              <w:rPr>
                <w:rFonts w:cs="Arial"/>
                <w:b/>
                <w:sz w:val="18"/>
                <w:szCs w:val="18"/>
              </w:rPr>
              <w:t>2012</w:t>
            </w:r>
          </w:p>
        </w:tc>
        <w:tc>
          <w:tcPr>
            <w:tcW w:w="304" w:type="pct"/>
            <w:tcBorders>
              <w:top w:val="single" w:sz="4" w:space="0" w:color="auto"/>
              <w:left w:val="nil"/>
              <w:bottom w:val="single" w:sz="4" w:space="0" w:color="auto"/>
              <w:right w:val="nil"/>
            </w:tcBorders>
            <w:shd w:val="clear" w:color="auto" w:fill="auto"/>
            <w:noWrap/>
            <w:vAlign w:val="center"/>
            <w:hideMark/>
          </w:tcPr>
          <w:p w14:paraId="74A3BEFE" w14:textId="77777777" w:rsidR="00B66CC3" w:rsidRPr="009228CA" w:rsidRDefault="00B66CC3" w:rsidP="00B66CC3">
            <w:pPr>
              <w:spacing w:before="0" w:after="0"/>
              <w:jc w:val="center"/>
              <w:rPr>
                <w:rFonts w:cs="Arial"/>
                <w:b/>
                <w:sz w:val="18"/>
                <w:szCs w:val="18"/>
              </w:rPr>
            </w:pPr>
            <w:r w:rsidRPr="009228CA">
              <w:rPr>
                <w:rFonts w:cs="Arial"/>
                <w:b/>
                <w:sz w:val="18"/>
                <w:szCs w:val="18"/>
              </w:rPr>
              <w:t>2013</w:t>
            </w:r>
          </w:p>
        </w:tc>
        <w:tc>
          <w:tcPr>
            <w:tcW w:w="304" w:type="pct"/>
            <w:tcBorders>
              <w:top w:val="single" w:sz="4" w:space="0" w:color="auto"/>
              <w:left w:val="nil"/>
              <w:bottom w:val="single" w:sz="4" w:space="0" w:color="auto"/>
              <w:right w:val="nil"/>
            </w:tcBorders>
            <w:shd w:val="clear" w:color="auto" w:fill="auto"/>
            <w:noWrap/>
            <w:vAlign w:val="center"/>
            <w:hideMark/>
          </w:tcPr>
          <w:p w14:paraId="48E31700" w14:textId="77777777" w:rsidR="00B66CC3" w:rsidRPr="009228CA" w:rsidRDefault="00B66CC3" w:rsidP="00B66CC3">
            <w:pPr>
              <w:spacing w:before="0" w:after="0"/>
              <w:jc w:val="center"/>
              <w:rPr>
                <w:rFonts w:cs="Arial"/>
                <w:b/>
                <w:sz w:val="18"/>
                <w:szCs w:val="18"/>
              </w:rPr>
            </w:pPr>
            <w:r w:rsidRPr="009228CA">
              <w:rPr>
                <w:rFonts w:cs="Arial"/>
                <w:b/>
                <w:sz w:val="18"/>
                <w:szCs w:val="18"/>
              </w:rPr>
              <w:t>2014</w:t>
            </w:r>
          </w:p>
        </w:tc>
        <w:tc>
          <w:tcPr>
            <w:tcW w:w="304" w:type="pct"/>
            <w:tcBorders>
              <w:top w:val="single" w:sz="4" w:space="0" w:color="auto"/>
              <w:left w:val="nil"/>
              <w:bottom w:val="single" w:sz="4" w:space="0" w:color="auto"/>
              <w:right w:val="nil"/>
            </w:tcBorders>
            <w:shd w:val="clear" w:color="auto" w:fill="auto"/>
            <w:noWrap/>
            <w:vAlign w:val="center"/>
            <w:hideMark/>
          </w:tcPr>
          <w:p w14:paraId="4AF6373D" w14:textId="77777777" w:rsidR="00B66CC3" w:rsidRPr="009228CA" w:rsidRDefault="00B66CC3" w:rsidP="00B66CC3">
            <w:pPr>
              <w:spacing w:before="0" w:after="0"/>
              <w:jc w:val="center"/>
              <w:rPr>
                <w:rFonts w:cs="Arial"/>
                <w:b/>
                <w:sz w:val="18"/>
                <w:szCs w:val="18"/>
              </w:rPr>
            </w:pPr>
            <w:r w:rsidRPr="009228CA">
              <w:rPr>
                <w:rFonts w:cs="Arial"/>
                <w:b/>
                <w:sz w:val="18"/>
                <w:szCs w:val="18"/>
              </w:rPr>
              <w:t>2015</w:t>
            </w:r>
          </w:p>
        </w:tc>
      </w:tr>
      <w:tr w:rsidR="00B66CC3" w:rsidRPr="00E9409C" w14:paraId="42067C5C" w14:textId="77777777" w:rsidTr="00B66CC3">
        <w:trPr>
          <w:trHeight w:val="454"/>
        </w:trPr>
        <w:tc>
          <w:tcPr>
            <w:tcW w:w="484" w:type="pct"/>
            <w:tcBorders>
              <w:top w:val="nil"/>
              <w:left w:val="nil"/>
              <w:bottom w:val="nil"/>
              <w:right w:val="nil"/>
            </w:tcBorders>
            <w:shd w:val="clear" w:color="auto" w:fill="auto"/>
            <w:noWrap/>
            <w:vAlign w:val="center"/>
            <w:hideMark/>
          </w:tcPr>
          <w:p w14:paraId="5E5D012F" w14:textId="77777777" w:rsidR="00B66CC3" w:rsidRPr="004A5BF7" w:rsidRDefault="00B66CC3" w:rsidP="004A5BF7">
            <w:pPr>
              <w:spacing w:before="0" w:after="0"/>
              <w:jc w:val="left"/>
              <w:rPr>
                <w:rFonts w:cs="Arial"/>
                <w:sz w:val="18"/>
                <w:szCs w:val="18"/>
              </w:rPr>
            </w:pPr>
            <w:r w:rsidRPr="004A5BF7">
              <w:rPr>
                <w:rFonts w:cs="Arial"/>
                <w:sz w:val="18"/>
                <w:szCs w:val="18"/>
              </w:rPr>
              <w:t>Daintree</w:t>
            </w:r>
          </w:p>
        </w:tc>
        <w:tc>
          <w:tcPr>
            <w:tcW w:w="564" w:type="pct"/>
            <w:tcBorders>
              <w:top w:val="nil"/>
              <w:left w:val="nil"/>
              <w:bottom w:val="nil"/>
              <w:right w:val="nil"/>
            </w:tcBorders>
            <w:shd w:val="clear" w:color="auto" w:fill="auto"/>
            <w:noWrap/>
            <w:vAlign w:val="center"/>
            <w:hideMark/>
          </w:tcPr>
          <w:p w14:paraId="3103424A"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304" w:type="pct"/>
            <w:tcBorders>
              <w:top w:val="nil"/>
              <w:left w:val="nil"/>
              <w:bottom w:val="nil"/>
              <w:right w:val="nil"/>
            </w:tcBorders>
            <w:shd w:val="clear" w:color="auto" w:fill="auto"/>
            <w:noWrap/>
            <w:vAlign w:val="center"/>
            <w:hideMark/>
          </w:tcPr>
          <w:p w14:paraId="6512DF08" w14:textId="77777777" w:rsidR="00B66CC3" w:rsidRPr="004A5BF7" w:rsidRDefault="00B66CC3" w:rsidP="00B66CC3">
            <w:pPr>
              <w:spacing w:before="0" w:after="0"/>
              <w:jc w:val="center"/>
              <w:rPr>
                <w:rFonts w:cs="Arial"/>
                <w:sz w:val="18"/>
                <w:szCs w:val="18"/>
              </w:rPr>
            </w:pPr>
            <w:r w:rsidRPr="004A5BF7">
              <w:rPr>
                <w:rFonts w:cs="Arial"/>
                <w:sz w:val="18"/>
                <w:szCs w:val="18"/>
              </w:rPr>
              <w:t>20</w:t>
            </w:r>
          </w:p>
        </w:tc>
        <w:tc>
          <w:tcPr>
            <w:tcW w:w="304" w:type="pct"/>
            <w:tcBorders>
              <w:top w:val="nil"/>
              <w:left w:val="nil"/>
              <w:bottom w:val="nil"/>
              <w:right w:val="nil"/>
            </w:tcBorders>
            <w:shd w:val="clear" w:color="auto" w:fill="auto"/>
            <w:noWrap/>
            <w:vAlign w:val="center"/>
            <w:hideMark/>
          </w:tcPr>
          <w:p w14:paraId="2003210E" w14:textId="77777777" w:rsidR="00B66CC3" w:rsidRPr="004A5BF7" w:rsidRDefault="00B66CC3" w:rsidP="00B66CC3">
            <w:pPr>
              <w:spacing w:before="0" w:after="0"/>
              <w:jc w:val="center"/>
              <w:rPr>
                <w:rFonts w:cs="Arial"/>
                <w:sz w:val="18"/>
                <w:szCs w:val="18"/>
              </w:rPr>
            </w:pPr>
            <w:r w:rsidRPr="004A5BF7">
              <w:rPr>
                <w:rFonts w:cs="Arial"/>
                <w:sz w:val="18"/>
                <w:szCs w:val="18"/>
              </w:rPr>
              <w:t>221</w:t>
            </w:r>
          </w:p>
        </w:tc>
        <w:tc>
          <w:tcPr>
            <w:tcW w:w="304" w:type="pct"/>
            <w:tcBorders>
              <w:top w:val="nil"/>
              <w:left w:val="nil"/>
              <w:bottom w:val="nil"/>
              <w:right w:val="nil"/>
            </w:tcBorders>
            <w:shd w:val="clear" w:color="auto" w:fill="auto"/>
            <w:noWrap/>
            <w:vAlign w:val="center"/>
            <w:hideMark/>
          </w:tcPr>
          <w:p w14:paraId="3317E62F" w14:textId="77777777" w:rsidR="00B66CC3" w:rsidRPr="004A5BF7" w:rsidRDefault="00B66CC3" w:rsidP="00B66CC3">
            <w:pPr>
              <w:spacing w:before="0" w:after="0"/>
              <w:jc w:val="center"/>
              <w:rPr>
                <w:rFonts w:cs="Arial"/>
                <w:sz w:val="18"/>
                <w:szCs w:val="18"/>
              </w:rPr>
            </w:pPr>
            <w:r w:rsidRPr="004A5BF7">
              <w:rPr>
                <w:rFonts w:cs="Arial"/>
                <w:sz w:val="18"/>
                <w:szCs w:val="18"/>
              </w:rPr>
              <w:t>75</w:t>
            </w:r>
          </w:p>
        </w:tc>
        <w:tc>
          <w:tcPr>
            <w:tcW w:w="304" w:type="pct"/>
            <w:tcBorders>
              <w:top w:val="nil"/>
              <w:left w:val="nil"/>
              <w:bottom w:val="nil"/>
              <w:right w:val="nil"/>
            </w:tcBorders>
            <w:shd w:val="clear" w:color="auto" w:fill="auto"/>
            <w:noWrap/>
            <w:vAlign w:val="center"/>
            <w:hideMark/>
          </w:tcPr>
          <w:p w14:paraId="36E67995" w14:textId="77777777" w:rsidR="00B66CC3" w:rsidRPr="004A5BF7" w:rsidRDefault="00B66CC3" w:rsidP="00B66CC3">
            <w:pPr>
              <w:spacing w:before="0" w:after="0"/>
              <w:jc w:val="center"/>
              <w:rPr>
                <w:rFonts w:cs="Arial"/>
                <w:sz w:val="18"/>
                <w:szCs w:val="18"/>
              </w:rPr>
            </w:pPr>
            <w:r w:rsidRPr="004A5BF7">
              <w:rPr>
                <w:rFonts w:cs="Arial"/>
                <w:sz w:val="18"/>
                <w:szCs w:val="18"/>
              </w:rPr>
              <w:t>193</w:t>
            </w:r>
          </w:p>
        </w:tc>
        <w:tc>
          <w:tcPr>
            <w:tcW w:w="304" w:type="pct"/>
            <w:tcBorders>
              <w:top w:val="nil"/>
              <w:left w:val="nil"/>
              <w:bottom w:val="nil"/>
              <w:right w:val="nil"/>
            </w:tcBorders>
            <w:shd w:val="clear" w:color="auto" w:fill="auto"/>
            <w:noWrap/>
            <w:vAlign w:val="center"/>
            <w:hideMark/>
          </w:tcPr>
          <w:p w14:paraId="42D3212B" w14:textId="77777777" w:rsidR="00B66CC3" w:rsidRPr="004A5BF7" w:rsidRDefault="00B66CC3" w:rsidP="00B66CC3">
            <w:pPr>
              <w:spacing w:before="0" w:after="0"/>
              <w:jc w:val="center"/>
              <w:rPr>
                <w:rFonts w:cs="Arial"/>
                <w:sz w:val="18"/>
                <w:szCs w:val="18"/>
              </w:rPr>
            </w:pPr>
            <w:r w:rsidRPr="004A5BF7">
              <w:rPr>
                <w:rFonts w:cs="Arial"/>
                <w:sz w:val="18"/>
                <w:szCs w:val="18"/>
              </w:rPr>
              <w:t>120</w:t>
            </w:r>
          </w:p>
        </w:tc>
        <w:tc>
          <w:tcPr>
            <w:tcW w:w="304" w:type="pct"/>
            <w:tcBorders>
              <w:top w:val="nil"/>
              <w:left w:val="nil"/>
              <w:bottom w:val="nil"/>
              <w:right w:val="nil"/>
            </w:tcBorders>
            <w:shd w:val="clear" w:color="auto" w:fill="auto"/>
            <w:noWrap/>
            <w:vAlign w:val="center"/>
            <w:hideMark/>
          </w:tcPr>
          <w:p w14:paraId="38AC58DF" w14:textId="77777777" w:rsidR="00B66CC3" w:rsidRPr="004A5BF7" w:rsidRDefault="00B66CC3" w:rsidP="00B66CC3">
            <w:pPr>
              <w:spacing w:before="0" w:after="0"/>
              <w:jc w:val="center"/>
              <w:rPr>
                <w:rFonts w:cs="Arial"/>
                <w:sz w:val="18"/>
                <w:szCs w:val="18"/>
              </w:rPr>
            </w:pPr>
            <w:r w:rsidRPr="004A5BF7">
              <w:rPr>
                <w:rFonts w:cs="Arial"/>
                <w:sz w:val="18"/>
                <w:szCs w:val="18"/>
              </w:rPr>
              <w:t>150</w:t>
            </w:r>
          </w:p>
        </w:tc>
        <w:tc>
          <w:tcPr>
            <w:tcW w:w="304" w:type="pct"/>
            <w:tcBorders>
              <w:top w:val="nil"/>
              <w:left w:val="nil"/>
              <w:bottom w:val="nil"/>
              <w:right w:val="nil"/>
            </w:tcBorders>
            <w:shd w:val="clear" w:color="auto" w:fill="auto"/>
            <w:noWrap/>
            <w:vAlign w:val="center"/>
            <w:hideMark/>
          </w:tcPr>
          <w:p w14:paraId="46DA2C37" w14:textId="77777777" w:rsidR="00B66CC3" w:rsidRPr="004A5BF7" w:rsidRDefault="00B66CC3" w:rsidP="00B66CC3">
            <w:pPr>
              <w:spacing w:before="0" w:after="0"/>
              <w:jc w:val="center"/>
              <w:rPr>
                <w:rFonts w:cs="Arial"/>
                <w:sz w:val="18"/>
                <w:szCs w:val="18"/>
              </w:rPr>
            </w:pPr>
            <w:r w:rsidRPr="004A5BF7">
              <w:rPr>
                <w:rFonts w:cs="Arial"/>
                <w:sz w:val="18"/>
                <w:szCs w:val="18"/>
              </w:rPr>
              <w:t>120</w:t>
            </w:r>
          </w:p>
        </w:tc>
        <w:tc>
          <w:tcPr>
            <w:tcW w:w="304" w:type="pct"/>
            <w:tcBorders>
              <w:top w:val="nil"/>
              <w:left w:val="nil"/>
              <w:bottom w:val="nil"/>
              <w:right w:val="nil"/>
            </w:tcBorders>
            <w:shd w:val="clear" w:color="auto" w:fill="auto"/>
            <w:noWrap/>
            <w:vAlign w:val="center"/>
            <w:hideMark/>
          </w:tcPr>
          <w:p w14:paraId="3ADF2594" w14:textId="77777777" w:rsidR="00B66CC3" w:rsidRPr="004A5BF7" w:rsidRDefault="00B66CC3" w:rsidP="00B66CC3">
            <w:pPr>
              <w:spacing w:before="0" w:after="0"/>
              <w:jc w:val="center"/>
              <w:rPr>
                <w:rFonts w:cs="Arial"/>
                <w:sz w:val="18"/>
                <w:szCs w:val="18"/>
              </w:rPr>
            </w:pPr>
            <w:r w:rsidRPr="004A5BF7">
              <w:rPr>
                <w:rFonts w:cs="Arial"/>
                <w:sz w:val="18"/>
                <w:szCs w:val="18"/>
              </w:rPr>
              <w:t>232</w:t>
            </w:r>
          </w:p>
        </w:tc>
        <w:tc>
          <w:tcPr>
            <w:tcW w:w="304" w:type="pct"/>
            <w:tcBorders>
              <w:top w:val="nil"/>
              <w:left w:val="nil"/>
              <w:bottom w:val="nil"/>
              <w:right w:val="nil"/>
            </w:tcBorders>
            <w:shd w:val="clear" w:color="auto" w:fill="auto"/>
            <w:noWrap/>
            <w:vAlign w:val="center"/>
            <w:hideMark/>
          </w:tcPr>
          <w:p w14:paraId="1DB17250" w14:textId="77777777" w:rsidR="00B66CC3" w:rsidRPr="004A5BF7" w:rsidRDefault="00B66CC3" w:rsidP="00B66CC3">
            <w:pPr>
              <w:spacing w:before="0" w:after="0"/>
              <w:jc w:val="center"/>
              <w:rPr>
                <w:rFonts w:cs="Arial"/>
                <w:sz w:val="18"/>
                <w:szCs w:val="18"/>
              </w:rPr>
            </w:pPr>
            <w:r w:rsidRPr="004A5BF7">
              <w:rPr>
                <w:rFonts w:cs="Arial"/>
                <w:sz w:val="18"/>
                <w:szCs w:val="18"/>
              </w:rPr>
              <w:t>361</w:t>
            </w:r>
          </w:p>
        </w:tc>
        <w:tc>
          <w:tcPr>
            <w:tcW w:w="304" w:type="pct"/>
            <w:tcBorders>
              <w:top w:val="nil"/>
              <w:left w:val="nil"/>
              <w:bottom w:val="nil"/>
              <w:right w:val="nil"/>
            </w:tcBorders>
            <w:shd w:val="clear" w:color="auto" w:fill="auto"/>
            <w:noWrap/>
            <w:vAlign w:val="center"/>
            <w:hideMark/>
          </w:tcPr>
          <w:p w14:paraId="3B7B2ED8" w14:textId="77777777" w:rsidR="00B66CC3" w:rsidRPr="004A5BF7" w:rsidRDefault="00B66CC3" w:rsidP="00B66CC3">
            <w:pPr>
              <w:spacing w:before="0" w:after="0"/>
              <w:jc w:val="center"/>
              <w:rPr>
                <w:rFonts w:cs="Arial"/>
                <w:sz w:val="18"/>
                <w:szCs w:val="18"/>
              </w:rPr>
            </w:pPr>
            <w:r w:rsidRPr="004A5BF7">
              <w:rPr>
                <w:rFonts w:cs="Arial"/>
                <w:sz w:val="18"/>
                <w:szCs w:val="18"/>
              </w:rPr>
              <w:t>220</w:t>
            </w:r>
          </w:p>
        </w:tc>
        <w:tc>
          <w:tcPr>
            <w:tcW w:w="304" w:type="pct"/>
            <w:tcBorders>
              <w:top w:val="nil"/>
              <w:left w:val="nil"/>
              <w:bottom w:val="nil"/>
              <w:right w:val="nil"/>
            </w:tcBorders>
            <w:shd w:val="clear" w:color="auto" w:fill="auto"/>
            <w:noWrap/>
            <w:vAlign w:val="center"/>
            <w:hideMark/>
          </w:tcPr>
          <w:p w14:paraId="7FC0EEC1" w14:textId="77777777" w:rsidR="00B66CC3" w:rsidRPr="004A5BF7" w:rsidRDefault="00B66CC3" w:rsidP="00B66CC3">
            <w:pPr>
              <w:spacing w:before="0" w:after="0"/>
              <w:jc w:val="center"/>
              <w:rPr>
                <w:rFonts w:cs="Arial"/>
                <w:sz w:val="18"/>
                <w:szCs w:val="18"/>
              </w:rPr>
            </w:pPr>
            <w:r w:rsidRPr="004A5BF7">
              <w:rPr>
                <w:rFonts w:cs="Arial"/>
                <w:sz w:val="18"/>
                <w:szCs w:val="18"/>
              </w:rPr>
              <w:t>153</w:t>
            </w:r>
          </w:p>
        </w:tc>
        <w:tc>
          <w:tcPr>
            <w:tcW w:w="304" w:type="pct"/>
            <w:tcBorders>
              <w:top w:val="nil"/>
              <w:left w:val="nil"/>
              <w:bottom w:val="nil"/>
              <w:right w:val="nil"/>
            </w:tcBorders>
            <w:shd w:val="clear" w:color="auto" w:fill="auto"/>
            <w:noWrap/>
            <w:vAlign w:val="center"/>
            <w:hideMark/>
          </w:tcPr>
          <w:p w14:paraId="27945D99" w14:textId="77777777" w:rsidR="00B66CC3" w:rsidRPr="004A5BF7" w:rsidRDefault="00B66CC3" w:rsidP="00B66CC3">
            <w:pPr>
              <w:spacing w:before="0" w:after="0"/>
              <w:jc w:val="center"/>
              <w:rPr>
                <w:rFonts w:cs="Arial"/>
                <w:sz w:val="18"/>
                <w:szCs w:val="18"/>
              </w:rPr>
            </w:pPr>
            <w:r w:rsidRPr="004A5BF7">
              <w:rPr>
                <w:rFonts w:cs="Arial"/>
                <w:sz w:val="18"/>
                <w:szCs w:val="18"/>
              </w:rPr>
              <w:t>470</w:t>
            </w:r>
          </w:p>
        </w:tc>
        <w:tc>
          <w:tcPr>
            <w:tcW w:w="304" w:type="pct"/>
            <w:tcBorders>
              <w:top w:val="nil"/>
              <w:left w:val="nil"/>
              <w:bottom w:val="nil"/>
              <w:right w:val="nil"/>
            </w:tcBorders>
            <w:shd w:val="clear" w:color="auto" w:fill="auto"/>
            <w:noWrap/>
            <w:vAlign w:val="center"/>
            <w:hideMark/>
          </w:tcPr>
          <w:p w14:paraId="01D77740" w14:textId="77777777" w:rsidR="00B66CC3" w:rsidRPr="004A5BF7" w:rsidRDefault="00B66CC3" w:rsidP="00B66CC3">
            <w:pPr>
              <w:spacing w:before="0" w:after="0"/>
              <w:jc w:val="center"/>
              <w:rPr>
                <w:rFonts w:cs="Arial"/>
                <w:sz w:val="18"/>
                <w:szCs w:val="18"/>
              </w:rPr>
            </w:pPr>
            <w:r w:rsidRPr="004A5BF7">
              <w:rPr>
                <w:rFonts w:cs="Arial"/>
                <w:sz w:val="18"/>
                <w:szCs w:val="18"/>
              </w:rPr>
              <w:t>170</w:t>
            </w:r>
          </w:p>
        </w:tc>
      </w:tr>
      <w:tr w:rsidR="00B66CC3" w:rsidRPr="00E9409C" w14:paraId="4DA726C9" w14:textId="77777777" w:rsidTr="00B66CC3">
        <w:trPr>
          <w:trHeight w:val="454"/>
        </w:trPr>
        <w:tc>
          <w:tcPr>
            <w:tcW w:w="484" w:type="pct"/>
            <w:tcBorders>
              <w:top w:val="nil"/>
              <w:left w:val="nil"/>
              <w:bottom w:val="nil"/>
              <w:right w:val="nil"/>
            </w:tcBorders>
            <w:shd w:val="clear" w:color="auto" w:fill="auto"/>
            <w:noWrap/>
            <w:vAlign w:val="center"/>
            <w:hideMark/>
          </w:tcPr>
          <w:p w14:paraId="0DDDB26A" w14:textId="77777777" w:rsidR="00B66CC3" w:rsidRPr="004A5BF7" w:rsidRDefault="00B66CC3" w:rsidP="004A5BF7">
            <w:pPr>
              <w:spacing w:before="0" w:after="0"/>
              <w:jc w:val="left"/>
              <w:rPr>
                <w:rFonts w:cs="Arial"/>
                <w:sz w:val="18"/>
                <w:szCs w:val="18"/>
              </w:rPr>
            </w:pPr>
            <w:r w:rsidRPr="004A5BF7">
              <w:rPr>
                <w:rFonts w:cs="Arial"/>
                <w:sz w:val="18"/>
                <w:szCs w:val="18"/>
              </w:rPr>
              <w:t>Mossman</w:t>
            </w:r>
          </w:p>
        </w:tc>
        <w:tc>
          <w:tcPr>
            <w:tcW w:w="564" w:type="pct"/>
            <w:tcBorders>
              <w:top w:val="nil"/>
              <w:left w:val="nil"/>
              <w:bottom w:val="nil"/>
              <w:right w:val="nil"/>
            </w:tcBorders>
            <w:shd w:val="clear" w:color="auto" w:fill="auto"/>
            <w:noWrap/>
            <w:vAlign w:val="center"/>
            <w:hideMark/>
          </w:tcPr>
          <w:p w14:paraId="0D124096"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304" w:type="pct"/>
            <w:tcBorders>
              <w:top w:val="nil"/>
              <w:left w:val="nil"/>
              <w:bottom w:val="nil"/>
              <w:right w:val="nil"/>
            </w:tcBorders>
            <w:shd w:val="clear" w:color="auto" w:fill="auto"/>
            <w:noWrap/>
            <w:vAlign w:val="center"/>
            <w:hideMark/>
          </w:tcPr>
          <w:p w14:paraId="10447730" w14:textId="77777777" w:rsidR="00B66CC3" w:rsidRPr="004A5BF7" w:rsidRDefault="00B66CC3" w:rsidP="00B66CC3">
            <w:pPr>
              <w:spacing w:before="0" w:after="0"/>
              <w:jc w:val="center"/>
              <w:rPr>
                <w:rFonts w:cs="Arial"/>
                <w:sz w:val="18"/>
                <w:szCs w:val="18"/>
              </w:rPr>
            </w:pPr>
            <w:r w:rsidRPr="004A5BF7">
              <w:rPr>
                <w:rFonts w:cs="Arial"/>
                <w:sz w:val="18"/>
                <w:szCs w:val="18"/>
              </w:rPr>
              <w:t>82</w:t>
            </w:r>
          </w:p>
        </w:tc>
        <w:tc>
          <w:tcPr>
            <w:tcW w:w="304" w:type="pct"/>
            <w:tcBorders>
              <w:top w:val="nil"/>
              <w:left w:val="nil"/>
              <w:bottom w:val="nil"/>
              <w:right w:val="nil"/>
            </w:tcBorders>
            <w:shd w:val="clear" w:color="auto" w:fill="auto"/>
            <w:noWrap/>
            <w:vAlign w:val="center"/>
            <w:hideMark/>
          </w:tcPr>
          <w:p w14:paraId="2D9D24DC" w14:textId="77777777" w:rsidR="00B66CC3" w:rsidRPr="004A5BF7" w:rsidRDefault="00B66CC3" w:rsidP="00B66CC3">
            <w:pPr>
              <w:spacing w:before="0" w:after="0"/>
              <w:jc w:val="center"/>
              <w:rPr>
                <w:rFonts w:cs="Arial"/>
                <w:sz w:val="18"/>
                <w:szCs w:val="18"/>
              </w:rPr>
            </w:pPr>
            <w:r w:rsidRPr="004A5BF7">
              <w:rPr>
                <w:rFonts w:cs="Arial"/>
                <w:sz w:val="18"/>
                <w:szCs w:val="18"/>
              </w:rPr>
              <w:t>182</w:t>
            </w:r>
          </w:p>
        </w:tc>
        <w:tc>
          <w:tcPr>
            <w:tcW w:w="304" w:type="pct"/>
            <w:tcBorders>
              <w:top w:val="nil"/>
              <w:left w:val="nil"/>
              <w:bottom w:val="nil"/>
              <w:right w:val="nil"/>
            </w:tcBorders>
            <w:shd w:val="clear" w:color="auto" w:fill="auto"/>
            <w:noWrap/>
            <w:vAlign w:val="center"/>
            <w:hideMark/>
          </w:tcPr>
          <w:p w14:paraId="009BDD26" w14:textId="77777777" w:rsidR="00B66CC3" w:rsidRPr="004A5BF7" w:rsidRDefault="00B66CC3" w:rsidP="00B66CC3">
            <w:pPr>
              <w:spacing w:before="0" w:after="0"/>
              <w:jc w:val="center"/>
              <w:rPr>
                <w:rFonts w:cs="Arial"/>
                <w:sz w:val="18"/>
                <w:szCs w:val="18"/>
              </w:rPr>
            </w:pPr>
            <w:r w:rsidRPr="004A5BF7">
              <w:rPr>
                <w:rFonts w:cs="Arial"/>
                <w:sz w:val="18"/>
                <w:szCs w:val="18"/>
              </w:rPr>
              <w:t>119</w:t>
            </w:r>
          </w:p>
        </w:tc>
        <w:tc>
          <w:tcPr>
            <w:tcW w:w="304" w:type="pct"/>
            <w:tcBorders>
              <w:top w:val="nil"/>
              <w:left w:val="nil"/>
              <w:bottom w:val="nil"/>
              <w:right w:val="nil"/>
            </w:tcBorders>
            <w:shd w:val="clear" w:color="auto" w:fill="auto"/>
            <w:noWrap/>
            <w:vAlign w:val="center"/>
            <w:hideMark/>
          </w:tcPr>
          <w:p w14:paraId="767FAA62" w14:textId="77777777" w:rsidR="00B66CC3" w:rsidRPr="004A5BF7" w:rsidRDefault="00B66CC3" w:rsidP="00B66CC3">
            <w:pPr>
              <w:spacing w:before="0" w:after="0"/>
              <w:jc w:val="center"/>
              <w:rPr>
                <w:rFonts w:cs="Arial"/>
                <w:sz w:val="18"/>
                <w:szCs w:val="18"/>
              </w:rPr>
            </w:pPr>
            <w:r w:rsidRPr="004A5BF7">
              <w:rPr>
                <w:rFonts w:cs="Arial"/>
                <w:sz w:val="18"/>
                <w:szCs w:val="18"/>
              </w:rPr>
              <w:t>204</w:t>
            </w:r>
          </w:p>
        </w:tc>
        <w:tc>
          <w:tcPr>
            <w:tcW w:w="304" w:type="pct"/>
            <w:tcBorders>
              <w:top w:val="nil"/>
              <w:left w:val="nil"/>
              <w:bottom w:val="nil"/>
              <w:right w:val="nil"/>
            </w:tcBorders>
            <w:shd w:val="clear" w:color="auto" w:fill="auto"/>
            <w:noWrap/>
            <w:vAlign w:val="center"/>
            <w:hideMark/>
          </w:tcPr>
          <w:p w14:paraId="1AB8588F" w14:textId="77777777" w:rsidR="00B66CC3" w:rsidRPr="004A5BF7" w:rsidRDefault="00B66CC3" w:rsidP="00B66CC3">
            <w:pPr>
              <w:spacing w:before="0" w:after="0"/>
              <w:jc w:val="center"/>
              <w:rPr>
                <w:rFonts w:cs="Arial"/>
                <w:sz w:val="18"/>
                <w:szCs w:val="18"/>
              </w:rPr>
            </w:pPr>
            <w:r w:rsidRPr="004A5BF7">
              <w:rPr>
                <w:rFonts w:cs="Arial"/>
                <w:sz w:val="18"/>
                <w:szCs w:val="18"/>
              </w:rPr>
              <w:t>118</w:t>
            </w:r>
          </w:p>
        </w:tc>
        <w:tc>
          <w:tcPr>
            <w:tcW w:w="304" w:type="pct"/>
            <w:tcBorders>
              <w:top w:val="nil"/>
              <w:left w:val="nil"/>
              <w:bottom w:val="nil"/>
              <w:right w:val="nil"/>
            </w:tcBorders>
            <w:shd w:val="clear" w:color="auto" w:fill="auto"/>
            <w:noWrap/>
            <w:vAlign w:val="center"/>
            <w:hideMark/>
          </w:tcPr>
          <w:p w14:paraId="2D2A14A2" w14:textId="77777777" w:rsidR="00B66CC3" w:rsidRPr="004A5BF7" w:rsidRDefault="00B66CC3" w:rsidP="00B66CC3">
            <w:pPr>
              <w:spacing w:before="0" w:after="0"/>
              <w:jc w:val="center"/>
              <w:rPr>
                <w:rFonts w:cs="Arial"/>
                <w:sz w:val="18"/>
                <w:szCs w:val="18"/>
              </w:rPr>
            </w:pPr>
            <w:r w:rsidRPr="004A5BF7">
              <w:rPr>
                <w:rFonts w:cs="Arial"/>
                <w:sz w:val="18"/>
                <w:szCs w:val="18"/>
              </w:rPr>
              <w:t>108</w:t>
            </w:r>
          </w:p>
        </w:tc>
        <w:tc>
          <w:tcPr>
            <w:tcW w:w="304" w:type="pct"/>
            <w:tcBorders>
              <w:top w:val="nil"/>
              <w:left w:val="nil"/>
              <w:bottom w:val="nil"/>
              <w:right w:val="nil"/>
            </w:tcBorders>
            <w:shd w:val="clear" w:color="auto" w:fill="auto"/>
            <w:noWrap/>
            <w:vAlign w:val="center"/>
            <w:hideMark/>
          </w:tcPr>
          <w:p w14:paraId="4266448C" w14:textId="77777777" w:rsidR="00B66CC3" w:rsidRPr="004A5BF7" w:rsidRDefault="00B66CC3" w:rsidP="00B66CC3">
            <w:pPr>
              <w:spacing w:before="0" w:after="0"/>
              <w:jc w:val="center"/>
              <w:rPr>
                <w:rFonts w:cs="Arial"/>
                <w:sz w:val="18"/>
                <w:szCs w:val="18"/>
              </w:rPr>
            </w:pPr>
            <w:r w:rsidRPr="004A5BF7">
              <w:rPr>
                <w:rFonts w:cs="Arial"/>
                <w:sz w:val="18"/>
                <w:szCs w:val="18"/>
              </w:rPr>
              <w:t>77</w:t>
            </w:r>
          </w:p>
        </w:tc>
        <w:tc>
          <w:tcPr>
            <w:tcW w:w="304" w:type="pct"/>
            <w:tcBorders>
              <w:top w:val="nil"/>
              <w:left w:val="nil"/>
              <w:bottom w:val="nil"/>
              <w:right w:val="nil"/>
            </w:tcBorders>
            <w:shd w:val="clear" w:color="auto" w:fill="auto"/>
            <w:noWrap/>
            <w:vAlign w:val="center"/>
            <w:hideMark/>
          </w:tcPr>
          <w:p w14:paraId="68608374" w14:textId="77777777" w:rsidR="00B66CC3" w:rsidRPr="004A5BF7" w:rsidRDefault="00B66CC3" w:rsidP="00B66CC3">
            <w:pPr>
              <w:spacing w:before="0" w:after="0"/>
              <w:jc w:val="center"/>
              <w:rPr>
                <w:rFonts w:cs="Arial"/>
                <w:sz w:val="18"/>
                <w:szCs w:val="18"/>
              </w:rPr>
            </w:pPr>
            <w:r w:rsidRPr="004A5BF7">
              <w:rPr>
                <w:rFonts w:cs="Arial"/>
                <w:sz w:val="18"/>
                <w:szCs w:val="18"/>
              </w:rPr>
              <w:t>99</w:t>
            </w:r>
          </w:p>
        </w:tc>
        <w:tc>
          <w:tcPr>
            <w:tcW w:w="304" w:type="pct"/>
            <w:tcBorders>
              <w:top w:val="nil"/>
              <w:left w:val="nil"/>
              <w:bottom w:val="nil"/>
              <w:right w:val="nil"/>
            </w:tcBorders>
            <w:shd w:val="clear" w:color="auto" w:fill="auto"/>
            <w:noWrap/>
            <w:vAlign w:val="center"/>
            <w:hideMark/>
          </w:tcPr>
          <w:p w14:paraId="599FD5C0" w14:textId="77777777" w:rsidR="00B66CC3" w:rsidRPr="004A5BF7" w:rsidRDefault="00B66CC3" w:rsidP="00B66CC3">
            <w:pPr>
              <w:spacing w:before="0" w:after="0"/>
              <w:jc w:val="center"/>
              <w:rPr>
                <w:rFonts w:cs="Arial"/>
                <w:sz w:val="18"/>
                <w:szCs w:val="18"/>
              </w:rPr>
            </w:pPr>
            <w:r w:rsidRPr="004A5BF7">
              <w:rPr>
                <w:rFonts w:cs="Arial"/>
                <w:sz w:val="18"/>
                <w:szCs w:val="18"/>
              </w:rPr>
              <w:t>111</w:t>
            </w:r>
          </w:p>
        </w:tc>
        <w:tc>
          <w:tcPr>
            <w:tcW w:w="304" w:type="pct"/>
            <w:tcBorders>
              <w:top w:val="nil"/>
              <w:left w:val="nil"/>
              <w:bottom w:val="nil"/>
              <w:right w:val="nil"/>
            </w:tcBorders>
            <w:shd w:val="clear" w:color="auto" w:fill="auto"/>
            <w:noWrap/>
            <w:vAlign w:val="center"/>
            <w:hideMark/>
          </w:tcPr>
          <w:p w14:paraId="63D81412" w14:textId="77777777" w:rsidR="00B66CC3" w:rsidRPr="004A5BF7" w:rsidRDefault="00B66CC3" w:rsidP="00B66CC3">
            <w:pPr>
              <w:spacing w:before="0" w:after="0"/>
              <w:jc w:val="center"/>
              <w:rPr>
                <w:rFonts w:cs="Arial"/>
                <w:sz w:val="18"/>
                <w:szCs w:val="18"/>
              </w:rPr>
            </w:pPr>
            <w:r w:rsidRPr="004A5BF7">
              <w:rPr>
                <w:rFonts w:cs="Arial"/>
                <w:sz w:val="18"/>
                <w:szCs w:val="18"/>
              </w:rPr>
              <w:t>85</w:t>
            </w:r>
          </w:p>
        </w:tc>
        <w:tc>
          <w:tcPr>
            <w:tcW w:w="304" w:type="pct"/>
            <w:tcBorders>
              <w:top w:val="nil"/>
              <w:left w:val="nil"/>
              <w:bottom w:val="nil"/>
              <w:right w:val="nil"/>
            </w:tcBorders>
            <w:shd w:val="clear" w:color="auto" w:fill="auto"/>
            <w:noWrap/>
            <w:vAlign w:val="center"/>
            <w:hideMark/>
          </w:tcPr>
          <w:p w14:paraId="7386D0E6" w14:textId="77777777" w:rsidR="00B66CC3" w:rsidRPr="004A5BF7" w:rsidRDefault="00B66CC3" w:rsidP="00B66CC3">
            <w:pPr>
              <w:spacing w:before="0" w:after="0"/>
              <w:jc w:val="center"/>
              <w:rPr>
                <w:rFonts w:cs="Arial"/>
                <w:sz w:val="18"/>
                <w:szCs w:val="18"/>
              </w:rPr>
            </w:pPr>
            <w:r w:rsidRPr="004A5BF7">
              <w:rPr>
                <w:rFonts w:cs="Arial"/>
                <w:sz w:val="18"/>
                <w:szCs w:val="18"/>
              </w:rPr>
              <w:t>66</w:t>
            </w:r>
          </w:p>
        </w:tc>
        <w:tc>
          <w:tcPr>
            <w:tcW w:w="304" w:type="pct"/>
            <w:tcBorders>
              <w:top w:val="nil"/>
              <w:left w:val="nil"/>
              <w:bottom w:val="nil"/>
              <w:right w:val="nil"/>
            </w:tcBorders>
            <w:shd w:val="clear" w:color="auto" w:fill="auto"/>
            <w:noWrap/>
            <w:vAlign w:val="center"/>
            <w:hideMark/>
          </w:tcPr>
          <w:p w14:paraId="16090A02" w14:textId="77777777" w:rsidR="00B66CC3" w:rsidRPr="004A5BF7" w:rsidRDefault="00B66CC3" w:rsidP="00B66CC3">
            <w:pPr>
              <w:spacing w:before="0" w:after="0"/>
              <w:jc w:val="center"/>
              <w:rPr>
                <w:rFonts w:cs="Arial"/>
                <w:sz w:val="18"/>
                <w:szCs w:val="18"/>
              </w:rPr>
            </w:pPr>
            <w:r w:rsidRPr="004A5BF7">
              <w:rPr>
                <w:rFonts w:cs="Arial"/>
                <w:sz w:val="18"/>
                <w:szCs w:val="18"/>
              </w:rPr>
              <w:t>106</w:t>
            </w:r>
          </w:p>
        </w:tc>
        <w:tc>
          <w:tcPr>
            <w:tcW w:w="304" w:type="pct"/>
            <w:tcBorders>
              <w:top w:val="nil"/>
              <w:left w:val="nil"/>
              <w:bottom w:val="nil"/>
              <w:right w:val="nil"/>
            </w:tcBorders>
            <w:shd w:val="clear" w:color="auto" w:fill="auto"/>
            <w:noWrap/>
            <w:vAlign w:val="center"/>
            <w:hideMark/>
          </w:tcPr>
          <w:p w14:paraId="73D1AB57" w14:textId="77777777" w:rsidR="00B66CC3" w:rsidRPr="004A5BF7" w:rsidRDefault="00B66CC3" w:rsidP="00B66CC3">
            <w:pPr>
              <w:spacing w:before="0" w:after="0"/>
              <w:jc w:val="center"/>
              <w:rPr>
                <w:rFonts w:cs="Arial"/>
                <w:sz w:val="18"/>
                <w:szCs w:val="18"/>
              </w:rPr>
            </w:pPr>
            <w:r w:rsidRPr="004A5BF7">
              <w:rPr>
                <w:rFonts w:cs="Arial"/>
                <w:sz w:val="18"/>
                <w:szCs w:val="18"/>
              </w:rPr>
              <w:t>32</w:t>
            </w:r>
          </w:p>
        </w:tc>
      </w:tr>
      <w:tr w:rsidR="00B66CC3" w:rsidRPr="00E9409C" w14:paraId="68CC1318" w14:textId="77777777" w:rsidTr="00B66CC3">
        <w:trPr>
          <w:trHeight w:val="454"/>
        </w:trPr>
        <w:tc>
          <w:tcPr>
            <w:tcW w:w="484" w:type="pct"/>
            <w:tcBorders>
              <w:top w:val="nil"/>
              <w:left w:val="nil"/>
              <w:bottom w:val="nil"/>
              <w:right w:val="nil"/>
            </w:tcBorders>
            <w:shd w:val="clear" w:color="auto" w:fill="auto"/>
            <w:noWrap/>
            <w:vAlign w:val="center"/>
            <w:hideMark/>
          </w:tcPr>
          <w:p w14:paraId="2087C25D" w14:textId="77777777" w:rsidR="00B66CC3" w:rsidRPr="004A5BF7" w:rsidRDefault="00B66CC3" w:rsidP="004A5BF7">
            <w:pPr>
              <w:spacing w:before="0" w:after="0"/>
              <w:jc w:val="left"/>
              <w:rPr>
                <w:rFonts w:cs="Arial"/>
                <w:sz w:val="18"/>
                <w:szCs w:val="18"/>
              </w:rPr>
            </w:pPr>
            <w:r w:rsidRPr="004A5BF7">
              <w:rPr>
                <w:rFonts w:cs="Arial"/>
                <w:sz w:val="18"/>
                <w:szCs w:val="18"/>
              </w:rPr>
              <w:t>Barron</w:t>
            </w:r>
          </w:p>
        </w:tc>
        <w:tc>
          <w:tcPr>
            <w:tcW w:w="564" w:type="pct"/>
            <w:tcBorders>
              <w:top w:val="nil"/>
              <w:left w:val="nil"/>
              <w:bottom w:val="nil"/>
              <w:right w:val="nil"/>
            </w:tcBorders>
            <w:shd w:val="clear" w:color="auto" w:fill="auto"/>
            <w:noWrap/>
            <w:vAlign w:val="center"/>
            <w:hideMark/>
          </w:tcPr>
          <w:p w14:paraId="13383F5B"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304" w:type="pct"/>
            <w:tcBorders>
              <w:top w:val="nil"/>
              <w:left w:val="nil"/>
              <w:bottom w:val="nil"/>
              <w:right w:val="nil"/>
            </w:tcBorders>
            <w:shd w:val="clear" w:color="auto" w:fill="auto"/>
            <w:noWrap/>
            <w:vAlign w:val="center"/>
            <w:hideMark/>
          </w:tcPr>
          <w:p w14:paraId="6FE34A2A" w14:textId="77777777" w:rsidR="00B66CC3" w:rsidRPr="004A5BF7" w:rsidRDefault="00B66CC3" w:rsidP="00B66CC3">
            <w:pPr>
              <w:spacing w:before="0" w:after="0"/>
              <w:jc w:val="center"/>
              <w:rPr>
                <w:rFonts w:cs="Arial"/>
                <w:sz w:val="18"/>
                <w:szCs w:val="18"/>
              </w:rPr>
            </w:pPr>
            <w:r w:rsidRPr="004A5BF7">
              <w:rPr>
                <w:rFonts w:cs="Arial"/>
                <w:sz w:val="18"/>
                <w:szCs w:val="18"/>
              </w:rPr>
              <w:t>6</w:t>
            </w:r>
          </w:p>
        </w:tc>
        <w:tc>
          <w:tcPr>
            <w:tcW w:w="304" w:type="pct"/>
            <w:tcBorders>
              <w:top w:val="nil"/>
              <w:left w:val="nil"/>
              <w:bottom w:val="nil"/>
              <w:right w:val="nil"/>
            </w:tcBorders>
            <w:shd w:val="clear" w:color="auto" w:fill="auto"/>
            <w:noWrap/>
            <w:vAlign w:val="center"/>
            <w:hideMark/>
          </w:tcPr>
          <w:p w14:paraId="7DA131BA" w14:textId="77777777" w:rsidR="00B66CC3" w:rsidRPr="004A5BF7" w:rsidRDefault="00B66CC3" w:rsidP="00B66CC3">
            <w:pPr>
              <w:spacing w:before="0" w:after="0"/>
              <w:jc w:val="center"/>
              <w:rPr>
                <w:rFonts w:cs="Arial"/>
                <w:sz w:val="18"/>
                <w:szCs w:val="18"/>
              </w:rPr>
            </w:pPr>
            <w:r w:rsidRPr="004A5BF7">
              <w:rPr>
                <w:rFonts w:cs="Arial"/>
                <w:sz w:val="18"/>
                <w:szCs w:val="18"/>
              </w:rPr>
              <w:t>48</w:t>
            </w:r>
          </w:p>
        </w:tc>
        <w:tc>
          <w:tcPr>
            <w:tcW w:w="304" w:type="pct"/>
            <w:tcBorders>
              <w:top w:val="nil"/>
              <w:left w:val="nil"/>
              <w:bottom w:val="nil"/>
              <w:right w:val="nil"/>
            </w:tcBorders>
            <w:shd w:val="clear" w:color="auto" w:fill="auto"/>
            <w:noWrap/>
            <w:vAlign w:val="center"/>
            <w:hideMark/>
          </w:tcPr>
          <w:p w14:paraId="2BFDB22B" w14:textId="77777777" w:rsidR="00B66CC3" w:rsidRPr="004A5BF7" w:rsidRDefault="00B66CC3" w:rsidP="00B66CC3">
            <w:pPr>
              <w:spacing w:before="0" w:after="0"/>
              <w:jc w:val="center"/>
              <w:rPr>
                <w:rFonts w:cs="Arial"/>
                <w:sz w:val="18"/>
                <w:szCs w:val="18"/>
              </w:rPr>
            </w:pPr>
            <w:r w:rsidRPr="004A5BF7">
              <w:rPr>
                <w:rFonts w:cs="Arial"/>
                <w:sz w:val="18"/>
                <w:szCs w:val="18"/>
              </w:rPr>
              <w:t>19</w:t>
            </w:r>
          </w:p>
        </w:tc>
        <w:tc>
          <w:tcPr>
            <w:tcW w:w="304" w:type="pct"/>
            <w:tcBorders>
              <w:top w:val="nil"/>
              <w:left w:val="nil"/>
              <w:bottom w:val="nil"/>
              <w:right w:val="nil"/>
            </w:tcBorders>
            <w:shd w:val="clear" w:color="auto" w:fill="auto"/>
            <w:noWrap/>
            <w:vAlign w:val="center"/>
            <w:hideMark/>
          </w:tcPr>
          <w:p w14:paraId="3EA8F05E" w14:textId="77777777" w:rsidR="00B66CC3" w:rsidRPr="004A5BF7" w:rsidRDefault="00B66CC3" w:rsidP="00B66CC3">
            <w:pPr>
              <w:spacing w:before="0" w:after="0"/>
              <w:jc w:val="center"/>
              <w:rPr>
                <w:rFonts w:cs="Arial"/>
                <w:sz w:val="18"/>
                <w:szCs w:val="18"/>
              </w:rPr>
            </w:pPr>
            <w:r w:rsidRPr="004A5BF7">
              <w:rPr>
                <w:rFonts w:cs="Arial"/>
                <w:sz w:val="18"/>
                <w:szCs w:val="18"/>
              </w:rPr>
              <w:t>38</w:t>
            </w:r>
          </w:p>
        </w:tc>
        <w:tc>
          <w:tcPr>
            <w:tcW w:w="304" w:type="pct"/>
            <w:tcBorders>
              <w:top w:val="nil"/>
              <w:left w:val="nil"/>
              <w:bottom w:val="nil"/>
              <w:right w:val="nil"/>
            </w:tcBorders>
            <w:shd w:val="clear" w:color="auto" w:fill="auto"/>
            <w:noWrap/>
            <w:vAlign w:val="center"/>
            <w:hideMark/>
          </w:tcPr>
          <w:p w14:paraId="721A0A55" w14:textId="77777777" w:rsidR="00B66CC3" w:rsidRPr="004A5BF7" w:rsidRDefault="00B66CC3" w:rsidP="00B66CC3">
            <w:pPr>
              <w:spacing w:before="0" w:after="0"/>
              <w:jc w:val="center"/>
              <w:rPr>
                <w:rFonts w:cs="Arial"/>
                <w:sz w:val="18"/>
                <w:szCs w:val="18"/>
              </w:rPr>
            </w:pPr>
            <w:r w:rsidRPr="004A5BF7">
              <w:rPr>
                <w:rFonts w:cs="Arial"/>
                <w:sz w:val="18"/>
                <w:szCs w:val="18"/>
              </w:rPr>
              <w:t>21</w:t>
            </w:r>
          </w:p>
        </w:tc>
        <w:tc>
          <w:tcPr>
            <w:tcW w:w="304" w:type="pct"/>
            <w:tcBorders>
              <w:top w:val="nil"/>
              <w:left w:val="nil"/>
              <w:bottom w:val="nil"/>
              <w:right w:val="nil"/>
            </w:tcBorders>
            <w:shd w:val="clear" w:color="auto" w:fill="auto"/>
            <w:noWrap/>
            <w:vAlign w:val="center"/>
            <w:hideMark/>
          </w:tcPr>
          <w:p w14:paraId="6C0B43F4" w14:textId="77777777" w:rsidR="00B66CC3" w:rsidRPr="004A5BF7" w:rsidRDefault="00B66CC3" w:rsidP="00B66CC3">
            <w:pPr>
              <w:spacing w:before="0" w:after="0"/>
              <w:jc w:val="center"/>
              <w:rPr>
                <w:rFonts w:cs="Arial"/>
                <w:sz w:val="18"/>
                <w:szCs w:val="18"/>
              </w:rPr>
            </w:pPr>
            <w:r w:rsidRPr="004A5BF7">
              <w:rPr>
                <w:rFonts w:cs="Arial"/>
                <w:sz w:val="18"/>
                <w:szCs w:val="18"/>
              </w:rPr>
              <w:t>79</w:t>
            </w:r>
          </w:p>
        </w:tc>
        <w:tc>
          <w:tcPr>
            <w:tcW w:w="304" w:type="pct"/>
            <w:tcBorders>
              <w:top w:val="nil"/>
              <w:left w:val="nil"/>
              <w:bottom w:val="nil"/>
              <w:right w:val="nil"/>
            </w:tcBorders>
            <w:shd w:val="clear" w:color="auto" w:fill="auto"/>
            <w:noWrap/>
            <w:vAlign w:val="center"/>
            <w:hideMark/>
          </w:tcPr>
          <w:p w14:paraId="073AE932" w14:textId="77777777" w:rsidR="00B66CC3" w:rsidRPr="004A5BF7" w:rsidRDefault="00B66CC3" w:rsidP="00B66CC3">
            <w:pPr>
              <w:spacing w:before="0" w:after="0"/>
              <w:jc w:val="center"/>
              <w:rPr>
                <w:rFonts w:cs="Arial"/>
                <w:sz w:val="18"/>
                <w:szCs w:val="18"/>
              </w:rPr>
            </w:pPr>
            <w:r w:rsidRPr="004A5BF7">
              <w:rPr>
                <w:rFonts w:cs="Arial"/>
                <w:sz w:val="18"/>
                <w:szCs w:val="18"/>
              </w:rPr>
              <w:t>38</w:t>
            </w:r>
          </w:p>
        </w:tc>
        <w:tc>
          <w:tcPr>
            <w:tcW w:w="304" w:type="pct"/>
            <w:tcBorders>
              <w:top w:val="nil"/>
              <w:left w:val="nil"/>
              <w:bottom w:val="nil"/>
              <w:right w:val="nil"/>
            </w:tcBorders>
            <w:shd w:val="clear" w:color="auto" w:fill="auto"/>
            <w:noWrap/>
            <w:vAlign w:val="center"/>
            <w:hideMark/>
          </w:tcPr>
          <w:p w14:paraId="7A10D8E2" w14:textId="77777777" w:rsidR="00B66CC3" w:rsidRPr="004A5BF7" w:rsidRDefault="00B66CC3" w:rsidP="00B66CC3">
            <w:pPr>
              <w:spacing w:before="0" w:after="0"/>
              <w:jc w:val="center"/>
              <w:rPr>
                <w:rFonts w:cs="Arial"/>
                <w:sz w:val="18"/>
                <w:szCs w:val="18"/>
              </w:rPr>
            </w:pPr>
            <w:r w:rsidRPr="004A5BF7">
              <w:rPr>
                <w:rFonts w:cs="Arial"/>
                <w:sz w:val="18"/>
                <w:szCs w:val="18"/>
              </w:rPr>
              <w:t>24</w:t>
            </w:r>
          </w:p>
        </w:tc>
        <w:tc>
          <w:tcPr>
            <w:tcW w:w="304" w:type="pct"/>
            <w:tcBorders>
              <w:top w:val="nil"/>
              <w:left w:val="nil"/>
              <w:bottom w:val="nil"/>
              <w:right w:val="nil"/>
            </w:tcBorders>
            <w:shd w:val="clear" w:color="auto" w:fill="auto"/>
            <w:noWrap/>
            <w:vAlign w:val="center"/>
            <w:hideMark/>
          </w:tcPr>
          <w:p w14:paraId="735D5F5E" w14:textId="77777777" w:rsidR="00B66CC3" w:rsidRPr="004A5BF7" w:rsidRDefault="00B66CC3" w:rsidP="00B66CC3">
            <w:pPr>
              <w:spacing w:before="0" w:after="0"/>
              <w:jc w:val="center"/>
              <w:rPr>
                <w:rFonts w:cs="Arial"/>
                <w:sz w:val="18"/>
                <w:szCs w:val="18"/>
              </w:rPr>
            </w:pPr>
            <w:r w:rsidRPr="004A5BF7">
              <w:rPr>
                <w:rFonts w:cs="Arial"/>
                <w:sz w:val="18"/>
                <w:szCs w:val="18"/>
              </w:rPr>
              <w:t>92</w:t>
            </w:r>
          </w:p>
        </w:tc>
        <w:tc>
          <w:tcPr>
            <w:tcW w:w="304" w:type="pct"/>
            <w:tcBorders>
              <w:top w:val="nil"/>
              <w:left w:val="nil"/>
              <w:bottom w:val="nil"/>
              <w:right w:val="nil"/>
            </w:tcBorders>
            <w:shd w:val="clear" w:color="auto" w:fill="auto"/>
            <w:noWrap/>
            <w:vAlign w:val="center"/>
            <w:hideMark/>
          </w:tcPr>
          <w:p w14:paraId="6020905C" w14:textId="77777777" w:rsidR="00B66CC3" w:rsidRPr="004A5BF7" w:rsidRDefault="00B66CC3" w:rsidP="00B66CC3">
            <w:pPr>
              <w:spacing w:before="0" w:after="0"/>
              <w:jc w:val="center"/>
              <w:rPr>
                <w:rFonts w:cs="Arial"/>
                <w:sz w:val="18"/>
                <w:szCs w:val="18"/>
              </w:rPr>
            </w:pPr>
            <w:r w:rsidRPr="004A5BF7">
              <w:rPr>
                <w:rFonts w:cs="Arial"/>
                <w:sz w:val="18"/>
                <w:szCs w:val="18"/>
              </w:rPr>
              <w:t>37</w:t>
            </w:r>
          </w:p>
        </w:tc>
        <w:tc>
          <w:tcPr>
            <w:tcW w:w="304" w:type="pct"/>
            <w:tcBorders>
              <w:top w:val="nil"/>
              <w:left w:val="nil"/>
              <w:bottom w:val="nil"/>
              <w:right w:val="nil"/>
            </w:tcBorders>
            <w:shd w:val="clear" w:color="auto" w:fill="auto"/>
            <w:noWrap/>
            <w:vAlign w:val="center"/>
            <w:hideMark/>
          </w:tcPr>
          <w:p w14:paraId="5C4EF2F6" w14:textId="77777777" w:rsidR="00B66CC3" w:rsidRPr="004A5BF7" w:rsidRDefault="00B66CC3" w:rsidP="00B66CC3">
            <w:pPr>
              <w:spacing w:before="0" w:after="0"/>
              <w:jc w:val="center"/>
              <w:rPr>
                <w:rFonts w:cs="Arial"/>
                <w:sz w:val="18"/>
                <w:szCs w:val="18"/>
              </w:rPr>
            </w:pPr>
            <w:r w:rsidRPr="004A5BF7">
              <w:rPr>
                <w:rFonts w:cs="Arial"/>
                <w:sz w:val="18"/>
                <w:szCs w:val="18"/>
              </w:rPr>
              <w:t>14</w:t>
            </w:r>
          </w:p>
        </w:tc>
        <w:tc>
          <w:tcPr>
            <w:tcW w:w="304" w:type="pct"/>
            <w:tcBorders>
              <w:top w:val="nil"/>
              <w:left w:val="nil"/>
              <w:bottom w:val="nil"/>
              <w:right w:val="nil"/>
            </w:tcBorders>
            <w:shd w:val="clear" w:color="auto" w:fill="auto"/>
            <w:noWrap/>
            <w:vAlign w:val="center"/>
            <w:hideMark/>
          </w:tcPr>
          <w:p w14:paraId="5BCBA387" w14:textId="77777777" w:rsidR="00B66CC3" w:rsidRPr="004A5BF7" w:rsidRDefault="00B66CC3" w:rsidP="00B66CC3">
            <w:pPr>
              <w:spacing w:before="0" w:after="0"/>
              <w:jc w:val="center"/>
              <w:rPr>
                <w:rFonts w:cs="Arial"/>
                <w:sz w:val="18"/>
                <w:szCs w:val="18"/>
              </w:rPr>
            </w:pPr>
            <w:r w:rsidRPr="004A5BF7">
              <w:rPr>
                <w:rFonts w:cs="Arial"/>
                <w:sz w:val="18"/>
                <w:szCs w:val="18"/>
              </w:rPr>
              <w:t>29</w:t>
            </w:r>
          </w:p>
        </w:tc>
        <w:tc>
          <w:tcPr>
            <w:tcW w:w="304" w:type="pct"/>
            <w:tcBorders>
              <w:top w:val="nil"/>
              <w:left w:val="nil"/>
              <w:bottom w:val="nil"/>
              <w:right w:val="nil"/>
            </w:tcBorders>
            <w:shd w:val="clear" w:color="auto" w:fill="auto"/>
            <w:noWrap/>
            <w:vAlign w:val="center"/>
            <w:hideMark/>
          </w:tcPr>
          <w:p w14:paraId="2E4D5BEB" w14:textId="77777777" w:rsidR="00B66CC3" w:rsidRPr="004A5BF7" w:rsidRDefault="00B66CC3" w:rsidP="00B66CC3">
            <w:pPr>
              <w:spacing w:before="0" w:after="0"/>
              <w:jc w:val="center"/>
              <w:rPr>
                <w:rFonts w:cs="Arial"/>
                <w:sz w:val="18"/>
                <w:szCs w:val="18"/>
              </w:rPr>
            </w:pPr>
            <w:r w:rsidRPr="004A5BF7">
              <w:rPr>
                <w:rFonts w:cs="Arial"/>
                <w:sz w:val="18"/>
                <w:szCs w:val="18"/>
              </w:rPr>
              <w:t>17</w:t>
            </w:r>
          </w:p>
        </w:tc>
      </w:tr>
      <w:tr w:rsidR="00B66CC3" w:rsidRPr="00E9409C" w14:paraId="66B2BF82" w14:textId="77777777" w:rsidTr="00B66CC3">
        <w:trPr>
          <w:trHeight w:val="454"/>
        </w:trPr>
        <w:tc>
          <w:tcPr>
            <w:tcW w:w="484" w:type="pct"/>
            <w:tcBorders>
              <w:top w:val="nil"/>
              <w:left w:val="nil"/>
              <w:bottom w:val="nil"/>
              <w:right w:val="nil"/>
            </w:tcBorders>
            <w:shd w:val="clear" w:color="auto" w:fill="auto"/>
            <w:noWrap/>
            <w:vAlign w:val="center"/>
            <w:hideMark/>
          </w:tcPr>
          <w:p w14:paraId="78057FEB" w14:textId="77777777" w:rsidR="00B66CC3" w:rsidRPr="004A5BF7" w:rsidRDefault="00B66CC3" w:rsidP="004A5BF7">
            <w:pPr>
              <w:spacing w:before="0" w:after="0"/>
              <w:jc w:val="left"/>
              <w:rPr>
                <w:rFonts w:cs="Arial"/>
                <w:sz w:val="18"/>
                <w:szCs w:val="18"/>
              </w:rPr>
            </w:pPr>
            <w:r w:rsidRPr="004A5BF7">
              <w:rPr>
                <w:rFonts w:cs="Arial"/>
                <w:sz w:val="18"/>
                <w:szCs w:val="18"/>
              </w:rPr>
              <w:t>Russell-Mulgrave</w:t>
            </w:r>
          </w:p>
        </w:tc>
        <w:tc>
          <w:tcPr>
            <w:tcW w:w="564" w:type="pct"/>
            <w:tcBorders>
              <w:top w:val="nil"/>
              <w:left w:val="nil"/>
              <w:bottom w:val="nil"/>
              <w:right w:val="nil"/>
            </w:tcBorders>
            <w:shd w:val="clear" w:color="auto" w:fill="auto"/>
            <w:noWrap/>
            <w:vAlign w:val="center"/>
            <w:hideMark/>
          </w:tcPr>
          <w:p w14:paraId="06095269"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304" w:type="pct"/>
            <w:tcBorders>
              <w:top w:val="nil"/>
              <w:left w:val="nil"/>
              <w:bottom w:val="nil"/>
              <w:right w:val="nil"/>
            </w:tcBorders>
            <w:shd w:val="clear" w:color="auto" w:fill="auto"/>
            <w:noWrap/>
            <w:vAlign w:val="center"/>
            <w:hideMark/>
          </w:tcPr>
          <w:p w14:paraId="2EAB3952" w14:textId="77777777" w:rsidR="00B66CC3" w:rsidRPr="004A5BF7" w:rsidRDefault="00B66CC3" w:rsidP="00B66CC3">
            <w:pPr>
              <w:spacing w:before="0" w:after="0"/>
              <w:jc w:val="center"/>
              <w:rPr>
                <w:rFonts w:cs="Arial"/>
                <w:sz w:val="18"/>
                <w:szCs w:val="18"/>
              </w:rPr>
            </w:pPr>
            <w:r w:rsidRPr="004A5BF7">
              <w:rPr>
                <w:rFonts w:cs="Arial"/>
                <w:sz w:val="18"/>
                <w:szCs w:val="18"/>
              </w:rPr>
              <w:t>280</w:t>
            </w:r>
          </w:p>
        </w:tc>
        <w:tc>
          <w:tcPr>
            <w:tcW w:w="304" w:type="pct"/>
            <w:tcBorders>
              <w:top w:val="nil"/>
              <w:left w:val="nil"/>
              <w:bottom w:val="nil"/>
              <w:right w:val="nil"/>
            </w:tcBorders>
            <w:shd w:val="clear" w:color="auto" w:fill="auto"/>
            <w:noWrap/>
            <w:vAlign w:val="center"/>
            <w:hideMark/>
          </w:tcPr>
          <w:p w14:paraId="79C2DAF3" w14:textId="77777777" w:rsidR="00B66CC3" w:rsidRPr="004A5BF7" w:rsidRDefault="00B66CC3" w:rsidP="00B66CC3">
            <w:pPr>
              <w:spacing w:before="0" w:after="0"/>
              <w:jc w:val="center"/>
              <w:rPr>
                <w:rFonts w:cs="Arial"/>
                <w:sz w:val="18"/>
                <w:szCs w:val="18"/>
              </w:rPr>
            </w:pPr>
            <w:r w:rsidRPr="004A5BF7">
              <w:rPr>
                <w:rFonts w:cs="Arial"/>
                <w:sz w:val="18"/>
                <w:szCs w:val="18"/>
              </w:rPr>
              <w:t>970</w:t>
            </w:r>
          </w:p>
        </w:tc>
        <w:tc>
          <w:tcPr>
            <w:tcW w:w="304" w:type="pct"/>
            <w:tcBorders>
              <w:top w:val="nil"/>
              <w:left w:val="nil"/>
              <w:bottom w:val="nil"/>
              <w:right w:val="nil"/>
            </w:tcBorders>
            <w:shd w:val="clear" w:color="auto" w:fill="auto"/>
            <w:noWrap/>
            <w:vAlign w:val="center"/>
            <w:hideMark/>
          </w:tcPr>
          <w:p w14:paraId="43568627" w14:textId="77777777" w:rsidR="00B66CC3" w:rsidRPr="004A5BF7" w:rsidRDefault="00B66CC3" w:rsidP="00B66CC3">
            <w:pPr>
              <w:spacing w:before="0" w:after="0"/>
              <w:jc w:val="center"/>
              <w:rPr>
                <w:rFonts w:cs="Arial"/>
                <w:sz w:val="18"/>
                <w:szCs w:val="18"/>
              </w:rPr>
            </w:pPr>
            <w:r w:rsidRPr="004A5BF7">
              <w:rPr>
                <w:rFonts w:cs="Arial"/>
                <w:sz w:val="18"/>
                <w:szCs w:val="18"/>
              </w:rPr>
              <w:t>434</w:t>
            </w:r>
          </w:p>
        </w:tc>
        <w:tc>
          <w:tcPr>
            <w:tcW w:w="304" w:type="pct"/>
            <w:tcBorders>
              <w:top w:val="nil"/>
              <w:left w:val="nil"/>
              <w:bottom w:val="nil"/>
              <w:right w:val="nil"/>
            </w:tcBorders>
            <w:shd w:val="clear" w:color="auto" w:fill="auto"/>
            <w:noWrap/>
            <w:vAlign w:val="center"/>
            <w:hideMark/>
          </w:tcPr>
          <w:p w14:paraId="696552F8" w14:textId="77777777" w:rsidR="00B66CC3" w:rsidRPr="004A5BF7" w:rsidRDefault="00B66CC3" w:rsidP="00B66CC3">
            <w:pPr>
              <w:spacing w:before="0" w:after="0"/>
              <w:jc w:val="center"/>
              <w:rPr>
                <w:rFonts w:cs="Arial"/>
                <w:sz w:val="18"/>
                <w:szCs w:val="18"/>
              </w:rPr>
            </w:pPr>
            <w:r w:rsidRPr="004A5BF7">
              <w:rPr>
                <w:rFonts w:cs="Arial"/>
                <w:sz w:val="18"/>
                <w:szCs w:val="18"/>
              </w:rPr>
              <w:t>760</w:t>
            </w:r>
          </w:p>
        </w:tc>
        <w:tc>
          <w:tcPr>
            <w:tcW w:w="304" w:type="pct"/>
            <w:tcBorders>
              <w:top w:val="nil"/>
              <w:left w:val="nil"/>
              <w:bottom w:val="nil"/>
              <w:right w:val="nil"/>
            </w:tcBorders>
            <w:shd w:val="clear" w:color="auto" w:fill="auto"/>
            <w:noWrap/>
            <w:vAlign w:val="center"/>
            <w:hideMark/>
          </w:tcPr>
          <w:p w14:paraId="6F2CD4E6" w14:textId="77777777" w:rsidR="00B66CC3" w:rsidRPr="004A5BF7" w:rsidRDefault="00B66CC3" w:rsidP="00B66CC3">
            <w:pPr>
              <w:spacing w:before="0" w:after="0"/>
              <w:jc w:val="center"/>
              <w:rPr>
                <w:rFonts w:cs="Arial"/>
                <w:sz w:val="18"/>
                <w:szCs w:val="18"/>
              </w:rPr>
            </w:pPr>
            <w:r w:rsidRPr="004A5BF7">
              <w:rPr>
                <w:rFonts w:cs="Arial"/>
                <w:sz w:val="18"/>
                <w:szCs w:val="18"/>
              </w:rPr>
              <w:t>597</w:t>
            </w:r>
          </w:p>
        </w:tc>
        <w:tc>
          <w:tcPr>
            <w:tcW w:w="304" w:type="pct"/>
            <w:tcBorders>
              <w:top w:val="nil"/>
              <w:left w:val="nil"/>
              <w:bottom w:val="nil"/>
              <w:right w:val="nil"/>
            </w:tcBorders>
            <w:shd w:val="clear" w:color="auto" w:fill="auto"/>
            <w:noWrap/>
            <w:vAlign w:val="center"/>
            <w:hideMark/>
          </w:tcPr>
          <w:p w14:paraId="25F06F78" w14:textId="77777777" w:rsidR="00B66CC3" w:rsidRPr="004A5BF7" w:rsidRDefault="00B66CC3" w:rsidP="00B66CC3">
            <w:pPr>
              <w:spacing w:before="0" w:after="0"/>
              <w:jc w:val="center"/>
              <w:rPr>
                <w:rFonts w:cs="Arial"/>
                <w:sz w:val="18"/>
                <w:szCs w:val="18"/>
              </w:rPr>
            </w:pPr>
            <w:r w:rsidRPr="004A5BF7">
              <w:rPr>
                <w:rFonts w:cs="Arial"/>
                <w:sz w:val="18"/>
                <w:szCs w:val="18"/>
              </w:rPr>
              <w:t>707</w:t>
            </w:r>
          </w:p>
        </w:tc>
        <w:tc>
          <w:tcPr>
            <w:tcW w:w="304" w:type="pct"/>
            <w:tcBorders>
              <w:top w:val="nil"/>
              <w:left w:val="nil"/>
              <w:bottom w:val="nil"/>
              <w:right w:val="nil"/>
            </w:tcBorders>
            <w:shd w:val="clear" w:color="auto" w:fill="auto"/>
            <w:noWrap/>
            <w:vAlign w:val="center"/>
            <w:hideMark/>
          </w:tcPr>
          <w:p w14:paraId="13F12870" w14:textId="77777777" w:rsidR="00B66CC3" w:rsidRPr="004A5BF7" w:rsidRDefault="00B66CC3" w:rsidP="00B66CC3">
            <w:pPr>
              <w:spacing w:before="0" w:after="0"/>
              <w:jc w:val="center"/>
              <w:rPr>
                <w:rFonts w:cs="Arial"/>
                <w:sz w:val="18"/>
                <w:szCs w:val="18"/>
              </w:rPr>
            </w:pPr>
            <w:r w:rsidRPr="004A5BF7">
              <w:rPr>
                <w:rFonts w:cs="Arial"/>
                <w:sz w:val="18"/>
                <w:szCs w:val="18"/>
              </w:rPr>
              <w:t>549</w:t>
            </w:r>
          </w:p>
        </w:tc>
        <w:tc>
          <w:tcPr>
            <w:tcW w:w="304" w:type="pct"/>
            <w:tcBorders>
              <w:top w:val="nil"/>
              <w:left w:val="nil"/>
              <w:bottom w:val="nil"/>
              <w:right w:val="nil"/>
            </w:tcBorders>
            <w:shd w:val="clear" w:color="auto" w:fill="auto"/>
            <w:noWrap/>
            <w:vAlign w:val="center"/>
            <w:hideMark/>
          </w:tcPr>
          <w:p w14:paraId="25A8FBFF" w14:textId="77777777" w:rsidR="00B66CC3" w:rsidRPr="004A5BF7" w:rsidRDefault="00B66CC3" w:rsidP="00B66CC3">
            <w:pPr>
              <w:spacing w:before="0" w:after="0"/>
              <w:jc w:val="center"/>
              <w:rPr>
                <w:rFonts w:cs="Arial"/>
                <w:sz w:val="18"/>
                <w:szCs w:val="18"/>
              </w:rPr>
            </w:pPr>
            <w:r w:rsidRPr="004A5BF7">
              <w:rPr>
                <w:rFonts w:cs="Arial"/>
                <w:sz w:val="18"/>
                <w:szCs w:val="18"/>
              </w:rPr>
              <w:t>534</w:t>
            </w:r>
          </w:p>
        </w:tc>
        <w:tc>
          <w:tcPr>
            <w:tcW w:w="304" w:type="pct"/>
            <w:tcBorders>
              <w:top w:val="nil"/>
              <w:left w:val="nil"/>
              <w:bottom w:val="nil"/>
              <w:right w:val="nil"/>
            </w:tcBorders>
            <w:shd w:val="clear" w:color="auto" w:fill="auto"/>
            <w:noWrap/>
            <w:vAlign w:val="center"/>
            <w:hideMark/>
          </w:tcPr>
          <w:p w14:paraId="5ED83F06" w14:textId="77777777" w:rsidR="00B66CC3" w:rsidRPr="004A5BF7" w:rsidRDefault="00B66CC3" w:rsidP="00B66CC3">
            <w:pPr>
              <w:spacing w:before="0" w:after="0"/>
              <w:jc w:val="center"/>
              <w:rPr>
                <w:rFonts w:cs="Arial"/>
                <w:sz w:val="18"/>
                <w:szCs w:val="18"/>
              </w:rPr>
            </w:pPr>
            <w:r w:rsidRPr="004A5BF7">
              <w:rPr>
                <w:rFonts w:cs="Arial"/>
                <w:sz w:val="18"/>
                <w:szCs w:val="18"/>
              </w:rPr>
              <w:t>1,199</w:t>
            </w:r>
          </w:p>
        </w:tc>
        <w:tc>
          <w:tcPr>
            <w:tcW w:w="304" w:type="pct"/>
            <w:tcBorders>
              <w:top w:val="nil"/>
              <w:left w:val="nil"/>
              <w:bottom w:val="nil"/>
              <w:right w:val="nil"/>
            </w:tcBorders>
            <w:shd w:val="clear" w:color="auto" w:fill="auto"/>
            <w:noWrap/>
            <w:vAlign w:val="center"/>
            <w:hideMark/>
          </w:tcPr>
          <w:p w14:paraId="28F6BDC5" w14:textId="77777777" w:rsidR="00B66CC3" w:rsidRPr="004A5BF7" w:rsidRDefault="00B66CC3" w:rsidP="00B66CC3">
            <w:pPr>
              <w:spacing w:before="0" w:after="0"/>
              <w:jc w:val="center"/>
              <w:rPr>
                <w:rFonts w:cs="Arial"/>
                <w:sz w:val="18"/>
                <w:szCs w:val="18"/>
              </w:rPr>
            </w:pPr>
            <w:r w:rsidRPr="004A5BF7">
              <w:rPr>
                <w:rFonts w:cs="Arial"/>
                <w:sz w:val="18"/>
                <w:szCs w:val="18"/>
              </w:rPr>
              <w:t>822</w:t>
            </w:r>
          </w:p>
        </w:tc>
        <w:tc>
          <w:tcPr>
            <w:tcW w:w="304" w:type="pct"/>
            <w:tcBorders>
              <w:top w:val="nil"/>
              <w:left w:val="nil"/>
              <w:bottom w:val="nil"/>
              <w:right w:val="nil"/>
            </w:tcBorders>
            <w:shd w:val="clear" w:color="auto" w:fill="auto"/>
            <w:noWrap/>
            <w:vAlign w:val="center"/>
            <w:hideMark/>
          </w:tcPr>
          <w:p w14:paraId="1CDAFA52" w14:textId="77777777" w:rsidR="00B66CC3" w:rsidRPr="004A5BF7" w:rsidRDefault="00B66CC3" w:rsidP="00B66CC3">
            <w:pPr>
              <w:spacing w:before="0" w:after="0"/>
              <w:jc w:val="center"/>
              <w:rPr>
                <w:rFonts w:cs="Arial"/>
                <w:sz w:val="18"/>
                <w:szCs w:val="18"/>
              </w:rPr>
            </w:pPr>
            <w:r w:rsidRPr="004A5BF7">
              <w:rPr>
                <w:rFonts w:cs="Arial"/>
                <w:sz w:val="18"/>
                <w:szCs w:val="18"/>
              </w:rPr>
              <w:t>437</w:t>
            </w:r>
          </w:p>
        </w:tc>
        <w:tc>
          <w:tcPr>
            <w:tcW w:w="304" w:type="pct"/>
            <w:tcBorders>
              <w:top w:val="nil"/>
              <w:left w:val="nil"/>
              <w:bottom w:val="nil"/>
              <w:right w:val="nil"/>
            </w:tcBorders>
            <w:shd w:val="clear" w:color="auto" w:fill="auto"/>
            <w:noWrap/>
            <w:vAlign w:val="center"/>
            <w:hideMark/>
          </w:tcPr>
          <w:p w14:paraId="17C1E7C5" w14:textId="77777777" w:rsidR="00B66CC3" w:rsidRPr="004A5BF7" w:rsidRDefault="00B66CC3" w:rsidP="00B66CC3">
            <w:pPr>
              <w:spacing w:before="0" w:after="0"/>
              <w:jc w:val="center"/>
              <w:rPr>
                <w:rFonts w:cs="Arial"/>
                <w:sz w:val="18"/>
                <w:szCs w:val="18"/>
              </w:rPr>
            </w:pPr>
            <w:r w:rsidRPr="004A5BF7">
              <w:rPr>
                <w:rFonts w:cs="Arial"/>
                <w:sz w:val="18"/>
                <w:szCs w:val="18"/>
              </w:rPr>
              <w:t>711</w:t>
            </w:r>
          </w:p>
        </w:tc>
        <w:tc>
          <w:tcPr>
            <w:tcW w:w="304" w:type="pct"/>
            <w:tcBorders>
              <w:top w:val="nil"/>
              <w:left w:val="nil"/>
              <w:bottom w:val="nil"/>
              <w:right w:val="nil"/>
            </w:tcBorders>
            <w:shd w:val="clear" w:color="auto" w:fill="auto"/>
            <w:noWrap/>
            <w:vAlign w:val="center"/>
            <w:hideMark/>
          </w:tcPr>
          <w:p w14:paraId="04E52B17" w14:textId="77777777" w:rsidR="00B66CC3" w:rsidRPr="004A5BF7" w:rsidRDefault="00B66CC3" w:rsidP="00B66CC3">
            <w:pPr>
              <w:spacing w:before="0" w:after="0"/>
              <w:jc w:val="center"/>
              <w:rPr>
                <w:rFonts w:cs="Arial"/>
                <w:sz w:val="18"/>
                <w:szCs w:val="18"/>
              </w:rPr>
            </w:pPr>
            <w:r w:rsidRPr="004A5BF7">
              <w:rPr>
                <w:rFonts w:cs="Arial"/>
                <w:sz w:val="18"/>
                <w:szCs w:val="18"/>
              </w:rPr>
              <w:t>443</w:t>
            </w:r>
          </w:p>
        </w:tc>
      </w:tr>
      <w:tr w:rsidR="00B66CC3" w:rsidRPr="00E9409C" w14:paraId="4026F82C" w14:textId="77777777" w:rsidTr="00B66CC3">
        <w:trPr>
          <w:trHeight w:val="454"/>
        </w:trPr>
        <w:tc>
          <w:tcPr>
            <w:tcW w:w="484" w:type="pct"/>
            <w:tcBorders>
              <w:top w:val="nil"/>
              <w:left w:val="nil"/>
              <w:bottom w:val="nil"/>
              <w:right w:val="nil"/>
            </w:tcBorders>
            <w:shd w:val="clear" w:color="auto" w:fill="auto"/>
            <w:noWrap/>
            <w:vAlign w:val="center"/>
            <w:hideMark/>
          </w:tcPr>
          <w:p w14:paraId="7269DA3B" w14:textId="77777777" w:rsidR="00B66CC3" w:rsidRPr="004A5BF7" w:rsidRDefault="00B66CC3" w:rsidP="004A5BF7">
            <w:pPr>
              <w:spacing w:before="0" w:after="0"/>
              <w:jc w:val="left"/>
              <w:rPr>
                <w:rFonts w:cs="Arial"/>
                <w:sz w:val="18"/>
                <w:szCs w:val="18"/>
              </w:rPr>
            </w:pPr>
            <w:r w:rsidRPr="004A5BF7">
              <w:rPr>
                <w:rFonts w:cs="Arial"/>
                <w:sz w:val="18"/>
                <w:szCs w:val="18"/>
              </w:rPr>
              <w:t>Johnstone</w:t>
            </w:r>
          </w:p>
        </w:tc>
        <w:tc>
          <w:tcPr>
            <w:tcW w:w="564" w:type="pct"/>
            <w:tcBorders>
              <w:top w:val="nil"/>
              <w:left w:val="nil"/>
              <w:bottom w:val="nil"/>
              <w:right w:val="nil"/>
            </w:tcBorders>
            <w:shd w:val="clear" w:color="auto" w:fill="auto"/>
            <w:noWrap/>
            <w:vAlign w:val="center"/>
            <w:hideMark/>
          </w:tcPr>
          <w:p w14:paraId="61E5FAE0"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304" w:type="pct"/>
            <w:tcBorders>
              <w:top w:val="nil"/>
              <w:left w:val="nil"/>
              <w:bottom w:val="nil"/>
              <w:right w:val="nil"/>
            </w:tcBorders>
            <w:shd w:val="clear" w:color="auto" w:fill="auto"/>
            <w:noWrap/>
            <w:vAlign w:val="center"/>
            <w:hideMark/>
          </w:tcPr>
          <w:p w14:paraId="4ED63D83" w14:textId="77777777" w:rsidR="00B66CC3" w:rsidRPr="004A5BF7" w:rsidRDefault="00B66CC3" w:rsidP="00B66CC3">
            <w:pPr>
              <w:spacing w:before="0" w:after="0"/>
              <w:jc w:val="center"/>
              <w:rPr>
                <w:rFonts w:cs="Arial"/>
                <w:sz w:val="18"/>
                <w:szCs w:val="18"/>
              </w:rPr>
            </w:pPr>
            <w:r w:rsidRPr="004A5BF7">
              <w:rPr>
                <w:rFonts w:cs="Arial"/>
                <w:sz w:val="18"/>
                <w:szCs w:val="18"/>
              </w:rPr>
              <w:t>488</w:t>
            </w:r>
          </w:p>
        </w:tc>
        <w:tc>
          <w:tcPr>
            <w:tcW w:w="304" w:type="pct"/>
            <w:tcBorders>
              <w:top w:val="nil"/>
              <w:left w:val="nil"/>
              <w:bottom w:val="nil"/>
              <w:right w:val="nil"/>
            </w:tcBorders>
            <w:shd w:val="clear" w:color="auto" w:fill="auto"/>
            <w:noWrap/>
            <w:vAlign w:val="center"/>
            <w:hideMark/>
          </w:tcPr>
          <w:p w14:paraId="0C02B823" w14:textId="77777777" w:rsidR="00B66CC3" w:rsidRPr="004A5BF7" w:rsidRDefault="00B66CC3" w:rsidP="00B66CC3">
            <w:pPr>
              <w:spacing w:before="0" w:after="0"/>
              <w:jc w:val="center"/>
              <w:rPr>
                <w:rFonts w:cs="Arial"/>
                <w:sz w:val="18"/>
                <w:szCs w:val="18"/>
              </w:rPr>
            </w:pPr>
            <w:r w:rsidRPr="004A5BF7">
              <w:rPr>
                <w:rFonts w:cs="Arial"/>
                <w:sz w:val="18"/>
                <w:szCs w:val="18"/>
              </w:rPr>
              <w:t>689</w:t>
            </w:r>
          </w:p>
        </w:tc>
        <w:tc>
          <w:tcPr>
            <w:tcW w:w="304" w:type="pct"/>
            <w:tcBorders>
              <w:top w:val="nil"/>
              <w:left w:val="nil"/>
              <w:bottom w:val="nil"/>
              <w:right w:val="nil"/>
            </w:tcBorders>
            <w:shd w:val="clear" w:color="auto" w:fill="auto"/>
            <w:noWrap/>
            <w:vAlign w:val="center"/>
            <w:hideMark/>
          </w:tcPr>
          <w:p w14:paraId="5F5EDF9E" w14:textId="77777777" w:rsidR="00B66CC3" w:rsidRPr="004A5BF7" w:rsidRDefault="00B66CC3" w:rsidP="00B66CC3">
            <w:pPr>
              <w:spacing w:before="0" w:after="0"/>
              <w:jc w:val="center"/>
              <w:rPr>
                <w:rFonts w:cs="Arial"/>
                <w:sz w:val="18"/>
                <w:szCs w:val="18"/>
              </w:rPr>
            </w:pPr>
            <w:r w:rsidRPr="004A5BF7">
              <w:rPr>
                <w:rFonts w:cs="Arial"/>
                <w:sz w:val="18"/>
                <w:szCs w:val="18"/>
              </w:rPr>
              <w:t>846</w:t>
            </w:r>
          </w:p>
        </w:tc>
        <w:tc>
          <w:tcPr>
            <w:tcW w:w="304" w:type="pct"/>
            <w:tcBorders>
              <w:top w:val="nil"/>
              <w:left w:val="nil"/>
              <w:bottom w:val="nil"/>
              <w:right w:val="nil"/>
            </w:tcBorders>
            <w:shd w:val="clear" w:color="auto" w:fill="auto"/>
            <w:noWrap/>
            <w:vAlign w:val="center"/>
            <w:hideMark/>
          </w:tcPr>
          <w:p w14:paraId="55B5A67C" w14:textId="77777777" w:rsidR="00B66CC3" w:rsidRPr="004A5BF7" w:rsidRDefault="00B66CC3" w:rsidP="00B66CC3">
            <w:pPr>
              <w:spacing w:before="0" w:after="0"/>
              <w:jc w:val="center"/>
              <w:rPr>
                <w:rFonts w:cs="Arial"/>
                <w:sz w:val="18"/>
                <w:szCs w:val="18"/>
              </w:rPr>
            </w:pPr>
            <w:r w:rsidRPr="004A5BF7">
              <w:rPr>
                <w:rFonts w:cs="Arial"/>
                <w:sz w:val="18"/>
                <w:szCs w:val="18"/>
              </w:rPr>
              <w:t>1,536</w:t>
            </w:r>
          </w:p>
        </w:tc>
        <w:tc>
          <w:tcPr>
            <w:tcW w:w="304" w:type="pct"/>
            <w:tcBorders>
              <w:top w:val="nil"/>
              <w:left w:val="nil"/>
              <w:bottom w:val="nil"/>
              <w:right w:val="nil"/>
            </w:tcBorders>
            <w:shd w:val="clear" w:color="auto" w:fill="auto"/>
            <w:noWrap/>
            <w:vAlign w:val="center"/>
            <w:hideMark/>
          </w:tcPr>
          <w:p w14:paraId="34C0C714" w14:textId="77777777" w:rsidR="00B66CC3" w:rsidRPr="004A5BF7" w:rsidRDefault="00B66CC3" w:rsidP="00B66CC3">
            <w:pPr>
              <w:spacing w:before="0" w:after="0"/>
              <w:jc w:val="center"/>
              <w:rPr>
                <w:rFonts w:cs="Arial"/>
                <w:sz w:val="18"/>
                <w:szCs w:val="18"/>
              </w:rPr>
            </w:pPr>
            <w:r w:rsidRPr="004A5BF7">
              <w:rPr>
                <w:rFonts w:cs="Arial"/>
                <w:sz w:val="18"/>
                <w:szCs w:val="18"/>
              </w:rPr>
              <w:t>1,326</w:t>
            </w:r>
          </w:p>
        </w:tc>
        <w:tc>
          <w:tcPr>
            <w:tcW w:w="304" w:type="pct"/>
            <w:tcBorders>
              <w:top w:val="nil"/>
              <w:left w:val="nil"/>
              <w:bottom w:val="nil"/>
              <w:right w:val="nil"/>
            </w:tcBorders>
            <w:shd w:val="clear" w:color="auto" w:fill="auto"/>
            <w:noWrap/>
            <w:vAlign w:val="center"/>
            <w:hideMark/>
          </w:tcPr>
          <w:p w14:paraId="62A2108C" w14:textId="77777777" w:rsidR="00B66CC3" w:rsidRPr="004A5BF7" w:rsidRDefault="00B66CC3" w:rsidP="00B66CC3">
            <w:pPr>
              <w:spacing w:before="0" w:after="0"/>
              <w:jc w:val="center"/>
              <w:rPr>
                <w:rFonts w:cs="Arial"/>
                <w:sz w:val="18"/>
                <w:szCs w:val="18"/>
              </w:rPr>
            </w:pPr>
            <w:r w:rsidRPr="004A5BF7">
              <w:rPr>
                <w:rFonts w:cs="Arial"/>
                <w:sz w:val="18"/>
                <w:szCs w:val="18"/>
              </w:rPr>
              <w:t>1,292</w:t>
            </w:r>
          </w:p>
        </w:tc>
        <w:tc>
          <w:tcPr>
            <w:tcW w:w="304" w:type="pct"/>
            <w:tcBorders>
              <w:top w:val="nil"/>
              <w:left w:val="nil"/>
              <w:bottom w:val="nil"/>
              <w:right w:val="nil"/>
            </w:tcBorders>
            <w:shd w:val="clear" w:color="auto" w:fill="auto"/>
            <w:noWrap/>
            <w:vAlign w:val="center"/>
            <w:hideMark/>
          </w:tcPr>
          <w:p w14:paraId="7E61B33B" w14:textId="77777777" w:rsidR="00B66CC3" w:rsidRPr="004A5BF7" w:rsidRDefault="00B66CC3" w:rsidP="00B66CC3">
            <w:pPr>
              <w:spacing w:before="0" w:after="0"/>
              <w:jc w:val="center"/>
              <w:rPr>
                <w:rFonts w:cs="Arial"/>
                <w:sz w:val="18"/>
                <w:szCs w:val="18"/>
              </w:rPr>
            </w:pPr>
            <w:r w:rsidRPr="004A5BF7">
              <w:rPr>
                <w:rFonts w:cs="Arial"/>
                <w:sz w:val="18"/>
                <w:szCs w:val="18"/>
              </w:rPr>
              <w:t>1,935</w:t>
            </w:r>
          </w:p>
        </w:tc>
        <w:tc>
          <w:tcPr>
            <w:tcW w:w="304" w:type="pct"/>
            <w:tcBorders>
              <w:top w:val="nil"/>
              <w:left w:val="nil"/>
              <w:bottom w:val="nil"/>
              <w:right w:val="nil"/>
            </w:tcBorders>
            <w:shd w:val="clear" w:color="auto" w:fill="auto"/>
            <w:noWrap/>
            <w:vAlign w:val="center"/>
            <w:hideMark/>
          </w:tcPr>
          <w:p w14:paraId="0525DF9D" w14:textId="77777777" w:rsidR="00B66CC3" w:rsidRPr="004A5BF7" w:rsidRDefault="00B66CC3" w:rsidP="00B66CC3">
            <w:pPr>
              <w:spacing w:before="0" w:after="0"/>
              <w:jc w:val="center"/>
              <w:rPr>
                <w:rFonts w:cs="Arial"/>
                <w:sz w:val="18"/>
                <w:szCs w:val="18"/>
              </w:rPr>
            </w:pPr>
            <w:r w:rsidRPr="004A5BF7">
              <w:rPr>
                <w:rFonts w:cs="Arial"/>
                <w:sz w:val="18"/>
                <w:szCs w:val="18"/>
              </w:rPr>
              <w:t>1,484</w:t>
            </w:r>
          </w:p>
        </w:tc>
        <w:tc>
          <w:tcPr>
            <w:tcW w:w="304" w:type="pct"/>
            <w:tcBorders>
              <w:top w:val="nil"/>
              <w:left w:val="nil"/>
              <w:bottom w:val="nil"/>
              <w:right w:val="nil"/>
            </w:tcBorders>
            <w:shd w:val="clear" w:color="auto" w:fill="auto"/>
            <w:noWrap/>
            <w:vAlign w:val="center"/>
            <w:hideMark/>
          </w:tcPr>
          <w:p w14:paraId="19004335" w14:textId="77777777" w:rsidR="00B66CC3" w:rsidRPr="004A5BF7" w:rsidRDefault="00B66CC3" w:rsidP="00B66CC3">
            <w:pPr>
              <w:spacing w:before="0" w:after="0"/>
              <w:jc w:val="center"/>
              <w:rPr>
                <w:rFonts w:cs="Arial"/>
                <w:sz w:val="18"/>
                <w:szCs w:val="18"/>
              </w:rPr>
            </w:pPr>
            <w:r w:rsidRPr="004A5BF7">
              <w:rPr>
                <w:rFonts w:cs="Arial"/>
                <w:sz w:val="18"/>
                <w:szCs w:val="18"/>
              </w:rPr>
              <w:t>3,798</w:t>
            </w:r>
          </w:p>
        </w:tc>
        <w:tc>
          <w:tcPr>
            <w:tcW w:w="304" w:type="pct"/>
            <w:tcBorders>
              <w:top w:val="nil"/>
              <w:left w:val="nil"/>
              <w:bottom w:val="nil"/>
              <w:right w:val="nil"/>
            </w:tcBorders>
            <w:shd w:val="clear" w:color="auto" w:fill="auto"/>
            <w:noWrap/>
            <w:vAlign w:val="center"/>
            <w:hideMark/>
          </w:tcPr>
          <w:p w14:paraId="3A1F126F" w14:textId="77777777" w:rsidR="00B66CC3" w:rsidRPr="004A5BF7" w:rsidRDefault="00B66CC3" w:rsidP="00B66CC3">
            <w:pPr>
              <w:spacing w:before="0" w:after="0"/>
              <w:jc w:val="center"/>
              <w:rPr>
                <w:rFonts w:cs="Arial"/>
                <w:sz w:val="18"/>
                <w:szCs w:val="18"/>
              </w:rPr>
            </w:pPr>
            <w:r w:rsidRPr="004A5BF7">
              <w:rPr>
                <w:rFonts w:cs="Arial"/>
                <w:sz w:val="18"/>
                <w:szCs w:val="18"/>
              </w:rPr>
              <w:t>2,219</w:t>
            </w:r>
          </w:p>
        </w:tc>
        <w:tc>
          <w:tcPr>
            <w:tcW w:w="304" w:type="pct"/>
            <w:tcBorders>
              <w:top w:val="nil"/>
              <w:left w:val="nil"/>
              <w:bottom w:val="nil"/>
              <w:right w:val="nil"/>
            </w:tcBorders>
            <w:shd w:val="clear" w:color="auto" w:fill="auto"/>
            <w:noWrap/>
            <w:vAlign w:val="center"/>
            <w:hideMark/>
          </w:tcPr>
          <w:p w14:paraId="5512FF6B" w14:textId="77777777" w:rsidR="00B66CC3" w:rsidRPr="004A5BF7" w:rsidRDefault="00B66CC3" w:rsidP="00B66CC3">
            <w:pPr>
              <w:spacing w:before="0" w:after="0"/>
              <w:jc w:val="center"/>
              <w:rPr>
                <w:rFonts w:cs="Arial"/>
                <w:sz w:val="18"/>
                <w:szCs w:val="18"/>
              </w:rPr>
            </w:pPr>
            <w:r w:rsidRPr="004A5BF7">
              <w:rPr>
                <w:rFonts w:cs="Arial"/>
                <w:sz w:val="18"/>
                <w:szCs w:val="18"/>
              </w:rPr>
              <w:t>1,386</w:t>
            </w:r>
          </w:p>
        </w:tc>
        <w:tc>
          <w:tcPr>
            <w:tcW w:w="304" w:type="pct"/>
            <w:tcBorders>
              <w:top w:val="nil"/>
              <w:left w:val="nil"/>
              <w:bottom w:val="nil"/>
              <w:right w:val="nil"/>
            </w:tcBorders>
            <w:shd w:val="clear" w:color="auto" w:fill="auto"/>
            <w:noWrap/>
            <w:vAlign w:val="center"/>
            <w:hideMark/>
          </w:tcPr>
          <w:p w14:paraId="54DD9691" w14:textId="77777777" w:rsidR="00B66CC3" w:rsidRPr="004A5BF7" w:rsidRDefault="00B66CC3" w:rsidP="00B66CC3">
            <w:pPr>
              <w:spacing w:before="0" w:after="0"/>
              <w:jc w:val="center"/>
              <w:rPr>
                <w:rFonts w:cs="Arial"/>
                <w:sz w:val="18"/>
                <w:szCs w:val="18"/>
              </w:rPr>
            </w:pPr>
            <w:r w:rsidRPr="004A5BF7">
              <w:rPr>
                <w:rFonts w:cs="Arial"/>
                <w:sz w:val="18"/>
                <w:szCs w:val="18"/>
              </w:rPr>
              <w:t>2,043</w:t>
            </w:r>
          </w:p>
        </w:tc>
        <w:tc>
          <w:tcPr>
            <w:tcW w:w="304" w:type="pct"/>
            <w:tcBorders>
              <w:top w:val="nil"/>
              <w:left w:val="nil"/>
              <w:bottom w:val="nil"/>
              <w:right w:val="nil"/>
            </w:tcBorders>
            <w:shd w:val="clear" w:color="auto" w:fill="auto"/>
            <w:noWrap/>
            <w:vAlign w:val="center"/>
            <w:hideMark/>
          </w:tcPr>
          <w:p w14:paraId="53E62BB1" w14:textId="77777777" w:rsidR="00B66CC3" w:rsidRPr="004A5BF7" w:rsidRDefault="00B66CC3" w:rsidP="00B66CC3">
            <w:pPr>
              <w:spacing w:before="0" w:after="0"/>
              <w:jc w:val="center"/>
              <w:rPr>
                <w:rFonts w:cs="Arial"/>
                <w:sz w:val="18"/>
                <w:szCs w:val="18"/>
              </w:rPr>
            </w:pPr>
            <w:r w:rsidRPr="004A5BF7">
              <w:rPr>
                <w:rFonts w:cs="Arial"/>
                <w:sz w:val="18"/>
                <w:szCs w:val="18"/>
              </w:rPr>
              <w:t>975</w:t>
            </w:r>
          </w:p>
        </w:tc>
      </w:tr>
      <w:tr w:rsidR="00B66CC3" w:rsidRPr="00E9409C" w14:paraId="035EE518" w14:textId="77777777" w:rsidTr="00B66CC3">
        <w:trPr>
          <w:trHeight w:val="454"/>
        </w:trPr>
        <w:tc>
          <w:tcPr>
            <w:tcW w:w="484" w:type="pct"/>
            <w:tcBorders>
              <w:top w:val="nil"/>
              <w:left w:val="nil"/>
              <w:bottom w:val="nil"/>
              <w:right w:val="nil"/>
            </w:tcBorders>
            <w:shd w:val="clear" w:color="auto" w:fill="auto"/>
            <w:noWrap/>
            <w:vAlign w:val="center"/>
            <w:hideMark/>
          </w:tcPr>
          <w:p w14:paraId="320B85C7" w14:textId="77777777" w:rsidR="00B66CC3" w:rsidRPr="004A5BF7" w:rsidRDefault="00B66CC3" w:rsidP="004A5BF7">
            <w:pPr>
              <w:spacing w:before="0" w:after="0"/>
              <w:jc w:val="left"/>
              <w:rPr>
                <w:rFonts w:cs="Arial"/>
                <w:sz w:val="18"/>
                <w:szCs w:val="18"/>
              </w:rPr>
            </w:pPr>
            <w:r w:rsidRPr="004A5BF7">
              <w:rPr>
                <w:rFonts w:cs="Arial"/>
                <w:sz w:val="18"/>
                <w:szCs w:val="18"/>
              </w:rPr>
              <w:t>Tully-Murray</w:t>
            </w:r>
          </w:p>
        </w:tc>
        <w:tc>
          <w:tcPr>
            <w:tcW w:w="564" w:type="pct"/>
            <w:tcBorders>
              <w:top w:val="nil"/>
              <w:left w:val="nil"/>
              <w:bottom w:val="nil"/>
              <w:right w:val="nil"/>
            </w:tcBorders>
            <w:shd w:val="clear" w:color="auto" w:fill="auto"/>
            <w:noWrap/>
            <w:vAlign w:val="center"/>
            <w:hideMark/>
          </w:tcPr>
          <w:p w14:paraId="7F17FC4E"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304" w:type="pct"/>
            <w:tcBorders>
              <w:top w:val="nil"/>
              <w:left w:val="nil"/>
              <w:bottom w:val="nil"/>
              <w:right w:val="nil"/>
            </w:tcBorders>
            <w:shd w:val="clear" w:color="auto" w:fill="auto"/>
            <w:noWrap/>
            <w:vAlign w:val="center"/>
            <w:hideMark/>
          </w:tcPr>
          <w:p w14:paraId="56373472" w14:textId="77777777" w:rsidR="00B66CC3" w:rsidRPr="004A5BF7" w:rsidRDefault="00B66CC3" w:rsidP="00B66CC3">
            <w:pPr>
              <w:spacing w:before="0" w:after="0"/>
              <w:jc w:val="center"/>
              <w:rPr>
                <w:rFonts w:cs="Arial"/>
                <w:sz w:val="18"/>
                <w:szCs w:val="18"/>
              </w:rPr>
            </w:pPr>
            <w:r w:rsidRPr="004A5BF7">
              <w:rPr>
                <w:rFonts w:cs="Arial"/>
                <w:sz w:val="18"/>
                <w:szCs w:val="18"/>
              </w:rPr>
              <w:t>289</w:t>
            </w:r>
          </w:p>
        </w:tc>
        <w:tc>
          <w:tcPr>
            <w:tcW w:w="304" w:type="pct"/>
            <w:tcBorders>
              <w:top w:val="nil"/>
              <w:left w:val="nil"/>
              <w:bottom w:val="nil"/>
              <w:right w:val="nil"/>
            </w:tcBorders>
            <w:shd w:val="clear" w:color="auto" w:fill="auto"/>
            <w:noWrap/>
            <w:vAlign w:val="center"/>
            <w:hideMark/>
          </w:tcPr>
          <w:p w14:paraId="1EE3D9D9" w14:textId="77777777" w:rsidR="00B66CC3" w:rsidRPr="004A5BF7" w:rsidRDefault="00B66CC3" w:rsidP="00B66CC3">
            <w:pPr>
              <w:spacing w:before="0" w:after="0"/>
              <w:jc w:val="center"/>
              <w:rPr>
                <w:rFonts w:cs="Arial"/>
                <w:sz w:val="18"/>
                <w:szCs w:val="18"/>
              </w:rPr>
            </w:pPr>
            <w:r w:rsidRPr="004A5BF7">
              <w:rPr>
                <w:rFonts w:cs="Arial"/>
                <w:sz w:val="18"/>
                <w:szCs w:val="18"/>
              </w:rPr>
              <w:t>686</w:t>
            </w:r>
          </w:p>
        </w:tc>
        <w:tc>
          <w:tcPr>
            <w:tcW w:w="304" w:type="pct"/>
            <w:tcBorders>
              <w:top w:val="nil"/>
              <w:left w:val="nil"/>
              <w:bottom w:val="nil"/>
              <w:right w:val="nil"/>
            </w:tcBorders>
            <w:shd w:val="clear" w:color="auto" w:fill="auto"/>
            <w:noWrap/>
            <w:vAlign w:val="center"/>
            <w:hideMark/>
          </w:tcPr>
          <w:p w14:paraId="26292AE8" w14:textId="77777777" w:rsidR="00B66CC3" w:rsidRPr="004A5BF7" w:rsidRDefault="00B66CC3" w:rsidP="00B66CC3">
            <w:pPr>
              <w:spacing w:before="0" w:after="0"/>
              <w:jc w:val="center"/>
              <w:rPr>
                <w:rFonts w:cs="Arial"/>
                <w:sz w:val="18"/>
                <w:szCs w:val="18"/>
              </w:rPr>
            </w:pPr>
            <w:r w:rsidRPr="004A5BF7">
              <w:rPr>
                <w:rFonts w:cs="Arial"/>
                <w:sz w:val="18"/>
                <w:szCs w:val="18"/>
              </w:rPr>
              <w:t>461</w:t>
            </w:r>
          </w:p>
        </w:tc>
        <w:tc>
          <w:tcPr>
            <w:tcW w:w="304" w:type="pct"/>
            <w:tcBorders>
              <w:top w:val="nil"/>
              <w:left w:val="nil"/>
              <w:bottom w:val="nil"/>
              <w:right w:val="nil"/>
            </w:tcBorders>
            <w:shd w:val="clear" w:color="auto" w:fill="auto"/>
            <w:noWrap/>
            <w:vAlign w:val="center"/>
            <w:hideMark/>
          </w:tcPr>
          <w:p w14:paraId="145FCE4A" w14:textId="77777777" w:rsidR="00B66CC3" w:rsidRPr="004A5BF7" w:rsidRDefault="00B66CC3" w:rsidP="00B66CC3">
            <w:pPr>
              <w:spacing w:before="0" w:after="0"/>
              <w:jc w:val="center"/>
              <w:rPr>
                <w:rFonts w:cs="Arial"/>
                <w:sz w:val="18"/>
                <w:szCs w:val="18"/>
              </w:rPr>
            </w:pPr>
            <w:r w:rsidRPr="004A5BF7">
              <w:rPr>
                <w:rFonts w:cs="Arial"/>
                <w:sz w:val="18"/>
                <w:szCs w:val="18"/>
              </w:rPr>
              <w:t>770</w:t>
            </w:r>
          </w:p>
        </w:tc>
        <w:tc>
          <w:tcPr>
            <w:tcW w:w="304" w:type="pct"/>
            <w:tcBorders>
              <w:top w:val="nil"/>
              <w:left w:val="nil"/>
              <w:bottom w:val="nil"/>
              <w:right w:val="nil"/>
            </w:tcBorders>
            <w:shd w:val="clear" w:color="auto" w:fill="auto"/>
            <w:noWrap/>
            <w:vAlign w:val="center"/>
            <w:hideMark/>
          </w:tcPr>
          <w:p w14:paraId="3A79B5B7" w14:textId="77777777" w:rsidR="00B66CC3" w:rsidRPr="004A5BF7" w:rsidRDefault="00B66CC3" w:rsidP="00B66CC3">
            <w:pPr>
              <w:spacing w:before="0" w:after="0"/>
              <w:jc w:val="center"/>
              <w:rPr>
                <w:rFonts w:cs="Arial"/>
                <w:sz w:val="18"/>
                <w:szCs w:val="18"/>
              </w:rPr>
            </w:pPr>
            <w:r w:rsidRPr="004A5BF7">
              <w:rPr>
                <w:rFonts w:cs="Arial"/>
                <w:sz w:val="18"/>
                <w:szCs w:val="18"/>
              </w:rPr>
              <w:t>824</w:t>
            </w:r>
          </w:p>
        </w:tc>
        <w:tc>
          <w:tcPr>
            <w:tcW w:w="304" w:type="pct"/>
            <w:tcBorders>
              <w:top w:val="nil"/>
              <w:left w:val="nil"/>
              <w:bottom w:val="nil"/>
              <w:right w:val="nil"/>
            </w:tcBorders>
            <w:shd w:val="clear" w:color="auto" w:fill="auto"/>
            <w:noWrap/>
            <w:vAlign w:val="center"/>
            <w:hideMark/>
          </w:tcPr>
          <w:p w14:paraId="6A3CF63C" w14:textId="77777777" w:rsidR="00B66CC3" w:rsidRPr="004A5BF7" w:rsidRDefault="00B66CC3" w:rsidP="00B66CC3">
            <w:pPr>
              <w:spacing w:before="0" w:after="0"/>
              <w:jc w:val="center"/>
              <w:rPr>
                <w:rFonts w:cs="Arial"/>
                <w:sz w:val="18"/>
                <w:szCs w:val="18"/>
              </w:rPr>
            </w:pPr>
            <w:r w:rsidRPr="004A5BF7">
              <w:rPr>
                <w:rFonts w:cs="Arial"/>
                <w:sz w:val="18"/>
                <w:szCs w:val="18"/>
              </w:rPr>
              <w:t>631</w:t>
            </w:r>
          </w:p>
        </w:tc>
        <w:tc>
          <w:tcPr>
            <w:tcW w:w="304" w:type="pct"/>
            <w:tcBorders>
              <w:top w:val="nil"/>
              <w:left w:val="nil"/>
              <w:bottom w:val="nil"/>
              <w:right w:val="nil"/>
            </w:tcBorders>
            <w:shd w:val="clear" w:color="auto" w:fill="auto"/>
            <w:noWrap/>
            <w:vAlign w:val="center"/>
            <w:hideMark/>
          </w:tcPr>
          <w:p w14:paraId="3FBF43F3" w14:textId="77777777" w:rsidR="00B66CC3" w:rsidRPr="004A5BF7" w:rsidRDefault="00B66CC3" w:rsidP="00B66CC3">
            <w:pPr>
              <w:spacing w:before="0" w:after="0"/>
              <w:jc w:val="center"/>
              <w:rPr>
                <w:rFonts w:cs="Arial"/>
                <w:sz w:val="18"/>
                <w:szCs w:val="18"/>
              </w:rPr>
            </w:pPr>
            <w:r w:rsidRPr="004A5BF7">
              <w:rPr>
                <w:rFonts w:cs="Arial"/>
                <w:sz w:val="18"/>
                <w:szCs w:val="18"/>
              </w:rPr>
              <w:t>721</w:t>
            </w:r>
          </w:p>
        </w:tc>
        <w:tc>
          <w:tcPr>
            <w:tcW w:w="304" w:type="pct"/>
            <w:tcBorders>
              <w:top w:val="nil"/>
              <w:left w:val="nil"/>
              <w:bottom w:val="nil"/>
              <w:right w:val="nil"/>
            </w:tcBorders>
            <w:shd w:val="clear" w:color="auto" w:fill="auto"/>
            <w:noWrap/>
            <w:vAlign w:val="center"/>
            <w:hideMark/>
          </w:tcPr>
          <w:p w14:paraId="279E8730" w14:textId="77777777" w:rsidR="00B66CC3" w:rsidRPr="004A5BF7" w:rsidRDefault="00B66CC3" w:rsidP="00B66CC3">
            <w:pPr>
              <w:spacing w:before="0" w:after="0"/>
              <w:jc w:val="center"/>
              <w:rPr>
                <w:rFonts w:cs="Arial"/>
                <w:sz w:val="18"/>
                <w:szCs w:val="18"/>
              </w:rPr>
            </w:pPr>
            <w:r w:rsidRPr="004A5BF7">
              <w:rPr>
                <w:rFonts w:cs="Arial"/>
                <w:sz w:val="18"/>
                <w:szCs w:val="18"/>
              </w:rPr>
              <w:t>573</w:t>
            </w:r>
          </w:p>
        </w:tc>
        <w:tc>
          <w:tcPr>
            <w:tcW w:w="304" w:type="pct"/>
            <w:tcBorders>
              <w:top w:val="nil"/>
              <w:left w:val="nil"/>
              <w:bottom w:val="nil"/>
              <w:right w:val="nil"/>
            </w:tcBorders>
            <w:shd w:val="clear" w:color="auto" w:fill="auto"/>
            <w:noWrap/>
            <w:vAlign w:val="center"/>
            <w:hideMark/>
          </w:tcPr>
          <w:p w14:paraId="07B501FA" w14:textId="77777777" w:rsidR="00B66CC3" w:rsidRPr="004A5BF7" w:rsidRDefault="00B66CC3" w:rsidP="00B66CC3">
            <w:pPr>
              <w:spacing w:before="0" w:after="0"/>
              <w:jc w:val="center"/>
              <w:rPr>
                <w:rFonts w:cs="Arial"/>
                <w:sz w:val="18"/>
                <w:szCs w:val="18"/>
              </w:rPr>
            </w:pPr>
            <w:r w:rsidRPr="004A5BF7">
              <w:rPr>
                <w:rFonts w:cs="Arial"/>
                <w:sz w:val="18"/>
                <w:szCs w:val="18"/>
              </w:rPr>
              <w:t>1,240</w:t>
            </w:r>
          </w:p>
        </w:tc>
        <w:tc>
          <w:tcPr>
            <w:tcW w:w="304" w:type="pct"/>
            <w:tcBorders>
              <w:top w:val="nil"/>
              <w:left w:val="nil"/>
              <w:bottom w:val="nil"/>
              <w:right w:val="nil"/>
            </w:tcBorders>
            <w:shd w:val="clear" w:color="auto" w:fill="auto"/>
            <w:noWrap/>
            <w:vAlign w:val="center"/>
            <w:hideMark/>
          </w:tcPr>
          <w:p w14:paraId="46197683" w14:textId="77777777" w:rsidR="00B66CC3" w:rsidRPr="004A5BF7" w:rsidRDefault="00B66CC3" w:rsidP="00B66CC3">
            <w:pPr>
              <w:spacing w:before="0" w:after="0"/>
              <w:jc w:val="center"/>
              <w:rPr>
                <w:rFonts w:cs="Arial"/>
                <w:sz w:val="18"/>
                <w:szCs w:val="18"/>
              </w:rPr>
            </w:pPr>
            <w:r w:rsidRPr="004A5BF7">
              <w:rPr>
                <w:rFonts w:cs="Arial"/>
                <w:sz w:val="18"/>
                <w:szCs w:val="18"/>
              </w:rPr>
              <w:t>758</w:t>
            </w:r>
          </w:p>
        </w:tc>
        <w:tc>
          <w:tcPr>
            <w:tcW w:w="304" w:type="pct"/>
            <w:tcBorders>
              <w:top w:val="nil"/>
              <w:left w:val="nil"/>
              <w:bottom w:val="nil"/>
              <w:right w:val="nil"/>
            </w:tcBorders>
            <w:shd w:val="clear" w:color="auto" w:fill="auto"/>
            <w:noWrap/>
            <w:vAlign w:val="center"/>
            <w:hideMark/>
          </w:tcPr>
          <w:p w14:paraId="59E45D40" w14:textId="77777777" w:rsidR="00B66CC3" w:rsidRPr="004A5BF7" w:rsidRDefault="00B66CC3" w:rsidP="00B66CC3">
            <w:pPr>
              <w:spacing w:before="0" w:after="0"/>
              <w:jc w:val="center"/>
              <w:rPr>
                <w:rFonts w:cs="Arial"/>
                <w:sz w:val="18"/>
                <w:szCs w:val="18"/>
              </w:rPr>
            </w:pPr>
            <w:r w:rsidRPr="004A5BF7">
              <w:rPr>
                <w:rFonts w:cs="Arial"/>
                <w:sz w:val="18"/>
                <w:szCs w:val="18"/>
              </w:rPr>
              <w:t>596</w:t>
            </w:r>
          </w:p>
        </w:tc>
        <w:tc>
          <w:tcPr>
            <w:tcW w:w="304" w:type="pct"/>
            <w:tcBorders>
              <w:top w:val="nil"/>
              <w:left w:val="nil"/>
              <w:bottom w:val="nil"/>
              <w:right w:val="nil"/>
            </w:tcBorders>
            <w:shd w:val="clear" w:color="auto" w:fill="auto"/>
            <w:noWrap/>
            <w:vAlign w:val="center"/>
            <w:hideMark/>
          </w:tcPr>
          <w:p w14:paraId="28DA3C0A" w14:textId="77777777" w:rsidR="00B66CC3" w:rsidRPr="004A5BF7" w:rsidRDefault="00B66CC3" w:rsidP="00B66CC3">
            <w:pPr>
              <w:spacing w:before="0" w:after="0"/>
              <w:jc w:val="center"/>
              <w:rPr>
                <w:rFonts w:cs="Arial"/>
                <w:sz w:val="18"/>
                <w:szCs w:val="18"/>
              </w:rPr>
            </w:pPr>
            <w:r w:rsidRPr="004A5BF7">
              <w:rPr>
                <w:rFonts w:cs="Arial"/>
                <w:sz w:val="18"/>
                <w:szCs w:val="18"/>
              </w:rPr>
              <w:t>754</w:t>
            </w:r>
          </w:p>
        </w:tc>
        <w:tc>
          <w:tcPr>
            <w:tcW w:w="304" w:type="pct"/>
            <w:tcBorders>
              <w:top w:val="nil"/>
              <w:left w:val="nil"/>
              <w:bottom w:val="nil"/>
              <w:right w:val="nil"/>
            </w:tcBorders>
            <w:shd w:val="clear" w:color="auto" w:fill="auto"/>
            <w:noWrap/>
            <w:vAlign w:val="center"/>
            <w:hideMark/>
          </w:tcPr>
          <w:p w14:paraId="573E12AA" w14:textId="77777777" w:rsidR="00B66CC3" w:rsidRPr="004A5BF7" w:rsidRDefault="00B66CC3" w:rsidP="00B66CC3">
            <w:pPr>
              <w:spacing w:before="0" w:after="0"/>
              <w:jc w:val="center"/>
              <w:rPr>
                <w:rFonts w:cs="Arial"/>
                <w:sz w:val="18"/>
                <w:szCs w:val="18"/>
              </w:rPr>
            </w:pPr>
            <w:r w:rsidRPr="004A5BF7">
              <w:rPr>
                <w:rFonts w:cs="Arial"/>
                <w:sz w:val="18"/>
                <w:szCs w:val="18"/>
              </w:rPr>
              <w:t>369</w:t>
            </w:r>
          </w:p>
        </w:tc>
      </w:tr>
      <w:tr w:rsidR="00B66CC3" w:rsidRPr="00E9409C" w14:paraId="78470E22" w14:textId="77777777" w:rsidTr="00B66CC3">
        <w:trPr>
          <w:trHeight w:val="454"/>
        </w:trPr>
        <w:tc>
          <w:tcPr>
            <w:tcW w:w="484" w:type="pct"/>
            <w:tcBorders>
              <w:top w:val="nil"/>
              <w:left w:val="nil"/>
              <w:bottom w:val="nil"/>
              <w:right w:val="nil"/>
            </w:tcBorders>
            <w:shd w:val="clear" w:color="auto" w:fill="auto"/>
            <w:noWrap/>
            <w:vAlign w:val="center"/>
            <w:hideMark/>
          </w:tcPr>
          <w:p w14:paraId="6A877B52" w14:textId="77777777" w:rsidR="00B66CC3" w:rsidRPr="004A5BF7" w:rsidRDefault="00B66CC3" w:rsidP="004A5BF7">
            <w:pPr>
              <w:spacing w:before="0" w:after="0"/>
              <w:jc w:val="left"/>
              <w:rPr>
                <w:rFonts w:cs="Arial"/>
                <w:sz w:val="18"/>
                <w:szCs w:val="18"/>
              </w:rPr>
            </w:pPr>
            <w:r w:rsidRPr="004A5BF7">
              <w:rPr>
                <w:rFonts w:cs="Arial"/>
                <w:sz w:val="18"/>
                <w:szCs w:val="18"/>
              </w:rPr>
              <w:t>Herbert</w:t>
            </w:r>
          </w:p>
        </w:tc>
        <w:tc>
          <w:tcPr>
            <w:tcW w:w="564" w:type="pct"/>
            <w:tcBorders>
              <w:top w:val="nil"/>
              <w:left w:val="nil"/>
              <w:bottom w:val="nil"/>
              <w:right w:val="nil"/>
            </w:tcBorders>
            <w:shd w:val="clear" w:color="auto" w:fill="auto"/>
            <w:noWrap/>
            <w:vAlign w:val="center"/>
            <w:hideMark/>
          </w:tcPr>
          <w:p w14:paraId="6A92DC11"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304" w:type="pct"/>
            <w:tcBorders>
              <w:top w:val="nil"/>
              <w:left w:val="nil"/>
              <w:bottom w:val="nil"/>
              <w:right w:val="nil"/>
            </w:tcBorders>
            <w:shd w:val="clear" w:color="auto" w:fill="auto"/>
            <w:noWrap/>
            <w:vAlign w:val="center"/>
            <w:hideMark/>
          </w:tcPr>
          <w:p w14:paraId="1F116BDE" w14:textId="77777777" w:rsidR="00B66CC3" w:rsidRPr="004A5BF7" w:rsidRDefault="00B66CC3" w:rsidP="00B66CC3">
            <w:pPr>
              <w:spacing w:before="0" w:after="0"/>
              <w:jc w:val="center"/>
              <w:rPr>
                <w:rFonts w:cs="Arial"/>
                <w:sz w:val="18"/>
                <w:szCs w:val="18"/>
              </w:rPr>
            </w:pPr>
            <w:r w:rsidRPr="004A5BF7">
              <w:rPr>
                <w:rFonts w:cs="Arial"/>
                <w:sz w:val="18"/>
                <w:szCs w:val="18"/>
              </w:rPr>
              <w:t>351</w:t>
            </w:r>
          </w:p>
        </w:tc>
        <w:tc>
          <w:tcPr>
            <w:tcW w:w="304" w:type="pct"/>
            <w:tcBorders>
              <w:top w:val="nil"/>
              <w:left w:val="nil"/>
              <w:bottom w:val="nil"/>
              <w:right w:val="nil"/>
            </w:tcBorders>
            <w:shd w:val="clear" w:color="auto" w:fill="auto"/>
            <w:noWrap/>
            <w:vAlign w:val="center"/>
            <w:hideMark/>
          </w:tcPr>
          <w:p w14:paraId="7A63E881" w14:textId="77777777" w:rsidR="00B66CC3" w:rsidRPr="004A5BF7" w:rsidRDefault="00B66CC3" w:rsidP="00B66CC3">
            <w:pPr>
              <w:spacing w:before="0" w:after="0"/>
              <w:jc w:val="center"/>
              <w:rPr>
                <w:rFonts w:cs="Arial"/>
                <w:sz w:val="18"/>
                <w:szCs w:val="18"/>
              </w:rPr>
            </w:pPr>
            <w:r w:rsidRPr="004A5BF7">
              <w:rPr>
                <w:rFonts w:cs="Arial"/>
                <w:sz w:val="18"/>
                <w:szCs w:val="18"/>
              </w:rPr>
              <w:t>1,407</w:t>
            </w:r>
          </w:p>
        </w:tc>
        <w:tc>
          <w:tcPr>
            <w:tcW w:w="304" w:type="pct"/>
            <w:tcBorders>
              <w:top w:val="nil"/>
              <w:left w:val="nil"/>
              <w:bottom w:val="nil"/>
              <w:right w:val="nil"/>
            </w:tcBorders>
            <w:shd w:val="clear" w:color="auto" w:fill="auto"/>
            <w:noWrap/>
            <w:vAlign w:val="center"/>
            <w:hideMark/>
          </w:tcPr>
          <w:p w14:paraId="65DB9A4B" w14:textId="77777777" w:rsidR="00B66CC3" w:rsidRPr="004A5BF7" w:rsidRDefault="00B66CC3" w:rsidP="00B66CC3">
            <w:pPr>
              <w:spacing w:before="0" w:after="0"/>
              <w:jc w:val="center"/>
              <w:rPr>
                <w:rFonts w:cs="Arial"/>
                <w:sz w:val="18"/>
                <w:szCs w:val="18"/>
              </w:rPr>
            </w:pPr>
            <w:r w:rsidRPr="004A5BF7">
              <w:rPr>
                <w:rFonts w:cs="Arial"/>
                <w:sz w:val="18"/>
                <w:szCs w:val="18"/>
              </w:rPr>
              <w:t>563</w:t>
            </w:r>
          </w:p>
        </w:tc>
        <w:tc>
          <w:tcPr>
            <w:tcW w:w="304" w:type="pct"/>
            <w:tcBorders>
              <w:top w:val="nil"/>
              <w:left w:val="nil"/>
              <w:bottom w:val="nil"/>
              <w:right w:val="nil"/>
            </w:tcBorders>
            <w:shd w:val="clear" w:color="auto" w:fill="auto"/>
            <w:noWrap/>
            <w:vAlign w:val="center"/>
            <w:hideMark/>
          </w:tcPr>
          <w:p w14:paraId="34BB0BC9" w14:textId="77777777" w:rsidR="00B66CC3" w:rsidRPr="004A5BF7" w:rsidRDefault="00B66CC3" w:rsidP="00B66CC3">
            <w:pPr>
              <w:spacing w:before="0" w:after="0"/>
              <w:jc w:val="center"/>
              <w:rPr>
                <w:rFonts w:cs="Arial"/>
                <w:sz w:val="18"/>
                <w:szCs w:val="18"/>
              </w:rPr>
            </w:pPr>
            <w:r w:rsidRPr="004A5BF7">
              <w:rPr>
                <w:rFonts w:cs="Arial"/>
                <w:sz w:val="18"/>
                <w:szCs w:val="18"/>
              </w:rPr>
              <w:t>1,632</w:t>
            </w:r>
          </w:p>
        </w:tc>
        <w:tc>
          <w:tcPr>
            <w:tcW w:w="304" w:type="pct"/>
            <w:tcBorders>
              <w:top w:val="nil"/>
              <w:left w:val="nil"/>
              <w:bottom w:val="nil"/>
              <w:right w:val="nil"/>
            </w:tcBorders>
            <w:shd w:val="clear" w:color="auto" w:fill="auto"/>
            <w:noWrap/>
            <w:vAlign w:val="center"/>
            <w:hideMark/>
          </w:tcPr>
          <w:p w14:paraId="06BFDE03" w14:textId="77777777" w:rsidR="00B66CC3" w:rsidRPr="004A5BF7" w:rsidRDefault="00B66CC3" w:rsidP="00B66CC3">
            <w:pPr>
              <w:spacing w:before="0" w:after="0"/>
              <w:jc w:val="center"/>
              <w:rPr>
                <w:rFonts w:cs="Arial"/>
                <w:sz w:val="18"/>
                <w:szCs w:val="18"/>
              </w:rPr>
            </w:pPr>
            <w:r w:rsidRPr="004A5BF7">
              <w:rPr>
                <w:rFonts w:cs="Arial"/>
                <w:sz w:val="18"/>
                <w:szCs w:val="18"/>
              </w:rPr>
              <w:t>1,633</w:t>
            </w:r>
          </w:p>
        </w:tc>
        <w:tc>
          <w:tcPr>
            <w:tcW w:w="304" w:type="pct"/>
            <w:tcBorders>
              <w:top w:val="nil"/>
              <w:left w:val="nil"/>
              <w:bottom w:val="nil"/>
              <w:right w:val="nil"/>
            </w:tcBorders>
            <w:shd w:val="clear" w:color="auto" w:fill="auto"/>
            <w:noWrap/>
            <w:vAlign w:val="center"/>
            <w:hideMark/>
          </w:tcPr>
          <w:p w14:paraId="09B4D137" w14:textId="77777777" w:rsidR="00B66CC3" w:rsidRPr="004A5BF7" w:rsidRDefault="00B66CC3" w:rsidP="00B66CC3">
            <w:pPr>
              <w:spacing w:before="0" w:after="0"/>
              <w:jc w:val="center"/>
              <w:rPr>
                <w:rFonts w:cs="Arial"/>
                <w:sz w:val="18"/>
                <w:szCs w:val="18"/>
              </w:rPr>
            </w:pPr>
            <w:r w:rsidRPr="004A5BF7">
              <w:rPr>
                <w:rFonts w:cs="Arial"/>
                <w:sz w:val="18"/>
                <w:szCs w:val="18"/>
              </w:rPr>
              <w:t>1,260</w:t>
            </w:r>
          </w:p>
        </w:tc>
        <w:tc>
          <w:tcPr>
            <w:tcW w:w="304" w:type="pct"/>
            <w:tcBorders>
              <w:top w:val="nil"/>
              <w:left w:val="nil"/>
              <w:bottom w:val="nil"/>
              <w:right w:val="nil"/>
            </w:tcBorders>
            <w:shd w:val="clear" w:color="auto" w:fill="auto"/>
            <w:noWrap/>
            <w:vAlign w:val="center"/>
            <w:hideMark/>
          </w:tcPr>
          <w:p w14:paraId="78CAE054" w14:textId="77777777" w:rsidR="00B66CC3" w:rsidRPr="004A5BF7" w:rsidRDefault="00B66CC3" w:rsidP="00B66CC3">
            <w:pPr>
              <w:spacing w:before="0" w:after="0"/>
              <w:jc w:val="center"/>
              <w:rPr>
                <w:rFonts w:cs="Arial"/>
                <w:sz w:val="18"/>
                <w:szCs w:val="18"/>
              </w:rPr>
            </w:pPr>
            <w:r w:rsidRPr="004A5BF7">
              <w:rPr>
                <w:rFonts w:cs="Arial"/>
                <w:sz w:val="18"/>
                <w:szCs w:val="18"/>
              </w:rPr>
              <w:t>3,821</w:t>
            </w:r>
          </w:p>
        </w:tc>
        <w:tc>
          <w:tcPr>
            <w:tcW w:w="304" w:type="pct"/>
            <w:tcBorders>
              <w:top w:val="nil"/>
              <w:left w:val="nil"/>
              <w:bottom w:val="nil"/>
              <w:right w:val="nil"/>
            </w:tcBorders>
            <w:shd w:val="clear" w:color="auto" w:fill="auto"/>
            <w:noWrap/>
            <w:vAlign w:val="center"/>
            <w:hideMark/>
          </w:tcPr>
          <w:p w14:paraId="1A0CDCF2" w14:textId="77777777" w:rsidR="00B66CC3" w:rsidRPr="004A5BF7" w:rsidRDefault="00B66CC3" w:rsidP="00B66CC3">
            <w:pPr>
              <w:spacing w:before="0" w:after="0"/>
              <w:jc w:val="center"/>
              <w:rPr>
                <w:rFonts w:cs="Arial"/>
                <w:sz w:val="18"/>
                <w:szCs w:val="18"/>
              </w:rPr>
            </w:pPr>
            <w:r w:rsidRPr="004A5BF7">
              <w:rPr>
                <w:rFonts w:cs="Arial"/>
                <w:sz w:val="18"/>
                <w:szCs w:val="18"/>
              </w:rPr>
              <w:t>1,132</w:t>
            </w:r>
          </w:p>
        </w:tc>
        <w:tc>
          <w:tcPr>
            <w:tcW w:w="304" w:type="pct"/>
            <w:tcBorders>
              <w:top w:val="nil"/>
              <w:left w:val="nil"/>
              <w:bottom w:val="nil"/>
              <w:right w:val="nil"/>
            </w:tcBorders>
            <w:shd w:val="clear" w:color="auto" w:fill="auto"/>
            <w:noWrap/>
            <w:vAlign w:val="center"/>
            <w:hideMark/>
          </w:tcPr>
          <w:p w14:paraId="7A84EF13" w14:textId="77777777" w:rsidR="00B66CC3" w:rsidRPr="004A5BF7" w:rsidRDefault="00B66CC3" w:rsidP="00B66CC3">
            <w:pPr>
              <w:spacing w:before="0" w:after="0"/>
              <w:jc w:val="center"/>
              <w:rPr>
                <w:rFonts w:cs="Arial"/>
                <w:sz w:val="18"/>
                <w:szCs w:val="18"/>
              </w:rPr>
            </w:pPr>
            <w:r w:rsidRPr="004A5BF7">
              <w:rPr>
                <w:rFonts w:cs="Arial"/>
                <w:sz w:val="18"/>
                <w:szCs w:val="18"/>
              </w:rPr>
              <w:t>4,525</w:t>
            </w:r>
          </w:p>
        </w:tc>
        <w:tc>
          <w:tcPr>
            <w:tcW w:w="304" w:type="pct"/>
            <w:tcBorders>
              <w:top w:val="nil"/>
              <w:left w:val="nil"/>
              <w:bottom w:val="nil"/>
              <w:right w:val="nil"/>
            </w:tcBorders>
            <w:shd w:val="clear" w:color="auto" w:fill="auto"/>
            <w:noWrap/>
            <w:vAlign w:val="center"/>
            <w:hideMark/>
          </w:tcPr>
          <w:p w14:paraId="58D4B0D3" w14:textId="77777777" w:rsidR="00B66CC3" w:rsidRPr="004A5BF7" w:rsidRDefault="00B66CC3" w:rsidP="00B66CC3">
            <w:pPr>
              <w:spacing w:before="0" w:after="0"/>
              <w:jc w:val="center"/>
              <w:rPr>
                <w:rFonts w:cs="Arial"/>
                <w:sz w:val="18"/>
                <w:szCs w:val="18"/>
              </w:rPr>
            </w:pPr>
            <w:r w:rsidRPr="004A5BF7">
              <w:rPr>
                <w:rFonts w:cs="Arial"/>
                <w:sz w:val="18"/>
                <w:szCs w:val="18"/>
              </w:rPr>
              <w:t>1,648</w:t>
            </w:r>
          </w:p>
        </w:tc>
        <w:tc>
          <w:tcPr>
            <w:tcW w:w="304" w:type="pct"/>
            <w:tcBorders>
              <w:top w:val="nil"/>
              <w:left w:val="nil"/>
              <w:bottom w:val="nil"/>
              <w:right w:val="nil"/>
            </w:tcBorders>
            <w:shd w:val="clear" w:color="auto" w:fill="auto"/>
            <w:noWrap/>
            <w:vAlign w:val="center"/>
            <w:hideMark/>
          </w:tcPr>
          <w:p w14:paraId="7290717B" w14:textId="77777777" w:rsidR="00B66CC3" w:rsidRPr="004A5BF7" w:rsidRDefault="00B66CC3" w:rsidP="00B66CC3">
            <w:pPr>
              <w:spacing w:before="0" w:after="0"/>
              <w:jc w:val="center"/>
              <w:rPr>
                <w:rFonts w:cs="Arial"/>
                <w:sz w:val="18"/>
                <w:szCs w:val="18"/>
              </w:rPr>
            </w:pPr>
            <w:r w:rsidRPr="004A5BF7">
              <w:rPr>
                <w:rFonts w:cs="Arial"/>
                <w:sz w:val="18"/>
                <w:szCs w:val="18"/>
              </w:rPr>
              <w:t>1,149</w:t>
            </w:r>
          </w:p>
        </w:tc>
        <w:tc>
          <w:tcPr>
            <w:tcW w:w="304" w:type="pct"/>
            <w:tcBorders>
              <w:top w:val="nil"/>
              <w:left w:val="nil"/>
              <w:bottom w:val="nil"/>
              <w:right w:val="nil"/>
            </w:tcBorders>
            <w:shd w:val="clear" w:color="auto" w:fill="auto"/>
            <w:noWrap/>
            <w:vAlign w:val="center"/>
            <w:hideMark/>
          </w:tcPr>
          <w:p w14:paraId="2A5E6BEE" w14:textId="77777777" w:rsidR="00B66CC3" w:rsidRPr="004A5BF7" w:rsidRDefault="00B66CC3" w:rsidP="00B66CC3">
            <w:pPr>
              <w:spacing w:before="0" w:after="0"/>
              <w:jc w:val="center"/>
              <w:rPr>
                <w:rFonts w:cs="Arial"/>
                <w:sz w:val="18"/>
                <w:szCs w:val="18"/>
              </w:rPr>
            </w:pPr>
            <w:r w:rsidRPr="004A5BF7">
              <w:rPr>
                <w:rFonts w:cs="Arial"/>
                <w:sz w:val="18"/>
                <w:szCs w:val="18"/>
              </w:rPr>
              <w:t>1,544</w:t>
            </w:r>
          </w:p>
        </w:tc>
        <w:tc>
          <w:tcPr>
            <w:tcW w:w="304" w:type="pct"/>
            <w:tcBorders>
              <w:top w:val="nil"/>
              <w:left w:val="nil"/>
              <w:bottom w:val="nil"/>
              <w:right w:val="nil"/>
            </w:tcBorders>
            <w:shd w:val="clear" w:color="auto" w:fill="auto"/>
            <w:noWrap/>
            <w:vAlign w:val="center"/>
            <w:hideMark/>
          </w:tcPr>
          <w:p w14:paraId="035F40D6" w14:textId="77777777" w:rsidR="00B66CC3" w:rsidRPr="004A5BF7" w:rsidRDefault="00B66CC3" w:rsidP="00B66CC3">
            <w:pPr>
              <w:spacing w:before="0" w:after="0"/>
              <w:jc w:val="center"/>
              <w:rPr>
                <w:rFonts w:cs="Arial"/>
                <w:sz w:val="18"/>
                <w:szCs w:val="18"/>
              </w:rPr>
            </w:pPr>
            <w:r w:rsidRPr="004A5BF7">
              <w:rPr>
                <w:rFonts w:cs="Arial"/>
                <w:sz w:val="18"/>
                <w:szCs w:val="18"/>
              </w:rPr>
              <w:t>385</w:t>
            </w:r>
          </w:p>
        </w:tc>
      </w:tr>
      <w:tr w:rsidR="00B66CC3" w:rsidRPr="00E9409C" w14:paraId="1512EAB1" w14:textId="77777777" w:rsidTr="00B66CC3">
        <w:trPr>
          <w:trHeight w:val="454"/>
        </w:trPr>
        <w:tc>
          <w:tcPr>
            <w:tcW w:w="484" w:type="pct"/>
            <w:tcBorders>
              <w:top w:val="nil"/>
              <w:left w:val="nil"/>
              <w:bottom w:val="nil"/>
              <w:right w:val="nil"/>
            </w:tcBorders>
            <w:shd w:val="clear" w:color="auto" w:fill="auto"/>
            <w:noWrap/>
            <w:vAlign w:val="center"/>
            <w:hideMark/>
          </w:tcPr>
          <w:p w14:paraId="58F617A0" w14:textId="77777777" w:rsidR="00B66CC3" w:rsidRPr="004A5BF7" w:rsidRDefault="00B66CC3" w:rsidP="004A5BF7">
            <w:pPr>
              <w:spacing w:before="0" w:after="0"/>
              <w:jc w:val="left"/>
              <w:rPr>
                <w:rFonts w:cs="Arial"/>
                <w:sz w:val="18"/>
                <w:szCs w:val="18"/>
              </w:rPr>
            </w:pPr>
            <w:r w:rsidRPr="004A5BF7">
              <w:rPr>
                <w:rFonts w:cs="Arial"/>
                <w:sz w:val="18"/>
                <w:szCs w:val="18"/>
              </w:rPr>
              <w:t>Haughton</w:t>
            </w:r>
          </w:p>
        </w:tc>
        <w:tc>
          <w:tcPr>
            <w:tcW w:w="564" w:type="pct"/>
            <w:tcBorders>
              <w:top w:val="nil"/>
              <w:left w:val="nil"/>
              <w:bottom w:val="nil"/>
              <w:right w:val="nil"/>
            </w:tcBorders>
            <w:shd w:val="clear" w:color="auto" w:fill="auto"/>
            <w:noWrap/>
            <w:vAlign w:val="center"/>
            <w:hideMark/>
          </w:tcPr>
          <w:p w14:paraId="73F536E7" w14:textId="77777777" w:rsidR="00B66CC3" w:rsidRPr="004A5BF7" w:rsidRDefault="00B66CC3" w:rsidP="004A5BF7">
            <w:pPr>
              <w:spacing w:before="0" w:after="0"/>
              <w:jc w:val="left"/>
              <w:rPr>
                <w:rFonts w:cs="Arial"/>
                <w:sz w:val="18"/>
                <w:szCs w:val="18"/>
              </w:rPr>
            </w:pPr>
            <w:r w:rsidRPr="004A5BF7">
              <w:rPr>
                <w:rFonts w:cs="Arial"/>
                <w:sz w:val="18"/>
                <w:szCs w:val="18"/>
              </w:rPr>
              <w:t>Burdekin</w:t>
            </w:r>
          </w:p>
        </w:tc>
        <w:tc>
          <w:tcPr>
            <w:tcW w:w="304" w:type="pct"/>
            <w:tcBorders>
              <w:top w:val="nil"/>
              <w:left w:val="nil"/>
              <w:bottom w:val="nil"/>
              <w:right w:val="nil"/>
            </w:tcBorders>
            <w:shd w:val="clear" w:color="auto" w:fill="auto"/>
            <w:noWrap/>
            <w:vAlign w:val="center"/>
            <w:hideMark/>
          </w:tcPr>
          <w:p w14:paraId="21483DB2" w14:textId="77777777" w:rsidR="00B66CC3" w:rsidRPr="004A5BF7" w:rsidRDefault="00B66CC3" w:rsidP="00B66CC3">
            <w:pPr>
              <w:spacing w:before="0" w:after="0"/>
              <w:jc w:val="center"/>
              <w:rPr>
                <w:rFonts w:cs="Arial"/>
                <w:sz w:val="18"/>
                <w:szCs w:val="18"/>
              </w:rPr>
            </w:pPr>
            <w:r w:rsidRPr="004A5BF7">
              <w:rPr>
                <w:rFonts w:cs="Arial"/>
                <w:sz w:val="18"/>
                <w:szCs w:val="18"/>
              </w:rPr>
              <w:t>87</w:t>
            </w:r>
          </w:p>
        </w:tc>
        <w:tc>
          <w:tcPr>
            <w:tcW w:w="304" w:type="pct"/>
            <w:tcBorders>
              <w:top w:val="nil"/>
              <w:left w:val="nil"/>
              <w:bottom w:val="nil"/>
              <w:right w:val="nil"/>
            </w:tcBorders>
            <w:shd w:val="clear" w:color="auto" w:fill="auto"/>
            <w:noWrap/>
            <w:vAlign w:val="center"/>
            <w:hideMark/>
          </w:tcPr>
          <w:p w14:paraId="6B73A037" w14:textId="77777777" w:rsidR="00B66CC3" w:rsidRPr="004A5BF7" w:rsidRDefault="00B66CC3" w:rsidP="00B66CC3">
            <w:pPr>
              <w:spacing w:before="0" w:after="0"/>
              <w:jc w:val="center"/>
              <w:rPr>
                <w:rFonts w:cs="Arial"/>
                <w:sz w:val="18"/>
                <w:szCs w:val="18"/>
              </w:rPr>
            </w:pPr>
            <w:r w:rsidRPr="004A5BF7">
              <w:rPr>
                <w:rFonts w:cs="Arial"/>
                <w:sz w:val="18"/>
                <w:szCs w:val="18"/>
              </w:rPr>
              <w:t>190</w:t>
            </w:r>
          </w:p>
        </w:tc>
        <w:tc>
          <w:tcPr>
            <w:tcW w:w="304" w:type="pct"/>
            <w:tcBorders>
              <w:top w:val="nil"/>
              <w:left w:val="nil"/>
              <w:bottom w:val="nil"/>
              <w:right w:val="nil"/>
            </w:tcBorders>
            <w:shd w:val="clear" w:color="auto" w:fill="auto"/>
            <w:noWrap/>
            <w:vAlign w:val="center"/>
            <w:hideMark/>
          </w:tcPr>
          <w:p w14:paraId="4DD653EB" w14:textId="77777777" w:rsidR="00B66CC3" w:rsidRPr="004A5BF7" w:rsidRDefault="00B66CC3" w:rsidP="00B66CC3">
            <w:pPr>
              <w:spacing w:before="0" w:after="0"/>
              <w:jc w:val="center"/>
              <w:rPr>
                <w:rFonts w:cs="Arial"/>
                <w:sz w:val="18"/>
                <w:szCs w:val="18"/>
              </w:rPr>
            </w:pPr>
            <w:r w:rsidRPr="004A5BF7">
              <w:rPr>
                <w:rFonts w:cs="Arial"/>
                <w:sz w:val="18"/>
                <w:szCs w:val="18"/>
              </w:rPr>
              <w:t>264</w:t>
            </w:r>
          </w:p>
        </w:tc>
        <w:tc>
          <w:tcPr>
            <w:tcW w:w="304" w:type="pct"/>
            <w:tcBorders>
              <w:top w:val="nil"/>
              <w:left w:val="nil"/>
              <w:bottom w:val="nil"/>
              <w:right w:val="nil"/>
            </w:tcBorders>
            <w:shd w:val="clear" w:color="auto" w:fill="auto"/>
            <w:noWrap/>
            <w:vAlign w:val="center"/>
            <w:hideMark/>
          </w:tcPr>
          <w:p w14:paraId="325E349D" w14:textId="77777777" w:rsidR="00B66CC3" w:rsidRPr="004A5BF7" w:rsidRDefault="00B66CC3" w:rsidP="00B66CC3">
            <w:pPr>
              <w:spacing w:before="0" w:after="0"/>
              <w:jc w:val="center"/>
              <w:rPr>
                <w:rFonts w:cs="Arial"/>
                <w:sz w:val="18"/>
                <w:szCs w:val="18"/>
              </w:rPr>
            </w:pPr>
            <w:r w:rsidRPr="004A5BF7">
              <w:rPr>
                <w:rFonts w:cs="Arial"/>
                <w:sz w:val="18"/>
                <w:szCs w:val="18"/>
              </w:rPr>
              <w:t>312</w:t>
            </w:r>
          </w:p>
        </w:tc>
        <w:tc>
          <w:tcPr>
            <w:tcW w:w="304" w:type="pct"/>
            <w:tcBorders>
              <w:top w:val="nil"/>
              <w:left w:val="nil"/>
              <w:bottom w:val="nil"/>
              <w:right w:val="nil"/>
            </w:tcBorders>
            <w:shd w:val="clear" w:color="auto" w:fill="auto"/>
            <w:noWrap/>
            <w:vAlign w:val="center"/>
            <w:hideMark/>
          </w:tcPr>
          <w:p w14:paraId="6315477F" w14:textId="77777777" w:rsidR="00B66CC3" w:rsidRPr="004A5BF7" w:rsidRDefault="00B66CC3" w:rsidP="00B66CC3">
            <w:pPr>
              <w:spacing w:before="0" w:after="0"/>
              <w:jc w:val="center"/>
              <w:rPr>
                <w:rFonts w:cs="Arial"/>
                <w:sz w:val="18"/>
                <w:szCs w:val="18"/>
              </w:rPr>
            </w:pPr>
            <w:r w:rsidRPr="004A5BF7">
              <w:rPr>
                <w:rFonts w:cs="Arial"/>
                <w:sz w:val="18"/>
                <w:szCs w:val="18"/>
              </w:rPr>
              <w:t>610</w:t>
            </w:r>
          </w:p>
        </w:tc>
        <w:tc>
          <w:tcPr>
            <w:tcW w:w="304" w:type="pct"/>
            <w:tcBorders>
              <w:top w:val="nil"/>
              <w:left w:val="nil"/>
              <w:bottom w:val="nil"/>
              <w:right w:val="nil"/>
            </w:tcBorders>
            <w:shd w:val="clear" w:color="auto" w:fill="auto"/>
            <w:noWrap/>
            <w:vAlign w:val="center"/>
            <w:hideMark/>
          </w:tcPr>
          <w:p w14:paraId="4264B285" w14:textId="77777777" w:rsidR="00B66CC3" w:rsidRPr="004A5BF7" w:rsidRDefault="00B66CC3" w:rsidP="00B66CC3">
            <w:pPr>
              <w:spacing w:before="0" w:after="0"/>
              <w:jc w:val="center"/>
              <w:rPr>
                <w:rFonts w:cs="Arial"/>
                <w:sz w:val="18"/>
                <w:szCs w:val="18"/>
              </w:rPr>
            </w:pPr>
            <w:r w:rsidRPr="004A5BF7">
              <w:rPr>
                <w:rFonts w:cs="Arial"/>
                <w:sz w:val="18"/>
                <w:szCs w:val="18"/>
              </w:rPr>
              <w:t>776</w:t>
            </w:r>
          </w:p>
        </w:tc>
        <w:tc>
          <w:tcPr>
            <w:tcW w:w="304" w:type="pct"/>
            <w:tcBorders>
              <w:top w:val="nil"/>
              <w:left w:val="nil"/>
              <w:bottom w:val="nil"/>
              <w:right w:val="nil"/>
            </w:tcBorders>
            <w:shd w:val="clear" w:color="auto" w:fill="auto"/>
            <w:noWrap/>
            <w:vAlign w:val="center"/>
            <w:hideMark/>
          </w:tcPr>
          <w:p w14:paraId="2C217AEC" w14:textId="77777777" w:rsidR="00B66CC3" w:rsidRPr="004A5BF7" w:rsidRDefault="00B66CC3" w:rsidP="00B66CC3">
            <w:pPr>
              <w:spacing w:before="0" w:after="0"/>
              <w:jc w:val="center"/>
              <w:rPr>
                <w:rFonts w:cs="Arial"/>
                <w:sz w:val="18"/>
                <w:szCs w:val="18"/>
              </w:rPr>
            </w:pPr>
            <w:r w:rsidRPr="004A5BF7">
              <w:rPr>
                <w:rFonts w:cs="Arial"/>
                <w:sz w:val="18"/>
                <w:szCs w:val="18"/>
              </w:rPr>
              <w:t>1,210</w:t>
            </w:r>
          </w:p>
        </w:tc>
        <w:tc>
          <w:tcPr>
            <w:tcW w:w="304" w:type="pct"/>
            <w:tcBorders>
              <w:top w:val="nil"/>
              <w:left w:val="nil"/>
              <w:bottom w:val="nil"/>
              <w:right w:val="nil"/>
            </w:tcBorders>
            <w:shd w:val="clear" w:color="auto" w:fill="auto"/>
            <w:noWrap/>
            <w:vAlign w:val="center"/>
            <w:hideMark/>
          </w:tcPr>
          <w:p w14:paraId="1B758B13" w14:textId="77777777" w:rsidR="00B66CC3" w:rsidRPr="004A5BF7" w:rsidRDefault="00B66CC3" w:rsidP="00B66CC3">
            <w:pPr>
              <w:spacing w:before="0" w:after="0"/>
              <w:jc w:val="center"/>
              <w:rPr>
                <w:rFonts w:cs="Arial"/>
                <w:sz w:val="18"/>
                <w:szCs w:val="18"/>
              </w:rPr>
            </w:pPr>
            <w:r w:rsidRPr="004A5BF7">
              <w:rPr>
                <w:rFonts w:cs="Arial"/>
                <w:sz w:val="18"/>
                <w:szCs w:val="18"/>
              </w:rPr>
              <w:t>524</w:t>
            </w:r>
          </w:p>
        </w:tc>
        <w:tc>
          <w:tcPr>
            <w:tcW w:w="304" w:type="pct"/>
            <w:tcBorders>
              <w:top w:val="nil"/>
              <w:left w:val="nil"/>
              <w:bottom w:val="nil"/>
              <w:right w:val="nil"/>
            </w:tcBorders>
            <w:shd w:val="clear" w:color="auto" w:fill="auto"/>
            <w:noWrap/>
            <w:vAlign w:val="center"/>
            <w:hideMark/>
          </w:tcPr>
          <w:p w14:paraId="07651B7E" w14:textId="77777777" w:rsidR="00B66CC3" w:rsidRPr="004A5BF7" w:rsidRDefault="00B66CC3" w:rsidP="00B66CC3">
            <w:pPr>
              <w:spacing w:before="0" w:after="0"/>
              <w:jc w:val="center"/>
              <w:rPr>
                <w:rFonts w:cs="Arial"/>
                <w:sz w:val="18"/>
                <w:szCs w:val="18"/>
              </w:rPr>
            </w:pPr>
            <w:r w:rsidRPr="004A5BF7">
              <w:rPr>
                <w:rFonts w:cs="Arial"/>
                <w:sz w:val="18"/>
                <w:szCs w:val="18"/>
              </w:rPr>
              <w:t>1,030</w:t>
            </w:r>
          </w:p>
        </w:tc>
        <w:tc>
          <w:tcPr>
            <w:tcW w:w="304" w:type="pct"/>
            <w:tcBorders>
              <w:top w:val="nil"/>
              <w:left w:val="nil"/>
              <w:bottom w:val="nil"/>
              <w:right w:val="nil"/>
            </w:tcBorders>
            <w:shd w:val="clear" w:color="auto" w:fill="auto"/>
            <w:noWrap/>
            <w:vAlign w:val="center"/>
            <w:hideMark/>
          </w:tcPr>
          <w:p w14:paraId="4CDC5E1B" w14:textId="77777777" w:rsidR="00B66CC3" w:rsidRPr="004A5BF7" w:rsidRDefault="00B66CC3" w:rsidP="00B66CC3">
            <w:pPr>
              <w:spacing w:before="0" w:after="0"/>
              <w:jc w:val="center"/>
              <w:rPr>
                <w:rFonts w:cs="Arial"/>
                <w:sz w:val="18"/>
                <w:szCs w:val="18"/>
              </w:rPr>
            </w:pPr>
            <w:r w:rsidRPr="004A5BF7">
              <w:rPr>
                <w:rFonts w:cs="Arial"/>
                <w:sz w:val="18"/>
                <w:szCs w:val="18"/>
              </w:rPr>
              <w:t>749</w:t>
            </w:r>
          </w:p>
        </w:tc>
        <w:tc>
          <w:tcPr>
            <w:tcW w:w="304" w:type="pct"/>
            <w:tcBorders>
              <w:top w:val="nil"/>
              <w:left w:val="nil"/>
              <w:bottom w:val="nil"/>
              <w:right w:val="nil"/>
            </w:tcBorders>
            <w:shd w:val="clear" w:color="auto" w:fill="auto"/>
            <w:noWrap/>
            <w:vAlign w:val="center"/>
            <w:hideMark/>
          </w:tcPr>
          <w:p w14:paraId="3D130787" w14:textId="77777777" w:rsidR="00B66CC3" w:rsidRPr="004A5BF7" w:rsidRDefault="00B66CC3" w:rsidP="00B66CC3">
            <w:pPr>
              <w:spacing w:before="0" w:after="0"/>
              <w:jc w:val="center"/>
              <w:rPr>
                <w:rFonts w:cs="Arial"/>
                <w:sz w:val="18"/>
                <w:szCs w:val="18"/>
              </w:rPr>
            </w:pPr>
            <w:r w:rsidRPr="004A5BF7">
              <w:rPr>
                <w:rFonts w:cs="Arial"/>
                <w:sz w:val="18"/>
                <w:szCs w:val="18"/>
              </w:rPr>
              <w:t>209</w:t>
            </w:r>
          </w:p>
        </w:tc>
        <w:tc>
          <w:tcPr>
            <w:tcW w:w="304" w:type="pct"/>
            <w:tcBorders>
              <w:top w:val="nil"/>
              <w:left w:val="nil"/>
              <w:bottom w:val="nil"/>
              <w:right w:val="nil"/>
            </w:tcBorders>
            <w:shd w:val="clear" w:color="auto" w:fill="auto"/>
            <w:noWrap/>
            <w:vAlign w:val="center"/>
            <w:hideMark/>
          </w:tcPr>
          <w:p w14:paraId="1E149818" w14:textId="77777777" w:rsidR="00B66CC3" w:rsidRPr="004A5BF7" w:rsidRDefault="00B66CC3" w:rsidP="00B66CC3">
            <w:pPr>
              <w:spacing w:before="0" w:after="0"/>
              <w:jc w:val="center"/>
              <w:rPr>
                <w:rFonts w:cs="Arial"/>
                <w:sz w:val="18"/>
                <w:szCs w:val="18"/>
              </w:rPr>
            </w:pPr>
            <w:r w:rsidRPr="004A5BF7">
              <w:rPr>
                <w:rFonts w:cs="Arial"/>
                <w:sz w:val="18"/>
                <w:szCs w:val="18"/>
              </w:rPr>
              <w:t>235</w:t>
            </w:r>
          </w:p>
        </w:tc>
        <w:tc>
          <w:tcPr>
            <w:tcW w:w="304" w:type="pct"/>
            <w:tcBorders>
              <w:top w:val="nil"/>
              <w:left w:val="nil"/>
              <w:bottom w:val="nil"/>
              <w:right w:val="nil"/>
            </w:tcBorders>
            <w:shd w:val="clear" w:color="auto" w:fill="auto"/>
            <w:noWrap/>
            <w:vAlign w:val="center"/>
            <w:hideMark/>
          </w:tcPr>
          <w:p w14:paraId="171B803A" w14:textId="77777777" w:rsidR="00B66CC3" w:rsidRPr="004A5BF7" w:rsidRDefault="00B66CC3" w:rsidP="00B66CC3">
            <w:pPr>
              <w:spacing w:before="0" w:after="0"/>
              <w:jc w:val="center"/>
              <w:rPr>
                <w:rFonts w:cs="Arial"/>
                <w:sz w:val="18"/>
                <w:szCs w:val="18"/>
              </w:rPr>
            </w:pPr>
            <w:r w:rsidRPr="004A5BF7">
              <w:rPr>
                <w:rFonts w:cs="Arial"/>
                <w:sz w:val="18"/>
                <w:szCs w:val="18"/>
              </w:rPr>
              <w:t>42</w:t>
            </w:r>
          </w:p>
        </w:tc>
      </w:tr>
      <w:tr w:rsidR="00B66CC3" w:rsidRPr="00E9409C" w14:paraId="609D9FC3" w14:textId="77777777" w:rsidTr="00B66CC3">
        <w:trPr>
          <w:trHeight w:val="454"/>
        </w:trPr>
        <w:tc>
          <w:tcPr>
            <w:tcW w:w="484" w:type="pct"/>
            <w:tcBorders>
              <w:top w:val="nil"/>
              <w:left w:val="nil"/>
              <w:bottom w:val="nil"/>
              <w:right w:val="nil"/>
            </w:tcBorders>
            <w:shd w:val="clear" w:color="auto" w:fill="auto"/>
            <w:noWrap/>
            <w:vAlign w:val="center"/>
            <w:hideMark/>
          </w:tcPr>
          <w:p w14:paraId="11C255EE" w14:textId="77777777" w:rsidR="00B66CC3" w:rsidRPr="004A5BF7" w:rsidRDefault="00B66CC3" w:rsidP="004A5BF7">
            <w:pPr>
              <w:spacing w:before="0" w:after="0"/>
              <w:jc w:val="left"/>
              <w:rPr>
                <w:rFonts w:cs="Arial"/>
                <w:sz w:val="18"/>
                <w:szCs w:val="18"/>
              </w:rPr>
            </w:pPr>
            <w:r w:rsidRPr="004A5BF7">
              <w:rPr>
                <w:rFonts w:cs="Arial"/>
                <w:sz w:val="18"/>
                <w:szCs w:val="18"/>
              </w:rPr>
              <w:t>Burdekin</w:t>
            </w:r>
          </w:p>
        </w:tc>
        <w:tc>
          <w:tcPr>
            <w:tcW w:w="564" w:type="pct"/>
            <w:tcBorders>
              <w:top w:val="nil"/>
              <w:left w:val="nil"/>
              <w:bottom w:val="nil"/>
              <w:right w:val="nil"/>
            </w:tcBorders>
            <w:shd w:val="clear" w:color="auto" w:fill="auto"/>
            <w:noWrap/>
            <w:vAlign w:val="center"/>
            <w:hideMark/>
          </w:tcPr>
          <w:p w14:paraId="676745D4" w14:textId="77777777" w:rsidR="00B66CC3" w:rsidRPr="004A5BF7" w:rsidRDefault="00B66CC3" w:rsidP="004A5BF7">
            <w:pPr>
              <w:spacing w:before="0" w:after="0"/>
              <w:jc w:val="left"/>
              <w:rPr>
                <w:rFonts w:cs="Arial"/>
                <w:sz w:val="18"/>
                <w:szCs w:val="18"/>
              </w:rPr>
            </w:pPr>
            <w:r w:rsidRPr="004A5BF7">
              <w:rPr>
                <w:rFonts w:cs="Arial"/>
                <w:sz w:val="18"/>
                <w:szCs w:val="18"/>
              </w:rPr>
              <w:t>Burdekin</w:t>
            </w:r>
          </w:p>
        </w:tc>
        <w:tc>
          <w:tcPr>
            <w:tcW w:w="304" w:type="pct"/>
            <w:tcBorders>
              <w:top w:val="nil"/>
              <w:left w:val="nil"/>
              <w:bottom w:val="nil"/>
              <w:right w:val="nil"/>
            </w:tcBorders>
            <w:shd w:val="clear" w:color="auto" w:fill="auto"/>
            <w:noWrap/>
            <w:vAlign w:val="center"/>
            <w:hideMark/>
          </w:tcPr>
          <w:p w14:paraId="7FEEC2F5" w14:textId="77777777" w:rsidR="00B66CC3" w:rsidRPr="004A5BF7" w:rsidRDefault="00B66CC3" w:rsidP="00B66CC3">
            <w:pPr>
              <w:spacing w:before="0" w:after="0"/>
              <w:jc w:val="center"/>
              <w:rPr>
                <w:rFonts w:cs="Arial"/>
                <w:sz w:val="18"/>
                <w:szCs w:val="18"/>
              </w:rPr>
            </w:pPr>
            <w:r w:rsidRPr="004A5BF7">
              <w:rPr>
                <w:rFonts w:cs="Arial"/>
                <w:sz w:val="18"/>
                <w:szCs w:val="18"/>
              </w:rPr>
              <w:t>477</w:t>
            </w:r>
          </w:p>
        </w:tc>
        <w:tc>
          <w:tcPr>
            <w:tcW w:w="304" w:type="pct"/>
            <w:tcBorders>
              <w:top w:val="nil"/>
              <w:left w:val="nil"/>
              <w:bottom w:val="nil"/>
              <w:right w:val="nil"/>
            </w:tcBorders>
            <w:shd w:val="clear" w:color="auto" w:fill="auto"/>
            <w:noWrap/>
            <w:vAlign w:val="center"/>
            <w:hideMark/>
          </w:tcPr>
          <w:p w14:paraId="05BA3542" w14:textId="77777777" w:rsidR="00B66CC3" w:rsidRPr="004A5BF7" w:rsidRDefault="00B66CC3" w:rsidP="00B66CC3">
            <w:pPr>
              <w:spacing w:before="0" w:after="0"/>
              <w:jc w:val="center"/>
              <w:rPr>
                <w:rFonts w:cs="Arial"/>
                <w:sz w:val="18"/>
                <w:szCs w:val="18"/>
              </w:rPr>
            </w:pPr>
            <w:r w:rsidRPr="004A5BF7">
              <w:rPr>
                <w:rFonts w:cs="Arial"/>
                <w:sz w:val="18"/>
                <w:szCs w:val="18"/>
              </w:rPr>
              <w:t>353</w:t>
            </w:r>
          </w:p>
        </w:tc>
        <w:tc>
          <w:tcPr>
            <w:tcW w:w="304" w:type="pct"/>
            <w:tcBorders>
              <w:top w:val="nil"/>
              <w:left w:val="nil"/>
              <w:bottom w:val="nil"/>
              <w:right w:val="nil"/>
            </w:tcBorders>
            <w:shd w:val="clear" w:color="auto" w:fill="auto"/>
            <w:noWrap/>
            <w:vAlign w:val="center"/>
            <w:hideMark/>
          </w:tcPr>
          <w:p w14:paraId="5399C904" w14:textId="77777777" w:rsidR="00B66CC3" w:rsidRPr="004A5BF7" w:rsidRDefault="00B66CC3" w:rsidP="00B66CC3">
            <w:pPr>
              <w:spacing w:before="0" w:after="0"/>
              <w:jc w:val="center"/>
              <w:rPr>
                <w:rFonts w:cs="Arial"/>
                <w:sz w:val="18"/>
                <w:szCs w:val="18"/>
              </w:rPr>
            </w:pPr>
            <w:r w:rsidRPr="004A5BF7">
              <w:rPr>
                <w:rFonts w:cs="Arial"/>
                <w:sz w:val="18"/>
                <w:szCs w:val="18"/>
              </w:rPr>
              <w:t>1,007</w:t>
            </w:r>
          </w:p>
        </w:tc>
        <w:tc>
          <w:tcPr>
            <w:tcW w:w="304" w:type="pct"/>
            <w:tcBorders>
              <w:top w:val="nil"/>
              <w:left w:val="nil"/>
              <w:bottom w:val="nil"/>
              <w:right w:val="nil"/>
            </w:tcBorders>
            <w:shd w:val="clear" w:color="auto" w:fill="auto"/>
            <w:noWrap/>
            <w:vAlign w:val="center"/>
            <w:hideMark/>
          </w:tcPr>
          <w:p w14:paraId="4DC18674" w14:textId="77777777" w:rsidR="00B66CC3" w:rsidRPr="004A5BF7" w:rsidRDefault="00B66CC3" w:rsidP="00B66CC3">
            <w:pPr>
              <w:spacing w:before="0" w:after="0"/>
              <w:jc w:val="center"/>
              <w:rPr>
                <w:rFonts w:cs="Arial"/>
                <w:sz w:val="18"/>
                <w:szCs w:val="18"/>
              </w:rPr>
            </w:pPr>
            <w:r w:rsidRPr="004A5BF7">
              <w:rPr>
                <w:rFonts w:cs="Arial"/>
                <w:sz w:val="18"/>
                <w:szCs w:val="18"/>
              </w:rPr>
              <w:t>531</w:t>
            </w:r>
          </w:p>
        </w:tc>
        <w:tc>
          <w:tcPr>
            <w:tcW w:w="304" w:type="pct"/>
            <w:tcBorders>
              <w:top w:val="nil"/>
              <w:left w:val="nil"/>
              <w:bottom w:val="nil"/>
              <w:right w:val="nil"/>
            </w:tcBorders>
            <w:shd w:val="clear" w:color="auto" w:fill="auto"/>
            <w:noWrap/>
            <w:vAlign w:val="center"/>
            <w:hideMark/>
          </w:tcPr>
          <w:p w14:paraId="144FEE7A" w14:textId="77777777" w:rsidR="00B66CC3" w:rsidRPr="004A5BF7" w:rsidRDefault="00B66CC3" w:rsidP="00B66CC3">
            <w:pPr>
              <w:spacing w:before="0" w:after="0"/>
              <w:jc w:val="center"/>
              <w:rPr>
                <w:rFonts w:cs="Arial"/>
                <w:sz w:val="18"/>
                <w:szCs w:val="18"/>
              </w:rPr>
            </w:pPr>
            <w:r w:rsidRPr="004A5BF7">
              <w:rPr>
                <w:rFonts w:cs="Arial"/>
                <w:sz w:val="18"/>
                <w:szCs w:val="18"/>
              </w:rPr>
              <w:t>2,326</w:t>
            </w:r>
          </w:p>
        </w:tc>
        <w:tc>
          <w:tcPr>
            <w:tcW w:w="304" w:type="pct"/>
            <w:tcBorders>
              <w:top w:val="nil"/>
              <w:left w:val="nil"/>
              <w:bottom w:val="nil"/>
              <w:right w:val="nil"/>
            </w:tcBorders>
            <w:shd w:val="clear" w:color="auto" w:fill="auto"/>
            <w:noWrap/>
            <w:vAlign w:val="center"/>
            <w:hideMark/>
          </w:tcPr>
          <w:p w14:paraId="597C8C18" w14:textId="77777777" w:rsidR="00B66CC3" w:rsidRPr="004A5BF7" w:rsidRDefault="00B66CC3" w:rsidP="00B66CC3">
            <w:pPr>
              <w:spacing w:before="0" w:after="0"/>
              <w:jc w:val="center"/>
              <w:rPr>
                <w:rFonts w:cs="Arial"/>
                <w:sz w:val="18"/>
                <w:szCs w:val="18"/>
              </w:rPr>
            </w:pPr>
            <w:r w:rsidRPr="004A5BF7">
              <w:rPr>
                <w:rFonts w:cs="Arial"/>
                <w:sz w:val="18"/>
                <w:szCs w:val="18"/>
              </w:rPr>
              <w:t>6,426</w:t>
            </w:r>
          </w:p>
        </w:tc>
        <w:tc>
          <w:tcPr>
            <w:tcW w:w="304" w:type="pct"/>
            <w:tcBorders>
              <w:top w:val="nil"/>
              <w:left w:val="nil"/>
              <w:bottom w:val="nil"/>
              <w:right w:val="nil"/>
            </w:tcBorders>
            <w:shd w:val="clear" w:color="auto" w:fill="auto"/>
            <w:noWrap/>
            <w:vAlign w:val="center"/>
            <w:hideMark/>
          </w:tcPr>
          <w:p w14:paraId="1A176364" w14:textId="77777777" w:rsidR="00B66CC3" w:rsidRPr="004A5BF7" w:rsidRDefault="00B66CC3" w:rsidP="00B66CC3">
            <w:pPr>
              <w:spacing w:before="0" w:after="0"/>
              <w:jc w:val="center"/>
              <w:rPr>
                <w:rFonts w:cs="Arial"/>
                <w:sz w:val="18"/>
                <w:szCs w:val="18"/>
              </w:rPr>
            </w:pPr>
            <w:r w:rsidRPr="004A5BF7">
              <w:rPr>
                <w:rFonts w:cs="Arial"/>
                <w:sz w:val="18"/>
                <w:szCs w:val="18"/>
              </w:rPr>
              <w:t>6,944</w:t>
            </w:r>
          </w:p>
        </w:tc>
        <w:tc>
          <w:tcPr>
            <w:tcW w:w="304" w:type="pct"/>
            <w:tcBorders>
              <w:top w:val="nil"/>
              <w:left w:val="nil"/>
              <w:bottom w:val="nil"/>
              <w:right w:val="nil"/>
            </w:tcBorders>
            <w:shd w:val="clear" w:color="auto" w:fill="auto"/>
            <w:noWrap/>
            <w:vAlign w:val="center"/>
            <w:hideMark/>
          </w:tcPr>
          <w:p w14:paraId="0E4CB1AC" w14:textId="77777777" w:rsidR="00B66CC3" w:rsidRPr="004A5BF7" w:rsidRDefault="00B66CC3" w:rsidP="00B66CC3">
            <w:pPr>
              <w:spacing w:before="0" w:after="0"/>
              <w:jc w:val="center"/>
              <w:rPr>
                <w:rFonts w:cs="Arial"/>
                <w:sz w:val="18"/>
                <w:szCs w:val="18"/>
              </w:rPr>
            </w:pPr>
            <w:r w:rsidRPr="004A5BF7">
              <w:rPr>
                <w:rFonts w:cs="Arial"/>
                <w:sz w:val="18"/>
                <w:szCs w:val="18"/>
              </w:rPr>
              <w:t>1,820</w:t>
            </w:r>
          </w:p>
        </w:tc>
        <w:tc>
          <w:tcPr>
            <w:tcW w:w="304" w:type="pct"/>
            <w:tcBorders>
              <w:top w:val="nil"/>
              <w:left w:val="nil"/>
              <w:bottom w:val="nil"/>
              <w:right w:val="nil"/>
            </w:tcBorders>
            <w:shd w:val="clear" w:color="auto" w:fill="auto"/>
            <w:noWrap/>
            <w:vAlign w:val="center"/>
            <w:hideMark/>
          </w:tcPr>
          <w:p w14:paraId="2F48CBC2" w14:textId="77777777" w:rsidR="00B66CC3" w:rsidRPr="004A5BF7" w:rsidRDefault="00B66CC3" w:rsidP="00B66CC3">
            <w:pPr>
              <w:spacing w:before="0" w:after="0"/>
              <w:jc w:val="center"/>
              <w:rPr>
                <w:rFonts w:cs="Arial"/>
                <w:sz w:val="18"/>
                <w:szCs w:val="18"/>
              </w:rPr>
            </w:pPr>
            <w:r w:rsidRPr="004A5BF7">
              <w:rPr>
                <w:rFonts w:cs="Arial"/>
                <w:sz w:val="18"/>
                <w:szCs w:val="18"/>
              </w:rPr>
              <w:t>8,391</w:t>
            </w:r>
          </w:p>
        </w:tc>
        <w:tc>
          <w:tcPr>
            <w:tcW w:w="304" w:type="pct"/>
            <w:tcBorders>
              <w:top w:val="nil"/>
              <w:left w:val="nil"/>
              <w:bottom w:val="nil"/>
              <w:right w:val="nil"/>
            </w:tcBorders>
            <w:shd w:val="clear" w:color="auto" w:fill="auto"/>
            <w:noWrap/>
            <w:vAlign w:val="center"/>
            <w:hideMark/>
          </w:tcPr>
          <w:p w14:paraId="16BD94C4" w14:textId="77777777" w:rsidR="00B66CC3" w:rsidRPr="004A5BF7" w:rsidRDefault="00B66CC3" w:rsidP="00B66CC3">
            <w:pPr>
              <w:spacing w:before="0" w:after="0"/>
              <w:jc w:val="center"/>
              <w:rPr>
                <w:rFonts w:cs="Arial"/>
                <w:sz w:val="18"/>
                <w:szCs w:val="18"/>
              </w:rPr>
            </w:pPr>
            <w:r w:rsidRPr="004A5BF7">
              <w:rPr>
                <w:rFonts w:cs="Arial"/>
                <w:sz w:val="18"/>
                <w:szCs w:val="18"/>
              </w:rPr>
              <w:t>3,738</w:t>
            </w:r>
          </w:p>
        </w:tc>
        <w:tc>
          <w:tcPr>
            <w:tcW w:w="304" w:type="pct"/>
            <w:tcBorders>
              <w:top w:val="nil"/>
              <w:left w:val="nil"/>
              <w:bottom w:val="nil"/>
              <w:right w:val="nil"/>
            </w:tcBorders>
            <w:shd w:val="clear" w:color="auto" w:fill="auto"/>
            <w:noWrap/>
            <w:vAlign w:val="center"/>
            <w:hideMark/>
          </w:tcPr>
          <w:p w14:paraId="0200DB07" w14:textId="77777777" w:rsidR="00B66CC3" w:rsidRPr="004A5BF7" w:rsidRDefault="00B66CC3" w:rsidP="00B66CC3">
            <w:pPr>
              <w:spacing w:before="0" w:after="0"/>
              <w:jc w:val="center"/>
              <w:rPr>
                <w:rFonts w:cs="Arial"/>
                <w:sz w:val="18"/>
                <w:szCs w:val="18"/>
              </w:rPr>
            </w:pPr>
            <w:r w:rsidRPr="004A5BF7">
              <w:rPr>
                <w:rFonts w:cs="Arial"/>
                <w:sz w:val="18"/>
                <w:szCs w:val="18"/>
              </w:rPr>
              <w:t>818</w:t>
            </w:r>
          </w:p>
        </w:tc>
        <w:tc>
          <w:tcPr>
            <w:tcW w:w="304" w:type="pct"/>
            <w:tcBorders>
              <w:top w:val="nil"/>
              <w:left w:val="nil"/>
              <w:bottom w:val="nil"/>
              <w:right w:val="nil"/>
            </w:tcBorders>
            <w:shd w:val="clear" w:color="auto" w:fill="auto"/>
            <w:noWrap/>
            <w:vAlign w:val="center"/>
            <w:hideMark/>
          </w:tcPr>
          <w:p w14:paraId="75DF5B61" w14:textId="77777777" w:rsidR="00B66CC3" w:rsidRPr="004A5BF7" w:rsidRDefault="00B66CC3" w:rsidP="00B66CC3">
            <w:pPr>
              <w:spacing w:before="0" w:after="0"/>
              <w:jc w:val="center"/>
              <w:rPr>
                <w:rFonts w:cs="Arial"/>
                <w:sz w:val="18"/>
                <w:szCs w:val="18"/>
              </w:rPr>
            </w:pPr>
            <w:r w:rsidRPr="004A5BF7">
              <w:rPr>
                <w:rFonts w:cs="Arial"/>
                <w:sz w:val="18"/>
                <w:szCs w:val="18"/>
              </w:rPr>
              <w:t>347</w:t>
            </w:r>
          </w:p>
        </w:tc>
        <w:tc>
          <w:tcPr>
            <w:tcW w:w="304" w:type="pct"/>
            <w:tcBorders>
              <w:top w:val="nil"/>
              <w:left w:val="nil"/>
              <w:bottom w:val="nil"/>
              <w:right w:val="nil"/>
            </w:tcBorders>
            <w:shd w:val="clear" w:color="auto" w:fill="auto"/>
            <w:noWrap/>
            <w:vAlign w:val="center"/>
            <w:hideMark/>
          </w:tcPr>
          <w:p w14:paraId="14C18F28" w14:textId="77777777" w:rsidR="00B66CC3" w:rsidRPr="004A5BF7" w:rsidRDefault="00B66CC3" w:rsidP="00B66CC3">
            <w:pPr>
              <w:spacing w:before="0" w:after="0"/>
              <w:jc w:val="center"/>
              <w:rPr>
                <w:rFonts w:cs="Arial"/>
                <w:sz w:val="18"/>
                <w:szCs w:val="18"/>
              </w:rPr>
            </w:pPr>
            <w:r w:rsidRPr="004A5BF7">
              <w:rPr>
                <w:rFonts w:cs="Arial"/>
                <w:sz w:val="18"/>
                <w:szCs w:val="18"/>
              </w:rPr>
              <w:t>199</w:t>
            </w:r>
          </w:p>
        </w:tc>
      </w:tr>
      <w:tr w:rsidR="00B66CC3" w:rsidRPr="00E9409C" w14:paraId="417F1216" w14:textId="77777777" w:rsidTr="00B66CC3">
        <w:trPr>
          <w:trHeight w:val="454"/>
        </w:trPr>
        <w:tc>
          <w:tcPr>
            <w:tcW w:w="484" w:type="pct"/>
            <w:tcBorders>
              <w:top w:val="nil"/>
              <w:left w:val="nil"/>
              <w:bottom w:val="nil"/>
              <w:right w:val="nil"/>
            </w:tcBorders>
            <w:shd w:val="clear" w:color="auto" w:fill="auto"/>
            <w:noWrap/>
            <w:vAlign w:val="center"/>
            <w:hideMark/>
          </w:tcPr>
          <w:p w14:paraId="1A06D874" w14:textId="77777777" w:rsidR="00B66CC3" w:rsidRPr="004A5BF7" w:rsidRDefault="00B66CC3" w:rsidP="004A5BF7">
            <w:pPr>
              <w:spacing w:before="0" w:after="0"/>
              <w:jc w:val="left"/>
              <w:rPr>
                <w:rFonts w:cs="Arial"/>
                <w:sz w:val="18"/>
                <w:szCs w:val="18"/>
              </w:rPr>
            </w:pPr>
            <w:r w:rsidRPr="004A5BF7">
              <w:rPr>
                <w:rFonts w:cs="Arial"/>
                <w:sz w:val="18"/>
                <w:szCs w:val="18"/>
              </w:rPr>
              <w:t>Proserpine</w:t>
            </w:r>
          </w:p>
        </w:tc>
        <w:tc>
          <w:tcPr>
            <w:tcW w:w="564" w:type="pct"/>
            <w:tcBorders>
              <w:top w:val="nil"/>
              <w:left w:val="nil"/>
              <w:bottom w:val="nil"/>
              <w:right w:val="nil"/>
            </w:tcBorders>
            <w:shd w:val="clear" w:color="auto" w:fill="auto"/>
            <w:noWrap/>
            <w:vAlign w:val="center"/>
            <w:hideMark/>
          </w:tcPr>
          <w:p w14:paraId="13AAA11A" w14:textId="2855BA43" w:rsidR="00B66CC3" w:rsidRPr="004A5BF7" w:rsidRDefault="00B66CC3" w:rsidP="004A5BF7">
            <w:pPr>
              <w:spacing w:before="0" w:after="0"/>
              <w:jc w:val="left"/>
              <w:rPr>
                <w:rFonts w:cs="Arial"/>
                <w:sz w:val="18"/>
                <w:szCs w:val="18"/>
              </w:rPr>
            </w:pPr>
            <w:r w:rsidRPr="004A5BF7">
              <w:rPr>
                <w:rFonts w:cs="Arial"/>
                <w:sz w:val="18"/>
                <w:szCs w:val="18"/>
              </w:rPr>
              <w:t>Mackay</w:t>
            </w:r>
            <w:r w:rsidR="00981224">
              <w:rPr>
                <w:rFonts w:cs="Arial"/>
                <w:sz w:val="18"/>
                <w:szCs w:val="18"/>
              </w:rPr>
              <w:t xml:space="preserve"> </w:t>
            </w:r>
            <w:r w:rsidRPr="004A5BF7">
              <w:rPr>
                <w:rFonts w:cs="Arial"/>
                <w:sz w:val="18"/>
                <w:szCs w:val="18"/>
              </w:rPr>
              <w:t>Whitsunday</w:t>
            </w:r>
          </w:p>
        </w:tc>
        <w:tc>
          <w:tcPr>
            <w:tcW w:w="304" w:type="pct"/>
            <w:tcBorders>
              <w:top w:val="nil"/>
              <w:left w:val="nil"/>
              <w:bottom w:val="nil"/>
              <w:right w:val="nil"/>
            </w:tcBorders>
            <w:shd w:val="clear" w:color="auto" w:fill="auto"/>
            <w:noWrap/>
            <w:vAlign w:val="center"/>
            <w:hideMark/>
          </w:tcPr>
          <w:p w14:paraId="13F31673" w14:textId="77777777" w:rsidR="00B66CC3" w:rsidRPr="004A5BF7" w:rsidRDefault="00B66CC3" w:rsidP="00B66CC3">
            <w:pPr>
              <w:spacing w:before="0" w:after="0"/>
              <w:jc w:val="center"/>
              <w:rPr>
                <w:rFonts w:cs="Arial"/>
                <w:sz w:val="18"/>
                <w:szCs w:val="18"/>
              </w:rPr>
            </w:pPr>
            <w:r w:rsidRPr="004A5BF7">
              <w:rPr>
                <w:rFonts w:cs="Arial"/>
                <w:sz w:val="18"/>
                <w:szCs w:val="18"/>
              </w:rPr>
              <w:t>20</w:t>
            </w:r>
          </w:p>
        </w:tc>
        <w:tc>
          <w:tcPr>
            <w:tcW w:w="304" w:type="pct"/>
            <w:tcBorders>
              <w:top w:val="nil"/>
              <w:left w:val="nil"/>
              <w:bottom w:val="nil"/>
              <w:right w:val="nil"/>
            </w:tcBorders>
            <w:shd w:val="clear" w:color="auto" w:fill="auto"/>
            <w:noWrap/>
            <w:vAlign w:val="center"/>
            <w:hideMark/>
          </w:tcPr>
          <w:p w14:paraId="6FB0EF80" w14:textId="77777777" w:rsidR="00B66CC3" w:rsidRPr="004A5BF7" w:rsidRDefault="00B66CC3" w:rsidP="00B66CC3">
            <w:pPr>
              <w:spacing w:before="0" w:after="0"/>
              <w:jc w:val="center"/>
              <w:rPr>
                <w:rFonts w:cs="Arial"/>
                <w:sz w:val="18"/>
                <w:szCs w:val="18"/>
              </w:rPr>
            </w:pPr>
            <w:r w:rsidRPr="004A5BF7">
              <w:rPr>
                <w:rFonts w:cs="Arial"/>
                <w:sz w:val="18"/>
                <w:szCs w:val="18"/>
              </w:rPr>
              <w:t>27</w:t>
            </w:r>
          </w:p>
        </w:tc>
        <w:tc>
          <w:tcPr>
            <w:tcW w:w="304" w:type="pct"/>
            <w:tcBorders>
              <w:top w:val="nil"/>
              <w:left w:val="nil"/>
              <w:bottom w:val="nil"/>
              <w:right w:val="nil"/>
            </w:tcBorders>
            <w:shd w:val="clear" w:color="auto" w:fill="auto"/>
            <w:noWrap/>
            <w:vAlign w:val="center"/>
            <w:hideMark/>
          </w:tcPr>
          <w:p w14:paraId="71E0E467" w14:textId="77777777" w:rsidR="00B66CC3" w:rsidRPr="004A5BF7" w:rsidRDefault="00B66CC3" w:rsidP="00B66CC3">
            <w:pPr>
              <w:spacing w:before="0" w:after="0"/>
              <w:jc w:val="center"/>
              <w:rPr>
                <w:rFonts w:cs="Arial"/>
                <w:sz w:val="18"/>
                <w:szCs w:val="18"/>
              </w:rPr>
            </w:pPr>
            <w:r w:rsidRPr="004A5BF7">
              <w:rPr>
                <w:rFonts w:cs="Arial"/>
                <w:sz w:val="18"/>
                <w:szCs w:val="18"/>
              </w:rPr>
              <w:t>64</w:t>
            </w:r>
          </w:p>
        </w:tc>
        <w:tc>
          <w:tcPr>
            <w:tcW w:w="304" w:type="pct"/>
            <w:tcBorders>
              <w:top w:val="nil"/>
              <w:left w:val="nil"/>
              <w:bottom w:val="nil"/>
              <w:right w:val="nil"/>
            </w:tcBorders>
            <w:shd w:val="clear" w:color="auto" w:fill="auto"/>
            <w:noWrap/>
            <w:vAlign w:val="center"/>
            <w:hideMark/>
          </w:tcPr>
          <w:p w14:paraId="5BA73AA1" w14:textId="77777777" w:rsidR="00B66CC3" w:rsidRPr="004A5BF7" w:rsidRDefault="00B66CC3" w:rsidP="00B66CC3">
            <w:pPr>
              <w:spacing w:before="0" w:after="0"/>
              <w:jc w:val="center"/>
              <w:rPr>
                <w:rFonts w:cs="Arial"/>
                <w:sz w:val="18"/>
                <w:szCs w:val="18"/>
              </w:rPr>
            </w:pPr>
            <w:r w:rsidRPr="004A5BF7">
              <w:rPr>
                <w:rFonts w:cs="Arial"/>
                <w:sz w:val="18"/>
                <w:szCs w:val="18"/>
              </w:rPr>
              <w:t>72</w:t>
            </w:r>
          </w:p>
        </w:tc>
        <w:tc>
          <w:tcPr>
            <w:tcW w:w="304" w:type="pct"/>
            <w:tcBorders>
              <w:top w:val="nil"/>
              <w:left w:val="nil"/>
              <w:bottom w:val="nil"/>
              <w:right w:val="nil"/>
            </w:tcBorders>
            <w:shd w:val="clear" w:color="auto" w:fill="auto"/>
            <w:noWrap/>
            <w:vAlign w:val="center"/>
            <w:hideMark/>
          </w:tcPr>
          <w:p w14:paraId="39810C07" w14:textId="77777777" w:rsidR="00B66CC3" w:rsidRPr="004A5BF7" w:rsidRDefault="00B66CC3" w:rsidP="00B66CC3">
            <w:pPr>
              <w:spacing w:before="0" w:after="0"/>
              <w:jc w:val="center"/>
              <w:rPr>
                <w:rFonts w:cs="Arial"/>
                <w:sz w:val="18"/>
                <w:szCs w:val="18"/>
              </w:rPr>
            </w:pPr>
            <w:r w:rsidRPr="004A5BF7">
              <w:rPr>
                <w:rFonts w:cs="Arial"/>
                <w:sz w:val="18"/>
                <w:szCs w:val="18"/>
              </w:rPr>
              <w:t>161</w:t>
            </w:r>
          </w:p>
        </w:tc>
        <w:tc>
          <w:tcPr>
            <w:tcW w:w="304" w:type="pct"/>
            <w:tcBorders>
              <w:top w:val="nil"/>
              <w:left w:val="nil"/>
              <w:bottom w:val="nil"/>
              <w:right w:val="nil"/>
            </w:tcBorders>
            <w:shd w:val="clear" w:color="auto" w:fill="auto"/>
            <w:noWrap/>
            <w:vAlign w:val="center"/>
            <w:hideMark/>
          </w:tcPr>
          <w:p w14:paraId="26B744B5" w14:textId="77777777" w:rsidR="00B66CC3" w:rsidRPr="004A5BF7" w:rsidRDefault="00B66CC3" w:rsidP="00B66CC3">
            <w:pPr>
              <w:spacing w:before="0" w:after="0"/>
              <w:jc w:val="center"/>
              <w:rPr>
                <w:rFonts w:cs="Arial"/>
                <w:sz w:val="18"/>
                <w:szCs w:val="18"/>
              </w:rPr>
            </w:pPr>
            <w:r w:rsidRPr="004A5BF7">
              <w:rPr>
                <w:rFonts w:cs="Arial"/>
                <w:sz w:val="18"/>
                <w:szCs w:val="18"/>
              </w:rPr>
              <w:t>363</w:t>
            </w:r>
          </w:p>
        </w:tc>
        <w:tc>
          <w:tcPr>
            <w:tcW w:w="304" w:type="pct"/>
            <w:tcBorders>
              <w:top w:val="nil"/>
              <w:left w:val="nil"/>
              <w:bottom w:val="nil"/>
              <w:right w:val="nil"/>
            </w:tcBorders>
            <w:shd w:val="clear" w:color="auto" w:fill="auto"/>
            <w:noWrap/>
            <w:vAlign w:val="center"/>
            <w:hideMark/>
          </w:tcPr>
          <w:p w14:paraId="5FD39743" w14:textId="77777777" w:rsidR="00B66CC3" w:rsidRPr="004A5BF7" w:rsidRDefault="00B66CC3" w:rsidP="00B66CC3">
            <w:pPr>
              <w:spacing w:before="0" w:after="0"/>
              <w:jc w:val="center"/>
              <w:rPr>
                <w:rFonts w:cs="Arial"/>
                <w:sz w:val="18"/>
                <w:szCs w:val="18"/>
              </w:rPr>
            </w:pPr>
            <w:r w:rsidRPr="004A5BF7">
              <w:rPr>
                <w:rFonts w:cs="Arial"/>
                <w:sz w:val="18"/>
                <w:szCs w:val="18"/>
              </w:rPr>
              <w:t>211</w:t>
            </w:r>
          </w:p>
        </w:tc>
        <w:tc>
          <w:tcPr>
            <w:tcW w:w="304" w:type="pct"/>
            <w:tcBorders>
              <w:top w:val="nil"/>
              <w:left w:val="nil"/>
              <w:bottom w:val="nil"/>
              <w:right w:val="nil"/>
            </w:tcBorders>
            <w:shd w:val="clear" w:color="auto" w:fill="auto"/>
            <w:noWrap/>
            <w:vAlign w:val="center"/>
            <w:hideMark/>
          </w:tcPr>
          <w:p w14:paraId="535ED86E" w14:textId="77777777" w:rsidR="00B66CC3" w:rsidRPr="004A5BF7" w:rsidRDefault="00B66CC3" w:rsidP="00B66CC3">
            <w:pPr>
              <w:spacing w:before="0" w:after="0"/>
              <w:jc w:val="center"/>
              <w:rPr>
                <w:rFonts w:cs="Arial"/>
                <w:sz w:val="18"/>
                <w:szCs w:val="18"/>
              </w:rPr>
            </w:pPr>
            <w:r w:rsidRPr="004A5BF7">
              <w:rPr>
                <w:rFonts w:cs="Arial"/>
                <w:sz w:val="18"/>
                <w:szCs w:val="18"/>
              </w:rPr>
              <w:t>176</w:t>
            </w:r>
          </w:p>
        </w:tc>
        <w:tc>
          <w:tcPr>
            <w:tcW w:w="304" w:type="pct"/>
            <w:tcBorders>
              <w:top w:val="nil"/>
              <w:left w:val="nil"/>
              <w:bottom w:val="nil"/>
              <w:right w:val="nil"/>
            </w:tcBorders>
            <w:shd w:val="clear" w:color="auto" w:fill="auto"/>
            <w:noWrap/>
            <w:vAlign w:val="center"/>
            <w:hideMark/>
          </w:tcPr>
          <w:p w14:paraId="78A1CDCC" w14:textId="77777777" w:rsidR="00B66CC3" w:rsidRPr="004A5BF7" w:rsidRDefault="00B66CC3" w:rsidP="00B66CC3">
            <w:pPr>
              <w:spacing w:before="0" w:after="0"/>
              <w:jc w:val="center"/>
              <w:rPr>
                <w:rFonts w:cs="Arial"/>
                <w:sz w:val="18"/>
                <w:szCs w:val="18"/>
              </w:rPr>
            </w:pPr>
            <w:r w:rsidRPr="004A5BF7">
              <w:rPr>
                <w:rFonts w:cs="Arial"/>
                <w:sz w:val="18"/>
                <w:szCs w:val="18"/>
              </w:rPr>
              <w:t>337</w:t>
            </w:r>
          </w:p>
        </w:tc>
        <w:tc>
          <w:tcPr>
            <w:tcW w:w="304" w:type="pct"/>
            <w:tcBorders>
              <w:top w:val="nil"/>
              <w:left w:val="nil"/>
              <w:bottom w:val="nil"/>
              <w:right w:val="nil"/>
            </w:tcBorders>
            <w:shd w:val="clear" w:color="auto" w:fill="auto"/>
            <w:noWrap/>
            <w:vAlign w:val="center"/>
            <w:hideMark/>
          </w:tcPr>
          <w:p w14:paraId="72610324" w14:textId="77777777" w:rsidR="00B66CC3" w:rsidRPr="004A5BF7" w:rsidRDefault="00B66CC3" w:rsidP="00B66CC3">
            <w:pPr>
              <w:spacing w:before="0" w:after="0"/>
              <w:jc w:val="center"/>
              <w:rPr>
                <w:rFonts w:cs="Arial"/>
                <w:sz w:val="18"/>
                <w:szCs w:val="18"/>
              </w:rPr>
            </w:pPr>
            <w:r w:rsidRPr="004A5BF7">
              <w:rPr>
                <w:rFonts w:cs="Arial"/>
                <w:sz w:val="18"/>
                <w:szCs w:val="18"/>
              </w:rPr>
              <w:t>121</w:t>
            </w:r>
          </w:p>
        </w:tc>
        <w:tc>
          <w:tcPr>
            <w:tcW w:w="304" w:type="pct"/>
            <w:tcBorders>
              <w:top w:val="nil"/>
              <w:left w:val="nil"/>
              <w:bottom w:val="nil"/>
              <w:right w:val="nil"/>
            </w:tcBorders>
            <w:shd w:val="clear" w:color="auto" w:fill="auto"/>
            <w:noWrap/>
            <w:vAlign w:val="center"/>
            <w:hideMark/>
          </w:tcPr>
          <w:p w14:paraId="0EC27BFC" w14:textId="77777777" w:rsidR="00B66CC3" w:rsidRPr="004A5BF7" w:rsidRDefault="00B66CC3" w:rsidP="00B66CC3">
            <w:pPr>
              <w:spacing w:before="0" w:after="0"/>
              <w:jc w:val="center"/>
              <w:rPr>
                <w:rFonts w:cs="Arial"/>
                <w:sz w:val="18"/>
                <w:szCs w:val="18"/>
              </w:rPr>
            </w:pPr>
            <w:r w:rsidRPr="004A5BF7">
              <w:rPr>
                <w:rFonts w:cs="Arial"/>
                <w:sz w:val="18"/>
                <w:szCs w:val="18"/>
              </w:rPr>
              <w:t>118</w:t>
            </w:r>
          </w:p>
        </w:tc>
        <w:tc>
          <w:tcPr>
            <w:tcW w:w="304" w:type="pct"/>
            <w:tcBorders>
              <w:top w:val="nil"/>
              <w:left w:val="nil"/>
              <w:bottom w:val="nil"/>
              <w:right w:val="nil"/>
            </w:tcBorders>
            <w:shd w:val="clear" w:color="auto" w:fill="auto"/>
            <w:noWrap/>
            <w:vAlign w:val="center"/>
            <w:hideMark/>
          </w:tcPr>
          <w:p w14:paraId="561B286B" w14:textId="77777777" w:rsidR="00B66CC3" w:rsidRPr="004A5BF7" w:rsidRDefault="00B66CC3" w:rsidP="00B66CC3">
            <w:pPr>
              <w:spacing w:before="0" w:after="0"/>
              <w:jc w:val="center"/>
              <w:rPr>
                <w:rFonts w:cs="Arial"/>
                <w:sz w:val="18"/>
                <w:szCs w:val="18"/>
              </w:rPr>
            </w:pPr>
            <w:r w:rsidRPr="004A5BF7">
              <w:rPr>
                <w:rFonts w:cs="Arial"/>
                <w:sz w:val="18"/>
                <w:szCs w:val="18"/>
              </w:rPr>
              <w:t>116</w:t>
            </w:r>
          </w:p>
        </w:tc>
        <w:tc>
          <w:tcPr>
            <w:tcW w:w="304" w:type="pct"/>
            <w:tcBorders>
              <w:top w:val="nil"/>
              <w:left w:val="nil"/>
              <w:bottom w:val="nil"/>
              <w:right w:val="nil"/>
            </w:tcBorders>
            <w:shd w:val="clear" w:color="auto" w:fill="auto"/>
            <w:noWrap/>
            <w:vAlign w:val="center"/>
            <w:hideMark/>
          </w:tcPr>
          <w:p w14:paraId="6AEA81B6" w14:textId="77777777" w:rsidR="00B66CC3" w:rsidRPr="004A5BF7" w:rsidRDefault="00B66CC3" w:rsidP="00B66CC3">
            <w:pPr>
              <w:spacing w:before="0" w:after="0"/>
              <w:jc w:val="center"/>
              <w:rPr>
                <w:rFonts w:cs="Arial"/>
                <w:sz w:val="18"/>
                <w:szCs w:val="18"/>
              </w:rPr>
            </w:pPr>
            <w:r w:rsidRPr="004A5BF7">
              <w:rPr>
                <w:rFonts w:cs="Arial"/>
                <w:sz w:val="18"/>
                <w:szCs w:val="18"/>
              </w:rPr>
              <w:t>18</w:t>
            </w:r>
          </w:p>
        </w:tc>
      </w:tr>
      <w:tr w:rsidR="00B66CC3" w:rsidRPr="00E9409C" w14:paraId="63013B27" w14:textId="77777777" w:rsidTr="00B66CC3">
        <w:trPr>
          <w:trHeight w:val="454"/>
        </w:trPr>
        <w:tc>
          <w:tcPr>
            <w:tcW w:w="484" w:type="pct"/>
            <w:tcBorders>
              <w:top w:val="nil"/>
              <w:left w:val="nil"/>
              <w:bottom w:val="nil"/>
              <w:right w:val="nil"/>
            </w:tcBorders>
            <w:shd w:val="clear" w:color="auto" w:fill="auto"/>
            <w:noWrap/>
            <w:vAlign w:val="center"/>
            <w:hideMark/>
          </w:tcPr>
          <w:p w14:paraId="42E5B048" w14:textId="77777777" w:rsidR="00B66CC3" w:rsidRPr="004A5BF7" w:rsidRDefault="00B66CC3" w:rsidP="004A5BF7">
            <w:pPr>
              <w:spacing w:before="0" w:after="0"/>
              <w:jc w:val="left"/>
              <w:rPr>
                <w:rFonts w:cs="Arial"/>
                <w:sz w:val="18"/>
                <w:szCs w:val="18"/>
              </w:rPr>
            </w:pPr>
            <w:r w:rsidRPr="004A5BF7">
              <w:rPr>
                <w:rFonts w:cs="Arial"/>
                <w:sz w:val="18"/>
                <w:szCs w:val="18"/>
              </w:rPr>
              <w:t>O'Connell</w:t>
            </w:r>
          </w:p>
        </w:tc>
        <w:tc>
          <w:tcPr>
            <w:tcW w:w="564" w:type="pct"/>
            <w:tcBorders>
              <w:top w:val="nil"/>
              <w:left w:val="nil"/>
              <w:bottom w:val="nil"/>
              <w:right w:val="nil"/>
            </w:tcBorders>
            <w:shd w:val="clear" w:color="auto" w:fill="auto"/>
            <w:noWrap/>
            <w:vAlign w:val="center"/>
            <w:hideMark/>
          </w:tcPr>
          <w:p w14:paraId="00A88F47" w14:textId="7BD76458" w:rsidR="00B66CC3" w:rsidRPr="004A5BF7" w:rsidRDefault="00B66CC3" w:rsidP="004A5BF7">
            <w:pPr>
              <w:spacing w:before="0" w:after="0"/>
              <w:jc w:val="left"/>
              <w:rPr>
                <w:rFonts w:cs="Arial"/>
                <w:sz w:val="18"/>
                <w:szCs w:val="18"/>
              </w:rPr>
            </w:pPr>
            <w:r w:rsidRPr="004A5BF7">
              <w:rPr>
                <w:rFonts w:cs="Arial"/>
                <w:sz w:val="18"/>
                <w:szCs w:val="18"/>
              </w:rPr>
              <w:t>Mackay</w:t>
            </w:r>
            <w:r w:rsidR="00981224">
              <w:rPr>
                <w:rFonts w:cs="Arial"/>
                <w:sz w:val="18"/>
                <w:szCs w:val="18"/>
              </w:rPr>
              <w:t xml:space="preserve"> </w:t>
            </w:r>
            <w:r w:rsidRPr="004A5BF7">
              <w:rPr>
                <w:rFonts w:cs="Arial"/>
                <w:sz w:val="18"/>
                <w:szCs w:val="18"/>
              </w:rPr>
              <w:t>Whitsunday</w:t>
            </w:r>
          </w:p>
        </w:tc>
        <w:tc>
          <w:tcPr>
            <w:tcW w:w="304" w:type="pct"/>
            <w:tcBorders>
              <w:top w:val="nil"/>
              <w:left w:val="nil"/>
              <w:bottom w:val="nil"/>
              <w:right w:val="nil"/>
            </w:tcBorders>
            <w:shd w:val="clear" w:color="auto" w:fill="auto"/>
            <w:noWrap/>
            <w:vAlign w:val="center"/>
            <w:hideMark/>
          </w:tcPr>
          <w:p w14:paraId="5D8D5774" w14:textId="77777777" w:rsidR="00B66CC3" w:rsidRPr="004A5BF7" w:rsidRDefault="00B66CC3" w:rsidP="00B66CC3">
            <w:pPr>
              <w:spacing w:before="0" w:after="0"/>
              <w:jc w:val="center"/>
              <w:rPr>
                <w:rFonts w:cs="Arial"/>
                <w:sz w:val="18"/>
                <w:szCs w:val="18"/>
              </w:rPr>
            </w:pPr>
            <w:r w:rsidRPr="004A5BF7">
              <w:rPr>
                <w:rFonts w:cs="Arial"/>
                <w:sz w:val="18"/>
                <w:szCs w:val="18"/>
              </w:rPr>
              <w:t>41</w:t>
            </w:r>
          </w:p>
        </w:tc>
        <w:tc>
          <w:tcPr>
            <w:tcW w:w="304" w:type="pct"/>
            <w:tcBorders>
              <w:top w:val="nil"/>
              <w:left w:val="nil"/>
              <w:bottom w:val="nil"/>
              <w:right w:val="nil"/>
            </w:tcBorders>
            <w:shd w:val="clear" w:color="auto" w:fill="auto"/>
            <w:noWrap/>
            <w:vAlign w:val="center"/>
            <w:hideMark/>
          </w:tcPr>
          <w:p w14:paraId="1260F3FB" w14:textId="77777777" w:rsidR="00B66CC3" w:rsidRPr="004A5BF7" w:rsidRDefault="00B66CC3" w:rsidP="00B66CC3">
            <w:pPr>
              <w:spacing w:before="0" w:after="0"/>
              <w:jc w:val="center"/>
              <w:rPr>
                <w:rFonts w:cs="Arial"/>
                <w:sz w:val="18"/>
                <w:szCs w:val="18"/>
              </w:rPr>
            </w:pPr>
            <w:r w:rsidRPr="004A5BF7">
              <w:rPr>
                <w:rFonts w:cs="Arial"/>
                <w:sz w:val="18"/>
                <w:szCs w:val="18"/>
              </w:rPr>
              <w:t>43</w:t>
            </w:r>
          </w:p>
        </w:tc>
        <w:tc>
          <w:tcPr>
            <w:tcW w:w="304" w:type="pct"/>
            <w:tcBorders>
              <w:top w:val="nil"/>
              <w:left w:val="nil"/>
              <w:bottom w:val="nil"/>
              <w:right w:val="nil"/>
            </w:tcBorders>
            <w:shd w:val="clear" w:color="auto" w:fill="auto"/>
            <w:noWrap/>
            <w:vAlign w:val="center"/>
            <w:hideMark/>
          </w:tcPr>
          <w:p w14:paraId="2C7CA646" w14:textId="77777777" w:rsidR="00B66CC3" w:rsidRPr="004A5BF7" w:rsidRDefault="00B66CC3" w:rsidP="00B66CC3">
            <w:pPr>
              <w:spacing w:before="0" w:after="0"/>
              <w:jc w:val="center"/>
              <w:rPr>
                <w:rFonts w:cs="Arial"/>
                <w:sz w:val="18"/>
                <w:szCs w:val="18"/>
              </w:rPr>
            </w:pPr>
            <w:r w:rsidRPr="004A5BF7">
              <w:rPr>
                <w:rFonts w:cs="Arial"/>
                <w:sz w:val="18"/>
                <w:szCs w:val="18"/>
              </w:rPr>
              <w:t>132</w:t>
            </w:r>
          </w:p>
        </w:tc>
        <w:tc>
          <w:tcPr>
            <w:tcW w:w="304" w:type="pct"/>
            <w:tcBorders>
              <w:top w:val="nil"/>
              <w:left w:val="nil"/>
              <w:bottom w:val="nil"/>
              <w:right w:val="nil"/>
            </w:tcBorders>
            <w:shd w:val="clear" w:color="auto" w:fill="auto"/>
            <w:noWrap/>
            <w:vAlign w:val="center"/>
            <w:hideMark/>
          </w:tcPr>
          <w:p w14:paraId="450386D9" w14:textId="77777777" w:rsidR="00B66CC3" w:rsidRPr="004A5BF7" w:rsidRDefault="00B66CC3" w:rsidP="00B66CC3">
            <w:pPr>
              <w:spacing w:before="0" w:after="0"/>
              <w:jc w:val="center"/>
              <w:rPr>
                <w:rFonts w:cs="Arial"/>
                <w:sz w:val="18"/>
                <w:szCs w:val="18"/>
              </w:rPr>
            </w:pPr>
            <w:r w:rsidRPr="004A5BF7">
              <w:rPr>
                <w:rFonts w:cs="Arial"/>
                <w:sz w:val="18"/>
                <w:szCs w:val="18"/>
              </w:rPr>
              <w:t>156</w:t>
            </w:r>
          </w:p>
        </w:tc>
        <w:tc>
          <w:tcPr>
            <w:tcW w:w="304" w:type="pct"/>
            <w:tcBorders>
              <w:top w:val="nil"/>
              <w:left w:val="nil"/>
              <w:bottom w:val="nil"/>
              <w:right w:val="nil"/>
            </w:tcBorders>
            <w:shd w:val="clear" w:color="auto" w:fill="auto"/>
            <w:noWrap/>
            <w:vAlign w:val="center"/>
            <w:hideMark/>
          </w:tcPr>
          <w:p w14:paraId="33590E3F" w14:textId="77777777" w:rsidR="00B66CC3" w:rsidRPr="004A5BF7" w:rsidRDefault="00B66CC3" w:rsidP="00B66CC3">
            <w:pPr>
              <w:spacing w:before="0" w:after="0"/>
              <w:jc w:val="center"/>
              <w:rPr>
                <w:rFonts w:cs="Arial"/>
                <w:sz w:val="18"/>
                <w:szCs w:val="18"/>
              </w:rPr>
            </w:pPr>
            <w:r w:rsidRPr="004A5BF7">
              <w:rPr>
                <w:rFonts w:cs="Arial"/>
                <w:sz w:val="18"/>
                <w:szCs w:val="18"/>
              </w:rPr>
              <w:t>323</w:t>
            </w:r>
          </w:p>
        </w:tc>
        <w:tc>
          <w:tcPr>
            <w:tcW w:w="304" w:type="pct"/>
            <w:tcBorders>
              <w:top w:val="nil"/>
              <w:left w:val="nil"/>
              <w:bottom w:val="nil"/>
              <w:right w:val="nil"/>
            </w:tcBorders>
            <w:shd w:val="clear" w:color="auto" w:fill="auto"/>
            <w:noWrap/>
            <w:vAlign w:val="center"/>
            <w:hideMark/>
          </w:tcPr>
          <w:p w14:paraId="7A845170" w14:textId="77777777" w:rsidR="00B66CC3" w:rsidRPr="004A5BF7" w:rsidRDefault="00B66CC3" w:rsidP="00B66CC3">
            <w:pPr>
              <w:spacing w:before="0" w:after="0"/>
              <w:jc w:val="center"/>
              <w:rPr>
                <w:rFonts w:cs="Arial"/>
                <w:sz w:val="18"/>
                <w:szCs w:val="18"/>
              </w:rPr>
            </w:pPr>
            <w:r w:rsidRPr="004A5BF7">
              <w:rPr>
                <w:rFonts w:cs="Arial"/>
                <w:sz w:val="18"/>
                <w:szCs w:val="18"/>
              </w:rPr>
              <w:t>447</w:t>
            </w:r>
          </w:p>
        </w:tc>
        <w:tc>
          <w:tcPr>
            <w:tcW w:w="304" w:type="pct"/>
            <w:tcBorders>
              <w:top w:val="nil"/>
              <w:left w:val="nil"/>
              <w:bottom w:val="nil"/>
              <w:right w:val="nil"/>
            </w:tcBorders>
            <w:shd w:val="clear" w:color="auto" w:fill="auto"/>
            <w:noWrap/>
            <w:vAlign w:val="center"/>
            <w:hideMark/>
          </w:tcPr>
          <w:p w14:paraId="41352BA0" w14:textId="77777777" w:rsidR="00B66CC3" w:rsidRPr="004A5BF7" w:rsidRDefault="00B66CC3" w:rsidP="00B66CC3">
            <w:pPr>
              <w:spacing w:before="0" w:after="0"/>
              <w:jc w:val="center"/>
              <w:rPr>
                <w:rFonts w:cs="Arial"/>
                <w:sz w:val="18"/>
                <w:szCs w:val="18"/>
              </w:rPr>
            </w:pPr>
            <w:r w:rsidRPr="004A5BF7">
              <w:rPr>
                <w:rFonts w:cs="Arial"/>
                <w:sz w:val="18"/>
                <w:szCs w:val="18"/>
              </w:rPr>
              <w:t>393</w:t>
            </w:r>
          </w:p>
        </w:tc>
        <w:tc>
          <w:tcPr>
            <w:tcW w:w="304" w:type="pct"/>
            <w:tcBorders>
              <w:top w:val="nil"/>
              <w:left w:val="nil"/>
              <w:bottom w:val="nil"/>
              <w:right w:val="nil"/>
            </w:tcBorders>
            <w:shd w:val="clear" w:color="auto" w:fill="auto"/>
            <w:noWrap/>
            <w:vAlign w:val="center"/>
            <w:hideMark/>
          </w:tcPr>
          <w:p w14:paraId="2FD76F5E" w14:textId="77777777" w:rsidR="00B66CC3" w:rsidRPr="004A5BF7" w:rsidRDefault="00B66CC3" w:rsidP="00B66CC3">
            <w:pPr>
              <w:spacing w:before="0" w:after="0"/>
              <w:jc w:val="center"/>
              <w:rPr>
                <w:rFonts w:cs="Arial"/>
                <w:sz w:val="18"/>
                <w:szCs w:val="18"/>
              </w:rPr>
            </w:pPr>
            <w:r w:rsidRPr="004A5BF7">
              <w:rPr>
                <w:rFonts w:cs="Arial"/>
                <w:sz w:val="18"/>
                <w:szCs w:val="18"/>
              </w:rPr>
              <w:t>578</w:t>
            </w:r>
          </w:p>
        </w:tc>
        <w:tc>
          <w:tcPr>
            <w:tcW w:w="304" w:type="pct"/>
            <w:tcBorders>
              <w:top w:val="nil"/>
              <w:left w:val="nil"/>
              <w:bottom w:val="nil"/>
              <w:right w:val="nil"/>
            </w:tcBorders>
            <w:shd w:val="clear" w:color="auto" w:fill="auto"/>
            <w:noWrap/>
            <w:vAlign w:val="center"/>
            <w:hideMark/>
          </w:tcPr>
          <w:p w14:paraId="76D8459B" w14:textId="77777777" w:rsidR="00B66CC3" w:rsidRPr="004A5BF7" w:rsidRDefault="00B66CC3" w:rsidP="00B66CC3">
            <w:pPr>
              <w:spacing w:before="0" w:after="0"/>
              <w:jc w:val="center"/>
              <w:rPr>
                <w:rFonts w:cs="Arial"/>
                <w:sz w:val="18"/>
                <w:szCs w:val="18"/>
              </w:rPr>
            </w:pPr>
            <w:r w:rsidRPr="004A5BF7">
              <w:rPr>
                <w:rFonts w:cs="Arial"/>
                <w:sz w:val="18"/>
                <w:szCs w:val="18"/>
              </w:rPr>
              <w:t>1,177</w:t>
            </w:r>
          </w:p>
        </w:tc>
        <w:tc>
          <w:tcPr>
            <w:tcW w:w="304" w:type="pct"/>
            <w:tcBorders>
              <w:top w:val="nil"/>
              <w:left w:val="nil"/>
              <w:bottom w:val="nil"/>
              <w:right w:val="nil"/>
            </w:tcBorders>
            <w:shd w:val="clear" w:color="auto" w:fill="auto"/>
            <w:noWrap/>
            <w:vAlign w:val="center"/>
            <w:hideMark/>
          </w:tcPr>
          <w:p w14:paraId="61F3510E" w14:textId="77777777" w:rsidR="00B66CC3" w:rsidRPr="004A5BF7" w:rsidRDefault="00B66CC3" w:rsidP="00B66CC3">
            <w:pPr>
              <w:spacing w:before="0" w:after="0"/>
              <w:jc w:val="center"/>
              <w:rPr>
                <w:rFonts w:cs="Arial"/>
                <w:sz w:val="18"/>
                <w:szCs w:val="18"/>
              </w:rPr>
            </w:pPr>
            <w:r w:rsidRPr="004A5BF7">
              <w:rPr>
                <w:rFonts w:cs="Arial"/>
                <w:sz w:val="18"/>
                <w:szCs w:val="18"/>
              </w:rPr>
              <w:t>558</w:t>
            </w:r>
          </w:p>
        </w:tc>
        <w:tc>
          <w:tcPr>
            <w:tcW w:w="304" w:type="pct"/>
            <w:tcBorders>
              <w:top w:val="nil"/>
              <w:left w:val="nil"/>
              <w:bottom w:val="nil"/>
              <w:right w:val="nil"/>
            </w:tcBorders>
            <w:shd w:val="clear" w:color="auto" w:fill="auto"/>
            <w:noWrap/>
            <w:vAlign w:val="center"/>
            <w:hideMark/>
          </w:tcPr>
          <w:p w14:paraId="4E7968C4" w14:textId="77777777" w:rsidR="00B66CC3" w:rsidRPr="004A5BF7" w:rsidRDefault="00B66CC3" w:rsidP="00B66CC3">
            <w:pPr>
              <w:spacing w:before="0" w:after="0"/>
              <w:jc w:val="center"/>
              <w:rPr>
                <w:rFonts w:cs="Arial"/>
                <w:sz w:val="18"/>
                <w:szCs w:val="18"/>
              </w:rPr>
            </w:pPr>
            <w:r w:rsidRPr="004A5BF7">
              <w:rPr>
                <w:rFonts w:cs="Arial"/>
                <w:sz w:val="18"/>
                <w:szCs w:val="18"/>
              </w:rPr>
              <w:t>212</w:t>
            </w:r>
          </w:p>
        </w:tc>
        <w:tc>
          <w:tcPr>
            <w:tcW w:w="304" w:type="pct"/>
            <w:tcBorders>
              <w:top w:val="nil"/>
              <w:left w:val="nil"/>
              <w:bottom w:val="nil"/>
              <w:right w:val="nil"/>
            </w:tcBorders>
            <w:shd w:val="clear" w:color="auto" w:fill="auto"/>
            <w:noWrap/>
            <w:vAlign w:val="center"/>
            <w:hideMark/>
          </w:tcPr>
          <w:p w14:paraId="22B50983" w14:textId="77777777" w:rsidR="00B66CC3" w:rsidRPr="004A5BF7" w:rsidRDefault="00B66CC3" w:rsidP="00B66CC3">
            <w:pPr>
              <w:spacing w:before="0" w:after="0"/>
              <w:jc w:val="center"/>
              <w:rPr>
                <w:rFonts w:cs="Arial"/>
                <w:sz w:val="18"/>
                <w:szCs w:val="18"/>
              </w:rPr>
            </w:pPr>
            <w:r w:rsidRPr="004A5BF7">
              <w:rPr>
                <w:rFonts w:cs="Arial"/>
                <w:sz w:val="18"/>
                <w:szCs w:val="18"/>
              </w:rPr>
              <w:t>179</w:t>
            </w:r>
          </w:p>
        </w:tc>
        <w:tc>
          <w:tcPr>
            <w:tcW w:w="304" w:type="pct"/>
            <w:tcBorders>
              <w:top w:val="nil"/>
              <w:left w:val="nil"/>
              <w:bottom w:val="nil"/>
              <w:right w:val="nil"/>
            </w:tcBorders>
            <w:shd w:val="clear" w:color="auto" w:fill="auto"/>
            <w:noWrap/>
            <w:vAlign w:val="center"/>
            <w:hideMark/>
          </w:tcPr>
          <w:p w14:paraId="163AA60F" w14:textId="77777777" w:rsidR="00B66CC3" w:rsidRPr="004A5BF7" w:rsidRDefault="00B66CC3" w:rsidP="00B66CC3">
            <w:pPr>
              <w:spacing w:before="0" w:after="0"/>
              <w:jc w:val="center"/>
              <w:rPr>
                <w:rFonts w:cs="Arial"/>
                <w:sz w:val="18"/>
                <w:szCs w:val="18"/>
              </w:rPr>
            </w:pPr>
            <w:r w:rsidRPr="004A5BF7">
              <w:rPr>
                <w:rFonts w:cs="Arial"/>
                <w:sz w:val="18"/>
                <w:szCs w:val="18"/>
              </w:rPr>
              <w:t>38</w:t>
            </w:r>
          </w:p>
        </w:tc>
      </w:tr>
      <w:tr w:rsidR="00B66CC3" w:rsidRPr="00E9409C" w14:paraId="20E17DEF" w14:textId="77777777" w:rsidTr="00B66CC3">
        <w:trPr>
          <w:trHeight w:val="454"/>
        </w:trPr>
        <w:tc>
          <w:tcPr>
            <w:tcW w:w="484" w:type="pct"/>
            <w:tcBorders>
              <w:top w:val="nil"/>
              <w:left w:val="nil"/>
              <w:bottom w:val="nil"/>
              <w:right w:val="nil"/>
            </w:tcBorders>
            <w:shd w:val="clear" w:color="auto" w:fill="auto"/>
            <w:noWrap/>
            <w:vAlign w:val="center"/>
            <w:hideMark/>
          </w:tcPr>
          <w:p w14:paraId="41473FBA" w14:textId="77777777" w:rsidR="00B66CC3" w:rsidRPr="004A5BF7" w:rsidRDefault="00B66CC3" w:rsidP="004A5BF7">
            <w:pPr>
              <w:spacing w:before="0" w:after="0"/>
              <w:jc w:val="left"/>
              <w:rPr>
                <w:rFonts w:cs="Arial"/>
                <w:sz w:val="18"/>
                <w:szCs w:val="18"/>
              </w:rPr>
            </w:pPr>
            <w:r w:rsidRPr="004A5BF7">
              <w:rPr>
                <w:rFonts w:cs="Arial"/>
                <w:sz w:val="18"/>
                <w:szCs w:val="18"/>
              </w:rPr>
              <w:t>Pioneer</w:t>
            </w:r>
          </w:p>
        </w:tc>
        <w:tc>
          <w:tcPr>
            <w:tcW w:w="564" w:type="pct"/>
            <w:tcBorders>
              <w:top w:val="nil"/>
              <w:left w:val="nil"/>
              <w:bottom w:val="nil"/>
              <w:right w:val="nil"/>
            </w:tcBorders>
            <w:shd w:val="clear" w:color="auto" w:fill="auto"/>
            <w:noWrap/>
            <w:vAlign w:val="center"/>
            <w:hideMark/>
          </w:tcPr>
          <w:p w14:paraId="6564A65F" w14:textId="1131732A" w:rsidR="00B66CC3" w:rsidRPr="004A5BF7" w:rsidRDefault="00B66CC3" w:rsidP="004A5BF7">
            <w:pPr>
              <w:spacing w:before="0" w:after="0"/>
              <w:jc w:val="left"/>
              <w:rPr>
                <w:rFonts w:cs="Arial"/>
                <w:sz w:val="18"/>
                <w:szCs w:val="18"/>
              </w:rPr>
            </w:pPr>
            <w:r w:rsidRPr="004A5BF7">
              <w:rPr>
                <w:rFonts w:cs="Arial"/>
                <w:sz w:val="18"/>
                <w:szCs w:val="18"/>
              </w:rPr>
              <w:t>Mackay</w:t>
            </w:r>
            <w:r w:rsidR="00981224">
              <w:rPr>
                <w:rFonts w:cs="Arial"/>
                <w:sz w:val="18"/>
                <w:szCs w:val="18"/>
              </w:rPr>
              <w:t xml:space="preserve"> </w:t>
            </w:r>
            <w:r w:rsidRPr="004A5BF7">
              <w:rPr>
                <w:rFonts w:cs="Arial"/>
                <w:sz w:val="18"/>
                <w:szCs w:val="18"/>
              </w:rPr>
              <w:t>Whitsunday</w:t>
            </w:r>
          </w:p>
        </w:tc>
        <w:tc>
          <w:tcPr>
            <w:tcW w:w="304" w:type="pct"/>
            <w:tcBorders>
              <w:top w:val="nil"/>
              <w:left w:val="nil"/>
              <w:bottom w:val="nil"/>
              <w:right w:val="nil"/>
            </w:tcBorders>
            <w:shd w:val="clear" w:color="auto" w:fill="auto"/>
            <w:noWrap/>
            <w:vAlign w:val="center"/>
            <w:hideMark/>
          </w:tcPr>
          <w:p w14:paraId="614F889D" w14:textId="77777777" w:rsidR="00B66CC3" w:rsidRPr="004A5BF7" w:rsidRDefault="00B66CC3" w:rsidP="00B66CC3">
            <w:pPr>
              <w:spacing w:before="0" w:after="0"/>
              <w:jc w:val="center"/>
              <w:rPr>
                <w:rFonts w:cs="Arial"/>
                <w:sz w:val="18"/>
                <w:szCs w:val="18"/>
              </w:rPr>
            </w:pPr>
            <w:r w:rsidRPr="004A5BF7">
              <w:rPr>
                <w:rFonts w:cs="Arial"/>
                <w:sz w:val="18"/>
                <w:szCs w:val="18"/>
              </w:rPr>
              <w:t>50</w:t>
            </w:r>
          </w:p>
        </w:tc>
        <w:tc>
          <w:tcPr>
            <w:tcW w:w="304" w:type="pct"/>
            <w:tcBorders>
              <w:top w:val="nil"/>
              <w:left w:val="nil"/>
              <w:bottom w:val="nil"/>
              <w:right w:val="nil"/>
            </w:tcBorders>
            <w:shd w:val="clear" w:color="auto" w:fill="auto"/>
            <w:noWrap/>
            <w:vAlign w:val="center"/>
            <w:hideMark/>
          </w:tcPr>
          <w:p w14:paraId="4338E3C6" w14:textId="77777777" w:rsidR="00B66CC3" w:rsidRPr="004A5BF7" w:rsidRDefault="00B66CC3" w:rsidP="00B66CC3">
            <w:pPr>
              <w:spacing w:before="0" w:after="0"/>
              <w:jc w:val="center"/>
              <w:rPr>
                <w:rFonts w:cs="Arial"/>
                <w:sz w:val="18"/>
                <w:szCs w:val="18"/>
              </w:rPr>
            </w:pPr>
            <w:r w:rsidRPr="004A5BF7">
              <w:rPr>
                <w:rFonts w:cs="Arial"/>
                <w:sz w:val="18"/>
                <w:szCs w:val="18"/>
              </w:rPr>
              <w:t>11</w:t>
            </w:r>
          </w:p>
        </w:tc>
        <w:tc>
          <w:tcPr>
            <w:tcW w:w="304" w:type="pct"/>
            <w:tcBorders>
              <w:top w:val="nil"/>
              <w:left w:val="nil"/>
              <w:bottom w:val="nil"/>
              <w:right w:val="nil"/>
            </w:tcBorders>
            <w:shd w:val="clear" w:color="auto" w:fill="auto"/>
            <w:noWrap/>
            <w:vAlign w:val="center"/>
            <w:hideMark/>
          </w:tcPr>
          <w:p w14:paraId="7886FC9E" w14:textId="77777777" w:rsidR="00B66CC3" w:rsidRPr="004A5BF7" w:rsidRDefault="00B66CC3" w:rsidP="00B66CC3">
            <w:pPr>
              <w:spacing w:before="0" w:after="0"/>
              <w:jc w:val="center"/>
              <w:rPr>
                <w:rFonts w:cs="Arial"/>
                <w:sz w:val="18"/>
                <w:szCs w:val="18"/>
              </w:rPr>
            </w:pPr>
            <w:r w:rsidRPr="004A5BF7">
              <w:rPr>
                <w:rFonts w:cs="Arial"/>
                <w:sz w:val="18"/>
                <w:szCs w:val="18"/>
              </w:rPr>
              <w:t>99</w:t>
            </w:r>
          </w:p>
        </w:tc>
        <w:tc>
          <w:tcPr>
            <w:tcW w:w="304" w:type="pct"/>
            <w:tcBorders>
              <w:top w:val="nil"/>
              <w:left w:val="nil"/>
              <w:bottom w:val="nil"/>
              <w:right w:val="nil"/>
            </w:tcBorders>
            <w:shd w:val="clear" w:color="auto" w:fill="auto"/>
            <w:noWrap/>
            <w:vAlign w:val="center"/>
            <w:hideMark/>
          </w:tcPr>
          <w:p w14:paraId="6D96237F" w14:textId="77777777" w:rsidR="00B66CC3" w:rsidRPr="004A5BF7" w:rsidRDefault="00B66CC3" w:rsidP="00B66CC3">
            <w:pPr>
              <w:spacing w:before="0" w:after="0"/>
              <w:jc w:val="center"/>
              <w:rPr>
                <w:rFonts w:cs="Arial"/>
                <w:sz w:val="18"/>
                <w:szCs w:val="18"/>
              </w:rPr>
            </w:pPr>
            <w:r w:rsidRPr="004A5BF7">
              <w:rPr>
                <w:rFonts w:cs="Arial"/>
                <w:sz w:val="18"/>
                <w:szCs w:val="18"/>
              </w:rPr>
              <w:t>38</w:t>
            </w:r>
          </w:p>
        </w:tc>
        <w:tc>
          <w:tcPr>
            <w:tcW w:w="304" w:type="pct"/>
            <w:tcBorders>
              <w:top w:val="nil"/>
              <w:left w:val="nil"/>
              <w:bottom w:val="nil"/>
              <w:right w:val="nil"/>
            </w:tcBorders>
            <w:shd w:val="clear" w:color="auto" w:fill="auto"/>
            <w:noWrap/>
            <w:vAlign w:val="center"/>
            <w:hideMark/>
          </w:tcPr>
          <w:p w14:paraId="33DCA0C5" w14:textId="77777777" w:rsidR="00B66CC3" w:rsidRPr="004A5BF7" w:rsidRDefault="00B66CC3" w:rsidP="00B66CC3">
            <w:pPr>
              <w:spacing w:before="0" w:after="0"/>
              <w:jc w:val="center"/>
              <w:rPr>
                <w:rFonts w:cs="Arial"/>
                <w:sz w:val="18"/>
                <w:szCs w:val="18"/>
              </w:rPr>
            </w:pPr>
            <w:r w:rsidRPr="004A5BF7">
              <w:rPr>
                <w:rFonts w:cs="Arial"/>
                <w:sz w:val="18"/>
                <w:szCs w:val="18"/>
              </w:rPr>
              <w:t>503</w:t>
            </w:r>
          </w:p>
        </w:tc>
        <w:tc>
          <w:tcPr>
            <w:tcW w:w="304" w:type="pct"/>
            <w:tcBorders>
              <w:top w:val="nil"/>
              <w:left w:val="nil"/>
              <w:bottom w:val="nil"/>
              <w:right w:val="nil"/>
            </w:tcBorders>
            <w:shd w:val="clear" w:color="auto" w:fill="auto"/>
            <w:noWrap/>
            <w:vAlign w:val="center"/>
            <w:hideMark/>
          </w:tcPr>
          <w:p w14:paraId="3210731E" w14:textId="77777777" w:rsidR="00B66CC3" w:rsidRPr="004A5BF7" w:rsidRDefault="00B66CC3" w:rsidP="00B66CC3">
            <w:pPr>
              <w:spacing w:before="0" w:after="0"/>
              <w:jc w:val="center"/>
              <w:rPr>
                <w:rFonts w:cs="Arial"/>
                <w:sz w:val="18"/>
                <w:szCs w:val="18"/>
              </w:rPr>
            </w:pPr>
            <w:r w:rsidRPr="004A5BF7">
              <w:rPr>
                <w:rFonts w:cs="Arial"/>
                <w:sz w:val="18"/>
                <w:szCs w:val="18"/>
              </w:rPr>
              <w:t>721</w:t>
            </w:r>
          </w:p>
        </w:tc>
        <w:tc>
          <w:tcPr>
            <w:tcW w:w="304" w:type="pct"/>
            <w:tcBorders>
              <w:top w:val="nil"/>
              <w:left w:val="nil"/>
              <w:bottom w:val="nil"/>
              <w:right w:val="nil"/>
            </w:tcBorders>
            <w:shd w:val="clear" w:color="auto" w:fill="auto"/>
            <w:noWrap/>
            <w:vAlign w:val="center"/>
            <w:hideMark/>
          </w:tcPr>
          <w:p w14:paraId="3C1D1FAA" w14:textId="77777777" w:rsidR="00B66CC3" w:rsidRPr="004A5BF7" w:rsidRDefault="00B66CC3" w:rsidP="00B66CC3">
            <w:pPr>
              <w:spacing w:before="0" w:after="0"/>
              <w:jc w:val="center"/>
              <w:rPr>
                <w:rFonts w:cs="Arial"/>
                <w:sz w:val="18"/>
                <w:szCs w:val="18"/>
              </w:rPr>
            </w:pPr>
            <w:r w:rsidRPr="004A5BF7">
              <w:rPr>
                <w:rFonts w:cs="Arial"/>
                <w:sz w:val="18"/>
                <w:szCs w:val="18"/>
              </w:rPr>
              <w:t>546</w:t>
            </w:r>
          </w:p>
        </w:tc>
        <w:tc>
          <w:tcPr>
            <w:tcW w:w="304" w:type="pct"/>
            <w:tcBorders>
              <w:top w:val="nil"/>
              <w:left w:val="nil"/>
              <w:bottom w:val="nil"/>
              <w:right w:val="nil"/>
            </w:tcBorders>
            <w:shd w:val="clear" w:color="auto" w:fill="auto"/>
            <w:noWrap/>
            <w:vAlign w:val="center"/>
            <w:hideMark/>
          </w:tcPr>
          <w:p w14:paraId="44548776" w14:textId="77777777" w:rsidR="00B66CC3" w:rsidRPr="004A5BF7" w:rsidRDefault="00B66CC3" w:rsidP="00B66CC3">
            <w:pPr>
              <w:spacing w:before="0" w:after="0"/>
              <w:jc w:val="center"/>
              <w:rPr>
                <w:rFonts w:cs="Arial"/>
                <w:sz w:val="18"/>
                <w:szCs w:val="18"/>
              </w:rPr>
            </w:pPr>
            <w:r w:rsidRPr="004A5BF7">
              <w:rPr>
                <w:rFonts w:cs="Arial"/>
                <w:sz w:val="18"/>
                <w:szCs w:val="18"/>
              </w:rPr>
              <w:t>684</w:t>
            </w:r>
          </w:p>
        </w:tc>
        <w:tc>
          <w:tcPr>
            <w:tcW w:w="304" w:type="pct"/>
            <w:tcBorders>
              <w:top w:val="nil"/>
              <w:left w:val="nil"/>
              <w:bottom w:val="nil"/>
              <w:right w:val="nil"/>
            </w:tcBorders>
            <w:shd w:val="clear" w:color="auto" w:fill="auto"/>
            <w:noWrap/>
            <w:vAlign w:val="center"/>
            <w:hideMark/>
          </w:tcPr>
          <w:p w14:paraId="79DD9760" w14:textId="77777777" w:rsidR="00B66CC3" w:rsidRPr="004A5BF7" w:rsidRDefault="00B66CC3" w:rsidP="00B66CC3">
            <w:pPr>
              <w:spacing w:before="0" w:after="0"/>
              <w:jc w:val="center"/>
              <w:rPr>
                <w:rFonts w:cs="Arial"/>
                <w:sz w:val="18"/>
                <w:szCs w:val="18"/>
              </w:rPr>
            </w:pPr>
            <w:r w:rsidRPr="004A5BF7">
              <w:rPr>
                <w:rFonts w:cs="Arial"/>
                <w:sz w:val="18"/>
                <w:szCs w:val="18"/>
              </w:rPr>
              <w:t>1,736</w:t>
            </w:r>
          </w:p>
        </w:tc>
        <w:tc>
          <w:tcPr>
            <w:tcW w:w="304" w:type="pct"/>
            <w:tcBorders>
              <w:top w:val="nil"/>
              <w:left w:val="nil"/>
              <w:bottom w:val="nil"/>
              <w:right w:val="nil"/>
            </w:tcBorders>
            <w:shd w:val="clear" w:color="auto" w:fill="auto"/>
            <w:noWrap/>
            <w:vAlign w:val="center"/>
            <w:hideMark/>
          </w:tcPr>
          <w:p w14:paraId="45053217" w14:textId="77777777" w:rsidR="00B66CC3" w:rsidRPr="004A5BF7" w:rsidRDefault="00B66CC3" w:rsidP="00B66CC3">
            <w:pPr>
              <w:spacing w:before="0" w:after="0"/>
              <w:jc w:val="center"/>
              <w:rPr>
                <w:rFonts w:cs="Arial"/>
                <w:sz w:val="18"/>
                <w:szCs w:val="18"/>
              </w:rPr>
            </w:pPr>
            <w:r w:rsidRPr="004A5BF7">
              <w:rPr>
                <w:rFonts w:cs="Arial"/>
                <w:sz w:val="18"/>
                <w:szCs w:val="18"/>
              </w:rPr>
              <w:t>749</w:t>
            </w:r>
          </w:p>
        </w:tc>
        <w:tc>
          <w:tcPr>
            <w:tcW w:w="304" w:type="pct"/>
            <w:tcBorders>
              <w:top w:val="nil"/>
              <w:left w:val="nil"/>
              <w:bottom w:val="nil"/>
              <w:right w:val="nil"/>
            </w:tcBorders>
            <w:shd w:val="clear" w:color="auto" w:fill="auto"/>
            <w:noWrap/>
            <w:vAlign w:val="center"/>
            <w:hideMark/>
          </w:tcPr>
          <w:p w14:paraId="735F6BB4" w14:textId="77777777" w:rsidR="00B66CC3" w:rsidRPr="004A5BF7" w:rsidRDefault="00B66CC3" w:rsidP="00B66CC3">
            <w:pPr>
              <w:spacing w:before="0" w:after="0"/>
              <w:jc w:val="center"/>
              <w:rPr>
                <w:rFonts w:cs="Arial"/>
                <w:sz w:val="18"/>
                <w:szCs w:val="18"/>
              </w:rPr>
            </w:pPr>
            <w:r w:rsidRPr="004A5BF7">
              <w:rPr>
                <w:rFonts w:cs="Arial"/>
                <w:sz w:val="18"/>
                <w:szCs w:val="18"/>
              </w:rPr>
              <w:t>556</w:t>
            </w:r>
          </w:p>
        </w:tc>
        <w:tc>
          <w:tcPr>
            <w:tcW w:w="304" w:type="pct"/>
            <w:tcBorders>
              <w:top w:val="nil"/>
              <w:left w:val="nil"/>
              <w:bottom w:val="nil"/>
              <w:right w:val="nil"/>
            </w:tcBorders>
            <w:shd w:val="clear" w:color="auto" w:fill="auto"/>
            <w:noWrap/>
            <w:vAlign w:val="center"/>
            <w:hideMark/>
          </w:tcPr>
          <w:p w14:paraId="2EB3BFF1" w14:textId="77777777" w:rsidR="00B66CC3" w:rsidRPr="004A5BF7" w:rsidRDefault="00B66CC3" w:rsidP="00B66CC3">
            <w:pPr>
              <w:spacing w:before="0" w:after="0"/>
              <w:jc w:val="center"/>
              <w:rPr>
                <w:rFonts w:cs="Arial"/>
                <w:sz w:val="18"/>
                <w:szCs w:val="18"/>
              </w:rPr>
            </w:pPr>
            <w:r w:rsidRPr="004A5BF7">
              <w:rPr>
                <w:rFonts w:cs="Arial"/>
                <w:sz w:val="18"/>
                <w:szCs w:val="18"/>
              </w:rPr>
              <w:t>304</w:t>
            </w:r>
          </w:p>
        </w:tc>
        <w:tc>
          <w:tcPr>
            <w:tcW w:w="304" w:type="pct"/>
            <w:tcBorders>
              <w:top w:val="nil"/>
              <w:left w:val="nil"/>
              <w:bottom w:val="nil"/>
              <w:right w:val="nil"/>
            </w:tcBorders>
            <w:shd w:val="clear" w:color="auto" w:fill="auto"/>
            <w:noWrap/>
            <w:vAlign w:val="center"/>
            <w:hideMark/>
          </w:tcPr>
          <w:p w14:paraId="40D75B97" w14:textId="77777777" w:rsidR="00B66CC3" w:rsidRPr="004A5BF7" w:rsidRDefault="00B66CC3" w:rsidP="00B66CC3">
            <w:pPr>
              <w:spacing w:before="0" w:after="0"/>
              <w:jc w:val="center"/>
              <w:rPr>
                <w:rFonts w:cs="Arial"/>
                <w:sz w:val="18"/>
                <w:szCs w:val="18"/>
              </w:rPr>
            </w:pPr>
            <w:r w:rsidRPr="004A5BF7">
              <w:rPr>
                <w:rFonts w:cs="Arial"/>
                <w:sz w:val="18"/>
                <w:szCs w:val="18"/>
              </w:rPr>
              <w:t>63</w:t>
            </w:r>
          </w:p>
        </w:tc>
      </w:tr>
      <w:tr w:rsidR="00B66CC3" w:rsidRPr="00E9409C" w14:paraId="25FCAE6E" w14:textId="77777777" w:rsidTr="00B66CC3">
        <w:trPr>
          <w:trHeight w:val="454"/>
        </w:trPr>
        <w:tc>
          <w:tcPr>
            <w:tcW w:w="484" w:type="pct"/>
            <w:tcBorders>
              <w:top w:val="nil"/>
              <w:left w:val="nil"/>
              <w:bottom w:val="nil"/>
              <w:right w:val="nil"/>
            </w:tcBorders>
            <w:shd w:val="clear" w:color="auto" w:fill="auto"/>
            <w:noWrap/>
            <w:vAlign w:val="center"/>
            <w:hideMark/>
          </w:tcPr>
          <w:p w14:paraId="05A8F7A5" w14:textId="77777777" w:rsidR="00B66CC3" w:rsidRPr="004A5BF7" w:rsidRDefault="00B66CC3" w:rsidP="004A5BF7">
            <w:pPr>
              <w:spacing w:before="0" w:after="0"/>
              <w:jc w:val="left"/>
              <w:rPr>
                <w:rFonts w:cs="Arial"/>
                <w:sz w:val="18"/>
                <w:szCs w:val="18"/>
              </w:rPr>
            </w:pPr>
            <w:r w:rsidRPr="004A5BF7">
              <w:rPr>
                <w:rFonts w:cs="Arial"/>
                <w:sz w:val="18"/>
                <w:szCs w:val="18"/>
              </w:rPr>
              <w:t>Plane</w:t>
            </w:r>
          </w:p>
        </w:tc>
        <w:tc>
          <w:tcPr>
            <w:tcW w:w="564" w:type="pct"/>
            <w:tcBorders>
              <w:top w:val="nil"/>
              <w:left w:val="nil"/>
              <w:bottom w:val="nil"/>
              <w:right w:val="nil"/>
            </w:tcBorders>
            <w:shd w:val="clear" w:color="auto" w:fill="auto"/>
            <w:noWrap/>
            <w:vAlign w:val="center"/>
            <w:hideMark/>
          </w:tcPr>
          <w:p w14:paraId="3E3122CC" w14:textId="311BDB04" w:rsidR="00B66CC3" w:rsidRPr="004A5BF7" w:rsidRDefault="00B66CC3" w:rsidP="004A5BF7">
            <w:pPr>
              <w:spacing w:before="0" w:after="0"/>
              <w:jc w:val="left"/>
              <w:rPr>
                <w:rFonts w:cs="Arial"/>
                <w:sz w:val="18"/>
                <w:szCs w:val="18"/>
              </w:rPr>
            </w:pPr>
            <w:r w:rsidRPr="004A5BF7">
              <w:rPr>
                <w:rFonts w:cs="Arial"/>
                <w:sz w:val="18"/>
                <w:szCs w:val="18"/>
              </w:rPr>
              <w:t>Mackay</w:t>
            </w:r>
            <w:r w:rsidR="00981224">
              <w:rPr>
                <w:rFonts w:cs="Arial"/>
                <w:sz w:val="18"/>
                <w:szCs w:val="18"/>
              </w:rPr>
              <w:t xml:space="preserve"> </w:t>
            </w:r>
            <w:r w:rsidRPr="004A5BF7">
              <w:rPr>
                <w:rFonts w:cs="Arial"/>
                <w:sz w:val="18"/>
                <w:szCs w:val="18"/>
              </w:rPr>
              <w:t>Whitsunday</w:t>
            </w:r>
          </w:p>
        </w:tc>
        <w:tc>
          <w:tcPr>
            <w:tcW w:w="304" w:type="pct"/>
            <w:tcBorders>
              <w:top w:val="nil"/>
              <w:left w:val="nil"/>
              <w:bottom w:val="nil"/>
              <w:right w:val="nil"/>
            </w:tcBorders>
            <w:shd w:val="clear" w:color="auto" w:fill="auto"/>
            <w:noWrap/>
            <w:vAlign w:val="center"/>
            <w:hideMark/>
          </w:tcPr>
          <w:p w14:paraId="7E10CC3D" w14:textId="77777777" w:rsidR="00B66CC3" w:rsidRPr="004A5BF7" w:rsidRDefault="00B66CC3" w:rsidP="00B66CC3">
            <w:pPr>
              <w:spacing w:before="0" w:after="0"/>
              <w:jc w:val="center"/>
              <w:rPr>
                <w:rFonts w:cs="Arial"/>
                <w:sz w:val="18"/>
                <w:szCs w:val="18"/>
              </w:rPr>
            </w:pPr>
            <w:r w:rsidRPr="004A5BF7">
              <w:rPr>
                <w:rFonts w:cs="Arial"/>
                <w:sz w:val="18"/>
                <w:szCs w:val="18"/>
              </w:rPr>
              <w:t>162</w:t>
            </w:r>
          </w:p>
        </w:tc>
        <w:tc>
          <w:tcPr>
            <w:tcW w:w="304" w:type="pct"/>
            <w:tcBorders>
              <w:top w:val="nil"/>
              <w:left w:val="nil"/>
              <w:bottom w:val="nil"/>
              <w:right w:val="nil"/>
            </w:tcBorders>
            <w:shd w:val="clear" w:color="auto" w:fill="auto"/>
            <w:noWrap/>
            <w:vAlign w:val="center"/>
            <w:hideMark/>
          </w:tcPr>
          <w:p w14:paraId="65784215" w14:textId="77777777" w:rsidR="00B66CC3" w:rsidRPr="004A5BF7" w:rsidRDefault="00B66CC3" w:rsidP="00B66CC3">
            <w:pPr>
              <w:spacing w:before="0" w:after="0"/>
              <w:jc w:val="center"/>
              <w:rPr>
                <w:rFonts w:cs="Arial"/>
                <w:sz w:val="18"/>
                <w:szCs w:val="18"/>
              </w:rPr>
            </w:pPr>
            <w:r w:rsidRPr="004A5BF7">
              <w:rPr>
                <w:rFonts w:cs="Arial"/>
                <w:sz w:val="18"/>
                <w:szCs w:val="18"/>
              </w:rPr>
              <w:t>34</w:t>
            </w:r>
          </w:p>
        </w:tc>
        <w:tc>
          <w:tcPr>
            <w:tcW w:w="304" w:type="pct"/>
            <w:tcBorders>
              <w:top w:val="nil"/>
              <w:left w:val="nil"/>
              <w:bottom w:val="nil"/>
              <w:right w:val="nil"/>
            </w:tcBorders>
            <w:shd w:val="clear" w:color="auto" w:fill="auto"/>
            <w:noWrap/>
            <w:vAlign w:val="center"/>
            <w:hideMark/>
          </w:tcPr>
          <w:p w14:paraId="518C1EA2" w14:textId="77777777" w:rsidR="00B66CC3" w:rsidRPr="004A5BF7" w:rsidRDefault="00B66CC3" w:rsidP="00B66CC3">
            <w:pPr>
              <w:spacing w:before="0" w:after="0"/>
              <w:jc w:val="center"/>
              <w:rPr>
                <w:rFonts w:cs="Arial"/>
                <w:sz w:val="18"/>
                <w:szCs w:val="18"/>
              </w:rPr>
            </w:pPr>
            <w:r w:rsidRPr="004A5BF7">
              <w:rPr>
                <w:rFonts w:cs="Arial"/>
                <w:sz w:val="18"/>
                <w:szCs w:val="18"/>
              </w:rPr>
              <w:t>232</w:t>
            </w:r>
          </w:p>
        </w:tc>
        <w:tc>
          <w:tcPr>
            <w:tcW w:w="304" w:type="pct"/>
            <w:tcBorders>
              <w:top w:val="nil"/>
              <w:left w:val="nil"/>
              <w:bottom w:val="nil"/>
              <w:right w:val="nil"/>
            </w:tcBorders>
            <w:shd w:val="clear" w:color="auto" w:fill="auto"/>
            <w:noWrap/>
            <w:vAlign w:val="center"/>
            <w:hideMark/>
          </w:tcPr>
          <w:p w14:paraId="07800220" w14:textId="77777777" w:rsidR="00B66CC3" w:rsidRPr="004A5BF7" w:rsidRDefault="00B66CC3" w:rsidP="00B66CC3">
            <w:pPr>
              <w:spacing w:before="0" w:after="0"/>
              <w:jc w:val="center"/>
              <w:rPr>
                <w:rFonts w:cs="Arial"/>
                <w:sz w:val="18"/>
                <w:szCs w:val="18"/>
              </w:rPr>
            </w:pPr>
            <w:r w:rsidRPr="004A5BF7">
              <w:rPr>
                <w:rFonts w:cs="Arial"/>
                <w:sz w:val="18"/>
                <w:szCs w:val="18"/>
              </w:rPr>
              <w:t>20</w:t>
            </w:r>
          </w:p>
        </w:tc>
        <w:tc>
          <w:tcPr>
            <w:tcW w:w="304" w:type="pct"/>
            <w:tcBorders>
              <w:top w:val="nil"/>
              <w:left w:val="nil"/>
              <w:bottom w:val="nil"/>
              <w:right w:val="nil"/>
            </w:tcBorders>
            <w:shd w:val="clear" w:color="auto" w:fill="auto"/>
            <w:noWrap/>
            <w:vAlign w:val="center"/>
            <w:hideMark/>
          </w:tcPr>
          <w:p w14:paraId="54DE2DDC" w14:textId="77777777" w:rsidR="00B66CC3" w:rsidRPr="004A5BF7" w:rsidRDefault="00B66CC3" w:rsidP="00B66CC3">
            <w:pPr>
              <w:spacing w:before="0" w:after="0"/>
              <w:jc w:val="center"/>
              <w:rPr>
                <w:rFonts w:cs="Arial"/>
                <w:sz w:val="18"/>
                <w:szCs w:val="18"/>
              </w:rPr>
            </w:pPr>
            <w:r w:rsidRPr="004A5BF7">
              <w:rPr>
                <w:rFonts w:cs="Arial"/>
                <w:sz w:val="18"/>
                <w:szCs w:val="18"/>
              </w:rPr>
              <w:t>528</w:t>
            </w:r>
          </w:p>
        </w:tc>
        <w:tc>
          <w:tcPr>
            <w:tcW w:w="304" w:type="pct"/>
            <w:tcBorders>
              <w:top w:val="nil"/>
              <w:left w:val="nil"/>
              <w:bottom w:val="nil"/>
              <w:right w:val="nil"/>
            </w:tcBorders>
            <w:shd w:val="clear" w:color="auto" w:fill="auto"/>
            <w:noWrap/>
            <w:vAlign w:val="center"/>
            <w:hideMark/>
          </w:tcPr>
          <w:p w14:paraId="6A923F84" w14:textId="77777777" w:rsidR="00B66CC3" w:rsidRPr="004A5BF7" w:rsidRDefault="00B66CC3" w:rsidP="00B66CC3">
            <w:pPr>
              <w:spacing w:before="0" w:after="0"/>
              <w:jc w:val="center"/>
              <w:rPr>
                <w:rFonts w:cs="Arial"/>
                <w:sz w:val="18"/>
                <w:szCs w:val="18"/>
              </w:rPr>
            </w:pPr>
            <w:r w:rsidRPr="004A5BF7">
              <w:rPr>
                <w:rFonts w:cs="Arial"/>
                <w:sz w:val="18"/>
                <w:szCs w:val="18"/>
              </w:rPr>
              <w:t>1,113</w:t>
            </w:r>
          </w:p>
        </w:tc>
        <w:tc>
          <w:tcPr>
            <w:tcW w:w="304" w:type="pct"/>
            <w:tcBorders>
              <w:top w:val="nil"/>
              <w:left w:val="nil"/>
              <w:bottom w:val="nil"/>
              <w:right w:val="nil"/>
            </w:tcBorders>
            <w:shd w:val="clear" w:color="auto" w:fill="auto"/>
            <w:noWrap/>
            <w:vAlign w:val="center"/>
            <w:hideMark/>
          </w:tcPr>
          <w:p w14:paraId="079B88B1" w14:textId="77777777" w:rsidR="00B66CC3" w:rsidRPr="004A5BF7" w:rsidRDefault="00B66CC3" w:rsidP="00B66CC3">
            <w:pPr>
              <w:spacing w:before="0" w:after="0"/>
              <w:jc w:val="center"/>
              <w:rPr>
                <w:rFonts w:cs="Arial"/>
                <w:sz w:val="18"/>
                <w:szCs w:val="18"/>
              </w:rPr>
            </w:pPr>
            <w:r w:rsidRPr="004A5BF7">
              <w:rPr>
                <w:rFonts w:cs="Arial"/>
                <w:sz w:val="18"/>
                <w:szCs w:val="18"/>
              </w:rPr>
              <w:t>681</w:t>
            </w:r>
          </w:p>
        </w:tc>
        <w:tc>
          <w:tcPr>
            <w:tcW w:w="304" w:type="pct"/>
            <w:tcBorders>
              <w:top w:val="nil"/>
              <w:left w:val="nil"/>
              <w:bottom w:val="nil"/>
              <w:right w:val="nil"/>
            </w:tcBorders>
            <w:shd w:val="clear" w:color="auto" w:fill="auto"/>
            <w:noWrap/>
            <w:vAlign w:val="center"/>
            <w:hideMark/>
          </w:tcPr>
          <w:p w14:paraId="74D7AAB1" w14:textId="77777777" w:rsidR="00B66CC3" w:rsidRPr="004A5BF7" w:rsidRDefault="00B66CC3" w:rsidP="00B66CC3">
            <w:pPr>
              <w:spacing w:before="0" w:after="0"/>
              <w:jc w:val="center"/>
              <w:rPr>
                <w:rFonts w:cs="Arial"/>
                <w:sz w:val="18"/>
                <w:szCs w:val="18"/>
              </w:rPr>
            </w:pPr>
            <w:r w:rsidRPr="004A5BF7">
              <w:rPr>
                <w:rFonts w:cs="Arial"/>
                <w:sz w:val="18"/>
                <w:szCs w:val="18"/>
              </w:rPr>
              <w:t>1,110</w:t>
            </w:r>
          </w:p>
        </w:tc>
        <w:tc>
          <w:tcPr>
            <w:tcW w:w="304" w:type="pct"/>
            <w:tcBorders>
              <w:top w:val="nil"/>
              <w:left w:val="nil"/>
              <w:bottom w:val="nil"/>
              <w:right w:val="nil"/>
            </w:tcBorders>
            <w:shd w:val="clear" w:color="auto" w:fill="auto"/>
            <w:noWrap/>
            <w:vAlign w:val="center"/>
            <w:hideMark/>
          </w:tcPr>
          <w:p w14:paraId="10BC3194" w14:textId="77777777" w:rsidR="00B66CC3" w:rsidRPr="004A5BF7" w:rsidRDefault="00B66CC3" w:rsidP="00B66CC3">
            <w:pPr>
              <w:spacing w:before="0" w:after="0"/>
              <w:jc w:val="center"/>
              <w:rPr>
                <w:rFonts w:cs="Arial"/>
                <w:sz w:val="18"/>
                <w:szCs w:val="18"/>
              </w:rPr>
            </w:pPr>
            <w:r w:rsidRPr="004A5BF7">
              <w:rPr>
                <w:rFonts w:cs="Arial"/>
                <w:sz w:val="18"/>
                <w:szCs w:val="18"/>
              </w:rPr>
              <w:t>2,061</w:t>
            </w:r>
          </w:p>
        </w:tc>
        <w:tc>
          <w:tcPr>
            <w:tcW w:w="304" w:type="pct"/>
            <w:tcBorders>
              <w:top w:val="nil"/>
              <w:left w:val="nil"/>
              <w:bottom w:val="nil"/>
              <w:right w:val="nil"/>
            </w:tcBorders>
            <w:shd w:val="clear" w:color="auto" w:fill="auto"/>
            <w:noWrap/>
            <w:vAlign w:val="center"/>
            <w:hideMark/>
          </w:tcPr>
          <w:p w14:paraId="1EC6B630" w14:textId="77777777" w:rsidR="00B66CC3" w:rsidRPr="004A5BF7" w:rsidRDefault="00B66CC3" w:rsidP="00B66CC3">
            <w:pPr>
              <w:spacing w:before="0" w:after="0"/>
              <w:jc w:val="center"/>
              <w:rPr>
                <w:rFonts w:cs="Arial"/>
                <w:sz w:val="18"/>
                <w:szCs w:val="18"/>
              </w:rPr>
            </w:pPr>
            <w:r w:rsidRPr="004A5BF7">
              <w:rPr>
                <w:rFonts w:cs="Arial"/>
                <w:sz w:val="18"/>
                <w:szCs w:val="18"/>
              </w:rPr>
              <w:t>1,223</w:t>
            </w:r>
          </w:p>
        </w:tc>
        <w:tc>
          <w:tcPr>
            <w:tcW w:w="304" w:type="pct"/>
            <w:tcBorders>
              <w:top w:val="nil"/>
              <w:left w:val="nil"/>
              <w:bottom w:val="nil"/>
              <w:right w:val="nil"/>
            </w:tcBorders>
            <w:shd w:val="clear" w:color="auto" w:fill="auto"/>
            <w:noWrap/>
            <w:vAlign w:val="center"/>
            <w:hideMark/>
          </w:tcPr>
          <w:p w14:paraId="4848047D" w14:textId="77777777" w:rsidR="00B66CC3" w:rsidRPr="004A5BF7" w:rsidRDefault="00B66CC3" w:rsidP="00B66CC3">
            <w:pPr>
              <w:spacing w:before="0" w:after="0"/>
              <w:jc w:val="center"/>
              <w:rPr>
                <w:rFonts w:cs="Arial"/>
                <w:sz w:val="18"/>
                <w:szCs w:val="18"/>
              </w:rPr>
            </w:pPr>
            <w:r w:rsidRPr="004A5BF7">
              <w:rPr>
                <w:rFonts w:cs="Arial"/>
                <w:sz w:val="18"/>
                <w:szCs w:val="18"/>
              </w:rPr>
              <w:t>835</w:t>
            </w:r>
          </w:p>
        </w:tc>
        <w:tc>
          <w:tcPr>
            <w:tcW w:w="304" w:type="pct"/>
            <w:tcBorders>
              <w:top w:val="nil"/>
              <w:left w:val="nil"/>
              <w:bottom w:val="nil"/>
              <w:right w:val="nil"/>
            </w:tcBorders>
            <w:shd w:val="clear" w:color="auto" w:fill="auto"/>
            <w:noWrap/>
            <w:vAlign w:val="center"/>
            <w:hideMark/>
          </w:tcPr>
          <w:p w14:paraId="0DE0F9F8" w14:textId="77777777" w:rsidR="00B66CC3" w:rsidRPr="004A5BF7" w:rsidRDefault="00B66CC3" w:rsidP="00B66CC3">
            <w:pPr>
              <w:spacing w:before="0" w:after="0"/>
              <w:jc w:val="center"/>
              <w:rPr>
                <w:rFonts w:cs="Arial"/>
                <w:sz w:val="18"/>
                <w:szCs w:val="18"/>
              </w:rPr>
            </w:pPr>
            <w:r w:rsidRPr="004A5BF7">
              <w:rPr>
                <w:rFonts w:cs="Arial"/>
                <w:sz w:val="18"/>
                <w:szCs w:val="18"/>
              </w:rPr>
              <w:t>316</w:t>
            </w:r>
          </w:p>
        </w:tc>
        <w:tc>
          <w:tcPr>
            <w:tcW w:w="304" w:type="pct"/>
            <w:tcBorders>
              <w:top w:val="nil"/>
              <w:left w:val="nil"/>
              <w:bottom w:val="nil"/>
              <w:right w:val="nil"/>
            </w:tcBorders>
            <w:shd w:val="clear" w:color="auto" w:fill="auto"/>
            <w:noWrap/>
            <w:vAlign w:val="center"/>
            <w:hideMark/>
          </w:tcPr>
          <w:p w14:paraId="0AE2484F" w14:textId="77777777" w:rsidR="00B66CC3" w:rsidRPr="004A5BF7" w:rsidRDefault="00B66CC3" w:rsidP="00B66CC3">
            <w:pPr>
              <w:spacing w:before="0" w:after="0"/>
              <w:jc w:val="center"/>
              <w:rPr>
                <w:rFonts w:cs="Arial"/>
                <w:sz w:val="18"/>
                <w:szCs w:val="18"/>
              </w:rPr>
            </w:pPr>
            <w:r w:rsidRPr="004A5BF7">
              <w:rPr>
                <w:rFonts w:cs="Arial"/>
                <w:sz w:val="18"/>
                <w:szCs w:val="18"/>
              </w:rPr>
              <w:t>102</w:t>
            </w:r>
          </w:p>
        </w:tc>
      </w:tr>
      <w:tr w:rsidR="00B66CC3" w:rsidRPr="00E9409C" w14:paraId="343B1BFD" w14:textId="77777777" w:rsidTr="00B66CC3">
        <w:trPr>
          <w:trHeight w:val="454"/>
        </w:trPr>
        <w:tc>
          <w:tcPr>
            <w:tcW w:w="484" w:type="pct"/>
            <w:tcBorders>
              <w:top w:val="nil"/>
              <w:left w:val="nil"/>
              <w:bottom w:val="nil"/>
              <w:right w:val="nil"/>
            </w:tcBorders>
            <w:shd w:val="clear" w:color="auto" w:fill="auto"/>
            <w:noWrap/>
            <w:vAlign w:val="center"/>
            <w:hideMark/>
          </w:tcPr>
          <w:p w14:paraId="69BC807C" w14:textId="77777777" w:rsidR="00B66CC3" w:rsidRPr="004A5BF7" w:rsidRDefault="00B66CC3" w:rsidP="004A5BF7">
            <w:pPr>
              <w:spacing w:before="0" w:after="0"/>
              <w:jc w:val="left"/>
              <w:rPr>
                <w:rFonts w:cs="Arial"/>
                <w:sz w:val="18"/>
                <w:szCs w:val="18"/>
              </w:rPr>
            </w:pPr>
            <w:r w:rsidRPr="004A5BF7">
              <w:rPr>
                <w:rFonts w:cs="Arial"/>
                <w:sz w:val="18"/>
                <w:szCs w:val="18"/>
              </w:rPr>
              <w:t>Fitzroy</w:t>
            </w:r>
          </w:p>
        </w:tc>
        <w:tc>
          <w:tcPr>
            <w:tcW w:w="564" w:type="pct"/>
            <w:tcBorders>
              <w:top w:val="nil"/>
              <w:left w:val="nil"/>
              <w:bottom w:val="nil"/>
              <w:right w:val="nil"/>
            </w:tcBorders>
            <w:shd w:val="clear" w:color="auto" w:fill="auto"/>
            <w:noWrap/>
            <w:vAlign w:val="center"/>
            <w:hideMark/>
          </w:tcPr>
          <w:p w14:paraId="7F99FCAB" w14:textId="77777777" w:rsidR="00B66CC3" w:rsidRPr="004A5BF7" w:rsidRDefault="00B66CC3" w:rsidP="004A5BF7">
            <w:pPr>
              <w:spacing w:before="0" w:after="0"/>
              <w:jc w:val="left"/>
              <w:rPr>
                <w:rFonts w:cs="Arial"/>
                <w:sz w:val="18"/>
                <w:szCs w:val="18"/>
              </w:rPr>
            </w:pPr>
            <w:r w:rsidRPr="004A5BF7">
              <w:rPr>
                <w:rFonts w:cs="Arial"/>
                <w:sz w:val="18"/>
                <w:szCs w:val="18"/>
              </w:rPr>
              <w:t>Fitzroy</w:t>
            </w:r>
          </w:p>
        </w:tc>
        <w:tc>
          <w:tcPr>
            <w:tcW w:w="304" w:type="pct"/>
            <w:tcBorders>
              <w:top w:val="nil"/>
              <w:left w:val="nil"/>
              <w:bottom w:val="nil"/>
              <w:right w:val="nil"/>
            </w:tcBorders>
            <w:shd w:val="clear" w:color="auto" w:fill="auto"/>
            <w:noWrap/>
            <w:vAlign w:val="center"/>
            <w:hideMark/>
          </w:tcPr>
          <w:p w14:paraId="517F3457" w14:textId="77777777" w:rsidR="00B66CC3" w:rsidRPr="004A5BF7" w:rsidRDefault="00B66CC3" w:rsidP="00B66CC3">
            <w:pPr>
              <w:spacing w:before="0" w:after="0"/>
              <w:jc w:val="center"/>
              <w:rPr>
                <w:rFonts w:cs="Arial"/>
                <w:sz w:val="18"/>
                <w:szCs w:val="18"/>
              </w:rPr>
            </w:pPr>
            <w:r w:rsidRPr="004A5BF7">
              <w:rPr>
                <w:rFonts w:cs="Arial"/>
                <w:sz w:val="18"/>
                <w:szCs w:val="18"/>
              </w:rPr>
              <w:t>674</w:t>
            </w:r>
          </w:p>
        </w:tc>
        <w:tc>
          <w:tcPr>
            <w:tcW w:w="304" w:type="pct"/>
            <w:tcBorders>
              <w:top w:val="nil"/>
              <w:left w:val="nil"/>
              <w:bottom w:val="nil"/>
              <w:right w:val="nil"/>
            </w:tcBorders>
            <w:shd w:val="clear" w:color="auto" w:fill="auto"/>
            <w:noWrap/>
            <w:vAlign w:val="center"/>
            <w:hideMark/>
          </w:tcPr>
          <w:p w14:paraId="1807D024" w14:textId="77777777" w:rsidR="00B66CC3" w:rsidRPr="004A5BF7" w:rsidRDefault="00B66CC3" w:rsidP="00B66CC3">
            <w:pPr>
              <w:spacing w:before="0" w:after="0"/>
              <w:jc w:val="center"/>
              <w:rPr>
                <w:rFonts w:cs="Arial"/>
                <w:sz w:val="18"/>
                <w:szCs w:val="18"/>
              </w:rPr>
            </w:pPr>
            <w:r w:rsidRPr="004A5BF7">
              <w:rPr>
                <w:rFonts w:cs="Arial"/>
                <w:sz w:val="18"/>
                <w:szCs w:val="18"/>
              </w:rPr>
              <w:t>382</w:t>
            </w:r>
          </w:p>
        </w:tc>
        <w:tc>
          <w:tcPr>
            <w:tcW w:w="304" w:type="pct"/>
            <w:tcBorders>
              <w:top w:val="nil"/>
              <w:left w:val="nil"/>
              <w:bottom w:val="nil"/>
              <w:right w:val="nil"/>
            </w:tcBorders>
            <w:shd w:val="clear" w:color="auto" w:fill="auto"/>
            <w:noWrap/>
            <w:vAlign w:val="center"/>
            <w:hideMark/>
          </w:tcPr>
          <w:p w14:paraId="7EC8A315" w14:textId="77777777" w:rsidR="00B66CC3" w:rsidRPr="004A5BF7" w:rsidRDefault="00B66CC3" w:rsidP="00B66CC3">
            <w:pPr>
              <w:spacing w:before="0" w:after="0"/>
              <w:jc w:val="center"/>
              <w:rPr>
                <w:rFonts w:cs="Arial"/>
                <w:sz w:val="18"/>
                <w:szCs w:val="18"/>
              </w:rPr>
            </w:pPr>
            <w:r w:rsidRPr="004A5BF7">
              <w:rPr>
                <w:rFonts w:cs="Arial"/>
                <w:sz w:val="18"/>
                <w:szCs w:val="18"/>
              </w:rPr>
              <w:t>363</w:t>
            </w:r>
          </w:p>
        </w:tc>
        <w:tc>
          <w:tcPr>
            <w:tcW w:w="304" w:type="pct"/>
            <w:tcBorders>
              <w:top w:val="nil"/>
              <w:left w:val="nil"/>
              <w:bottom w:val="nil"/>
              <w:right w:val="nil"/>
            </w:tcBorders>
            <w:shd w:val="clear" w:color="auto" w:fill="auto"/>
            <w:noWrap/>
            <w:vAlign w:val="center"/>
            <w:hideMark/>
          </w:tcPr>
          <w:p w14:paraId="72254AB2" w14:textId="77777777" w:rsidR="00B66CC3" w:rsidRPr="004A5BF7" w:rsidRDefault="00B66CC3" w:rsidP="00B66CC3">
            <w:pPr>
              <w:spacing w:before="0" w:after="0"/>
              <w:jc w:val="center"/>
              <w:rPr>
                <w:rFonts w:cs="Arial"/>
                <w:sz w:val="18"/>
                <w:szCs w:val="18"/>
              </w:rPr>
            </w:pPr>
            <w:r w:rsidRPr="004A5BF7">
              <w:rPr>
                <w:rFonts w:cs="Arial"/>
                <w:sz w:val="18"/>
                <w:szCs w:val="18"/>
              </w:rPr>
              <w:t>135</w:t>
            </w:r>
          </w:p>
        </w:tc>
        <w:tc>
          <w:tcPr>
            <w:tcW w:w="304" w:type="pct"/>
            <w:tcBorders>
              <w:top w:val="nil"/>
              <w:left w:val="nil"/>
              <w:bottom w:val="nil"/>
              <w:right w:val="nil"/>
            </w:tcBorders>
            <w:shd w:val="clear" w:color="auto" w:fill="auto"/>
            <w:noWrap/>
            <w:vAlign w:val="center"/>
            <w:hideMark/>
          </w:tcPr>
          <w:p w14:paraId="1BAF886D" w14:textId="77777777" w:rsidR="00B66CC3" w:rsidRPr="004A5BF7" w:rsidRDefault="00B66CC3" w:rsidP="00B66CC3">
            <w:pPr>
              <w:spacing w:before="0" w:after="0"/>
              <w:jc w:val="center"/>
              <w:rPr>
                <w:rFonts w:cs="Arial"/>
                <w:sz w:val="18"/>
                <w:szCs w:val="18"/>
              </w:rPr>
            </w:pPr>
            <w:r w:rsidRPr="004A5BF7">
              <w:rPr>
                <w:rFonts w:cs="Arial"/>
                <w:sz w:val="18"/>
                <w:szCs w:val="18"/>
              </w:rPr>
              <w:t>176</w:t>
            </w:r>
          </w:p>
        </w:tc>
        <w:tc>
          <w:tcPr>
            <w:tcW w:w="304" w:type="pct"/>
            <w:tcBorders>
              <w:top w:val="nil"/>
              <w:left w:val="nil"/>
              <w:bottom w:val="nil"/>
              <w:right w:val="nil"/>
            </w:tcBorders>
            <w:shd w:val="clear" w:color="auto" w:fill="auto"/>
            <w:noWrap/>
            <w:vAlign w:val="center"/>
            <w:hideMark/>
          </w:tcPr>
          <w:p w14:paraId="38117785" w14:textId="77777777" w:rsidR="00B66CC3" w:rsidRPr="004A5BF7" w:rsidRDefault="00B66CC3" w:rsidP="00B66CC3">
            <w:pPr>
              <w:spacing w:before="0" w:after="0"/>
              <w:jc w:val="center"/>
              <w:rPr>
                <w:rFonts w:cs="Arial"/>
                <w:sz w:val="18"/>
                <w:szCs w:val="18"/>
              </w:rPr>
            </w:pPr>
            <w:r w:rsidRPr="004A5BF7">
              <w:rPr>
                <w:rFonts w:cs="Arial"/>
                <w:sz w:val="18"/>
                <w:szCs w:val="18"/>
              </w:rPr>
              <w:t>1,580</w:t>
            </w:r>
          </w:p>
        </w:tc>
        <w:tc>
          <w:tcPr>
            <w:tcW w:w="304" w:type="pct"/>
            <w:tcBorders>
              <w:top w:val="nil"/>
              <w:left w:val="nil"/>
              <w:bottom w:val="nil"/>
              <w:right w:val="nil"/>
            </w:tcBorders>
            <w:shd w:val="clear" w:color="auto" w:fill="auto"/>
            <w:noWrap/>
            <w:vAlign w:val="center"/>
            <w:hideMark/>
          </w:tcPr>
          <w:p w14:paraId="1122EC75" w14:textId="77777777" w:rsidR="00B66CC3" w:rsidRPr="004A5BF7" w:rsidRDefault="00B66CC3" w:rsidP="00B66CC3">
            <w:pPr>
              <w:spacing w:before="0" w:after="0"/>
              <w:jc w:val="center"/>
              <w:rPr>
                <w:rFonts w:cs="Arial"/>
                <w:sz w:val="18"/>
                <w:szCs w:val="18"/>
              </w:rPr>
            </w:pPr>
            <w:r w:rsidRPr="004A5BF7">
              <w:rPr>
                <w:rFonts w:cs="Arial"/>
                <w:sz w:val="18"/>
                <w:szCs w:val="18"/>
              </w:rPr>
              <w:t>367</w:t>
            </w:r>
          </w:p>
        </w:tc>
        <w:tc>
          <w:tcPr>
            <w:tcW w:w="304" w:type="pct"/>
            <w:tcBorders>
              <w:top w:val="nil"/>
              <w:left w:val="nil"/>
              <w:bottom w:val="nil"/>
              <w:right w:val="nil"/>
            </w:tcBorders>
            <w:shd w:val="clear" w:color="auto" w:fill="auto"/>
            <w:noWrap/>
            <w:vAlign w:val="center"/>
            <w:hideMark/>
          </w:tcPr>
          <w:p w14:paraId="03D5EE65" w14:textId="77777777" w:rsidR="00B66CC3" w:rsidRPr="004A5BF7" w:rsidRDefault="00B66CC3" w:rsidP="00B66CC3">
            <w:pPr>
              <w:spacing w:before="0" w:after="0"/>
              <w:jc w:val="center"/>
              <w:rPr>
                <w:rFonts w:cs="Arial"/>
                <w:sz w:val="18"/>
                <w:szCs w:val="18"/>
              </w:rPr>
            </w:pPr>
            <w:r w:rsidRPr="004A5BF7">
              <w:rPr>
                <w:rFonts w:cs="Arial"/>
                <w:sz w:val="18"/>
                <w:szCs w:val="18"/>
              </w:rPr>
              <w:t>2,061</w:t>
            </w:r>
          </w:p>
        </w:tc>
        <w:tc>
          <w:tcPr>
            <w:tcW w:w="304" w:type="pct"/>
            <w:tcBorders>
              <w:top w:val="nil"/>
              <w:left w:val="nil"/>
              <w:bottom w:val="nil"/>
              <w:right w:val="nil"/>
            </w:tcBorders>
            <w:shd w:val="clear" w:color="auto" w:fill="auto"/>
            <w:noWrap/>
            <w:vAlign w:val="center"/>
            <w:hideMark/>
          </w:tcPr>
          <w:p w14:paraId="41273A69" w14:textId="77777777" w:rsidR="00B66CC3" w:rsidRPr="004A5BF7" w:rsidRDefault="00B66CC3" w:rsidP="00B66CC3">
            <w:pPr>
              <w:spacing w:before="0" w:after="0"/>
              <w:jc w:val="center"/>
              <w:rPr>
                <w:rFonts w:cs="Arial"/>
                <w:sz w:val="18"/>
                <w:szCs w:val="18"/>
              </w:rPr>
            </w:pPr>
            <w:r w:rsidRPr="004A5BF7">
              <w:rPr>
                <w:rFonts w:cs="Arial"/>
                <w:sz w:val="18"/>
                <w:szCs w:val="18"/>
              </w:rPr>
              <w:t>3,900</w:t>
            </w:r>
          </w:p>
        </w:tc>
        <w:tc>
          <w:tcPr>
            <w:tcW w:w="304" w:type="pct"/>
            <w:tcBorders>
              <w:top w:val="nil"/>
              <w:left w:val="nil"/>
              <w:bottom w:val="nil"/>
              <w:right w:val="nil"/>
            </w:tcBorders>
            <w:shd w:val="clear" w:color="auto" w:fill="auto"/>
            <w:noWrap/>
            <w:vAlign w:val="center"/>
            <w:hideMark/>
          </w:tcPr>
          <w:p w14:paraId="18F89DF2" w14:textId="77777777" w:rsidR="00B66CC3" w:rsidRPr="004A5BF7" w:rsidRDefault="00B66CC3" w:rsidP="00B66CC3">
            <w:pPr>
              <w:spacing w:before="0" w:after="0"/>
              <w:jc w:val="center"/>
              <w:rPr>
                <w:rFonts w:cs="Arial"/>
                <w:sz w:val="18"/>
                <w:szCs w:val="18"/>
              </w:rPr>
            </w:pPr>
            <w:r w:rsidRPr="004A5BF7">
              <w:rPr>
                <w:rFonts w:cs="Arial"/>
                <w:sz w:val="18"/>
                <w:szCs w:val="18"/>
              </w:rPr>
              <w:t>947</w:t>
            </w:r>
          </w:p>
        </w:tc>
        <w:tc>
          <w:tcPr>
            <w:tcW w:w="304" w:type="pct"/>
            <w:tcBorders>
              <w:top w:val="nil"/>
              <w:left w:val="nil"/>
              <w:bottom w:val="nil"/>
              <w:right w:val="nil"/>
            </w:tcBorders>
            <w:shd w:val="clear" w:color="auto" w:fill="auto"/>
            <w:noWrap/>
            <w:vAlign w:val="center"/>
            <w:hideMark/>
          </w:tcPr>
          <w:p w14:paraId="14D0118D" w14:textId="77777777" w:rsidR="00B66CC3" w:rsidRPr="004A5BF7" w:rsidRDefault="00B66CC3" w:rsidP="00B66CC3">
            <w:pPr>
              <w:spacing w:before="0" w:after="0"/>
              <w:jc w:val="center"/>
              <w:rPr>
                <w:rFonts w:cs="Arial"/>
                <w:sz w:val="18"/>
                <w:szCs w:val="18"/>
              </w:rPr>
            </w:pPr>
            <w:r w:rsidRPr="004A5BF7">
              <w:rPr>
                <w:rFonts w:cs="Arial"/>
                <w:sz w:val="18"/>
                <w:szCs w:val="18"/>
              </w:rPr>
              <w:t>920</w:t>
            </w:r>
          </w:p>
        </w:tc>
        <w:tc>
          <w:tcPr>
            <w:tcW w:w="304" w:type="pct"/>
            <w:tcBorders>
              <w:top w:val="nil"/>
              <w:left w:val="nil"/>
              <w:bottom w:val="nil"/>
              <w:right w:val="nil"/>
            </w:tcBorders>
            <w:shd w:val="clear" w:color="auto" w:fill="auto"/>
            <w:noWrap/>
            <w:vAlign w:val="center"/>
            <w:hideMark/>
          </w:tcPr>
          <w:p w14:paraId="0D3E1063" w14:textId="77777777" w:rsidR="00B66CC3" w:rsidRPr="004A5BF7" w:rsidRDefault="00B66CC3" w:rsidP="00B66CC3">
            <w:pPr>
              <w:spacing w:before="0" w:after="0"/>
              <w:jc w:val="center"/>
              <w:rPr>
                <w:rFonts w:cs="Arial"/>
                <w:sz w:val="18"/>
                <w:szCs w:val="18"/>
              </w:rPr>
            </w:pPr>
            <w:r w:rsidRPr="004A5BF7">
              <w:rPr>
                <w:rFonts w:cs="Arial"/>
                <w:sz w:val="18"/>
                <w:szCs w:val="18"/>
              </w:rPr>
              <w:t>150</w:t>
            </w:r>
          </w:p>
        </w:tc>
        <w:tc>
          <w:tcPr>
            <w:tcW w:w="304" w:type="pct"/>
            <w:tcBorders>
              <w:top w:val="nil"/>
              <w:left w:val="nil"/>
              <w:bottom w:val="nil"/>
              <w:right w:val="nil"/>
            </w:tcBorders>
            <w:shd w:val="clear" w:color="auto" w:fill="auto"/>
            <w:noWrap/>
            <w:vAlign w:val="center"/>
            <w:hideMark/>
          </w:tcPr>
          <w:p w14:paraId="2107685B" w14:textId="77777777" w:rsidR="00B66CC3" w:rsidRPr="004A5BF7" w:rsidRDefault="00B66CC3" w:rsidP="00B66CC3">
            <w:pPr>
              <w:spacing w:before="0" w:after="0"/>
              <w:jc w:val="center"/>
              <w:rPr>
                <w:rFonts w:cs="Arial"/>
                <w:sz w:val="18"/>
                <w:szCs w:val="18"/>
              </w:rPr>
            </w:pPr>
            <w:r w:rsidRPr="004A5BF7">
              <w:rPr>
                <w:rFonts w:cs="Arial"/>
                <w:sz w:val="18"/>
                <w:szCs w:val="18"/>
              </w:rPr>
              <w:t>150</w:t>
            </w:r>
          </w:p>
        </w:tc>
      </w:tr>
      <w:tr w:rsidR="00B66CC3" w:rsidRPr="00E9409C" w14:paraId="5ECF3C8D" w14:textId="77777777" w:rsidTr="00B66CC3">
        <w:trPr>
          <w:trHeight w:val="454"/>
        </w:trPr>
        <w:tc>
          <w:tcPr>
            <w:tcW w:w="1047" w:type="pct"/>
            <w:gridSpan w:val="2"/>
            <w:tcBorders>
              <w:top w:val="single" w:sz="4" w:space="0" w:color="auto"/>
              <w:left w:val="nil"/>
              <w:bottom w:val="single" w:sz="4" w:space="0" w:color="auto"/>
              <w:right w:val="nil"/>
            </w:tcBorders>
            <w:shd w:val="clear" w:color="auto" w:fill="auto"/>
            <w:noWrap/>
            <w:vAlign w:val="center"/>
            <w:hideMark/>
          </w:tcPr>
          <w:p w14:paraId="5AAD83D6" w14:textId="77777777" w:rsidR="00B66CC3" w:rsidRPr="004A5BF7" w:rsidRDefault="00B66CC3" w:rsidP="004A5BF7">
            <w:pPr>
              <w:spacing w:before="0" w:after="0"/>
              <w:jc w:val="left"/>
              <w:rPr>
                <w:rFonts w:cs="Arial"/>
                <w:sz w:val="18"/>
                <w:szCs w:val="18"/>
              </w:rPr>
            </w:pPr>
            <w:r w:rsidRPr="004A5BF7">
              <w:rPr>
                <w:rFonts w:cs="Arial"/>
                <w:sz w:val="18"/>
                <w:szCs w:val="18"/>
              </w:rPr>
              <w:t>Total annual DIN load</w:t>
            </w:r>
          </w:p>
        </w:tc>
        <w:tc>
          <w:tcPr>
            <w:tcW w:w="304" w:type="pct"/>
            <w:tcBorders>
              <w:top w:val="single" w:sz="4" w:space="0" w:color="auto"/>
              <w:left w:val="nil"/>
              <w:bottom w:val="single" w:sz="4" w:space="0" w:color="auto"/>
              <w:right w:val="nil"/>
            </w:tcBorders>
            <w:shd w:val="clear" w:color="auto" w:fill="auto"/>
            <w:noWrap/>
            <w:vAlign w:val="center"/>
            <w:hideMark/>
          </w:tcPr>
          <w:p w14:paraId="4DA79B28" w14:textId="77777777" w:rsidR="00B66CC3" w:rsidRPr="004A5BF7" w:rsidRDefault="00B66CC3" w:rsidP="00B66CC3">
            <w:pPr>
              <w:spacing w:before="0" w:after="0"/>
              <w:jc w:val="center"/>
              <w:rPr>
                <w:rFonts w:cs="Arial"/>
                <w:sz w:val="18"/>
                <w:szCs w:val="18"/>
              </w:rPr>
            </w:pPr>
            <w:r w:rsidRPr="004A5BF7">
              <w:rPr>
                <w:rFonts w:cs="Arial"/>
                <w:sz w:val="18"/>
                <w:szCs w:val="18"/>
              </w:rPr>
              <w:t>3,029</w:t>
            </w:r>
          </w:p>
        </w:tc>
        <w:tc>
          <w:tcPr>
            <w:tcW w:w="304" w:type="pct"/>
            <w:tcBorders>
              <w:top w:val="single" w:sz="4" w:space="0" w:color="auto"/>
              <w:left w:val="nil"/>
              <w:bottom w:val="single" w:sz="4" w:space="0" w:color="auto"/>
              <w:right w:val="nil"/>
            </w:tcBorders>
            <w:shd w:val="clear" w:color="auto" w:fill="auto"/>
            <w:noWrap/>
            <w:vAlign w:val="center"/>
            <w:hideMark/>
          </w:tcPr>
          <w:p w14:paraId="31F83562" w14:textId="77777777" w:rsidR="00B66CC3" w:rsidRPr="004A5BF7" w:rsidRDefault="00B66CC3" w:rsidP="00B66CC3">
            <w:pPr>
              <w:spacing w:before="0" w:after="0"/>
              <w:jc w:val="center"/>
              <w:rPr>
                <w:rFonts w:cs="Arial"/>
                <w:sz w:val="18"/>
                <w:szCs w:val="18"/>
              </w:rPr>
            </w:pPr>
            <w:r w:rsidRPr="004A5BF7">
              <w:rPr>
                <w:rFonts w:cs="Arial"/>
                <w:sz w:val="18"/>
                <w:szCs w:val="18"/>
              </w:rPr>
              <w:t>5,242</w:t>
            </w:r>
          </w:p>
        </w:tc>
        <w:tc>
          <w:tcPr>
            <w:tcW w:w="304" w:type="pct"/>
            <w:tcBorders>
              <w:top w:val="single" w:sz="4" w:space="0" w:color="auto"/>
              <w:left w:val="nil"/>
              <w:bottom w:val="single" w:sz="4" w:space="0" w:color="auto"/>
              <w:right w:val="nil"/>
            </w:tcBorders>
            <w:shd w:val="clear" w:color="auto" w:fill="auto"/>
            <w:noWrap/>
            <w:vAlign w:val="center"/>
            <w:hideMark/>
          </w:tcPr>
          <w:p w14:paraId="1A24C101" w14:textId="77777777" w:rsidR="00B66CC3" w:rsidRPr="004A5BF7" w:rsidRDefault="00B66CC3" w:rsidP="00B66CC3">
            <w:pPr>
              <w:spacing w:before="0" w:after="0"/>
              <w:jc w:val="center"/>
              <w:rPr>
                <w:rFonts w:cs="Arial"/>
                <w:sz w:val="18"/>
                <w:szCs w:val="18"/>
              </w:rPr>
            </w:pPr>
            <w:r w:rsidRPr="004A5BF7">
              <w:rPr>
                <w:rFonts w:cs="Arial"/>
                <w:sz w:val="18"/>
                <w:szCs w:val="18"/>
              </w:rPr>
              <w:t>4,678</w:t>
            </w:r>
          </w:p>
        </w:tc>
        <w:tc>
          <w:tcPr>
            <w:tcW w:w="304" w:type="pct"/>
            <w:tcBorders>
              <w:top w:val="single" w:sz="4" w:space="0" w:color="auto"/>
              <w:left w:val="nil"/>
              <w:bottom w:val="single" w:sz="4" w:space="0" w:color="auto"/>
              <w:right w:val="nil"/>
            </w:tcBorders>
            <w:shd w:val="clear" w:color="auto" w:fill="auto"/>
            <w:noWrap/>
            <w:vAlign w:val="center"/>
            <w:hideMark/>
          </w:tcPr>
          <w:p w14:paraId="0F0CF305" w14:textId="77777777" w:rsidR="00B66CC3" w:rsidRPr="004A5BF7" w:rsidRDefault="00B66CC3" w:rsidP="00B66CC3">
            <w:pPr>
              <w:spacing w:before="0" w:after="0"/>
              <w:jc w:val="center"/>
              <w:rPr>
                <w:rFonts w:cs="Arial"/>
                <w:sz w:val="18"/>
                <w:szCs w:val="18"/>
              </w:rPr>
            </w:pPr>
            <w:r w:rsidRPr="004A5BF7">
              <w:rPr>
                <w:rFonts w:cs="Arial"/>
                <w:sz w:val="18"/>
                <w:szCs w:val="18"/>
              </w:rPr>
              <w:t>6,396</w:t>
            </w:r>
          </w:p>
        </w:tc>
        <w:tc>
          <w:tcPr>
            <w:tcW w:w="304" w:type="pct"/>
            <w:tcBorders>
              <w:top w:val="single" w:sz="4" w:space="0" w:color="auto"/>
              <w:left w:val="nil"/>
              <w:bottom w:val="single" w:sz="4" w:space="0" w:color="auto"/>
              <w:right w:val="nil"/>
            </w:tcBorders>
            <w:shd w:val="clear" w:color="auto" w:fill="auto"/>
            <w:noWrap/>
            <w:vAlign w:val="center"/>
            <w:hideMark/>
          </w:tcPr>
          <w:p w14:paraId="7ED3CE5F" w14:textId="77777777" w:rsidR="00B66CC3" w:rsidRPr="004A5BF7" w:rsidRDefault="00B66CC3" w:rsidP="00B66CC3">
            <w:pPr>
              <w:spacing w:before="0" w:after="0"/>
              <w:jc w:val="center"/>
              <w:rPr>
                <w:rFonts w:cs="Arial"/>
                <w:sz w:val="18"/>
                <w:szCs w:val="18"/>
              </w:rPr>
            </w:pPr>
            <w:r w:rsidRPr="004A5BF7">
              <w:rPr>
                <w:rFonts w:cs="Arial"/>
                <w:sz w:val="18"/>
                <w:szCs w:val="18"/>
              </w:rPr>
              <w:t>9,265</w:t>
            </w:r>
          </w:p>
        </w:tc>
        <w:tc>
          <w:tcPr>
            <w:tcW w:w="304" w:type="pct"/>
            <w:tcBorders>
              <w:top w:val="single" w:sz="4" w:space="0" w:color="auto"/>
              <w:left w:val="nil"/>
              <w:bottom w:val="single" w:sz="4" w:space="0" w:color="auto"/>
              <w:right w:val="nil"/>
            </w:tcBorders>
            <w:shd w:val="clear" w:color="auto" w:fill="auto"/>
            <w:noWrap/>
            <w:vAlign w:val="center"/>
            <w:hideMark/>
          </w:tcPr>
          <w:p w14:paraId="1EA0FE43" w14:textId="77777777" w:rsidR="00B66CC3" w:rsidRPr="004A5BF7" w:rsidRDefault="00B66CC3" w:rsidP="00B66CC3">
            <w:pPr>
              <w:spacing w:before="0" w:after="0"/>
              <w:jc w:val="center"/>
              <w:rPr>
                <w:rFonts w:cs="Arial"/>
                <w:sz w:val="18"/>
                <w:szCs w:val="18"/>
              </w:rPr>
            </w:pPr>
            <w:r w:rsidRPr="004A5BF7">
              <w:rPr>
                <w:rFonts w:cs="Arial"/>
                <w:sz w:val="18"/>
                <w:szCs w:val="18"/>
              </w:rPr>
              <w:t>15,653</w:t>
            </w:r>
          </w:p>
        </w:tc>
        <w:tc>
          <w:tcPr>
            <w:tcW w:w="304" w:type="pct"/>
            <w:tcBorders>
              <w:top w:val="single" w:sz="4" w:space="0" w:color="auto"/>
              <w:left w:val="nil"/>
              <w:bottom w:val="single" w:sz="4" w:space="0" w:color="auto"/>
              <w:right w:val="nil"/>
            </w:tcBorders>
            <w:shd w:val="clear" w:color="auto" w:fill="auto"/>
            <w:noWrap/>
            <w:vAlign w:val="center"/>
            <w:hideMark/>
          </w:tcPr>
          <w:p w14:paraId="21470B9C" w14:textId="77777777" w:rsidR="00B66CC3" w:rsidRPr="004A5BF7" w:rsidRDefault="00B66CC3" w:rsidP="00B66CC3">
            <w:pPr>
              <w:spacing w:before="0" w:after="0"/>
              <w:jc w:val="center"/>
              <w:rPr>
                <w:rFonts w:cs="Arial"/>
                <w:sz w:val="18"/>
                <w:szCs w:val="18"/>
              </w:rPr>
            </w:pPr>
            <w:r w:rsidRPr="004A5BF7">
              <w:rPr>
                <w:rFonts w:cs="Arial"/>
                <w:sz w:val="18"/>
                <w:szCs w:val="18"/>
              </w:rPr>
              <w:t>17,613</w:t>
            </w:r>
          </w:p>
        </w:tc>
        <w:tc>
          <w:tcPr>
            <w:tcW w:w="304" w:type="pct"/>
            <w:tcBorders>
              <w:top w:val="single" w:sz="4" w:space="0" w:color="auto"/>
              <w:left w:val="nil"/>
              <w:bottom w:val="single" w:sz="4" w:space="0" w:color="auto"/>
              <w:right w:val="nil"/>
            </w:tcBorders>
            <w:shd w:val="clear" w:color="auto" w:fill="auto"/>
            <w:noWrap/>
            <w:vAlign w:val="center"/>
            <w:hideMark/>
          </w:tcPr>
          <w:p w14:paraId="3D952D26" w14:textId="77777777" w:rsidR="00B66CC3" w:rsidRPr="004A5BF7" w:rsidRDefault="00B66CC3" w:rsidP="00B66CC3">
            <w:pPr>
              <w:spacing w:before="0" w:after="0"/>
              <w:jc w:val="center"/>
              <w:rPr>
                <w:rFonts w:cs="Arial"/>
                <w:sz w:val="18"/>
                <w:szCs w:val="18"/>
              </w:rPr>
            </w:pPr>
            <w:r w:rsidRPr="004A5BF7">
              <w:rPr>
                <w:rFonts w:cs="Arial"/>
                <w:sz w:val="18"/>
                <w:szCs w:val="18"/>
              </w:rPr>
              <w:t>11,033</w:t>
            </w:r>
          </w:p>
        </w:tc>
        <w:tc>
          <w:tcPr>
            <w:tcW w:w="304" w:type="pct"/>
            <w:tcBorders>
              <w:top w:val="single" w:sz="4" w:space="0" w:color="auto"/>
              <w:left w:val="nil"/>
              <w:bottom w:val="single" w:sz="4" w:space="0" w:color="auto"/>
              <w:right w:val="nil"/>
            </w:tcBorders>
            <w:shd w:val="clear" w:color="auto" w:fill="auto"/>
            <w:noWrap/>
            <w:vAlign w:val="center"/>
            <w:hideMark/>
          </w:tcPr>
          <w:p w14:paraId="1EF1DD9A" w14:textId="77777777" w:rsidR="00B66CC3" w:rsidRPr="004A5BF7" w:rsidRDefault="00B66CC3" w:rsidP="00B66CC3">
            <w:pPr>
              <w:spacing w:before="0" w:after="0"/>
              <w:jc w:val="center"/>
              <w:rPr>
                <w:rFonts w:cs="Arial"/>
                <w:sz w:val="18"/>
                <w:szCs w:val="18"/>
              </w:rPr>
            </w:pPr>
            <w:r w:rsidRPr="004A5BF7">
              <w:rPr>
                <w:rFonts w:cs="Arial"/>
                <w:sz w:val="18"/>
                <w:szCs w:val="18"/>
              </w:rPr>
              <w:t>29,958</w:t>
            </w:r>
          </w:p>
        </w:tc>
        <w:tc>
          <w:tcPr>
            <w:tcW w:w="304" w:type="pct"/>
            <w:tcBorders>
              <w:top w:val="single" w:sz="4" w:space="0" w:color="auto"/>
              <w:left w:val="nil"/>
              <w:bottom w:val="single" w:sz="4" w:space="0" w:color="auto"/>
              <w:right w:val="nil"/>
            </w:tcBorders>
            <w:shd w:val="clear" w:color="auto" w:fill="auto"/>
            <w:noWrap/>
            <w:vAlign w:val="center"/>
            <w:hideMark/>
          </w:tcPr>
          <w:p w14:paraId="3FCF2BC5" w14:textId="77777777" w:rsidR="00B66CC3" w:rsidRPr="004A5BF7" w:rsidRDefault="00B66CC3" w:rsidP="00B66CC3">
            <w:pPr>
              <w:spacing w:before="0" w:after="0"/>
              <w:jc w:val="center"/>
              <w:rPr>
                <w:rFonts w:cs="Arial"/>
                <w:sz w:val="18"/>
                <w:szCs w:val="18"/>
              </w:rPr>
            </w:pPr>
            <w:r w:rsidRPr="004A5BF7">
              <w:rPr>
                <w:rFonts w:cs="Arial"/>
                <w:sz w:val="18"/>
                <w:szCs w:val="18"/>
              </w:rPr>
              <w:t>13,873</w:t>
            </w:r>
          </w:p>
        </w:tc>
        <w:tc>
          <w:tcPr>
            <w:tcW w:w="304" w:type="pct"/>
            <w:tcBorders>
              <w:top w:val="single" w:sz="4" w:space="0" w:color="auto"/>
              <w:left w:val="nil"/>
              <w:bottom w:val="single" w:sz="4" w:space="0" w:color="auto"/>
              <w:right w:val="nil"/>
            </w:tcBorders>
            <w:shd w:val="clear" w:color="auto" w:fill="auto"/>
            <w:noWrap/>
            <w:vAlign w:val="center"/>
            <w:hideMark/>
          </w:tcPr>
          <w:p w14:paraId="09CF01B5" w14:textId="77777777" w:rsidR="00B66CC3" w:rsidRPr="004A5BF7" w:rsidRDefault="00B66CC3" w:rsidP="00B66CC3">
            <w:pPr>
              <w:spacing w:before="0" w:after="0"/>
              <w:jc w:val="center"/>
              <w:rPr>
                <w:rFonts w:cs="Arial"/>
                <w:sz w:val="18"/>
                <w:szCs w:val="18"/>
              </w:rPr>
            </w:pPr>
            <w:r w:rsidRPr="004A5BF7">
              <w:rPr>
                <w:rFonts w:cs="Arial"/>
                <w:sz w:val="18"/>
                <w:szCs w:val="18"/>
              </w:rPr>
              <w:t>7,470</w:t>
            </w:r>
          </w:p>
        </w:tc>
        <w:tc>
          <w:tcPr>
            <w:tcW w:w="304" w:type="pct"/>
            <w:tcBorders>
              <w:top w:val="single" w:sz="4" w:space="0" w:color="auto"/>
              <w:left w:val="nil"/>
              <w:bottom w:val="single" w:sz="4" w:space="0" w:color="auto"/>
              <w:right w:val="nil"/>
            </w:tcBorders>
            <w:shd w:val="clear" w:color="auto" w:fill="auto"/>
            <w:noWrap/>
            <w:vAlign w:val="center"/>
            <w:hideMark/>
          </w:tcPr>
          <w:p w14:paraId="658127C3" w14:textId="77777777" w:rsidR="00B66CC3" w:rsidRPr="004A5BF7" w:rsidRDefault="00B66CC3" w:rsidP="00B66CC3">
            <w:pPr>
              <w:spacing w:before="0" w:after="0"/>
              <w:jc w:val="center"/>
              <w:rPr>
                <w:rFonts w:cs="Arial"/>
                <w:sz w:val="18"/>
                <w:szCs w:val="18"/>
              </w:rPr>
            </w:pPr>
            <w:r w:rsidRPr="004A5BF7">
              <w:rPr>
                <w:rFonts w:cs="Arial"/>
                <w:sz w:val="18"/>
                <w:szCs w:val="18"/>
              </w:rPr>
              <w:t>7,304</w:t>
            </w:r>
          </w:p>
        </w:tc>
        <w:tc>
          <w:tcPr>
            <w:tcW w:w="304" w:type="pct"/>
            <w:tcBorders>
              <w:top w:val="single" w:sz="4" w:space="0" w:color="auto"/>
              <w:left w:val="nil"/>
              <w:bottom w:val="single" w:sz="4" w:space="0" w:color="auto"/>
              <w:right w:val="nil"/>
            </w:tcBorders>
            <w:shd w:val="clear" w:color="auto" w:fill="auto"/>
            <w:noWrap/>
            <w:vAlign w:val="center"/>
            <w:hideMark/>
          </w:tcPr>
          <w:p w14:paraId="26DF47B9" w14:textId="77777777" w:rsidR="00B66CC3" w:rsidRPr="004A5BF7" w:rsidRDefault="00B66CC3" w:rsidP="00B66CC3">
            <w:pPr>
              <w:spacing w:before="0" w:after="0"/>
              <w:jc w:val="center"/>
              <w:rPr>
                <w:rFonts w:cs="Arial"/>
                <w:sz w:val="18"/>
                <w:szCs w:val="18"/>
              </w:rPr>
            </w:pPr>
            <w:r w:rsidRPr="004A5BF7">
              <w:rPr>
                <w:rFonts w:cs="Arial"/>
                <w:sz w:val="18"/>
                <w:szCs w:val="18"/>
              </w:rPr>
              <w:t>2,852</w:t>
            </w:r>
          </w:p>
        </w:tc>
      </w:tr>
    </w:tbl>
    <w:p w14:paraId="4F52DDD7" w14:textId="77777777" w:rsidR="00B66CC3" w:rsidRPr="004A5BF7" w:rsidRDefault="00B66CC3" w:rsidP="00B66CC3">
      <w:pPr>
        <w:rPr>
          <w:rFonts w:cs="Arial"/>
          <w:sz w:val="20"/>
        </w:rPr>
      </w:pPr>
      <w:r w:rsidRPr="004A5BF7">
        <w:rPr>
          <w:rFonts w:cs="Arial"/>
          <w:sz w:val="20"/>
        </w:rPr>
        <w:t>* Natural Resource Management</w:t>
      </w:r>
    </w:p>
    <w:p w14:paraId="36456E5C" w14:textId="77777777" w:rsidR="00E9409C" w:rsidRDefault="00E9409C" w:rsidP="00B66CC3">
      <w:pPr>
        <w:rPr>
          <w:rFonts w:cs="Arial"/>
          <w:szCs w:val="22"/>
        </w:rPr>
      </w:pPr>
    </w:p>
    <w:p w14:paraId="7D2D4106" w14:textId="77777777" w:rsidR="00E9409C" w:rsidRPr="00961331" w:rsidRDefault="00E9409C" w:rsidP="00B66CC3">
      <w:pPr>
        <w:rPr>
          <w:rFonts w:cs="Arial"/>
          <w:szCs w:val="22"/>
        </w:rPr>
      </w:pPr>
    </w:p>
    <w:p w14:paraId="39155B2C" w14:textId="3DEBDB87" w:rsidR="00B66CC3" w:rsidRPr="00961331" w:rsidRDefault="00981224" w:rsidP="004A5BF7">
      <w:pPr>
        <w:pStyle w:val="Caption"/>
      </w:pPr>
      <w:bookmarkStart w:id="1593" w:name="_Ref449132200"/>
      <w:bookmarkStart w:id="1594" w:name="_Toc459332186"/>
      <w:r>
        <w:t xml:space="preserve">Table A1 </w:t>
      </w:r>
      <w:r>
        <w:fldChar w:fldCharType="begin"/>
      </w:r>
      <w:r>
        <w:instrText xml:space="preserve"> SEQ Table_A1 \* ARABIC </w:instrText>
      </w:r>
      <w:r>
        <w:fldChar w:fldCharType="separate"/>
      </w:r>
      <w:r w:rsidR="007F5336">
        <w:rPr>
          <w:noProof/>
        </w:rPr>
        <w:t>7</w:t>
      </w:r>
      <w:r>
        <w:rPr>
          <w:noProof/>
        </w:rPr>
        <w:fldChar w:fldCharType="end"/>
      </w:r>
      <w:r w:rsidRPr="00961331">
        <w:t xml:space="preserve">: </w:t>
      </w:r>
      <w:bookmarkEnd w:id="1593"/>
      <w:r w:rsidR="00B66CC3" w:rsidRPr="00961331">
        <w:t>Total wet season river discharge (GL) from 2003 to 2015 water years (c.a., from October, 2002 to September, 2015).</w:t>
      </w:r>
      <w:bookmarkEnd w:id="1594"/>
    </w:p>
    <w:tbl>
      <w:tblPr>
        <w:tblW w:w="4930" w:type="pct"/>
        <w:tblLayout w:type="fixed"/>
        <w:tblLook w:val="04A0" w:firstRow="1" w:lastRow="0" w:firstColumn="1" w:lastColumn="0" w:noHBand="0" w:noVBand="1"/>
        <w:tblCaption w:val="Table A1 7: Total wet season river discharge (GL) from 2003 to 2015 water years (c.a., from October, 2002 to September, 2015)."/>
        <w:tblDescription w:val="Total wet season river discharge (GL) from 2003 to 2015 water years (c.a., from October, 2002 to September, 2015) for each of the GBR catchments"/>
      </w:tblPr>
      <w:tblGrid>
        <w:gridCol w:w="1527"/>
        <w:gridCol w:w="1977"/>
        <w:gridCol w:w="708"/>
        <w:gridCol w:w="814"/>
        <w:gridCol w:w="814"/>
        <w:gridCol w:w="814"/>
        <w:gridCol w:w="814"/>
        <w:gridCol w:w="814"/>
        <w:gridCol w:w="814"/>
        <w:gridCol w:w="813"/>
        <w:gridCol w:w="922"/>
        <w:gridCol w:w="813"/>
        <w:gridCol w:w="813"/>
        <w:gridCol w:w="813"/>
        <w:gridCol w:w="707"/>
      </w:tblGrid>
      <w:tr w:rsidR="00B66CC3" w:rsidRPr="00E9409C" w14:paraId="771163AC" w14:textId="77777777" w:rsidTr="00E662D3">
        <w:trPr>
          <w:trHeight w:val="454"/>
          <w:tblHeader/>
        </w:trPr>
        <w:tc>
          <w:tcPr>
            <w:tcW w:w="546" w:type="pct"/>
            <w:tcBorders>
              <w:top w:val="single" w:sz="4" w:space="0" w:color="auto"/>
              <w:left w:val="nil"/>
              <w:bottom w:val="single" w:sz="4" w:space="0" w:color="auto"/>
              <w:right w:val="nil"/>
            </w:tcBorders>
            <w:shd w:val="clear" w:color="auto" w:fill="auto"/>
            <w:noWrap/>
            <w:vAlign w:val="center"/>
            <w:hideMark/>
          </w:tcPr>
          <w:p w14:paraId="03576734" w14:textId="77777777" w:rsidR="00B66CC3" w:rsidRPr="009228CA" w:rsidRDefault="00B66CC3" w:rsidP="004A5BF7">
            <w:pPr>
              <w:spacing w:before="0" w:after="0"/>
              <w:jc w:val="left"/>
              <w:rPr>
                <w:rFonts w:cs="Arial"/>
                <w:b/>
                <w:sz w:val="18"/>
                <w:szCs w:val="18"/>
              </w:rPr>
            </w:pPr>
            <w:r w:rsidRPr="009228CA">
              <w:rPr>
                <w:rFonts w:cs="Arial"/>
                <w:b/>
                <w:sz w:val="18"/>
                <w:szCs w:val="18"/>
              </w:rPr>
              <w:t>River</w:t>
            </w:r>
          </w:p>
        </w:tc>
        <w:tc>
          <w:tcPr>
            <w:tcW w:w="707" w:type="pct"/>
            <w:tcBorders>
              <w:top w:val="single" w:sz="4" w:space="0" w:color="auto"/>
              <w:left w:val="nil"/>
              <w:bottom w:val="single" w:sz="4" w:space="0" w:color="auto"/>
              <w:right w:val="nil"/>
            </w:tcBorders>
            <w:shd w:val="clear" w:color="auto" w:fill="auto"/>
            <w:noWrap/>
            <w:vAlign w:val="center"/>
            <w:hideMark/>
          </w:tcPr>
          <w:p w14:paraId="4B1EDC8E" w14:textId="77777777" w:rsidR="00B66CC3" w:rsidRPr="009228CA" w:rsidRDefault="00B66CC3" w:rsidP="00B66CC3">
            <w:pPr>
              <w:spacing w:before="0" w:after="0"/>
              <w:jc w:val="center"/>
              <w:rPr>
                <w:rFonts w:cs="Arial"/>
                <w:b/>
                <w:sz w:val="18"/>
                <w:szCs w:val="18"/>
              </w:rPr>
            </w:pPr>
            <w:r w:rsidRPr="009228CA">
              <w:rPr>
                <w:rFonts w:cs="Arial"/>
                <w:b/>
                <w:sz w:val="18"/>
                <w:szCs w:val="18"/>
              </w:rPr>
              <w:t>NRM* region</w:t>
            </w:r>
          </w:p>
        </w:tc>
        <w:tc>
          <w:tcPr>
            <w:tcW w:w="253" w:type="pct"/>
            <w:tcBorders>
              <w:top w:val="single" w:sz="4" w:space="0" w:color="auto"/>
              <w:left w:val="nil"/>
              <w:bottom w:val="single" w:sz="4" w:space="0" w:color="auto"/>
              <w:right w:val="nil"/>
            </w:tcBorders>
            <w:shd w:val="clear" w:color="auto" w:fill="auto"/>
            <w:noWrap/>
            <w:vAlign w:val="center"/>
            <w:hideMark/>
          </w:tcPr>
          <w:p w14:paraId="7A0002EF" w14:textId="77777777" w:rsidR="00B66CC3" w:rsidRPr="009228CA" w:rsidRDefault="00B66CC3" w:rsidP="00B66CC3">
            <w:pPr>
              <w:spacing w:before="0" w:after="0"/>
              <w:jc w:val="center"/>
              <w:rPr>
                <w:rFonts w:cs="Arial"/>
                <w:b/>
                <w:sz w:val="18"/>
                <w:szCs w:val="18"/>
              </w:rPr>
            </w:pPr>
            <w:r w:rsidRPr="009228CA">
              <w:rPr>
                <w:rFonts w:cs="Arial"/>
                <w:b/>
                <w:sz w:val="18"/>
                <w:szCs w:val="18"/>
              </w:rPr>
              <w:t>2003</w:t>
            </w:r>
          </w:p>
        </w:tc>
        <w:tc>
          <w:tcPr>
            <w:tcW w:w="291" w:type="pct"/>
            <w:tcBorders>
              <w:top w:val="single" w:sz="4" w:space="0" w:color="auto"/>
              <w:left w:val="nil"/>
              <w:bottom w:val="single" w:sz="4" w:space="0" w:color="auto"/>
              <w:right w:val="nil"/>
            </w:tcBorders>
            <w:shd w:val="clear" w:color="auto" w:fill="auto"/>
            <w:noWrap/>
            <w:vAlign w:val="center"/>
            <w:hideMark/>
          </w:tcPr>
          <w:p w14:paraId="6D7D725F" w14:textId="77777777" w:rsidR="00B66CC3" w:rsidRPr="009228CA" w:rsidRDefault="00B66CC3" w:rsidP="00B66CC3">
            <w:pPr>
              <w:spacing w:before="0" w:after="0"/>
              <w:jc w:val="center"/>
              <w:rPr>
                <w:rFonts w:cs="Arial"/>
                <w:b/>
                <w:sz w:val="18"/>
                <w:szCs w:val="18"/>
              </w:rPr>
            </w:pPr>
            <w:r w:rsidRPr="009228CA">
              <w:rPr>
                <w:rFonts w:cs="Arial"/>
                <w:b/>
                <w:sz w:val="18"/>
                <w:szCs w:val="18"/>
              </w:rPr>
              <w:t>2004</w:t>
            </w:r>
          </w:p>
        </w:tc>
        <w:tc>
          <w:tcPr>
            <w:tcW w:w="291" w:type="pct"/>
            <w:tcBorders>
              <w:top w:val="single" w:sz="4" w:space="0" w:color="auto"/>
              <w:left w:val="nil"/>
              <w:bottom w:val="single" w:sz="4" w:space="0" w:color="auto"/>
              <w:right w:val="nil"/>
            </w:tcBorders>
            <w:shd w:val="clear" w:color="auto" w:fill="auto"/>
            <w:noWrap/>
            <w:vAlign w:val="center"/>
            <w:hideMark/>
          </w:tcPr>
          <w:p w14:paraId="0099A7EB" w14:textId="77777777" w:rsidR="00B66CC3" w:rsidRPr="009228CA" w:rsidRDefault="00B66CC3" w:rsidP="00B66CC3">
            <w:pPr>
              <w:spacing w:before="0" w:after="0"/>
              <w:jc w:val="center"/>
              <w:rPr>
                <w:rFonts w:cs="Arial"/>
                <w:b/>
                <w:sz w:val="18"/>
                <w:szCs w:val="18"/>
              </w:rPr>
            </w:pPr>
            <w:r w:rsidRPr="009228CA">
              <w:rPr>
                <w:rFonts w:cs="Arial"/>
                <w:b/>
                <w:sz w:val="18"/>
                <w:szCs w:val="18"/>
              </w:rPr>
              <w:t>2005</w:t>
            </w:r>
          </w:p>
        </w:tc>
        <w:tc>
          <w:tcPr>
            <w:tcW w:w="291" w:type="pct"/>
            <w:tcBorders>
              <w:top w:val="single" w:sz="4" w:space="0" w:color="auto"/>
              <w:left w:val="nil"/>
              <w:bottom w:val="single" w:sz="4" w:space="0" w:color="auto"/>
              <w:right w:val="nil"/>
            </w:tcBorders>
            <w:shd w:val="clear" w:color="auto" w:fill="auto"/>
            <w:noWrap/>
            <w:vAlign w:val="center"/>
            <w:hideMark/>
          </w:tcPr>
          <w:p w14:paraId="21CB8A29" w14:textId="77777777" w:rsidR="00B66CC3" w:rsidRPr="009228CA" w:rsidRDefault="00B66CC3" w:rsidP="00B66CC3">
            <w:pPr>
              <w:spacing w:before="0" w:after="0"/>
              <w:jc w:val="center"/>
              <w:rPr>
                <w:rFonts w:cs="Arial"/>
                <w:b/>
                <w:sz w:val="18"/>
                <w:szCs w:val="18"/>
              </w:rPr>
            </w:pPr>
            <w:r w:rsidRPr="009228CA">
              <w:rPr>
                <w:rFonts w:cs="Arial"/>
                <w:b/>
                <w:sz w:val="18"/>
                <w:szCs w:val="18"/>
              </w:rPr>
              <w:t>2006</w:t>
            </w:r>
          </w:p>
        </w:tc>
        <w:tc>
          <w:tcPr>
            <w:tcW w:w="291" w:type="pct"/>
            <w:tcBorders>
              <w:top w:val="single" w:sz="4" w:space="0" w:color="auto"/>
              <w:left w:val="nil"/>
              <w:bottom w:val="single" w:sz="4" w:space="0" w:color="auto"/>
              <w:right w:val="nil"/>
            </w:tcBorders>
            <w:shd w:val="clear" w:color="auto" w:fill="auto"/>
            <w:noWrap/>
            <w:vAlign w:val="center"/>
            <w:hideMark/>
          </w:tcPr>
          <w:p w14:paraId="18800BAF" w14:textId="77777777" w:rsidR="00B66CC3" w:rsidRPr="009228CA" w:rsidRDefault="00B66CC3" w:rsidP="00B66CC3">
            <w:pPr>
              <w:spacing w:before="0" w:after="0"/>
              <w:jc w:val="center"/>
              <w:rPr>
                <w:rFonts w:cs="Arial"/>
                <w:b/>
                <w:sz w:val="18"/>
                <w:szCs w:val="18"/>
              </w:rPr>
            </w:pPr>
            <w:r w:rsidRPr="009228CA">
              <w:rPr>
                <w:rFonts w:cs="Arial"/>
                <w:b/>
                <w:sz w:val="18"/>
                <w:szCs w:val="18"/>
              </w:rPr>
              <w:t>2007</w:t>
            </w:r>
          </w:p>
        </w:tc>
        <w:tc>
          <w:tcPr>
            <w:tcW w:w="291" w:type="pct"/>
            <w:tcBorders>
              <w:top w:val="single" w:sz="4" w:space="0" w:color="auto"/>
              <w:left w:val="nil"/>
              <w:bottom w:val="single" w:sz="4" w:space="0" w:color="auto"/>
              <w:right w:val="nil"/>
            </w:tcBorders>
            <w:shd w:val="clear" w:color="auto" w:fill="auto"/>
            <w:noWrap/>
            <w:vAlign w:val="center"/>
            <w:hideMark/>
          </w:tcPr>
          <w:p w14:paraId="034CEDD1" w14:textId="77777777" w:rsidR="00B66CC3" w:rsidRPr="009228CA" w:rsidRDefault="00B66CC3" w:rsidP="00B66CC3">
            <w:pPr>
              <w:spacing w:before="0" w:after="0"/>
              <w:jc w:val="center"/>
              <w:rPr>
                <w:rFonts w:cs="Arial"/>
                <w:b/>
                <w:sz w:val="18"/>
                <w:szCs w:val="18"/>
              </w:rPr>
            </w:pPr>
            <w:r w:rsidRPr="009228CA">
              <w:rPr>
                <w:rFonts w:cs="Arial"/>
                <w:b/>
                <w:sz w:val="18"/>
                <w:szCs w:val="18"/>
              </w:rPr>
              <w:t>2008</w:t>
            </w:r>
          </w:p>
        </w:tc>
        <w:tc>
          <w:tcPr>
            <w:tcW w:w="291" w:type="pct"/>
            <w:tcBorders>
              <w:top w:val="single" w:sz="4" w:space="0" w:color="auto"/>
              <w:left w:val="nil"/>
              <w:bottom w:val="single" w:sz="4" w:space="0" w:color="auto"/>
              <w:right w:val="nil"/>
            </w:tcBorders>
            <w:shd w:val="clear" w:color="auto" w:fill="auto"/>
            <w:noWrap/>
            <w:vAlign w:val="center"/>
            <w:hideMark/>
          </w:tcPr>
          <w:p w14:paraId="394C0D5B" w14:textId="77777777" w:rsidR="00B66CC3" w:rsidRPr="009228CA" w:rsidRDefault="00B66CC3" w:rsidP="00B66CC3">
            <w:pPr>
              <w:spacing w:before="0" w:after="0"/>
              <w:jc w:val="center"/>
              <w:rPr>
                <w:rFonts w:cs="Arial"/>
                <w:b/>
                <w:sz w:val="18"/>
                <w:szCs w:val="18"/>
              </w:rPr>
            </w:pPr>
            <w:r w:rsidRPr="009228CA">
              <w:rPr>
                <w:rFonts w:cs="Arial"/>
                <w:b/>
                <w:sz w:val="18"/>
                <w:szCs w:val="18"/>
              </w:rPr>
              <w:t>2009</w:t>
            </w:r>
          </w:p>
        </w:tc>
        <w:tc>
          <w:tcPr>
            <w:tcW w:w="291" w:type="pct"/>
            <w:tcBorders>
              <w:top w:val="single" w:sz="4" w:space="0" w:color="auto"/>
              <w:left w:val="nil"/>
              <w:bottom w:val="single" w:sz="4" w:space="0" w:color="auto"/>
              <w:right w:val="nil"/>
            </w:tcBorders>
            <w:shd w:val="clear" w:color="auto" w:fill="auto"/>
            <w:noWrap/>
            <w:vAlign w:val="center"/>
            <w:hideMark/>
          </w:tcPr>
          <w:p w14:paraId="35A93484" w14:textId="77777777" w:rsidR="00B66CC3" w:rsidRPr="009228CA" w:rsidRDefault="00B66CC3" w:rsidP="00B66CC3">
            <w:pPr>
              <w:spacing w:before="0" w:after="0"/>
              <w:jc w:val="center"/>
              <w:rPr>
                <w:rFonts w:cs="Arial"/>
                <w:b/>
                <w:sz w:val="18"/>
                <w:szCs w:val="18"/>
              </w:rPr>
            </w:pPr>
            <w:r w:rsidRPr="009228CA">
              <w:rPr>
                <w:rFonts w:cs="Arial"/>
                <w:b/>
                <w:sz w:val="18"/>
                <w:szCs w:val="18"/>
              </w:rPr>
              <w:t>2010</w:t>
            </w:r>
          </w:p>
        </w:tc>
        <w:tc>
          <w:tcPr>
            <w:tcW w:w="330" w:type="pct"/>
            <w:tcBorders>
              <w:top w:val="single" w:sz="4" w:space="0" w:color="auto"/>
              <w:left w:val="nil"/>
              <w:bottom w:val="single" w:sz="4" w:space="0" w:color="auto"/>
              <w:right w:val="nil"/>
            </w:tcBorders>
            <w:shd w:val="clear" w:color="auto" w:fill="auto"/>
            <w:noWrap/>
            <w:vAlign w:val="center"/>
            <w:hideMark/>
          </w:tcPr>
          <w:p w14:paraId="37507396" w14:textId="77777777" w:rsidR="00B66CC3" w:rsidRPr="009228CA" w:rsidRDefault="00B66CC3" w:rsidP="00B66CC3">
            <w:pPr>
              <w:spacing w:before="0" w:after="0"/>
              <w:jc w:val="center"/>
              <w:rPr>
                <w:rFonts w:cs="Arial"/>
                <w:b/>
                <w:sz w:val="18"/>
                <w:szCs w:val="18"/>
              </w:rPr>
            </w:pPr>
            <w:r w:rsidRPr="009228CA">
              <w:rPr>
                <w:rFonts w:cs="Arial"/>
                <w:b/>
                <w:sz w:val="18"/>
                <w:szCs w:val="18"/>
              </w:rPr>
              <w:t>2011</w:t>
            </w:r>
          </w:p>
        </w:tc>
        <w:tc>
          <w:tcPr>
            <w:tcW w:w="291" w:type="pct"/>
            <w:tcBorders>
              <w:top w:val="single" w:sz="4" w:space="0" w:color="auto"/>
              <w:left w:val="nil"/>
              <w:bottom w:val="single" w:sz="4" w:space="0" w:color="auto"/>
              <w:right w:val="nil"/>
            </w:tcBorders>
            <w:shd w:val="clear" w:color="auto" w:fill="auto"/>
            <w:noWrap/>
            <w:vAlign w:val="center"/>
            <w:hideMark/>
          </w:tcPr>
          <w:p w14:paraId="246F0DD9" w14:textId="77777777" w:rsidR="00B66CC3" w:rsidRPr="009228CA" w:rsidRDefault="00B66CC3" w:rsidP="00B66CC3">
            <w:pPr>
              <w:spacing w:before="0" w:after="0"/>
              <w:jc w:val="center"/>
              <w:rPr>
                <w:rFonts w:cs="Arial"/>
                <w:b/>
                <w:sz w:val="18"/>
                <w:szCs w:val="18"/>
              </w:rPr>
            </w:pPr>
            <w:r w:rsidRPr="009228CA">
              <w:rPr>
                <w:rFonts w:cs="Arial"/>
                <w:b/>
                <w:sz w:val="18"/>
                <w:szCs w:val="18"/>
              </w:rPr>
              <w:t>2012</w:t>
            </w:r>
          </w:p>
        </w:tc>
        <w:tc>
          <w:tcPr>
            <w:tcW w:w="291" w:type="pct"/>
            <w:tcBorders>
              <w:top w:val="single" w:sz="4" w:space="0" w:color="auto"/>
              <w:left w:val="nil"/>
              <w:bottom w:val="single" w:sz="4" w:space="0" w:color="auto"/>
              <w:right w:val="nil"/>
            </w:tcBorders>
            <w:shd w:val="clear" w:color="auto" w:fill="auto"/>
            <w:noWrap/>
            <w:vAlign w:val="center"/>
            <w:hideMark/>
          </w:tcPr>
          <w:p w14:paraId="5372F4D4" w14:textId="77777777" w:rsidR="00B66CC3" w:rsidRPr="009228CA" w:rsidRDefault="00B66CC3" w:rsidP="00B66CC3">
            <w:pPr>
              <w:spacing w:before="0" w:after="0"/>
              <w:jc w:val="center"/>
              <w:rPr>
                <w:rFonts w:cs="Arial"/>
                <w:b/>
                <w:sz w:val="18"/>
                <w:szCs w:val="18"/>
              </w:rPr>
            </w:pPr>
            <w:r w:rsidRPr="009228CA">
              <w:rPr>
                <w:rFonts w:cs="Arial"/>
                <w:b/>
                <w:sz w:val="18"/>
                <w:szCs w:val="18"/>
              </w:rPr>
              <w:t>2013</w:t>
            </w:r>
          </w:p>
        </w:tc>
        <w:tc>
          <w:tcPr>
            <w:tcW w:w="291" w:type="pct"/>
            <w:tcBorders>
              <w:top w:val="single" w:sz="4" w:space="0" w:color="auto"/>
              <w:left w:val="nil"/>
              <w:bottom w:val="single" w:sz="4" w:space="0" w:color="auto"/>
              <w:right w:val="nil"/>
            </w:tcBorders>
            <w:shd w:val="clear" w:color="auto" w:fill="auto"/>
            <w:noWrap/>
            <w:vAlign w:val="center"/>
            <w:hideMark/>
          </w:tcPr>
          <w:p w14:paraId="7C274F4A" w14:textId="77777777" w:rsidR="00B66CC3" w:rsidRPr="009228CA" w:rsidRDefault="00B66CC3" w:rsidP="00B66CC3">
            <w:pPr>
              <w:spacing w:before="0" w:after="0"/>
              <w:jc w:val="center"/>
              <w:rPr>
                <w:rFonts w:cs="Arial"/>
                <w:b/>
                <w:sz w:val="18"/>
                <w:szCs w:val="18"/>
              </w:rPr>
            </w:pPr>
            <w:r w:rsidRPr="009228CA">
              <w:rPr>
                <w:rFonts w:cs="Arial"/>
                <w:b/>
                <w:sz w:val="18"/>
                <w:szCs w:val="18"/>
              </w:rPr>
              <w:t>2014</w:t>
            </w:r>
          </w:p>
        </w:tc>
        <w:tc>
          <w:tcPr>
            <w:tcW w:w="253" w:type="pct"/>
            <w:tcBorders>
              <w:top w:val="single" w:sz="4" w:space="0" w:color="auto"/>
              <w:left w:val="nil"/>
              <w:bottom w:val="single" w:sz="4" w:space="0" w:color="auto"/>
              <w:right w:val="nil"/>
            </w:tcBorders>
            <w:shd w:val="clear" w:color="auto" w:fill="auto"/>
            <w:noWrap/>
            <w:vAlign w:val="center"/>
            <w:hideMark/>
          </w:tcPr>
          <w:p w14:paraId="0B19C7C4" w14:textId="77777777" w:rsidR="00B66CC3" w:rsidRPr="009228CA" w:rsidRDefault="00B66CC3" w:rsidP="00B66CC3">
            <w:pPr>
              <w:spacing w:before="0" w:after="0"/>
              <w:jc w:val="center"/>
              <w:rPr>
                <w:rFonts w:cs="Arial"/>
                <w:b/>
                <w:sz w:val="18"/>
                <w:szCs w:val="18"/>
              </w:rPr>
            </w:pPr>
            <w:r w:rsidRPr="009228CA">
              <w:rPr>
                <w:rFonts w:cs="Arial"/>
                <w:b/>
                <w:sz w:val="18"/>
                <w:szCs w:val="18"/>
              </w:rPr>
              <w:t>2015</w:t>
            </w:r>
          </w:p>
        </w:tc>
      </w:tr>
      <w:tr w:rsidR="00B66CC3" w:rsidRPr="00E9409C" w14:paraId="7FBDA392" w14:textId="77777777" w:rsidTr="00E662D3">
        <w:trPr>
          <w:trHeight w:val="454"/>
          <w:tblHeader/>
        </w:trPr>
        <w:tc>
          <w:tcPr>
            <w:tcW w:w="546" w:type="pct"/>
            <w:tcBorders>
              <w:top w:val="nil"/>
              <w:left w:val="nil"/>
              <w:bottom w:val="nil"/>
              <w:right w:val="nil"/>
            </w:tcBorders>
            <w:shd w:val="clear" w:color="auto" w:fill="auto"/>
            <w:noWrap/>
            <w:vAlign w:val="center"/>
            <w:hideMark/>
          </w:tcPr>
          <w:p w14:paraId="7129A389" w14:textId="77777777" w:rsidR="00B66CC3" w:rsidRPr="004A5BF7" w:rsidRDefault="00B66CC3" w:rsidP="004A5BF7">
            <w:pPr>
              <w:spacing w:before="0" w:after="0"/>
              <w:jc w:val="left"/>
              <w:rPr>
                <w:rFonts w:cs="Arial"/>
                <w:sz w:val="18"/>
                <w:szCs w:val="18"/>
              </w:rPr>
            </w:pPr>
            <w:r w:rsidRPr="004A5BF7">
              <w:rPr>
                <w:rFonts w:cs="Arial"/>
                <w:sz w:val="18"/>
                <w:szCs w:val="18"/>
              </w:rPr>
              <w:t>Daintree</w:t>
            </w:r>
          </w:p>
        </w:tc>
        <w:tc>
          <w:tcPr>
            <w:tcW w:w="707" w:type="pct"/>
            <w:tcBorders>
              <w:top w:val="nil"/>
              <w:left w:val="nil"/>
              <w:bottom w:val="nil"/>
              <w:right w:val="nil"/>
            </w:tcBorders>
            <w:shd w:val="clear" w:color="auto" w:fill="auto"/>
            <w:noWrap/>
            <w:vAlign w:val="center"/>
            <w:hideMark/>
          </w:tcPr>
          <w:p w14:paraId="6573A7E4"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253" w:type="pct"/>
            <w:tcBorders>
              <w:top w:val="nil"/>
              <w:left w:val="nil"/>
              <w:bottom w:val="nil"/>
              <w:right w:val="nil"/>
            </w:tcBorders>
            <w:shd w:val="clear" w:color="auto" w:fill="auto"/>
            <w:noWrap/>
            <w:vAlign w:val="center"/>
            <w:hideMark/>
          </w:tcPr>
          <w:p w14:paraId="20FCD00A" w14:textId="77777777" w:rsidR="00B66CC3" w:rsidRPr="004A5BF7" w:rsidRDefault="00B66CC3" w:rsidP="00B66CC3">
            <w:pPr>
              <w:spacing w:before="0" w:after="0"/>
              <w:jc w:val="center"/>
              <w:rPr>
                <w:rFonts w:cs="Arial"/>
                <w:sz w:val="18"/>
                <w:szCs w:val="18"/>
              </w:rPr>
            </w:pPr>
            <w:r w:rsidRPr="004A5BF7">
              <w:rPr>
                <w:rFonts w:cs="Arial"/>
                <w:sz w:val="18"/>
                <w:szCs w:val="18"/>
              </w:rPr>
              <w:t>80</w:t>
            </w:r>
          </w:p>
        </w:tc>
        <w:tc>
          <w:tcPr>
            <w:tcW w:w="291" w:type="pct"/>
            <w:tcBorders>
              <w:top w:val="nil"/>
              <w:left w:val="nil"/>
              <w:bottom w:val="nil"/>
              <w:right w:val="nil"/>
            </w:tcBorders>
            <w:shd w:val="clear" w:color="auto" w:fill="auto"/>
            <w:noWrap/>
            <w:vAlign w:val="center"/>
            <w:hideMark/>
          </w:tcPr>
          <w:p w14:paraId="1DC5CCED" w14:textId="77777777" w:rsidR="00B66CC3" w:rsidRPr="004A5BF7" w:rsidRDefault="00B66CC3" w:rsidP="00B66CC3">
            <w:pPr>
              <w:spacing w:before="0" w:after="0"/>
              <w:jc w:val="center"/>
              <w:rPr>
                <w:rFonts w:cs="Arial"/>
                <w:sz w:val="18"/>
                <w:szCs w:val="18"/>
              </w:rPr>
            </w:pPr>
            <w:r w:rsidRPr="004A5BF7">
              <w:rPr>
                <w:rFonts w:cs="Arial"/>
                <w:sz w:val="18"/>
                <w:szCs w:val="18"/>
              </w:rPr>
              <w:t>1,243</w:t>
            </w:r>
          </w:p>
        </w:tc>
        <w:tc>
          <w:tcPr>
            <w:tcW w:w="291" w:type="pct"/>
            <w:tcBorders>
              <w:top w:val="nil"/>
              <w:left w:val="nil"/>
              <w:bottom w:val="nil"/>
              <w:right w:val="nil"/>
            </w:tcBorders>
            <w:shd w:val="clear" w:color="auto" w:fill="auto"/>
            <w:noWrap/>
            <w:vAlign w:val="center"/>
            <w:hideMark/>
          </w:tcPr>
          <w:p w14:paraId="485369E7" w14:textId="77777777" w:rsidR="00B66CC3" w:rsidRPr="004A5BF7" w:rsidRDefault="00B66CC3" w:rsidP="00B66CC3">
            <w:pPr>
              <w:spacing w:before="0" w:after="0"/>
              <w:jc w:val="center"/>
              <w:rPr>
                <w:rFonts w:cs="Arial"/>
                <w:sz w:val="18"/>
                <w:szCs w:val="18"/>
              </w:rPr>
            </w:pPr>
            <w:r w:rsidRPr="004A5BF7">
              <w:rPr>
                <w:rFonts w:cs="Arial"/>
                <w:sz w:val="18"/>
                <w:szCs w:val="18"/>
              </w:rPr>
              <w:t>362</w:t>
            </w:r>
          </w:p>
        </w:tc>
        <w:tc>
          <w:tcPr>
            <w:tcW w:w="291" w:type="pct"/>
            <w:tcBorders>
              <w:top w:val="nil"/>
              <w:left w:val="nil"/>
              <w:bottom w:val="nil"/>
              <w:right w:val="nil"/>
            </w:tcBorders>
            <w:shd w:val="clear" w:color="auto" w:fill="auto"/>
            <w:noWrap/>
            <w:vAlign w:val="center"/>
            <w:hideMark/>
          </w:tcPr>
          <w:p w14:paraId="43129989" w14:textId="77777777" w:rsidR="00B66CC3" w:rsidRPr="004A5BF7" w:rsidRDefault="00B66CC3" w:rsidP="00B66CC3">
            <w:pPr>
              <w:spacing w:before="0" w:after="0"/>
              <w:jc w:val="center"/>
              <w:rPr>
                <w:rFonts w:cs="Arial"/>
                <w:sz w:val="18"/>
                <w:szCs w:val="18"/>
              </w:rPr>
            </w:pPr>
            <w:r w:rsidRPr="004A5BF7">
              <w:rPr>
                <w:rFonts w:cs="Arial"/>
                <w:sz w:val="18"/>
                <w:szCs w:val="18"/>
              </w:rPr>
              <w:t>980</w:t>
            </w:r>
          </w:p>
        </w:tc>
        <w:tc>
          <w:tcPr>
            <w:tcW w:w="291" w:type="pct"/>
            <w:tcBorders>
              <w:top w:val="nil"/>
              <w:left w:val="nil"/>
              <w:bottom w:val="nil"/>
              <w:right w:val="nil"/>
            </w:tcBorders>
            <w:shd w:val="clear" w:color="auto" w:fill="auto"/>
            <w:noWrap/>
            <w:vAlign w:val="center"/>
            <w:hideMark/>
          </w:tcPr>
          <w:p w14:paraId="3B98F5B6" w14:textId="77777777" w:rsidR="00B66CC3" w:rsidRPr="004A5BF7" w:rsidRDefault="00B66CC3" w:rsidP="00B66CC3">
            <w:pPr>
              <w:spacing w:before="0" w:after="0"/>
              <w:jc w:val="center"/>
              <w:rPr>
                <w:rFonts w:cs="Arial"/>
                <w:sz w:val="18"/>
                <w:szCs w:val="18"/>
              </w:rPr>
            </w:pPr>
            <w:r w:rsidRPr="004A5BF7">
              <w:rPr>
                <w:rFonts w:cs="Arial"/>
                <w:sz w:val="18"/>
                <w:szCs w:val="18"/>
              </w:rPr>
              <w:t>556</w:t>
            </w:r>
          </w:p>
        </w:tc>
        <w:tc>
          <w:tcPr>
            <w:tcW w:w="291" w:type="pct"/>
            <w:tcBorders>
              <w:top w:val="nil"/>
              <w:left w:val="nil"/>
              <w:bottom w:val="nil"/>
              <w:right w:val="nil"/>
            </w:tcBorders>
            <w:shd w:val="clear" w:color="auto" w:fill="auto"/>
            <w:noWrap/>
            <w:vAlign w:val="center"/>
            <w:hideMark/>
          </w:tcPr>
          <w:p w14:paraId="761711E5" w14:textId="77777777" w:rsidR="00B66CC3" w:rsidRPr="004A5BF7" w:rsidRDefault="00B66CC3" w:rsidP="00B66CC3">
            <w:pPr>
              <w:spacing w:before="0" w:after="0"/>
              <w:jc w:val="center"/>
              <w:rPr>
                <w:rFonts w:cs="Arial"/>
                <w:sz w:val="18"/>
                <w:szCs w:val="18"/>
              </w:rPr>
            </w:pPr>
            <w:r w:rsidRPr="004A5BF7">
              <w:rPr>
                <w:rFonts w:cs="Arial"/>
                <w:sz w:val="18"/>
                <w:szCs w:val="18"/>
              </w:rPr>
              <w:t>760</w:t>
            </w:r>
          </w:p>
        </w:tc>
        <w:tc>
          <w:tcPr>
            <w:tcW w:w="291" w:type="pct"/>
            <w:tcBorders>
              <w:top w:val="nil"/>
              <w:left w:val="nil"/>
              <w:bottom w:val="nil"/>
              <w:right w:val="nil"/>
            </w:tcBorders>
            <w:shd w:val="clear" w:color="auto" w:fill="auto"/>
            <w:noWrap/>
            <w:vAlign w:val="center"/>
            <w:hideMark/>
          </w:tcPr>
          <w:p w14:paraId="6E1662AB" w14:textId="77777777" w:rsidR="00B66CC3" w:rsidRPr="004A5BF7" w:rsidRDefault="00B66CC3" w:rsidP="00B66CC3">
            <w:pPr>
              <w:spacing w:before="0" w:after="0"/>
              <w:jc w:val="center"/>
              <w:rPr>
                <w:rFonts w:cs="Arial"/>
                <w:sz w:val="18"/>
                <w:szCs w:val="18"/>
              </w:rPr>
            </w:pPr>
            <w:r w:rsidRPr="004A5BF7">
              <w:rPr>
                <w:rFonts w:cs="Arial"/>
                <w:sz w:val="18"/>
                <w:szCs w:val="18"/>
              </w:rPr>
              <w:t>530</w:t>
            </w:r>
          </w:p>
        </w:tc>
        <w:tc>
          <w:tcPr>
            <w:tcW w:w="291" w:type="pct"/>
            <w:tcBorders>
              <w:top w:val="nil"/>
              <w:left w:val="nil"/>
              <w:bottom w:val="nil"/>
              <w:right w:val="nil"/>
            </w:tcBorders>
            <w:shd w:val="clear" w:color="auto" w:fill="auto"/>
            <w:noWrap/>
            <w:vAlign w:val="center"/>
            <w:hideMark/>
          </w:tcPr>
          <w:p w14:paraId="6BD42A49" w14:textId="77777777" w:rsidR="00B66CC3" w:rsidRPr="004A5BF7" w:rsidRDefault="00B66CC3" w:rsidP="00B66CC3">
            <w:pPr>
              <w:spacing w:before="0" w:after="0"/>
              <w:jc w:val="center"/>
              <w:rPr>
                <w:rFonts w:cs="Arial"/>
                <w:sz w:val="18"/>
                <w:szCs w:val="18"/>
              </w:rPr>
            </w:pPr>
            <w:r w:rsidRPr="004A5BF7">
              <w:rPr>
                <w:rFonts w:cs="Arial"/>
                <w:sz w:val="18"/>
                <w:szCs w:val="18"/>
              </w:rPr>
              <w:t>984</w:t>
            </w:r>
          </w:p>
        </w:tc>
        <w:tc>
          <w:tcPr>
            <w:tcW w:w="330" w:type="pct"/>
            <w:tcBorders>
              <w:top w:val="nil"/>
              <w:left w:val="nil"/>
              <w:bottom w:val="nil"/>
              <w:right w:val="nil"/>
            </w:tcBorders>
            <w:shd w:val="clear" w:color="auto" w:fill="auto"/>
            <w:noWrap/>
            <w:vAlign w:val="center"/>
            <w:hideMark/>
          </w:tcPr>
          <w:p w14:paraId="45672F93" w14:textId="77777777" w:rsidR="00B66CC3" w:rsidRPr="004A5BF7" w:rsidRDefault="00B66CC3" w:rsidP="00B66CC3">
            <w:pPr>
              <w:spacing w:before="0" w:after="0"/>
              <w:jc w:val="center"/>
              <w:rPr>
                <w:rFonts w:cs="Arial"/>
                <w:sz w:val="18"/>
                <w:szCs w:val="18"/>
              </w:rPr>
            </w:pPr>
            <w:r w:rsidRPr="004A5BF7">
              <w:rPr>
                <w:rFonts w:cs="Arial"/>
                <w:sz w:val="18"/>
                <w:szCs w:val="18"/>
              </w:rPr>
              <w:t>1,430</w:t>
            </w:r>
          </w:p>
        </w:tc>
        <w:tc>
          <w:tcPr>
            <w:tcW w:w="291" w:type="pct"/>
            <w:tcBorders>
              <w:top w:val="nil"/>
              <w:left w:val="nil"/>
              <w:bottom w:val="nil"/>
              <w:right w:val="nil"/>
            </w:tcBorders>
            <w:shd w:val="clear" w:color="auto" w:fill="auto"/>
            <w:noWrap/>
            <w:vAlign w:val="center"/>
            <w:hideMark/>
          </w:tcPr>
          <w:p w14:paraId="2298FA63" w14:textId="77777777" w:rsidR="00B66CC3" w:rsidRPr="004A5BF7" w:rsidRDefault="00B66CC3" w:rsidP="00B66CC3">
            <w:pPr>
              <w:spacing w:before="0" w:after="0"/>
              <w:jc w:val="center"/>
              <w:rPr>
                <w:rFonts w:cs="Arial"/>
                <w:sz w:val="18"/>
                <w:szCs w:val="18"/>
              </w:rPr>
            </w:pPr>
            <w:r w:rsidRPr="004A5BF7">
              <w:rPr>
                <w:rFonts w:cs="Arial"/>
                <w:sz w:val="18"/>
                <w:szCs w:val="18"/>
              </w:rPr>
              <w:t>744</w:t>
            </w:r>
          </w:p>
        </w:tc>
        <w:tc>
          <w:tcPr>
            <w:tcW w:w="291" w:type="pct"/>
            <w:tcBorders>
              <w:top w:val="nil"/>
              <w:left w:val="nil"/>
              <w:bottom w:val="nil"/>
              <w:right w:val="nil"/>
            </w:tcBorders>
            <w:shd w:val="clear" w:color="auto" w:fill="auto"/>
            <w:noWrap/>
            <w:vAlign w:val="center"/>
            <w:hideMark/>
          </w:tcPr>
          <w:p w14:paraId="61CA7597" w14:textId="77777777" w:rsidR="00B66CC3" w:rsidRPr="004A5BF7" w:rsidRDefault="00B66CC3" w:rsidP="00B66CC3">
            <w:pPr>
              <w:spacing w:before="0" w:after="0"/>
              <w:jc w:val="center"/>
              <w:rPr>
                <w:rFonts w:cs="Arial"/>
                <w:sz w:val="18"/>
                <w:szCs w:val="18"/>
              </w:rPr>
            </w:pPr>
            <w:r w:rsidRPr="004A5BF7">
              <w:rPr>
                <w:rFonts w:cs="Arial"/>
                <w:sz w:val="18"/>
                <w:szCs w:val="18"/>
              </w:rPr>
              <w:t>502</w:t>
            </w:r>
          </w:p>
        </w:tc>
        <w:tc>
          <w:tcPr>
            <w:tcW w:w="291" w:type="pct"/>
            <w:tcBorders>
              <w:top w:val="nil"/>
              <w:left w:val="nil"/>
              <w:bottom w:val="nil"/>
              <w:right w:val="nil"/>
            </w:tcBorders>
            <w:shd w:val="clear" w:color="auto" w:fill="auto"/>
            <w:noWrap/>
            <w:vAlign w:val="center"/>
            <w:hideMark/>
          </w:tcPr>
          <w:p w14:paraId="2F0E0297" w14:textId="77777777" w:rsidR="00B66CC3" w:rsidRPr="004A5BF7" w:rsidRDefault="00B66CC3" w:rsidP="00B66CC3">
            <w:pPr>
              <w:spacing w:before="0" w:after="0"/>
              <w:jc w:val="center"/>
              <w:rPr>
                <w:rFonts w:cs="Arial"/>
                <w:sz w:val="18"/>
                <w:szCs w:val="18"/>
              </w:rPr>
            </w:pPr>
            <w:r w:rsidRPr="004A5BF7">
              <w:rPr>
                <w:rFonts w:cs="Arial"/>
                <w:sz w:val="18"/>
                <w:szCs w:val="18"/>
              </w:rPr>
              <w:t>1,457</w:t>
            </w:r>
          </w:p>
        </w:tc>
        <w:tc>
          <w:tcPr>
            <w:tcW w:w="253" w:type="pct"/>
            <w:tcBorders>
              <w:top w:val="nil"/>
              <w:left w:val="nil"/>
              <w:bottom w:val="nil"/>
              <w:right w:val="nil"/>
            </w:tcBorders>
            <w:shd w:val="clear" w:color="auto" w:fill="auto"/>
            <w:noWrap/>
            <w:vAlign w:val="center"/>
            <w:hideMark/>
          </w:tcPr>
          <w:p w14:paraId="47862170" w14:textId="77777777" w:rsidR="00B66CC3" w:rsidRPr="004A5BF7" w:rsidRDefault="00B66CC3" w:rsidP="00B66CC3">
            <w:pPr>
              <w:spacing w:before="0" w:after="0"/>
              <w:jc w:val="center"/>
              <w:rPr>
                <w:rFonts w:cs="Arial"/>
                <w:sz w:val="18"/>
                <w:szCs w:val="18"/>
              </w:rPr>
            </w:pPr>
            <w:r w:rsidRPr="004A5BF7">
              <w:rPr>
                <w:rFonts w:cs="Arial"/>
                <w:sz w:val="18"/>
                <w:szCs w:val="18"/>
              </w:rPr>
              <w:t>584</w:t>
            </w:r>
          </w:p>
        </w:tc>
      </w:tr>
      <w:tr w:rsidR="00B66CC3" w:rsidRPr="00E9409C" w14:paraId="645A1BFC" w14:textId="77777777" w:rsidTr="00E662D3">
        <w:trPr>
          <w:trHeight w:val="454"/>
          <w:tblHeader/>
        </w:trPr>
        <w:tc>
          <w:tcPr>
            <w:tcW w:w="546" w:type="pct"/>
            <w:tcBorders>
              <w:top w:val="nil"/>
              <w:left w:val="nil"/>
              <w:bottom w:val="nil"/>
              <w:right w:val="nil"/>
            </w:tcBorders>
            <w:shd w:val="clear" w:color="auto" w:fill="auto"/>
            <w:noWrap/>
            <w:vAlign w:val="center"/>
            <w:hideMark/>
          </w:tcPr>
          <w:p w14:paraId="293908BC" w14:textId="77777777" w:rsidR="00B66CC3" w:rsidRPr="004A5BF7" w:rsidRDefault="00B66CC3" w:rsidP="004A5BF7">
            <w:pPr>
              <w:spacing w:before="0" w:after="0"/>
              <w:jc w:val="left"/>
              <w:rPr>
                <w:rFonts w:cs="Arial"/>
                <w:sz w:val="18"/>
                <w:szCs w:val="18"/>
              </w:rPr>
            </w:pPr>
            <w:r w:rsidRPr="004A5BF7">
              <w:rPr>
                <w:rFonts w:cs="Arial"/>
                <w:sz w:val="18"/>
                <w:szCs w:val="18"/>
              </w:rPr>
              <w:t>Mossman</w:t>
            </w:r>
          </w:p>
        </w:tc>
        <w:tc>
          <w:tcPr>
            <w:tcW w:w="707" w:type="pct"/>
            <w:tcBorders>
              <w:top w:val="nil"/>
              <w:left w:val="nil"/>
              <w:bottom w:val="nil"/>
              <w:right w:val="nil"/>
            </w:tcBorders>
            <w:shd w:val="clear" w:color="auto" w:fill="auto"/>
            <w:noWrap/>
            <w:vAlign w:val="center"/>
            <w:hideMark/>
          </w:tcPr>
          <w:p w14:paraId="0C10CEF8"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253" w:type="pct"/>
            <w:tcBorders>
              <w:top w:val="nil"/>
              <w:left w:val="nil"/>
              <w:bottom w:val="nil"/>
              <w:right w:val="nil"/>
            </w:tcBorders>
            <w:shd w:val="clear" w:color="auto" w:fill="auto"/>
            <w:noWrap/>
            <w:vAlign w:val="center"/>
            <w:hideMark/>
          </w:tcPr>
          <w:p w14:paraId="7BE0BC2F" w14:textId="77777777" w:rsidR="00B66CC3" w:rsidRPr="004A5BF7" w:rsidRDefault="00B66CC3" w:rsidP="00B66CC3">
            <w:pPr>
              <w:spacing w:before="0" w:after="0"/>
              <w:jc w:val="center"/>
              <w:rPr>
                <w:rFonts w:cs="Arial"/>
                <w:sz w:val="18"/>
                <w:szCs w:val="18"/>
              </w:rPr>
            </w:pPr>
            <w:r w:rsidRPr="004A5BF7">
              <w:rPr>
                <w:rFonts w:cs="Arial"/>
                <w:sz w:val="18"/>
                <w:szCs w:val="18"/>
              </w:rPr>
              <w:t>103</w:t>
            </w:r>
          </w:p>
        </w:tc>
        <w:tc>
          <w:tcPr>
            <w:tcW w:w="291" w:type="pct"/>
            <w:tcBorders>
              <w:top w:val="nil"/>
              <w:left w:val="nil"/>
              <w:bottom w:val="nil"/>
              <w:right w:val="nil"/>
            </w:tcBorders>
            <w:shd w:val="clear" w:color="auto" w:fill="auto"/>
            <w:noWrap/>
            <w:vAlign w:val="center"/>
            <w:hideMark/>
          </w:tcPr>
          <w:p w14:paraId="77A04AD6" w14:textId="77777777" w:rsidR="00B66CC3" w:rsidRPr="004A5BF7" w:rsidRDefault="00B66CC3" w:rsidP="00B66CC3">
            <w:pPr>
              <w:spacing w:before="0" w:after="0"/>
              <w:jc w:val="center"/>
              <w:rPr>
                <w:rFonts w:cs="Arial"/>
                <w:sz w:val="18"/>
                <w:szCs w:val="18"/>
              </w:rPr>
            </w:pPr>
            <w:r w:rsidRPr="004A5BF7">
              <w:rPr>
                <w:rFonts w:cs="Arial"/>
                <w:sz w:val="18"/>
                <w:szCs w:val="18"/>
              </w:rPr>
              <w:t>274</w:t>
            </w:r>
          </w:p>
        </w:tc>
        <w:tc>
          <w:tcPr>
            <w:tcW w:w="291" w:type="pct"/>
            <w:tcBorders>
              <w:top w:val="nil"/>
              <w:left w:val="nil"/>
              <w:bottom w:val="nil"/>
              <w:right w:val="nil"/>
            </w:tcBorders>
            <w:shd w:val="clear" w:color="auto" w:fill="auto"/>
            <w:noWrap/>
            <w:vAlign w:val="center"/>
            <w:hideMark/>
          </w:tcPr>
          <w:p w14:paraId="5B63E602" w14:textId="77777777" w:rsidR="00B66CC3" w:rsidRPr="004A5BF7" w:rsidRDefault="00B66CC3" w:rsidP="00B66CC3">
            <w:pPr>
              <w:spacing w:before="0" w:after="0"/>
              <w:jc w:val="center"/>
              <w:rPr>
                <w:rFonts w:cs="Arial"/>
                <w:sz w:val="18"/>
                <w:szCs w:val="18"/>
              </w:rPr>
            </w:pPr>
            <w:r w:rsidRPr="004A5BF7">
              <w:rPr>
                <w:rFonts w:cs="Arial"/>
                <w:sz w:val="18"/>
                <w:szCs w:val="18"/>
              </w:rPr>
              <w:t>156</w:t>
            </w:r>
          </w:p>
        </w:tc>
        <w:tc>
          <w:tcPr>
            <w:tcW w:w="291" w:type="pct"/>
            <w:tcBorders>
              <w:top w:val="nil"/>
              <w:left w:val="nil"/>
              <w:bottom w:val="nil"/>
              <w:right w:val="nil"/>
            </w:tcBorders>
            <w:shd w:val="clear" w:color="auto" w:fill="auto"/>
            <w:noWrap/>
            <w:vAlign w:val="center"/>
            <w:hideMark/>
          </w:tcPr>
          <w:p w14:paraId="227BB4B8" w14:textId="77777777" w:rsidR="00B66CC3" w:rsidRPr="004A5BF7" w:rsidRDefault="00B66CC3" w:rsidP="00B66CC3">
            <w:pPr>
              <w:spacing w:before="0" w:after="0"/>
              <w:jc w:val="center"/>
              <w:rPr>
                <w:rFonts w:cs="Arial"/>
                <w:sz w:val="18"/>
                <w:szCs w:val="18"/>
              </w:rPr>
            </w:pPr>
            <w:r w:rsidRPr="004A5BF7">
              <w:rPr>
                <w:rFonts w:cs="Arial"/>
                <w:sz w:val="18"/>
                <w:szCs w:val="18"/>
              </w:rPr>
              <w:t>276</w:t>
            </w:r>
          </w:p>
        </w:tc>
        <w:tc>
          <w:tcPr>
            <w:tcW w:w="291" w:type="pct"/>
            <w:tcBorders>
              <w:top w:val="nil"/>
              <w:left w:val="nil"/>
              <w:bottom w:val="nil"/>
              <w:right w:val="nil"/>
            </w:tcBorders>
            <w:shd w:val="clear" w:color="auto" w:fill="auto"/>
            <w:noWrap/>
            <w:vAlign w:val="center"/>
            <w:hideMark/>
          </w:tcPr>
          <w:p w14:paraId="7ED0B016" w14:textId="77777777" w:rsidR="00B66CC3" w:rsidRPr="004A5BF7" w:rsidRDefault="00B66CC3" w:rsidP="00B66CC3">
            <w:pPr>
              <w:spacing w:before="0" w:after="0"/>
              <w:jc w:val="center"/>
              <w:rPr>
                <w:rFonts w:cs="Arial"/>
                <w:sz w:val="18"/>
                <w:szCs w:val="18"/>
              </w:rPr>
            </w:pPr>
            <w:r w:rsidRPr="004A5BF7">
              <w:rPr>
                <w:rFonts w:cs="Arial"/>
                <w:sz w:val="18"/>
                <w:szCs w:val="18"/>
              </w:rPr>
              <w:t>175</w:t>
            </w:r>
          </w:p>
        </w:tc>
        <w:tc>
          <w:tcPr>
            <w:tcW w:w="291" w:type="pct"/>
            <w:tcBorders>
              <w:top w:val="nil"/>
              <w:left w:val="nil"/>
              <w:bottom w:val="nil"/>
              <w:right w:val="nil"/>
            </w:tcBorders>
            <w:shd w:val="clear" w:color="auto" w:fill="auto"/>
            <w:noWrap/>
            <w:vAlign w:val="center"/>
            <w:hideMark/>
          </w:tcPr>
          <w:p w14:paraId="27003381" w14:textId="77777777" w:rsidR="00B66CC3" w:rsidRPr="004A5BF7" w:rsidRDefault="00B66CC3" w:rsidP="00B66CC3">
            <w:pPr>
              <w:spacing w:before="0" w:after="0"/>
              <w:jc w:val="center"/>
              <w:rPr>
                <w:rFonts w:cs="Arial"/>
                <w:sz w:val="18"/>
                <w:szCs w:val="18"/>
              </w:rPr>
            </w:pPr>
            <w:r w:rsidRPr="004A5BF7">
              <w:rPr>
                <w:rFonts w:cs="Arial"/>
                <w:sz w:val="18"/>
                <w:szCs w:val="18"/>
              </w:rPr>
              <w:t>230</w:t>
            </w:r>
          </w:p>
        </w:tc>
        <w:tc>
          <w:tcPr>
            <w:tcW w:w="291" w:type="pct"/>
            <w:tcBorders>
              <w:top w:val="nil"/>
              <w:left w:val="nil"/>
              <w:bottom w:val="nil"/>
              <w:right w:val="nil"/>
            </w:tcBorders>
            <w:shd w:val="clear" w:color="auto" w:fill="auto"/>
            <w:noWrap/>
            <w:vAlign w:val="center"/>
            <w:hideMark/>
          </w:tcPr>
          <w:p w14:paraId="4DC4AAEA" w14:textId="77777777" w:rsidR="00B66CC3" w:rsidRPr="004A5BF7" w:rsidRDefault="00B66CC3" w:rsidP="00B66CC3">
            <w:pPr>
              <w:spacing w:before="0" w:after="0"/>
              <w:jc w:val="center"/>
              <w:rPr>
                <w:rFonts w:cs="Arial"/>
                <w:sz w:val="18"/>
                <w:szCs w:val="18"/>
              </w:rPr>
            </w:pPr>
            <w:r w:rsidRPr="004A5BF7">
              <w:rPr>
                <w:rFonts w:cs="Arial"/>
                <w:sz w:val="18"/>
                <w:szCs w:val="18"/>
              </w:rPr>
              <w:t>183</w:t>
            </w:r>
          </w:p>
        </w:tc>
        <w:tc>
          <w:tcPr>
            <w:tcW w:w="291" w:type="pct"/>
            <w:tcBorders>
              <w:top w:val="nil"/>
              <w:left w:val="nil"/>
              <w:bottom w:val="nil"/>
              <w:right w:val="nil"/>
            </w:tcBorders>
            <w:shd w:val="clear" w:color="auto" w:fill="auto"/>
            <w:noWrap/>
            <w:vAlign w:val="center"/>
            <w:hideMark/>
          </w:tcPr>
          <w:p w14:paraId="0CDD9EB0" w14:textId="77777777" w:rsidR="00B66CC3" w:rsidRPr="004A5BF7" w:rsidRDefault="00B66CC3" w:rsidP="00B66CC3">
            <w:pPr>
              <w:spacing w:before="0" w:after="0"/>
              <w:jc w:val="center"/>
              <w:rPr>
                <w:rFonts w:cs="Arial"/>
                <w:sz w:val="18"/>
                <w:szCs w:val="18"/>
              </w:rPr>
            </w:pPr>
            <w:r w:rsidRPr="004A5BF7">
              <w:rPr>
                <w:rFonts w:cs="Arial"/>
                <w:sz w:val="18"/>
                <w:szCs w:val="18"/>
              </w:rPr>
              <w:t>251</w:t>
            </w:r>
          </w:p>
        </w:tc>
        <w:tc>
          <w:tcPr>
            <w:tcW w:w="330" w:type="pct"/>
            <w:tcBorders>
              <w:top w:val="nil"/>
              <w:left w:val="nil"/>
              <w:bottom w:val="nil"/>
              <w:right w:val="nil"/>
            </w:tcBorders>
            <w:shd w:val="clear" w:color="auto" w:fill="auto"/>
            <w:noWrap/>
            <w:vAlign w:val="center"/>
            <w:hideMark/>
          </w:tcPr>
          <w:p w14:paraId="2D1D8AF3" w14:textId="77777777" w:rsidR="00B66CC3" w:rsidRPr="004A5BF7" w:rsidRDefault="00B66CC3" w:rsidP="00B66CC3">
            <w:pPr>
              <w:spacing w:before="0" w:after="0"/>
              <w:jc w:val="center"/>
              <w:rPr>
                <w:rFonts w:cs="Arial"/>
                <w:sz w:val="18"/>
                <w:szCs w:val="18"/>
              </w:rPr>
            </w:pPr>
            <w:r w:rsidRPr="004A5BF7">
              <w:rPr>
                <w:rFonts w:cs="Arial"/>
                <w:sz w:val="18"/>
                <w:szCs w:val="18"/>
              </w:rPr>
              <w:t>358</w:t>
            </w:r>
          </w:p>
        </w:tc>
        <w:tc>
          <w:tcPr>
            <w:tcW w:w="291" w:type="pct"/>
            <w:tcBorders>
              <w:top w:val="nil"/>
              <w:left w:val="nil"/>
              <w:bottom w:val="nil"/>
              <w:right w:val="nil"/>
            </w:tcBorders>
            <w:shd w:val="clear" w:color="auto" w:fill="auto"/>
            <w:noWrap/>
            <w:vAlign w:val="center"/>
            <w:hideMark/>
          </w:tcPr>
          <w:p w14:paraId="61684AEA" w14:textId="77777777" w:rsidR="00B66CC3" w:rsidRPr="004A5BF7" w:rsidRDefault="00B66CC3" w:rsidP="00B66CC3">
            <w:pPr>
              <w:spacing w:before="0" w:after="0"/>
              <w:jc w:val="center"/>
              <w:rPr>
                <w:rFonts w:cs="Arial"/>
                <w:sz w:val="18"/>
                <w:szCs w:val="18"/>
              </w:rPr>
            </w:pPr>
            <w:r w:rsidRPr="004A5BF7">
              <w:rPr>
                <w:rFonts w:cs="Arial"/>
                <w:sz w:val="18"/>
                <w:szCs w:val="18"/>
              </w:rPr>
              <w:t>257</w:t>
            </w:r>
          </w:p>
        </w:tc>
        <w:tc>
          <w:tcPr>
            <w:tcW w:w="291" w:type="pct"/>
            <w:tcBorders>
              <w:top w:val="nil"/>
              <w:left w:val="nil"/>
              <w:bottom w:val="nil"/>
              <w:right w:val="nil"/>
            </w:tcBorders>
            <w:shd w:val="clear" w:color="auto" w:fill="auto"/>
            <w:noWrap/>
            <w:vAlign w:val="center"/>
            <w:hideMark/>
          </w:tcPr>
          <w:p w14:paraId="790EED83" w14:textId="77777777" w:rsidR="00B66CC3" w:rsidRPr="004A5BF7" w:rsidRDefault="00B66CC3" w:rsidP="00B66CC3">
            <w:pPr>
              <w:spacing w:before="0" w:after="0"/>
              <w:jc w:val="center"/>
              <w:rPr>
                <w:rFonts w:cs="Arial"/>
                <w:sz w:val="18"/>
                <w:szCs w:val="18"/>
              </w:rPr>
            </w:pPr>
            <w:r w:rsidRPr="004A5BF7">
              <w:rPr>
                <w:rFonts w:cs="Arial"/>
                <w:sz w:val="18"/>
                <w:szCs w:val="18"/>
              </w:rPr>
              <w:t>172</w:t>
            </w:r>
          </w:p>
        </w:tc>
        <w:tc>
          <w:tcPr>
            <w:tcW w:w="291" w:type="pct"/>
            <w:tcBorders>
              <w:top w:val="nil"/>
              <w:left w:val="nil"/>
              <w:bottom w:val="nil"/>
              <w:right w:val="nil"/>
            </w:tcBorders>
            <w:shd w:val="clear" w:color="auto" w:fill="auto"/>
            <w:noWrap/>
            <w:vAlign w:val="center"/>
            <w:hideMark/>
          </w:tcPr>
          <w:p w14:paraId="4CBABA1E" w14:textId="77777777" w:rsidR="00B66CC3" w:rsidRPr="004A5BF7" w:rsidRDefault="00B66CC3" w:rsidP="00B66CC3">
            <w:pPr>
              <w:spacing w:before="0" w:after="0"/>
              <w:jc w:val="center"/>
              <w:rPr>
                <w:rFonts w:cs="Arial"/>
                <w:sz w:val="18"/>
                <w:szCs w:val="18"/>
              </w:rPr>
            </w:pPr>
            <w:r w:rsidRPr="004A5BF7">
              <w:rPr>
                <w:rFonts w:cs="Arial"/>
                <w:sz w:val="18"/>
                <w:szCs w:val="18"/>
              </w:rPr>
              <w:t>308</w:t>
            </w:r>
          </w:p>
        </w:tc>
        <w:tc>
          <w:tcPr>
            <w:tcW w:w="253" w:type="pct"/>
            <w:tcBorders>
              <w:top w:val="nil"/>
              <w:left w:val="nil"/>
              <w:bottom w:val="nil"/>
              <w:right w:val="nil"/>
            </w:tcBorders>
            <w:shd w:val="clear" w:color="auto" w:fill="auto"/>
            <w:noWrap/>
            <w:vAlign w:val="center"/>
            <w:hideMark/>
          </w:tcPr>
          <w:p w14:paraId="3282F0BC" w14:textId="77777777" w:rsidR="00B66CC3" w:rsidRPr="004A5BF7" w:rsidRDefault="00B66CC3" w:rsidP="00B66CC3">
            <w:pPr>
              <w:spacing w:before="0" w:after="0"/>
              <w:jc w:val="center"/>
              <w:rPr>
                <w:rFonts w:cs="Arial"/>
                <w:sz w:val="18"/>
                <w:szCs w:val="18"/>
              </w:rPr>
            </w:pPr>
            <w:r w:rsidRPr="004A5BF7">
              <w:rPr>
                <w:rFonts w:cs="Arial"/>
                <w:sz w:val="18"/>
                <w:szCs w:val="18"/>
              </w:rPr>
              <w:t>123</w:t>
            </w:r>
          </w:p>
        </w:tc>
      </w:tr>
      <w:tr w:rsidR="00B66CC3" w:rsidRPr="00E9409C" w14:paraId="3AFE93B8" w14:textId="77777777" w:rsidTr="00E662D3">
        <w:trPr>
          <w:trHeight w:val="454"/>
          <w:tblHeader/>
        </w:trPr>
        <w:tc>
          <w:tcPr>
            <w:tcW w:w="546" w:type="pct"/>
            <w:tcBorders>
              <w:top w:val="nil"/>
              <w:left w:val="nil"/>
              <w:bottom w:val="nil"/>
              <w:right w:val="nil"/>
            </w:tcBorders>
            <w:shd w:val="clear" w:color="auto" w:fill="auto"/>
            <w:noWrap/>
            <w:vAlign w:val="center"/>
            <w:hideMark/>
          </w:tcPr>
          <w:p w14:paraId="6FF07B85" w14:textId="77777777" w:rsidR="00B66CC3" w:rsidRPr="004A5BF7" w:rsidRDefault="00B66CC3" w:rsidP="004A5BF7">
            <w:pPr>
              <w:spacing w:before="0" w:after="0"/>
              <w:jc w:val="left"/>
              <w:rPr>
                <w:rFonts w:cs="Arial"/>
                <w:sz w:val="18"/>
                <w:szCs w:val="18"/>
              </w:rPr>
            </w:pPr>
            <w:r w:rsidRPr="004A5BF7">
              <w:rPr>
                <w:rFonts w:cs="Arial"/>
                <w:sz w:val="18"/>
                <w:szCs w:val="18"/>
              </w:rPr>
              <w:t>Barron</w:t>
            </w:r>
          </w:p>
        </w:tc>
        <w:tc>
          <w:tcPr>
            <w:tcW w:w="707" w:type="pct"/>
            <w:tcBorders>
              <w:top w:val="nil"/>
              <w:left w:val="nil"/>
              <w:bottom w:val="nil"/>
              <w:right w:val="nil"/>
            </w:tcBorders>
            <w:shd w:val="clear" w:color="auto" w:fill="auto"/>
            <w:noWrap/>
            <w:vAlign w:val="center"/>
            <w:hideMark/>
          </w:tcPr>
          <w:p w14:paraId="77BF8983"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253" w:type="pct"/>
            <w:tcBorders>
              <w:top w:val="nil"/>
              <w:left w:val="nil"/>
              <w:bottom w:val="nil"/>
              <w:right w:val="nil"/>
            </w:tcBorders>
            <w:shd w:val="clear" w:color="auto" w:fill="auto"/>
            <w:noWrap/>
            <w:vAlign w:val="center"/>
            <w:hideMark/>
          </w:tcPr>
          <w:p w14:paraId="0A0B4B86" w14:textId="77777777" w:rsidR="00B66CC3" w:rsidRPr="004A5BF7" w:rsidRDefault="00B66CC3" w:rsidP="00B66CC3">
            <w:pPr>
              <w:spacing w:before="0" w:after="0"/>
              <w:jc w:val="center"/>
              <w:rPr>
                <w:rFonts w:cs="Arial"/>
                <w:sz w:val="18"/>
                <w:szCs w:val="18"/>
              </w:rPr>
            </w:pPr>
            <w:r w:rsidRPr="004A5BF7">
              <w:rPr>
                <w:rFonts w:cs="Arial"/>
                <w:sz w:val="18"/>
                <w:szCs w:val="18"/>
              </w:rPr>
              <w:t>88</w:t>
            </w:r>
          </w:p>
        </w:tc>
        <w:tc>
          <w:tcPr>
            <w:tcW w:w="291" w:type="pct"/>
            <w:tcBorders>
              <w:top w:val="nil"/>
              <w:left w:val="nil"/>
              <w:bottom w:val="nil"/>
              <w:right w:val="nil"/>
            </w:tcBorders>
            <w:shd w:val="clear" w:color="auto" w:fill="auto"/>
            <w:noWrap/>
            <w:vAlign w:val="center"/>
            <w:hideMark/>
          </w:tcPr>
          <w:p w14:paraId="6E5CFA91" w14:textId="77777777" w:rsidR="00B66CC3" w:rsidRPr="004A5BF7" w:rsidRDefault="00B66CC3" w:rsidP="00B66CC3">
            <w:pPr>
              <w:spacing w:before="0" w:after="0"/>
              <w:jc w:val="center"/>
              <w:rPr>
                <w:rFonts w:cs="Arial"/>
                <w:sz w:val="18"/>
                <w:szCs w:val="18"/>
              </w:rPr>
            </w:pPr>
            <w:r w:rsidRPr="004A5BF7">
              <w:rPr>
                <w:rFonts w:cs="Arial"/>
                <w:sz w:val="18"/>
                <w:szCs w:val="18"/>
              </w:rPr>
              <w:t>818</w:t>
            </w:r>
          </w:p>
        </w:tc>
        <w:tc>
          <w:tcPr>
            <w:tcW w:w="291" w:type="pct"/>
            <w:tcBorders>
              <w:top w:val="nil"/>
              <w:left w:val="nil"/>
              <w:bottom w:val="nil"/>
              <w:right w:val="nil"/>
            </w:tcBorders>
            <w:shd w:val="clear" w:color="auto" w:fill="auto"/>
            <w:noWrap/>
            <w:vAlign w:val="center"/>
            <w:hideMark/>
          </w:tcPr>
          <w:p w14:paraId="000570EF" w14:textId="77777777" w:rsidR="00B66CC3" w:rsidRPr="004A5BF7" w:rsidRDefault="00B66CC3" w:rsidP="00B66CC3">
            <w:pPr>
              <w:spacing w:before="0" w:after="0"/>
              <w:jc w:val="center"/>
              <w:rPr>
                <w:rFonts w:cs="Arial"/>
                <w:sz w:val="18"/>
                <w:szCs w:val="18"/>
              </w:rPr>
            </w:pPr>
            <w:r w:rsidRPr="004A5BF7">
              <w:rPr>
                <w:rFonts w:cs="Arial"/>
                <w:sz w:val="18"/>
                <w:szCs w:val="18"/>
              </w:rPr>
              <w:t>265</w:t>
            </w:r>
          </w:p>
        </w:tc>
        <w:tc>
          <w:tcPr>
            <w:tcW w:w="291" w:type="pct"/>
            <w:tcBorders>
              <w:top w:val="nil"/>
              <w:left w:val="nil"/>
              <w:bottom w:val="nil"/>
              <w:right w:val="nil"/>
            </w:tcBorders>
            <w:shd w:val="clear" w:color="auto" w:fill="auto"/>
            <w:noWrap/>
            <w:vAlign w:val="center"/>
            <w:hideMark/>
          </w:tcPr>
          <w:p w14:paraId="6BCA35CC" w14:textId="77777777" w:rsidR="00B66CC3" w:rsidRPr="004A5BF7" w:rsidRDefault="00B66CC3" w:rsidP="00B66CC3">
            <w:pPr>
              <w:spacing w:before="0" w:after="0"/>
              <w:jc w:val="center"/>
              <w:rPr>
                <w:rFonts w:cs="Arial"/>
                <w:sz w:val="18"/>
                <w:szCs w:val="18"/>
              </w:rPr>
            </w:pPr>
            <w:r w:rsidRPr="004A5BF7">
              <w:rPr>
                <w:rFonts w:cs="Arial"/>
                <w:sz w:val="18"/>
                <w:szCs w:val="18"/>
              </w:rPr>
              <w:t>523</w:t>
            </w:r>
          </w:p>
        </w:tc>
        <w:tc>
          <w:tcPr>
            <w:tcW w:w="291" w:type="pct"/>
            <w:tcBorders>
              <w:top w:val="nil"/>
              <w:left w:val="nil"/>
              <w:bottom w:val="nil"/>
              <w:right w:val="nil"/>
            </w:tcBorders>
            <w:shd w:val="clear" w:color="auto" w:fill="auto"/>
            <w:noWrap/>
            <w:vAlign w:val="center"/>
            <w:hideMark/>
          </w:tcPr>
          <w:p w14:paraId="477EBD0F" w14:textId="77777777" w:rsidR="00B66CC3" w:rsidRPr="004A5BF7" w:rsidRDefault="00B66CC3" w:rsidP="00B66CC3">
            <w:pPr>
              <w:spacing w:before="0" w:after="0"/>
              <w:jc w:val="center"/>
              <w:rPr>
                <w:rFonts w:cs="Arial"/>
                <w:sz w:val="18"/>
                <w:szCs w:val="18"/>
              </w:rPr>
            </w:pPr>
            <w:r w:rsidRPr="004A5BF7">
              <w:rPr>
                <w:rFonts w:cs="Arial"/>
                <w:sz w:val="18"/>
                <w:szCs w:val="18"/>
              </w:rPr>
              <w:t>309</w:t>
            </w:r>
          </w:p>
        </w:tc>
        <w:tc>
          <w:tcPr>
            <w:tcW w:w="291" w:type="pct"/>
            <w:tcBorders>
              <w:top w:val="nil"/>
              <w:left w:val="nil"/>
              <w:bottom w:val="nil"/>
              <w:right w:val="nil"/>
            </w:tcBorders>
            <w:shd w:val="clear" w:color="auto" w:fill="auto"/>
            <w:noWrap/>
            <w:vAlign w:val="center"/>
            <w:hideMark/>
          </w:tcPr>
          <w:p w14:paraId="6427CA14" w14:textId="77777777" w:rsidR="00B66CC3" w:rsidRPr="004A5BF7" w:rsidRDefault="00B66CC3" w:rsidP="00B66CC3">
            <w:pPr>
              <w:spacing w:before="0" w:after="0"/>
              <w:jc w:val="center"/>
              <w:rPr>
                <w:rFonts w:cs="Arial"/>
                <w:sz w:val="18"/>
                <w:szCs w:val="18"/>
              </w:rPr>
            </w:pPr>
            <w:r w:rsidRPr="004A5BF7">
              <w:rPr>
                <w:rFonts w:cs="Arial"/>
                <w:sz w:val="18"/>
                <w:szCs w:val="18"/>
              </w:rPr>
              <w:t>1,447</w:t>
            </w:r>
          </w:p>
        </w:tc>
        <w:tc>
          <w:tcPr>
            <w:tcW w:w="291" w:type="pct"/>
            <w:tcBorders>
              <w:top w:val="nil"/>
              <w:left w:val="nil"/>
              <w:bottom w:val="nil"/>
              <w:right w:val="nil"/>
            </w:tcBorders>
            <w:shd w:val="clear" w:color="auto" w:fill="auto"/>
            <w:noWrap/>
            <w:vAlign w:val="center"/>
            <w:hideMark/>
          </w:tcPr>
          <w:p w14:paraId="6580551A" w14:textId="77777777" w:rsidR="00B66CC3" w:rsidRPr="004A5BF7" w:rsidRDefault="00B66CC3" w:rsidP="00B66CC3">
            <w:pPr>
              <w:spacing w:before="0" w:after="0"/>
              <w:jc w:val="center"/>
              <w:rPr>
                <w:rFonts w:cs="Arial"/>
                <w:sz w:val="18"/>
                <w:szCs w:val="18"/>
              </w:rPr>
            </w:pPr>
            <w:r w:rsidRPr="004A5BF7">
              <w:rPr>
                <w:rFonts w:cs="Arial"/>
                <w:sz w:val="18"/>
                <w:szCs w:val="18"/>
              </w:rPr>
              <w:t>640</w:t>
            </w:r>
          </w:p>
        </w:tc>
        <w:tc>
          <w:tcPr>
            <w:tcW w:w="291" w:type="pct"/>
            <w:tcBorders>
              <w:top w:val="nil"/>
              <w:left w:val="nil"/>
              <w:bottom w:val="nil"/>
              <w:right w:val="nil"/>
            </w:tcBorders>
            <w:shd w:val="clear" w:color="auto" w:fill="auto"/>
            <w:noWrap/>
            <w:vAlign w:val="center"/>
            <w:hideMark/>
          </w:tcPr>
          <w:p w14:paraId="074DBF9C" w14:textId="77777777" w:rsidR="00B66CC3" w:rsidRPr="004A5BF7" w:rsidRDefault="00B66CC3" w:rsidP="00B66CC3">
            <w:pPr>
              <w:spacing w:before="0" w:after="0"/>
              <w:jc w:val="center"/>
              <w:rPr>
                <w:rFonts w:cs="Arial"/>
                <w:sz w:val="18"/>
                <w:szCs w:val="18"/>
              </w:rPr>
            </w:pPr>
            <w:r w:rsidRPr="004A5BF7">
              <w:rPr>
                <w:rFonts w:cs="Arial"/>
                <w:sz w:val="18"/>
                <w:szCs w:val="18"/>
              </w:rPr>
              <w:t>430</w:t>
            </w:r>
          </w:p>
        </w:tc>
        <w:tc>
          <w:tcPr>
            <w:tcW w:w="330" w:type="pct"/>
            <w:tcBorders>
              <w:top w:val="nil"/>
              <w:left w:val="nil"/>
              <w:bottom w:val="nil"/>
              <w:right w:val="nil"/>
            </w:tcBorders>
            <w:shd w:val="clear" w:color="auto" w:fill="auto"/>
            <w:noWrap/>
            <w:vAlign w:val="center"/>
            <w:hideMark/>
          </w:tcPr>
          <w:p w14:paraId="4CBC6C22" w14:textId="77777777" w:rsidR="00B66CC3" w:rsidRPr="004A5BF7" w:rsidRDefault="00B66CC3" w:rsidP="00B66CC3">
            <w:pPr>
              <w:spacing w:before="0" w:after="0"/>
              <w:jc w:val="center"/>
              <w:rPr>
                <w:rFonts w:cs="Arial"/>
                <w:sz w:val="18"/>
                <w:szCs w:val="18"/>
              </w:rPr>
            </w:pPr>
            <w:r w:rsidRPr="004A5BF7">
              <w:rPr>
                <w:rFonts w:cs="Arial"/>
                <w:sz w:val="18"/>
                <w:szCs w:val="18"/>
              </w:rPr>
              <w:t>1,753</w:t>
            </w:r>
          </w:p>
        </w:tc>
        <w:tc>
          <w:tcPr>
            <w:tcW w:w="291" w:type="pct"/>
            <w:tcBorders>
              <w:top w:val="nil"/>
              <w:left w:val="nil"/>
              <w:bottom w:val="nil"/>
              <w:right w:val="nil"/>
            </w:tcBorders>
            <w:shd w:val="clear" w:color="auto" w:fill="auto"/>
            <w:noWrap/>
            <w:vAlign w:val="center"/>
            <w:hideMark/>
          </w:tcPr>
          <w:p w14:paraId="738D317C" w14:textId="77777777" w:rsidR="00B66CC3" w:rsidRPr="004A5BF7" w:rsidRDefault="00B66CC3" w:rsidP="00B66CC3">
            <w:pPr>
              <w:spacing w:before="0" w:after="0"/>
              <w:jc w:val="center"/>
              <w:rPr>
                <w:rFonts w:cs="Arial"/>
                <w:sz w:val="18"/>
                <w:szCs w:val="18"/>
              </w:rPr>
            </w:pPr>
            <w:r w:rsidRPr="004A5BF7">
              <w:rPr>
                <w:rFonts w:cs="Arial"/>
                <w:sz w:val="18"/>
                <w:szCs w:val="18"/>
              </w:rPr>
              <w:t>551</w:t>
            </w:r>
          </w:p>
        </w:tc>
        <w:tc>
          <w:tcPr>
            <w:tcW w:w="291" w:type="pct"/>
            <w:tcBorders>
              <w:top w:val="nil"/>
              <w:left w:val="nil"/>
              <w:bottom w:val="nil"/>
              <w:right w:val="nil"/>
            </w:tcBorders>
            <w:shd w:val="clear" w:color="auto" w:fill="auto"/>
            <w:noWrap/>
            <w:vAlign w:val="center"/>
            <w:hideMark/>
          </w:tcPr>
          <w:p w14:paraId="0AB059C9" w14:textId="77777777" w:rsidR="00B66CC3" w:rsidRPr="004A5BF7" w:rsidRDefault="00B66CC3" w:rsidP="00B66CC3">
            <w:pPr>
              <w:spacing w:before="0" w:after="0"/>
              <w:jc w:val="center"/>
              <w:rPr>
                <w:rFonts w:cs="Arial"/>
                <w:sz w:val="18"/>
                <w:szCs w:val="18"/>
              </w:rPr>
            </w:pPr>
            <w:r w:rsidRPr="004A5BF7">
              <w:rPr>
                <w:rFonts w:cs="Arial"/>
                <w:sz w:val="18"/>
                <w:szCs w:val="18"/>
              </w:rPr>
              <w:t>226</w:t>
            </w:r>
          </w:p>
        </w:tc>
        <w:tc>
          <w:tcPr>
            <w:tcW w:w="291" w:type="pct"/>
            <w:tcBorders>
              <w:top w:val="nil"/>
              <w:left w:val="nil"/>
              <w:bottom w:val="nil"/>
              <w:right w:val="nil"/>
            </w:tcBorders>
            <w:shd w:val="clear" w:color="auto" w:fill="auto"/>
            <w:noWrap/>
            <w:vAlign w:val="center"/>
            <w:hideMark/>
          </w:tcPr>
          <w:p w14:paraId="2A7131B0" w14:textId="77777777" w:rsidR="00B66CC3" w:rsidRPr="004A5BF7" w:rsidRDefault="00B66CC3" w:rsidP="00B66CC3">
            <w:pPr>
              <w:spacing w:before="0" w:after="0"/>
              <w:jc w:val="center"/>
              <w:rPr>
                <w:rFonts w:cs="Arial"/>
                <w:sz w:val="18"/>
                <w:szCs w:val="18"/>
              </w:rPr>
            </w:pPr>
            <w:r w:rsidRPr="004A5BF7">
              <w:rPr>
                <w:rFonts w:cs="Arial"/>
                <w:sz w:val="18"/>
                <w:szCs w:val="18"/>
              </w:rPr>
              <w:t>435</w:t>
            </w:r>
          </w:p>
        </w:tc>
        <w:tc>
          <w:tcPr>
            <w:tcW w:w="253" w:type="pct"/>
            <w:tcBorders>
              <w:top w:val="nil"/>
              <w:left w:val="nil"/>
              <w:bottom w:val="nil"/>
              <w:right w:val="nil"/>
            </w:tcBorders>
            <w:shd w:val="clear" w:color="auto" w:fill="auto"/>
            <w:noWrap/>
            <w:vAlign w:val="center"/>
            <w:hideMark/>
          </w:tcPr>
          <w:p w14:paraId="538BF338" w14:textId="77777777" w:rsidR="00B66CC3" w:rsidRPr="004A5BF7" w:rsidRDefault="00B66CC3" w:rsidP="00B66CC3">
            <w:pPr>
              <w:spacing w:before="0" w:after="0"/>
              <w:jc w:val="center"/>
              <w:rPr>
                <w:rFonts w:cs="Arial"/>
                <w:sz w:val="18"/>
                <w:szCs w:val="18"/>
              </w:rPr>
            </w:pPr>
            <w:r w:rsidRPr="004A5BF7">
              <w:rPr>
                <w:rFonts w:cs="Arial"/>
                <w:sz w:val="18"/>
                <w:szCs w:val="18"/>
              </w:rPr>
              <w:t>270</w:t>
            </w:r>
          </w:p>
        </w:tc>
      </w:tr>
      <w:tr w:rsidR="00B66CC3" w:rsidRPr="00E9409C" w14:paraId="45902C86" w14:textId="77777777" w:rsidTr="00E662D3">
        <w:trPr>
          <w:trHeight w:val="454"/>
          <w:tblHeader/>
        </w:trPr>
        <w:tc>
          <w:tcPr>
            <w:tcW w:w="546" w:type="pct"/>
            <w:tcBorders>
              <w:top w:val="nil"/>
              <w:left w:val="nil"/>
              <w:bottom w:val="nil"/>
              <w:right w:val="nil"/>
            </w:tcBorders>
            <w:shd w:val="clear" w:color="auto" w:fill="auto"/>
            <w:noWrap/>
            <w:vAlign w:val="center"/>
            <w:hideMark/>
          </w:tcPr>
          <w:p w14:paraId="5375D4A8" w14:textId="77777777" w:rsidR="00B66CC3" w:rsidRPr="004A5BF7" w:rsidRDefault="00B66CC3" w:rsidP="004A5BF7">
            <w:pPr>
              <w:spacing w:before="0" w:after="0"/>
              <w:jc w:val="left"/>
              <w:rPr>
                <w:rFonts w:cs="Arial"/>
                <w:sz w:val="18"/>
                <w:szCs w:val="18"/>
              </w:rPr>
            </w:pPr>
            <w:r w:rsidRPr="004A5BF7">
              <w:rPr>
                <w:rFonts w:cs="Arial"/>
                <w:sz w:val="18"/>
                <w:szCs w:val="18"/>
              </w:rPr>
              <w:t>Russell-Mulgrave</w:t>
            </w:r>
          </w:p>
        </w:tc>
        <w:tc>
          <w:tcPr>
            <w:tcW w:w="707" w:type="pct"/>
            <w:tcBorders>
              <w:top w:val="nil"/>
              <w:left w:val="nil"/>
              <w:bottom w:val="nil"/>
              <w:right w:val="nil"/>
            </w:tcBorders>
            <w:shd w:val="clear" w:color="auto" w:fill="auto"/>
            <w:noWrap/>
            <w:vAlign w:val="center"/>
            <w:hideMark/>
          </w:tcPr>
          <w:p w14:paraId="6A6C1090"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253" w:type="pct"/>
            <w:tcBorders>
              <w:top w:val="nil"/>
              <w:left w:val="nil"/>
              <w:bottom w:val="nil"/>
              <w:right w:val="nil"/>
            </w:tcBorders>
            <w:shd w:val="clear" w:color="auto" w:fill="auto"/>
            <w:noWrap/>
            <w:vAlign w:val="center"/>
            <w:hideMark/>
          </w:tcPr>
          <w:p w14:paraId="4EC454DB" w14:textId="77777777" w:rsidR="00B66CC3" w:rsidRPr="004A5BF7" w:rsidRDefault="00B66CC3" w:rsidP="00B66CC3">
            <w:pPr>
              <w:spacing w:before="0" w:after="0"/>
              <w:jc w:val="center"/>
              <w:rPr>
                <w:rFonts w:cs="Arial"/>
                <w:sz w:val="18"/>
                <w:szCs w:val="18"/>
              </w:rPr>
            </w:pPr>
            <w:r w:rsidRPr="004A5BF7">
              <w:rPr>
                <w:rFonts w:cs="Arial"/>
                <w:sz w:val="18"/>
                <w:szCs w:val="18"/>
              </w:rPr>
              <w:t>487</w:t>
            </w:r>
          </w:p>
        </w:tc>
        <w:tc>
          <w:tcPr>
            <w:tcW w:w="291" w:type="pct"/>
            <w:tcBorders>
              <w:top w:val="nil"/>
              <w:left w:val="nil"/>
              <w:bottom w:val="nil"/>
              <w:right w:val="nil"/>
            </w:tcBorders>
            <w:shd w:val="clear" w:color="auto" w:fill="auto"/>
            <w:noWrap/>
            <w:vAlign w:val="center"/>
            <w:hideMark/>
          </w:tcPr>
          <w:p w14:paraId="5CF828A7" w14:textId="77777777" w:rsidR="00B66CC3" w:rsidRPr="004A5BF7" w:rsidRDefault="00B66CC3" w:rsidP="00B66CC3">
            <w:pPr>
              <w:spacing w:before="0" w:after="0"/>
              <w:jc w:val="center"/>
              <w:rPr>
                <w:rFonts w:cs="Arial"/>
                <w:sz w:val="18"/>
                <w:szCs w:val="18"/>
              </w:rPr>
            </w:pPr>
            <w:r w:rsidRPr="004A5BF7">
              <w:rPr>
                <w:rFonts w:cs="Arial"/>
                <w:sz w:val="18"/>
                <w:szCs w:val="18"/>
              </w:rPr>
              <w:t>1,932</w:t>
            </w:r>
          </w:p>
        </w:tc>
        <w:tc>
          <w:tcPr>
            <w:tcW w:w="291" w:type="pct"/>
            <w:tcBorders>
              <w:top w:val="nil"/>
              <w:left w:val="nil"/>
              <w:bottom w:val="nil"/>
              <w:right w:val="nil"/>
            </w:tcBorders>
            <w:shd w:val="clear" w:color="auto" w:fill="auto"/>
            <w:noWrap/>
            <w:vAlign w:val="center"/>
            <w:hideMark/>
          </w:tcPr>
          <w:p w14:paraId="373C795E" w14:textId="77777777" w:rsidR="00B66CC3" w:rsidRPr="004A5BF7" w:rsidRDefault="00B66CC3" w:rsidP="00B66CC3">
            <w:pPr>
              <w:spacing w:before="0" w:after="0"/>
              <w:jc w:val="center"/>
              <w:rPr>
                <w:rFonts w:cs="Arial"/>
                <w:sz w:val="18"/>
                <w:szCs w:val="18"/>
              </w:rPr>
            </w:pPr>
            <w:r w:rsidRPr="004A5BF7">
              <w:rPr>
                <w:rFonts w:cs="Arial"/>
                <w:sz w:val="18"/>
                <w:szCs w:val="18"/>
              </w:rPr>
              <w:t>887</w:t>
            </w:r>
          </w:p>
        </w:tc>
        <w:tc>
          <w:tcPr>
            <w:tcW w:w="291" w:type="pct"/>
            <w:tcBorders>
              <w:top w:val="nil"/>
              <w:left w:val="nil"/>
              <w:bottom w:val="nil"/>
              <w:right w:val="nil"/>
            </w:tcBorders>
            <w:shd w:val="clear" w:color="auto" w:fill="auto"/>
            <w:noWrap/>
            <w:vAlign w:val="center"/>
            <w:hideMark/>
          </w:tcPr>
          <w:p w14:paraId="2608D7CD" w14:textId="77777777" w:rsidR="00B66CC3" w:rsidRPr="004A5BF7" w:rsidRDefault="00B66CC3" w:rsidP="00B66CC3">
            <w:pPr>
              <w:spacing w:before="0" w:after="0"/>
              <w:jc w:val="center"/>
              <w:rPr>
                <w:rFonts w:cs="Arial"/>
                <w:sz w:val="18"/>
                <w:szCs w:val="18"/>
              </w:rPr>
            </w:pPr>
            <w:r w:rsidRPr="004A5BF7">
              <w:rPr>
                <w:rFonts w:cs="Arial"/>
                <w:sz w:val="18"/>
                <w:szCs w:val="18"/>
              </w:rPr>
              <w:t>1,461</w:t>
            </w:r>
          </w:p>
        </w:tc>
        <w:tc>
          <w:tcPr>
            <w:tcW w:w="291" w:type="pct"/>
            <w:tcBorders>
              <w:top w:val="nil"/>
              <w:left w:val="nil"/>
              <w:bottom w:val="nil"/>
              <w:right w:val="nil"/>
            </w:tcBorders>
            <w:shd w:val="clear" w:color="auto" w:fill="auto"/>
            <w:noWrap/>
            <w:vAlign w:val="center"/>
            <w:hideMark/>
          </w:tcPr>
          <w:p w14:paraId="3C4BA658" w14:textId="77777777" w:rsidR="00B66CC3" w:rsidRPr="004A5BF7" w:rsidRDefault="00B66CC3" w:rsidP="00B66CC3">
            <w:pPr>
              <w:spacing w:before="0" w:after="0"/>
              <w:jc w:val="center"/>
              <w:rPr>
                <w:rFonts w:cs="Arial"/>
                <w:sz w:val="18"/>
                <w:szCs w:val="18"/>
              </w:rPr>
            </w:pPr>
            <w:r w:rsidRPr="004A5BF7">
              <w:rPr>
                <w:rFonts w:cs="Arial"/>
                <w:sz w:val="18"/>
                <w:szCs w:val="18"/>
              </w:rPr>
              <w:t>1,443</w:t>
            </w:r>
          </w:p>
        </w:tc>
        <w:tc>
          <w:tcPr>
            <w:tcW w:w="291" w:type="pct"/>
            <w:tcBorders>
              <w:top w:val="nil"/>
              <w:left w:val="nil"/>
              <w:bottom w:val="nil"/>
              <w:right w:val="nil"/>
            </w:tcBorders>
            <w:shd w:val="clear" w:color="auto" w:fill="auto"/>
            <w:noWrap/>
            <w:vAlign w:val="center"/>
            <w:hideMark/>
          </w:tcPr>
          <w:p w14:paraId="3D3953C3" w14:textId="77777777" w:rsidR="00B66CC3" w:rsidRPr="004A5BF7" w:rsidRDefault="00B66CC3" w:rsidP="00B66CC3">
            <w:pPr>
              <w:spacing w:before="0" w:after="0"/>
              <w:jc w:val="center"/>
              <w:rPr>
                <w:rFonts w:cs="Arial"/>
                <w:sz w:val="18"/>
                <w:szCs w:val="18"/>
              </w:rPr>
            </w:pPr>
            <w:r w:rsidRPr="004A5BF7">
              <w:rPr>
                <w:rFonts w:cs="Arial"/>
                <w:sz w:val="18"/>
                <w:szCs w:val="18"/>
              </w:rPr>
              <w:t>1,695</w:t>
            </w:r>
          </w:p>
        </w:tc>
        <w:tc>
          <w:tcPr>
            <w:tcW w:w="291" w:type="pct"/>
            <w:tcBorders>
              <w:top w:val="nil"/>
              <w:left w:val="nil"/>
              <w:bottom w:val="nil"/>
              <w:right w:val="nil"/>
            </w:tcBorders>
            <w:shd w:val="clear" w:color="auto" w:fill="auto"/>
            <w:noWrap/>
            <w:vAlign w:val="center"/>
            <w:hideMark/>
          </w:tcPr>
          <w:p w14:paraId="5B4F38DA" w14:textId="77777777" w:rsidR="00B66CC3" w:rsidRPr="004A5BF7" w:rsidRDefault="00B66CC3" w:rsidP="00B66CC3">
            <w:pPr>
              <w:spacing w:before="0" w:after="0"/>
              <w:jc w:val="center"/>
              <w:rPr>
                <w:rFonts w:cs="Arial"/>
                <w:sz w:val="18"/>
                <w:szCs w:val="18"/>
              </w:rPr>
            </w:pPr>
            <w:r w:rsidRPr="004A5BF7">
              <w:rPr>
                <w:rFonts w:cs="Arial"/>
                <w:sz w:val="18"/>
                <w:szCs w:val="18"/>
              </w:rPr>
              <w:t>1,559</w:t>
            </w:r>
          </w:p>
        </w:tc>
        <w:tc>
          <w:tcPr>
            <w:tcW w:w="291" w:type="pct"/>
            <w:tcBorders>
              <w:top w:val="nil"/>
              <w:left w:val="nil"/>
              <w:bottom w:val="nil"/>
              <w:right w:val="nil"/>
            </w:tcBorders>
            <w:shd w:val="clear" w:color="auto" w:fill="auto"/>
            <w:noWrap/>
            <w:vAlign w:val="center"/>
            <w:hideMark/>
          </w:tcPr>
          <w:p w14:paraId="0944FB4F" w14:textId="77777777" w:rsidR="00B66CC3" w:rsidRPr="004A5BF7" w:rsidRDefault="00B66CC3" w:rsidP="00B66CC3">
            <w:pPr>
              <w:spacing w:before="0" w:after="0"/>
              <w:jc w:val="center"/>
              <w:rPr>
                <w:rFonts w:cs="Arial"/>
                <w:sz w:val="18"/>
                <w:szCs w:val="18"/>
              </w:rPr>
            </w:pPr>
            <w:r w:rsidRPr="004A5BF7">
              <w:rPr>
                <w:rFonts w:cs="Arial"/>
                <w:sz w:val="18"/>
                <w:szCs w:val="18"/>
              </w:rPr>
              <w:t>1,420</w:t>
            </w:r>
          </w:p>
        </w:tc>
        <w:tc>
          <w:tcPr>
            <w:tcW w:w="330" w:type="pct"/>
            <w:tcBorders>
              <w:top w:val="nil"/>
              <w:left w:val="nil"/>
              <w:bottom w:val="nil"/>
              <w:right w:val="nil"/>
            </w:tcBorders>
            <w:shd w:val="clear" w:color="auto" w:fill="auto"/>
            <w:noWrap/>
            <w:vAlign w:val="center"/>
            <w:hideMark/>
          </w:tcPr>
          <w:p w14:paraId="3669BFB2" w14:textId="77777777" w:rsidR="00B66CC3" w:rsidRPr="004A5BF7" w:rsidRDefault="00B66CC3" w:rsidP="00B66CC3">
            <w:pPr>
              <w:spacing w:before="0" w:after="0"/>
              <w:jc w:val="center"/>
              <w:rPr>
                <w:rFonts w:cs="Arial"/>
                <w:sz w:val="18"/>
                <w:szCs w:val="18"/>
              </w:rPr>
            </w:pPr>
            <w:r w:rsidRPr="004A5BF7">
              <w:rPr>
                <w:rFonts w:cs="Arial"/>
                <w:sz w:val="18"/>
                <w:szCs w:val="18"/>
              </w:rPr>
              <w:t>2,608</w:t>
            </w:r>
          </w:p>
        </w:tc>
        <w:tc>
          <w:tcPr>
            <w:tcW w:w="291" w:type="pct"/>
            <w:tcBorders>
              <w:top w:val="nil"/>
              <w:left w:val="nil"/>
              <w:bottom w:val="nil"/>
              <w:right w:val="nil"/>
            </w:tcBorders>
            <w:shd w:val="clear" w:color="auto" w:fill="auto"/>
            <w:noWrap/>
            <w:vAlign w:val="center"/>
            <w:hideMark/>
          </w:tcPr>
          <w:p w14:paraId="11EBD9C5" w14:textId="77777777" w:rsidR="00B66CC3" w:rsidRPr="004A5BF7" w:rsidRDefault="00B66CC3" w:rsidP="00B66CC3">
            <w:pPr>
              <w:spacing w:before="0" w:after="0"/>
              <w:jc w:val="center"/>
              <w:rPr>
                <w:rFonts w:cs="Arial"/>
                <w:sz w:val="18"/>
                <w:szCs w:val="18"/>
              </w:rPr>
            </w:pPr>
            <w:r w:rsidRPr="004A5BF7">
              <w:rPr>
                <w:rFonts w:cs="Arial"/>
                <w:sz w:val="18"/>
                <w:szCs w:val="18"/>
              </w:rPr>
              <w:t>1,568</w:t>
            </w:r>
          </w:p>
        </w:tc>
        <w:tc>
          <w:tcPr>
            <w:tcW w:w="291" w:type="pct"/>
            <w:tcBorders>
              <w:top w:val="nil"/>
              <w:left w:val="nil"/>
              <w:bottom w:val="nil"/>
              <w:right w:val="nil"/>
            </w:tcBorders>
            <w:shd w:val="clear" w:color="auto" w:fill="auto"/>
            <w:noWrap/>
            <w:vAlign w:val="center"/>
            <w:hideMark/>
          </w:tcPr>
          <w:p w14:paraId="200E26B2" w14:textId="77777777" w:rsidR="00B66CC3" w:rsidRPr="004A5BF7" w:rsidRDefault="00B66CC3" w:rsidP="00B66CC3">
            <w:pPr>
              <w:spacing w:before="0" w:after="0"/>
              <w:jc w:val="center"/>
              <w:rPr>
                <w:rFonts w:cs="Arial"/>
                <w:sz w:val="18"/>
                <w:szCs w:val="18"/>
              </w:rPr>
            </w:pPr>
            <w:r w:rsidRPr="004A5BF7">
              <w:rPr>
                <w:rFonts w:cs="Arial"/>
                <w:sz w:val="18"/>
                <w:szCs w:val="18"/>
              </w:rPr>
              <w:t>691</w:t>
            </w:r>
          </w:p>
        </w:tc>
        <w:tc>
          <w:tcPr>
            <w:tcW w:w="291" w:type="pct"/>
            <w:tcBorders>
              <w:top w:val="nil"/>
              <w:left w:val="nil"/>
              <w:bottom w:val="nil"/>
              <w:right w:val="nil"/>
            </w:tcBorders>
            <w:shd w:val="clear" w:color="auto" w:fill="auto"/>
            <w:noWrap/>
            <w:vAlign w:val="center"/>
            <w:hideMark/>
          </w:tcPr>
          <w:p w14:paraId="59EF431E" w14:textId="77777777" w:rsidR="00B66CC3" w:rsidRPr="004A5BF7" w:rsidRDefault="00B66CC3" w:rsidP="00B66CC3">
            <w:pPr>
              <w:spacing w:before="0" w:after="0"/>
              <w:jc w:val="center"/>
              <w:rPr>
                <w:rFonts w:cs="Arial"/>
                <w:sz w:val="18"/>
                <w:szCs w:val="18"/>
              </w:rPr>
            </w:pPr>
            <w:r w:rsidRPr="004A5BF7">
              <w:rPr>
                <w:rFonts w:cs="Arial"/>
                <w:sz w:val="18"/>
                <w:szCs w:val="18"/>
              </w:rPr>
              <w:t>1,515</w:t>
            </w:r>
          </w:p>
        </w:tc>
        <w:tc>
          <w:tcPr>
            <w:tcW w:w="253" w:type="pct"/>
            <w:tcBorders>
              <w:top w:val="nil"/>
              <w:left w:val="nil"/>
              <w:bottom w:val="nil"/>
              <w:right w:val="nil"/>
            </w:tcBorders>
            <w:shd w:val="clear" w:color="auto" w:fill="auto"/>
            <w:noWrap/>
            <w:vAlign w:val="center"/>
            <w:hideMark/>
          </w:tcPr>
          <w:p w14:paraId="4AEEC88A" w14:textId="77777777" w:rsidR="00B66CC3" w:rsidRPr="004A5BF7" w:rsidRDefault="00B66CC3" w:rsidP="00B66CC3">
            <w:pPr>
              <w:spacing w:before="0" w:after="0"/>
              <w:jc w:val="center"/>
              <w:rPr>
                <w:rFonts w:cs="Arial"/>
                <w:sz w:val="18"/>
                <w:szCs w:val="18"/>
              </w:rPr>
            </w:pPr>
            <w:r w:rsidRPr="004A5BF7">
              <w:rPr>
                <w:rFonts w:cs="Arial"/>
                <w:sz w:val="18"/>
                <w:szCs w:val="18"/>
              </w:rPr>
              <w:t>773</w:t>
            </w:r>
          </w:p>
        </w:tc>
      </w:tr>
      <w:tr w:rsidR="00B66CC3" w:rsidRPr="00E9409C" w14:paraId="2F4E2027" w14:textId="77777777" w:rsidTr="00E662D3">
        <w:trPr>
          <w:trHeight w:val="454"/>
          <w:tblHeader/>
        </w:trPr>
        <w:tc>
          <w:tcPr>
            <w:tcW w:w="546" w:type="pct"/>
            <w:tcBorders>
              <w:top w:val="nil"/>
              <w:left w:val="nil"/>
              <w:bottom w:val="nil"/>
              <w:right w:val="nil"/>
            </w:tcBorders>
            <w:shd w:val="clear" w:color="auto" w:fill="auto"/>
            <w:noWrap/>
            <w:vAlign w:val="center"/>
            <w:hideMark/>
          </w:tcPr>
          <w:p w14:paraId="4708FB14" w14:textId="77777777" w:rsidR="00B66CC3" w:rsidRPr="004A5BF7" w:rsidRDefault="00B66CC3" w:rsidP="004A5BF7">
            <w:pPr>
              <w:spacing w:before="0" w:after="0"/>
              <w:jc w:val="left"/>
              <w:rPr>
                <w:rFonts w:cs="Arial"/>
                <w:sz w:val="18"/>
                <w:szCs w:val="18"/>
              </w:rPr>
            </w:pPr>
            <w:r w:rsidRPr="004A5BF7">
              <w:rPr>
                <w:rFonts w:cs="Arial"/>
                <w:sz w:val="18"/>
                <w:szCs w:val="18"/>
              </w:rPr>
              <w:t>Johnstone</w:t>
            </w:r>
          </w:p>
        </w:tc>
        <w:tc>
          <w:tcPr>
            <w:tcW w:w="707" w:type="pct"/>
            <w:tcBorders>
              <w:top w:val="nil"/>
              <w:left w:val="nil"/>
              <w:bottom w:val="nil"/>
              <w:right w:val="nil"/>
            </w:tcBorders>
            <w:shd w:val="clear" w:color="auto" w:fill="auto"/>
            <w:noWrap/>
            <w:vAlign w:val="center"/>
            <w:hideMark/>
          </w:tcPr>
          <w:p w14:paraId="3E950568"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253" w:type="pct"/>
            <w:tcBorders>
              <w:top w:val="nil"/>
              <w:left w:val="nil"/>
              <w:bottom w:val="nil"/>
              <w:right w:val="nil"/>
            </w:tcBorders>
            <w:shd w:val="clear" w:color="auto" w:fill="auto"/>
            <w:noWrap/>
            <w:vAlign w:val="center"/>
            <w:hideMark/>
          </w:tcPr>
          <w:p w14:paraId="75FD4A22" w14:textId="77777777" w:rsidR="00B66CC3" w:rsidRPr="004A5BF7" w:rsidRDefault="00B66CC3" w:rsidP="00B66CC3">
            <w:pPr>
              <w:spacing w:before="0" w:after="0"/>
              <w:jc w:val="center"/>
              <w:rPr>
                <w:rFonts w:cs="Arial"/>
                <w:sz w:val="18"/>
                <w:szCs w:val="18"/>
              </w:rPr>
            </w:pPr>
            <w:r w:rsidRPr="004A5BF7">
              <w:rPr>
                <w:rFonts w:cs="Arial"/>
                <w:sz w:val="18"/>
                <w:szCs w:val="18"/>
              </w:rPr>
              <w:t>494</w:t>
            </w:r>
          </w:p>
        </w:tc>
        <w:tc>
          <w:tcPr>
            <w:tcW w:w="291" w:type="pct"/>
            <w:tcBorders>
              <w:top w:val="nil"/>
              <w:left w:val="nil"/>
              <w:bottom w:val="nil"/>
              <w:right w:val="nil"/>
            </w:tcBorders>
            <w:shd w:val="clear" w:color="auto" w:fill="auto"/>
            <w:noWrap/>
            <w:vAlign w:val="center"/>
            <w:hideMark/>
          </w:tcPr>
          <w:p w14:paraId="1111F503" w14:textId="77777777" w:rsidR="00B66CC3" w:rsidRPr="004A5BF7" w:rsidRDefault="00B66CC3" w:rsidP="00B66CC3">
            <w:pPr>
              <w:spacing w:before="0" w:after="0"/>
              <w:jc w:val="center"/>
              <w:rPr>
                <w:rFonts w:cs="Arial"/>
                <w:sz w:val="18"/>
                <w:szCs w:val="18"/>
              </w:rPr>
            </w:pPr>
            <w:r w:rsidRPr="004A5BF7">
              <w:rPr>
                <w:rFonts w:cs="Arial"/>
                <w:sz w:val="18"/>
                <w:szCs w:val="18"/>
              </w:rPr>
              <w:t>1,937</w:t>
            </w:r>
          </w:p>
        </w:tc>
        <w:tc>
          <w:tcPr>
            <w:tcW w:w="291" w:type="pct"/>
            <w:tcBorders>
              <w:top w:val="nil"/>
              <w:left w:val="nil"/>
              <w:bottom w:val="nil"/>
              <w:right w:val="nil"/>
            </w:tcBorders>
            <w:shd w:val="clear" w:color="auto" w:fill="auto"/>
            <w:noWrap/>
            <w:vAlign w:val="center"/>
            <w:hideMark/>
          </w:tcPr>
          <w:p w14:paraId="78F134E6" w14:textId="77777777" w:rsidR="00B66CC3" w:rsidRPr="004A5BF7" w:rsidRDefault="00B66CC3" w:rsidP="00B66CC3">
            <w:pPr>
              <w:spacing w:before="0" w:after="0"/>
              <w:jc w:val="center"/>
              <w:rPr>
                <w:rFonts w:cs="Arial"/>
                <w:sz w:val="18"/>
                <w:szCs w:val="18"/>
              </w:rPr>
            </w:pPr>
            <w:r w:rsidRPr="004A5BF7">
              <w:rPr>
                <w:rFonts w:cs="Arial"/>
                <w:sz w:val="18"/>
                <w:szCs w:val="18"/>
              </w:rPr>
              <w:t>1,171</w:t>
            </w:r>
          </w:p>
        </w:tc>
        <w:tc>
          <w:tcPr>
            <w:tcW w:w="291" w:type="pct"/>
            <w:tcBorders>
              <w:top w:val="nil"/>
              <w:left w:val="nil"/>
              <w:bottom w:val="nil"/>
              <w:right w:val="nil"/>
            </w:tcBorders>
            <w:shd w:val="clear" w:color="auto" w:fill="auto"/>
            <w:noWrap/>
            <w:vAlign w:val="center"/>
            <w:hideMark/>
          </w:tcPr>
          <w:p w14:paraId="58876054" w14:textId="77777777" w:rsidR="00B66CC3" w:rsidRPr="004A5BF7" w:rsidRDefault="00B66CC3" w:rsidP="00B66CC3">
            <w:pPr>
              <w:spacing w:before="0" w:after="0"/>
              <w:jc w:val="center"/>
              <w:rPr>
                <w:rFonts w:cs="Arial"/>
                <w:sz w:val="18"/>
                <w:szCs w:val="18"/>
              </w:rPr>
            </w:pPr>
            <w:r w:rsidRPr="004A5BF7">
              <w:rPr>
                <w:rFonts w:cs="Arial"/>
                <w:sz w:val="18"/>
                <w:szCs w:val="18"/>
              </w:rPr>
              <w:t>2,037</w:t>
            </w:r>
          </w:p>
        </w:tc>
        <w:tc>
          <w:tcPr>
            <w:tcW w:w="291" w:type="pct"/>
            <w:tcBorders>
              <w:top w:val="nil"/>
              <w:left w:val="nil"/>
              <w:bottom w:val="nil"/>
              <w:right w:val="nil"/>
            </w:tcBorders>
            <w:shd w:val="clear" w:color="auto" w:fill="auto"/>
            <w:noWrap/>
            <w:vAlign w:val="center"/>
            <w:hideMark/>
          </w:tcPr>
          <w:p w14:paraId="5C874B42" w14:textId="77777777" w:rsidR="00B66CC3" w:rsidRPr="004A5BF7" w:rsidRDefault="00B66CC3" w:rsidP="00B66CC3">
            <w:pPr>
              <w:spacing w:before="0" w:after="0"/>
              <w:jc w:val="center"/>
              <w:rPr>
                <w:rFonts w:cs="Arial"/>
                <w:sz w:val="18"/>
                <w:szCs w:val="18"/>
              </w:rPr>
            </w:pPr>
            <w:r w:rsidRPr="004A5BF7">
              <w:rPr>
                <w:rFonts w:cs="Arial"/>
                <w:sz w:val="18"/>
                <w:szCs w:val="18"/>
              </w:rPr>
              <w:t>2,080</w:t>
            </w:r>
          </w:p>
        </w:tc>
        <w:tc>
          <w:tcPr>
            <w:tcW w:w="291" w:type="pct"/>
            <w:tcBorders>
              <w:top w:val="nil"/>
              <w:left w:val="nil"/>
              <w:bottom w:val="nil"/>
              <w:right w:val="nil"/>
            </w:tcBorders>
            <w:shd w:val="clear" w:color="auto" w:fill="auto"/>
            <w:noWrap/>
            <w:vAlign w:val="center"/>
            <w:hideMark/>
          </w:tcPr>
          <w:p w14:paraId="4D5F0D86" w14:textId="77777777" w:rsidR="00B66CC3" w:rsidRPr="004A5BF7" w:rsidRDefault="00B66CC3" w:rsidP="00B66CC3">
            <w:pPr>
              <w:spacing w:before="0" w:after="0"/>
              <w:jc w:val="center"/>
              <w:rPr>
                <w:rFonts w:cs="Arial"/>
                <w:sz w:val="18"/>
                <w:szCs w:val="18"/>
              </w:rPr>
            </w:pPr>
            <w:r w:rsidRPr="004A5BF7">
              <w:rPr>
                <w:rFonts w:cs="Arial"/>
                <w:sz w:val="18"/>
                <w:szCs w:val="18"/>
              </w:rPr>
              <w:t>2,119</w:t>
            </w:r>
          </w:p>
        </w:tc>
        <w:tc>
          <w:tcPr>
            <w:tcW w:w="291" w:type="pct"/>
            <w:tcBorders>
              <w:top w:val="nil"/>
              <w:left w:val="nil"/>
              <w:bottom w:val="nil"/>
              <w:right w:val="nil"/>
            </w:tcBorders>
            <w:shd w:val="clear" w:color="auto" w:fill="auto"/>
            <w:noWrap/>
            <w:vAlign w:val="center"/>
            <w:hideMark/>
          </w:tcPr>
          <w:p w14:paraId="5296B2C2" w14:textId="77777777" w:rsidR="00B66CC3" w:rsidRPr="004A5BF7" w:rsidRDefault="00B66CC3" w:rsidP="00B66CC3">
            <w:pPr>
              <w:spacing w:before="0" w:after="0"/>
              <w:jc w:val="center"/>
              <w:rPr>
                <w:rFonts w:cs="Arial"/>
                <w:sz w:val="18"/>
                <w:szCs w:val="18"/>
              </w:rPr>
            </w:pPr>
            <w:r w:rsidRPr="004A5BF7">
              <w:rPr>
                <w:rFonts w:cs="Arial"/>
                <w:sz w:val="18"/>
                <w:szCs w:val="18"/>
              </w:rPr>
              <w:t>2,381</w:t>
            </w:r>
          </w:p>
        </w:tc>
        <w:tc>
          <w:tcPr>
            <w:tcW w:w="291" w:type="pct"/>
            <w:tcBorders>
              <w:top w:val="nil"/>
              <w:left w:val="nil"/>
              <w:bottom w:val="nil"/>
              <w:right w:val="nil"/>
            </w:tcBorders>
            <w:shd w:val="clear" w:color="auto" w:fill="auto"/>
            <w:noWrap/>
            <w:vAlign w:val="center"/>
            <w:hideMark/>
          </w:tcPr>
          <w:p w14:paraId="7A549796" w14:textId="77777777" w:rsidR="00B66CC3" w:rsidRPr="004A5BF7" w:rsidRDefault="00B66CC3" w:rsidP="00B66CC3">
            <w:pPr>
              <w:spacing w:before="0" w:after="0"/>
              <w:jc w:val="center"/>
              <w:rPr>
                <w:rFonts w:cs="Arial"/>
                <w:sz w:val="18"/>
                <w:szCs w:val="18"/>
              </w:rPr>
            </w:pPr>
            <w:r w:rsidRPr="004A5BF7">
              <w:rPr>
                <w:rFonts w:cs="Arial"/>
                <w:sz w:val="18"/>
                <w:szCs w:val="18"/>
              </w:rPr>
              <w:t>1,729</w:t>
            </w:r>
          </w:p>
        </w:tc>
        <w:tc>
          <w:tcPr>
            <w:tcW w:w="330" w:type="pct"/>
            <w:tcBorders>
              <w:top w:val="nil"/>
              <w:left w:val="nil"/>
              <w:bottom w:val="nil"/>
              <w:right w:val="nil"/>
            </w:tcBorders>
            <w:shd w:val="clear" w:color="auto" w:fill="auto"/>
            <w:noWrap/>
            <w:vAlign w:val="center"/>
            <w:hideMark/>
          </w:tcPr>
          <w:p w14:paraId="1A4850E7" w14:textId="77777777" w:rsidR="00B66CC3" w:rsidRPr="004A5BF7" w:rsidRDefault="00B66CC3" w:rsidP="00B66CC3">
            <w:pPr>
              <w:spacing w:before="0" w:after="0"/>
              <w:jc w:val="center"/>
              <w:rPr>
                <w:rFonts w:cs="Arial"/>
                <w:sz w:val="18"/>
                <w:szCs w:val="18"/>
              </w:rPr>
            </w:pPr>
            <w:r w:rsidRPr="004A5BF7">
              <w:rPr>
                <w:rFonts w:cs="Arial"/>
                <w:sz w:val="18"/>
                <w:szCs w:val="18"/>
              </w:rPr>
              <w:t>4,187</w:t>
            </w:r>
          </w:p>
        </w:tc>
        <w:tc>
          <w:tcPr>
            <w:tcW w:w="291" w:type="pct"/>
            <w:tcBorders>
              <w:top w:val="nil"/>
              <w:left w:val="nil"/>
              <w:bottom w:val="nil"/>
              <w:right w:val="nil"/>
            </w:tcBorders>
            <w:shd w:val="clear" w:color="auto" w:fill="auto"/>
            <w:noWrap/>
            <w:vAlign w:val="center"/>
            <w:hideMark/>
          </w:tcPr>
          <w:p w14:paraId="635467B0" w14:textId="77777777" w:rsidR="00B66CC3" w:rsidRPr="004A5BF7" w:rsidRDefault="00B66CC3" w:rsidP="00B66CC3">
            <w:pPr>
              <w:spacing w:before="0" w:after="0"/>
              <w:jc w:val="center"/>
              <w:rPr>
                <w:rFonts w:cs="Arial"/>
                <w:sz w:val="18"/>
                <w:szCs w:val="18"/>
              </w:rPr>
            </w:pPr>
            <w:r w:rsidRPr="004A5BF7">
              <w:rPr>
                <w:rFonts w:cs="Arial"/>
                <w:sz w:val="18"/>
                <w:szCs w:val="18"/>
              </w:rPr>
              <w:t>1,955</w:t>
            </w:r>
          </w:p>
        </w:tc>
        <w:tc>
          <w:tcPr>
            <w:tcW w:w="291" w:type="pct"/>
            <w:tcBorders>
              <w:top w:val="nil"/>
              <w:left w:val="nil"/>
              <w:bottom w:val="nil"/>
              <w:right w:val="nil"/>
            </w:tcBorders>
            <w:shd w:val="clear" w:color="auto" w:fill="auto"/>
            <w:noWrap/>
            <w:vAlign w:val="center"/>
            <w:hideMark/>
          </w:tcPr>
          <w:p w14:paraId="381AA680" w14:textId="77777777" w:rsidR="00B66CC3" w:rsidRPr="004A5BF7" w:rsidRDefault="00B66CC3" w:rsidP="00B66CC3">
            <w:pPr>
              <w:spacing w:before="0" w:after="0"/>
              <w:jc w:val="center"/>
              <w:rPr>
                <w:rFonts w:cs="Arial"/>
                <w:sz w:val="18"/>
                <w:szCs w:val="18"/>
              </w:rPr>
            </w:pPr>
            <w:r w:rsidRPr="004A5BF7">
              <w:rPr>
                <w:rFonts w:cs="Arial"/>
                <w:sz w:val="18"/>
                <w:szCs w:val="18"/>
              </w:rPr>
              <w:t>1,019</w:t>
            </w:r>
          </w:p>
        </w:tc>
        <w:tc>
          <w:tcPr>
            <w:tcW w:w="291" w:type="pct"/>
            <w:tcBorders>
              <w:top w:val="nil"/>
              <w:left w:val="nil"/>
              <w:bottom w:val="nil"/>
              <w:right w:val="nil"/>
            </w:tcBorders>
            <w:shd w:val="clear" w:color="auto" w:fill="auto"/>
            <w:noWrap/>
            <w:vAlign w:val="center"/>
            <w:hideMark/>
          </w:tcPr>
          <w:p w14:paraId="717254FD" w14:textId="77777777" w:rsidR="00B66CC3" w:rsidRPr="004A5BF7" w:rsidRDefault="00B66CC3" w:rsidP="00B66CC3">
            <w:pPr>
              <w:spacing w:before="0" w:after="0"/>
              <w:jc w:val="center"/>
              <w:rPr>
                <w:rFonts w:cs="Arial"/>
                <w:sz w:val="18"/>
                <w:szCs w:val="18"/>
              </w:rPr>
            </w:pPr>
            <w:r w:rsidRPr="004A5BF7">
              <w:rPr>
                <w:rFonts w:cs="Arial"/>
                <w:sz w:val="18"/>
                <w:szCs w:val="18"/>
              </w:rPr>
              <w:t>1,946</w:t>
            </w:r>
          </w:p>
        </w:tc>
        <w:tc>
          <w:tcPr>
            <w:tcW w:w="253" w:type="pct"/>
            <w:tcBorders>
              <w:top w:val="nil"/>
              <w:left w:val="nil"/>
              <w:bottom w:val="nil"/>
              <w:right w:val="nil"/>
            </w:tcBorders>
            <w:shd w:val="clear" w:color="auto" w:fill="auto"/>
            <w:noWrap/>
            <w:vAlign w:val="center"/>
            <w:hideMark/>
          </w:tcPr>
          <w:p w14:paraId="4A335B9B" w14:textId="77777777" w:rsidR="00B66CC3" w:rsidRPr="004A5BF7" w:rsidRDefault="00B66CC3" w:rsidP="00B66CC3">
            <w:pPr>
              <w:spacing w:before="0" w:after="0"/>
              <w:jc w:val="center"/>
              <w:rPr>
                <w:rFonts w:cs="Arial"/>
                <w:sz w:val="18"/>
                <w:szCs w:val="18"/>
              </w:rPr>
            </w:pPr>
            <w:r w:rsidRPr="004A5BF7">
              <w:rPr>
                <w:rFonts w:cs="Arial"/>
                <w:sz w:val="18"/>
                <w:szCs w:val="18"/>
              </w:rPr>
              <w:t>943</w:t>
            </w:r>
          </w:p>
        </w:tc>
      </w:tr>
      <w:tr w:rsidR="00B66CC3" w:rsidRPr="00E9409C" w14:paraId="0DEFA301" w14:textId="77777777" w:rsidTr="00E662D3">
        <w:trPr>
          <w:trHeight w:val="454"/>
          <w:tblHeader/>
        </w:trPr>
        <w:tc>
          <w:tcPr>
            <w:tcW w:w="546" w:type="pct"/>
            <w:tcBorders>
              <w:top w:val="nil"/>
              <w:left w:val="nil"/>
              <w:bottom w:val="nil"/>
              <w:right w:val="nil"/>
            </w:tcBorders>
            <w:shd w:val="clear" w:color="auto" w:fill="auto"/>
            <w:noWrap/>
            <w:vAlign w:val="center"/>
            <w:hideMark/>
          </w:tcPr>
          <w:p w14:paraId="63343FA6" w14:textId="77777777" w:rsidR="00B66CC3" w:rsidRPr="004A5BF7" w:rsidRDefault="00B66CC3" w:rsidP="004A5BF7">
            <w:pPr>
              <w:spacing w:before="0" w:after="0"/>
              <w:jc w:val="left"/>
              <w:rPr>
                <w:rFonts w:cs="Arial"/>
                <w:sz w:val="18"/>
                <w:szCs w:val="18"/>
              </w:rPr>
            </w:pPr>
            <w:r w:rsidRPr="004A5BF7">
              <w:rPr>
                <w:rFonts w:cs="Arial"/>
                <w:sz w:val="18"/>
                <w:szCs w:val="18"/>
              </w:rPr>
              <w:t>Tully-Murray</w:t>
            </w:r>
          </w:p>
        </w:tc>
        <w:tc>
          <w:tcPr>
            <w:tcW w:w="707" w:type="pct"/>
            <w:tcBorders>
              <w:top w:val="nil"/>
              <w:left w:val="nil"/>
              <w:bottom w:val="nil"/>
              <w:right w:val="nil"/>
            </w:tcBorders>
            <w:shd w:val="clear" w:color="auto" w:fill="auto"/>
            <w:noWrap/>
            <w:vAlign w:val="center"/>
            <w:hideMark/>
          </w:tcPr>
          <w:p w14:paraId="667AA815"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253" w:type="pct"/>
            <w:tcBorders>
              <w:top w:val="nil"/>
              <w:left w:val="nil"/>
              <w:bottom w:val="nil"/>
              <w:right w:val="nil"/>
            </w:tcBorders>
            <w:shd w:val="clear" w:color="auto" w:fill="auto"/>
            <w:noWrap/>
            <w:vAlign w:val="center"/>
            <w:hideMark/>
          </w:tcPr>
          <w:p w14:paraId="0A8F133C" w14:textId="77777777" w:rsidR="00B66CC3" w:rsidRPr="004A5BF7" w:rsidRDefault="00B66CC3" w:rsidP="00B66CC3">
            <w:pPr>
              <w:spacing w:before="0" w:after="0"/>
              <w:jc w:val="center"/>
              <w:rPr>
                <w:rFonts w:cs="Arial"/>
                <w:sz w:val="18"/>
                <w:szCs w:val="18"/>
              </w:rPr>
            </w:pPr>
            <w:r w:rsidRPr="004A5BF7">
              <w:rPr>
                <w:rFonts w:cs="Arial"/>
                <w:sz w:val="18"/>
                <w:szCs w:val="18"/>
              </w:rPr>
              <w:t>657</w:t>
            </w:r>
          </w:p>
        </w:tc>
        <w:tc>
          <w:tcPr>
            <w:tcW w:w="291" w:type="pct"/>
            <w:tcBorders>
              <w:top w:val="nil"/>
              <w:left w:val="nil"/>
              <w:bottom w:val="nil"/>
              <w:right w:val="nil"/>
            </w:tcBorders>
            <w:shd w:val="clear" w:color="auto" w:fill="auto"/>
            <w:noWrap/>
            <w:vAlign w:val="center"/>
            <w:hideMark/>
          </w:tcPr>
          <w:p w14:paraId="2DE1A3F6" w14:textId="77777777" w:rsidR="00B66CC3" w:rsidRPr="004A5BF7" w:rsidRDefault="00B66CC3" w:rsidP="00B66CC3">
            <w:pPr>
              <w:spacing w:before="0" w:after="0"/>
              <w:jc w:val="center"/>
              <w:rPr>
                <w:rFonts w:cs="Arial"/>
                <w:sz w:val="18"/>
                <w:szCs w:val="18"/>
              </w:rPr>
            </w:pPr>
            <w:r w:rsidRPr="004A5BF7">
              <w:rPr>
                <w:rFonts w:cs="Arial"/>
                <w:sz w:val="18"/>
                <w:szCs w:val="18"/>
              </w:rPr>
              <w:t>2,535</w:t>
            </w:r>
          </w:p>
        </w:tc>
        <w:tc>
          <w:tcPr>
            <w:tcW w:w="291" w:type="pct"/>
            <w:tcBorders>
              <w:top w:val="nil"/>
              <w:left w:val="nil"/>
              <w:bottom w:val="nil"/>
              <w:right w:val="nil"/>
            </w:tcBorders>
            <w:shd w:val="clear" w:color="auto" w:fill="auto"/>
            <w:noWrap/>
            <w:vAlign w:val="center"/>
            <w:hideMark/>
          </w:tcPr>
          <w:p w14:paraId="445BF2ED" w14:textId="77777777" w:rsidR="00B66CC3" w:rsidRPr="004A5BF7" w:rsidRDefault="00B66CC3" w:rsidP="00B66CC3">
            <w:pPr>
              <w:spacing w:before="0" w:after="0"/>
              <w:jc w:val="center"/>
              <w:rPr>
                <w:rFonts w:cs="Arial"/>
                <w:sz w:val="18"/>
                <w:szCs w:val="18"/>
              </w:rPr>
            </w:pPr>
            <w:r w:rsidRPr="004A5BF7">
              <w:rPr>
                <w:rFonts w:cs="Arial"/>
                <w:sz w:val="18"/>
                <w:szCs w:val="18"/>
              </w:rPr>
              <w:t>1,254</w:t>
            </w:r>
          </w:p>
        </w:tc>
        <w:tc>
          <w:tcPr>
            <w:tcW w:w="291" w:type="pct"/>
            <w:tcBorders>
              <w:top w:val="nil"/>
              <w:left w:val="nil"/>
              <w:bottom w:val="nil"/>
              <w:right w:val="nil"/>
            </w:tcBorders>
            <w:shd w:val="clear" w:color="auto" w:fill="auto"/>
            <w:noWrap/>
            <w:vAlign w:val="center"/>
            <w:hideMark/>
          </w:tcPr>
          <w:p w14:paraId="168350C8" w14:textId="77777777" w:rsidR="00B66CC3" w:rsidRPr="004A5BF7" w:rsidRDefault="00B66CC3" w:rsidP="00B66CC3">
            <w:pPr>
              <w:spacing w:before="0" w:after="0"/>
              <w:jc w:val="center"/>
              <w:rPr>
                <w:rFonts w:cs="Arial"/>
                <w:sz w:val="18"/>
                <w:szCs w:val="18"/>
              </w:rPr>
            </w:pPr>
            <w:r w:rsidRPr="004A5BF7">
              <w:rPr>
                <w:rFonts w:cs="Arial"/>
                <w:sz w:val="18"/>
                <w:szCs w:val="18"/>
              </w:rPr>
              <w:t>2,447</w:t>
            </w:r>
          </w:p>
        </w:tc>
        <w:tc>
          <w:tcPr>
            <w:tcW w:w="291" w:type="pct"/>
            <w:tcBorders>
              <w:top w:val="nil"/>
              <w:left w:val="nil"/>
              <w:bottom w:val="nil"/>
              <w:right w:val="nil"/>
            </w:tcBorders>
            <w:shd w:val="clear" w:color="auto" w:fill="auto"/>
            <w:noWrap/>
            <w:vAlign w:val="center"/>
            <w:hideMark/>
          </w:tcPr>
          <w:p w14:paraId="46BEC499" w14:textId="77777777" w:rsidR="00B66CC3" w:rsidRPr="004A5BF7" w:rsidRDefault="00B66CC3" w:rsidP="00B66CC3">
            <w:pPr>
              <w:spacing w:before="0" w:after="0"/>
              <w:jc w:val="center"/>
              <w:rPr>
                <w:rFonts w:cs="Arial"/>
                <w:sz w:val="18"/>
                <w:szCs w:val="18"/>
              </w:rPr>
            </w:pPr>
            <w:r w:rsidRPr="004A5BF7">
              <w:rPr>
                <w:rFonts w:cs="Arial"/>
                <w:sz w:val="18"/>
                <w:szCs w:val="18"/>
              </w:rPr>
              <w:t>2,871</w:t>
            </w:r>
          </w:p>
        </w:tc>
        <w:tc>
          <w:tcPr>
            <w:tcW w:w="291" w:type="pct"/>
            <w:tcBorders>
              <w:top w:val="nil"/>
              <w:left w:val="nil"/>
              <w:bottom w:val="nil"/>
              <w:right w:val="nil"/>
            </w:tcBorders>
            <w:shd w:val="clear" w:color="auto" w:fill="auto"/>
            <w:noWrap/>
            <w:vAlign w:val="center"/>
            <w:hideMark/>
          </w:tcPr>
          <w:p w14:paraId="1F890769" w14:textId="77777777" w:rsidR="00B66CC3" w:rsidRPr="004A5BF7" w:rsidRDefault="00B66CC3" w:rsidP="00B66CC3">
            <w:pPr>
              <w:spacing w:before="0" w:after="0"/>
              <w:jc w:val="center"/>
              <w:rPr>
                <w:rFonts w:cs="Arial"/>
                <w:sz w:val="18"/>
                <w:szCs w:val="18"/>
              </w:rPr>
            </w:pPr>
            <w:r w:rsidRPr="004A5BF7">
              <w:rPr>
                <w:rFonts w:cs="Arial"/>
                <w:sz w:val="18"/>
                <w:szCs w:val="18"/>
              </w:rPr>
              <w:t>2,593</w:t>
            </w:r>
          </w:p>
        </w:tc>
        <w:tc>
          <w:tcPr>
            <w:tcW w:w="291" w:type="pct"/>
            <w:tcBorders>
              <w:top w:val="nil"/>
              <w:left w:val="nil"/>
              <w:bottom w:val="nil"/>
              <w:right w:val="nil"/>
            </w:tcBorders>
            <w:shd w:val="clear" w:color="auto" w:fill="auto"/>
            <w:noWrap/>
            <w:vAlign w:val="center"/>
            <w:hideMark/>
          </w:tcPr>
          <w:p w14:paraId="66EE1B36" w14:textId="77777777" w:rsidR="00B66CC3" w:rsidRPr="004A5BF7" w:rsidRDefault="00B66CC3" w:rsidP="00B66CC3">
            <w:pPr>
              <w:spacing w:before="0" w:after="0"/>
              <w:jc w:val="center"/>
              <w:rPr>
                <w:rFonts w:cs="Arial"/>
                <w:sz w:val="18"/>
                <w:szCs w:val="18"/>
              </w:rPr>
            </w:pPr>
            <w:r w:rsidRPr="004A5BF7">
              <w:rPr>
                <w:rFonts w:cs="Arial"/>
                <w:sz w:val="18"/>
                <w:szCs w:val="18"/>
              </w:rPr>
              <w:t>3,094</w:t>
            </w:r>
          </w:p>
        </w:tc>
        <w:tc>
          <w:tcPr>
            <w:tcW w:w="291" w:type="pct"/>
            <w:tcBorders>
              <w:top w:val="nil"/>
              <w:left w:val="nil"/>
              <w:bottom w:val="nil"/>
              <w:right w:val="nil"/>
            </w:tcBorders>
            <w:shd w:val="clear" w:color="auto" w:fill="auto"/>
            <w:noWrap/>
            <w:vAlign w:val="center"/>
            <w:hideMark/>
          </w:tcPr>
          <w:p w14:paraId="5796DF2D" w14:textId="77777777" w:rsidR="00B66CC3" w:rsidRPr="004A5BF7" w:rsidRDefault="00B66CC3" w:rsidP="00B66CC3">
            <w:pPr>
              <w:spacing w:before="0" w:after="0"/>
              <w:jc w:val="center"/>
              <w:rPr>
                <w:rFonts w:cs="Arial"/>
                <w:sz w:val="18"/>
                <w:szCs w:val="18"/>
              </w:rPr>
            </w:pPr>
            <w:r w:rsidRPr="004A5BF7">
              <w:rPr>
                <w:rFonts w:cs="Arial"/>
                <w:sz w:val="18"/>
                <w:szCs w:val="18"/>
              </w:rPr>
              <w:t>1,953</w:t>
            </w:r>
          </w:p>
        </w:tc>
        <w:tc>
          <w:tcPr>
            <w:tcW w:w="330" w:type="pct"/>
            <w:tcBorders>
              <w:top w:val="nil"/>
              <w:left w:val="nil"/>
              <w:bottom w:val="nil"/>
              <w:right w:val="nil"/>
            </w:tcBorders>
            <w:shd w:val="clear" w:color="auto" w:fill="auto"/>
            <w:noWrap/>
            <w:vAlign w:val="center"/>
            <w:hideMark/>
          </w:tcPr>
          <w:p w14:paraId="51FCA527" w14:textId="77777777" w:rsidR="00B66CC3" w:rsidRPr="004A5BF7" w:rsidRDefault="00B66CC3" w:rsidP="00B66CC3">
            <w:pPr>
              <w:spacing w:before="0" w:after="0"/>
              <w:jc w:val="center"/>
              <w:rPr>
                <w:rFonts w:cs="Arial"/>
                <w:sz w:val="18"/>
                <w:szCs w:val="18"/>
              </w:rPr>
            </w:pPr>
            <w:r w:rsidRPr="004A5BF7">
              <w:rPr>
                <w:rFonts w:cs="Arial"/>
                <w:sz w:val="18"/>
                <w:szCs w:val="18"/>
              </w:rPr>
              <w:t>5,190</w:t>
            </w:r>
          </w:p>
        </w:tc>
        <w:tc>
          <w:tcPr>
            <w:tcW w:w="291" w:type="pct"/>
            <w:tcBorders>
              <w:top w:val="nil"/>
              <w:left w:val="nil"/>
              <w:bottom w:val="nil"/>
              <w:right w:val="nil"/>
            </w:tcBorders>
            <w:shd w:val="clear" w:color="auto" w:fill="auto"/>
            <w:noWrap/>
            <w:vAlign w:val="center"/>
            <w:hideMark/>
          </w:tcPr>
          <w:p w14:paraId="6458A0E8" w14:textId="77777777" w:rsidR="00B66CC3" w:rsidRPr="004A5BF7" w:rsidRDefault="00B66CC3" w:rsidP="00B66CC3">
            <w:pPr>
              <w:spacing w:before="0" w:after="0"/>
              <w:jc w:val="center"/>
              <w:rPr>
                <w:rFonts w:cs="Arial"/>
                <w:sz w:val="18"/>
                <w:szCs w:val="18"/>
              </w:rPr>
            </w:pPr>
            <w:r w:rsidRPr="004A5BF7">
              <w:rPr>
                <w:rFonts w:cs="Arial"/>
                <w:sz w:val="18"/>
                <w:szCs w:val="18"/>
              </w:rPr>
              <w:t>1,678</w:t>
            </w:r>
          </w:p>
        </w:tc>
        <w:tc>
          <w:tcPr>
            <w:tcW w:w="291" w:type="pct"/>
            <w:tcBorders>
              <w:top w:val="nil"/>
              <w:left w:val="nil"/>
              <w:bottom w:val="nil"/>
              <w:right w:val="nil"/>
            </w:tcBorders>
            <w:shd w:val="clear" w:color="auto" w:fill="auto"/>
            <w:noWrap/>
            <w:vAlign w:val="center"/>
            <w:hideMark/>
          </w:tcPr>
          <w:p w14:paraId="3721D905" w14:textId="77777777" w:rsidR="00B66CC3" w:rsidRPr="004A5BF7" w:rsidRDefault="00B66CC3" w:rsidP="00B66CC3">
            <w:pPr>
              <w:spacing w:before="0" w:after="0"/>
              <w:jc w:val="center"/>
              <w:rPr>
                <w:rFonts w:cs="Arial"/>
                <w:sz w:val="18"/>
                <w:szCs w:val="18"/>
              </w:rPr>
            </w:pPr>
            <w:r w:rsidRPr="004A5BF7">
              <w:rPr>
                <w:rFonts w:cs="Arial"/>
                <w:sz w:val="18"/>
                <w:szCs w:val="18"/>
              </w:rPr>
              <w:t>1,683</w:t>
            </w:r>
          </w:p>
        </w:tc>
        <w:tc>
          <w:tcPr>
            <w:tcW w:w="291" w:type="pct"/>
            <w:tcBorders>
              <w:top w:val="nil"/>
              <w:left w:val="nil"/>
              <w:bottom w:val="nil"/>
              <w:right w:val="nil"/>
            </w:tcBorders>
            <w:shd w:val="clear" w:color="auto" w:fill="auto"/>
            <w:noWrap/>
            <w:vAlign w:val="center"/>
            <w:hideMark/>
          </w:tcPr>
          <w:p w14:paraId="288F6E82" w14:textId="77777777" w:rsidR="00B66CC3" w:rsidRPr="004A5BF7" w:rsidRDefault="00B66CC3" w:rsidP="00B66CC3">
            <w:pPr>
              <w:spacing w:before="0" w:after="0"/>
              <w:jc w:val="center"/>
              <w:rPr>
                <w:rFonts w:cs="Arial"/>
                <w:sz w:val="18"/>
                <w:szCs w:val="18"/>
              </w:rPr>
            </w:pPr>
            <w:r w:rsidRPr="004A5BF7">
              <w:rPr>
                <w:rFonts w:cs="Arial"/>
                <w:sz w:val="18"/>
                <w:szCs w:val="18"/>
              </w:rPr>
              <w:t>2,557</w:t>
            </w:r>
          </w:p>
        </w:tc>
        <w:tc>
          <w:tcPr>
            <w:tcW w:w="253" w:type="pct"/>
            <w:tcBorders>
              <w:top w:val="nil"/>
              <w:left w:val="nil"/>
              <w:bottom w:val="nil"/>
              <w:right w:val="nil"/>
            </w:tcBorders>
            <w:shd w:val="clear" w:color="auto" w:fill="auto"/>
            <w:noWrap/>
            <w:vAlign w:val="center"/>
            <w:hideMark/>
          </w:tcPr>
          <w:p w14:paraId="218F34F7" w14:textId="77777777" w:rsidR="00B66CC3" w:rsidRPr="004A5BF7" w:rsidRDefault="00B66CC3" w:rsidP="00B66CC3">
            <w:pPr>
              <w:spacing w:before="0" w:after="0"/>
              <w:jc w:val="center"/>
              <w:rPr>
                <w:rFonts w:cs="Arial"/>
                <w:sz w:val="18"/>
                <w:szCs w:val="18"/>
              </w:rPr>
            </w:pPr>
            <w:r w:rsidRPr="004A5BF7">
              <w:rPr>
                <w:rFonts w:cs="Arial"/>
                <w:sz w:val="18"/>
                <w:szCs w:val="18"/>
              </w:rPr>
              <w:t>1,161</w:t>
            </w:r>
          </w:p>
        </w:tc>
      </w:tr>
      <w:tr w:rsidR="00B66CC3" w:rsidRPr="00E9409C" w14:paraId="62F1FC6A" w14:textId="77777777" w:rsidTr="00E662D3">
        <w:trPr>
          <w:trHeight w:val="454"/>
          <w:tblHeader/>
        </w:trPr>
        <w:tc>
          <w:tcPr>
            <w:tcW w:w="546" w:type="pct"/>
            <w:tcBorders>
              <w:top w:val="nil"/>
              <w:left w:val="nil"/>
              <w:bottom w:val="nil"/>
              <w:right w:val="nil"/>
            </w:tcBorders>
            <w:shd w:val="clear" w:color="auto" w:fill="auto"/>
            <w:noWrap/>
            <w:vAlign w:val="center"/>
            <w:hideMark/>
          </w:tcPr>
          <w:p w14:paraId="3D4D047A" w14:textId="77777777" w:rsidR="00B66CC3" w:rsidRPr="004A5BF7" w:rsidRDefault="00B66CC3" w:rsidP="004A5BF7">
            <w:pPr>
              <w:spacing w:before="0" w:after="0"/>
              <w:jc w:val="left"/>
              <w:rPr>
                <w:rFonts w:cs="Arial"/>
                <w:sz w:val="18"/>
                <w:szCs w:val="18"/>
              </w:rPr>
            </w:pPr>
            <w:r w:rsidRPr="004A5BF7">
              <w:rPr>
                <w:rFonts w:cs="Arial"/>
                <w:sz w:val="18"/>
                <w:szCs w:val="18"/>
              </w:rPr>
              <w:t>Herbert</w:t>
            </w:r>
          </w:p>
        </w:tc>
        <w:tc>
          <w:tcPr>
            <w:tcW w:w="707" w:type="pct"/>
            <w:tcBorders>
              <w:top w:val="nil"/>
              <w:left w:val="nil"/>
              <w:bottom w:val="nil"/>
              <w:right w:val="nil"/>
            </w:tcBorders>
            <w:shd w:val="clear" w:color="auto" w:fill="auto"/>
            <w:noWrap/>
            <w:vAlign w:val="center"/>
            <w:hideMark/>
          </w:tcPr>
          <w:p w14:paraId="4EB18F1E"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253" w:type="pct"/>
            <w:tcBorders>
              <w:top w:val="nil"/>
              <w:left w:val="nil"/>
              <w:bottom w:val="nil"/>
              <w:right w:val="nil"/>
            </w:tcBorders>
            <w:shd w:val="clear" w:color="auto" w:fill="auto"/>
            <w:noWrap/>
            <w:vAlign w:val="center"/>
            <w:hideMark/>
          </w:tcPr>
          <w:p w14:paraId="0CCC40BA" w14:textId="77777777" w:rsidR="00B66CC3" w:rsidRPr="004A5BF7" w:rsidRDefault="00B66CC3" w:rsidP="00B66CC3">
            <w:pPr>
              <w:spacing w:before="0" w:after="0"/>
              <w:jc w:val="center"/>
              <w:rPr>
                <w:rFonts w:cs="Arial"/>
                <w:sz w:val="18"/>
                <w:szCs w:val="18"/>
              </w:rPr>
            </w:pPr>
            <w:r w:rsidRPr="004A5BF7">
              <w:rPr>
                <w:rFonts w:cs="Arial"/>
                <w:sz w:val="18"/>
                <w:szCs w:val="18"/>
              </w:rPr>
              <w:t>491</w:t>
            </w:r>
          </w:p>
        </w:tc>
        <w:tc>
          <w:tcPr>
            <w:tcW w:w="291" w:type="pct"/>
            <w:tcBorders>
              <w:top w:val="nil"/>
              <w:left w:val="nil"/>
              <w:bottom w:val="nil"/>
              <w:right w:val="nil"/>
            </w:tcBorders>
            <w:shd w:val="clear" w:color="auto" w:fill="auto"/>
            <w:noWrap/>
            <w:vAlign w:val="center"/>
            <w:hideMark/>
          </w:tcPr>
          <w:p w14:paraId="12DBD659" w14:textId="77777777" w:rsidR="00B66CC3" w:rsidRPr="004A5BF7" w:rsidRDefault="00B66CC3" w:rsidP="00B66CC3">
            <w:pPr>
              <w:spacing w:before="0" w:after="0"/>
              <w:jc w:val="center"/>
              <w:rPr>
                <w:rFonts w:cs="Arial"/>
                <w:sz w:val="18"/>
                <w:szCs w:val="18"/>
              </w:rPr>
            </w:pPr>
            <w:r w:rsidRPr="004A5BF7">
              <w:rPr>
                <w:rFonts w:cs="Arial"/>
                <w:sz w:val="18"/>
                <w:szCs w:val="18"/>
              </w:rPr>
              <w:t>2,769</w:t>
            </w:r>
          </w:p>
        </w:tc>
        <w:tc>
          <w:tcPr>
            <w:tcW w:w="291" w:type="pct"/>
            <w:tcBorders>
              <w:top w:val="nil"/>
              <w:left w:val="nil"/>
              <w:bottom w:val="nil"/>
              <w:right w:val="nil"/>
            </w:tcBorders>
            <w:shd w:val="clear" w:color="auto" w:fill="auto"/>
            <w:noWrap/>
            <w:vAlign w:val="center"/>
            <w:hideMark/>
          </w:tcPr>
          <w:p w14:paraId="16BABF58" w14:textId="77777777" w:rsidR="00B66CC3" w:rsidRPr="004A5BF7" w:rsidRDefault="00B66CC3" w:rsidP="00B66CC3">
            <w:pPr>
              <w:spacing w:before="0" w:after="0"/>
              <w:jc w:val="center"/>
              <w:rPr>
                <w:rFonts w:cs="Arial"/>
                <w:sz w:val="18"/>
                <w:szCs w:val="18"/>
              </w:rPr>
            </w:pPr>
            <w:r w:rsidRPr="004A5BF7">
              <w:rPr>
                <w:rFonts w:cs="Arial"/>
                <w:sz w:val="18"/>
                <w:szCs w:val="18"/>
              </w:rPr>
              <w:t>845</w:t>
            </w:r>
          </w:p>
        </w:tc>
        <w:tc>
          <w:tcPr>
            <w:tcW w:w="291" w:type="pct"/>
            <w:tcBorders>
              <w:top w:val="nil"/>
              <w:left w:val="nil"/>
              <w:bottom w:val="nil"/>
              <w:right w:val="nil"/>
            </w:tcBorders>
            <w:shd w:val="clear" w:color="auto" w:fill="auto"/>
            <w:noWrap/>
            <w:vAlign w:val="center"/>
            <w:hideMark/>
          </w:tcPr>
          <w:p w14:paraId="154B507D" w14:textId="77777777" w:rsidR="00B66CC3" w:rsidRPr="004A5BF7" w:rsidRDefault="00B66CC3" w:rsidP="00B66CC3">
            <w:pPr>
              <w:spacing w:before="0" w:after="0"/>
              <w:jc w:val="center"/>
              <w:rPr>
                <w:rFonts w:cs="Arial"/>
                <w:sz w:val="18"/>
                <w:szCs w:val="18"/>
              </w:rPr>
            </w:pPr>
            <w:r w:rsidRPr="004A5BF7">
              <w:rPr>
                <w:rFonts w:cs="Arial"/>
                <w:sz w:val="18"/>
                <w:szCs w:val="18"/>
              </w:rPr>
              <w:t>2,858</w:t>
            </w:r>
          </w:p>
        </w:tc>
        <w:tc>
          <w:tcPr>
            <w:tcW w:w="291" w:type="pct"/>
            <w:tcBorders>
              <w:top w:val="nil"/>
              <w:left w:val="nil"/>
              <w:bottom w:val="nil"/>
              <w:right w:val="nil"/>
            </w:tcBorders>
            <w:shd w:val="clear" w:color="auto" w:fill="auto"/>
            <w:noWrap/>
            <w:vAlign w:val="center"/>
            <w:hideMark/>
          </w:tcPr>
          <w:p w14:paraId="055B83C3" w14:textId="77777777" w:rsidR="00B66CC3" w:rsidRPr="004A5BF7" w:rsidRDefault="00B66CC3" w:rsidP="00B66CC3">
            <w:pPr>
              <w:spacing w:before="0" w:after="0"/>
              <w:jc w:val="center"/>
              <w:rPr>
                <w:rFonts w:cs="Arial"/>
                <w:sz w:val="18"/>
                <w:szCs w:val="18"/>
              </w:rPr>
            </w:pPr>
            <w:r w:rsidRPr="004A5BF7">
              <w:rPr>
                <w:rFonts w:cs="Arial"/>
                <w:sz w:val="18"/>
                <w:szCs w:val="18"/>
              </w:rPr>
              <w:t>3,503</w:t>
            </w:r>
          </w:p>
        </w:tc>
        <w:tc>
          <w:tcPr>
            <w:tcW w:w="291" w:type="pct"/>
            <w:tcBorders>
              <w:top w:val="nil"/>
              <w:left w:val="nil"/>
              <w:bottom w:val="nil"/>
              <w:right w:val="nil"/>
            </w:tcBorders>
            <w:shd w:val="clear" w:color="auto" w:fill="auto"/>
            <w:noWrap/>
            <w:vAlign w:val="center"/>
            <w:hideMark/>
          </w:tcPr>
          <w:p w14:paraId="22DA73BC" w14:textId="77777777" w:rsidR="00B66CC3" w:rsidRPr="004A5BF7" w:rsidRDefault="00B66CC3" w:rsidP="00B66CC3">
            <w:pPr>
              <w:spacing w:before="0" w:after="0"/>
              <w:jc w:val="center"/>
              <w:rPr>
                <w:rFonts w:cs="Arial"/>
                <w:sz w:val="18"/>
                <w:szCs w:val="18"/>
              </w:rPr>
            </w:pPr>
            <w:r w:rsidRPr="004A5BF7">
              <w:rPr>
                <w:rFonts w:cs="Arial"/>
                <w:sz w:val="18"/>
                <w:szCs w:val="18"/>
              </w:rPr>
              <w:t>3,033</w:t>
            </w:r>
          </w:p>
        </w:tc>
        <w:tc>
          <w:tcPr>
            <w:tcW w:w="291" w:type="pct"/>
            <w:tcBorders>
              <w:top w:val="nil"/>
              <w:left w:val="nil"/>
              <w:bottom w:val="nil"/>
              <w:right w:val="nil"/>
            </w:tcBorders>
            <w:shd w:val="clear" w:color="auto" w:fill="auto"/>
            <w:noWrap/>
            <w:vAlign w:val="center"/>
            <w:hideMark/>
          </w:tcPr>
          <w:p w14:paraId="3196A700" w14:textId="77777777" w:rsidR="00B66CC3" w:rsidRPr="004A5BF7" w:rsidRDefault="00B66CC3" w:rsidP="00B66CC3">
            <w:pPr>
              <w:spacing w:before="0" w:after="0"/>
              <w:jc w:val="center"/>
              <w:rPr>
                <w:rFonts w:cs="Arial"/>
                <w:sz w:val="18"/>
                <w:szCs w:val="18"/>
              </w:rPr>
            </w:pPr>
            <w:r w:rsidRPr="004A5BF7">
              <w:rPr>
                <w:rFonts w:cs="Arial"/>
                <w:sz w:val="18"/>
                <w:szCs w:val="18"/>
              </w:rPr>
              <w:t>9,092</w:t>
            </w:r>
          </w:p>
        </w:tc>
        <w:tc>
          <w:tcPr>
            <w:tcW w:w="291" w:type="pct"/>
            <w:tcBorders>
              <w:top w:val="nil"/>
              <w:left w:val="nil"/>
              <w:bottom w:val="nil"/>
              <w:right w:val="nil"/>
            </w:tcBorders>
            <w:shd w:val="clear" w:color="auto" w:fill="auto"/>
            <w:noWrap/>
            <w:vAlign w:val="center"/>
            <w:hideMark/>
          </w:tcPr>
          <w:p w14:paraId="7B916B36" w14:textId="77777777" w:rsidR="00B66CC3" w:rsidRPr="004A5BF7" w:rsidRDefault="00B66CC3" w:rsidP="00B66CC3">
            <w:pPr>
              <w:spacing w:before="0" w:after="0"/>
              <w:jc w:val="center"/>
              <w:rPr>
                <w:rFonts w:cs="Arial"/>
                <w:sz w:val="18"/>
                <w:szCs w:val="18"/>
              </w:rPr>
            </w:pPr>
            <w:r w:rsidRPr="004A5BF7">
              <w:rPr>
                <w:rFonts w:cs="Arial"/>
                <w:sz w:val="18"/>
                <w:szCs w:val="18"/>
              </w:rPr>
              <w:t>2,558</w:t>
            </w:r>
          </w:p>
        </w:tc>
        <w:tc>
          <w:tcPr>
            <w:tcW w:w="330" w:type="pct"/>
            <w:tcBorders>
              <w:top w:val="nil"/>
              <w:left w:val="nil"/>
              <w:bottom w:val="nil"/>
              <w:right w:val="nil"/>
            </w:tcBorders>
            <w:shd w:val="clear" w:color="auto" w:fill="auto"/>
            <w:noWrap/>
            <w:vAlign w:val="center"/>
            <w:hideMark/>
          </w:tcPr>
          <w:p w14:paraId="14CAEA02" w14:textId="77777777" w:rsidR="00B66CC3" w:rsidRPr="004A5BF7" w:rsidRDefault="00B66CC3" w:rsidP="00B66CC3">
            <w:pPr>
              <w:spacing w:before="0" w:after="0"/>
              <w:jc w:val="center"/>
              <w:rPr>
                <w:rFonts w:cs="Arial"/>
                <w:sz w:val="18"/>
                <w:szCs w:val="18"/>
              </w:rPr>
            </w:pPr>
            <w:r w:rsidRPr="004A5BF7">
              <w:rPr>
                <w:rFonts w:cs="Arial"/>
                <w:sz w:val="18"/>
                <w:szCs w:val="18"/>
              </w:rPr>
              <w:t>10,564</w:t>
            </w:r>
          </w:p>
        </w:tc>
        <w:tc>
          <w:tcPr>
            <w:tcW w:w="291" w:type="pct"/>
            <w:tcBorders>
              <w:top w:val="nil"/>
              <w:left w:val="nil"/>
              <w:bottom w:val="nil"/>
              <w:right w:val="nil"/>
            </w:tcBorders>
            <w:shd w:val="clear" w:color="auto" w:fill="auto"/>
            <w:noWrap/>
            <w:vAlign w:val="center"/>
            <w:hideMark/>
          </w:tcPr>
          <w:p w14:paraId="47801E13" w14:textId="77777777" w:rsidR="00B66CC3" w:rsidRPr="004A5BF7" w:rsidRDefault="00B66CC3" w:rsidP="00B66CC3">
            <w:pPr>
              <w:spacing w:before="0" w:after="0"/>
              <w:jc w:val="center"/>
              <w:rPr>
                <w:rFonts w:cs="Arial"/>
                <w:sz w:val="18"/>
                <w:szCs w:val="18"/>
              </w:rPr>
            </w:pPr>
            <w:r w:rsidRPr="004A5BF7">
              <w:rPr>
                <w:rFonts w:cs="Arial"/>
                <w:sz w:val="18"/>
                <w:szCs w:val="18"/>
              </w:rPr>
              <w:t>3,331</w:t>
            </w:r>
          </w:p>
        </w:tc>
        <w:tc>
          <w:tcPr>
            <w:tcW w:w="291" w:type="pct"/>
            <w:tcBorders>
              <w:top w:val="nil"/>
              <w:left w:val="nil"/>
              <w:bottom w:val="nil"/>
              <w:right w:val="nil"/>
            </w:tcBorders>
            <w:shd w:val="clear" w:color="auto" w:fill="auto"/>
            <w:noWrap/>
            <w:vAlign w:val="center"/>
            <w:hideMark/>
          </w:tcPr>
          <w:p w14:paraId="190EA675" w14:textId="77777777" w:rsidR="00B66CC3" w:rsidRPr="004A5BF7" w:rsidRDefault="00B66CC3" w:rsidP="00B66CC3">
            <w:pPr>
              <w:spacing w:before="0" w:after="0"/>
              <w:jc w:val="center"/>
              <w:rPr>
                <w:rFonts w:cs="Arial"/>
                <w:sz w:val="18"/>
                <w:szCs w:val="18"/>
              </w:rPr>
            </w:pPr>
            <w:r w:rsidRPr="004A5BF7">
              <w:rPr>
                <w:rFonts w:cs="Arial"/>
                <w:sz w:val="18"/>
                <w:szCs w:val="18"/>
              </w:rPr>
              <w:t>2,255</w:t>
            </w:r>
          </w:p>
        </w:tc>
        <w:tc>
          <w:tcPr>
            <w:tcW w:w="291" w:type="pct"/>
            <w:tcBorders>
              <w:top w:val="nil"/>
              <w:left w:val="nil"/>
              <w:bottom w:val="nil"/>
              <w:right w:val="nil"/>
            </w:tcBorders>
            <w:shd w:val="clear" w:color="auto" w:fill="auto"/>
            <w:noWrap/>
            <w:vAlign w:val="center"/>
            <w:hideMark/>
          </w:tcPr>
          <w:p w14:paraId="62148B07" w14:textId="77777777" w:rsidR="00B66CC3" w:rsidRPr="004A5BF7" w:rsidRDefault="00B66CC3" w:rsidP="00B66CC3">
            <w:pPr>
              <w:spacing w:before="0" w:after="0"/>
              <w:jc w:val="center"/>
              <w:rPr>
                <w:rFonts w:cs="Arial"/>
                <w:sz w:val="18"/>
                <w:szCs w:val="18"/>
              </w:rPr>
            </w:pPr>
            <w:r w:rsidRPr="004A5BF7">
              <w:rPr>
                <w:rFonts w:cs="Arial"/>
                <w:sz w:val="18"/>
                <w:szCs w:val="18"/>
              </w:rPr>
              <w:t>3,213</w:t>
            </w:r>
          </w:p>
        </w:tc>
        <w:tc>
          <w:tcPr>
            <w:tcW w:w="253" w:type="pct"/>
            <w:tcBorders>
              <w:top w:val="nil"/>
              <w:left w:val="nil"/>
              <w:bottom w:val="nil"/>
              <w:right w:val="nil"/>
            </w:tcBorders>
            <w:shd w:val="clear" w:color="auto" w:fill="auto"/>
            <w:noWrap/>
            <w:vAlign w:val="center"/>
            <w:hideMark/>
          </w:tcPr>
          <w:p w14:paraId="4926720B" w14:textId="77777777" w:rsidR="00B66CC3" w:rsidRPr="004A5BF7" w:rsidRDefault="00B66CC3" w:rsidP="00B66CC3">
            <w:pPr>
              <w:spacing w:before="0" w:after="0"/>
              <w:jc w:val="center"/>
              <w:rPr>
                <w:rFonts w:cs="Arial"/>
                <w:sz w:val="18"/>
                <w:szCs w:val="18"/>
              </w:rPr>
            </w:pPr>
            <w:r w:rsidRPr="004A5BF7">
              <w:rPr>
                <w:rFonts w:cs="Arial"/>
                <w:sz w:val="18"/>
                <w:szCs w:val="18"/>
              </w:rPr>
              <w:t>672</w:t>
            </w:r>
          </w:p>
        </w:tc>
      </w:tr>
      <w:tr w:rsidR="00B66CC3" w:rsidRPr="00E9409C" w14:paraId="4B741AD7" w14:textId="77777777" w:rsidTr="00E662D3">
        <w:trPr>
          <w:trHeight w:val="454"/>
          <w:tblHeader/>
        </w:trPr>
        <w:tc>
          <w:tcPr>
            <w:tcW w:w="546" w:type="pct"/>
            <w:tcBorders>
              <w:top w:val="nil"/>
              <w:left w:val="nil"/>
              <w:bottom w:val="nil"/>
              <w:right w:val="nil"/>
            </w:tcBorders>
            <w:shd w:val="clear" w:color="auto" w:fill="auto"/>
            <w:noWrap/>
            <w:vAlign w:val="center"/>
            <w:hideMark/>
          </w:tcPr>
          <w:p w14:paraId="786D6857" w14:textId="77777777" w:rsidR="00B66CC3" w:rsidRPr="004A5BF7" w:rsidRDefault="00B66CC3" w:rsidP="004A5BF7">
            <w:pPr>
              <w:spacing w:before="0" w:after="0"/>
              <w:jc w:val="left"/>
              <w:rPr>
                <w:rFonts w:cs="Arial"/>
                <w:sz w:val="18"/>
                <w:szCs w:val="18"/>
              </w:rPr>
            </w:pPr>
            <w:r w:rsidRPr="004A5BF7">
              <w:rPr>
                <w:rFonts w:cs="Arial"/>
                <w:sz w:val="18"/>
                <w:szCs w:val="18"/>
              </w:rPr>
              <w:t>Haughton</w:t>
            </w:r>
          </w:p>
        </w:tc>
        <w:tc>
          <w:tcPr>
            <w:tcW w:w="707" w:type="pct"/>
            <w:tcBorders>
              <w:top w:val="nil"/>
              <w:left w:val="nil"/>
              <w:bottom w:val="nil"/>
              <w:right w:val="nil"/>
            </w:tcBorders>
            <w:shd w:val="clear" w:color="auto" w:fill="auto"/>
            <w:noWrap/>
            <w:vAlign w:val="center"/>
            <w:hideMark/>
          </w:tcPr>
          <w:p w14:paraId="1848B8C9" w14:textId="77777777" w:rsidR="00B66CC3" w:rsidRPr="004A5BF7" w:rsidRDefault="00B66CC3" w:rsidP="004A5BF7">
            <w:pPr>
              <w:spacing w:before="0" w:after="0"/>
              <w:jc w:val="left"/>
              <w:rPr>
                <w:rFonts w:cs="Arial"/>
                <w:sz w:val="18"/>
                <w:szCs w:val="18"/>
              </w:rPr>
            </w:pPr>
            <w:r w:rsidRPr="004A5BF7">
              <w:rPr>
                <w:rFonts w:cs="Arial"/>
                <w:sz w:val="18"/>
                <w:szCs w:val="18"/>
              </w:rPr>
              <w:t>Burdekin</w:t>
            </w:r>
          </w:p>
        </w:tc>
        <w:tc>
          <w:tcPr>
            <w:tcW w:w="253" w:type="pct"/>
            <w:tcBorders>
              <w:top w:val="nil"/>
              <w:left w:val="nil"/>
              <w:bottom w:val="nil"/>
              <w:right w:val="nil"/>
            </w:tcBorders>
            <w:shd w:val="clear" w:color="auto" w:fill="auto"/>
            <w:noWrap/>
            <w:vAlign w:val="center"/>
            <w:hideMark/>
          </w:tcPr>
          <w:p w14:paraId="38E5AF24" w14:textId="77777777" w:rsidR="00B66CC3" w:rsidRPr="004A5BF7" w:rsidRDefault="00B66CC3" w:rsidP="00B66CC3">
            <w:pPr>
              <w:spacing w:before="0" w:after="0"/>
              <w:jc w:val="center"/>
              <w:rPr>
                <w:rFonts w:cs="Arial"/>
                <w:sz w:val="18"/>
                <w:szCs w:val="18"/>
              </w:rPr>
            </w:pPr>
            <w:r w:rsidRPr="004A5BF7">
              <w:rPr>
                <w:rFonts w:cs="Arial"/>
                <w:sz w:val="18"/>
                <w:szCs w:val="18"/>
              </w:rPr>
              <w:t>61</w:t>
            </w:r>
          </w:p>
        </w:tc>
        <w:tc>
          <w:tcPr>
            <w:tcW w:w="291" w:type="pct"/>
            <w:tcBorders>
              <w:top w:val="nil"/>
              <w:left w:val="nil"/>
              <w:bottom w:val="nil"/>
              <w:right w:val="nil"/>
            </w:tcBorders>
            <w:shd w:val="clear" w:color="auto" w:fill="auto"/>
            <w:noWrap/>
            <w:vAlign w:val="center"/>
            <w:hideMark/>
          </w:tcPr>
          <w:p w14:paraId="5E7CD3CA" w14:textId="77777777" w:rsidR="00B66CC3" w:rsidRPr="004A5BF7" w:rsidRDefault="00B66CC3" w:rsidP="00B66CC3">
            <w:pPr>
              <w:spacing w:before="0" w:after="0"/>
              <w:jc w:val="center"/>
              <w:rPr>
                <w:rFonts w:cs="Arial"/>
                <w:sz w:val="18"/>
                <w:szCs w:val="18"/>
              </w:rPr>
            </w:pPr>
            <w:r w:rsidRPr="004A5BF7">
              <w:rPr>
                <w:rFonts w:cs="Arial"/>
                <w:sz w:val="18"/>
                <w:szCs w:val="18"/>
              </w:rPr>
              <w:t>158</w:t>
            </w:r>
          </w:p>
        </w:tc>
        <w:tc>
          <w:tcPr>
            <w:tcW w:w="291" w:type="pct"/>
            <w:tcBorders>
              <w:top w:val="nil"/>
              <w:left w:val="nil"/>
              <w:bottom w:val="nil"/>
              <w:right w:val="nil"/>
            </w:tcBorders>
            <w:shd w:val="clear" w:color="auto" w:fill="auto"/>
            <w:noWrap/>
            <w:vAlign w:val="center"/>
            <w:hideMark/>
          </w:tcPr>
          <w:p w14:paraId="75D5D2CF" w14:textId="77777777" w:rsidR="00B66CC3" w:rsidRPr="004A5BF7" w:rsidRDefault="00B66CC3" w:rsidP="00B66CC3">
            <w:pPr>
              <w:spacing w:before="0" w:after="0"/>
              <w:jc w:val="center"/>
              <w:rPr>
                <w:rFonts w:cs="Arial"/>
                <w:sz w:val="18"/>
                <w:szCs w:val="18"/>
              </w:rPr>
            </w:pPr>
            <w:r w:rsidRPr="004A5BF7">
              <w:rPr>
                <w:rFonts w:cs="Arial"/>
                <w:sz w:val="18"/>
                <w:szCs w:val="18"/>
              </w:rPr>
              <w:t>237</w:t>
            </w:r>
          </w:p>
        </w:tc>
        <w:tc>
          <w:tcPr>
            <w:tcW w:w="291" w:type="pct"/>
            <w:tcBorders>
              <w:top w:val="nil"/>
              <w:left w:val="nil"/>
              <w:bottom w:val="nil"/>
              <w:right w:val="nil"/>
            </w:tcBorders>
            <w:shd w:val="clear" w:color="auto" w:fill="auto"/>
            <w:noWrap/>
            <w:vAlign w:val="center"/>
            <w:hideMark/>
          </w:tcPr>
          <w:p w14:paraId="270534A7" w14:textId="77777777" w:rsidR="00B66CC3" w:rsidRPr="004A5BF7" w:rsidRDefault="00B66CC3" w:rsidP="00B66CC3">
            <w:pPr>
              <w:spacing w:before="0" w:after="0"/>
              <w:jc w:val="center"/>
              <w:rPr>
                <w:rFonts w:cs="Arial"/>
                <w:sz w:val="18"/>
                <w:szCs w:val="18"/>
              </w:rPr>
            </w:pPr>
            <w:r w:rsidRPr="004A5BF7">
              <w:rPr>
                <w:rFonts w:cs="Arial"/>
                <w:sz w:val="18"/>
                <w:szCs w:val="18"/>
              </w:rPr>
              <w:t>274</w:t>
            </w:r>
          </w:p>
        </w:tc>
        <w:tc>
          <w:tcPr>
            <w:tcW w:w="291" w:type="pct"/>
            <w:tcBorders>
              <w:top w:val="nil"/>
              <w:left w:val="nil"/>
              <w:bottom w:val="nil"/>
              <w:right w:val="nil"/>
            </w:tcBorders>
            <w:shd w:val="clear" w:color="auto" w:fill="auto"/>
            <w:noWrap/>
            <w:vAlign w:val="center"/>
            <w:hideMark/>
          </w:tcPr>
          <w:p w14:paraId="0DC1C26A" w14:textId="77777777" w:rsidR="00B66CC3" w:rsidRPr="004A5BF7" w:rsidRDefault="00B66CC3" w:rsidP="00B66CC3">
            <w:pPr>
              <w:spacing w:before="0" w:after="0"/>
              <w:jc w:val="center"/>
              <w:rPr>
                <w:rFonts w:cs="Arial"/>
                <w:sz w:val="18"/>
                <w:szCs w:val="18"/>
              </w:rPr>
            </w:pPr>
            <w:r w:rsidRPr="004A5BF7">
              <w:rPr>
                <w:rFonts w:cs="Arial"/>
                <w:sz w:val="18"/>
                <w:szCs w:val="18"/>
              </w:rPr>
              <w:t>568</w:t>
            </w:r>
          </w:p>
        </w:tc>
        <w:tc>
          <w:tcPr>
            <w:tcW w:w="291" w:type="pct"/>
            <w:tcBorders>
              <w:top w:val="nil"/>
              <w:left w:val="nil"/>
              <w:bottom w:val="nil"/>
              <w:right w:val="nil"/>
            </w:tcBorders>
            <w:shd w:val="clear" w:color="auto" w:fill="auto"/>
            <w:noWrap/>
            <w:vAlign w:val="center"/>
            <w:hideMark/>
          </w:tcPr>
          <w:p w14:paraId="5D4C0485" w14:textId="77777777" w:rsidR="00B66CC3" w:rsidRPr="004A5BF7" w:rsidRDefault="00B66CC3" w:rsidP="00B66CC3">
            <w:pPr>
              <w:spacing w:before="0" w:after="0"/>
              <w:jc w:val="center"/>
              <w:rPr>
                <w:rFonts w:cs="Arial"/>
                <w:sz w:val="18"/>
                <w:szCs w:val="18"/>
              </w:rPr>
            </w:pPr>
            <w:r w:rsidRPr="004A5BF7">
              <w:rPr>
                <w:rFonts w:cs="Arial"/>
                <w:sz w:val="18"/>
                <w:szCs w:val="18"/>
              </w:rPr>
              <w:t>793</w:t>
            </w:r>
          </w:p>
        </w:tc>
        <w:tc>
          <w:tcPr>
            <w:tcW w:w="291" w:type="pct"/>
            <w:tcBorders>
              <w:top w:val="nil"/>
              <w:left w:val="nil"/>
              <w:bottom w:val="nil"/>
              <w:right w:val="nil"/>
            </w:tcBorders>
            <w:shd w:val="clear" w:color="auto" w:fill="auto"/>
            <w:noWrap/>
            <w:vAlign w:val="center"/>
            <w:hideMark/>
          </w:tcPr>
          <w:p w14:paraId="48563C01" w14:textId="77777777" w:rsidR="00B66CC3" w:rsidRPr="004A5BF7" w:rsidRDefault="00B66CC3" w:rsidP="00B66CC3">
            <w:pPr>
              <w:spacing w:before="0" w:after="0"/>
              <w:jc w:val="center"/>
              <w:rPr>
                <w:rFonts w:cs="Arial"/>
                <w:sz w:val="18"/>
                <w:szCs w:val="18"/>
              </w:rPr>
            </w:pPr>
            <w:r w:rsidRPr="004A5BF7">
              <w:rPr>
                <w:rFonts w:cs="Arial"/>
                <w:sz w:val="18"/>
                <w:szCs w:val="18"/>
              </w:rPr>
              <w:t>1,091</w:t>
            </w:r>
          </w:p>
        </w:tc>
        <w:tc>
          <w:tcPr>
            <w:tcW w:w="291" w:type="pct"/>
            <w:tcBorders>
              <w:top w:val="nil"/>
              <w:left w:val="nil"/>
              <w:bottom w:val="nil"/>
              <w:right w:val="nil"/>
            </w:tcBorders>
            <w:shd w:val="clear" w:color="auto" w:fill="auto"/>
            <w:noWrap/>
            <w:vAlign w:val="center"/>
            <w:hideMark/>
          </w:tcPr>
          <w:p w14:paraId="2F48DC77" w14:textId="77777777" w:rsidR="00B66CC3" w:rsidRPr="004A5BF7" w:rsidRDefault="00B66CC3" w:rsidP="00B66CC3">
            <w:pPr>
              <w:spacing w:before="0" w:after="0"/>
              <w:jc w:val="center"/>
              <w:rPr>
                <w:rFonts w:cs="Arial"/>
                <w:sz w:val="18"/>
                <w:szCs w:val="18"/>
              </w:rPr>
            </w:pPr>
            <w:r w:rsidRPr="004A5BF7">
              <w:rPr>
                <w:rFonts w:cs="Arial"/>
                <w:sz w:val="18"/>
                <w:szCs w:val="18"/>
              </w:rPr>
              <w:t>476</w:t>
            </w:r>
          </w:p>
        </w:tc>
        <w:tc>
          <w:tcPr>
            <w:tcW w:w="330" w:type="pct"/>
            <w:tcBorders>
              <w:top w:val="nil"/>
              <w:left w:val="nil"/>
              <w:bottom w:val="nil"/>
              <w:right w:val="nil"/>
            </w:tcBorders>
            <w:shd w:val="clear" w:color="auto" w:fill="auto"/>
            <w:noWrap/>
            <w:vAlign w:val="center"/>
            <w:hideMark/>
          </w:tcPr>
          <w:p w14:paraId="193E7C80" w14:textId="77777777" w:rsidR="00B66CC3" w:rsidRPr="004A5BF7" w:rsidRDefault="00B66CC3" w:rsidP="00B66CC3">
            <w:pPr>
              <w:spacing w:before="0" w:after="0"/>
              <w:jc w:val="center"/>
              <w:rPr>
                <w:rFonts w:cs="Arial"/>
                <w:sz w:val="18"/>
                <w:szCs w:val="18"/>
              </w:rPr>
            </w:pPr>
            <w:r w:rsidRPr="004A5BF7">
              <w:rPr>
                <w:rFonts w:cs="Arial"/>
                <w:sz w:val="18"/>
                <w:szCs w:val="18"/>
              </w:rPr>
              <w:t>1,019</w:t>
            </w:r>
          </w:p>
        </w:tc>
        <w:tc>
          <w:tcPr>
            <w:tcW w:w="291" w:type="pct"/>
            <w:tcBorders>
              <w:top w:val="nil"/>
              <w:left w:val="nil"/>
              <w:bottom w:val="nil"/>
              <w:right w:val="nil"/>
            </w:tcBorders>
            <w:shd w:val="clear" w:color="auto" w:fill="auto"/>
            <w:noWrap/>
            <w:vAlign w:val="center"/>
            <w:hideMark/>
          </w:tcPr>
          <w:p w14:paraId="0D3B07FB" w14:textId="77777777" w:rsidR="00B66CC3" w:rsidRPr="004A5BF7" w:rsidRDefault="00B66CC3" w:rsidP="00B66CC3">
            <w:pPr>
              <w:spacing w:before="0" w:after="0"/>
              <w:jc w:val="center"/>
              <w:rPr>
                <w:rFonts w:cs="Arial"/>
                <w:sz w:val="18"/>
                <w:szCs w:val="18"/>
              </w:rPr>
            </w:pPr>
            <w:r w:rsidRPr="004A5BF7">
              <w:rPr>
                <w:rFonts w:cs="Arial"/>
                <w:sz w:val="18"/>
                <w:szCs w:val="18"/>
              </w:rPr>
              <w:t>660</w:t>
            </w:r>
          </w:p>
        </w:tc>
        <w:tc>
          <w:tcPr>
            <w:tcW w:w="291" w:type="pct"/>
            <w:tcBorders>
              <w:top w:val="nil"/>
              <w:left w:val="nil"/>
              <w:bottom w:val="nil"/>
              <w:right w:val="nil"/>
            </w:tcBorders>
            <w:shd w:val="clear" w:color="auto" w:fill="auto"/>
            <w:noWrap/>
            <w:vAlign w:val="center"/>
            <w:hideMark/>
          </w:tcPr>
          <w:p w14:paraId="2CADD49E" w14:textId="77777777" w:rsidR="00B66CC3" w:rsidRPr="004A5BF7" w:rsidRDefault="00B66CC3" w:rsidP="00B66CC3">
            <w:pPr>
              <w:spacing w:before="0" w:after="0"/>
              <w:jc w:val="center"/>
              <w:rPr>
                <w:rFonts w:cs="Arial"/>
                <w:sz w:val="18"/>
                <w:szCs w:val="18"/>
              </w:rPr>
            </w:pPr>
            <w:r w:rsidRPr="004A5BF7">
              <w:rPr>
                <w:rFonts w:cs="Arial"/>
                <w:sz w:val="18"/>
                <w:szCs w:val="18"/>
              </w:rPr>
              <w:t>192</w:t>
            </w:r>
          </w:p>
        </w:tc>
        <w:tc>
          <w:tcPr>
            <w:tcW w:w="291" w:type="pct"/>
            <w:tcBorders>
              <w:top w:val="nil"/>
              <w:left w:val="nil"/>
              <w:bottom w:val="nil"/>
              <w:right w:val="nil"/>
            </w:tcBorders>
            <w:shd w:val="clear" w:color="auto" w:fill="auto"/>
            <w:noWrap/>
            <w:vAlign w:val="center"/>
            <w:hideMark/>
          </w:tcPr>
          <w:p w14:paraId="23C2803A" w14:textId="77777777" w:rsidR="00B66CC3" w:rsidRPr="004A5BF7" w:rsidRDefault="00B66CC3" w:rsidP="00B66CC3">
            <w:pPr>
              <w:spacing w:before="0" w:after="0"/>
              <w:jc w:val="center"/>
              <w:rPr>
                <w:rFonts w:cs="Arial"/>
                <w:sz w:val="18"/>
                <w:szCs w:val="18"/>
              </w:rPr>
            </w:pPr>
            <w:r w:rsidRPr="004A5BF7">
              <w:rPr>
                <w:rFonts w:cs="Arial"/>
                <w:sz w:val="18"/>
                <w:szCs w:val="18"/>
              </w:rPr>
              <w:t>230</w:t>
            </w:r>
          </w:p>
        </w:tc>
        <w:tc>
          <w:tcPr>
            <w:tcW w:w="253" w:type="pct"/>
            <w:tcBorders>
              <w:top w:val="nil"/>
              <w:left w:val="nil"/>
              <w:bottom w:val="nil"/>
              <w:right w:val="nil"/>
            </w:tcBorders>
            <w:shd w:val="clear" w:color="auto" w:fill="auto"/>
            <w:noWrap/>
            <w:vAlign w:val="center"/>
            <w:hideMark/>
          </w:tcPr>
          <w:p w14:paraId="77BDE7D7" w14:textId="77777777" w:rsidR="00B66CC3" w:rsidRPr="004A5BF7" w:rsidRDefault="00B66CC3" w:rsidP="00B66CC3">
            <w:pPr>
              <w:spacing w:before="0" w:after="0"/>
              <w:jc w:val="center"/>
              <w:rPr>
                <w:rFonts w:cs="Arial"/>
                <w:sz w:val="18"/>
                <w:szCs w:val="18"/>
              </w:rPr>
            </w:pPr>
            <w:r w:rsidRPr="004A5BF7">
              <w:rPr>
                <w:rFonts w:cs="Arial"/>
                <w:sz w:val="18"/>
                <w:szCs w:val="18"/>
              </w:rPr>
              <w:t>33</w:t>
            </w:r>
          </w:p>
        </w:tc>
      </w:tr>
      <w:tr w:rsidR="00B66CC3" w:rsidRPr="00E9409C" w14:paraId="307FF919" w14:textId="77777777" w:rsidTr="00E662D3">
        <w:trPr>
          <w:trHeight w:val="454"/>
          <w:tblHeader/>
        </w:trPr>
        <w:tc>
          <w:tcPr>
            <w:tcW w:w="546" w:type="pct"/>
            <w:tcBorders>
              <w:top w:val="nil"/>
              <w:left w:val="nil"/>
              <w:bottom w:val="nil"/>
              <w:right w:val="nil"/>
            </w:tcBorders>
            <w:shd w:val="clear" w:color="auto" w:fill="auto"/>
            <w:noWrap/>
            <w:vAlign w:val="center"/>
            <w:hideMark/>
          </w:tcPr>
          <w:p w14:paraId="40368E23" w14:textId="77777777" w:rsidR="00B66CC3" w:rsidRPr="004A5BF7" w:rsidRDefault="00B66CC3" w:rsidP="004A5BF7">
            <w:pPr>
              <w:spacing w:before="0" w:after="0"/>
              <w:jc w:val="left"/>
              <w:rPr>
                <w:rFonts w:cs="Arial"/>
                <w:sz w:val="18"/>
                <w:szCs w:val="18"/>
              </w:rPr>
            </w:pPr>
            <w:r w:rsidRPr="004A5BF7">
              <w:rPr>
                <w:rFonts w:cs="Arial"/>
                <w:sz w:val="18"/>
                <w:szCs w:val="18"/>
              </w:rPr>
              <w:t>Burdekin</w:t>
            </w:r>
          </w:p>
        </w:tc>
        <w:tc>
          <w:tcPr>
            <w:tcW w:w="707" w:type="pct"/>
            <w:tcBorders>
              <w:top w:val="nil"/>
              <w:left w:val="nil"/>
              <w:bottom w:val="nil"/>
              <w:right w:val="nil"/>
            </w:tcBorders>
            <w:shd w:val="clear" w:color="auto" w:fill="auto"/>
            <w:noWrap/>
            <w:vAlign w:val="center"/>
            <w:hideMark/>
          </w:tcPr>
          <w:p w14:paraId="07F79B00" w14:textId="77777777" w:rsidR="00B66CC3" w:rsidRPr="004A5BF7" w:rsidRDefault="00B66CC3" w:rsidP="004A5BF7">
            <w:pPr>
              <w:spacing w:before="0" w:after="0"/>
              <w:jc w:val="left"/>
              <w:rPr>
                <w:rFonts w:cs="Arial"/>
                <w:sz w:val="18"/>
                <w:szCs w:val="18"/>
              </w:rPr>
            </w:pPr>
            <w:r w:rsidRPr="004A5BF7">
              <w:rPr>
                <w:rFonts w:cs="Arial"/>
                <w:sz w:val="18"/>
                <w:szCs w:val="18"/>
              </w:rPr>
              <w:t>Burdekin</w:t>
            </w:r>
          </w:p>
        </w:tc>
        <w:tc>
          <w:tcPr>
            <w:tcW w:w="253" w:type="pct"/>
            <w:tcBorders>
              <w:top w:val="nil"/>
              <w:left w:val="nil"/>
              <w:bottom w:val="nil"/>
              <w:right w:val="nil"/>
            </w:tcBorders>
            <w:shd w:val="clear" w:color="auto" w:fill="auto"/>
            <w:noWrap/>
            <w:vAlign w:val="center"/>
            <w:hideMark/>
          </w:tcPr>
          <w:p w14:paraId="41021103" w14:textId="77777777" w:rsidR="00B66CC3" w:rsidRPr="004A5BF7" w:rsidRDefault="00B66CC3" w:rsidP="00B66CC3">
            <w:pPr>
              <w:spacing w:before="0" w:after="0"/>
              <w:jc w:val="center"/>
              <w:rPr>
                <w:rFonts w:cs="Arial"/>
                <w:sz w:val="18"/>
                <w:szCs w:val="18"/>
              </w:rPr>
            </w:pPr>
            <w:r w:rsidRPr="004A5BF7">
              <w:rPr>
                <w:rFonts w:cs="Arial"/>
                <w:sz w:val="18"/>
                <w:szCs w:val="18"/>
              </w:rPr>
              <w:t>1,885</w:t>
            </w:r>
          </w:p>
        </w:tc>
        <w:tc>
          <w:tcPr>
            <w:tcW w:w="291" w:type="pct"/>
            <w:tcBorders>
              <w:top w:val="nil"/>
              <w:left w:val="nil"/>
              <w:bottom w:val="nil"/>
              <w:right w:val="nil"/>
            </w:tcBorders>
            <w:shd w:val="clear" w:color="auto" w:fill="auto"/>
            <w:noWrap/>
            <w:vAlign w:val="center"/>
            <w:hideMark/>
          </w:tcPr>
          <w:p w14:paraId="07537AE8" w14:textId="77777777" w:rsidR="00B66CC3" w:rsidRPr="004A5BF7" w:rsidRDefault="00B66CC3" w:rsidP="00B66CC3">
            <w:pPr>
              <w:spacing w:before="0" w:after="0"/>
              <w:jc w:val="center"/>
              <w:rPr>
                <w:rFonts w:cs="Arial"/>
                <w:sz w:val="18"/>
                <w:szCs w:val="18"/>
              </w:rPr>
            </w:pPr>
            <w:r w:rsidRPr="004A5BF7">
              <w:rPr>
                <w:rFonts w:cs="Arial"/>
                <w:sz w:val="18"/>
                <w:szCs w:val="18"/>
              </w:rPr>
              <w:t>1,337</w:t>
            </w:r>
          </w:p>
        </w:tc>
        <w:tc>
          <w:tcPr>
            <w:tcW w:w="291" w:type="pct"/>
            <w:tcBorders>
              <w:top w:val="nil"/>
              <w:left w:val="nil"/>
              <w:bottom w:val="nil"/>
              <w:right w:val="nil"/>
            </w:tcBorders>
            <w:shd w:val="clear" w:color="auto" w:fill="auto"/>
            <w:noWrap/>
            <w:vAlign w:val="center"/>
            <w:hideMark/>
          </w:tcPr>
          <w:p w14:paraId="289ECF74" w14:textId="77777777" w:rsidR="00B66CC3" w:rsidRPr="004A5BF7" w:rsidRDefault="00B66CC3" w:rsidP="00B66CC3">
            <w:pPr>
              <w:spacing w:before="0" w:after="0"/>
              <w:jc w:val="center"/>
              <w:rPr>
                <w:rFonts w:cs="Arial"/>
                <w:sz w:val="18"/>
                <w:szCs w:val="18"/>
              </w:rPr>
            </w:pPr>
            <w:r w:rsidRPr="004A5BF7">
              <w:rPr>
                <w:rFonts w:cs="Arial"/>
                <w:sz w:val="18"/>
                <w:szCs w:val="18"/>
              </w:rPr>
              <w:t>4,108</w:t>
            </w:r>
          </w:p>
        </w:tc>
        <w:tc>
          <w:tcPr>
            <w:tcW w:w="291" w:type="pct"/>
            <w:tcBorders>
              <w:top w:val="nil"/>
              <w:left w:val="nil"/>
              <w:bottom w:val="nil"/>
              <w:right w:val="nil"/>
            </w:tcBorders>
            <w:shd w:val="clear" w:color="auto" w:fill="auto"/>
            <w:noWrap/>
            <w:vAlign w:val="center"/>
            <w:hideMark/>
          </w:tcPr>
          <w:p w14:paraId="6F895F51" w14:textId="77777777" w:rsidR="00B66CC3" w:rsidRPr="004A5BF7" w:rsidRDefault="00B66CC3" w:rsidP="00B66CC3">
            <w:pPr>
              <w:spacing w:before="0" w:after="0"/>
              <w:jc w:val="center"/>
              <w:rPr>
                <w:rFonts w:cs="Arial"/>
                <w:sz w:val="18"/>
                <w:szCs w:val="18"/>
              </w:rPr>
            </w:pPr>
            <w:r w:rsidRPr="004A5BF7">
              <w:rPr>
                <w:rFonts w:cs="Arial"/>
                <w:sz w:val="18"/>
                <w:szCs w:val="18"/>
              </w:rPr>
              <w:t>1,799</w:t>
            </w:r>
          </w:p>
        </w:tc>
        <w:tc>
          <w:tcPr>
            <w:tcW w:w="291" w:type="pct"/>
            <w:tcBorders>
              <w:top w:val="nil"/>
              <w:left w:val="nil"/>
              <w:bottom w:val="nil"/>
              <w:right w:val="nil"/>
            </w:tcBorders>
            <w:shd w:val="clear" w:color="auto" w:fill="auto"/>
            <w:noWrap/>
            <w:vAlign w:val="center"/>
            <w:hideMark/>
          </w:tcPr>
          <w:p w14:paraId="041A9FE3" w14:textId="77777777" w:rsidR="00B66CC3" w:rsidRPr="004A5BF7" w:rsidRDefault="00B66CC3" w:rsidP="00B66CC3">
            <w:pPr>
              <w:spacing w:before="0" w:after="0"/>
              <w:jc w:val="center"/>
              <w:rPr>
                <w:rFonts w:cs="Arial"/>
                <w:sz w:val="18"/>
                <w:szCs w:val="18"/>
              </w:rPr>
            </w:pPr>
            <w:r w:rsidRPr="004A5BF7">
              <w:rPr>
                <w:rFonts w:cs="Arial"/>
                <w:sz w:val="18"/>
                <w:szCs w:val="18"/>
              </w:rPr>
              <w:t>8,656</w:t>
            </w:r>
          </w:p>
        </w:tc>
        <w:tc>
          <w:tcPr>
            <w:tcW w:w="291" w:type="pct"/>
            <w:tcBorders>
              <w:top w:val="nil"/>
              <w:left w:val="nil"/>
              <w:bottom w:val="nil"/>
              <w:right w:val="nil"/>
            </w:tcBorders>
            <w:shd w:val="clear" w:color="auto" w:fill="auto"/>
            <w:noWrap/>
            <w:vAlign w:val="center"/>
            <w:hideMark/>
          </w:tcPr>
          <w:p w14:paraId="0C748BE1" w14:textId="77777777" w:rsidR="00B66CC3" w:rsidRPr="004A5BF7" w:rsidRDefault="00B66CC3" w:rsidP="00B66CC3">
            <w:pPr>
              <w:spacing w:before="0" w:after="0"/>
              <w:jc w:val="center"/>
              <w:rPr>
                <w:rFonts w:cs="Arial"/>
                <w:sz w:val="18"/>
                <w:szCs w:val="18"/>
              </w:rPr>
            </w:pPr>
            <w:r w:rsidRPr="004A5BF7">
              <w:rPr>
                <w:rFonts w:cs="Arial"/>
                <w:sz w:val="18"/>
                <w:szCs w:val="18"/>
              </w:rPr>
              <w:t>27,131</w:t>
            </w:r>
          </w:p>
        </w:tc>
        <w:tc>
          <w:tcPr>
            <w:tcW w:w="291" w:type="pct"/>
            <w:tcBorders>
              <w:top w:val="nil"/>
              <w:left w:val="nil"/>
              <w:bottom w:val="nil"/>
              <w:right w:val="nil"/>
            </w:tcBorders>
            <w:shd w:val="clear" w:color="auto" w:fill="auto"/>
            <w:noWrap/>
            <w:vAlign w:val="center"/>
            <w:hideMark/>
          </w:tcPr>
          <w:p w14:paraId="6E26E3FE" w14:textId="77777777" w:rsidR="00B66CC3" w:rsidRPr="004A5BF7" w:rsidRDefault="00B66CC3" w:rsidP="00B66CC3">
            <w:pPr>
              <w:spacing w:before="0" w:after="0"/>
              <w:jc w:val="center"/>
              <w:rPr>
                <w:rFonts w:cs="Arial"/>
                <w:sz w:val="18"/>
                <w:szCs w:val="18"/>
              </w:rPr>
            </w:pPr>
            <w:r w:rsidRPr="004A5BF7">
              <w:rPr>
                <w:rFonts w:cs="Arial"/>
                <w:sz w:val="18"/>
                <w:szCs w:val="18"/>
              </w:rPr>
              <w:t>29,091</w:t>
            </w:r>
          </w:p>
        </w:tc>
        <w:tc>
          <w:tcPr>
            <w:tcW w:w="291" w:type="pct"/>
            <w:tcBorders>
              <w:top w:val="nil"/>
              <w:left w:val="nil"/>
              <w:bottom w:val="nil"/>
              <w:right w:val="nil"/>
            </w:tcBorders>
            <w:shd w:val="clear" w:color="auto" w:fill="auto"/>
            <w:noWrap/>
            <w:vAlign w:val="center"/>
            <w:hideMark/>
          </w:tcPr>
          <w:p w14:paraId="65057C62" w14:textId="77777777" w:rsidR="00B66CC3" w:rsidRPr="004A5BF7" w:rsidRDefault="00B66CC3" w:rsidP="00B66CC3">
            <w:pPr>
              <w:spacing w:before="0" w:after="0"/>
              <w:jc w:val="center"/>
              <w:rPr>
                <w:rFonts w:cs="Arial"/>
                <w:sz w:val="18"/>
                <w:szCs w:val="18"/>
              </w:rPr>
            </w:pPr>
            <w:r w:rsidRPr="004A5BF7">
              <w:rPr>
                <w:rFonts w:cs="Arial"/>
                <w:sz w:val="18"/>
                <w:szCs w:val="18"/>
              </w:rPr>
              <w:t>7,662</w:t>
            </w:r>
          </w:p>
        </w:tc>
        <w:tc>
          <w:tcPr>
            <w:tcW w:w="330" w:type="pct"/>
            <w:tcBorders>
              <w:top w:val="nil"/>
              <w:left w:val="nil"/>
              <w:bottom w:val="nil"/>
              <w:right w:val="nil"/>
            </w:tcBorders>
            <w:shd w:val="clear" w:color="auto" w:fill="auto"/>
            <w:noWrap/>
            <w:vAlign w:val="center"/>
            <w:hideMark/>
          </w:tcPr>
          <w:p w14:paraId="1E81B836" w14:textId="77777777" w:rsidR="00B66CC3" w:rsidRPr="004A5BF7" w:rsidRDefault="00B66CC3" w:rsidP="00B66CC3">
            <w:pPr>
              <w:spacing w:before="0" w:after="0"/>
              <w:jc w:val="center"/>
              <w:rPr>
                <w:rFonts w:cs="Arial"/>
                <w:sz w:val="18"/>
                <w:szCs w:val="18"/>
              </w:rPr>
            </w:pPr>
            <w:r w:rsidRPr="004A5BF7">
              <w:rPr>
                <w:rFonts w:cs="Arial"/>
                <w:sz w:val="18"/>
                <w:szCs w:val="18"/>
              </w:rPr>
              <w:t>33,886</w:t>
            </w:r>
          </w:p>
        </w:tc>
        <w:tc>
          <w:tcPr>
            <w:tcW w:w="291" w:type="pct"/>
            <w:tcBorders>
              <w:top w:val="nil"/>
              <w:left w:val="nil"/>
              <w:bottom w:val="nil"/>
              <w:right w:val="nil"/>
            </w:tcBorders>
            <w:shd w:val="clear" w:color="auto" w:fill="auto"/>
            <w:noWrap/>
            <w:vAlign w:val="center"/>
            <w:hideMark/>
          </w:tcPr>
          <w:p w14:paraId="7184A5B6" w14:textId="77777777" w:rsidR="00B66CC3" w:rsidRPr="004A5BF7" w:rsidRDefault="00B66CC3" w:rsidP="00B66CC3">
            <w:pPr>
              <w:spacing w:before="0" w:after="0"/>
              <w:jc w:val="center"/>
              <w:rPr>
                <w:rFonts w:cs="Arial"/>
                <w:sz w:val="18"/>
                <w:szCs w:val="18"/>
              </w:rPr>
            </w:pPr>
            <w:r w:rsidRPr="004A5BF7">
              <w:rPr>
                <w:rFonts w:cs="Arial"/>
                <w:sz w:val="18"/>
                <w:szCs w:val="18"/>
              </w:rPr>
              <w:t>14,334</w:t>
            </w:r>
          </w:p>
        </w:tc>
        <w:tc>
          <w:tcPr>
            <w:tcW w:w="291" w:type="pct"/>
            <w:tcBorders>
              <w:top w:val="nil"/>
              <w:left w:val="nil"/>
              <w:bottom w:val="nil"/>
              <w:right w:val="nil"/>
            </w:tcBorders>
            <w:shd w:val="clear" w:color="auto" w:fill="auto"/>
            <w:noWrap/>
            <w:vAlign w:val="center"/>
            <w:hideMark/>
          </w:tcPr>
          <w:p w14:paraId="08D63CDE" w14:textId="77777777" w:rsidR="00B66CC3" w:rsidRPr="004A5BF7" w:rsidRDefault="00B66CC3" w:rsidP="00B66CC3">
            <w:pPr>
              <w:spacing w:before="0" w:after="0"/>
              <w:jc w:val="center"/>
              <w:rPr>
                <w:rFonts w:cs="Arial"/>
                <w:sz w:val="18"/>
                <w:szCs w:val="18"/>
              </w:rPr>
            </w:pPr>
            <w:r w:rsidRPr="004A5BF7">
              <w:rPr>
                <w:rFonts w:cs="Arial"/>
                <w:sz w:val="18"/>
                <w:szCs w:val="18"/>
              </w:rPr>
              <w:t>3,111</w:t>
            </w:r>
          </w:p>
        </w:tc>
        <w:tc>
          <w:tcPr>
            <w:tcW w:w="291" w:type="pct"/>
            <w:tcBorders>
              <w:top w:val="nil"/>
              <w:left w:val="nil"/>
              <w:bottom w:val="nil"/>
              <w:right w:val="nil"/>
            </w:tcBorders>
            <w:shd w:val="clear" w:color="auto" w:fill="auto"/>
            <w:noWrap/>
            <w:vAlign w:val="center"/>
            <w:hideMark/>
          </w:tcPr>
          <w:p w14:paraId="1DE9CCF8" w14:textId="77777777" w:rsidR="00B66CC3" w:rsidRPr="004A5BF7" w:rsidRDefault="00B66CC3" w:rsidP="00B66CC3">
            <w:pPr>
              <w:spacing w:before="0" w:after="0"/>
              <w:jc w:val="center"/>
              <w:rPr>
                <w:rFonts w:cs="Arial"/>
                <w:sz w:val="18"/>
                <w:szCs w:val="18"/>
              </w:rPr>
            </w:pPr>
            <w:r w:rsidRPr="004A5BF7">
              <w:rPr>
                <w:rFonts w:cs="Arial"/>
                <w:sz w:val="18"/>
                <w:szCs w:val="18"/>
              </w:rPr>
              <w:t>1,163</w:t>
            </w:r>
          </w:p>
        </w:tc>
        <w:tc>
          <w:tcPr>
            <w:tcW w:w="253" w:type="pct"/>
            <w:tcBorders>
              <w:top w:val="nil"/>
              <w:left w:val="nil"/>
              <w:bottom w:val="nil"/>
              <w:right w:val="nil"/>
            </w:tcBorders>
            <w:shd w:val="clear" w:color="auto" w:fill="auto"/>
            <w:noWrap/>
            <w:vAlign w:val="center"/>
            <w:hideMark/>
          </w:tcPr>
          <w:p w14:paraId="2D69020A" w14:textId="77777777" w:rsidR="00B66CC3" w:rsidRPr="004A5BF7" w:rsidRDefault="00B66CC3" w:rsidP="00B66CC3">
            <w:pPr>
              <w:spacing w:before="0" w:after="0"/>
              <w:jc w:val="center"/>
              <w:rPr>
                <w:rFonts w:cs="Arial"/>
                <w:sz w:val="18"/>
                <w:szCs w:val="18"/>
              </w:rPr>
            </w:pPr>
            <w:r w:rsidRPr="004A5BF7">
              <w:rPr>
                <w:rFonts w:cs="Arial"/>
                <w:sz w:val="18"/>
                <w:szCs w:val="18"/>
              </w:rPr>
              <w:t>619</w:t>
            </w:r>
          </w:p>
        </w:tc>
      </w:tr>
      <w:tr w:rsidR="00B66CC3" w:rsidRPr="00E9409C" w14:paraId="37F1DC01" w14:textId="77777777" w:rsidTr="00E662D3">
        <w:trPr>
          <w:trHeight w:val="454"/>
          <w:tblHeader/>
        </w:trPr>
        <w:tc>
          <w:tcPr>
            <w:tcW w:w="546" w:type="pct"/>
            <w:tcBorders>
              <w:top w:val="nil"/>
              <w:left w:val="nil"/>
              <w:bottom w:val="nil"/>
              <w:right w:val="nil"/>
            </w:tcBorders>
            <w:shd w:val="clear" w:color="auto" w:fill="auto"/>
            <w:noWrap/>
            <w:vAlign w:val="center"/>
            <w:hideMark/>
          </w:tcPr>
          <w:p w14:paraId="38840827" w14:textId="77777777" w:rsidR="00B66CC3" w:rsidRPr="004A5BF7" w:rsidRDefault="00B66CC3" w:rsidP="004A5BF7">
            <w:pPr>
              <w:spacing w:before="0" w:after="0"/>
              <w:jc w:val="left"/>
              <w:rPr>
                <w:rFonts w:cs="Arial"/>
                <w:sz w:val="18"/>
                <w:szCs w:val="18"/>
              </w:rPr>
            </w:pPr>
            <w:r w:rsidRPr="004A5BF7">
              <w:rPr>
                <w:rFonts w:cs="Arial"/>
                <w:sz w:val="18"/>
                <w:szCs w:val="18"/>
              </w:rPr>
              <w:t>Proserpine</w:t>
            </w:r>
          </w:p>
        </w:tc>
        <w:tc>
          <w:tcPr>
            <w:tcW w:w="707" w:type="pct"/>
            <w:tcBorders>
              <w:top w:val="nil"/>
              <w:left w:val="nil"/>
              <w:bottom w:val="nil"/>
              <w:right w:val="nil"/>
            </w:tcBorders>
            <w:shd w:val="clear" w:color="auto" w:fill="auto"/>
            <w:noWrap/>
            <w:vAlign w:val="center"/>
            <w:hideMark/>
          </w:tcPr>
          <w:p w14:paraId="3C39925D" w14:textId="7556B0F6" w:rsidR="00B66CC3" w:rsidRPr="004A5BF7" w:rsidRDefault="00B66CC3" w:rsidP="004A5BF7">
            <w:pPr>
              <w:spacing w:before="0" w:after="0"/>
              <w:jc w:val="left"/>
              <w:rPr>
                <w:rFonts w:cs="Arial"/>
                <w:sz w:val="18"/>
                <w:szCs w:val="18"/>
              </w:rPr>
            </w:pPr>
            <w:r w:rsidRPr="004A5BF7">
              <w:rPr>
                <w:rFonts w:cs="Arial"/>
                <w:sz w:val="18"/>
                <w:szCs w:val="18"/>
              </w:rPr>
              <w:t>Mackay</w:t>
            </w:r>
            <w:r w:rsidR="000E764B">
              <w:rPr>
                <w:rFonts w:cs="Arial"/>
                <w:sz w:val="18"/>
                <w:szCs w:val="18"/>
              </w:rPr>
              <w:t xml:space="preserve"> </w:t>
            </w:r>
            <w:r w:rsidRPr="004A5BF7">
              <w:rPr>
                <w:rFonts w:cs="Arial"/>
                <w:sz w:val="18"/>
                <w:szCs w:val="18"/>
              </w:rPr>
              <w:t>Whitsunday</w:t>
            </w:r>
          </w:p>
        </w:tc>
        <w:tc>
          <w:tcPr>
            <w:tcW w:w="253" w:type="pct"/>
            <w:tcBorders>
              <w:top w:val="nil"/>
              <w:left w:val="nil"/>
              <w:bottom w:val="nil"/>
              <w:right w:val="nil"/>
            </w:tcBorders>
            <w:shd w:val="clear" w:color="auto" w:fill="auto"/>
            <w:noWrap/>
            <w:vAlign w:val="center"/>
            <w:hideMark/>
          </w:tcPr>
          <w:p w14:paraId="07B0DD98" w14:textId="77777777" w:rsidR="00B66CC3" w:rsidRPr="004A5BF7" w:rsidRDefault="00B66CC3" w:rsidP="00B66CC3">
            <w:pPr>
              <w:spacing w:before="0" w:after="0"/>
              <w:jc w:val="center"/>
              <w:rPr>
                <w:rFonts w:cs="Arial"/>
                <w:sz w:val="18"/>
                <w:szCs w:val="18"/>
              </w:rPr>
            </w:pPr>
            <w:r w:rsidRPr="004A5BF7">
              <w:rPr>
                <w:rFonts w:cs="Arial"/>
                <w:sz w:val="18"/>
                <w:szCs w:val="18"/>
              </w:rPr>
              <w:t>15</w:t>
            </w:r>
          </w:p>
        </w:tc>
        <w:tc>
          <w:tcPr>
            <w:tcW w:w="291" w:type="pct"/>
            <w:tcBorders>
              <w:top w:val="nil"/>
              <w:left w:val="nil"/>
              <w:bottom w:val="nil"/>
              <w:right w:val="nil"/>
            </w:tcBorders>
            <w:shd w:val="clear" w:color="auto" w:fill="auto"/>
            <w:noWrap/>
            <w:vAlign w:val="center"/>
            <w:hideMark/>
          </w:tcPr>
          <w:p w14:paraId="2731C199" w14:textId="77777777" w:rsidR="00B66CC3" w:rsidRPr="004A5BF7" w:rsidRDefault="00B66CC3" w:rsidP="00B66CC3">
            <w:pPr>
              <w:spacing w:before="0" w:after="0"/>
              <w:jc w:val="center"/>
              <w:rPr>
                <w:rFonts w:cs="Arial"/>
                <w:sz w:val="18"/>
                <w:szCs w:val="18"/>
              </w:rPr>
            </w:pPr>
            <w:r w:rsidRPr="004A5BF7">
              <w:rPr>
                <w:rFonts w:cs="Arial"/>
                <w:sz w:val="18"/>
                <w:szCs w:val="18"/>
              </w:rPr>
              <w:t>7</w:t>
            </w:r>
          </w:p>
        </w:tc>
        <w:tc>
          <w:tcPr>
            <w:tcW w:w="291" w:type="pct"/>
            <w:tcBorders>
              <w:top w:val="nil"/>
              <w:left w:val="nil"/>
              <w:bottom w:val="nil"/>
              <w:right w:val="nil"/>
            </w:tcBorders>
            <w:shd w:val="clear" w:color="auto" w:fill="auto"/>
            <w:noWrap/>
            <w:vAlign w:val="center"/>
            <w:hideMark/>
          </w:tcPr>
          <w:p w14:paraId="3ADCD8F5" w14:textId="77777777" w:rsidR="00B66CC3" w:rsidRPr="004A5BF7" w:rsidRDefault="00B66CC3" w:rsidP="00B66CC3">
            <w:pPr>
              <w:spacing w:before="0" w:after="0"/>
              <w:jc w:val="center"/>
              <w:rPr>
                <w:rFonts w:cs="Arial"/>
                <w:sz w:val="18"/>
                <w:szCs w:val="18"/>
              </w:rPr>
            </w:pPr>
            <w:r w:rsidRPr="004A5BF7">
              <w:rPr>
                <w:rFonts w:cs="Arial"/>
                <w:sz w:val="18"/>
                <w:szCs w:val="18"/>
              </w:rPr>
              <w:t>22</w:t>
            </w:r>
          </w:p>
        </w:tc>
        <w:tc>
          <w:tcPr>
            <w:tcW w:w="291" w:type="pct"/>
            <w:tcBorders>
              <w:top w:val="nil"/>
              <w:left w:val="nil"/>
              <w:bottom w:val="nil"/>
              <w:right w:val="nil"/>
            </w:tcBorders>
            <w:shd w:val="clear" w:color="auto" w:fill="auto"/>
            <w:noWrap/>
            <w:vAlign w:val="center"/>
            <w:hideMark/>
          </w:tcPr>
          <w:p w14:paraId="457C08B1" w14:textId="77777777" w:rsidR="00B66CC3" w:rsidRPr="004A5BF7" w:rsidRDefault="00B66CC3" w:rsidP="00B66CC3">
            <w:pPr>
              <w:spacing w:before="0" w:after="0"/>
              <w:jc w:val="center"/>
              <w:rPr>
                <w:rFonts w:cs="Arial"/>
                <w:sz w:val="18"/>
                <w:szCs w:val="18"/>
              </w:rPr>
            </w:pPr>
            <w:r w:rsidRPr="004A5BF7">
              <w:rPr>
                <w:rFonts w:cs="Arial"/>
                <w:sz w:val="18"/>
                <w:szCs w:val="18"/>
              </w:rPr>
              <w:t>18</w:t>
            </w:r>
          </w:p>
        </w:tc>
        <w:tc>
          <w:tcPr>
            <w:tcW w:w="291" w:type="pct"/>
            <w:tcBorders>
              <w:top w:val="nil"/>
              <w:left w:val="nil"/>
              <w:bottom w:val="nil"/>
              <w:right w:val="nil"/>
            </w:tcBorders>
            <w:shd w:val="clear" w:color="auto" w:fill="auto"/>
            <w:noWrap/>
            <w:vAlign w:val="center"/>
            <w:hideMark/>
          </w:tcPr>
          <w:p w14:paraId="42665866" w14:textId="77777777" w:rsidR="00B66CC3" w:rsidRPr="004A5BF7" w:rsidRDefault="00B66CC3" w:rsidP="00B66CC3">
            <w:pPr>
              <w:spacing w:before="0" w:after="0"/>
              <w:jc w:val="center"/>
              <w:rPr>
                <w:rFonts w:cs="Arial"/>
                <w:sz w:val="18"/>
                <w:szCs w:val="18"/>
              </w:rPr>
            </w:pPr>
            <w:r w:rsidRPr="004A5BF7">
              <w:rPr>
                <w:rFonts w:cs="Arial"/>
                <w:sz w:val="18"/>
                <w:szCs w:val="18"/>
              </w:rPr>
              <w:t>38</w:t>
            </w:r>
          </w:p>
        </w:tc>
        <w:tc>
          <w:tcPr>
            <w:tcW w:w="291" w:type="pct"/>
            <w:tcBorders>
              <w:top w:val="nil"/>
              <w:left w:val="nil"/>
              <w:bottom w:val="nil"/>
              <w:right w:val="nil"/>
            </w:tcBorders>
            <w:shd w:val="clear" w:color="auto" w:fill="auto"/>
            <w:noWrap/>
            <w:vAlign w:val="center"/>
            <w:hideMark/>
          </w:tcPr>
          <w:p w14:paraId="6B5A22AF" w14:textId="77777777" w:rsidR="00B66CC3" w:rsidRPr="004A5BF7" w:rsidRDefault="00B66CC3" w:rsidP="00B66CC3">
            <w:pPr>
              <w:spacing w:before="0" w:after="0"/>
              <w:jc w:val="center"/>
              <w:rPr>
                <w:rFonts w:cs="Arial"/>
                <w:sz w:val="18"/>
                <w:szCs w:val="18"/>
              </w:rPr>
            </w:pPr>
            <w:r w:rsidRPr="004A5BF7">
              <w:rPr>
                <w:rFonts w:cs="Arial"/>
                <w:sz w:val="18"/>
                <w:szCs w:val="18"/>
              </w:rPr>
              <w:t>70</w:t>
            </w:r>
          </w:p>
        </w:tc>
        <w:tc>
          <w:tcPr>
            <w:tcW w:w="291" w:type="pct"/>
            <w:tcBorders>
              <w:top w:val="nil"/>
              <w:left w:val="nil"/>
              <w:bottom w:val="nil"/>
              <w:right w:val="nil"/>
            </w:tcBorders>
            <w:shd w:val="clear" w:color="auto" w:fill="auto"/>
            <w:noWrap/>
            <w:vAlign w:val="center"/>
            <w:hideMark/>
          </w:tcPr>
          <w:p w14:paraId="7BF18769" w14:textId="77777777" w:rsidR="00B66CC3" w:rsidRPr="004A5BF7" w:rsidRDefault="00B66CC3" w:rsidP="00B66CC3">
            <w:pPr>
              <w:spacing w:before="0" w:after="0"/>
              <w:jc w:val="center"/>
              <w:rPr>
                <w:rFonts w:cs="Arial"/>
                <w:sz w:val="18"/>
                <w:szCs w:val="18"/>
              </w:rPr>
            </w:pPr>
            <w:r w:rsidRPr="004A5BF7">
              <w:rPr>
                <w:rFonts w:cs="Arial"/>
                <w:sz w:val="18"/>
                <w:szCs w:val="18"/>
              </w:rPr>
              <w:t>60</w:t>
            </w:r>
          </w:p>
        </w:tc>
        <w:tc>
          <w:tcPr>
            <w:tcW w:w="291" w:type="pct"/>
            <w:tcBorders>
              <w:top w:val="nil"/>
              <w:left w:val="nil"/>
              <w:bottom w:val="nil"/>
              <w:right w:val="nil"/>
            </w:tcBorders>
            <w:shd w:val="clear" w:color="auto" w:fill="auto"/>
            <w:noWrap/>
            <w:vAlign w:val="center"/>
            <w:hideMark/>
          </w:tcPr>
          <w:p w14:paraId="7BE4C073" w14:textId="77777777" w:rsidR="00B66CC3" w:rsidRPr="004A5BF7" w:rsidRDefault="00B66CC3" w:rsidP="00B66CC3">
            <w:pPr>
              <w:spacing w:before="0" w:after="0"/>
              <w:jc w:val="center"/>
              <w:rPr>
                <w:rFonts w:cs="Arial"/>
                <w:sz w:val="18"/>
                <w:szCs w:val="18"/>
              </w:rPr>
            </w:pPr>
            <w:r w:rsidRPr="004A5BF7">
              <w:rPr>
                <w:rFonts w:cs="Arial"/>
                <w:sz w:val="18"/>
                <w:szCs w:val="18"/>
              </w:rPr>
              <w:t>44</w:t>
            </w:r>
          </w:p>
        </w:tc>
        <w:tc>
          <w:tcPr>
            <w:tcW w:w="330" w:type="pct"/>
            <w:tcBorders>
              <w:top w:val="nil"/>
              <w:left w:val="nil"/>
              <w:bottom w:val="nil"/>
              <w:right w:val="nil"/>
            </w:tcBorders>
            <w:shd w:val="clear" w:color="auto" w:fill="auto"/>
            <w:noWrap/>
            <w:vAlign w:val="center"/>
            <w:hideMark/>
          </w:tcPr>
          <w:p w14:paraId="11B7FEFB" w14:textId="77777777" w:rsidR="00B66CC3" w:rsidRPr="004A5BF7" w:rsidRDefault="00B66CC3" w:rsidP="00B66CC3">
            <w:pPr>
              <w:spacing w:before="0" w:after="0"/>
              <w:jc w:val="center"/>
              <w:rPr>
                <w:rFonts w:cs="Arial"/>
                <w:sz w:val="18"/>
                <w:szCs w:val="18"/>
              </w:rPr>
            </w:pPr>
            <w:r w:rsidRPr="004A5BF7">
              <w:rPr>
                <w:rFonts w:cs="Arial"/>
                <w:sz w:val="18"/>
                <w:szCs w:val="18"/>
              </w:rPr>
              <w:t>336</w:t>
            </w:r>
          </w:p>
        </w:tc>
        <w:tc>
          <w:tcPr>
            <w:tcW w:w="291" w:type="pct"/>
            <w:tcBorders>
              <w:top w:val="nil"/>
              <w:left w:val="nil"/>
              <w:bottom w:val="nil"/>
              <w:right w:val="nil"/>
            </w:tcBorders>
            <w:shd w:val="clear" w:color="auto" w:fill="auto"/>
            <w:noWrap/>
            <w:vAlign w:val="center"/>
            <w:hideMark/>
          </w:tcPr>
          <w:p w14:paraId="5ABD98C2" w14:textId="77777777" w:rsidR="00B66CC3" w:rsidRPr="004A5BF7" w:rsidRDefault="00B66CC3" w:rsidP="00B66CC3">
            <w:pPr>
              <w:spacing w:before="0" w:after="0"/>
              <w:jc w:val="center"/>
              <w:rPr>
                <w:rFonts w:cs="Arial"/>
                <w:sz w:val="18"/>
                <w:szCs w:val="18"/>
              </w:rPr>
            </w:pPr>
            <w:r w:rsidRPr="004A5BF7">
              <w:rPr>
                <w:rFonts w:cs="Arial"/>
                <w:sz w:val="18"/>
                <w:szCs w:val="18"/>
              </w:rPr>
              <w:t>47</w:t>
            </w:r>
          </w:p>
        </w:tc>
        <w:tc>
          <w:tcPr>
            <w:tcW w:w="291" w:type="pct"/>
            <w:tcBorders>
              <w:top w:val="nil"/>
              <w:left w:val="nil"/>
              <w:bottom w:val="nil"/>
              <w:right w:val="nil"/>
            </w:tcBorders>
            <w:shd w:val="clear" w:color="auto" w:fill="auto"/>
            <w:noWrap/>
            <w:vAlign w:val="center"/>
            <w:hideMark/>
          </w:tcPr>
          <w:p w14:paraId="369A1F72" w14:textId="77777777" w:rsidR="00B66CC3" w:rsidRPr="004A5BF7" w:rsidRDefault="00B66CC3" w:rsidP="00B66CC3">
            <w:pPr>
              <w:spacing w:before="0" w:after="0"/>
              <w:jc w:val="center"/>
              <w:rPr>
                <w:rFonts w:cs="Arial"/>
                <w:sz w:val="18"/>
                <w:szCs w:val="18"/>
              </w:rPr>
            </w:pPr>
            <w:r w:rsidRPr="004A5BF7">
              <w:rPr>
                <w:rFonts w:cs="Arial"/>
                <w:sz w:val="18"/>
                <w:szCs w:val="18"/>
              </w:rPr>
              <w:t>31</w:t>
            </w:r>
          </w:p>
        </w:tc>
        <w:tc>
          <w:tcPr>
            <w:tcW w:w="291" w:type="pct"/>
            <w:tcBorders>
              <w:top w:val="nil"/>
              <w:left w:val="nil"/>
              <w:bottom w:val="nil"/>
              <w:right w:val="nil"/>
            </w:tcBorders>
            <w:shd w:val="clear" w:color="auto" w:fill="auto"/>
            <w:noWrap/>
            <w:vAlign w:val="center"/>
            <w:hideMark/>
          </w:tcPr>
          <w:p w14:paraId="51B53181" w14:textId="77777777" w:rsidR="00B66CC3" w:rsidRPr="004A5BF7" w:rsidRDefault="00B66CC3" w:rsidP="00B66CC3">
            <w:pPr>
              <w:spacing w:before="0" w:after="0"/>
              <w:jc w:val="center"/>
              <w:rPr>
                <w:rFonts w:cs="Arial"/>
                <w:sz w:val="18"/>
                <w:szCs w:val="18"/>
              </w:rPr>
            </w:pPr>
            <w:r w:rsidRPr="004A5BF7">
              <w:rPr>
                <w:rFonts w:cs="Arial"/>
                <w:sz w:val="18"/>
                <w:szCs w:val="18"/>
              </w:rPr>
              <w:t>2</w:t>
            </w:r>
          </w:p>
        </w:tc>
        <w:tc>
          <w:tcPr>
            <w:tcW w:w="253" w:type="pct"/>
            <w:tcBorders>
              <w:top w:val="nil"/>
              <w:left w:val="nil"/>
              <w:bottom w:val="nil"/>
              <w:right w:val="nil"/>
            </w:tcBorders>
            <w:shd w:val="clear" w:color="auto" w:fill="auto"/>
            <w:noWrap/>
            <w:vAlign w:val="center"/>
            <w:hideMark/>
          </w:tcPr>
          <w:p w14:paraId="2F38FA94" w14:textId="77777777" w:rsidR="00B66CC3" w:rsidRPr="004A5BF7" w:rsidRDefault="00B66CC3" w:rsidP="00B66CC3">
            <w:pPr>
              <w:spacing w:before="0" w:after="0"/>
              <w:jc w:val="center"/>
              <w:rPr>
                <w:rFonts w:cs="Arial"/>
                <w:sz w:val="18"/>
                <w:szCs w:val="18"/>
              </w:rPr>
            </w:pPr>
            <w:r w:rsidRPr="004A5BF7">
              <w:rPr>
                <w:rFonts w:cs="Arial"/>
                <w:sz w:val="18"/>
                <w:szCs w:val="18"/>
              </w:rPr>
              <w:t>7</w:t>
            </w:r>
          </w:p>
        </w:tc>
      </w:tr>
      <w:tr w:rsidR="00B66CC3" w:rsidRPr="00E9409C" w14:paraId="03762F5F" w14:textId="77777777" w:rsidTr="00E662D3">
        <w:trPr>
          <w:trHeight w:val="454"/>
          <w:tblHeader/>
        </w:trPr>
        <w:tc>
          <w:tcPr>
            <w:tcW w:w="546" w:type="pct"/>
            <w:tcBorders>
              <w:top w:val="nil"/>
              <w:left w:val="nil"/>
              <w:bottom w:val="nil"/>
              <w:right w:val="nil"/>
            </w:tcBorders>
            <w:shd w:val="clear" w:color="auto" w:fill="auto"/>
            <w:noWrap/>
            <w:vAlign w:val="center"/>
            <w:hideMark/>
          </w:tcPr>
          <w:p w14:paraId="5491DCD7" w14:textId="77777777" w:rsidR="00B66CC3" w:rsidRPr="004A5BF7" w:rsidRDefault="00B66CC3" w:rsidP="004A5BF7">
            <w:pPr>
              <w:spacing w:before="0" w:after="0"/>
              <w:jc w:val="left"/>
              <w:rPr>
                <w:rFonts w:cs="Arial"/>
                <w:sz w:val="18"/>
                <w:szCs w:val="18"/>
              </w:rPr>
            </w:pPr>
            <w:r w:rsidRPr="004A5BF7">
              <w:rPr>
                <w:rFonts w:cs="Arial"/>
                <w:sz w:val="18"/>
                <w:szCs w:val="18"/>
              </w:rPr>
              <w:t>O'Connell</w:t>
            </w:r>
          </w:p>
        </w:tc>
        <w:tc>
          <w:tcPr>
            <w:tcW w:w="707" w:type="pct"/>
            <w:tcBorders>
              <w:top w:val="nil"/>
              <w:left w:val="nil"/>
              <w:bottom w:val="nil"/>
              <w:right w:val="nil"/>
            </w:tcBorders>
            <w:shd w:val="clear" w:color="auto" w:fill="auto"/>
            <w:noWrap/>
            <w:vAlign w:val="center"/>
            <w:hideMark/>
          </w:tcPr>
          <w:p w14:paraId="7AD21312" w14:textId="19CFD4B1" w:rsidR="00B66CC3" w:rsidRPr="004A5BF7" w:rsidRDefault="00B66CC3" w:rsidP="004A5BF7">
            <w:pPr>
              <w:spacing w:before="0" w:after="0"/>
              <w:jc w:val="left"/>
              <w:rPr>
                <w:rFonts w:cs="Arial"/>
                <w:sz w:val="18"/>
                <w:szCs w:val="18"/>
              </w:rPr>
            </w:pPr>
            <w:r w:rsidRPr="004A5BF7">
              <w:rPr>
                <w:rFonts w:cs="Arial"/>
                <w:sz w:val="18"/>
                <w:szCs w:val="18"/>
              </w:rPr>
              <w:t>Mackay</w:t>
            </w:r>
            <w:r w:rsidR="000E764B">
              <w:rPr>
                <w:rFonts w:cs="Arial"/>
                <w:sz w:val="18"/>
                <w:szCs w:val="18"/>
              </w:rPr>
              <w:t xml:space="preserve"> </w:t>
            </w:r>
            <w:r w:rsidRPr="004A5BF7">
              <w:rPr>
                <w:rFonts w:cs="Arial"/>
                <w:sz w:val="18"/>
                <w:szCs w:val="18"/>
              </w:rPr>
              <w:t>Whitsunday</w:t>
            </w:r>
          </w:p>
        </w:tc>
        <w:tc>
          <w:tcPr>
            <w:tcW w:w="253" w:type="pct"/>
            <w:tcBorders>
              <w:top w:val="nil"/>
              <w:left w:val="nil"/>
              <w:bottom w:val="nil"/>
              <w:right w:val="nil"/>
            </w:tcBorders>
            <w:shd w:val="clear" w:color="auto" w:fill="auto"/>
            <w:noWrap/>
            <w:vAlign w:val="center"/>
            <w:hideMark/>
          </w:tcPr>
          <w:p w14:paraId="68329A1D" w14:textId="77777777" w:rsidR="00B66CC3" w:rsidRPr="004A5BF7" w:rsidRDefault="00B66CC3" w:rsidP="00B66CC3">
            <w:pPr>
              <w:spacing w:before="0" w:after="0"/>
              <w:jc w:val="center"/>
              <w:rPr>
                <w:rFonts w:cs="Arial"/>
                <w:sz w:val="18"/>
                <w:szCs w:val="18"/>
              </w:rPr>
            </w:pPr>
            <w:r w:rsidRPr="004A5BF7">
              <w:rPr>
                <w:rFonts w:cs="Arial"/>
                <w:sz w:val="18"/>
                <w:szCs w:val="18"/>
              </w:rPr>
              <w:t>23</w:t>
            </w:r>
          </w:p>
        </w:tc>
        <w:tc>
          <w:tcPr>
            <w:tcW w:w="291" w:type="pct"/>
            <w:tcBorders>
              <w:top w:val="nil"/>
              <w:left w:val="nil"/>
              <w:bottom w:val="nil"/>
              <w:right w:val="nil"/>
            </w:tcBorders>
            <w:shd w:val="clear" w:color="auto" w:fill="auto"/>
            <w:noWrap/>
            <w:vAlign w:val="center"/>
            <w:hideMark/>
          </w:tcPr>
          <w:p w14:paraId="784F3F0C" w14:textId="77777777" w:rsidR="00B66CC3" w:rsidRPr="004A5BF7" w:rsidRDefault="00B66CC3" w:rsidP="00B66CC3">
            <w:pPr>
              <w:spacing w:before="0" w:after="0"/>
              <w:jc w:val="center"/>
              <w:rPr>
                <w:rFonts w:cs="Arial"/>
                <w:sz w:val="18"/>
                <w:szCs w:val="18"/>
              </w:rPr>
            </w:pPr>
            <w:r w:rsidRPr="004A5BF7">
              <w:rPr>
                <w:rFonts w:cs="Arial"/>
                <w:sz w:val="18"/>
                <w:szCs w:val="18"/>
              </w:rPr>
              <w:t>24</w:t>
            </w:r>
          </w:p>
        </w:tc>
        <w:tc>
          <w:tcPr>
            <w:tcW w:w="291" w:type="pct"/>
            <w:tcBorders>
              <w:top w:val="nil"/>
              <w:left w:val="nil"/>
              <w:bottom w:val="nil"/>
              <w:right w:val="nil"/>
            </w:tcBorders>
            <w:shd w:val="clear" w:color="auto" w:fill="auto"/>
            <w:noWrap/>
            <w:vAlign w:val="center"/>
            <w:hideMark/>
          </w:tcPr>
          <w:p w14:paraId="13329A83" w14:textId="77777777" w:rsidR="00B66CC3" w:rsidRPr="004A5BF7" w:rsidRDefault="00B66CC3" w:rsidP="00B66CC3">
            <w:pPr>
              <w:spacing w:before="0" w:after="0"/>
              <w:jc w:val="center"/>
              <w:rPr>
                <w:rFonts w:cs="Arial"/>
                <w:sz w:val="18"/>
                <w:szCs w:val="18"/>
              </w:rPr>
            </w:pPr>
            <w:r w:rsidRPr="004A5BF7">
              <w:rPr>
                <w:rFonts w:cs="Arial"/>
                <w:sz w:val="18"/>
                <w:szCs w:val="18"/>
              </w:rPr>
              <w:t>76</w:t>
            </w:r>
          </w:p>
        </w:tc>
        <w:tc>
          <w:tcPr>
            <w:tcW w:w="291" w:type="pct"/>
            <w:tcBorders>
              <w:top w:val="nil"/>
              <w:left w:val="nil"/>
              <w:bottom w:val="nil"/>
              <w:right w:val="nil"/>
            </w:tcBorders>
            <w:shd w:val="clear" w:color="auto" w:fill="auto"/>
            <w:noWrap/>
            <w:vAlign w:val="center"/>
            <w:hideMark/>
          </w:tcPr>
          <w:p w14:paraId="175E3D7A" w14:textId="77777777" w:rsidR="00B66CC3" w:rsidRPr="004A5BF7" w:rsidRDefault="00B66CC3" w:rsidP="00B66CC3">
            <w:pPr>
              <w:spacing w:before="0" w:after="0"/>
              <w:jc w:val="center"/>
              <w:rPr>
                <w:rFonts w:cs="Arial"/>
                <w:sz w:val="18"/>
                <w:szCs w:val="18"/>
              </w:rPr>
            </w:pPr>
            <w:r w:rsidRPr="004A5BF7">
              <w:rPr>
                <w:rFonts w:cs="Arial"/>
                <w:sz w:val="18"/>
                <w:szCs w:val="18"/>
              </w:rPr>
              <w:t>85</w:t>
            </w:r>
          </w:p>
        </w:tc>
        <w:tc>
          <w:tcPr>
            <w:tcW w:w="291" w:type="pct"/>
            <w:tcBorders>
              <w:top w:val="nil"/>
              <w:left w:val="nil"/>
              <w:bottom w:val="nil"/>
              <w:right w:val="nil"/>
            </w:tcBorders>
            <w:shd w:val="clear" w:color="auto" w:fill="auto"/>
            <w:noWrap/>
            <w:vAlign w:val="center"/>
            <w:hideMark/>
          </w:tcPr>
          <w:p w14:paraId="15693967" w14:textId="77777777" w:rsidR="00B66CC3" w:rsidRPr="004A5BF7" w:rsidRDefault="00B66CC3" w:rsidP="00B66CC3">
            <w:pPr>
              <w:spacing w:before="0" w:after="0"/>
              <w:jc w:val="center"/>
              <w:rPr>
                <w:rFonts w:cs="Arial"/>
                <w:sz w:val="18"/>
                <w:szCs w:val="18"/>
              </w:rPr>
            </w:pPr>
            <w:r w:rsidRPr="004A5BF7">
              <w:rPr>
                <w:rFonts w:cs="Arial"/>
                <w:sz w:val="18"/>
                <w:szCs w:val="18"/>
              </w:rPr>
              <w:t>167</w:t>
            </w:r>
          </w:p>
        </w:tc>
        <w:tc>
          <w:tcPr>
            <w:tcW w:w="291" w:type="pct"/>
            <w:tcBorders>
              <w:top w:val="nil"/>
              <w:left w:val="nil"/>
              <w:bottom w:val="nil"/>
              <w:right w:val="nil"/>
            </w:tcBorders>
            <w:shd w:val="clear" w:color="auto" w:fill="auto"/>
            <w:noWrap/>
            <w:vAlign w:val="center"/>
            <w:hideMark/>
          </w:tcPr>
          <w:p w14:paraId="00CBF439" w14:textId="77777777" w:rsidR="00B66CC3" w:rsidRPr="004A5BF7" w:rsidRDefault="00B66CC3" w:rsidP="00B66CC3">
            <w:pPr>
              <w:spacing w:before="0" w:after="0"/>
              <w:jc w:val="center"/>
              <w:rPr>
                <w:rFonts w:cs="Arial"/>
                <w:sz w:val="18"/>
                <w:szCs w:val="18"/>
              </w:rPr>
            </w:pPr>
            <w:r w:rsidRPr="004A5BF7">
              <w:rPr>
                <w:rFonts w:cs="Arial"/>
                <w:sz w:val="18"/>
                <w:szCs w:val="18"/>
              </w:rPr>
              <w:t>252</w:t>
            </w:r>
          </w:p>
        </w:tc>
        <w:tc>
          <w:tcPr>
            <w:tcW w:w="291" w:type="pct"/>
            <w:tcBorders>
              <w:top w:val="nil"/>
              <w:left w:val="nil"/>
              <w:bottom w:val="nil"/>
              <w:right w:val="nil"/>
            </w:tcBorders>
            <w:shd w:val="clear" w:color="auto" w:fill="auto"/>
            <w:noWrap/>
            <w:vAlign w:val="center"/>
            <w:hideMark/>
          </w:tcPr>
          <w:p w14:paraId="2B64CCFB" w14:textId="77777777" w:rsidR="00B66CC3" w:rsidRPr="004A5BF7" w:rsidRDefault="00B66CC3" w:rsidP="00B66CC3">
            <w:pPr>
              <w:spacing w:before="0" w:after="0"/>
              <w:jc w:val="center"/>
              <w:rPr>
                <w:rFonts w:cs="Arial"/>
                <w:sz w:val="18"/>
                <w:szCs w:val="18"/>
              </w:rPr>
            </w:pPr>
            <w:r w:rsidRPr="004A5BF7">
              <w:rPr>
                <w:rFonts w:cs="Arial"/>
                <w:sz w:val="18"/>
                <w:szCs w:val="18"/>
              </w:rPr>
              <w:t>185</w:t>
            </w:r>
          </w:p>
        </w:tc>
        <w:tc>
          <w:tcPr>
            <w:tcW w:w="291" w:type="pct"/>
            <w:tcBorders>
              <w:top w:val="nil"/>
              <w:left w:val="nil"/>
              <w:bottom w:val="nil"/>
              <w:right w:val="nil"/>
            </w:tcBorders>
            <w:shd w:val="clear" w:color="auto" w:fill="auto"/>
            <w:noWrap/>
            <w:vAlign w:val="center"/>
            <w:hideMark/>
          </w:tcPr>
          <w:p w14:paraId="55187B58" w14:textId="77777777" w:rsidR="00B66CC3" w:rsidRPr="004A5BF7" w:rsidRDefault="00B66CC3" w:rsidP="00B66CC3">
            <w:pPr>
              <w:spacing w:before="0" w:after="0"/>
              <w:jc w:val="center"/>
              <w:rPr>
                <w:rFonts w:cs="Arial"/>
                <w:sz w:val="18"/>
                <w:szCs w:val="18"/>
              </w:rPr>
            </w:pPr>
            <w:r w:rsidRPr="004A5BF7">
              <w:rPr>
                <w:rFonts w:cs="Arial"/>
                <w:sz w:val="18"/>
                <w:szCs w:val="18"/>
              </w:rPr>
              <w:t>312</w:t>
            </w:r>
          </w:p>
        </w:tc>
        <w:tc>
          <w:tcPr>
            <w:tcW w:w="330" w:type="pct"/>
            <w:tcBorders>
              <w:top w:val="nil"/>
              <w:left w:val="nil"/>
              <w:bottom w:val="nil"/>
              <w:right w:val="nil"/>
            </w:tcBorders>
            <w:shd w:val="clear" w:color="auto" w:fill="auto"/>
            <w:noWrap/>
            <w:vAlign w:val="center"/>
            <w:hideMark/>
          </w:tcPr>
          <w:p w14:paraId="2740D339" w14:textId="77777777" w:rsidR="00B66CC3" w:rsidRPr="004A5BF7" w:rsidRDefault="00B66CC3" w:rsidP="00B66CC3">
            <w:pPr>
              <w:spacing w:before="0" w:after="0"/>
              <w:jc w:val="center"/>
              <w:rPr>
                <w:rFonts w:cs="Arial"/>
                <w:sz w:val="18"/>
                <w:szCs w:val="18"/>
              </w:rPr>
            </w:pPr>
            <w:r w:rsidRPr="004A5BF7">
              <w:rPr>
                <w:rFonts w:cs="Arial"/>
                <w:sz w:val="18"/>
                <w:szCs w:val="18"/>
              </w:rPr>
              <w:t>569</w:t>
            </w:r>
          </w:p>
        </w:tc>
        <w:tc>
          <w:tcPr>
            <w:tcW w:w="291" w:type="pct"/>
            <w:tcBorders>
              <w:top w:val="nil"/>
              <w:left w:val="nil"/>
              <w:bottom w:val="nil"/>
              <w:right w:val="nil"/>
            </w:tcBorders>
            <w:shd w:val="clear" w:color="auto" w:fill="auto"/>
            <w:noWrap/>
            <w:vAlign w:val="center"/>
            <w:hideMark/>
          </w:tcPr>
          <w:p w14:paraId="7CF3F13E" w14:textId="77777777" w:rsidR="00B66CC3" w:rsidRPr="004A5BF7" w:rsidRDefault="00B66CC3" w:rsidP="00B66CC3">
            <w:pPr>
              <w:spacing w:before="0" w:after="0"/>
              <w:jc w:val="center"/>
              <w:rPr>
                <w:rFonts w:cs="Arial"/>
                <w:sz w:val="18"/>
                <w:szCs w:val="18"/>
              </w:rPr>
            </w:pPr>
            <w:r w:rsidRPr="004A5BF7">
              <w:rPr>
                <w:rFonts w:cs="Arial"/>
                <w:sz w:val="18"/>
                <w:szCs w:val="18"/>
              </w:rPr>
              <w:t>262</w:t>
            </w:r>
          </w:p>
        </w:tc>
        <w:tc>
          <w:tcPr>
            <w:tcW w:w="291" w:type="pct"/>
            <w:tcBorders>
              <w:top w:val="nil"/>
              <w:left w:val="nil"/>
              <w:bottom w:val="nil"/>
              <w:right w:val="nil"/>
            </w:tcBorders>
            <w:shd w:val="clear" w:color="auto" w:fill="auto"/>
            <w:noWrap/>
            <w:vAlign w:val="center"/>
            <w:hideMark/>
          </w:tcPr>
          <w:p w14:paraId="357AD8ED" w14:textId="77777777" w:rsidR="00B66CC3" w:rsidRPr="004A5BF7" w:rsidRDefault="00B66CC3" w:rsidP="00B66CC3">
            <w:pPr>
              <w:spacing w:before="0" w:after="0"/>
              <w:jc w:val="center"/>
              <w:rPr>
                <w:rFonts w:cs="Arial"/>
                <w:sz w:val="18"/>
                <w:szCs w:val="18"/>
              </w:rPr>
            </w:pPr>
            <w:r w:rsidRPr="004A5BF7">
              <w:rPr>
                <w:rFonts w:cs="Arial"/>
                <w:sz w:val="18"/>
                <w:szCs w:val="18"/>
              </w:rPr>
              <w:t>102</w:t>
            </w:r>
          </w:p>
        </w:tc>
        <w:tc>
          <w:tcPr>
            <w:tcW w:w="291" w:type="pct"/>
            <w:tcBorders>
              <w:top w:val="nil"/>
              <w:left w:val="nil"/>
              <w:bottom w:val="nil"/>
              <w:right w:val="nil"/>
            </w:tcBorders>
            <w:shd w:val="clear" w:color="auto" w:fill="auto"/>
            <w:noWrap/>
            <w:vAlign w:val="center"/>
            <w:hideMark/>
          </w:tcPr>
          <w:p w14:paraId="44E0CA3F" w14:textId="77777777" w:rsidR="00B66CC3" w:rsidRPr="004A5BF7" w:rsidRDefault="00B66CC3" w:rsidP="00B66CC3">
            <w:pPr>
              <w:spacing w:before="0" w:after="0"/>
              <w:jc w:val="center"/>
              <w:rPr>
                <w:rFonts w:cs="Arial"/>
                <w:sz w:val="18"/>
                <w:szCs w:val="18"/>
              </w:rPr>
            </w:pPr>
            <w:r w:rsidRPr="004A5BF7">
              <w:rPr>
                <w:rFonts w:cs="Arial"/>
                <w:sz w:val="18"/>
                <w:szCs w:val="18"/>
              </w:rPr>
              <w:t>86</w:t>
            </w:r>
          </w:p>
        </w:tc>
        <w:tc>
          <w:tcPr>
            <w:tcW w:w="253" w:type="pct"/>
            <w:tcBorders>
              <w:top w:val="nil"/>
              <w:left w:val="nil"/>
              <w:bottom w:val="nil"/>
              <w:right w:val="nil"/>
            </w:tcBorders>
            <w:shd w:val="clear" w:color="auto" w:fill="auto"/>
            <w:noWrap/>
            <w:vAlign w:val="center"/>
            <w:hideMark/>
          </w:tcPr>
          <w:p w14:paraId="7EBBBE08" w14:textId="77777777" w:rsidR="00B66CC3" w:rsidRPr="004A5BF7" w:rsidRDefault="00B66CC3" w:rsidP="00B66CC3">
            <w:pPr>
              <w:spacing w:before="0" w:after="0"/>
              <w:jc w:val="center"/>
              <w:rPr>
                <w:rFonts w:cs="Arial"/>
                <w:sz w:val="18"/>
                <w:szCs w:val="18"/>
              </w:rPr>
            </w:pPr>
            <w:r w:rsidRPr="004A5BF7">
              <w:rPr>
                <w:rFonts w:cs="Arial"/>
                <w:sz w:val="18"/>
                <w:szCs w:val="18"/>
              </w:rPr>
              <w:t>19</w:t>
            </w:r>
          </w:p>
        </w:tc>
      </w:tr>
      <w:tr w:rsidR="00B66CC3" w:rsidRPr="00E9409C" w14:paraId="6D484AC6" w14:textId="77777777" w:rsidTr="00E662D3">
        <w:trPr>
          <w:trHeight w:val="454"/>
          <w:tblHeader/>
        </w:trPr>
        <w:tc>
          <w:tcPr>
            <w:tcW w:w="546" w:type="pct"/>
            <w:tcBorders>
              <w:top w:val="nil"/>
              <w:left w:val="nil"/>
              <w:bottom w:val="nil"/>
              <w:right w:val="nil"/>
            </w:tcBorders>
            <w:shd w:val="clear" w:color="auto" w:fill="auto"/>
            <w:noWrap/>
            <w:vAlign w:val="center"/>
            <w:hideMark/>
          </w:tcPr>
          <w:p w14:paraId="680409BB" w14:textId="77777777" w:rsidR="00B66CC3" w:rsidRPr="004A5BF7" w:rsidRDefault="00B66CC3" w:rsidP="004A5BF7">
            <w:pPr>
              <w:spacing w:before="0" w:after="0"/>
              <w:jc w:val="left"/>
              <w:rPr>
                <w:rFonts w:cs="Arial"/>
                <w:sz w:val="18"/>
                <w:szCs w:val="18"/>
              </w:rPr>
            </w:pPr>
            <w:r w:rsidRPr="004A5BF7">
              <w:rPr>
                <w:rFonts w:cs="Arial"/>
                <w:sz w:val="18"/>
                <w:szCs w:val="18"/>
              </w:rPr>
              <w:t>Pioneer</w:t>
            </w:r>
          </w:p>
        </w:tc>
        <w:tc>
          <w:tcPr>
            <w:tcW w:w="707" w:type="pct"/>
            <w:tcBorders>
              <w:top w:val="nil"/>
              <w:left w:val="nil"/>
              <w:bottom w:val="nil"/>
              <w:right w:val="nil"/>
            </w:tcBorders>
            <w:shd w:val="clear" w:color="auto" w:fill="auto"/>
            <w:noWrap/>
            <w:vAlign w:val="center"/>
            <w:hideMark/>
          </w:tcPr>
          <w:p w14:paraId="7DF629F0" w14:textId="551F3F93" w:rsidR="00B66CC3" w:rsidRPr="004A5BF7" w:rsidRDefault="00B66CC3" w:rsidP="004A5BF7">
            <w:pPr>
              <w:spacing w:before="0" w:after="0"/>
              <w:jc w:val="left"/>
              <w:rPr>
                <w:rFonts w:cs="Arial"/>
                <w:sz w:val="18"/>
                <w:szCs w:val="18"/>
              </w:rPr>
            </w:pPr>
            <w:r w:rsidRPr="004A5BF7">
              <w:rPr>
                <w:rFonts w:cs="Arial"/>
                <w:sz w:val="18"/>
                <w:szCs w:val="18"/>
              </w:rPr>
              <w:t>Mackay</w:t>
            </w:r>
            <w:r w:rsidR="000E764B">
              <w:rPr>
                <w:rFonts w:cs="Arial"/>
                <w:sz w:val="18"/>
                <w:szCs w:val="18"/>
              </w:rPr>
              <w:t xml:space="preserve"> </w:t>
            </w:r>
            <w:r w:rsidRPr="004A5BF7">
              <w:rPr>
                <w:rFonts w:cs="Arial"/>
                <w:sz w:val="18"/>
                <w:szCs w:val="18"/>
              </w:rPr>
              <w:t>Whitsunday</w:t>
            </w:r>
          </w:p>
        </w:tc>
        <w:tc>
          <w:tcPr>
            <w:tcW w:w="253" w:type="pct"/>
            <w:tcBorders>
              <w:top w:val="nil"/>
              <w:left w:val="nil"/>
              <w:bottom w:val="nil"/>
              <w:right w:val="nil"/>
            </w:tcBorders>
            <w:shd w:val="clear" w:color="auto" w:fill="auto"/>
            <w:noWrap/>
            <w:vAlign w:val="center"/>
            <w:hideMark/>
          </w:tcPr>
          <w:p w14:paraId="67B3E8AD" w14:textId="77777777" w:rsidR="00B66CC3" w:rsidRPr="004A5BF7" w:rsidRDefault="00B66CC3" w:rsidP="00B66CC3">
            <w:pPr>
              <w:spacing w:before="0" w:after="0"/>
              <w:jc w:val="center"/>
              <w:rPr>
                <w:rFonts w:cs="Arial"/>
                <w:sz w:val="18"/>
                <w:szCs w:val="18"/>
              </w:rPr>
            </w:pPr>
            <w:r w:rsidRPr="004A5BF7">
              <w:rPr>
                <w:rFonts w:cs="Arial"/>
                <w:sz w:val="18"/>
                <w:szCs w:val="18"/>
              </w:rPr>
              <w:t>96</w:t>
            </w:r>
          </w:p>
        </w:tc>
        <w:tc>
          <w:tcPr>
            <w:tcW w:w="291" w:type="pct"/>
            <w:tcBorders>
              <w:top w:val="nil"/>
              <w:left w:val="nil"/>
              <w:bottom w:val="nil"/>
              <w:right w:val="nil"/>
            </w:tcBorders>
            <w:shd w:val="clear" w:color="auto" w:fill="auto"/>
            <w:noWrap/>
            <w:vAlign w:val="center"/>
            <w:hideMark/>
          </w:tcPr>
          <w:p w14:paraId="7BF224DD" w14:textId="77777777" w:rsidR="00B66CC3" w:rsidRPr="004A5BF7" w:rsidRDefault="00B66CC3" w:rsidP="00B66CC3">
            <w:pPr>
              <w:spacing w:before="0" w:after="0"/>
              <w:jc w:val="center"/>
              <w:rPr>
                <w:rFonts w:cs="Arial"/>
                <w:sz w:val="18"/>
                <w:szCs w:val="18"/>
              </w:rPr>
            </w:pPr>
            <w:r w:rsidRPr="004A5BF7">
              <w:rPr>
                <w:rFonts w:cs="Arial"/>
                <w:sz w:val="18"/>
                <w:szCs w:val="18"/>
              </w:rPr>
              <w:t>37</w:t>
            </w:r>
          </w:p>
        </w:tc>
        <w:tc>
          <w:tcPr>
            <w:tcW w:w="291" w:type="pct"/>
            <w:tcBorders>
              <w:top w:val="nil"/>
              <w:left w:val="nil"/>
              <w:bottom w:val="nil"/>
              <w:right w:val="nil"/>
            </w:tcBorders>
            <w:shd w:val="clear" w:color="auto" w:fill="auto"/>
            <w:noWrap/>
            <w:vAlign w:val="center"/>
            <w:hideMark/>
          </w:tcPr>
          <w:p w14:paraId="137D2155" w14:textId="77777777" w:rsidR="00B66CC3" w:rsidRPr="004A5BF7" w:rsidRDefault="00B66CC3" w:rsidP="00B66CC3">
            <w:pPr>
              <w:spacing w:before="0" w:after="0"/>
              <w:jc w:val="center"/>
              <w:rPr>
                <w:rFonts w:cs="Arial"/>
                <w:sz w:val="18"/>
                <w:szCs w:val="18"/>
              </w:rPr>
            </w:pPr>
            <w:r w:rsidRPr="004A5BF7">
              <w:rPr>
                <w:rFonts w:cs="Arial"/>
                <w:sz w:val="18"/>
                <w:szCs w:val="18"/>
              </w:rPr>
              <w:t>187</w:t>
            </w:r>
          </w:p>
        </w:tc>
        <w:tc>
          <w:tcPr>
            <w:tcW w:w="291" w:type="pct"/>
            <w:tcBorders>
              <w:top w:val="nil"/>
              <w:left w:val="nil"/>
              <w:bottom w:val="nil"/>
              <w:right w:val="nil"/>
            </w:tcBorders>
            <w:shd w:val="clear" w:color="auto" w:fill="auto"/>
            <w:noWrap/>
            <w:vAlign w:val="center"/>
            <w:hideMark/>
          </w:tcPr>
          <w:p w14:paraId="427474D9" w14:textId="77777777" w:rsidR="00B66CC3" w:rsidRPr="004A5BF7" w:rsidRDefault="00B66CC3" w:rsidP="00B66CC3">
            <w:pPr>
              <w:spacing w:before="0" w:after="0"/>
              <w:jc w:val="center"/>
              <w:rPr>
                <w:rFonts w:cs="Arial"/>
                <w:sz w:val="18"/>
                <w:szCs w:val="18"/>
              </w:rPr>
            </w:pPr>
            <w:r w:rsidRPr="004A5BF7">
              <w:rPr>
                <w:rFonts w:cs="Arial"/>
                <w:sz w:val="18"/>
                <w:szCs w:val="18"/>
              </w:rPr>
              <w:t>21</w:t>
            </w:r>
          </w:p>
        </w:tc>
        <w:tc>
          <w:tcPr>
            <w:tcW w:w="291" w:type="pct"/>
            <w:tcBorders>
              <w:top w:val="nil"/>
              <w:left w:val="nil"/>
              <w:bottom w:val="nil"/>
              <w:right w:val="nil"/>
            </w:tcBorders>
            <w:shd w:val="clear" w:color="auto" w:fill="auto"/>
            <w:noWrap/>
            <w:vAlign w:val="center"/>
            <w:hideMark/>
          </w:tcPr>
          <w:p w14:paraId="08B380CD" w14:textId="77777777" w:rsidR="00B66CC3" w:rsidRPr="004A5BF7" w:rsidRDefault="00B66CC3" w:rsidP="00B66CC3">
            <w:pPr>
              <w:spacing w:before="0" w:after="0"/>
              <w:jc w:val="center"/>
              <w:rPr>
                <w:rFonts w:cs="Arial"/>
                <w:sz w:val="18"/>
                <w:szCs w:val="18"/>
              </w:rPr>
            </w:pPr>
            <w:r w:rsidRPr="004A5BF7">
              <w:rPr>
                <w:rFonts w:cs="Arial"/>
                <w:sz w:val="18"/>
                <w:szCs w:val="18"/>
              </w:rPr>
              <w:t>786</w:t>
            </w:r>
          </w:p>
        </w:tc>
        <w:tc>
          <w:tcPr>
            <w:tcW w:w="291" w:type="pct"/>
            <w:tcBorders>
              <w:top w:val="nil"/>
              <w:left w:val="nil"/>
              <w:bottom w:val="nil"/>
              <w:right w:val="nil"/>
            </w:tcBorders>
            <w:shd w:val="clear" w:color="auto" w:fill="auto"/>
            <w:noWrap/>
            <w:vAlign w:val="center"/>
            <w:hideMark/>
          </w:tcPr>
          <w:p w14:paraId="6960F563" w14:textId="77777777" w:rsidR="00B66CC3" w:rsidRPr="004A5BF7" w:rsidRDefault="00B66CC3" w:rsidP="00B66CC3">
            <w:pPr>
              <w:spacing w:before="0" w:after="0"/>
              <w:jc w:val="center"/>
              <w:rPr>
                <w:rFonts w:cs="Arial"/>
                <w:sz w:val="18"/>
                <w:szCs w:val="18"/>
              </w:rPr>
            </w:pPr>
            <w:r w:rsidRPr="004A5BF7">
              <w:rPr>
                <w:rFonts w:cs="Arial"/>
                <w:sz w:val="18"/>
                <w:szCs w:val="18"/>
              </w:rPr>
              <w:t>1,324</w:t>
            </w:r>
          </w:p>
        </w:tc>
        <w:tc>
          <w:tcPr>
            <w:tcW w:w="291" w:type="pct"/>
            <w:tcBorders>
              <w:top w:val="nil"/>
              <w:left w:val="nil"/>
              <w:bottom w:val="nil"/>
              <w:right w:val="nil"/>
            </w:tcBorders>
            <w:shd w:val="clear" w:color="auto" w:fill="auto"/>
            <w:noWrap/>
            <w:vAlign w:val="center"/>
            <w:hideMark/>
          </w:tcPr>
          <w:p w14:paraId="47B2CAA7" w14:textId="77777777" w:rsidR="00B66CC3" w:rsidRPr="004A5BF7" w:rsidRDefault="00B66CC3" w:rsidP="00B66CC3">
            <w:pPr>
              <w:spacing w:before="0" w:after="0"/>
              <w:jc w:val="center"/>
              <w:rPr>
                <w:rFonts w:cs="Arial"/>
                <w:sz w:val="18"/>
                <w:szCs w:val="18"/>
              </w:rPr>
            </w:pPr>
            <w:r w:rsidRPr="004A5BF7">
              <w:rPr>
                <w:rFonts w:cs="Arial"/>
                <w:sz w:val="18"/>
                <w:szCs w:val="18"/>
              </w:rPr>
              <w:t>858</w:t>
            </w:r>
          </w:p>
        </w:tc>
        <w:tc>
          <w:tcPr>
            <w:tcW w:w="291" w:type="pct"/>
            <w:tcBorders>
              <w:top w:val="nil"/>
              <w:left w:val="nil"/>
              <w:bottom w:val="nil"/>
              <w:right w:val="nil"/>
            </w:tcBorders>
            <w:shd w:val="clear" w:color="auto" w:fill="auto"/>
            <w:noWrap/>
            <w:vAlign w:val="center"/>
            <w:hideMark/>
          </w:tcPr>
          <w:p w14:paraId="311553E4" w14:textId="77777777" w:rsidR="00B66CC3" w:rsidRPr="004A5BF7" w:rsidRDefault="00B66CC3" w:rsidP="00B66CC3">
            <w:pPr>
              <w:spacing w:before="0" w:after="0"/>
              <w:jc w:val="center"/>
              <w:rPr>
                <w:rFonts w:cs="Arial"/>
                <w:sz w:val="18"/>
                <w:szCs w:val="18"/>
              </w:rPr>
            </w:pPr>
            <w:r w:rsidRPr="004A5BF7">
              <w:rPr>
                <w:rFonts w:cs="Arial"/>
                <w:sz w:val="18"/>
                <w:szCs w:val="18"/>
              </w:rPr>
              <w:t>1,243</w:t>
            </w:r>
          </w:p>
        </w:tc>
        <w:tc>
          <w:tcPr>
            <w:tcW w:w="330" w:type="pct"/>
            <w:tcBorders>
              <w:top w:val="nil"/>
              <w:left w:val="nil"/>
              <w:bottom w:val="nil"/>
              <w:right w:val="nil"/>
            </w:tcBorders>
            <w:shd w:val="clear" w:color="auto" w:fill="auto"/>
            <w:noWrap/>
            <w:vAlign w:val="center"/>
            <w:hideMark/>
          </w:tcPr>
          <w:p w14:paraId="1A4028E6" w14:textId="77777777" w:rsidR="00B66CC3" w:rsidRPr="004A5BF7" w:rsidRDefault="00B66CC3" w:rsidP="00B66CC3">
            <w:pPr>
              <w:spacing w:before="0" w:after="0"/>
              <w:jc w:val="center"/>
              <w:rPr>
                <w:rFonts w:cs="Arial"/>
                <w:sz w:val="18"/>
                <w:szCs w:val="18"/>
              </w:rPr>
            </w:pPr>
            <w:r w:rsidRPr="004A5BF7">
              <w:rPr>
                <w:rFonts w:cs="Arial"/>
                <w:sz w:val="18"/>
                <w:szCs w:val="18"/>
              </w:rPr>
              <w:t>3,110</w:t>
            </w:r>
          </w:p>
        </w:tc>
        <w:tc>
          <w:tcPr>
            <w:tcW w:w="291" w:type="pct"/>
            <w:tcBorders>
              <w:top w:val="nil"/>
              <w:left w:val="nil"/>
              <w:bottom w:val="nil"/>
              <w:right w:val="nil"/>
            </w:tcBorders>
            <w:shd w:val="clear" w:color="auto" w:fill="auto"/>
            <w:noWrap/>
            <w:vAlign w:val="center"/>
            <w:hideMark/>
          </w:tcPr>
          <w:p w14:paraId="2A6DB594" w14:textId="77777777" w:rsidR="00B66CC3" w:rsidRPr="004A5BF7" w:rsidRDefault="00B66CC3" w:rsidP="00B66CC3">
            <w:pPr>
              <w:spacing w:before="0" w:after="0"/>
              <w:jc w:val="center"/>
              <w:rPr>
                <w:rFonts w:cs="Arial"/>
                <w:sz w:val="18"/>
                <w:szCs w:val="18"/>
              </w:rPr>
            </w:pPr>
            <w:r w:rsidRPr="004A5BF7">
              <w:rPr>
                <w:rFonts w:cs="Arial"/>
                <w:sz w:val="18"/>
                <w:szCs w:val="18"/>
              </w:rPr>
              <w:t>1,109</w:t>
            </w:r>
          </w:p>
        </w:tc>
        <w:tc>
          <w:tcPr>
            <w:tcW w:w="291" w:type="pct"/>
            <w:tcBorders>
              <w:top w:val="nil"/>
              <w:left w:val="nil"/>
              <w:bottom w:val="nil"/>
              <w:right w:val="nil"/>
            </w:tcBorders>
            <w:shd w:val="clear" w:color="auto" w:fill="auto"/>
            <w:noWrap/>
            <w:vAlign w:val="center"/>
            <w:hideMark/>
          </w:tcPr>
          <w:p w14:paraId="4DDBC72E" w14:textId="77777777" w:rsidR="00B66CC3" w:rsidRPr="004A5BF7" w:rsidRDefault="00B66CC3" w:rsidP="00B66CC3">
            <w:pPr>
              <w:spacing w:before="0" w:after="0"/>
              <w:jc w:val="center"/>
              <w:rPr>
                <w:rFonts w:cs="Arial"/>
                <w:sz w:val="18"/>
                <w:szCs w:val="18"/>
              </w:rPr>
            </w:pPr>
            <w:r w:rsidRPr="004A5BF7">
              <w:rPr>
                <w:rFonts w:cs="Arial"/>
                <w:sz w:val="18"/>
                <w:szCs w:val="18"/>
              </w:rPr>
              <w:t>933</w:t>
            </w:r>
          </w:p>
        </w:tc>
        <w:tc>
          <w:tcPr>
            <w:tcW w:w="291" w:type="pct"/>
            <w:tcBorders>
              <w:top w:val="nil"/>
              <w:left w:val="nil"/>
              <w:bottom w:val="nil"/>
              <w:right w:val="nil"/>
            </w:tcBorders>
            <w:shd w:val="clear" w:color="auto" w:fill="auto"/>
            <w:noWrap/>
            <w:vAlign w:val="center"/>
            <w:hideMark/>
          </w:tcPr>
          <w:p w14:paraId="03751671" w14:textId="77777777" w:rsidR="00B66CC3" w:rsidRPr="004A5BF7" w:rsidRDefault="00B66CC3" w:rsidP="00B66CC3">
            <w:pPr>
              <w:spacing w:before="0" w:after="0"/>
              <w:jc w:val="center"/>
              <w:rPr>
                <w:rFonts w:cs="Arial"/>
                <w:sz w:val="18"/>
                <w:szCs w:val="18"/>
              </w:rPr>
            </w:pPr>
            <w:r w:rsidRPr="004A5BF7">
              <w:rPr>
                <w:rFonts w:cs="Arial"/>
                <w:sz w:val="18"/>
                <w:szCs w:val="18"/>
              </w:rPr>
              <w:t>504</w:t>
            </w:r>
          </w:p>
        </w:tc>
        <w:tc>
          <w:tcPr>
            <w:tcW w:w="253" w:type="pct"/>
            <w:tcBorders>
              <w:top w:val="nil"/>
              <w:left w:val="nil"/>
              <w:bottom w:val="nil"/>
              <w:right w:val="nil"/>
            </w:tcBorders>
            <w:shd w:val="clear" w:color="auto" w:fill="auto"/>
            <w:noWrap/>
            <w:vAlign w:val="center"/>
            <w:hideMark/>
          </w:tcPr>
          <w:p w14:paraId="3DEAA1A7" w14:textId="77777777" w:rsidR="00B66CC3" w:rsidRPr="004A5BF7" w:rsidRDefault="00B66CC3" w:rsidP="00B66CC3">
            <w:pPr>
              <w:spacing w:before="0" w:after="0"/>
              <w:jc w:val="center"/>
              <w:rPr>
                <w:rFonts w:cs="Arial"/>
                <w:sz w:val="18"/>
                <w:szCs w:val="18"/>
              </w:rPr>
            </w:pPr>
            <w:r w:rsidRPr="004A5BF7">
              <w:rPr>
                <w:rFonts w:cs="Arial"/>
                <w:sz w:val="18"/>
                <w:szCs w:val="18"/>
              </w:rPr>
              <w:t>91</w:t>
            </w:r>
          </w:p>
        </w:tc>
      </w:tr>
      <w:tr w:rsidR="00B66CC3" w:rsidRPr="00E9409C" w14:paraId="06BE99F3" w14:textId="77777777" w:rsidTr="00E662D3">
        <w:trPr>
          <w:trHeight w:val="454"/>
          <w:tblHeader/>
        </w:trPr>
        <w:tc>
          <w:tcPr>
            <w:tcW w:w="546" w:type="pct"/>
            <w:tcBorders>
              <w:top w:val="nil"/>
              <w:left w:val="nil"/>
              <w:bottom w:val="nil"/>
              <w:right w:val="nil"/>
            </w:tcBorders>
            <w:shd w:val="clear" w:color="auto" w:fill="auto"/>
            <w:noWrap/>
            <w:vAlign w:val="center"/>
            <w:hideMark/>
          </w:tcPr>
          <w:p w14:paraId="0969763C" w14:textId="77777777" w:rsidR="00B66CC3" w:rsidRPr="004A5BF7" w:rsidRDefault="00B66CC3" w:rsidP="004A5BF7">
            <w:pPr>
              <w:spacing w:before="0" w:after="0"/>
              <w:jc w:val="left"/>
              <w:rPr>
                <w:rFonts w:cs="Arial"/>
                <w:sz w:val="18"/>
                <w:szCs w:val="18"/>
              </w:rPr>
            </w:pPr>
            <w:r w:rsidRPr="004A5BF7">
              <w:rPr>
                <w:rFonts w:cs="Arial"/>
                <w:sz w:val="18"/>
                <w:szCs w:val="18"/>
              </w:rPr>
              <w:t>Plane</w:t>
            </w:r>
          </w:p>
        </w:tc>
        <w:tc>
          <w:tcPr>
            <w:tcW w:w="707" w:type="pct"/>
            <w:tcBorders>
              <w:top w:val="nil"/>
              <w:left w:val="nil"/>
              <w:bottom w:val="nil"/>
              <w:right w:val="nil"/>
            </w:tcBorders>
            <w:shd w:val="clear" w:color="auto" w:fill="auto"/>
            <w:noWrap/>
            <w:vAlign w:val="center"/>
            <w:hideMark/>
          </w:tcPr>
          <w:p w14:paraId="2DE98948" w14:textId="2AD6C9DD" w:rsidR="00B66CC3" w:rsidRPr="004A5BF7" w:rsidRDefault="00B66CC3" w:rsidP="004A5BF7">
            <w:pPr>
              <w:spacing w:before="0" w:after="0"/>
              <w:jc w:val="left"/>
              <w:rPr>
                <w:rFonts w:cs="Arial"/>
                <w:sz w:val="18"/>
                <w:szCs w:val="18"/>
              </w:rPr>
            </w:pPr>
            <w:r w:rsidRPr="004A5BF7">
              <w:rPr>
                <w:rFonts w:cs="Arial"/>
                <w:sz w:val="18"/>
                <w:szCs w:val="18"/>
              </w:rPr>
              <w:t>Mackay</w:t>
            </w:r>
            <w:r w:rsidR="000E764B">
              <w:rPr>
                <w:rFonts w:cs="Arial"/>
                <w:sz w:val="18"/>
                <w:szCs w:val="18"/>
              </w:rPr>
              <w:t xml:space="preserve"> </w:t>
            </w:r>
            <w:r w:rsidRPr="004A5BF7">
              <w:rPr>
                <w:rFonts w:cs="Arial"/>
                <w:sz w:val="18"/>
                <w:szCs w:val="18"/>
              </w:rPr>
              <w:t>Whitsunday</w:t>
            </w:r>
          </w:p>
        </w:tc>
        <w:tc>
          <w:tcPr>
            <w:tcW w:w="253" w:type="pct"/>
            <w:tcBorders>
              <w:top w:val="nil"/>
              <w:left w:val="nil"/>
              <w:bottom w:val="nil"/>
              <w:right w:val="nil"/>
            </w:tcBorders>
            <w:shd w:val="clear" w:color="auto" w:fill="auto"/>
            <w:noWrap/>
            <w:vAlign w:val="center"/>
            <w:hideMark/>
          </w:tcPr>
          <w:p w14:paraId="73444C72" w14:textId="77777777" w:rsidR="00B66CC3" w:rsidRPr="004A5BF7" w:rsidRDefault="00B66CC3" w:rsidP="00B66CC3">
            <w:pPr>
              <w:spacing w:before="0" w:after="0"/>
              <w:jc w:val="center"/>
              <w:rPr>
                <w:rFonts w:cs="Arial"/>
                <w:sz w:val="18"/>
                <w:szCs w:val="18"/>
              </w:rPr>
            </w:pPr>
            <w:r w:rsidRPr="004A5BF7">
              <w:rPr>
                <w:rFonts w:cs="Arial"/>
                <w:sz w:val="18"/>
                <w:szCs w:val="18"/>
              </w:rPr>
              <w:t>46</w:t>
            </w:r>
          </w:p>
        </w:tc>
        <w:tc>
          <w:tcPr>
            <w:tcW w:w="291" w:type="pct"/>
            <w:tcBorders>
              <w:top w:val="nil"/>
              <w:left w:val="nil"/>
              <w:bottom w:val="nil"/>
              <w:right w:val="nil"/>
            </w:tcBorders>
            <w:shd w:val="clear" w:color="auto" w:fill="auto"/>
            <w:noWrap/>
            <w:vAlign w:val="center"/>
            <w:hideMark/>
          </w:tcPr>
          <w:p w14:paraId="1E35A196" w14:textId="77777777" w:rsidR="00B66CC3" w:rsidRPr="004A5BF7" w:rsidRDefault="00B66CC3" w:rsidP="00B66CC3">
            <w:pPr>
              <w:spacing w:before="0" w:after="0"/>
              <w:jc w:val="center"/>
              <w:rPr>
                <w:rFonts w:cs="Arial"/>
                <w:sz w:val="18"/>
                <w:szCs w:val="18"/>
              </w:rPr>
            </w:pPr>
            <w:r w:rsidRPr="004A5BF7">
              <w:rPr>
                <w:rFonts w:cs="Arial"/>
                <w:sz w:val="18"/>
                <w:szCs w:val="18"/>
              </w:rPr>
              <w:t>10</w:t>
            </w:r>
          </w:p>
        </w:tc>
        <w:tc>
          <w:tcPr>
            <w:tcW w:w="291" w:type="pct"/>
            <w:tcBorders>
              <w:top w:val="nil"/>
              <w:left w:val="nil"/>
              <w:bottom w:val="nil"/>
              <w:right w:val="nil"/>
            </w:tcBorders>
            <w:shd w:val="clear" w:color="auto" w:fill="auto"/>
            <w:noWrap/>
            <w:vAlign w:val="center"/>
            <w:hideMark/>
          </w:tcPr>
          <w:p w14:paraId="0A84A7D3" w14:textId="77777777" w:rsidR="00B66CC3" w:rsidRPr="004A5BF7" w:rsidRDefault="00B66CC3" w:rsidP="00B66CC3">
            <w:pPr>
              <w:spacing w:before="0" w:after="0"/>
              <w:jc w:val="center"/>
              <w:rPr>
                <w:rFonts w:cs="Arial"/>
                <w:sz w:val="18"/>
                <w:szCs w:val="18"/>
              </w:rPr>
            </w:pPr>
            <w:r w:rsidRPr="004A5BF7">
              <w:rPr>
                <w:rFonts w:cs="Arial"/>
                <w:sz w:val="18"/>
                <w:szCs w:val="18"/>
              </w:rPr>
              <w:t>69</w:t>
            </w:r>
          </w:p>
        </w:tc>
        <w:tc>
          <w:tcPr>
            <w:tcW w:w="291" w:type="pct"/>
            <w:tcBorders>
              <w:top w:val="nil"/>
              <w:left w:val="nil"/>
              <w:bottom w:val="nil"/>
              <w:right w:val="nil"/>
            </w:tcBorders>
            <w:shd w:val="clear" w:color="auto" w:fill="auto"/>
            <w:noWrap/>
            <w:vAlign w:val="center"/>
            <w:hideMark/>
          </w:tcPr>
          <w:p w14:paraId="1E270333" w14:textId="77777777" w:rsidR="00B66CC3" w:rsidRPr="004A5BF7" w:rsidRDefault="00B66CC3" w:rsidP="00B66CC3">
            <w:pPr>
              <w:spacing w:before="0" w:after="0"/>
              <w:jc w:val="center"/>
              <w:rPr>
                <w:rFonts w:cs="Arial"/>
                <w:sz w:val="18"/>
                <w:szCs w:val="18"/>
              </w:rPr>
            </w:pPr>
            <w:r w:rsidRPr="004A5BF7">
              <w:rPr>
                <w:rFonts w:cs="Arial"/>
                <w:sz w:val="18"/>
                <w:szCs w:val="18"/>
              </w:rPr>
              <w:t>6</w:t>
            </w:r>
          </w:p>
        </w:tc>
        <w:tc>
          <w:tcPr>
            <w:tcW w:w="291" w:type="pct"/>
            <w:tcBorders>
              <w:top w:val="nil"/>
              <w:left w:val="nil"/>
              <w:bottom w:val="nil"/>
              <w:right w:val="nil"/>
            </w:tcBorders>
            <w:shd w:val="clear" w:color="auto" w:fill="auto"/>
            <w:noWrap/>
            <w:vAlign w:val="center"/>
            <w:hideMark/>
          </w:tcPr>
          <w:p w14:paraId="59B2822F" w14:textId="77777777" w:rsidR="00B66CC3" w:rsidRPr="004A5BF7" w:rsidRDefault="00B66CC3" w:rsidP="00B66CC3">
            <w:pPr>
              <w:spacing w:before="0" w:after="0"/>
              <w:jc w:val="center"/>
              <w:rPr>
                <w:rFonts w:cs="Arial"/>
                <w:sz w:val="18"/>
                <w:szCs w:val="18"/>
              </w:rPr>
            </w:pPr>
            <w:r w:rsidRPr="004A5BF7">
              <w:rPr>
                <w:rFonts w:cs="Arial"/>
                <w:sz w:val="18"/>
                <w:szCs w:val="18"/>
              </w:rPr>
              <w:t>152</w:t>
            </w:r>
          </w:p>
        </w:tc>
        <w:tc>
          <w:tcPr>
            <w:tcW w:w="291" w:type="pct"/>
            <w:tcBorders>
              <w:top w:val="nil"/>
              <w:left w:val="nil"/>
              <w:bottom w:val="nil"/>
              <w:right w:val="nil"/>
            </w:tcBorders>
            <w:shd w:val="clear" w:color="auto" w:fill="auto"/>
            <w:noWrap/>
            <w:vAlign w:val="center"/>
            <w:hideMark/>
          </w:tcPr>
          <w:p w14:paraId="303929EE" w14:textId="77777777" w:rsidR="00B66CC3" w:rsidRPr="004A5BF7" w:rsidRDefault="00B66CC3" w:rsidP="00B66CC3">
            <w:pPr>
              <w:spacing w:before="0" w:after="0"/>
              <w:jc w:val="center"/>
              <w:rPr>
                <w:rFonts w:cs="Arial"/>
                <w:sz w:val="18"/>
                <w:szCs w:val="18"/>
              </w:rPr>
            </w:pPr>
            <w:r w:rsidRPr="004A5BF7">
              <w:rPr>
                <w:rFonts w:cs="Arial"/>
                <w:sz w:val="18"/>
                <w:szCs w:val="18"/>
              </w:rPr>
              <w:t>360</w:t>
            </w:r>
          </w:p>
        </w:tc>
        <w:tc>
          <w:tcPr>
            <w:tcW w:w="291" w:type="pct"/>
            <w:tcBorders>
              <w:top w:val="nil"/>
              <w:left w:val="nil"/>
              <w:bottom w:val="nil"/>
              <w:right w:val="nil"/>
            </w:tcBorders>
            <w:shd w:val="clear" w:color="auto" w:fill="auto"/>
            <w:noWrap/>
            <w:vAlign w:val="center"/>
            <w:hideMark/>
          </w:tcPr>
          <w:p w14:paraId="1C0A55AC" w14:textId="77777777" w:rsidR="00B66CC3" w:rsidRPr="004A5BF7" w:rsidRDefault="00B66CC3" w:rsidP="00B66CC3">
            <w:pPr>
              <w:spacing w:before="0" w:after="0"/>
              <w:jc w:val="center"/>
              <w:rPr>
                <w:rFonts w:cs="Arial"/>
                <w:sz w:val="18"/>
                <w:szCs w:val="18"/>
              </w:rPr>
            </w:pPr>
            <w:r w:rsidRPr="004A5BF7">
              <w:rPr>
                <w:rFonts w:cs="Arial"/>
                <w:sz w:val="18"/>
                <w:szCs w:val="18"/>
              </w:rPr>
              <w:t>186</w:t>
            </w:r>
          </w:p>
        </w:tc>
        <w:tc>
          <w:tcPr>
            <w:tcW w:w="291" w:type="pct"/>
            <w:tcBorders>
              <w:top w:val="nil"/>
              <w:left w:val="nil"/>
              <w:bottom w:val="nil"/>
              <w:right w:val="nil"/>
            </w:tcBorders>
            <w:shd w:val="clear" w:color="auto" w:fill="auto"/>
            <w:noWrap/>
            <w:vAlign w:val="center"/>
            <w:hideMark/>
          </w:tcPr>
          <w:p w14:paraId="53856287" w14:textId="77777777" w:rsidR="00B66CC3" w:rsidRPr="004A5BF7" w:rsidRDefault="00B66CC3" w:rsidP="00B66CC3">
            <w:pPr>
              <w:spacing w:before="0" w:after="0"/>
              <w:jc w:val="center"/>
              <w:rPr>
                <w:rFonts w:cs="Arial"/>
                <w:sz w:val="18"/>
                <w:szCs w:val="18"/>
              </w:rPr>
            </w:pPr>
            <w:r w:rsidRPr="004A5BF7">
              <w:rPr>
                <w:rFonts w:cs="Arial"/>
                <w:sz w:val="18"/>
                <w:szCs w:val="18"/>
              </w:rPr>
              <w:t>361</w:t>
            </w:r>
          </w:p>
        </w:tc>
        <w:tc>
          <w:tcPr>
            <w:tcW w:w="330" w:type="pct"/>
            <w:tcBorders>
              <w:top w:val="nil"/>
              <w:left w:val="nil"/>
              <w:bottom w:val="nil"/>
              <w:right w:val="nil"/>
            </w:tcBorders>
            <w:shd w:val="clear" w:color="auto" w:fill="auto"/>
            <w:noWrap/>
            <w:vAlign w:val="center"/>
            <w:hideMark/>
          </w:tcPr>
          <w:p w14:paraId="3F21B3FA" w14:textId="77777777" w:rsidR="00B66CC3" w:rsidRPr="004A5BF7" w:rsidRDefault="00B66CC3" w:rsidP="00B66CC3">
            <w:pPr>
              <w:spacing w:before="0" w:after="0"/>
              <w:jc w:val="center"/>
              <w:rPr>
                <w:rFonts w:cs="Arial"/>
                <w:sz w:val="18"/>
                <w:szCs w:val="18"/>
              </w:rPr>
            </w:pPr>
            <w:r w:rsidRPr="004A5BF7">
              <w:rPr>
                <w:rFonts w:cs="Arial"/>
                <w:sz w:val="18"/>
                <w:szCs w:val="18"/>
              </w:rPr>
              <w:t>608</w:t>
            </w:r>
          </w:p>
        </w:tc>
        <w:tc>
          <w:tcPr>
            <w:tcW w:w="291" w:type="pct"/>
            <w:tcBorders>
              <w:top w:val="nil"/>
              <w:left w:val="nil"/>
              <w:bottom w:val="nil"/>
              <w:right w:val="nil"/>
            </w:tcBorders>
            <w:shd w:val="clear" w:color="auto" w:fill="auto"/>
            <w:noWrap/>
            <w:vAlign w:val="center"/>
            <w:hideMark/>
          </w:tcPr>
          <w:p w14:paraId="0B025CFC" w14:textId="77777777" w:rsidR="00B66CC3" w:rsidRPr="004A5BF7" w:rsidRDefault="00B66CC3" w:rsidP="00B66CC3">
            <w:pPr>
              <w:spacing w:before="0" w:after="0"/>
              <w:jc w:val="center"/>
              <w:rPr>
                <w:rFonts w:cs="Arial"/>
                <w:sz w:val="18"/>
                <w:szCs w:val="18"/>
              </w:rPr>
            </w:pPr>
            <w:r w:rsidRPr="004A5BF7">
              <w:rPr>
                <w:rFonts w:cs="Arial"/>
                <w:sz w:val="18"/>
                <w:szCs w:val="18"/>
              </w:rPr>
              <w:t>342</w:t>
            </w:r>
          </w:p>
        </w:tc>
        <w:tc>
          <w:tcPr>
            <w:tcW w:w="291" w:type="pct"/>
            <w:tcBorders>
              <w:top w:val="nil"/>
              <w:left w:val="nil"/>
              <w:bottom w:val="nil"/>
              <w:right w:val="nil"/>
            </w:tcBorders>
            <w:shd w:val="clear" w:color="auto" w:fill="auto"/>
            <w:noWrap/>
            <w:vAlign w:val="center"/>
            <w:hideMark/>
          </w:tcPr>
          <w:p w14:paraId="74B5D6E2" w14:textId="77777777" w:rsidR="00B66CC3" w:rsidRPr="004A5BF7" w:rsidRDefault="00B66CC3" w:rsidP="00B66CC3">
            <w:pPr>
              <w:spacing w:before="0" w:after="0"/>
              <w:jc w:val="center"/>
              <w:rPr>
                <w:rFonts w:cs="Arial"/>
                <w:sz w:val="18"/>
                <w:szCs w:val="18"/>
              </w:rPr>
            </w:pPr>
            <w:r w:rsidRPr="004A5BF7">
              <w:rPr>
                <w:rFonts w:cs="Arial"/>
                <w:sz w:val="18"/>
                <w:szCs w:val="18"/>
              </w:rPr>
              <w:t>245</w:t>
            </w:r>
          </w:p>
        </w:tc>
        <w:tc>
          <w:tcPr>
            <w:tcW w:w="291" w:type="pct"/>
            <w:tcBorders>
              <w:top w:val="nil"/>
              <w:left w:val="nil"/>
              <w:bottom w:val="nil"/>
              <w:right w:val="nil"/>
            </w:tcBorders>
            <w:shd w:val="clear" w:color="auto" w:fill="auto"/>
            <w:noWrap/>
            <w:vAlign w:val="center"/>
            <w:hideMark/>
          </w:tcPr>
          <w:p w14:paraId="7F0183CC" w14:textId="77777777" w:rsidR="00B66CC3" w:rsidRPr="004A5BF7" w:rsidRDefault="00B66CC3" w:rsidP="00B66CC3">
            <w:pPr>
              <w:spacing w:before="0" w:after="0"/>
              <w:jc w:val="center"/>
              <w:rPr>
                <w:rFonts w:cs="Arial"/>
                <w:sz w:val="18"/>
                <w:szCs w:val="18"/>
              </w:rPr>
            </w:pPr>
            <w:r w:rsidRPr="004A5BF7">
              <w:rPr>
                <w:rFonts w:cs="Arial"/>
                <w:sz w:val="18"/>
                <w:szCs w:val="18"/>
              </w:rPr>
              <w:t>89</w:t>
            </w:r>
          </w:p>
        </w:tc>
        <w:tc>
          <w:tcPr>
            <w:tcW w:w="253" w:type="pct"/>
            <w:tcBorders>
              <w:top w:val="nil"/>
              <w:left w:val="nil"/>
              <w:bottom w:val="nil"/>
              <w:right w:val="nil"/>
            </w:tcBorders>
            <w:shd w:val="clear" w:color="auto" w:fill="auto"/>
            <w:noWrap/>
            <w:vAlign w:val="center"/>
            <w:hideMark/>
          </w:tcPr>
          <w:p w14:paraId="782A384B" w14:textId="77777777" w:rsidR="00B66CC3" w:rsidRPr="004A5BF7" w:rsidRDefault="00B66CC3" w:rsidP="00B66CC3">
            <w:pPr>
              <w:spacing w:before="0" w:after="0"/>
              <w:jc w:val="center"/>
              <w:rPr>
                <w:rFonts w:cs="Arial"/>
                <w:sz w:val="18"/>
                <w:szCs w:val="18"/>
              </w:rPr>
            </w:pPr>
            <w:r w:rsidRPr="004A5BF7">
              <w:rPr>
                <w:rFonts w:cs="Arial"/>
                <w:sz w:val="18"/>
                <w:szCs w:val="18"/>
              </w:rPr>
              <w:t>29</w:t>
            </w:r>
          </w:p>
        </w:tc>
      </w:tr>
      <w:tr w:rsidR="00B66CC3" w:rsidRPr="00E9409C" w14:paraId="259934E3" w14:textId="77777777" w:rsidTr="00E662D3">
        <w:trPr>
          <w:trHeight w:val="454"/>
          <w:tblHeader/>
        </w:trPr>
        <w:tc>
          <w:tcPr>
            <w:tcW w:w="546" w:type="pct"/>
            <w:tcBorders>
              <w:top w:val="nil"/>
              <w:left w:val="nil"/>
              <w:bottom w:val="nil"/>
              <w:right w:val="nil"/>
            </w:tcBorders>
            <w:shd w:val="clear" w:color="auto" w:fill="auto"/>
            <w:noWrap/>
            <w:vAlign w:val="center"/>
            <w:hideMark/>
          </w:tcPr>
          <w:p w14:paraId="5924A6C3" w14:textId="77777777" w:rsidR="00B66CC3" w:rsidRPr="004A5BF7" w:rsidRDefault="00B66CC3" w:rsidP="004A5BF7">
            <w:pPr>
              <w:spacing w:before="0" w:after="0"/>
              <w:jc w:val="left"/>
              <w:rPr>
                <w:rFonts w:cs="Arial"/>
                <w:sz w:val="18"/>
                <w:szCs w:val="18"/>
              </w:rPr>
            </w:pPr>
            <w:r w:rsidRPr="004A5BF7">
              <w:rPr>
                <w:rFonts w:cs="Arial"/>
                <w:sz w:val="18"/>
                <w:szCs w:val="18"/>
              </w:rPr>
              <w:t>Fitzroy</w:t>
            </w:r>
          </w:p>
        </w:tc>
        <w:tc>
          <w:tcPr>
            <w:tcW w:w="707" w:type="pct"/>
            <w:tcBorders>
              <w:top w:val="nil"/>
              <w:left w:val="nil"/>
              <w:bottom w:val="nil"/>
              <w:right w:val="nil"/>
            </w:tcBorders>
            <w:shd w:val="clear" w:color="auto" w:fill="auto"/>
            <w:noWrap/>
            <w:vAlign w:val="center"/>
            <w:hideMark/>
          </w:tcPr>
          <w:p w14:paraId="6E1E7C7A" w14:textId="77777777" w:rsidR="00B66CC3" w:rsidRPr="004A5BF7" w:rsidRDefault="00B66CC3" w:rsidP="004A5BF7">
            <w:pPr>
              <w:spacing w:before="0" w:after="0"/>
              <w:jc w:val="left"/>
              <w:rPr>
                <w:rFonts w:cs="Arial"/>
                <w:sz w:val="18"/>
                <w:szCs w:val="18"/>
              </w:rPr>
            </w:pPr>
            <w:r w:rsidRPr="004A5BF7">
              <w:rPr>
                <w:rFonts w:cs="Arial"/>
                <w:sz w:val="18"/>
                <w:szCs w:val="18"/>
              </w:rPr>
              <w:t>Fitzroy</w:t>
            </w:r>
          </w:p>
        </w:tc>
        <w:tc>
          <w:tcPr>
            <w:tcW w:w="253" w:type="pct"/>
            <w:tcBorders>
              <w:top w:val="nil"/>
              <w:left w:val="nil"/>
              <w:bottom w:val="nil"/>
              <w:right w:val="nil"/>
            </w:tcBorders>
            <w:shd w:val="clear" w:color="auto" w:fill="auto"/>
            <w:noWrap/>
            <w:vAlign w:val="center"/>
            <w:hideMark/>
          </w:tcPr>
          <w:p w14:paraId="229A34E8" w14:textId="77777777" w:rsidR="00B66CC3" w:rsidRPr="004A5BF7" w:rsidRDefault="00B66CC3" w:rsidP="00B66CC3">
            <w:pPr>
              <w:spacing w:before="0" w:after="0"/>
              <w:jc w:val="center"/>
              <w:rPr>
                <w:rFonts w:cs="Arial"/>
                <w:sz w:val="18"/>
                <w:szCs w:val="18"/>
              </w:rPr>
            </w:pPr>
            <w:r w:rsidRPr="004A5BF7">
              <w:rPr>
                <w:rFonts w:cs="Arial"/>
                <w:sz w:val="18"/>
                <w:szCs w:val="18"/>
              </w:rPr>
              <w:t>2,542</w:t>
            </w:r>
          </w:p>
        </w:tc>
        <w:tc>
          <w:tcPr>
            <w:tcW w:w="291" w:type="pct"/>
            <w:tcBorders>
              <w:top w:val="nil"/>
              <w:left w:val="nil"/>
              <w:bottom w:val="nil"/>
              <w:right w:val="nil"/>
            </w:tcBorders>
            <w:shd w:val="clear" w:color="auto" w:fill="auto"/>
            <w:noWrap/>
            <w:vAlign w:val="center"/>
            <w:hideMark/>
          </w:tcPr>
          <w:p w14:paraId="10EC6101" w14:textId="77777777" w:rsidR="00B66CC3" w:rsidRPr="004A5BF7" w:rsidRDefault="00B66CC3" w:rsidP="00B66CC3">
            <w:pPr>
              <w:spacing w:before="0" w:after="0"/>
              <w:jc w:val="center"/>
              <w:rPr>
                <w:rFonts w:cs="Arial"/>
                <w:sz w:val="18"/>
                <w:szCs w:val="18"/>
              </w:rPr>
            </w:pPr>
            <w:r w:rsidRPr="004A5BF7">
              <w:rPr>
                <w:rFonts w:cs="Arial"/>
                <w:sz w:val="18"/>
                <w:szCs w:val="18"/>
              </w:rPr>
              <w:t>1,288</w:t>
            </w:r>
          </w:p>
        </w:tc>
        <w:tc>
          <w:tcPr>
            <w:tcW w:w="291" w:type="pct"/>
            <w:tcBorders>
              <w:top w:val="nil"/>
              <w:left w:val="nil"/>
              <w:bottom w:val="nil"/>
              <w:right w:val="nil"/>
            </w:tcBorders>
            <w:shd w:val="clear" w:color="auto" w:fill="auto"/>
            <w:noWrap/>
            <w:vAlign w:val="center"/>
            <w:hideMark/>
          </w:tcPr>
          <w:p w14:paraId="57522A18" w14:textId="77777777" w:rsidR="00B66CC3" w:rsidRPr="004A5BF7" w:rsidRDefault="00B66CC3" w:rsidP="00B66CC3">
            <w:pPr>
              <w:spacing w:before="0" w:after="0"/>
              <w:jc w:val="center"/>
              <w:rPr>
                <w:rFonts w:cs="Arial"/>
                <w:sz w:val="18"/>
                <w:szCs w:val="18"/>
              </w:rPr>
            </w:pPr>
            <w:r w:rsidRPr="004A5BF7">
              <w:rPr>
                <w:rFonts w:cs="Arial"/>
                <w:sz w:val="18"/>
                <w:szCs w:val="18"/>
              </w:rPr>
              <w:t>903</w:t>
            </w:r>
          </w:p>
        </w:tc>
        <w:tc>
          <w:tcPr>
            <w:tcW w:w="291" w:type="pct"/>
            <w:tcBorders>
              <w:top w:val="nil"/>
              <w:left w:val="nil"/>
              <w:bottom w:val="nil"/>
              <w:right w:val="nil"/>
            </w:tcBorders>
            <w:shd w:val="clear" w:color="auto" w:fill="auto"/>
            <w:noWrap/>
            <w:vAlign w:val="center"/>
            <w:hideMark/>
          </w:tcPr>
          <w:p w14:paraId="0625C68B" w14:textId="77777777" w:rsidR="00B66CC3" w:rsidRPr="004A5BF7" w:rsidRDefault="00B66CC3" w:rsidP="00B66CC3">
            <w:pPr>
              <w:spacing w:before="0" w:after="0"/>
              <w:jc w:val="center"/>
              <w:rPr>
                <w:rFonts w:cs="Arial"/>
                <w:sz w:val="18"/>
                <w:szCs w:val="18"/>
              </w:rPr>
            </w:pPr>
            <w:r w:rsidRPr="004A5BF7">
              <w:rPr>
                <w:rFonts w:cs="Arial"/>
                <w:sz w:val="18"/>
                <w:szCs w:val="18"/>
              </w:rPr>
              <w:t>547</w:t>
            </w:r>
          </w:p>
        </w:tc>
        <w:tc>
          <w:tcPr>
            <w:tcW w:w="291" w:type="pct"/>
            <w:tcBorders>
              <w:top w:val="nil"/>
              <w:left w:val="nil"/>
              <w:bottom w:val="nil"/>
              <w:right w:val="nil"/>
            </w:tcBorders>
            <w:shd w:val="clear" w:color="auto" w:fill="auto"/>
            <w:noWrap/>
            <w:vAlign w:val="center"/>
            <w:hideMark/>
          </w:tcPr>
          <w:p w14:paraId="723E8495" w14:textId="77777777" w:rsidR="00B66CC3" w:rsidRPr="004A5BF7" w:rsidRDefault="00B66CC3" w:rsidP="00B66CC3">
            <w:pPr>
              <w:spacing w:before="0" w:after="0"/>
              <w:jc w:val="center"/>
              <w:rPr>
                <w:rFonts w:cs="Arial"/>
                <w:sz w:val="18"/>
                <w:szCs w:val="18"/>
              </w:rPr>
            </w:pPr>
            <w:r w:rsidRPr="004A5BF7">
              <w:rPr>
                <w:rFonts w:cs="Arial"/>
                <w:sz w:val="18"/>
                <w:szCs w:val="18"/>
              </w:rPr>
              <w:t>871</w:t>
            </w:r>
          </w:p>
        </w:tc>
        <w:tc>
          <w:tcPr>
            <w:tcW w:w="291" w:type="pct"/>
            <w:tcBorders>
              <w:top w:val="nil"/>
              <w:left w:val="nil"/>
              <w:bottom w:val="nil"/>
              <w:right w:val="nil"/>
            </w:tcBorders>
            <w:shd w:val="clear" w:color="auto" w:fill="auto"/>
            <w:noWrap/>
            <w:vAlign w:val="center"/>
            <w:hideMark/>
          </w:tcPr>
          <w:p w14:paraId="637129E9" w14:textId="77777777" w:rsidR="00B66CC3" w:rsidRPr="004A5BF7" w:rsidRDefault="00B66CC3" w:rsidP="00B66CC3">
            <w:pPr>
              <w:spacing w:before="0" w:after="0"/>
              <w:jc w:val="center"/>
              <w:rPr>
                <w:rFonts w:cs="Arial"/>
                <w:sz w:val="18"/>
                <w:szCs w:val="18"/>
              </w:rPr>
            </w:pPr>
            <w:r w:rsidRPr="004A5BF7">
              <w:rPr>
                <w:rFonts w:cs="Arial"/>
                <w:sz w:val="18"/>
                <w:szCs w:val="18"/>
              </w:rPr>
              <w:t>12,210</w:t>
            </w:r>
          </w:p>
        </w:tc>
        <w:tc>
          <w:tcPr>
            <w:tcW w:w="291" w:type="pct"/>
            <w:tcBorders>
              <w:top w:val="nil"/>
              <w:left w:val="nil"/>
              <w:bottom w:val="nil"/>
              <w:right w:val="nil"/>
            </w:tcBorders>
            <w:shd w:val="clear" w:color="auto" w:fill="auto"/>
            <w:noWrap/>
            <w:vAlign w:val="center"/>
            <w:hideMark/>
          </w:tcPr>
          <w:p w14:paraId="0761AB23" w14:textId="77777777" w:rsidR="00B66CC3" w:rsidRPr="004A5BF7" w:rsidRDefault="00B66CC3" w:rsidP="00B66CC3">
            <w:pPr>
              <w:spacing w:before="0" w:after="0"/>
              <w:jc w:val="center"/>
              <w:rPr>
                <w:rFonts w:cs="Arial"/>
                <w:sz w:val="18"/>
                <w:szCs w:val="18"/>
              </w:rPr>
            </w:pPr>
            <w:r w:rsidRPr="004A5BF7">
              <w:rPr>
                <w:rFonts w:cs="Arial"/>
                <w:sz w:val="18"/>
                <w:szCs w:val="18"/>
              </w:rPr>
              <w:t>1,982</w:t>
            </w:r>
          </w:p>
        </w:tc>
        <w:tc>
          <w:tcPr>
            <w:tcW w:w="291" w:type="pct"/>
            <w:tcBorders>
              <w:top w:val="nil"/>
              <w:left w:val="nil"/>
              <w:bottom w:val="nil"/>
              <w:right w:val="nil"/>
            </w:tcBorders>
            <w:shd w:val="clear" w:color="auto" w:fill="auto"/>
            <w:noWrap/>
            <w:vAlign w:val="center"/>
            <w:hideMark/>
          </w:tcPr>
          <w:p w14:paraId="48EF08E0" w14:textId="77777777" w:rsidR="00B66CC3" w:rsidRPr="004A5BF7" w:rsidRDefault="00B66CC3" w:rsidP="00B66CC3">
            <w:pPr>
              <w:spacing w:before="0" w:after="0"/>
              <w:jc w:val="center"/>
              <w:rPr>
                <w:rFonts w:cs="Arial"/>
                <w:sz w:val="18"/>
                <w:szCs w:val="18"/>
              </w:rPr>
            </w:pPr>
            <w:r w:rsidRPr="004A5BF7">
              <w:rPr>
                <w:rFonts w:cs="Arial"/>
                <w:sz w:val="18"/>
                <w:szCs w:val="18"/>
              </w:rPr>
              <w:t>10,907</w:t>
            </w:r>
          </w:p>
        </w:tc>
        <w:tc>
          <w:tcPr>
            <w:tcW w:w="330" w:type="pct"/>
            <w:tcBorders>
              <w:top w:val="nil"/>
              <w:left w:val="nil"/>
              <w:bottom w:val="nil"/>
              <w:right w:val="nil"/>
            </w:tcBorders>
            <w:shd w:val="clear" w:color="auto" w:fill="auto"/>
            <w:noWrap/>
            <w:vAlign w:val="center"/>
            <w:hideMark/>
          </w:tcPr>
          <w:p w14:paraId="153444D5" w14:textId="77777777" w:rsidR="00B66CC3" w:rsidRPr="004A5BF7" w:rsidRDefault="00B66CC3" w:rsidP="00B66CC3">
            <w:pPr>
              <w:spacing w:before="0" w:after="0"/>
              <w:jc w:val="center"/>
              <w:rPr>
                <w:rFonts w:cs="Arial"/>
                <w:sz w:val="18"/>
                <w:szCs w:val="18"/>
              </w:rPr>
            </w:pPr>
            <w:r w:rsidRPr="004A5BF7">
              <w:rPr>
                <w:rFonts w:cs="Arial"/>
                <w:sz w:val="18"/>
                <w:szCs w:val="18"/>
              </w:rPr>
              <w:t>35,886</w:t>
            </w:r>
          </w:p>
        </w:tc>
        <w:tc>
          <w:tcPr>
            <w:tcW w:w="291" w:type="pct"/>
            <w:tcBorders>
              <w:top w:val="nil"/>
              <w:left w:val="nil"/>
              <w:bottom w:val="nil"/>
              <w:right w:val="nil"/>
            </w:tcBorders>
            <w:shd w:val="clear" w:color="auto" w:fill="auto"/>
            <w:noWrap/>
            <w:vAlign w:val="center"/>
            <w:hideMark/>
          </w:tcPr>
          <w:p w14:paraId="11414F7C" w14:textId="77777777" w:rsidR="00B66CC3" w:rsidRPr="004A5BF7" w:rsidRDefault="00B66CC3" w:rsidP="00B66CC3">
            <w:pPr>
              <w:spacing w:before="0" w:after="0"/>
              <w:jc w:val="center"/>
              <w:rPr>
                <w:rFonts w:cs="Arial"/>
                <w:sz w:val="18"/>
                <w:szCs w:val="18"/>
              </w:rPr>
            </w:pPr>
            <w:r w:rsidRPr="004A5BF7">
              <w:rPr>
                <w:rFonts w:cs="Arial"/>
                <w:sz w:val="18"/>
                <w:szCs w:val="18"/>
              </w:rPr>
              <w:t>6,480</w:t>
            </w:r>
          </w:p>
        </w:tc>
        <w:tc>
          <w:tcPr>
            <w:tcW w:w="291" w:type="pct"/>
            <w:tcBorders>
              <w:top w:val="nil"/>
              <w:left w:val="nil"/>
              <w:bottom w:val="nil"/>
              <w:right w:val="nil"/>
            </w:tcBorders>
            <w:shd w:val="clear" w:color="auto" w:fill="auto"/>
            <w:noWrap/>
            <w:vAlign w:val="center"/>
            <w:hideMark/>
          </w:tcPr>
          <w:p w14:paraId="1193130E" w14:textId="77777777" w:rsidR="00B66CC3" w:rsidRPr="004A5BF7" w:rsidRDefault="00B66CC3" w:rsidP="00B66CC3">
            <w:pPr>
              <w:spacing w:before="0" w:after="0"/>
              <w:jc w:val="center"/>
              <w:rPr>
                <w:rFonts w:cs="Arial"/>
                <w:sz w:val="18"/>
                <w:szCs w:val="18"/>
              </w:rPr>
            </w:pPr>
            <w:r w:rsidRPr="004A5BF7">
              <w:rPr>
                <w:rFonts w:cs="Arial"/>
                <w:sz w:val="18"/>
                <w:szCs w:val="18"/>
              </w:rPr>
              <w:t>8,308</w:t>
            </w:r>
          </w:p>
        </w:tc>
        <w:tc>
          <w:tcPr>
            <w:tcW w:w="291" w:type="pct"/>
            <w:tcBorders>
              <w:top w:val="nil"/>
              <w:left w:val="nil"/>
              <w:bottom w:val="nil"/>
              <w:right w:val="nil"/>
            </w:tcBorders>
            <w:shd w:val="clear" w:color="auto" w:fill="auto"/>
            <w:noWrap/>
            <w:vAlign w:val="center"/>
            <w:hideMark/>
          </w:tcPr>
          <w:p w14:paraId="524EACBE" w14:textId="77777777" w:rsidR="00B66CC3" w:rsidRPr="004A5BF7" w:rsidRDefault="00B66CC3" w:rsidP="00B66CC3">
            <w:pPr>
              <w:spacing w:before="0" w:after="0"/>
              <w:jc w:val="center"/>
              <w:rPr>
                <w:rFonts w:cs="Arial"/>
                <w:sz w:val="18"/>
                <w:szCs w:val="18"/>
              </w:rPr>
            </w:pPr>
            <w:r w:rsidRPr="004A5BF7">
              <w:rPr>
                <w:rFonts w:cs="Arial"/>
                <w:sz w:val="18"/>
                <w:szCs w:val="18"/>
              </w:rPr>
              <w:t>1,501</w:t>
            </w:r>
          </w:p>
        </w:tc>
        <w:tc>
          <w:tcPr>
            <w:tcW w:w="253" w:type="pct"/>
            <w:tcBorders>
              <w:top w:val="nil"/>
              <w:left w:val="nil"/>
              <w:bottom w:val="nil"/>
              <w:right w:val="nil"/>
            </w:tcBorders>
            <w:shd w:val="clear" w:color="auto" w:fill="auto"/>
            <w:noWrap/>
            <w:vAlign w:val="center"/>
            <w:hideMark/>
          </w:tcPr>
          <w:p w14:paraId="2F45D8C1" w14:textId="77777777" w:rsidR="00B66CC3" w:rsidRPr="004A5BF7" w:rsidRDefault="00B66CC3" w:rsidP="00B66CC3">
            <w:pPr>
              <w:spacing w:before="0" w:after="0"/>
              <w:jc w:val="center"/>
              <w:rPr>
                <w:rFonts w:cs="Arial"/>
                <w:sz w:val="18"/>
                <w:szCs w:val="18"/>
              </w:rPr>
            </w:pPr>
            <w:r w:rsidRPr="004A5BF7">
              <w:rPr>
                <w:rFonts w:cs="Arial"/>
                <w:sz w:val="18"/>
                <w:szCs w:val="18"/>
              </w:rPr>
              <w:t>2,667</w:t>
            </w:r>
          </w:p>
        </w:tc>
      </w:tr>
      <w:tr w:rsidR="00B66CC3" w:rsidRPr="00E9409C" w14:paraId="5E7797BD" w14:textId="77777777" w:rsidTr="00E662D3">
        <w:trPr>
          <w:trHeight w:val="454"/>
          <w:tblHeader/>
        </w:trPr>
        <w:tc>
          <w:tcPr>
            <w:tcW w:w="1253" w:type="pct"/>
            <w:gridSpan w:val="2"/>
            <w:tcBorders>
              <w:top w:val="single" w:sz="4" w:space="0" w:color="auto"/>
              <w:left w:val="nil"/>
              <w:bottom w:val="single" w:sz="4" w:space="0" w:color="auto"/>
              <w:right w:val="nil"/>
            </w:tcBorders>
            <w:shd w:val="clear" w:color="auto" w:fill="auto"/>
            <w:noWrap/>
            <w:vAlign w:val="center"/>
            <w:hideMark/>
          </w:tcPr>
          <w:p w14:paraId="018EBAF7" w14:textId="77777777" w:rsidR="00B66CC3" w:rsidRPr="004A5BF7" w:rsidRDefault="00B66CC3" w:rsidP="004A5BF7">
            <w:pPr>
              <w:spacing w:before="0" w:after="0"/>
              <w:jc w:val="left"/>
              <w:rPr>
                <w:rFonts w:cs="Arial"/>
                <w:sz w:val="18"/>
                <w:szCs w:val="18"/>
              </w:rPr>
            </w:pPr>
            <w:r w:rsidRPr="004A5BF7">
              <w:rPr>
                <w:rFonts w:cs="Arial"/>
                <w:sz w:val="18"/>
                <w:szCs w:val="18"/>
              </w:rPr>
              <w:t>Total wet season River discharge</w:t>
            </w:r>
          </w:p>
        </w:tc>
        <w:tc>
          <w:tcPr>
            <w:tcW w:w="253" w:type="pct"/>
            <w:tcBorders>
              <w:top w:val="single" w:sz="4" w:space="0" w:color="auto"/>
              <w:left w:val="nil"/>
              <w:bottom w:val="single" w:sz="4" w:space="0" w:color="auto"/>
              <w:right w:val="nil"/>
            </w:tcBorders>
            <w:shd w:val="clear" w:color="auto" w:fill="auto"/>
            <w:noWrap/>
            <w:vAlign w:val="center"/>
            <w:hideMark/>
          </w:tcPr>
          <w:p w14:paraId="5BA748AE" w14:textId="77777777" w:rsidR="00B66CC3" w:rsidRPr="004A5BF7" w:rsidRDefault="00B66CC3" w:rsidP="00B66CC3">
            <w:pPr>
              <w:spacing w:before="0" w:after="0"/>
              <w:jc w:val="center"/>
              <w:rPr>
                <w:rFonts w:cs="Arial"/>
                <w:sz w:val="18"/>
                <w:szCs w:val="18"/>
              </w:rPr>
            </w:pPr>
            <w:r w:rsidRPr="004A5BF7">
              <w:rPr>
                <w:rFonts w:cs="Arial"/>
                <w:sz w:val="18"/>
                <w:szCs w:val="18"/>
              </w:rPr>
              <w:t>7,068</w:t>
            </w:r>
          </w:p>
        </w:tc>
        <w:tc>
          <w:tcPr>
            <w:tcW w:w="291" w:type="pct"/>
            <w:tcBorders>
              <w:top w:val="single" w:sz="4" w:space="0" w:color="auto"/>
              <w:left w:val="nil"/>
              <w:bottom w:val="single" w:sz="4" w:space="0" w:color="auto"/>
              <w:right w:val="nil"/>
            </w:tcBorders>
            <w:shd w:val="clear" w:color="auto" w:fill="auto"/>
            <w:noWrap/>
            <w:vAlign w:val="center"/>
            <w:hideMark/>
          </w:tcPr>
          <w:p w14:paraId="3B9C28D5" w14:textId="77777777" w:rsidR="00B66CC3" w:rsidRPr="004A5BF7" w:rsidRDefault="00B66CC3" w:rsidP="00B66CC3">
            <w:pPr>
              <w:spacing w:before="0" w:after="0"/>
              <w:jc w:val="center"/>
              <w:rPr>
                <w:rFonts w:cs="Arial"/>
                <w:sz w:val="18"/>
                <w:szCs w:val="18"/>
              </w:rPr>
            </w:pPr>
            <w:r w:rsidRPr="004A5BF7">
              <w:rPr>
                <w:rFonts w:cs="Arial"/>
                <w:sz w:val="18"/>
                <w:szCs w:val="18"/>
              </w:rPr>
              <w:t>14,367</w:t>
            </w:r>
          </w:p>
        </w:tc>
        <w:tc>
          <w:tcPr>
            <w:tcW w:w="291" w:type="pct"/>
            <w:tcBorders>
              <w:top w:val="single" w:sz="4" w:space="0" w:color="auto"/>
              <w:left w:val="nil"/>
              <w:bottom w:val="single" w:sz="4" w:space="0" w:color="auto"/>
              <w:right w:val="nil"/>
            </w:tcBorders>
            <w:shd w:val="clear" w:color="auto" w:fill="auto"/>
            <w:noWrap/>
            <w:vAlign w:val="center"/>
            <w:hideMark/>
          </w:tcPr>
          <w:p w14:paraId="70D74EB7" w14:textId="77777777" w:rsidR="00B66CC3" w:rsidRPr="004A5BF7" w:rsidRDefault="00B66CC3" w:rsidP="00B66CC3">
            <w:pPr>
              <w:spacing w:before="0" w:after="0"/>
              <w:jc w:val="center"/>
              <w:rPr>
                <w:rFonts w:cs="Arial"/>
                <w:sz w:val="18"/>
                <w:szCs w:val="18"/>
              </w:rPr>
            </w:pPr>
            <w:r w:rsidRPr="004A5BF7">
              <w:rPr>
                <w:rFonts w:cs="Arial"/>
                <w:sz w:val="18"/>
                <w:szCs w:val="18"/>
              </w:rPr>
              <w:t>10,542</w:t>
            </w:r>
          </w:p>
        </w:tc>
        <w:tc>
          <w:tcPr>
            <w:tcW w:w="291" w:type="pct"/>
            <w:tcBorders>
              <w:top w:val="single" w:sz="4" w:space="0" w:color="auto"/>
              <w:left w:val="nil"/>
              <w:bottom w:val="single" w:sz="4" w:space="0" w:color="auto"/>
              <w:right w:val="nil"/>
            </w:tcBorders>
            <w:shd w:val="clear" w:color="auto" w:fill="auto"/>
            <w:noWrap/>
            <w:vAlign w:val="center"/>
            <w:hideMark/>
          </w:tcPr>
          <w:p w14:paraId="0EF3AC6F" w14:textId="77777777" w:rsidR="00B66CC3" w:rsidRPr="004A5BF7" w:rsidRDefault="00B66CC3" w:rsidP="00B66CC3">
            <w:pPr>
              <w:spacing w:before="0" w:after="0"/>
              <w:jc w:val="center"/>
              <w:rPr>
                <w:rFonts w:cs="Arial"/>
                <w:sz w:val="18"/>
                <w:szCs w:val="18"/>
              </w:rPr>
            </w:pPr>
            <w:r w:rsidRPr="004A5BF7">
              <w:rPr>
                <w:rFonts w:cs="Arial"/>
                <w:sz w:val="18"/>
                <w:szCs w:val="18"/>
              </w:rPr>
              <w:t>13,331</w:t>
            </w:r>
          </w:p>
        </w:tc>
        <w:tc>
          <w:tcPr>
            <w:tcW w:w="291" w:type="pct"/>
            <w:tcBorders>
              <w:top w:val="single" w:sz="4" w:space="0" w:color="auto"/>
              <w:left w:val="nil"/>
              <w:bottom w:val="single" w:sz="4" w:space="0" w:color="auto"/>
              <w:right w:val="nil"/>
            </w:tcBorders>
            <w:shd w:val="clear" w:color="auto" w:fill="auto"/>
            <w:noWrap/>
            <w:vAlign w:val="center"/>
            <w:hideMark/>
          </w:tcPr>
          <w:p w14:paraId="352ACBCF" w14:textId="77777777" w:rsidR="00B66CC3" w:rsidRPr="004A5BF7" w:rsidRDefault="00B66CC3" w:rsidP="00B66CC3">
            <w:pPr>
              <w:spacing w:before="0" w:after="0"/>
              <w:jc w:val="center"/>
              <w:rPr>
                <w:rFonts w:cs="Arial"/>
                <w:sz w:val="18"/>
                <w:szCs w:val="18"/>
              </w:rPr>
            </w:pPr>
            <w:r w:rsidRPr="004A5BF7">
              <w:rPr>
                <w:rFonts w:cs="Arial"/>
                <w:sz w:val="18"/>
                <w:szCs w:val="18"/>
              </w:rPr>
              <w:t>22,174</w:t>
            </w:r>
          </w:p>
        </w:tc>
        <w:tc>
          <w:tcPr>
            <w:tcW w:w="291" w:type="pct"/>
            <w:tcBorders>
              <w:top w:val="single" w:sz="4" w:space="0" w:color="auto"/>
              <w:left w:val="nil"/>
              <w:bottom w:val="single" w:sz="4" w:space="0" w:color="auto"/>
              <w:right w:val="nil"/>
            </w:tcBorders>
            <w:shd w:val="clear" w:color="auto" w:fill="auto"/>
            <w:noWrap/>
            <w:vAlign w:val="center"/>
            <w:hideMark/>
          </w:tcPr>
          <w:p w14:paraId="45D9817E" w14:textId="77777777" w:rsidR="00B66CC3" w:rsidRPr="004A5BF7" w:rsidRDefault="00B66CC3" w:rsidP="00B66CC3">
            <w:pPr>
              <w:spacing w:before="0" w:after="0"/>
              <w:jc w:val="center"/>
              <w:rPr>
                <w:rFonts w:cs="Arial"/>
                <w:sz w:val="18"/>
                <w:szCs w:val="18"/>
              </w:rPr>
            </w:pPr>
            <w:r w:rsidRPr="004A5BF7">
              <w:rPr>
                <w:rFonts w:cs="Arial"/>
                <w:sz w:val="18"/>
                <w:szCs w:val="18"/>
              </w:rPr>
              <w:t>54,017</w:t>
            </w:r>
          </w:p>
        </w:tc>
        <w:tc>
          <w:tcPr>
            <w:tcW w:w="291" w:type="pct"/>
            <w:tcBorders>
              <w:top w:val="single" w:sz="4" w:space="0" w:color="auto"/>
              <w:left w:val="nil"/>
              <w:bottom w:val="single" w:sz="4" w:space="0" w:color="auto"/>
              <w:right w:val="nil"/>
            </w:tcBorders>
            <w:shd w:val="clear" w:color="auto" w:fill="auto"/>
            <w:noWrap/>
            <w:vAlign w:val="center"/>
            <w:hideMark/>
          </w:tcPr>
          <w:p w14:paraId="44498894" w14:textId="77777777" w:rsidR="00B66CC3" w:rsidRPr="004A5BF7" w:rsidRDefault="00B66CC3" w:rsidP="00B66CC3">
            <w:pPr>
              <w:spacing w:before="0" w:after="0"/>
              <w:jc w:val="center"/>
              <w:rPr>
                <w:rFonts w:cs="Arial"/>
                <w:sz w:val="18"/>
                <w:szCs w:val="18"/>
              </w:rPr>
            </w:pPr>
            <w:r w:rsidRPr="004A5BF7">
              <w:rPr>
                <w:rFonts w:cs="Arial"/>
                <w:sz w:val="18"/>
                <w:szCs w:val="18"/>
              </w:rPr>
              <w:t>50,934</w:t>
            </w:r>
          </w:p>
        </w:tc>
        <w:tc>
          <w:tcPr>
            <w:tcW w:w="291" w:type="pct"/>
            <w:tcBorders>
              <w:top w:val="single" w:sz="4" w:space="0" w:color="auto"/>
              <w:left w:val="nil"/>
              <w:bottom w:val="single" w:sz="4" w:space="0" w:color="auto"/>
              <w:right w:val="nil"/>
            </w:tcBorders>
            <w:shd w:val="clear" w:color="auto" w:fill="auto"/>
            <w:noWrap/>
            <w:vAlign w:val="center"/>
            <w:hideMark/>
          </w:tcPr>
          <w:p w14:paraId="54096C62" w14:textId="77777777" w:rsidR="00B66CC3" w:rsidRPr="004A5BF7" w:rsidRDefault="00B66CC3" w:rsidP="00B66CC3">
            <w:pPr>
              <w:spacing w:before="0" w:after="0"/>
              <w:jc w:val="center"/>
              <w:rPr>
                <w:rFonts w:cs="Arial"/>
                <w:sz w:val="18"/>
                <w:szCs w:val="18"/>
              </w:rPr>
            </w:pPr>
            <w:r w:rsidRPr="004A5BF7">
              <w:rPr>
                <w:rFonts w:cs="Arial"/>
                <w:sz w:val="18"/>
                <w:szCs w:val="18"/>
              </w:rPr>
              <w:t>30,329</w:t>
            </w:r>
          </w:p>
        </w:tc>
        <w:tc>
          <w:tcPr>
            <w:tcW w:w="330" w:type="pct"/>
            <w:tcBorders>
              <w:top w:val="single" w:sz="4" w:space="0" w:color="auto"/>
              <w:left w:val="nil"/>
              <w:bottom w:val="single" w:sz="4" w:space="0" w:color="auto"/>
              <w:right w:val="nil"/>
            </w:tcBorders>
            <w:shd w:val="clear" w:color="auto" w:fill="auto"/>
            <w:noWrap/>
            <w:vAlign w:val="center"/>
            <w:hideMark/>
          </w:tcPr>
          <w:p w14:paraId="088FC48C" w14:textId="77777777" w:rsidR="00B66CC3" w:rsidRPr="004A5BF7" w:rsidRDefault="00B66CC3" w:rsidP="00B66CC3">
            <w:pPr>
              <w:spacing w:before="0" w:after="0"/>
              <w:jc w:val="center"/>
              <w:rPr>
                <w:rFonts w:cs="Arial"/>
                <w:sz w:val="18"/>
                <w:szCs w:val="18"/>
              </w:rPr>
            </w:pPr>
            <w:r w:rsidRPr="004A5BF7">
              <w:rPr>
                <w:rFonts w:cs="Arial"/>
                <w:sz w:val="18"/>
                <w:szCs w:val="18"/>
              </w:rPr>
              <w:t>101,504</w:t>
            </w:r>
          </w:p>
        </w:tc>
        <w:tc>
          <w:tcPr>
            <w:tcW w:w="291" w:type="pct"/>
            <w:tcBorders>
              <w:top w:val="single" w:sz="4" w:space="0" w:color="auto"/>
              <w:left w:val="nil"/>
              <w:bottom w:val="single" w:sz="4" w:space="0" w:color="auto"/>
              <w:right w:val="nil"/>
            </w:tcBorders>
            <w:shd w:val="clear" w:color="auto" w:fill="auto"/>
            <w:noWrap/>
            <w:vAlign w:val="center"/>
            <w:hideMark/>
          </w:tcPr>
          <w:p w14:paraId="0E73D347" w14:textId="77777777" w:rsidR="00B66CC3" w:rsidRPr="004A5BF7" w:rsidRDefault="00B66CC3" w:rsidP="00B66CC3">
            <w:pPr>
              <w:spacing w:before="0" w:after="0"/>
              <w:jc w:val="center"/>
              <w:rPr>
                <w:rFonts w:cs="Arial"/>
                <w:sz w:val="18"/>
                <w:szCs w:val="18"/>
              </w:rPr>
            </w:pPr>
            <w:r w:rsidRPr="004A5BF7">
              <w:rPr>
                <w:rFonts w:cs="Arial"/>
                <w:sz w:val="18"/>
                <w:szCs w:val="18"/>
              </w:rPr>
              <w:t>33,317</w:t>
            </w:r>
          </w:p>
        </w:tc>
        <w:tc>
          <w:tcPr>
            <w:tcW w:w="291" w:type="pct"/>
            <w:tcBorders>
              <w:top w:val="single" w:sz="4" w:space="0" w:color="auto"/>
              <w:left w:val="nil"/>
              <w:bottom w:val="single" w:sz="4" w:space="0" w:color="auto"/>
              <w:right w:val="nil"/>
            </w:tcBorders>
            <w:shd w:val="clear" w:color="auto" w:fill="auto"/>
            <w:noWrap/>
            <w:vAlign w:val="center"/>
            <w:hideMark/>
          </w:tcPr>
          <w:p w14:paraId="0C7D08E9" w14:textId="77777777" w:rsidR="00B66CC3" w:rsidRPr="004A5BF7" w:rsidRDefault="00B66CC3" w:rsidP="00B66CC3">
            <w:pPr>
              <w:spacing w:before="0" w:after="0"/>
              <w:jc w:val="center"/>
              <w:rPr>
                <w:rFonts w:cs="Arial"/>
                <w:sz w:val="18"/>
                <w:szCs w:val="18"/>
              </w:rPr>
            </w:pPr>
            <w:r w:rsidRPr="004A5BF7">
              <w:rPr>
                <w:rFonts w:cs="Arial"/>
                <w:sz w:val="18"/>
                <w:szCs w:val="18"/>
              </w:rPr>
              <w:t>19,469</w:t>
            </w:r>
          </w:p>
        </w:tc>
        <w:tc>
          <w:tcPr>
            <w:tcW w:w="291" w:type="pct"/>
            <w:tcBorders>
              <w:top w:val="single" w:sz="4" w:space="0" w:color="auto"/>
              <w:left w:val="nil"/>
              <w:bottom w:val="single" w:sz="4" w:space="0" w:color="auto"/>
              <w:right w:val="nil"/>
            </w:tcBorders>
            <w:shd w:val="clear" w:color="auto" w:fill="auto"/>
            <w:noWrap/>
            <w:vAlign w:val="center"/>
            <w:hideMark/>
          </w:tcPr>
          <w:p w14:paraId="33CB9C60" w14:textId="77777777" w:rsidR="00B66CC3" w:rsidRPr="004A5BF7" w:rsidRDefault="00B66CC3" w:rsidP="00B66CC3">
            <w:pPr>
              <w:spacing w:before="0" w:after="0"/>
              <w:jc w:val="center"/>
              <w:rPr>
                <w:rFonts w:cs="Arial"/>
                <w:sz w:val="18"/>
                <w:szCs w:val="18"/>
              </w:rPr>
            </w:pPr>
            <w:r w:rsidRPr="004A5BF7">
              <w:rPr>
                <w:rFonts w:cs="Arial"/>
                <w:sz w:val="18"/>
                <w:szCs w:val="18"/>
              </w:rPr>
              <w:t>15,004</w:t>
            </w:r>
          </w:p>
        </w:tc>
        <w:tc>
          <w:tcPr>
            <w:tcW w:w="253" w:type="pct"/>
            <w:tcBorders>
              <w:top w:val="single" w:sz="4" w:space="0" w:color="auto"/>
              <w:left w:val="nil"/>
              <w:bottom w:val="single" w:sz="4" w:space="0" w:color="auto"/>
              <w:right w:val="nil"/>
            </w:tcBorders>
            <w:shd w:val="clear" w:color="auto" w:fill="auto"/>
            <w:noWrap/>
            <w:vAlign w:val="center"/>
            <w:hideMark/>
          </w:tcPr>
          <w:p w14:paraId="253ADE87" w14:textId="77777777" w:rsidR="00B66CC3" w:rsidRPr="004A5BF7" w:rsidRDefault="00B66CC3" w:rsidP="00B66CC3">
            <w:pPr>
              <w:spacing w:before="0" w:after="0"/>
              <w:jc w:val="center"/>
              <w:rPr>
                <w:rFonts w:cs="Arial"/>
                <w:sz w:val="18"/>
                <w:szCs w:val="18"/>
              </w:rPr>
            </w:pPr>
            <w:r w:rsidRPr="004A5BF7">
              <w:rPr>
                <w:rFonts w:cs="Arial"/>
                <w:sz w:val="18"/>
                <w:szCs w:val="18"/>
              </w:rPr>
              <w:t>7,984</w:t>
            </w:r>
          </w:p>
        </w:tc>
      </w:tr>
    </w:tbl>
    <w:p w14:paraId="2D051E6E" w14:textId="77777777" w:rsidR="00B66CC3" w:rsidRPr="00961331" w:rsidRDefault="00B66CC3" w:rsidP="00B66CC3">
      <w:pPr>
        <w:rPr>
          <w:rFonts w:cs="Arial"/>
          <w:szCs w:val="22"/>
        </w:rPr>
      </w:pPr>
      <w:r w:rsidRPr="00961331">
        <w:rPr>
          <w:rFonts w:cs="Arial"/>
          <w:szCs w:val="22"/>
        </w:rPr>
        <w:t>* Natural Resource Management</w:t>
      </w:r>
    </w:p>
    <w:p w14:paraId="386D2399" w14:textId="77777777" w:rsidR="00B66CC3" w:rsidRPr="00961331" w:rsidRDefault="00B66CC3" w:rsidP="00B66CC3">
      <w:pPr>
        <w:rPr>
          <w:rFonts w:cs="Arial"/>
          <w:szCs w:val="22"/>
        </w:rPr>
        <w:sectPr w:rsidR="00B66CC3" w:rsidRPr="00961331" w:rsidSect="00207F81">
          <w:pgSz w:w="16839" w:h="11907" w:orient="landscape" w:code="9"/>
          <w:pgMar w:top="1440" w:right="1440" w:bottom="1440" w:left="1440" w:header="708" w:footer="708" w:gutter="0"/>
          <w:cols w:space="708"/>
          <w:docGrid w:linePitch="299"/>
        </w:sectPr>
      </w:pPr>
    </w:p>
    <w:p w14:paraId="4DFB82EB" w14:textId="543E7BE3" w:rsidR="00B66CC3" w:rsidRPr="00961331" w:rsidRDefault="00B66CC3" w:rsidP="00B66CC3">
      <w:pPr>
        <w:rPr>
          <w:rFonts w:cs="Arial"/>
          <w:szCs w:val="22"/>
        </w:rPr>
      </w:pPr>
      <w:r w:rsidRPr="00961331">
        <w:rPr>
          <w:rFonts w:cs="Arial"/>
          <w:szCs w:val="22"/>
        </w:rPr>
        <w:t xml:space="preserve">The same model developed for DIN dispersion was used, except that the decay function was not included. Match-ups of PN and TSS against six colour classes were performed as done for DIN and their concentrations are presented in </w:t>
      </w:r>
      <w:r w:rsidRPr="00961331">
        <w:rPr>
          <w:rFonts w:cs="Arial"/>
          <w:szCs w:val="22"/>
        </w:rPr>
        <w:fldChar w:fldCharType="begin"/>
      </w:r>
      <w:r w:rsidRPr="00961331">
        <w:rPr>
          <w:rFonts w:cs="Arial"/>
          <w:szCs w:val="22"/>
        </w:rPr>
        <w:instrText xml:space="preserve"> REF _Ref450162722 \h  \* MERGEFORMAT </w:instrText>
      </w:r>
      <w:r w:rsidRPr="00961331">
        <w:rPr>
          <w:rFonts w:cs="Arial"/>
          <w:szCs w:val="22"/>
        </w:rPr>
      </w:r>
      <w:r w:rsidRPr="00961331">
        <w:rPr>
          <w:rFonts w:cs="Arial"/>
          <w:szCs w:val="22"/>
        </w:rPr>
        <w:fldChar w:fldCharType="separate"/>
      </w:r>
      <w:r w:rsidR="007F5336" w:rsidRPr="007F5336">
        <w:rPr>
          <w:rFonts w:cs="Arial"/>
          <w:szCs w:val="22"/>
        </w:rPr>
        <w:t xml:space="preserve">Figure </w:t>
      </w:r>
      <w:r w:rsidR="007F5336" w:rsidRPr="007F5336">
        <w:rPr>
          <w:rFonts w:cs="Arial"/>
          <w:noProof/>
          <w:szCs w:val="22"/>
        </w:rPr>
        <w:t>A1</w:t>
      </w:r>
      <w:r w:rsidR="007F5336">
        <w:t xml:space="preserve"> </w:t>
      </w:r>
      <w:r w:rsidR="007F5336">
        <w:rPr>
          <w:noProof/>
        </w:rPr>
        <w:t xml:space="preserve">13: </w:t>
      </w:r>
      <w:r w:rsidRPr="00961331">
        <w:rPr>
          <w:rFonts w:cs="Arial"/>
          <w:szCs w:val="22"/>
        </w:rPr>
        <w:fldChar w:fldCharType="end"/>
      </w:r>
      <w:r w:rsidRPr="00961331">
        <w:rPr>
          <w:rFonts w:cs="Arial"/>
          <w:szCs w:val="22"/>
        </w:rPr>
        <w:t>.</w:t>
      </w:r>
    </w:p>
    <w:p w14:paraId="44DA3F26" w14:textId="77777777" w:rsidR="00B66CC3" w:rsidRPr="00961331" w:rsidRDefault="00B66CC3" w:rsidP="00B66CC3">
      <w:pPr>
        <w:rPr>
          <w:rFonts w:cs="Arial"/>
          <w:szCs w:val="22"/>
        </w:rPr>
      </w:pPr>
      <w:r w:rsidRPr="00B05E41">
        <w:rPr>
          <w:rFonts w:cs="Arial"/>
          <w:noProof/>
          <w:szCs w:val="22"/>
          <w:lang w:val="en-AU" w:eastAsia="en-AU"/>
        </w:rPr>
        <w:drawing>
          <wp:inline distT="0" distB="0" distL="0" distR="0" wp14:anchorId="7380663D" wp14:editId="31E38EE0">
            <wp:extent cx="5760000" cy="2497164"/>
            <wp:effectExtent l="0" t="0" r="0" b="0"/>
            <wp:docPr id="84" name="Picture 84" descr="Panel of plots showing In-situ particulate nitrogen concentration (a) and total suspended solids (b) per colour class, measured over 13 wet seasons (c.a., December to April inclusive) from 2002/03 to 2014/15 wet season. Boxplot presents the median (dark black line), 25th and 75th percentile values (rectangle) and 5th and 95th percentile values (vertical lines). Nudge was applied to data on x-axis for better data visualisation." title="Figure A1 13: In-situ particulate nitrogen concentration (a) and total suspended solids (b) per colour class, measured over 13 wet seasons (c.a., December to April inclusive) from 2002/03 to 2014/15 wet seas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8" cstate="print">
                      <a:extLst>
                        <a:ext uri="{28A0092B-C50C-407E-A947-70E740481C1C}">
                          <a14:useLocalDpi xmlns:a14="http://schemas.microsoft.com/office/drawing/2010/main" val="0"/>
                        </a:ext>
                      </a:extLst>
                    </a:blip>
                    <a:srcRect/>
                    <a:stretch>
                      <a:fillRect/>
                    </a:stretch>
                  </pic:blipFill>
                  <pic:spPr bwMode="auto">
                    <a:xfrm>
                      <a:off x="0" y="0"/>
                      <a:ext cx="5760000" cy="2497164"/>
                    </a:xfrm>
                    <a:prstGeom prst="rect">
                      <a:avLst/>
                    </a:prstGeom>
                    <a:noFill/>
                  </pic:spPr>
                </pic:pic>
              </a:graphicData>
            </a:graphic>
          </wp:inline>
        </w:drawing>
      </w:r>
    </w:p>
    <w:p w14:paraId="03B55D1D" w14:textId="72B98B99" w:rsidR="00B66CC3" w:rsidRPr="00961331" w:rsidRDefault="000E764B" w:rsidP="004A5BF7">
      <w:pPr>
        <w:pStyle w:val="Caption"/>
      </w:pPr>
      <w:bookmarkStart w:id="1595" w:name="_Ref450162722"/>
      <w:bookmarkStart w:id="1596" w:name="_Toc459332202"/>
      <w:bookmarkStart w:id="1597" w:name="_Toc461194310"/>
      <w:r>
        <w:t xml:space="preserve">Figure A1 </w:t>
      </w:r>
      <w:r>
        <w:fldChar w:fldCharType="begin"/>
      </w:r>
      <w:r>
        <w:instrText xml:space="preserve"> SEQ Figure_A1 \* ARABIC </w:instrText>
      </w:r>
      <w:r>
        <w:fldChar w:fldCharType="separate"/>
      </w:r>
      <w:r w:rsidR="007F5336">
        <w:rPr>
          <w:noProof/>
        </w:rPr>
        <w:t>13</w:t>
      </w:r>
      <w:r>
        <w:rPr>
          <w:noProof/>
        </w:rPr>
        <w:fldChar w:fldCharType="end"/>
      </w:r>
      <w:r>
        <w:rPr>
          <w:noProof/>
        </w:rPr>
        <w:t xml:space="preserve">: </w:t>
      </w:r>
      <w:bookmarkEnd w:id="1595"/>
      <w:r w:rsidR="00B66CC3" w:rsidRPr="00961331">
        <w:t>In-situ particulate nitrogen concentration (a) and total suspended solids (b) per colour class, measured over 13 wet seasons (c.a., December to April inclusive) from 2002/03 to 2014/15 wet season. Boxplot presents the median (dark black line), 25</w:t>
      </w:r>
      <w:r w:rsidR="00B66CC3" w:rsidRPr="00961331">
        <w:rPr>
          <w:vertAlign w:val="superscript"/>
        </w:rPr>
        <w:t>th</w:t>
      </w:r>
      <w:r w:rsidR="00B66CC3" w:rsidRPr="00961331">
        <w:t xml:space="preserve"> and 75</w:t>
      </w:r>
      <w:r w:rsidR="00B66CC3" w:rsidRPr="00961331">
        <w:rPr>
          <w:vertAlign w:val="superscript"/>
        </w:rPr>
        <w:t>th</w:t>
      </w:r>
      <w:r w:rsidR="00B66CC3" w:rsidRPr="00961331">
        <w:t xml:space="preserve"> percentile values (rectangle) and 5</w:t>
      </w:r>
      <w:r w:rsidR="00B66CC3" w:rsidRPr="00961331">
        <w:rPr>
          <w:vertAlign w:val="superscript"/>
        </w:rPr>
        <w:t>th</w:t>
      </w:r>
      <w:r w:rsidR="00B66CC3" w:rsidRPr="00961331">
        <w:t xml:space="preserve"> and 95</w:t>
      </w:r>
      <w:r w:rsidR="00B66CC3" w:rsidRPr="00961331">
        <w:rPr>
          <w:vertAlign w:val="superscript"/>
        </w:rPr>
        <w:t>th</w:t>
      </w:r>
      <w:r w:rsidR="00B66CC3" w:rsidRPr="00961331">
        <w:t xml:space="preserve"> percentile values (vertical lines). Nudge was applied to data on</w:t>
      </w:r>
      <w:r w:rsidR="00E9409C">
        <w:t xml:space="preserve"> x-axis for better data visualis</w:t>
      </w:r>
      <w:r w:rsidR="00B66CC3" w:rsidRPr="00961331">
        <w:t>ation.</w:t>
      </w:r>
      <w:bookmarkEnd w:id="1596"/>
      <w:bookmarkEnd w:id="1597"/>
    </w:p>
    <w:p w14:paraId="5FC1DFE0" w14:textId="77777777" w:rsidR="00B66CC3" w:rsidRPr="00961331" w:rsidRDefault="00B66CC3" w:rsidP="00B66CC3">
      <w:pPr>
        <w:rPr>
          <w:rFonts w:cs="Arial"/>
          <w:szCs w:val="22"/>
        </w:rPr>
      </w:pPr>
    </w:p>
    <w:p w14:paraId="2BB67303" w14:textId="4B66A15B" w:rsidR="00B66CC3" w:rsidRPr="00961331" w:rsidRDefault="00B66CC3" w:rsidP="00B66CC3">
      <w:pPr>
        <w:rPr>
          <w:rFonts w:cs="Arial"/>
          <w:szCs w:val="22"/>
        </w:rPr>
      </w:pPr>
      <w:r w:rsidRPr="00961331">
        <w:rPr>
          <w:rFonts w:cs="Arial"/>
          <w:szCs w:val="22"/>
        </w:rPr>
        <w:t xml:space="preserve">Using concentrations for PN and TSS per colour class plus mixing depth layer, plume area and salinity as </w:t>
      </w:r>
      <w:r w:rsidRPr="000E764B">
        <w:rPr>
          <w:rFonts w:cs="Arial"/>
          <w:szCs w:val="22"/>
        </w:rPr>
        <w:t xml:space="preserve">presented in </w:t>
      </w:r>
      <w:r w:rsidRPr="000E764B">
        <w:rPr>
          <w:rFonts w:cs="Arial"/>
          <w:szCs w:val="22"/>
        </w:rPr>
        <w:fldChar w:fldCharType="begin"/>
      </w:r>
      <w:r w:rsidRPr="000E764B">
        <w:rPr>
          <w:rFonts w:cs="Arial"/>
          <w:szCs w:val="22"/>
        </w:rPr>
        <w:instrText xml:space="preserve"> REF _Ref449130369 \h  \* MERGEFORMAT </w:instrText>
      </w:r>
      <w:r w:rsidRPr="000E764B">
        <w:rPr>
          <w:rFonts w:cs="Arial"/>
          <w:szCs w:val="22"/>
        </w:rPr>
      </w:r>
      <w:r w:rsidRPr="000E764B">
        <w:rPr>
          <w:rFonts w:cs="Arial"/>
          <w:szCs w:val="22"/>
        </w:rPr>
        <w:fldChar w:fldCharType="separate"/>
      </w:r>
      <w:r w:rsidR="007F5336" w:rsidRPr="007F5336">
        <w:rPr>
          <w:rFonts w:cs="Arial"/>
          <w:szCs w:val="22"/>
        </w:rPr>
        <w:t xml:space="preserve">Figure </w:t>
      </w:r>
      <w:r w:rsidR="007F5336" w:rsidRPr="007F5336">
        <w:rPr>
          <w:rFonts w:cs="Arial"/>
          <w:noProof/>
          <w:szCs w:val="22"/>
        </w:rPr>
        <w:t>A1</w:t>
      </w:r>
      <w:r w:rsidR="007F5336">
        <w:t xml:space="preserve"> </w:t>
      </w:r>
      <w:r w:rsidR="007F5336">
        <w:rPr>
          <w:noProof/>
        </w:rPr>
        <w:t>9:</w:t>
      </w:r>
      <w:r w:rsidR="007F5336" w:rsidRPr="00961331">
        <w:t xml:space="preserve"> </w:t>
      </w:r>
      <w:r w:rsidRPr="000E764B">
        <w:rPr>
          <w:rFonts w:cs="Arial"/>
          <w:szCs w:val="22"/>
        </w:rPr>
        <w:fldChar w:fldCharType="end"/>
      </w:r>
      <w:r w:rsidRPr="000E764B">
        <w:rPr>
          <w:rFonts w:cs="Arial"/>
          <w:szCs w:val="22"/>
        </w:rPr>
        <w:t>, the mass of PN and TSS per colour class was determined (</w:t>
      </w:r>
      <w:r w:rsidRPr="000E764B">
        <w:rPr>
          <w:rFonts w:cs="Arial"/>
          <w:szCs w:val="22"/>
        </w:rPr>
        <w:fldChar w:fldCharType="begin"/>
      </w:r>
      <w:r w:rsidRPr="000E764B">
        <w:rPr>
          <w:rFonts w:cs="Arial"/>
          <w:szCs w:val="22"/>
        </w:rPr>
        <w:instrText xml:space="preserve"> REF _Ref450162981 \h  \* MERGEFORMAT </w:instrText>
      </w:r>
      <w:r w:rsidRPr="000E764B">
        <w:rPr>
          <w:rFonts w:cs="Arial"/>
          <w:szCs w:val="22"/>
        </w:rPr>
      </w:r>
      <w:r w:rsidRPr="000E764B">
        <w:rPr>
          <w:rFonts w:cs="Arial"/>
          <w:szCs w:val="22"/>
        </w:rPr>
        <w:fldChar w:fldCharType="separate"/>
      </w:r>
      <w:r w:rsidR="007F5336" w:rsidRPr="007F5336">
        <w:rPr>
          <w:rFonts w:cs="Arial"/>
          <w:szCs w:val="22"/>
        </w:rPr>
        <w:t xml:space="preserve">Figure </w:t>
      </w:r>
      <w:r w:rsidR="007F5336" w:rsidRPr="007F5336">
        <w:rPr>
          <w:rFonts w:cs="Arial"/>
          <w:noProof/>
          <w:szCs w:val="22"/>
        </w:rPr>
        <w:t>A1</w:t>
      </w:r>
      <w:r w:rsidR="007F5336" w:rsidRPr="007F5336">
        <w:rPr>
          <w:rFonts w:cs="Arial"/>
          <w:szCs w:val="22"/>
        </w:rPr>
        <w:t xml:space="preserve"> </w:t>
      </w:r>
      <w:r w:rsidR="007F5336" w:rsidRPr="007F5336">
        <w:rPr>
          <w:rFonts w:cs="Arial"/>
          <w:noProof/>
          <w:szCs w:val="22"/>
        </w:rPr>
        <w:t>14</w:t>
      </w:r>
      <w:r w:rsidR="007F5336">
        <w:rPr>
          <w:noProof/>
        </w:rPr>
        <w:t xml:space="preserve">: </w:t>
      </w:r>
      <w:r w:rsidRPr="000E764B">
        <w:rPr>
          <w:rFonts w:cs="Arial"/>
          <w:szCs w:val="22"/>
        </w:rPr>
        <w:fldChar w:fldCharType="end"/>
      </w:r>
      <w:r w:rsidRPr="000E764B">
        <w:rPr>
          <w:rFonts w:cs="Arial"/>
          <w:szCs w:val="22"/>
        </w:rPr>
        <w:t>). Then, similarly to DIN concentration maps, PN and TSS maps were produced for each river per year, and annual composite maps produced by the sum of all rivers PN and TSS concentration</w:t>
      </w:r>
      <w:r w:rsidRPr="00961331">
        <w:rPr>
          <w:rFonts w:cs="Arial"/>
          <w:szCs w:val="22"/>
        </w:rPr>
        <w:t xml:space="preserve"> maps within each year. The modelled annual PN and TSS loads for rivers along the GBR (same methodology as for DIN loads) are presented in </w:t>
      </w:r>
      <w:r w:rsidRPr="000E764B">
        <w:rPr>
          <w:rFonts w:cs="Arial"/>
          <w:szCs w:val="22"/>
        </w:rPr>
        <w:fldChar w:fldCharType="begin"/>
      </w:r>
      <w:r w:rsidRPr="000E764B">
        <w:rPr>
          <w:rFonts w:cs="Arial"/>
          <w:szCs w:val="22"/>
        </w:rPr>
        <w:instrText xml:space="preserve"> REF _Ref450164379 \h  \* MERGEFORMAT </w:instrText>
      </w:r>
      <w:r w:rsidRPr="000E764B">
        <w:rPr>
          <w:rFonts w:cs="Arial"/>
          <w:szCs w:val="22"/>
        </w:rPr>
      </w:r>
      <w:r w:rsidRPr="000E764B">
        <w:rPr>
          <w:rFonts w:cs="Arial"/>
          <w:szCs w:val="22"/>
        </w:rPr>
        <w:fldChar w:fldCharType="separate"/>
      </w:r>
      <w:r w:rsidR="007F5336" w:rsidRPr="007F5336">
        <w:rPr>
          <w:rFonts w:cs="Arial"/>
          <w:szCs w:val="22"/>
        </w:rPr>
        <w:t xml:space="preserve">Table </w:t>
      </w:r>
      <w:r w:rsidR="007F5336" w:rsidRPr="007F5336">
        <w:rPr>
          <w:rFonts w:cs="Arial"/>
          <w:noProof/>
          <w:szCs w:val="22"/>
        </w:rPr>
        <w:t>A1</w:t>
      </w:r>
      <w:r w:rsidR="007F5336">
        <w:t xml:space="preserve"> </w:t>
      </w:r>
      <w:r w:rsidR="007F5336">
        <w:rPr>
          <w:noProof/>
        </w:rPr>
        <w:t>8</w:t>
      </w:r>
      <w:r w:rsidR="007F5336" w:rsidRPr="00961331">
        <w:t xml:space="preserve">: </w:t>
      </w:r>
      <w:r w:rsidRPr="000E764B">
        <w:rPr>
          <w:rFonts w:cs="Arial"/>
          <w:szCs w:val="22"/>
        </w:rPr>
        <w:fldChar w:fldCharType="end"/>
      </w:r>
      <w:r w:rsidRPr="000E764B">
        <w:rPr>
          <w:rFonts w:cs="Arial"/>
          <w:szCs w:val="22"/>
        </w:rPr>
        <w:t xml:space="preserve"> and </w:t>
      </w:r>
      <w:r w:rsidRPr="000E764B">
        <w:rPr>
          <w:rFonts w:cs="Arial"/>
          <w:szCs w:val="22"/>
        </w:rPr>
        <w:fldChar w:fldCharType="begin"/>
      </w:r>
      <w:r w:rsidRPr="000E764B">
        <w:rPr>
          <w:rFonts w:cs="Arial"/>
          <w:szCs w:val="22"/>
        </w:rPr>
        <w:instrText xml:space="preserve"> REF _Ref450164381 \h  \* MERGEFORMAT </w:instrText>
      </w:r>
      <w:r w:rsidRPr="000E764B">
        <w:rPr>
          <w:rFonts w:cs="Arial"/>
          <w:szCs w:val="22"/>
        </w:rPr>
      </w:r>
      <w:r w:rsidRPr="000E764B">
        <w:rPr>
          <w:rFonts w:cs="Arial"/>
          <w:szCs w:val="22"/>
        </w:rPr>
        <w:fldChar w:fldCharType="separate"/>
      </w:r>
      <w:r w:rsidR="007F5336" w:rsidRPr="007F5336">
        <w:rPr>
          <w:rFonts w:cs="Arial"/>
          <w:szCs w:val="22"/>
        </w:rPr>
        <w:t xml:space="preserve">Table </w:t>
      </w:r>
      <w:r w:rsidR="007F5336" w:rsidRPr="007F5336">
        <w:rPr>
          <w:rFonts w:cs="Arial"/>
          <w:noProof/>
          <w:szCs w:val="22"/>
        </w:rPr>
        <w:t>A1</w:t>
      </w:r>
      <w:r w:rsidR="007F5336">
        <w:t xml:space="preserve"> </w:t>
      </w:r>
      <w:r w:rsidR="007F5336">
        <w:rPr>
          <w:noProof/>
        </w:rPr>
        <w:t>9</w:t>
      </w:r>
      <w:r w:rsidR="007F5336" w:rsidRPr="00961331">
        <w:t xml:space="preserve">: </w:t>
      </w:r>
      <w:r w:rsidRPr="000E764B">
        <w:rPr>
          <w:rFonts w:cs="Arial"/>
          <w:szCs w:val="22"/>
        </w:rPr>
        <w:fldChar w:fldCharType="end"/>
      </w:r>
      <w:r w:rsidRPr="000E764B">
        <w:rPr>
          <w:rFonts w:cs="Arial"/>
          <w:szCs w:val="22"/>
        </w:rPr>
        <w:t>, respectively.</w:t>
      </w:r>
    </w:p>
    <w:p w14:paraId="1166FD61" w14:textId="77777777" w:rsidR="00B66CC3" w:rsidRDefault="00B66CC3" w:rsidP="00B66CC3">
      <w:pPr>
        <w:rPr>
          <w:rFonts w:cs="Arial"/>
          <w:szCs w:val="22"/>
        </w:rPr>
      </w:pPr>
    </w:p>
    <w:p w14:paraId="345FB34D" w14:textId="77777777" w:rsidR="00E9409C" w:rsidRDefault="00E9409C" w:rsidP="00B66CC3">
      <w:pPr>
        <w:rPr>
          <w:rFonts w:cs="Arial"/>
          <w:szCs w:val="22"/>
        </w:rPr>
      </w:pPr>
    </w:p>
    <w:p w14:paraId="566E4FC3" w14:textId="77777777" w:rsidR="00E9409C" w:rsidRPr="00961331" w:rsidRDefault="00E9409C" w:rsidP="00B66CC3">
      <w:pPr>
        <w:rPr>
          <w:rFonts w:cs="Arial"/>
          <w:szCs w:val="22"/>
        </w:rPr>
        <w:sectPr w:rsidR="00E9409C" w:rsidRPr="00961331" w:rsidSect="00B66CC3">
          <w:pgSz w:w="11907" w:h="16839" w:code="9"/>
          <w:pgMar w:top="1440" w:right="1440" w:bottom="1440" w:left="1440" w:header="708" w:footer="708" w:gutter="0"/>
          <w:cols w:space="708"/>
          <w:docGrid w:linePitch="272"/>
        </w:sectPr>
      </w:pPr>
    </w:p>
    <w:p w14:paraId="37132A10" w14:textId="3C1DDC3A" w:rsidR="00B66CC3" w:rsidRPr="00961331" w:rsidRDefault="000E764B" w:rsidP="004A5BF7">
      <w:pPr>
        <w:pStyle w:val="Caption"/>
      </w:pPr>
      <w:bookmarkStart w:id="1598" w:name="_Ref450164379"/>
      <w:bookmarkStart w:id="1599" w:name="_Toc459332187"/>
      <w:r>
        <w:t xml:space="preserve">Table A1 </w:t>
      </w:r>
      <w:r>
        <w:fldChar w:fldCharType="begin"/>
      </w:r>
      <w:r>
        <w:instrText xml:space="preserve"> SEQ Table_A1 \* ARABIC </w:instrText>
      </w:r>
      <w:r>
        <w:fldChar w:fldCharType="separate"/>
      </w:r>
      <w:r w:rsidR="007F5336">
        <w:rPr>
          <w:noProof/>
        </w:rPr>
        <w:t>8</w:t>
      </w:r>
      <w:r>
        <w:rPr>
          <w:noProof/>
        </w:rPr>
        <w:fldChar w:fldCharType="end"/>
      </w:r>
      <w:r w:rsidRPr="00961331">
        <w:t xml:space="preserve">: </w:t>
      </w:r>
      <w:bookmarkEnd w:id="1598"/>
      <w:r w:rsidR="00B66CC3" w:rsidRPr="00961331">
        <w:t>End-of-catchment particulate nitrogen loads (PN, ton/year) from 2003 to 2015 water years (c.a., from October, 2002 to September, 2015).</w:t>
      </w:r>
      <w:bookmarkEnd w:id="1599"/>
    </w:p>
    <w:tbl>
      <w:tblPr>
        <w:tblW w:w="5000" w:type="pct"/>
        <w:tblLook w:val="04A0" w:firstRow="1" w:lastRow="0" w:firstColumn="1" w:lastColumn="0" w:noHBand="0" w:noVBand="1"/>
        <w:tblCaption w:val="Table A1 8: End-of-catchment particulate nitrogen loads (PN, ton/year) from 2003 to 2015 water years (c.a., from October, 2002 to September, 2015)."/>
        <w:tblDescription w:val="End-of-catchment particulate nitrogen loads (PN, ton/year) from 2003 to 2015 water years (c.a., from October, 2002 to September, 2015) for each of the major GBR catchments"/>
      </w:tblPr>
      <w:tblGrid>
        <w:gridCol w:w="1708"/>
        <w:gridCol w:w="2005"/>
        <w:gridCol w:w="799"/>
        <w:gridCol w:w="802"/>
        <w:gridCol w:w="802"/>
        <w:gridCol w:w="802"/>
        <w:gridCol w:w="808"/>
        <w:gridCol w:w="808"/>
        <w:gridCol w:w="808"/>
        <w:gridCol w:w="808"/>
        <w:gridCol w:w="921"/>
        <w:gridCol w:w="808"/>
        <w:gridCol w:w="808"/>
        <w:gridCol w:w="802"/>
        <w:gridCol w:w="686"/>
      </w:tblGrid>
      <w:tr w:rsidR="00B66CC3" w:rsidRPr="009228CA" w14:paraId="63DE3B26" w14:textId="77777777" w:rsidTr="00E662D3">
        <w:trPr>
          <w:trHeight w:val="454"/>
          <w:tblHeader/>
        </w:trPr>
        <w:tc>
          <w:tcPr>
            <w:tcW w:w="602" w:type="pct"/>
            <w:tcBorders>
              <w:top w:val="single" w:sz="4" w:space="0" w:color="auto"/>
              <w:left w:val="nil"/>
              <w:bottom w:val="single" w:sz="4" w:space="0" w:color="auto"/>
              <w:right w:val="nil"/>
            </w:tcBorders>
            <w:shd w:val="clear" w:color="auto" w:fill="auto"/>
            <w:noWrap/>
            <w:vAlign w:val="center"/>
            <w:hideMark/>
          </w:tcPr>
          <w:p w14:paraId="754167A6" w14:textId="77777777" w:rsidR="00B66CC3" w:rsidRPr="009228CA" w:rsidRDefault="00B66CC3" w:rsidP="004A5BF7">
            <w:pPr>
              <w:spacing w:before="0" w:after="0"/>
              <w:jc w:val="left"/>
              <w:rPr>
                <w:rFonts w:cs="Arial"/>
                <w:b/>
                <w:sz w:val="18"/>
                <w:szCs w:val="18"/>
              </w:rPr>
            </w:pPr>
            <w:r w:rsidRPr="009228CA">
              <w:rPr>
                <w:rFonts w:cs="Arial"/>
                <w:b/>
                <w:sz w:val="18"/>
                <w:szCs w:val="18"/>
              </w:rPr>
              <w:t>River</w:t>
            </w:r>
          </w:p>
        </w:tc>
        <w:tc>
          <w:tcPr>
            <w:tcW w:w="706" w:type="pct"/>
            <w:tcBorders>
              <w:top w:val="single" w:sz="4" w:space="0" w:color="auto"/>
              <w:left w:val="nil"/>
              <w:bottom w:val="single" w:sz="4" w:space="0" w:color="auto"/>
              <w:right w:val="nil"/>
            </w:tcBorders>
            <w:shd w:val="clear" w:color="auto" w:fill="auto"/>
            <w:noWrap/>
            <w:vAlign w:val="center"/>
            <w:hideMark/>
          </w:tcPr>
          <w:p w14:paraId="69324237" w14:textId="77777777" w:rsidR="00B66CC3" w:rsidRPr="009228CA" w:rsidRDefault="00B66CC3" w:rsidP="00B66CC3">
            <w:pPr>
              <w:spacing w:before="0" w:after="0"/>
              <w:jc w:val="center"/>
              <w:rPr>
                <w:rFonts w:cs="Arial"/>
                <w:b/>
                <w:sz w:val="18"/>
                <w:szCs w:val="18"/>
              </w:rPr>
            </w:pPr>
            <w:r w:rsidRPr="009228CA">
              <w:rPr>
                <w:rFonts w:cs="Arial"/>
                <w:b/>
                <w:sz w:val="18"/>
                <w:szCs w:val="18"/>
              </w:rPr>
              <w:t>NRM* region</w:t>
            </w:r>
          </w:p>
        </w:tc>
        <w:tc>
          <w:tcPr>
            <w:tcW w:w="282" w:type="pct"/>
            <w:tcBorders>
              <w:top w:val="single" w:sz="4" w:space="0" w:color="auto"/>
              <w:left w:val="nil"/>
              <w:bottom w:val="single" w:sz="4" w:space="0" w:color="auto"/>
              <w:right w:val="nil"/>
            </w:tcBorders>
            <w:shd w:val="clear" w:color="auto" w:fill="auto"/>
            <w:noWrap/>
            <w:vAlign w:val="center"/>
            <w:hideMark/>
          </w:tcPr>
          <w:p w14:paraId="48231C02" w14:textId="77777777" w:rsidR="00B66CC3" w:rsidRPr="009228CA" w:rsidRDefault="00B66CC3" w:rsidP="00B66CC3">
            <w:pPr>
              <w:spacing w:before="0" w:after="0"/>
              <w:jc w:val="center"/>
              <w:rPr>
                <w:rFonts w:cs="Arial"/>
                <w:b/>
                <w:sz w:val="18"/>
                <w:szCs w:val="18"/>
              </w:rPr>
            </w:pPr>
            <w:r w:rsidRPr="009228CA">
              <w:rPr>
                <w:rFonts w:cs="Arial"/>
                <w:b/>
                <w:sz w:val="18"/>
                <w:szCs w:val="18"/>
              </w:rPr>
              <w:t>2003</w:t>
            </w:r>
          </w:p>
        </w:tc>
        <w:tc>
          <w:tcPr>
            <w:tcW w:w="283" w:type="pct"/>
            <w:tcBorders>
              <w:top w:val="single" w:sz="4" w:space="0" w:color="auto"/>
              <w:left w:val="nil"/>
              <w:bottom w:val="single" w:sz="4" w:space="0" w:color="auto"/>
              <w:right w:val="nil"/>
            </w:tcBorders>
            <w:shd w:val="clear" w:color="auto" w:fill="auto"/>
            <w:noWrap/>
            <w:vAlign w:val="center"/>
            <w:hideMark/>
          </w:tcPr>
          <w:p w14:paraId="05F66560" w14:textId="77777777" w:rsidR="00B66CC3" w:rsidRPr="009228CA" w:rsidRDefault="00B66CC3" w:rsidP="00B66CC3">
            <w:pPr>
              <w:spacing w:before="0" w:after="0"/>
              <w:jc w:val="center"/>
              <w:rPr>
                <w:rFonts w:cs="Arial"/>
                <w:b/>
                <w:sz w:val="18"/>
                <w:szCs w:val="18"/>
              </w:rPr>
            </w:pPr>
            <w:r w:rsidRPr="009228CA">
              <w:rPr>
                <w:rFonts w:cs="Arial"/>
                <w:b/>
                <w:sz w:val="18"/>
                <w:szCs w:val="18"/>
              </w:rPr>
              <w:t>2004</w:t>
            </w:r>
          </w:p>
        </w:tc>
        <w:tc>
          <w:tcPr>
            <w:tcW w:w="283" w:type="pct"/>
            <w:tcBorders>
              <w:top w:val="single" w:sz="4" w:space="0" w:color="auto"/>
              <w:left w:val="nil"/>
              <w:bottom w:val="single" w:sz="4" w:space="0" w:color="auto"/>
              <w:right w:val="nil"/>
            </w:tcBorders>
            <w:shd w:val="clear" w:color="auto" w:fill="auto"/>
            <w:noWrap/>
            <w:vAlign w:val="center"/>
            <w:hideMark/>
          </w:tcPr>
          <w:p w14:paraId="589BD5E3" w14:textId="77777777" w:rsidR="00B66CC3" w:rsidRPr="009228CA" w:rsidRDefault="00B66CC3" w:rsidP="00B66CC3">
            <w:pPr>
              <w:spacing w:before="0" w:after="0"/>
              <w:jc w:val="center"/>
              <w:rPr>
                <w:rFonts w:cs="Arial"/>
                <w:b/>
                <w:sz w:val="18"/>
                <w:szCs w:val="18"/>
              </w:rPr>
            </w:pPr>
            <w:r w:rsidRPr="009228CA">
              <w:rPr>
                <w:rFonts w:cs="Arial"/>
                <w:b/>
                <w:sz w:val="18"/>
                <w:szCs w:val="18"/>
              </w:rPr>
              <w:t>2005</w:t>
            </w:r>
          </w:p>
        </w:tc>
        <w:tc>
          <w:tcPr>
            <w:tcW w:w="283" w:type="pct"/>
            <w:tcBorders>
              <w:top w:val="single" w:sz="4" w:space="0" w:color="auto"/>
              <w:left w:val="nil"/>
              <w:bottom w:val="single" w:sz="4" w:space="0" w:color="auto"/>
              <w:right w:val="nil"/>
            </w:tcBorders>
            <w:shd w:val="clear" w:color="auto" w:fill="auto"/>
            <w:noWrap/>
            <w:vAlign w:val="center"/>
            <w:hideMark/>
          </w:tcPr>
          <w:p w14:paraId="6D694047" w14:textId="77777777" w:rsidR="00B66CC3" w:rsidRPr="009228CA" w:rsidRDefault="00B66CC3" w:rsidP="00B66CC3">
            <w:pPr>
              <w:spacing w:before="0" w:after="0"/>
              <w:jc w:val="center"/>
              <w:rPr>
                <w:rFonts w:cs="Arial"/>
                <w:b/>
                <w:sz w:val="18"/>
                <w:szCs w:val="18"/>
              </w:rPr>
            </w:pPr>
            <w:r w:rsidRPr="009228CA">
              <w:rPr>
                <w:rFonts w:cs="Arial"/>
                <w:b/>
                <w:sz w:val="18"/>
                <w:szCs w:val="18"/>
              </w:rPr>
              <w:t>2006</w:t>
            </w:r>
          </w:p>
        </w:tc>
        <w:tc>
          <w:tcPr>
            <w:tcW w:w="285" w:type="pct"/>
            <w:tcBorders>
              <w:top w:val="single" w:sz="4" w:space="0" w:color="auto"/>
              <w:left w:val="nil"/>
              <w:bottom w:val="single" w:sz="4" w:space="0" w:color="auto"/>
              <w:right w:val="nil"/>
            </w:tcBorders>
            <w:shd w:val="clear" w:color="auto" w:fill="auto"/>
            <w:noWrap/>
            <w:vAlign w:val="center"/>
            <w:hideMark/>
          </w:tcPr>
          <w:p w14:paraId="79D3C353" w14:textId="77777777" w:rsidR="00B66CC3" w:rsidRPr="009228CA" w:rsidRDefault="00B66CC3" w:rsidP="00B66CC3">
            <w:pPr>
              <w:spacing w:before="0" w:after="0"/>
              <w:jc w:val="center"/>
              <w:rPr>
                <w:rFonts w:cs="Arial"/>
                <w:b/>
                <w:sz w:val="18"/>
                <w:szCs w:val="18"/>
              </w:rPr>
            </w:pPr>
            <w:r w:rsidRPr="009228CA">
              <w:rPr>
                <w:rFonts w:cs="Arial"/>
                <w:b/>
                <w:sz w:val="18"/>
                <w:szCs w:val="18"/>
              </w:rPr>
              <w:t>2007</w:t>
            </w:r>
          </w:p>
        </w:tc>
        <w:tc>
          <w:tcPr>
            <w:tcW w:w="285" w:type="pct"/>
            <w:tcBorders>
              <w:top w:val="single" w:sz="4" w:space="0" w:color="auto"/>
              <w:left w:val="nil"/>
              <w:bottom w:val="single" w:sz="4" w:space="0" w:color="auto"/>
              <w:right w:val="nil"/>
            </w:tcBorders>
            <w:shd w:val="clear" w:color="auto" w:fill="auto"/>
            <w:noWrap/>
            <w:vAlign w:val="center"/>
            <w:hideMark/>
          </w:tcPr>
          <w:p w14:paraId="4BF937C5" w14:textId="77777777" w:rsidR="00B66CC3" w:rsidRPr="009228CA" w:rsidRDefault="00B66CC3" w:rsidP="00B66CC3">
            <w:pPr>
              <w:spacing w:before="0" w:after="0"/>
              <w:jc w:val="center"/>
              <w:rPr>
                <w:rFonts w:cs="Arial"/>
                <w:b/>
                <w:sz w:val="18"/>
                <w:szCs w:val="18"/>
              </w:rPr>
            </w:pPr>
            <w:r w:rsidRPr="009228CA">
              <w:rPr>
                <w:rFonts w:cs="Arial"/>
                <w:b/>
                <w:sz w:val="18"/>
                <w:szCs w:val="18"/>
              </w:rPr>
              <w:t>2008</w:t>
            </w:r>
          </w:p>
        </w:tc>
        <w:tc>
          <w:tcPr>
            <w:tcW w:w="285" w:type="pct"/>
            <w:tcBorders>
              <w:top w:val="single" w:sz="4" w:space="0" w:color="auto"/>
              <w:left w:val="nil"/>
              <w:bottom w:val="single" w:sz="4" w:space="0" w:color="auto"/>
              <w:right w:val="nil"/>
            </w:tcBorders>
            <w:shd w:val="clear" w:color="auto" w:fill="auto"/>
            <w:noWrap/>
            <w:vAlign w:val="center"/>
            <w:hideMark/>
          </w:tcPr>
          <w:p w14:paraId="32DD5AB5" w14:textId="77777777" w:rsidR="00B66CC3" w:rsidRPr="009228CA" w:rsidRDefault="00B66CC3" w:rsidP="00B66CC3">
            <w:pPr>
              <w:spacing w:before="0" w:after="0"/>
              <w:jc w:val="center"/>
              <w:rPr>
                <w:rFonts w:cs="Arial"/>
                <w:b/>
                <w:sz w:val="18"/>
                <w:szCs w:val="18"/>
              </w:rPr>
            </w:pPr>
            <w:r w:rsidRPr="009228CA">
              <w:rPr>
                <w:rFonts w:cs="Arial"/>
                <w:b/>
                <w:sz w:val="18"/>
                <w:szCs w:val="18"/>
              </w:rPr>
              <w:t>2009</w:t>
            </w:r>
          </w:p>
        </w:tc>
        <w:tc>
          <w:tcPr>
            <w:tcW w:w="285" w:type="pct"/>
            <w:tcBorders>
              <w:top w:val="single" w:sz="4" w:space="0" w:color="auto"/>
              <w:left w:val="nil"/>
              <w:bottom w:val="single" w:sz="4" w:space="0" w:color="auto"/>
              <w:right w:val="nil"/>
            </w:tcBorders>
            <w:shd w:val="clear" w:color="auto" w:fill="auto"/>
            <w:noWrap/>
            <w:vAlign w:val="center"/>
            <w:hideMark/>
          </w:tcPr>
          <w:p w14:paraId="70ED98EF" w14:textId="77777777" w:rsidR="00B66CC3" w:rsidRPr="009228CA" w:rsidRDefault="00B66CC3" w:rsidP="00B66CC3">
            <w:pPr>
              <w:spacing w:before="0" w:after="0"/>
              <w:jc w:val="center"/>
              <w:rPr>
                <w:rFonts w:cs="Arial"/>
                <w:b/>
                <w:sz w:val="18"/>
                <w:szCs w:val="18"/>
              </w:rPr>
            </w:pPr>
            <w:r w:rsidRPr="009228CA">
              <w:rPr>
                <w:rFonts w:cs="Arial"/>
                <w:b/>
                <w:sz w:val="18"/>
                <w:szCs w:val="18"/>
              </w:rPr>
              <w:t>2010</w:t>
            </w:r>
          </w:p>
        </w:tc>
        <w:tc>
          <w:tcPr>
            <w:tcW w:w="325" w:type="pct"/>
            <w:tcBorders>
              <w:top w:val="single" w:sz="4" w:space="0" w:color="auto"/>
              <w:left w:val="nil"/>
              <w:bottom w:val="single" w:sz="4" w:space="0" w:color="auto"/>
              <w:right w:val="nil"/>
            </w:tcBorders>
            <w:shd w:val="clear" w:color="auto" w:fill="auto"/>
            <w:noWrap/>
            <w:vAlign w:val="center"/>
            <w:hideMark/>
          </w:tcPr>
          <w:p w14:paraId="6610F817" w14:textId="77777777" w:rsidR="00B66CC3" w:rsidRPr="009228CA" w:rsidRDefault="00B66CC3" w:rsidP="00B66CC3">
            <w:pPr>
              <w:spacing w:before="0" w:after="0"/>
              <w:jc w:val="center"/>
              <w:rPr>
                <w:rFonts w:cs="Arial"/>
                <w:b/>
                <w:sz w:val="18"/>
                <w:szCs w:val="18"/>
              </w:rPr>
            </w:pPr>
            <w:r w:rsidRPr="009228CA">
              <w:rPr>
                <w:rFonts w:cs="Arial"/>
                <w:b/>
                <w:sz w:val="18"/>
                <w:szCs w:val="18"/>
              </w:rPr>
              <w:t>2011</w:t>
            </w:r>
          </w:p>
        </w:tc>
        <w:tc>
          <w:tcPr>
            <w:tcW w:w="285" w:type="pct"/>
            <w:tcBorders>
              <w:top w:val="single" w:sz="4" w:space="0" w:color="auto"/>
              <w:left w:val="nil"/>
              <w:bottom w:val="single" w:sz="4" w:space="0" w:color="auto"/>
              <w:right w:val="nil"/>
            </w:tcBorders>
            <w:shd w:val="clear" w:color="auto" w:fill="auto"/>
            <w:noWrap/>
            <w:vAlign w:val="center"/>
            <w:hideMark/>
          </w:tcPr>
          <w:p w14:paraId="340A8085" w14:textId="77777777" w:rsidR="00B66CC3" w:rsidRPr="009228CA" w:rsidRDefault="00B66CC3" w:rsidP="00B66CC3">
            <w:pPr>
              <w:spacing w:before="0" w:after="0"/>
              <w:jc w:val="center"/>
              <w:rPr>
                <w:rFonts w:cs="Arial"/>
                <w:b/>
                <w:sz w:val="18"/>
                <w:szCs w:val="18"/>
              </w:rPr>
            </w:pPr>
            <w:r w:rsidRPr="009228CA">
              <w:rPr>
                <w:rFonts w:cs="Arial"/>
                <w:b/>
                <w:sz w:val="18"/>
                <w:szCs w:val="18"/>
              </w:rPr>
              <w:t>2012</w:t>
            </w:r>
          </w:p>
        </w:tc>
        <w:tc>
          <w:tcPr>
            <w:tcW w:w="285" w:type="pct"/>
            <w:tcBorders>
              <w:top w:val="single" w:sz="4" w:space="0" w:color="auto"/>
              <w:left w:val="nil"/>
              <w:bottom w:val="single" w:sz="4" w:space="0" w:color="auto"/>
              <w:right w:val="nil"/>
            </w:tcBorders>
            <w:shd w:val="clear" w:color="auto" w:fill="auto"/>
            <w:noWrap/>
            <w:vAlign w:val="center"/>
            <w:hideMark/>
          </w:tcPr>
          <w:p w14:paraId="11F132F4" w14:textId="77777777" w:rsidR="00B66CC3" w:rsidRPr="009228CA" w:rsidRDefault="00B66CC3" w:rsidP="00B66CC3">
            <w:pPr>
              <w:spacing w:before="0" w:after="0"/>
              <w:jc w:val="center"/>
              <w:rPr>
                <w:rFonts w:cs="Arial"/>
                <w:b/>
                <w:sz w:val="18"/>
                <w:szCs w:val="18"/>
              </w:rPr>
            </w:pPr>
            <w:r w:rsidRPr="009228CA">
              <w:rPr>
                <w:rFonts w:cs="Arial"/>
                <w:b/>
                <w:sz w:val="18"/>
                <w:szCs w:val="18"/>
              </w:rPr>
              <w:t>2013</w:t>
            </w:r>
          </w:p>
        </w:tc>
        <w:tc>
          <w:tcPr>
            <w:tcW w:w="283" w:type="pct"/>
            <w:tcBorders>
              <w:top w:val="single" w:sz="4" w:space="0" w:color="auto"/>
              <w:left w:val="nil"/>
              <w:bottom w:val="single" w:sz="4" w:space="0" w:color="auto"/>
              <w:right w:val="nil"/>
            </w:tcBorders>
            <w:shd w:val="clear" w:color="auto" w:fill="auto"/>
            <w:noWrap/>
            <w:vAlign w:val="center"/>
            <w:hideMark/>
          </w:tcPr>
          <w:p w14:paraId="6D3C7CCD" w14:textId="77777777" w:rsidR="00B66CC3" w:rsidRPr="009228CA" w:rsidRDefault="00B66CC3" w:rsidP="00B66CC3">
            <w:pPr>
              <w:spacing w:before="0" w:after="0"/>
              <w:jc w:val="center"/>
              <w:rPr>
                <w:rFonts w:cs="Arial"/>
                <w:b/>
                <w:sz w:val="18"/>
                <w:szCs w:val="18"/>
              </w:rPr>
            </w:pPr>
            <w:r w:rsidRPr="009228CA">
              <w:rPr>
                <w:rFonts w:cs="Arial"/>
                <w:b/>
                <w:sz w:val="18"/>
                <w:szCs w:val="18"/>
              </w:rPr>
              <w:t>2014</w:t>
            </w:r>
          </w:p>
        </w:tc>
        <w:tc>
          <w:tcPr>
            <w:tcW w:w="243" w:type="pct"/>
            <w:tcBorders>
              <w:top w:val="single" w:sz="4" w:space="0" w:color="auto"/>
              <w:left w:val="nil"/>
              <w:bottom w:val="single" w:sz="4" w:space="0" w:color="auto"/>
              <w:right w:val="nil"/>
            </w:tcBorders>
            <w:shd w:val="clear" w:color="auto" w:fill="auto"/>
            <w:noWrap/>
            <w:vAlign w:val="center"/>
            <w:hideMark/>
          </w:tcPr>
          <w:p w14:paraId="448CAD39" w14:textId="77777777" w:rsidR="00B66CC3" w:rsidRPr="009228CA" w:rsidRDefault="00B66CC3" w:rsidP="00B66CC3">
            <w:pPr>
              <w:spacing w:before="0" w:after="0"/>
              <w:jc w:val="center"/>
              <w:rPr>
                <w:rFonts w:cs="Arial"/>
                <w:b/>
                <w:sz w:val="18"/>
                <w:szCs w:val="18"/>
              </w:rPr>
            </w:pPr>
            <w:r w:rsidRPr="009228CA">
              <w:rPr>
                <w:rFonts w:cs="Arial"/>
                <w:b/>
                <w:sz w:val="18"/>
                <w:szCs w:val="18"/>
              </w:rPr>
              <w:t>2015</w:t>
            </w:r>
          </w:p>
        </w:tc>
      </w:tr>
      <w:tr w:rsidR="00B66CC3" w:rsidRPr="00E9409C" w14:paraId="511A2EF2" w14:textId="77777777" w:rsidTr="00E662D3">
        <w:trPr>
          <w:trHeight w:val="454"/>
          <w:tblHeader/>
        </w:trPr>
        <w:tc>
          <w:tcPr>
            <w:tcW w:w="602" w:type="pct"/>
            <w:tcBorders>
              <w:top w:val="nil"/>
              <w:left w:val="nil"/>
              <w:bottom w:val="nil"/>
              <w:right w:val="nil"/>
            </w:tcBorders>
            <w:shd w:val="clear" w:color="auto" w:fill="auto"/>
            <w:noWrap/>
            <w:vAlign w:val="center"/>
            <w:hideMark/>
          </w:tcPr>
          <w:p w14:paraId="5F8FF9AB" w14:textId="77777777" w:rsidR="00B66CC3" w:rsidRPr="004A5BF7" w:rsidRDefault="00B66CC3" w:rsidP="004A5BF7">
            <w:pPr>
              <w:spacing w:before="0" w:after="0"/>
              <w:jc w:val="left"/>
              <w:rPr>
                <w:rFonts w:cs="Arial"/>
                <w:sz w:val="18"/>
                <w:szCs w:val="18"/>
              </w:rPr>
            </w:pPr>
            <w:r w:rsidRPr="004A5BF7">
              <w:rPr>
                <w:rFonts w:cs="Arial"/>
                <w:sz w:val="18"/>
                <w:szCs w:val="18"/>
              </w:rPr>
              <w:t>Daintree</w:t>
            </w:r>
          </w:p>
        </w:tc>
        <w:tc>
          <w:tcPr>
            <w:tcW w:w="706" w:type="pct"/>
            <w:tcBorders>
              <w:top w:val="nil"/>
              <w:left w:val="nil"/>
              <w:bottom w:val="nil"/>
              <w:right w:val="nil"/>
            </w:tcBorders>
            <w:shd w:val="clear" w:color="auto" w:fill="auto"/>
            <w:noWrap/>
            <w:vAlign w:val="center"/>
            <w:hideMark/>
          </w:tcPr>
          <w:p w14:paraId="3169FF4C"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282" w:type="pct"/>
            <w:tcBorders>
              <w:top w:val="nil"/>
              <w:left w:val="nil"/>
              <w:bottom w:val="nil"/>
              <w:right w:val="nil"/>
            </w:tcBorders>
            <w:shd w:val="clear" w:color="auto" w:fill="auto"/>
            <w:noWrap/>
            <w:vAlign w:val="center"/>
            <w:hideMark/>
          </w:tcPr>
          <w:p w14:paraId="4A73C8D8" w14:textId="77777777" w:rsidR="00B66CC3" w:rsidRPr="004A5BF7" w:rsidRDefault="00B66CC3" w:rsidP="00B66CC3">
            <w:pPr>
              <w:spacing w:before="0" w:after="0"/>
              <w:jc w:val="center"/>
              <w:rPr>
                <w:rFonts w:cs="Arial"/>
                <w:sz w:val="18"/>
                <w:szCs w:val="18"/>
              </w:rPr>
            </w:pPr>
            <w:r w:rsidRPr="004A5BF7">
              <w:rPr>
                <w:rFonts w:cs="Arial"/>
                <w:sz w:val="18"/>
                <w:szCs w:val="18"/>
              </w:rPr>
              <w:t>24</w:t>
            </w:r>
          </w:p>
        </w:tc>
        <w:tc>
          <w:tcPr>
            <w:tcW w:w="283" w:type="pct"/>
            <w:tcBorders>
              <w:top w:val="nil"/>
              <w:left w:val="nil"/>
              <w:bottom w:val="nil"/>
              <w:right w:val="nil"/>
            </w:tcBorders>
            <w:shd w:val="clear" w:color="auto" w:fill="auto"/>
            <w:noWrap/>
            <w:vAlign w:val="center"/>
            <w:hideMark/>
          </w:tcPr>
          <w:p w14:paraId="56ECF630" w14:textId="77777777" w:rsidR="00B66CC3" w:rsidRPr="004A5BF7" w:rsidRDefault="00B66CC3" w:rsidP="00B66CC3">
            <w:pPr>
              <w:spacing w:before="0" w:after="0"/>
              <w:jc w:val="center"/>
              <w:rPr>
                <w:rFonts w:cs="Arial"/>
                <w:sz w:val="18"/>
                <w:szCs w:val="18"/>
              </w:rPr>
            </w:pPr>
            <w:r w:rsidRPr="004A5BF7">
              <w:rPr>
                <w:rFonts w:cs="Arial"/>
                <w:sz w:val="18"/>
                <w:szCs w:val="18"/>
              </w:rPr>
              <w:t>259</w:t>
            </w:r>
          </w:p>
        </w:tc>
        <w:tc>
          <w:tcPr>
            <w:tcW w:w="283" w:type="pct"/>
            <w:tcBorders>
              <w:top w:val="nil"/>
              <w:left w:val="nil"/>
              <w:bottom w:val="nil"/>
              <w:right w:val="nil"/>
            </w:tcBorders>
            <w:shd w:val="clear" w:color="auto" w:fill="auto"/>
            <w:noWrap/>
            <w:vAlign w:val="center"/>
            <w:hideMark/>
          </w:tcPr>
          <w:p w14:paraId="5BAD629B" w14:textId="77777777" w:rsidR="00B66CC3" w:rsidRPr="004A5BF7" w:rsidRDefault="00B66CC3" w:rsidP="00B66CC3">
            <w:pPr>
              <w:spacing w:before="0" w:after="0"/>
              <w:jc w:val="center"/>
              <w:rPr>
                <w:rFonts w:cs="Arial"/>
                <w:sz w:val="18"/>
                <w:szCs w:val="18"/>
              </w:rPr>
            </w:pPr>
            <w:r w:rsidRPr="004A5BF7">
              <w:rPr>
                <w:rFonts w:cs="Arial"/>
                <w:sz w:val="18"/>
                <w:szCs w:val="18"/>
              </w:rPr>
              <w:t>88</w:t>
            </w:r>
          </w:p>
        </w:tc>
        <w:tc>
          <w:tcPr>
            <w:tcW w:w="283" w:type="pct"/>
            <w:tcBorders>
              <w:top w:val="nil"/>
              <w:left w:val="nil"/>
              <w:bottom w:val="nil"/>
              <w:right w:val="nil"/>
            </w:tcBorders>
            <w:shd w:val="clear" w:color="auto" w:fill="auto"/>
            <w:noWrap/>
            <w:vAlign w:val="center"/>
            <w:hideMark/>
          </w:tcPr>
          <w:p w14:paraId="25ACC5FA" w14:textId="77777777" w:rsidR="00B66CC3" w:rsidRPr="004A5BF7" w:rsidRDefault="00B66CC3" w:rsidP="00B66CC3">
            <w:pPr>
              <w:spacing w:before="0" w:after="0"/>
              <w:jc w:val="center"/>
              <w:rPr>
                <w:rFonts w:cs="Arial"/>
                <w:sz w:val="18"/>
                <w:szCs w:val="18"/>
              </w:rPr>
            </w:pPr>
            <w:r w:rsidRPr="004A5BF7">
              <w:rPr>
                <w:rFonts w:cs="Arial"/>
                <w:sz w:val="18"/>
                <w:szCs w:val="18"/>
              </w:rPr>
              <w:t>225</w:t>
            </w:r>
          </w:p>
        </w:tc>
        <w:tc>
          <w:tcPr>
            <w:tcW w:w="285" w:type="pct"/>
            <w:tcBorders>
              <w:top w:val="nil"/>
              <w:left w:val="nil"/>
              <w:bottom w:val="nil"/>
              <w:right w:val="nil"/>
            </w:tcBorders>
            <w:shd w:val="clear" w:color="auto" w:fill="auto"/>
            <w:noWrap/>
            <w:vAlign w:val="center"/>
            <w:hideMark/>
          </w:tcPr>
          <w:p w14:paraId="7033D059" w14:textId="77777777" w:rsidR="00B66CC3" w:rsidRPr="004A5BF7" w:rsidRDefault="00B66CC3" w:rsidP="00B66CC3">
            <w:pPr>
              <w:spacing w:before="0" w:after="0"/>
              <w:jc w:val="center"/>
              <w:rPr>
                <w:rFonts w:cs="Arial"/>
                <w:sz w:val="18"/>
                <w:szCs w:val="18"/>
              </w:rPr>
            </w:pPr>
            <w:r w:rsidRPr="004A5BF7">
              <w:rPr>
                <w:rFonts w:cs="Arial"/>
                <w:sz w:val="18"/>
                <w:szCs w:val="18"/>
              </w:rPr>
              <w:t>141</w:t>
            </w:r>
          </w:p>
        </w:tc>
        <w:tc>
          <w:tcPr>
            <w:tcW w:w="285" w:type="pct"/>
            <w:tcBorders>
              <w:top w:val="nil"/>
              <w:left w:val="nil"/>
              <w:bottom w:val="nil"/>
              <w:right w:val="nil"/>
            </w:tcBorders>
            <w:shd w:val="clear" w:color="auto" w:fill="auto"/>
            <w:noWrap/>
            <w:vAlign w:val="center"/>
            <w:hideMark/>
          </w:tcPr>
          <w:p w14:paraId="0ECCDFF2" w14:textId="77777777" w:rsidR="00B66CC3" w:rsidRPr="004A5BF7" w:rsidRDefault="00B66CC3" w:rsidP="00B66CC3">
            <w:pPr>
              <w:spacing w:before="0" w:after="0"/>
              <w:jc w:val="center"/>
              <w:rPr>
                <w:rFonts w:cs="Arial"/>
                <w:sz w:val="18"/>
                <w:szCs w:val="18"/>
              </w:rPr>
            </w:pPr>
            <w:r w:rsidRPr="004A5BF7">
              <w:rPr>
                <w:rFonts w:cs="Arial"/>
                <w:sz w:val="18"/>
                <w:szCs w:val="18"/>
              </w:rPr>
              <w:t>177</w:t>
            </w:r>
          </w:p>
        </w:tc>
        <w:tc>
          <w:tcPr>
            <w:tcW w:w="285" w:type="pct"/>
            <w:tcBorders>
              <w:top w:val="nil"/>
              <w:left w:val="nil"/>
              <w:bottom w:val="nil"/>
              <w:right w:val="nil"/>
            </w:tcBorders>
            <w:shd w:val="clear" w:color="auto" w:fill="auto"/>
            <w:noWrap/>
            <w:vAlign w:val="center"/>
            <w:hideMark/>
          </w:tcPr>
          <w:p w14:paraId="64B7F2E5" w14:textId="77777777" w:rsidR="00B66CC3" w:rsidRPr="004A5BF7" w:rsidRDefault="00B66CC3" w:rsidP="00B66CC3">
            <w:pPr>
              <w:spacing w:before="0" w:after="0"/>
              <w:jc w:val="center"/>
              <w:rPr>
                <w:rFonts w:cs="Arial"/>
                <w:sz w:val="18"/>
                <w:szCs w:val="18"/>
              </w:rPr>
            </w:pPr>
            <w:r w:rsidRPr="004A5BF7">
              <w:rPr>
                <w:rFonts w:cs="Arial"/>
                <w:sz w:val="18"/>
                <w:szCs w:val="18"/>
              </w:rPr>
              <w:t>142</w:t>
            </w:r>
          </w:p>
        </w:tc>
        <w:tc>
          <w:tcPr>
            <w:tcW w:w="285" w:type="pct"/>
            <w:tcBorders>
              <w:top w:val="nil"/>
              <w:left w:val="nil"/>
              <w:bottom w:val="nil"/>
              <w:right w:val="nil"/>
            </w:tcBorders>
            <w:shd w:val="clear" w:color="auto" w:fill="auto"/>
            <w:noWrap/>
            <w:vAlign w:val="center"/>
            <w:hideMark/>
          </w:tcPr>
          <w:p w14:paraId="7FEE2CEE" w14:textId="77777777" w:rsidR="00B66CC3" w:rsidRPr="004A5BF7" w:rsidRDefault="00B66CC3" w:rsidP="00B66CC3">
            <w:pPr>
              <w:spacing w:before="0" w:after="0"/>
              <w:jc w:val="center"/>
              <w:rPr>
                <w:rFonts w:cs="Arial"/>
                <w:sz w:val="18"/>
                <w:szCs w:val="18"/>
              </w:rPr>
            </w:pPr>
            <w:r w:rsidRPr="004A5BF7">
              <w:rPr>
                <w:rFonts w:cs="Arial"/>
                <w:sz w:val="18"/>
                <w:szCs w:val="18"/>
              </w:rPr>
              <w:t>275</w:t>
            </w:r>
          </w:p>
        </w:tc>
        <w:tc>
          <w:tcPr>
            <w:tcW w:w="325" w:type="pct"/>
            <w:tcBorders>
              <w:top w:val="nil"/>
              <w:left w:val="nil"/>
              <w:bottom w:val="nil"/>
              <w:right w:val="nil"/>
            </w:tcBorders>
            <w:shd w:val="clear" w:color="auto" w:fill="auto"/>
            <w:noWrap/>
            <w:vAlign w:val="center"/>
            <w:hideMark/>
          </w:tcPr>
          <w:p w14:paraId="6F3E9C52" w14:textId="77777777" w:rsidR="00B66CC3" w:rsidRPr="004A5BF7" w:rsidRDefault="00B66CC3" w:rsidP="00B66CC3">
            <w:pPr>
              <w:spacing w:before="0" w:after="0"/>
              <w:jc w:val="center"/>
              <w:rPr>
                <w:rFonts w:cs="Arial"/>
                <w:sz w:val="18"/>
                <w:szCs w:val="18"/>
              </w:rPr>
            </w:pPr>
            <w:r w:rsidRPr="004A5BF7">
              <w:rPr>
                <w:rFonts w:cs="Arial"/>
                <w:sz w:val="18"/>
                <w:szCs w:val="18"/>
              </w:rPr>
              <w:t>430</w:t>
            </w:r>
          </w:p>
        </w:tc>
        <w:tc>
          <w:tcPr>
            <w:tcW w:w="285" w:type="pct"/>
            <w:tcBorders>
              <w:top w:val="nil"/>
              <w:left w:val="nil"/>
              <w:bottom w:val="nil"/>
              <w:right w:val="nil"/>
            </w:tcBorders>
            <w:shd w:val="clear" w:color="auto" w:fill="auto"/>
            <w:noWrap/>
            <w:vAlign w:val="center"/>
            <w:hideMark/>
          </w:tcPr>
          <w:p w14:paraId="4FFFEB5A" w14:textId="77777777" w:rsidR="00B66CC3" w:rsidRPr="004A5BF7" w:rsidRDefault="00B66CC3" w:rsidP="00B66CC3">
            <w:pPr>
              <w:spacing w:before="0" w:after="0"/>
              <w:jc w:val="center"/>
              <w:rPr>
                <w:rFonts w:cs="Arial"/>
                <w:sz w:val="18"/>
                <w:szCs w:val="18"/>
              </w:rPr>
            </w:pPr>
            <w:r w:rsidRPr="004A5BF7">
              <w:rPr>
                <w:rFonts w:cs="Arial"/>
                <w:sz w:val="18"/>
                <w:szCs w:val="18"/>
              </w:rPr>
              <w:t>262</w:t>
            </w:r>
          </w:p>
        </w:tc>
        <w:tc>
          <w:tcPr>
            <w:tcW w:w="285" w:type="pct"/>
            <w:tcBorders>
              <w:top w:val="nil"/>
              <w:left w:val="nil"/>
              <w:bottom w:val="nil"/>
              <w:right w:val="nil"/>
            </w:tcBorders>
            <w:shd w:val="clear" w:color="auto" w:fill="auto"/>
            <w:noWrap/>
            <w:vAlign w:val="center"/>
            <w:hideMark/>
          </w:tcPr>
          <w:p w14:paraId="27F4B563" w14:textId="77777777" w:rsidR="00B66CC3" w:rsidRPr="004A5BF7" w:rsidRDefault="00B66CC3" w:rsidP="00B66CC3">
            <w:pPr>
              <w:spacing w:before="0" w:after="0"/>
              <w:jc w:val="center"/>
              <w:rPr>
                <w:rFonts w:cs="Arial"/>
                <w:sz w:val="18"/>
                <w:szCs w:val="18"/>
              </w:rPr>
            </w:pPr>
            <w:r w:rsidRPr="004A5BF7">
              <w:rPr>
                <w:rFonts w:cs="Arial"/>
                <w:sz w:val="18"/>
                <w:szCs w:val="18"/>
              </w:rPr>
              <w:t>182</w:t>
            </w:r>
          </w:p>
        </w:tc>
        <w:tc>
          <w:tcPr>
            <w:tcW w:w="283" w:type="pct"/>
            <w:tcBorders>
              <w:top w:val="nil"/>
              <w:left w:val="nil"/>
              <w:bottom w:val="nil"/>
              <w:right w:val="nil"/>
            </w:tcBorders>
            <w:shd w:val="clear" w:color="auto" w:fill="auto"/>
            <w:noWrap/>
            <w:vAlign w:val="center"/>
            <w:hideMark/>
          </w:tcPr>
          <w:p w14:paraId="71DF5AB3" w14:textId="77777777" w:rsidR="00B66CC3" w:rsidRPr="004A5BF7" w:rsidRDefault="00B66CC3" w:rsidP="00B66CC3">
            <w:pPr>
              <w:spacing w:before="0" w:after="0"/>
              <w:jc w:val="center"/>
              <w:rPr>
                <w:rFonts w:cs="Arial"/>
                <w:sz w:val="18"/>
                <w:szCs w:val="18"/>
              </w:rPr>
            </w:pPr>
            <w:r w:rsidRPr="004A5BF7">
              <w:rPr>
                <w:rFonts w:cs="Arial"/>
                <w:sz w:val="18"/>
                <w:szCs w:val="18"/>
              </w:rPr>
              <w:t>560</w:t>
            </w:r>
          </w:p>
        </w:tc>
        <w:tc>
          <w:tcPr>
            <w:tcW w:w="243" w:type="pct"/>
            <w:tcBorders>
              <w:top w:val="nil"/>
              <w:left w:val="nil"/>
              <w:bottom w:val="nil"/>
              <w:right w:val="nil"/>
            </w:tcBorders>
            <w:shd w:val="clear" w:color="auto" w:fill="auto"/>
            <w:noWrap/>
            <w:vAlign w:val="center"/>
            <w:hideMark/>
          </w:tcPr>
          <w:p w14:paraId="20A766A9" w14:textId="77777777" w:rsidR="00B66CC3" w:rsidRPr="004A5BF7" w:rsidRDefault="00B66CC3" w:rsidP="00B66CC3">
            <w:pPr>
              <w:spacing w:before="0" w:after="0"/>
              <w:jc w:val="center"/>
              <w:rPr>
                <w:rFonts w:cs="Arial"/>
                <w:sz w:val="18"/>
                <w:szCs w:val="18"/>
              </w:rPr>
            </w:pPr>
            <w:r w:rsidRPr="004A5BF7">
              <w:rPr>
                <w:rFonts w:cs="Arial"/>
                <w:sz w:val="18"/>
                <w:szCs w:val="18"/>
              </w:rPr>
              <w:t>202</w:t>
            </w:r>
          </w:p>
        </w:tc>
      </w:tr>
      <w:tr w:rsidR="00B66CC3" w:rsidRPr="00E9409C" w14:paraId="3DE140A8" w14:textId="77777777" w:rsidTr="00E662D3">
        <w:trPr>
          <w:trHeight w:val="454"/>
          <w:tblHeader/>
        </w:trPr>
        <w:tc>
          <w:tcPr>
            <w:tcW w:w="602" w:type="pct"/>
            <w:tcBorders>
              <w:top w:val="nil"/>
              <w:left w:val="nil"/>
              <w:bottom w:val="nil"/>
              <w:right w:val="nil"/>
            </w:tcBorders>
            <w:shd w:val="clear" w:color="auto" w:fill="auto"/>
            <w:noWrap/>
            <w:vAlign w:val="center"/>
            <w:hideMark/>
          </w:tcPr>
          <w:p w14:paraId="7487D3AD" w14:textId="77777777" w:rsidR="00B66CC3" w:rsidRPr="004A5BF7" w:rsidRDefault="00B66CC3" w:rsidP="004A5BF7">
            <w:pPr>
              <w:spacing w:before="0" w:after="0"/>
              <w:jc w:val="left"/>
              <w:rPr>
                <w:rFonts w:cs="Arial"/>
                <w:sz w:val="18"/>
                <w:szCs w:val="18"/>
              </w:rPr>
            </w:pPr>
            <w:r w:rsidRPr="004A5BF7">
              <w:rPr>
                <w:rFonts w:cs="Arial"/>
                <w:sz w:val="18"/>
                <w:szCs w:val="18"/>
              </w:rPr>
              <w:t>Mossman</w:t>
            </w:r>
          </w:p>
        </w:tc>
        <w:tc>
          <w:tcPr>
            <w:tcW w:w="706" w:type="pct"/>
            <w:tcBorders>
              <w:top w:val="nil"/>
              <w:left w:val="nil"/>
              <w:bottom w:val="nil"/>
              <w:right w:val="nil"/>
            </w:tcBorders>
            <w:shd w:val="clear" w:color="auto" w:fill="auto"/>
            <w:noWrap/>
            <w:vAlign w:val="center"/>
            <w:hideMark/>
          </w:tcPr>
          <w:p w14:paraId="19D084EB"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282" w:type="pct"/>
            <w:tcBorders>
              <w:top w:val="nil"/>
              <w:left w:val="nil"/>
              <w:bottom w:val="nil"/>
              <w:right w:val="nil"/>
            </w:tcBorders>
            <w:shd w:val="clear" w:color="auto" w:fill="auto"/>
            <w:noWrap/>
            <w:vAlign w:val="center"/>
            <w:hideMark/>
          </w:tcPr>
          <w:p w14:paraId="6F87E297" w14:textId="77777777" w:rsidR="00B66CC3" w:rsidRPr="004A5BF7" w:rsidRDefault="00B66CC3" w:rsidP="00B66CC3">
            <w:pPr>
              <w:spacing w:before="0" w:after="0"/>
              <w:jc w:val="center"/>
              <w:rPr>
                <w:rFonts w:cs="Arial"/>
                <w:sz w:val="18"/>
                <w:szCs w:val="18"/>
              </w:rPr>
            </w:pPr>
            <w:r w:rsidRPr="004A5BF7">
              <w:rPr>
                <w:rFonts w:cs="Arial"/>
                <w:sz w:val="18"/>
                <w:szCs w:val="18"/>
              </w:rPr>
              <w:t>98</w:t>
            </w:r>
          </w:p>
        </w:tc>
        <w:tc>
          <w:tcPr>
            <w:tcW w:w="283" w:type="pct"/>
            <w:tcBorders>
              <w:top w:val="nil"/>
              <w:left w:val="nil"/>
              <w:bottom w:val="nil"/>
              <w:right w:val="nil"/>
            </w:tcBorders>
            <w:shd w:val="clear" w:color="auto" w:fill="auto"/>
            <w:noWrap/>
            <w:vAlign w:val="center"/>
            <w:hideMark/>
          </w:tcPr>
          <w:p w14:paraId="4B0CB60A" w14:textId="77777777" w:rsidR="00B66CC3" w:rsidRPr="004A5BF7" w:rsidRDefault="00B66CC3" w:rsidP="00B66CC3">
            <w:pPr>
              <w:spacing w:before="0" w:after="0"/>
              <w:jc w:val="center"/>
              <w:rPr>
                <w:rFonts w:cs="Arial"/>
                <w:sz w:val="18"/>
                <w:szCs w:val="18"/>
              </w:rPr>
            </w:pPr>
            <w:r w:rsidRPr="004A5BF7">
              <w:rPr>
                <w:rFonts w:cs="Arial"/>
                <w:sz w:val="18"/>
                <w:szCs w:val="18"/>
              </w:rPr>
              <w:t>215</w:t>
            </w:r>
          </w:p>
        </w:tc>
        <w:tc>
          <w:tcPr>
            <w:tcW w:w="283" w:type="pct"/>
            <w:tcBorders>
              <w:top w:val="nil"/>
              <w:left w:val="nil"/>
              <w:bottom w:val="nil"/>
              <w:right w:val="nil"/>
            </w:tcBorders>
            <w:shd w:val="clear" w:color="auto" w:fill="auto"/>
            <w:noWrap/>
            <w:vAlign w:val="center"/>
            <w:hideMark/>
          </w:tcPr>
          <w:p w14:paraId="41B068C9" w14:textId="77777777" w:rsidR="00B66CC3" w:rsidRPr="004A5BF7" w:rsidRDefault="00B66CC3" w:rsidP="00B66CC3">
            <w:pPr>
              <w:spacing w:before="0" w:after="0"/>
              <w:jc w:val="center"/>
              <w:rPr>
                <w:rFonts w:cs="Arial"/>
                <w:sz w:val="18"/>
                <w:szCs w:val="18"/>
              </w:rPr>
            </w:pPr>
            <w:r w:rsidRPr="004A5BF7">
              <w:rPr>
                <w:rFonts w:cs="Arial"/>
                <w:sz w:val="18"/>
                <w:szCs w:val="18"/>
              </w:rPr>
              <w:t>140</w:t>
            </w:r>
          </w:p>
        </w:tc>
        <w:tc>
          <w:tcPr>
            <w:tcW w:w="283" w:type="pct"/>
            <w:tcBorders>
              <w:top w:val="nil"/>
              <w:left w:val="nil"/>
              <w:bottom w:val="nil"/>
              <w:right w:val="nil"/>
            </w:tcBorders>
            <w:shd w:val="clear" w:color="auto" w:fill="auto"/>
            <w:noWrap/>
            <w:vAlign w:val="center"/>
            <w:hideMark/>
          </w:tcPr>
          <w:p w14:paraId="27B0C7FB" w14:textId="77777777" w:rsidR="00B66CC3" w:rsidRPr="004A5BF7" w:rsidRDefault="00B66CC3" w:rsidP="00B66CC3">
            <w:pPr>
              <w:spacing w:before="0" w:after="0"/>
              <w:jc w:val="center"/>
              <w:rPr>
                <w:rFonts w:cs="Arial"/>
                <w:sz w:val="18"/>
                <w:szCs w:val="18"/>
              </w:rPr>
            </w:pPr>
            <w:r w:rsidRPr="004A5BF7">
              <w:rPr>
                <w:rFonts w:cs="Arial"/>
                <w:sz w:val="18"/>
                <w:szCs w:val="18"/>
              </w:rPr>
              <w:t>241</w:t>
            </w:r>
          </w:p>
        </w:tc>
        <w:tc>
          <w:tcPr>
            <w:tcW w:w="285" w:type="pct"/>
            <w:tcBorders>
              <w:top w:val="nil"/>
              <w:left w:val="nil"/>
              <w:bottom w:val="nil"/>
              <w:right w:val="nil"/>
            </w:tcBorders>
            <w:shd w:val="clear" w:color="auto" w:fill="auto"/>
            <w:noWrap/>
            <w:vAlign w:val="center"/>
            <w:hideMark/>
          </w:tcPr>
          <w:p w14:paraId="43F49D4F" w14:textId="77777777" w:rsidR="00B66CC3" w:rsidRPr="004A5BF7" w:rsidRDefault="00B66CC3" w:rsidP="00B66CC3">
            <w:pPr>
              <w:spacing w:before="0" w:after="0"/>
              <w:jc w:val="center"/>
              <w:rPr>
                <w:rFonts w:cs="Arial"/>
                <w:sz w:val="18"/>
                <w:szCs w:val="18"/>
              </w:rPr>
            </w:pPr>
            <w:r w:rsidRPr="004A5BF7">
              <w:rPr>
                <w:rFonts w:cs="Arial"/>
                <w:sz w:val="18"/>
                <w:szCs w:val="18"/>
              </w:rPr>
              <w:t>140</w:t>
            </w:r>
          </w:p>
        </w:tc>
        <w:tc>
          <w:tcPr>
            <w:tcW w:w="285" w:type="pct"/>
            <w:tcBorders>
              <w:top w:val="nil"/>
              <w:left w:val="nil"/>
              <w:bottom w:val="nil"/>
              <w:right w:val="nil"/>
            </w:tcBorders>
            <w:shd w:val="clear" w:color="auto" w:fill="auto"/>
            <w:noWrap/>
            <w:vAlign w:val="center"/>
            <w:hideMark/>
          </w:tcPr>
          <w:p w14:paraId="1A43B139" w14:textId="77777777" w:rsidR="00B66CC3" w:rsidRPr="004A5BF7" w:rsidRDefault="00B66CC3" w:rsidP="00B66CC3">
            <w:pPr>
              <w:spacing w:before="0" w:after="0"/>
              <w:jc w:val="center"/>
              <w:rPr>
                <w:rFonts w:cs="Arial"/>
                <w:sz w:val="18"/>
                <w:szCs w:val="18"/>
              </w:rPr>
            </w:pPr>
            <w:r w:rsidRPr="004A5BF7">
              <w:rPr>
                <w:rFonts w:cs="Arial"/>
                <w:sz w:val="18"/>
                <w:szCs w:val="18"/>
              </w:rPr>
              <w:t>127</w:t>
            </w:r>
          </w:p>
        </w:tc>
        <w:tc>
          <w:tcPr>
            <w:tcW w:w="285" w:type="pct"/>
            <w:tcBorders>
              <w:top w:val="nil"/>
              <w:left w:val="nil"/>
              <w:bottom w:val="nil"/>
              <w:right w:val="nil"/>
            </w:tcBorders>
            <w:shd w:val="clear" w:color="auto" w:fill="auto"/>
            <w:noWrap/>
            <w:vAlign w:val="center"/>
            <w:hideMark/>
          </w:tcPr>
          <w:p w14:paraId="31F2A329" w14:textId="77777777" w:rsidR="00B66CC3" w:rsidRPr="004A5BF7" w:rsidRDefault="00B66CC3" w:rsidP="00B66CC3">
            <w:pPr>
              <w:spacing w:before="0" w:after="0"/>
              <w:jc w:val="center"/>
              <w:rPr>
                <w:rFonts w:cs="Arial"/>
                <w:sz w:val="18"/>
                <w:szCs w:val="18"/>
              </w:rPr>
            </w:pPr>
            <w:r w:rsidRPr="004A5BF7">
              <w:rPr>
                <w:rFonts w:cs="Arial"/>
                <w:sz w:val="18"/>
                <w:szCs w:val="18"/>
              </w:rPr>
              <w:t>90</w:t>
            </w:r>
          </w:p>
        </w:tc>
        <w:tc>
          <w:tcPr>
            <w:tcW w:w="285" w:type="pct"/>
            <w:tcBorders>
              <w:top w:val="nil"/>
              <w:left w:val="nil"/>
              <w:bottom w:val="nil"/>
              <w:right w:val="nil"/>
            </w:tcBorders>
            <w:shd w:val="clear" w:color="auto" w:fill="auto"/>
            <w:noWrap/>
            <w:vAlign w:val="center"/>
            <w:hideMark/>
          </w:tcPr>
          <w:p w14:paraId="446A325D" w14:textId="77777777" w:rsidR="00B66CC3" w:rsidRPr="004A5BF7" w:rsidRDefault="00B66CC3" w:rsidP="00B66CC3">
            <w:pPr>
              <w:spacing w:before="0" w:after="0"/>
              <w:jc w:val="center"/>
              <w:rPr>
                <w:rFonts w:cs="Arial"/>
                <w:sz w:val="18"/>
                <w:szCs w:val="18"/>
              </w:rPr>
            </w:pPr>
            <w:r w:rsidRPr="004A5BF7">
              <w:rPr>
                <w:rFonts w:cs="Arial"/>
                <w:sz w:val="18"/>
                <w:szCs w:val="18"/>
              </w:rPr>
              <w:t>115</w:t>
            </w:r>
          </w:p>
        </w:tc>
        <w:tc>
          <w:tcPr>
            <w:tcW w:w="325" w:type="pct"/>
            <w:tcBorders>
              <w:top w:val="nil"/>
              <w:left w:val="nil"/>
              <w:bottom w:val="nil"/>
              <w:right w:val="nil"/>
            </w:tcBorders>
            <w:shd w:val="clear" w:color="auto" w:fill="auto"/>
            <w:noWrap/>
            <w:vAlign w:val="center"/>
            <w:hideMark/>
          </w:tcPr>
          <w:p w14:paraId="391AE4CA" w14:textId="77777777" w:rsidR="00B66CC3" w:rsidRPr="004A5BF7" w:rsidRDefault="00B66CC3" w:rsidP="00B66CC3">
            <w:pPr>
              <w:spacing w:before="0" w:after="0"/>
              <w:jc w:val="center"/>
              <w:rPr>
                <w:rFonts w:cs="Arial"/>
                <w:sz w:val="18"/>
                <w:szCs w:val="18"/>
              </w:rPr>
            </w:pPr>
            <w:r w:rsidRPr="004A5BF7">
              <w:rPr>
                <w:rFonts w:cs="Arial"/>
                <w:sz w:val="18"/>
                <w:szCs w:val="18"/>
              </w:rPr>
              <w:t>127</w:t>
            </w:r>
          </w:p>
        </w:tc>
        <w:tc>
          <w:tcPr>
            <w:tcW w:w="285" w:type="pct"/>
            <w:tcBorders>
              <w:top w:val="nil"/>
              <w:left w:val="nil"/>
              <w:bottom w:val="nil"/>
              <w:right w:val="nil"/>
            </w:tcBorders>
            <w:shd w:val="clear" w:color="auto" w:fill="auto"/>
            <w:noWrap/>
            <w:vAlign w:val="center"/>
            <w:hideMark/>
          </w:tcPr>
          <w:p w14:paraId="57C7EC67" w14:textId="77777777" w:rsidR="00B66CC3" w:rsidRPr="004A5BF7" w:rsidRDefault="00B66CC3" w:rsidP="00B66CC3">
            <w:pPr>
              <w:spacing w:before="0" w:after="0"/>
              <w:jc w:val="center"/>
              <w:rPr>
                <w:rFonts w:cs="Arial"/>
                <w:sz w:val="18"/>
                <w:szCs w:val="18"/>
              </w:rPr>
            </w:pPr>
            <w:r w:rsidRPr="004A5BF7">
              <w:rPr>
                <w:rFonts w:cs="Arial"/>
                <w:sz w:val="18"/>
                <w:szCs w:val="18"/>
              </w:rPr>
              <w:t>97</w:t>
            </w:r>
          </w:p>
        </w:tc>
        <w:tc>
          <w:tcPr>
            <w:tcW w:w="285" w:type="pct"/>
            <w:tcBorders>
              <w:top w:val="nil"/>
              <w:left w:val="nil"/>
              <w:bottom w:val="nil"/>
              <w:right w:val="nil"/>
            </w:tcBorders>
            <w:shd w:val="clear" w:color="auto" w:fill="auto"/>
            <w:noWrap/>
            <w:vAlign w:val="center"/>
            <w:hideMark/>
          </w:tcPr>
          <w:p w14:paraId="2BC50F26" w14:textId="77777777" w:rsidR="00B66CC3" w:rsidRPr="004A5BF7" w:rsidRDefault="00B66CC3" w:rsidP="00B66CC3">
            <w:pPr>
              <w:spacing w:before="0" w:after="0"/>
              <w:jc w:val="center"/>
              <w:rPr>
                <w:rFonts w:cs="Arial"/>
                <w:sz w:val="18"/>
                <w:szCs w:val="18"/>
              </w:rPr>
            </w:pPr>
            <w:r w:rsidRPr="004A5BF7">
              <w:rPr>
                <w:rFonts w:cs="Arial"/>
                <w:sz w:val="18"/>
                <w:szCs w:val="18"/>
              </w:rPr>
              <w:t>76</w:t>
            </w:r>
          </w:p>
        </w:tc>
        <w:tc>
          <w:tcPr>
            <w:tcW w:w="283" w:type="pct"/>
            <w:tcBorders>
              <w:top w:val="nil"/>
              <w:left w:val="nil"/>
              <w:bottom w:val="nil"/>
              <w:right w:val="nil"/>
            </w:tcBorders>
            <w:shd w:val="clear" w:color="auto" w:fill="auto"/>
            <w:noWrap/>
            <w:vAlign w:val="center"/>
            <w:hideMark/>
          </w:tcPr>
          <w:p w14:paraId="41E2F594" w14:textId="77777777" w:rsidR="00B66CC3" w:rsidRPr="004A5BF7" w:rsidRDefault="00B66CC3" w:rsidP="00B66CC3">
            <w:pPr>
              <w:spacing w:before="0" w:after="0"/>
              <w:jc w:val="center"/>
              <w:rPr>
                <w:rFonts w:cs="Arial"/>
                <w:sz w:val="18"/>
                <w:szCs w:val="18"/>
              </w:rPr>
            </w:pPr>
            <w:r w:rsidRPr="004A5BF7">
              <w:rPr>
                <w:rFonts w:cs="Arial"/>
                <w:sz w:val="18"/>
                <w:szCs w:val="18"/>
              </w:rPr>
              <w:t>122</w:t>
            </w:r>
          </w:p>
        </w:tc>
        <w:tc>
          <w:tcPr>
            <w:tcW w:w="243" w:type="pct"/>
            <w:tcBorders>
              <w:top w:val="nil"/>
              <w:left w:val="nil"/>
              <w:bottom w:val="nil"/>
              <w:right w:val="nil"/>
            </w:tcBorders>
            <w:shd w:val="clear" w:color="auto" w:fill="auto"/>
            <w:noWrap/>
            <w:vAlign w:val="center"/>
            <w:hideMark/>
          </w:tcPr>
          <w:p w14:paraId="3AF40143" w14:textId="77777777" w:rsidR="00B66CC3" w:rsidRPr="004A5BF7" w:rsidRDefault="00B66CC3" w:rsidP="00B66CC3">
            <w:pPr>
              <w:spacing w:before="0" w:after="0"/>
              <w:jc w:val="center"/>
              <w:rPr>
                <w:rFonts w:cs="Arial"/>
                <w:sz w:val="18"/>
                <w:szCs w:val="18"/>
              </w:rPr>
            </w:pPr>
            <w:r w:rsidRPr="004A5BF7">
              <w:rPr>
                <w:rFonts w:cs="Arial"/>
                <w:sz w:val="18"/>
                <w:szCs w:val="18"/>
              </w:rPr>
              <w:t>37</w:t>
            </w:r>
          </w:p>
        </w:tc>
      </w:tr>
      <w:tr w:rsidR="00B66CC3" w:rsidRPr="00E9409C" w14:paraId="034C55C9" w14:textId="77777777" w:rsidTr="00E662D3">
        <w:trPr>
          <w:trHeight w:val="454"/>
          <w:tblHeader/>
        </w:trPr>
        <w:tc>
          <w:tcPr>
            <w:tcW w:w="602" w:type="pct"/>
            <w:tcBorders>
              <w:top w:val="nil"/>
              <w:left w:val="nil"/>
              <w:bottom w:val="nil"/>
              <w:right w:val="nil"/>
            </w:tcBorders>
            <w:shd w:val="clear" w:color="auto" w:fill="auto"/>
            <w:noWrap/>
            <w:vAlign w:val="center"/>
            <w:hideMark/>
          </w:tcPr>
          <w:p w14:paraId="057A344B" w14:textId="77777777" w:rsidR="00B66CC3" w:rsidRPr="004A5BF7" w:rsidRDefault="00B66CC3" w:rsidP="004A5BF7">
            <w:pPr>
              <w:spacing w:before="0" w:after="0"/>
              <w:jc w:val="left"/>
              <w:rPr>
                <w:rFonts w:cs="Arial"/>
                <w:sz w:val="18"/>
                <w:szCs w:val="18"/>
              </w:rPr>
            </w:pPr>
            <w:r w:rsidRPr="004A5BF7">
              <w:rPr>
                <w:rFonts w:cs="Arial"/>
                <w:sz w:val="18"/>
                <w:szCs w:val="18"/>
              </w:rPr>
              <w:t>Barron</w:t>
            </w:r>
          </w:p>
        </w:tc>
        <w:tc>
          <w:tcPr>
            <w:tcW w:w="706" w:type="pct"/>
            <w:tcBorders>
              <w:top w:val="nil"/>
              <w:left w:val="nil"/>
              <w:bottom w:val="nil"/>
              <w:right w:val="nil"/>
            </w:tcBorders>
            <w:shd w:val="clear" w:color="auto" w:fill="auto"/>
            <w:noWrap/>
            <w:vAlign w:val="center"/>
            <w:hideMark/>
          </w:tcPr>
          <w:p w14:paraId="3C34CAC2"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282" w:type="pct"/>
            <w:tcBorders>
              <w:top w:val="nil"/>
              <w:left w:val="nil"/>
              <w:bottom w:val="nil"/>
              <w:right w:val="nil"/>
            </w:tcBorders>
            <w:shd w:val="clear" w:color="auto" w:fill="auto"/>
            <w:noWrap/>
            <w:vAlign w:val="center"/>
            <w:hideMark/>
          </w:tcPr>
          <w:p w14:paraId="50534014" w14:textId="77777777" w:rsidR="00B66CC3" w:rsidRPr="004A5BF7" w:rsidRDefault="00B66CC3" w:rsidP="00B66CC3">
            <w:pPr>
              <w:spacing w:before="0" w:after="0"/>
              <w:jc w:val="center"/>
              <w:rPr>
                <w:rFonts w:cs="Arial"/>
                <w:sz w:val="18"/>
                <w:szCs w:val="18"/>
              </w:rPr>
            </w:pPr>
            <w:r w:rsidRPr="004A5BF7">
              <w:rPr>
                <w:rFonts w:cs="Arial"/>
                <w:sz w:val="18"/>
                <w:szCs w:val="18"/>
              </w:rPr>
              <w:t>15</w:t>
            </w:r>
          </w:p>
        </w:tc>
        <w:tc>
          <w:tcPr>
            <w:tcW w:w="283" w:type="pct"/>
            <w:tcBorders>
              <w:top w:val="nil"/>
              <w:left w:val="nil"/>
              <w:bottom w:val="nil"/>
              <w:right w:val="nil"/>
            </w:tcBorders>
            <w:shd w:val="clear" w:color="auto" w:fill="auto"/>
            <w:noWrap/>
            <w:vAlign w:val="center"/>
            <w:hideMark/>
          </w:tcPr>
          <w:p w14:paraId="24CE23AC" w14:textId="77777777" w:rsidR="00B66CC3" w:rsidRPr="004A5BF7" w:rsidRDefault="00B66CC3" w:rsidP="00B66CC3">
            <w:pPr>
              <w:spacing w:before="0" w:after="0"/>
              <w:jc w:val="center"/>
              <w:rPr>
                <w:rFonts w:cs="Arial"/>
                <w:sz w:val="18"/>
                <w:szCs w:val="18"/>
              </w:rPr>
            </w:pPr>
            <w:r w:rsidRPr="004A5BF7">
              <w:rPr>
                <w:rFonts w:cs="Arial"/>
                <w:sz w:val="18"/>
                <w:szCs w:val="18"/>
              </w:rPr>
              <w:t>131</w:t>
            </w:r>
          </w:p>
        </w:tc>
        <w:tc>
          <w:tcPr>
            <w:tcW w:w="283" w:type="pct"/>
            <w:tcBorders>
              <w:top w:val="nil"/>
              <w:left w:val="nil"/>
              <w:bottom w:val="nil"/>
              <w:right w:val="nil"/>
            </w:tcBorders>
            <w:shd w:val="clear" w:color="auto" w:fill="auto"/>
            <w:noWrap/>
            <w:vAlign w:val="center"/>
            <w:hideMark/>
          </w:tcPr>
          <w:p w14:paraId="133B4040" w14:textId="77777777" w:rsidR="00B66CC3" w:rsidRPr="004A5BF7" w:rsidRDefault="00B66CC3" w:rsidP="00B66CC3">
            <w:pPr>
              <w:spacing w:before="0" w:after="0"/>
              <w:jc w:val="center"/>
              <w:rPr>
                <w:rFonts w:cs="Arial"/>
                <w:sz w:val="18"/>
                <w:szCs w:val="18"/>
              </w:rPr>
            </w:pPr>
            <w:r w:rsidRPr="004A5BF7">
              <w:rPr>
                <w:rFonts w:cs="Arial"/>
                <w:sz w:val="18"/>
                <w:szCs w:val="18"/>
              </w:rPr>
              <w:t>54</w:t>
            </w:r>
          </w:p>
        </w:tc>
        <w:tc>
          <w:tcPr>
            <w:tcW w:w="283" w:type="pct"/>
            <w:tcBorders>
              <w:top w:val="nil"/>
              <w:left w:val="nil"/>
              <w:bottom w:val="nil"/>
              <w:right w:val="nil"/>
            </w:tcBorders>
            <w:shd w:val="clear" w:color="auto" w:fill="auto"/>
            <w:noWrap/>
            <w:vAlign w:val="center"/>
            <w:hideMark/>
          </w:tcPr>
          <w:p w14:paraId="631C84A8" w14:textId="77777777" w:rsidR="00B66CC3" w:rsidRPr="004A5BF7" w:rsidRDefault="00B66CC3" w:rsidP="00B66CC3">
            <w:pPr>
              <w:spacing w:before="0" w:after="0"/>
              <w:jc w:val="center"/>
              <w:rPr>
                <w:rFonts w:cs="Arial"/>
                <w:sz w:val="18"/>
                <w:szCs w:val="18"/>
              </w:rPr>
            </w:pPr>
            <w:r w:rsidRPr="004A5BF7">
              <w:rPr>
                <w:rFonts w:cs="Arial"/>
                <w:sz w:val="18"/>
                <w:szCs w:val="18"/>
              </w:rPr>
              <w:t>106</w:t>
            </w:r>
          </w:p>
        </w:tc>
        <w:tc>
          <w:tcPr>
            <w:tcW w:w="285" w:type="pct"/>
            <w:tcBorders>
              <w:top w:val="nil"/>
              <w:left w:val="nil"/>
              <w:bottom w:val="nil"/>
              <w:right w:val="nil"/>
            </w:tcBorders>
            <w:shd w:val="clear" w:color="auto" w:fill="auto"/>
            <w:noWrap/>
            <w:vAlign w:val="center"/>
            <w:hideMark/>
          </w:tcPr>
          <w:p w14:paraId="5819FDB7" w14:textId="77777777" w:rsidR="00B66CC3" w:rsidRPr="004A5BF7" w:rsidRDefault="00B66CC3" w:rsidP="00B66CC3">
            <w:pPr>
              <w:spacing w:before="0" w:after="0"/>
              <w:jc w:val="center"/>
              <w:rPr>
                <w:rFonts w:cs="Arial"/>
                <w:sz w:val="18"/>
                <w:szCs w:val="18"/>
              </w:rPr>
            </w:pPr>
            <w:r w:rsidRPr="004A5BF7">
              <w:rPr>
                <w:rFonts w:cs="Arial"/>
                <w:sz w:val="18"/>
                <w:szCs w:val="18"/>
              </w:rPr>
              <w:t>56</w:t>
            </w:r>
          </w:p>
        </w:tc>
        <w:tc>
          <w:tcPr>
            <w:tcW w:w="285" w:type="pct"/>
            <w:tcBorders>
              <w:top w:val="nil"/>
              <w:left w:val="nil"/>
              <w:bottom w:val="nil"/>
              <w:right w:val="nil"/>
            </w:tcBorders>
            <w:shd w:val="clear" w:color="auto" w:fill="auto"/>
            <w:noWrap/>
            <w:vAlign w:val="center"/>
            <w:hideMark/>
          </w:tcPr>
          <w:p w14:paraId="782749C4" w14:textId="77777777" w:rsidR="00B66CC3" w:rsidRPr="004A5BF7" w:rsidRDefault="00B66CC3" w:rsidP="00B66CC3">
            <w:pPr>
              <w:spacing w:before="0" w:after="0"/>
              <w:jc w:val="center"/>
              <w:rPr>
                <w:rFonts w:cs="Arial"/>
                <w:sz w:val="18"/>
                <w:szCs w:val="18"/>
              </w:rPr>
            </w:pPr>
            <w:r w:rsidRPr="004A5BF7">
              <w:rPr>
                <w:rFonts w:cs="Arial"/>
                <w:sz w:val="18"/>
                <w:szCs w:val="18"/>
              </w:rPr>
              <w:t>210</w:t>
            </w:r>
          </w:p>
        </w:tc>
        <w:tc>
          <w:tcPr>
            <w:tcW w:w="285" w:type="pct"/>
            <w:tcBorders>
              <w:top w:val="nil"/>
              <w:left w:val="nil"/>
              <w:bottom w:val="nil"/>
              <w:right w:val="nil"/>
            </w:tcBorders>
            <w:shd w:val="clear" w:color="auto" w:fill="auto"/>
            <w:noWrap/>
            <w:vAlign w:val="center"/>
            <w:hideMark/>
          </w:tcPr>
          <w:p w14:paraId="1645E0D0" w14:textId="77777777" w:rsidR="00B66CC3" w:rsidRPr="004A5BF7" w:rsidRDefault="00B66CC3" w:rsidP="00B66CC3">
            <w:pPr>
              <w:spacing w:before="0" w:after="0"/>
              <w:jc w:val="center"/>
              <w:rPr>
                <w:rFonts w:cs="Arial"/>
                <w:sz w:val="18"/>
                <w:szCs w:val="18"/>
              </w:rPr>
            </w:pPr>
            <w:r w:rsidRPr="004A5BF7">
              <w:rPr>
                <w:rFonts w:cs="Arial"/>
                <w:sz w:val="18"/>
                <w:szCs w:val="18"/>
              </w:rPr>
              <w:t>96</w:t>
            </w:r>
          </w:p>
        </w:tc>
        <w:tc>
          <w:tcPr>
            <w:tcW w:w="285" w:type="pct"/>
            <w:tcBorders>
              <w:top w:val="nil"/>
              <w:left w:val="nil"/>
              <w:bottom w:val="nil"/>
              <w:right w:val="nil"/>
            </w:tcBorders>
            <w:shd w:val="clear" w:color="auto" w:fill="auto"/>
            <w:noWrap/>
            <w:vAlign w:val="center"/>
            <w:hideMark/>
          </w:tcPr>
          <w:p w14:paraId="11CE41BD" w14:textId="77777777" w:rsidR="00B66CC3" w:rsidRPr="004A5BF7" w:rsidRDefault="00B66CC3" w:rsidP="00B66CC3">
            <w:pPr>
              <w:spacing w:before="0" w:after="0"/>
              <w:jc w:val="center"/>
              <w:rPr>
                <w:rFonts w:cs="Arial"/>
                <w:sz w:val="18"/>
                <w:szCs w:val="18"/>
              </w:rPr>
            </w:pPr>
            <w:r w:rsidRPr="004A5BF7">
              <w:rPr>
                <w:rFonts w:cs="Arial"/>
                <w:sz w:val="18"/>
                <w:szCs w:val="18"/>
              </w:rPr>
              <w:t>59</w:t>
            </w:r>
          </w:p>
        </w:tc>
        <w:tc>
          <w:tcPr>
            <w:tcW w:w="325" w:type="pct"/>
            <w:tcBorders>
              <w:top w:val="nil"/>
              <w:left w:val="nil"/>
              <w:bottom w:val="nil"/>
              <w:right w:val="nil"/>
            </w:tcBorders>
            <w:shd w:val="clear" w:color="auto" w:fill="auto"/>
            <w:noWrap/>
            <w:vAlign w:val="center"/>
            <w:hideMark/>
          </w:tcPr>
          <w:p w14:paraId="30BCAFA6" w14:textId="77777777" w:rsidR="00B66CC3" w:rsidRPr="004A5BF7" w:rsidRDefault="00B66CC3" w:rsidP="00B66CC3">
            <w:pPr>
              <w:spacing w:before="0" w:after="0"/>
              <w:jc w:val="center"/>
              <w:rPr>
                <w:rFonts w:cs="Arial"/>
                <w:sz w:val="18"/>
                <w:szCs w:val="18"/>
              </w:rPr>
            </w:pPr>
            <w:r w:rsidRPr="004A5BF7">
              <w:rPr>
                <w:rFonts w:cs="Arial"/>
                <w:sz w:val="18"/>
                <w:szCs w:val="18"/>
              </w:rPr>
              <w:t>218</w:t>
            </w:r>
          </w:p>
        </w:tc>
        <w:tc>
          <w:tcPr>
            <w:tcW w:w="285" w:type="pct"/>
            <w:tcBorders>
              <w:top w:val="nil"/>
              <w:left w:val="nil"/>
              <w:bottom w:val="nil"/>
              <w:right w:val="nil"/>
            </w:tcBorders>
            <w:shd w:val="clear" w:color="auto" w:fill="auto"/>
            <w:noWrap/>
            <w:vAlign w:val="center"/>
            <w:hideMark/>
          </w:tcPr>
          <w:p w14:paraId="51AB51CA" w14:textId="77777777" w:rsidR="00B66CC3" w:rsidRPr="004A5BF7" w:rsidRDefault="00B66CC3" w:rsidP="00B66CC3">
            <w:pPr>
              <w:spacing w:before="0" w:after="0"/>
              <w:jc w:val="center"/>
              <w:rPr>
                <w:rFonts w:cs="Arial"/>
                <w:sz w:val="18"/>
                <w:szCs w:val="18"/>
              </w:rPr>
            </w:pPr>
            <w:r w:rsidRPr="004A5BF7">
              <w:rPr>
                <w:rFonts w:cs="Arial"/>
                <w:sz w:val="18"/>
                <w:szCs w:val="18"/>
              </w:rPr>
              <w:t>87</w:t>
            </w:r>
          </w:p>
        </w:tc>
        <w:tc>
          <w:tcPr>
            <w:tcW w:w="285" w:type="pct"/>
            <w:tcBorders>
              <w:top w:val="nil"/>
              <w:left w:val="nil"/>
              <w:bottom w:val="nil"/>
              <w:right w:val="nil"/>
            </w:tcBorders>
            <w:shd w:val="clear" w:color="auto" w:fill="auto"/>
            <w:noWrap/>
            <w:vAlign w:val="center"/>
            <w:hideMark/>
          </w:tcPr>
          <w:p w14:paraId="346D8E19" w14:textId="77777777" w:rsidR="00B66CC3" w:rsidRPr="004A5BF7" w:rsidRDefault="00B66CC3" w:rsidP="00B66CC3">
            <w:pPr>
              <w:spacing w:before="0" w:after="0"/>
              <w:jc w:val="center"/>
              <w:rPr>
                <w:rFonts w:cs="Arial"/>
                <w:sz w:val="18"/>
                <w:szCs w:val="18"/>
              </w:rPr>
            </w:pPr>
            <w:r w:rsidRPr="004A5BF7">
              <w:rPr>
                <w:rFonts w:cs="Arial"/>
                <w:sz w:val="18"/>
                <w:szCs w:val="18"/>
              </w:rPr>
              <w:t>34</w:t>
            </w:r>
          </w:p>
        </w:tc>
        <w:tc>
          <w:tcPr>
            <w:tcW w:w="283" w:type="pct"/>
            <w:tcBorders>
              <w:top w:val="nil"/>
              <w:left w:val="nil"/>
              <w:bottom w:val="nil"/>
              <w:right w:val="nil"/>
            </w:tcBorders>
            <w:shd w:val="clear" w:color="auto" w:fill="auto"/>
            <w:noWrap/>
            <w:vAlign w:val="center"/>
            <w:hideMark/>
          </w:tcPr>
          <w:p w14:paraId="69F11525" w14:textId="77777777" w:rsidR="00B66CC3" w:rsidRPr="004A5BF7" w:rsidRDefault="00B66CC3" w:rsidP="00B66CC3">
            <w:pPr>
              <w:spacing w:before="0" w:after="0"/>
              <w:jc w:val="center"/>
              <w:rPr>
                <w:rFonts w:cs="Arial"/>
                <w:sz w:val="18"/>
                <w:szCs w:val="18"/>
              </w:rPr>
            </w:pPr>
            <w:r w:rsidRPr="004A5BF7">
              <w:rPr>
                <w:rFonts w:cs="Arial"/>
                <w:sz w:val="18"/>
                <w:szCs w:val="18"/>
              </w:rPr>
              <w:t>68</w:t>
            </w:r>
          </w:p>
        </w:tc>
        <w:tc>
          <w:tcPr>
            <w:tcW w:w="243" w:type="pct"/>
            <w:tcBorders>
              <w:top w:val="nil"/>
              <w:left w:val="nil"/>
              <w:bottom w:val="nil"/>
              <w:right w:val="nil"/>
            </w:tcBorders>
            <w:shd w:val="clear" w:color="auto" w:fill="auto"/>
            <w:noWrap/>
            <w:vAlign w:val="center"/>
            <w:hideMark/>
          </w:tcPr>
          <w:p w14:paraId="60C511E5" w14:textId="77777777" w:rsidR="00B66CC3" w:rsidRPr="004A5BF7" w:rsidRDefault="00B66CC3" w:rsidP="00B66CC3">
            <w:pPr>
              <w:spacing w:before="0" w:after="0"/>
              <w:jc w:val="center"/>
              <w:rPr>
                <w:rFonts w:cs="Arial"/>
                <w:sz w:val="18"/>
                <w:szCs w:val="18"/>
              </w:rPr>
            </w:pPr>
            <w:r w:rsidRPr="004A5BF7">
              <w:rPr>
                <w:rFonts w:cs="Arial"/>
                <w:sz w:val="18"/>
                <w:szCs w:val="18"/>
              </w:rPr>
              <w:t>39</w:t>
            </w:r>
          </w:p>
        </w:tc>
      </w:tr>
      <w:tr w:rsidR="00B66CC3" w:rsidRPr="00E9409C" w14:paraId="5157996C" w14:textId="77777777" w:rsidTr="00E662D3">
        <w:trPr>
          <w:trHeight w:val="454"/>
          <w:tblHeader/>
        </w:trPr>
        <w:tc>
          <w:tcPr>
            <w:tcW w:w="602" w:type="pct"/>
            <w:tcBorders>
              <w:top w:val="nil"/>
              <w:left w:val="nil"/>
              <w:bottom w:val="nil"/>
              <w:right w:val="nil"/>
            </w:tcBorders>
            <w:shd w:val="clear" w:color="auto" w:fill="auto"/>
            <w:noWrap/>
            <w:vAlign w:val="center"/>
            <w:hideMark/>
          </w:tcPr>
          <w:p w14:paraId="2283C076" w14:textId="77777777" w:rsidR="00B66CC3" w:rsidRPr="004A5BF7" w:rsidRDefault="00B66CC3" w:rsidP="004A5BF7">
            <w:pPr>
              <w:spacing w:before="0" w:after="0"/>
              <w:jc w:val="left"/>
              <w:rPr>
                <w:rFonts w:cs="Arial"/>
                <w:sz w:val="18"/>
                <w:szCs w:val="18"/>
              </w:rPr>
            </w:pPr>
            <w:r w:rsidRPr="004A5BF7">
              <w:rPr>
                <w:rFonts w:cs="Arial"/>
                <w:sz w:val="18"/>
                <w:szCs w:val="18"/>
              </w:rPr>
              <w:t>Russell-Mulgrave</w:t>
            </w:r>
          </w:p>
        </w:tc>
        <w:tc>
          <w:tcPr>
            <w:tcW w:w="706" w:type="pct"/>
            <w:tcBorders>
              <w:top w:val="nil"/>
              <w:left w:val="nil"/>
              <w:bottom w:val="nil"/>
              <w:right w:val="nil"/>
            </w:tcBorders>
            <w:shd w:val="clear" w:color="auto" w:fill="auto"/>
            <w:noWrap/>
            <w:vAlign w:val="center"/>
            <w:hideMark/>
          </w:tcPr>
          <w:p w14:paraId="337B2A70"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282" w:type="pct"/>
            <w:tcBorders>
              <w:top w:val="nil"/>
              <w:left w:val="nil"/>
              <w:bottom w:val="nil"/>
              <w:right w:val="nil"/>
            </w:tcBorders>
            <w:shd w:val="clear" w:color="auto" w:fill="auto"/>
            <w:noWrap/>
            <w:vAlign w:val="center"/>
            <w:hideMark/>
          </w:tcPr>
          <w:p w14:paraId="1717E4AE" w14:textId="77777777" w:rsidR="00B66CC3" w:rsidRPr="004A5BF7" w:rsidRDefault="00B66CC3" w:rsidP="00B66CC3">
            <w:pPr>
              <w:spacing w:before="0" w:after="0"/>
              <w:jc w:val="center"/>
              <w:rPr>
                <w:rFonts w:cs="Arial"/>
                <w:sz w:val="18"/>
                <w:szCs w:val="18"/>
              </w:rPr>
            </w:pPr>
            <w:r w:rsidRPr="004A5BF7">
              <w:rPr>
                <w:rFonts w:cs="Arial"/>
                <w:sz w:val="18"/>
                <w:szCs w:val="18"/>
              </w:rPr>
              <w:t>334</w:t>
            </w:r>
          </w:p>
        </w:tc>
        <w:tc>
          <w:tcPr>
            <w:tcW w:w="283" w:type="pct"/>
            <w:tcBorders>
              <w:top w:val="nil"/>
              <w:left w:val="nil"/>
              <w:bottom w:val="nil"/>
              <w:right w:val="nil"/>
            </w:tcBorders>
            <w:shd w:val="clear" w:color="auto" w:fill="auto"/>
            <w:noWrap/>
            <w:vAlign w:val="center"/>
            <w:hideMark/>
          </w:tcPr>
          <w:p w14:paraId="0AACA076" w14:textId="77777777" w:rsidR="00B66CC3" w:rsidRPr="004A5BF7" w:rsidRDefault="00B66CC3" w:rsidP="00B66CC3">
            <w:pPr>
              <w:spacing w:before="0" w:after="0"/>
              <w:jc w:val="center"/>
              <w:rPr>
                <w:rFonts w:cs="Arial"/>
                <w:sz w:val="18"/>
                <w:szCs w:val="18"/>
              </w:rPr>
            </w:pPr>
            <w:r w:rsidRPr="004A5BF7">
              <w:rPr>
                <w:rFonts w:cs="Arial"/>
                <w:sz w:val="18"/>
                <w:szCs w:val="18"/>
              </w:rPr>
              <w:t>1,156</w:t>
            </w:r>
          </w:p>
        </w:tc>
        <w:tc>
          <w:tcPr>
            <w:tcW w:w="283" w:type="pct"/>
            <w:tcBorders>
              <w:top w:val="nil"/>
              <w:left w:val="nil"/>
              <w:bottom w:val="nil"/>
              <w:right w:val="nil"/>
            </w:tcBorders>
            <w:shd w:val="clear" w:color="auto" w:fill="auto"/>
            <w:noWrap/>
            <w:vAlign w:val="center"/>
            <w:hideMark/>
          </w:tcPr>
          <w:p w14:paraId="1B9479A7" w14:textId="77777777" w:rsidR="00B66CC3" w:rsidRPr="004A5BF7" w:rsidRDefault="00B66CC3" w:rsidP="00B66CC3">
            <w:pPr>
              <w:spacing w:before="0" w:after="0"/>
              <w:jc w:val="center"/>
              <w:rPr>
                <w:rFonts w:cs="Arial"/>
                <w:sz w:val="18"/>
                <w:szCs w:val="18"/>
              </w:rPr>
            </w:pPr>
            <w:r w:rsidRPr="004A5BF7">
              <w:rPr>
                <w:rFonts w:cs="Arial"/>
                <w:sz w:val="18"/>
                <w:szCs w:val="18"/>
              </w:rPr>
              <w:t>518</w:t>
            </w:r>
          </w:p>
        </w:tc>
        <w:tc>
          <w:tcPr>
            <w:tcW w:w="283" w:type="pct"/>
            <w:tcBorders>
              <w:top w:val="nil"/>
              <w:left w:val="nil"/>
              <w:bottom w:val="nil"/>
              <w:right w:val="nil"/>
            </w:tcBorders>
            <w:shd w:val="clear" w:color="auto" w:fill="auto"/>
            <w:noWrap/>
            <w:vAlign w:val="center"/>
            <w:hideMark/>
          </w:tcPr>
          <w:p w14:paraId="2A0BCAA5" w14:textId="77777777" w:rsidR="00B66CC3" w:rsidRPr="004A5BF7" w:rsidRDefault="00B66CC3" w:rsidP="00B66CC3">
            <w:pPr>
              <w:spacing w:before="0" w:after="0"/>
              <w:jc w:val="center"/>
              <w:rPr>
                <w:rFonts w:cs="Arial"/>
                <w:sz w:val="18"/>
                <w:szCs w:val="18"/>
              </w:rPr>
            </w:pPr>
            <w:r w:rsidRPr="004A5BF7">
              <w:rPr>
                <w:rFonts w:cs="Arial"/>
                <w:sz w:val="18"/>
                <w:szCs w:val="18"/>
              </w:rPr>
              <w:t>905</w:t>
            </w:r>
          </w:p>
        </w:tc>
        <w:tc>
          <w:tcPr>
            <w:tcW w:w="285" w:type="pct"/>
            <w:tcBorders>
              <w:top w:val="nil"/>
              <w:left w:val="nil"/>
              <w:bottom w:val="nil"/>
              <w:right w:val="nil"/>
            </w:tcBorders>
            <w:shd w:val="clear" w:color="auto" w:fill="auto"/>
            <w:noWrap/>
            <w:vAlign w:val="center"/>
            <w:hideMark/>
          </w:tcPr>
          <w:p w14:paraId="2169E0A7" w14:textId="77777777" w:rsidR="00B66CC3" w:rsidRPr="004A5BF7" w:rsidRDefault="00B66CC3" w:rsidP="00B66CC3">
            <w:pPr>
              <w:spacing w:before="0" w:after="0"/>
              <w:jc w:val="center"/>
              <w:rPr>
                <w:rFonts w:cs="Arial"/>
                <w:sz w:val="18"/>
                <w:szCs w:val="18"/>
              </w:rPr>
            </w:pPr>
            <w:r w:rsidRPr="004A5BF7">
              <w:rPr>
                <w:rFonts w:cs="Arial"/>
                <w:sz w:val="18"/>
                <w:szCs w:val="18"/>
              </w:rPr>
              <w:t>711</w:t>
            </w:r>
          </w:p>
        </w:tc>
        <w:tc>
          <w:tcPr>
            <w:tcW w:w="285" w:type="pct"/>
            <w:tcBorders>
              <w:top w:val="nil"/>
              <w:left w:val="nil"/>
              <w:bottom w:val="nil"/>
              <w:right w:val="nil"/>
            </w:tcBorders>
            <w:shd w:val="clear" w:color="auto" w:fill="auto"/>
            <w:noWrap/>
            <w:vAlign w:val="center"/>
            <w:hideMark/>
          </w:tcPr>
          <w:p w14:paraId="75DC2FCC" w14:textId="77777777" w:rsidR="00B66CC3" w:rsidRPr="004A5BF7" w:rsidRDefault="00B66CC3" w:rsidP="00B66CC3">
            <w:pPr>
              <w:spacing w:before="0" w:after="0"/>
              <w:jc w:val="center"/>
              <w:rPr>
                <w:rFonts w:cs="Arial"/>
                <w:sz w:val="18"/>
                <w:szCs w:val="18"/>
              </w:rPr>
            </w:pPr>
            <w:r w:rsidRPr="004A5BF7">
              <w:rPr>
                <w:rFonts w:cs="Arial"/>
                <w:sz w:val="18"/>
                <w:szCs w:val="18"/>
              </w:rPr>
              <w:t>843</w:t>
            </w:r>
          </w:p>
        </w:tc>
        <w:tc>
          <w:tcPr>
            <w:tcW w:w="285" w:type="pct"/>
            <w:tcBorders>
              <w:top w:val="nil"/>
              <w:left w:val="nil"/>
              <w:bottom w:val="nil"/>
              <w:right w:val="nil"/>
            </w:tcBorders>
            <w:shd w:val="clear" w:color="auto" w:fill="auto"/>
            <w:noWrap/>
            <w:vAlign w:val="center"/>
            <w:hideMark/>
          </w:tcPr>
          <w:p w14:paraId="1B2289BE" w14:textId="77777777" w:rsidR="00B66CC3" w:rsidRPr="004A5BF7" w:rsidRDefault="00B66CC3" w:rsidP="00B66CC3">
            <w:pPr>
              <w:spacing w:before="0" w:after="0"/>
              <w:jc w:val="center"/>
              <w:rPr>
                <w:rFonts w:cs="Arial"/>
                <w:sz w:val="18"/>
                <w:szCs w:val="18"/>
              </w:rPr>
            </w:pPr>
            <w:r w:rsidRPr="004A5BF7">
              <w:rPr>
                <w:rFonts w:cs="Arial"/>
                <w:sz w:val="18"/>
                <w:szCs w:val="18"/>
              </w:rPr>
              <w:t>654</w:t>
            </w:r>
          </w:p>
        </w:tc>
        <w:tc>
          <w:tcPr>
            <w:tcW w:w="285" w:type="pct"/>
            <w:tcBorders>
              <w:top w:val="nil"/>
              <w:left w:val="nil"/>
              <w:bottom w:val="nil"/>
              <w:right w:val="nil"/>
            </w:tcBorders>
            <w:shd w:val="clear" w:color="auto" w:fill="auto"/>
            <w:noWrap/>
            <w:vAlign w:val="center"/>
            <w:hideMark/>
          </w:tcPr>
          <w:p w14:paraId="170AEF67" w14:textId="77777777" w:rsidR="00B66CC3" w:rsidRPr="004A5BF7" w:rsidRDefault="00B66CC3" w:rsidP="00B66CC3">
            <w:pPr>
              <w:spacing w:before="0" w:after="0"/>
              <w:jc w:val="center"/>
              <w:rPr>
                <w:rFonts w:cs="Arial"/>
                <w:sz w:val="18"/>
                <w:szCs w:val="18"/>
              </w:rPr>
            </w:pPr>
            <w:r w:rsidRPr="004A5BF7">
              <w:rPr>
                <w:rFonts w:cs="Arial"/>
                <w:sz w:val="18"/>
                <w:szCs w:val="18"/>
              </w:rPr>
              <w:t>637</w:t>
            </w:r>
          </w:p>
        </w:tc>
        <w:tc>
          <w:tcPr>
            <w:tcW w:w="325" w:type="pct"/>
            <w:tcBorders>
              <w:top w:val="nil"/>
              <w:left w:val="nil"/>
              <w:bottom w:val="nil"/>
              <w:right w:val="nil"/>
            </w:tcBorders>
            <w:shd w:val="clear" w:color="auto" w:fill="auto"/>
            <w:noWrap/>
            <w:vAlign w:val="center"/>
            <w:hideMark/>
          </w:tcPr>
          <w:p w14:paraId="198F10CC" w14:textId="77777777" w:rsidR="00B66CC3" w:rsidRPr="004A5BF7" w:rsidRDefault="00B66CC3" w:rsidP="00B66CC3">
            <w:pPr>
              <w:spacing w:before="0" w:after="0"/>
              <w:jc w:val="center"/>
              <w:rPr>
                <w:rFonts w:cs="Arial"/>
                <w:sz w:val="18"/>
                <w:szCs w:val="18"/>
              </w:rPr>
            </w:pPr>
            <w:r w:rsidRPr="004A5BF7">
              <w:rPr>
                <w:rFonts w:cs="Arial"/>
                <w:sz w:val="18"/>
                <w:szCs w:val="18"/>
              </w:rPr>
              <w:t>1,430</w:t>
            </w:r>
          </w:p>
        </w:tc>
        <w:tc>
          <w:tcPr>
            <w:tcW w:w="285" w:type="pct"/>
            <w:tcBorders>
              <w:top w:val="nil"/>
              <w:left w:val="nil"/>
              <w:bottom w:val="nil"/>
              <w:right w:val="nil"/>
            </w:tcBorders>
            <w:shd w:val="clear" w:color="auto" w:fill="auto"/>
            <w:noWrap/>
            <w:vAlign w:val="center"/>
            <w:hideMark/>
          </w:tcPr>
          <w:p w14:paraId="20841570" w14:textId="77777777" w:rsidR="00B66CC3" w:rsidRPr="004A5BF7" w:rsidRDefault="00B66CC3" w:rsidP="00B66CC3">
            <w:pPr>
              <w:spacing w:before="0" w:after="0"/>
              <w:jc w:val="center"/>
              <w:rPr>
                <w:rFonts w:cs="Arial"/>
                <w:sz w:val="18"/>
                <w:szCs w:val="18"/>
              </w:rPr>
            </w:pPr>
            <w:r w:rsidRPr="004A5BF7">
              <w:rPr>
                <w:rFonts w:cs="Arial"/>
                <w:sz w:val="18"/>
                <w:szCs w:val="18"/>
              </w:rPr>
              <w:t>980</w:t>
            </w:r>
          </w:p>
        </w:tc>
        <w:tc>
          <w:tcPr>
            <w:tcW w:w="285" w:type="pct"/>
            <w:tcBorders>
              <w:top w:val="nil"/>
              <w:left w:val="nil"/>
              <w:bottom w:val="nil"/>
              <w:right w:val="nil"/>
            </w:tcBorders>
            <w:shd w:val="clear" w:color="auto" w:fill="auto"/>
            <w:noWrap/>
            <w:vAlign w:val="center"/>
            <w:hideMark/>
          </w:tcPr>
          <w:p w14:paraId="06372D6D" w14:textId="77777777" w:rsidR="00B66CC3" w:rsidRPr="004A5BF7" w:rsidRDefault="00B66CC3" w:rsidP="00B66CC3">
            <w:pPr>
              <w:spacing w:before="0" w:after="0"/>
              <w:jc w:val="center"/>
              <w:rPr>
                <w:rFonts w:cs="Arial"/>
                <w:sz w:val="18"/>
                <w:szCs w:val="18"/>
              </w:rPr>
            </w:pPr>
            <w:r w:rsidRPr="004A5BF7">
              <w:rPr>
                <w:rFonts w:cs="Arial"/>
                <w:sz w:val="18"/>
                <w:szCs w:val="18"/>
              </w:rPr>
              <w:t>521</w:t>
            </w:r>
          </w:p>
        </w:tc>
        <w:tc>
          <w:tcPr>
            <w:tcW w:w="283" w:type="pct"/>
            <w:tcBorders>
              <w:top w:val="nil"/>
              <w:left w:val="nil"/>
              <w:bottom w:val="nil"/>
              <w:right w:val="nil"/>
            </w:tcBorders>
            <w:shd w:val="clear" w:color="auto" w:fill="auto"/>
            <w:noWrap/>
            <w:vAlign w:val="center"/>
            <w:hideMark/>
          </w:tcPr>
          <w:p w14:paraId="0DD669DF" w14:textId="77777777" w:rsidR="00B66CC3" w:rsidRPr="004A5BF7" w:rsidRDefault="00B66CC3" w:rsidP="00B66CC3">
            <w:pPr>
              <w:spacing w:before="0" w:after="0"/>
              <w:jc w:val="center"/>
              <w:rPr>
                <w:rFonts w:cs="Arial"/>
                <w:sz w:val="18"/>
                <w:szCs w:val="18"/>
              </w:rPr>
            </w:pPr>
            <w:r w:rsidRPr="004A5BF7">
              <w:rPr>
                <w:rFonts w:cs="Arial"/>
                <w:sz w:val="18"/>
                <w:szCs w:val="18"/>
              </w:rPr>
              <w:t>848</w:t>
            </w:r>
          </w:p>
        </w:tc>
        <w:tc>
          <w:tcPr>
            <w:tcW w:w="243" w:type="pct"/>
            <w:tcBorders>
              <w:top w:val="nil"/>
              <w:left w:val="nil"/>
              <w:bottom w:val="nil"/>
              <w:right w:val="nil"/>
            </w:tcBorders>
            <w:shd w:val="clear" w:color="auto" w:fill="auto"/>
            <w:noWrap/>
            <w:vAlign w:val="center"/>
            <w:hideMark/>
          </w:tcPr>
          <w:p w14:paraId="75A8371F" w14:textId="77777777" w:rsidR="00B66CC3" w:rsidRPr="004A5BF7" w:rsidRDefault="00B66CC3" w:rsidP="00B66CC3">
            <w:pPr>
              <w:spacing w:before="0" w:after="0"/>
              <w:jc w:val="center"/>
              <w:rPr>
                <w:rFonts w:cs="Arial"/>
                <w:sz w:val="18"/>
                <w:szCs w:val="18"/>
              </w:rPr>
            </w:pPr>
            <w:r w:rsidRPr="004A5BF7">
              <w:rPr>
                <w:rFonts w:cs="Arial"/>
                <w:sz w:val="18"/>
                <w:szCs w:val="18"/>
              </w:rPr>
              <w:t>528</w:t>
            </w:r>
          </w:p>
        </w:tc>
      </w:tr>
      <w:tr w:rsidR="00B66CC3" w:rsidRPr="00E9409C" w14:paraId="43FDC7D7" w14:textId="77777777" w:rsidTr="00E662D3">
        <w:trPr>
          <w:trHeight w:val="454"/>
          <w:tblHeader/>
        </w:trPr>
        <w:tc>
          <w:tcPr>
            <w:tcW w:w="602" w:type="pct"/>
            <w:tcBorders>
              <w:top w:val="nil"/>
              <w:left w:val="nil"/>
              <w:bottom w:val="nil"/>
              <w:right w:val="nil"/>
            </w:tcBorders>
            <w:shd w:val="clear" w:color="auto" w:fill="auto"/>
            <w:noWrap/>
            <w:vAlign w:val="center"/>
            <w:hideMark/>
          </w:tcPr>
          <w:p w14:paraId="28A59323" w14:textId="77777777" w:rsidR="00B66CC3" w:rsidRPr="004A5BF7" w:rsidRDefault="00B66CC3" w:rsidP="004A5BF7">
            <w:pPr>
              <w:spacing w:before="0" w:after="0"/>
              <w:jc w:val="left"/>
              <w:rPr>
                <w:rFonts w:cs="Arial"/>
                <w:sz w:val="18"/>
                <w:szCs w:val="18"/>
              </w:rPr>
            </w:pPr>
            <w:r w:rsidRPr="004A5BF7">
              <w:rPr>
                <w:rFonts w:cs="Arial"/>
                <w:sz w:val="18"/>
                <w:szCs w:val="18"/>
              </w:rPr>
              <w:t>Johnstone</w:t>
            </w:r>
          </w:p>
        </w:tc>
        <w:tc>
          <w:tcPr>
            <w:tcW w:w="706" w:type="pct"/>
            <w:tcBorders>
              <w:top w:val="nil"/>
              <w:left w:val="nil"/>
              <w:bottom w:val="nil"/>
              <w:right w:val="nil"/>
            </w:tcBorders>
            <w:shd w:val="clear" w:color="auto" w:fill="auto"/>
            <w:noWrap/>
            <w:vAlign w:val="center"/>
            <w:hideMark/>
          </w:tcPr>
          <w:p w14:paraId="730A6374"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282" w:type="pct"/>
            <w:tcBorders>
              <w:top w:val="nil"/>
              <w:left w:val="nil"/>
              <w:bottom w:val="nil"/>
              <w:right w:val="nil"/>
            </w:tcBorders>
            <w:shd w:val="clear" w:color="auto" w:fill="auto"/>
            <w:noWrap/>
            <w:vAlign w:val="center"/>
            <w:hideMark/>
          </w:tcPr>
          <w:p w14:paraId="70964CC1" w14:textId="77777777" w:rsidR="00B66CC3" w:rsidRPr="004A5BF7" w:rsidRDefault="00B66CC3" w:rsidP="00B66CC3">
            <w:pPr>
              <w:spacing w:before="0" w:after="0"/>
              <w:jc w:val="center"/>
              <w:rPr>
                <w:rFonts w:cs="Arial"/>
                <w:sz w:val="18"/>
                <w:szCs w:val="18"/>
              </w:rPr>
            </w:pPr>
            <w:r w:rsidRPr="004A5BF7">
              <w:rPr>
                <w:rFonts w:cs="Arial"/>
                <w:sz w:val="18"/>
                <w:szCs w:val="18"/>
              </w:rPr>
              <w:t>397</w:t>
            </w:r>
          </w:p>
        </w:tc>
        <w:tc>
          <w:tcPr>
            <w:tcW w:w="283" w:type="pct"/>
            <w:tcBorders>
              <w:top w:val="nil"/>
              <w:left w:val="nil"/>
              <w:bottom w:val="nil"/>
              <w:right w:val="nil"/>
            </w:tcBorders>
            <w:shd w:val="clear" w:color="auto" w:fill="auto"/>
            <w:noWrap/>
            <w:vAlign w:val="center"/>
            <w:hideMark/>
          </w:tcPr>
          <w:p w14:paraId="510B6C71" w14:textId="77777777" w:rsidR="00B66CC3" w:rsidRPr="004A5BF7" w:rsidRDefault="00B66CC3" w:rsidP="00B66CC3">
            <w:pPr>
              <w:spacing w:before="0" w:after="0"/>
              <w:jc w:val="center"/>
              <w:rPr>
                <w:rFonts w:cs="Arial"/>
                <w:sz w:val="18"/>
                <w:szCs w:val="18"/>
              </w:rPr>
            </w:pPr>
            <w:r w:rsidRPr="004A5BF7">
              <w:rPr>
                <w:rFonts w:cs="Arial"/>
                <w:sz w:val="18"/>
                <w:szCs w:val="18"/>
              </w:rPr>
              <w:t>558</w:t>
            </w:r>
          </w:p>
        </w:tc>
        <w:tc>
          <w:tcPr>
            <w:tcW w:w="283" w:type="pct"/>
            <w:tcBorders>
              <w:top w:val="nil"/>
              <w:left w:val="nil"/>
              <w:bottom w:val="nil"/>
              <w:right w:val="nil"/>
            </w:tcBorders>
            <w:shd w:val="clear" w:color="auto" w:fill="auto"/>
            <w:noWrap/>
            <w:vAlign w:val="center"/>
            <w:hideMark/>
          </w:tcPr>
          <w:p w14:paraId="3E4C0D48" w14:textId="77777777" w:rsidR="00B66CC3" w:rsidRPr="004A5BF7" w:rsidRDefault="00B66CC3" w:rsidP="00B66CC3">
            <w:pPr>
              <w:spacing w:before="0" w:after="0"/>
              <w:jc w:val="center"/>
              <w:rPr>
                <w:rFonts w:cs="Arial"/>
                <w:sz w:val="18"/>
                <w:szCs w:val="18"/>
              </w:rPr>
            </w:pPr>
            <w:r w:rsidRPr="004A5BF7">
              <w:rPr>
                <w:rFonts w:cs="Arial"/>
                <w:sz w:val="18"/>
                <w:szCs w:val="18"/>
              </w:rPr>
              <w:t>691</w:t>
            </w:r>
          </w:p>
        </w:tc>
        <w:tc>
          <w:tcPr>
            <w:tcW w:w="283" w:type="pct"/>
            <w:tcBorders>
              <w:top w:val="nil"/>
              <w:left w:val="nil"/>
              <w:bottom w:val="nil"/>
              <w:right w:val="nil"/>
            </w:tcBorders>
            <w:shd w:val="clear" w:color="auto" w:fill="auto"/>
            <w:noWrap/>
            <w:vAlign w:val="center"/>
            <w:hideMark/>
          </w:tcPr>
          <w:p w14:paraId="06A66205" w14:textId="77777777" w:rsidR="00B66CC3" w:rsidRPr="004A5BF7" w:rsidRDefault="00B66CC3" w:rsidP="00B66CC3">
            <w:pPr>
              <w:spacing w:before="0" w:after="0"/>
              <w:jc w:val="center"/>
              <w:rPr>
                <w:rFonts w:cs="Arial"/>
                <w:sz w:val="18"/>
                <w:szCs w:val="18"/>
              </w:rPr>
            </w:pPr>
            <w:r w:rsidRPr="004A5BF7">
              <w:rPr>
                <w:rFonts w:cs="Arial"/>
                <w:sz w:val="18"/>
                <w:szCs w:val="18"/>
              </w:rPr>
              <w:t>1,250</w:t>
            </w:r>
          </w:p>
        </w:tc>
        <w:tc>
          <w:tcPr>
            <w:tcW w:w="285" w:type="pct"/>
            <w:tcBorders>
              <w:top w:val="nil"/>
              <w:left w:val="nil"/>
              <w:bottom w:val="nil"/>
              <w:right w:val="nil"/>
            </w:tcBorders>
            <w:shd w:val="clear" w:color="auto" w:fill="auto"/>
            <w:noWrap/>
            <w:vAlign w:val="center"/>
            <w:hideMark/>
          </w:tcPr>
          <w:p w14:paraId="380B0BA5" w14:textId="77777777" w:rsidR="00B66CC3" w:rsidRPr="004A5BF7" w:rsidRDefault="00B66CC3" w:rsidP="00B66CC3">
            <w:pPr>
              <w:spacing w:before="0" w:after="0"/>
              <w:jc w:val="center"/>
              <w:rPr>
                <w:rFonts w:cs="Arial"/>
                <w:sz w:val="18"/>
                <w:szCs w:val="18"/>
              </w:rPr>
            </w:pPr>
            <w:r w:rsidRPr="004A5BF7">
              <w:rPr>
                <w:rFonts w:cs="Arial"/>
                <w:sz w:val="18"/>
                <w:szCs w:val="18"/>
              </w:rPr>
              <w:t>1,098</w:t>
            </w:r>
          </w:p>
        </w:tc>
        <w:tc>
          <w:tcPr>
            <w:tcW w:w="285" w:type="pct"/>
            <w:tcBorders>
              <w:top w:val="nil"/>
              <w:left w:val="nil"/>
              <w:bottom w:val="nil"/>
              <w:right w:val="nil"/>
            </w:tcBorders>
            <w:shd w:val="clear" w:color="auto" w:fill="auto"/>
            <w:noWrap/>
            <w:vAlign w:val="center"/>
            <w:hideMark/>
          </w:tcPr>
          <w:p w14:paraId="1ACA8AC4" w14:textId="77777777" w:rsidR="00B66CC3" w:rsidRPr="004A5BF7" w:rsidRDefault="00B66CC3" w:rsidP="00B66CC3">
            <w:pPr>
              <w:spacing w:before="0" w:after="0"/>
              <w:jc w:val="center"/>
              <w:rPr>
                <w:rFonts w:cs="Arial"/>
                <w:sz w:val="18"/>
                <w:szCs w:val="18"/>
              </w:rPr>
            </w:pPr>
            <w:r w:rsidRPr="004A5BF7">
              <w:rPr>
                <w:rFonts w:cs="Arial"/>
                <w:sz w:val="18"/>
                <w:szCs w:val="18"/>
              </w:rPr>
              <w:t>1,043</w:t>
            </w:r>
          </w:p>
        </w:tc>
        <w:tc>
          <w:tcPr>
            <w:tcW w:w="285" w:type="pct"/>
            <w:tcBorders>
              <w:top w:val="nil"/>
              <w:left w:val="nil"/>
              <w:bottom w:val="nil"/>
              <w:right w:val="nil"/>
            </w:tcBorders>
            <w:shd w:val="clear" w:color="auto" w:fill="auto"/>
            <w:noWrap/>
            <w:vAlign w:val="center"/>
            <w:hideMark/>
          </w:tcPr>
          <w:p w14:paraId="673A422A" w14:textId="77777777" w:rsidR="00B66CC3" w:rsidRPr="004A5BF7" w:rsidRDefault="00B66CC3" w:rsidP="00B66CC3">
            <w:pPr>
              <w:spacing w:before="0" w:after="0"/>
              <w:jc w:val="center"/>
              <w:rPr>
                <w:rFonts w:cs="Arial"/>
                <w:sz w:val="18"/>
                <w:szCs w:val="18"/>
              </w:rPr>
            </w:pPr>
            <w:r w:rsidRPr="004A5BF7">
              <w:rPr>
                <w:rFonts w:cs="Arial"/>
                <w:sz w:val="18"/>
                <w:szCs w:val="18"/>
              </w:rPr>
              <w:t>1,505</w:t>
            </w:r>
          </w:p>
        </w:tc>
        <w:tc>
          <w:tcPr>
            <w:tcW w:w="285" w:type="pct"/>
            <w:tcBorders>
              <w:top w:val="nil"/>
              <w:left w:val="nil"/>
              <w:bottom w:val="nil"/>
              <w:right w:val="nil"/>
            </w:tcBorders>
            <w:shd w:val="clear" w:color="auto" w:fill="auto"/>
            <w:noWrap/>
            <w:vAlign w:val="center"/>
            <w:hideMark/>
          </w:tcPr>
          <w:p w14:paraId="4109319B" w14:textId="77777777" w:rsidR="00B66CC3" w:rsidRPr="004A5BF7" w:rsidRDefault="00B66CC3" w:rsidP="00B66CC3">
            <w:pPr>
              <w:spacing w:before="0" w:after="0"/>
              <w:jc w:val="center"/>
              <w:rPr>
                <w:rFonts w:cs="Arial"/>
                <w:sz w:val="18"/>
                <w:szCs w:val="18"/>
              </w:rPr>
            </w:pPr>
            <w:r w:rsidRPr="004A5BF7">
              <w:rPr>
                <w:rFonts w:cs="Arial"/>
                <w:sz w:val="18"/>
                <w:szCs w:val="18"/>
              </w:rPr>
              <w:t>1,129</w:t>
            </w:r>
          </w:p>
        </w:tc>
        <w:tc>
          <w:tcPr>
            <w:tcW w:w="325" w:type="pct"/>
            <w:tcBorders>
              <w:top w:val="nil"/>
              <w:left w:val="nil"/>
              <w:bottom w:val="nil"/>
              <w:right w:val="nil"/>
            </w:tcBorders>
            <w:shd w:val="clear" w:color="auto" w:fill="auto"/>
            <w:noWrap/>
            <w:vAlign w:val="center"/>
            <w:hideMark/>
          </w:tcPr>
          <w:p w14:paraId="18C0D3D0" w14:textId="77777777" w:rsidR="00B66CC3" w:rsidRPr="004A5BF7" w:rsidRDefault="00B66CC3" w:rsidP="00B66CC3">
            <w:pPr>
              <w:spacing w:before="0" w:after="0"/>
              <w:jc w:val="center"/>
              <w:rPr>
                <w:rFonts w:cs="Arial"/>
                <w:sz w:val="18"/>
                <w:szCs w:val="18"/>
              </w:rPr>
            </w:pPr>
            <w:r w:rsidRPr="004A5BF7">
              <w:rPr>
                <w:rFonts w:cs="Arial"/>
                <w:sz w:val="18"/>
                <w:szCs w:val="18"/>
              </w:rPr>
              <w:t>2,811</w:t>
            </w:r>
          </w:p>
        </w:tc>
        <w:tc>
          <w:tcPr>
            <w:tcW w:w="285" w:type="pct"/>
            <w:tcBorders>
              <w:top w:val="nil"/>
              <w:left w:val="nil"/>
              <w:bottom w:val="nil"/>
              <w:right w:val="nil"/>
            </w:tcBorders>
            <w:shd w:val="clear" w:color="auto" w:fill="auto"/>
            <w:noWrap/>
            <w:vAlign w:val="center"/>
            <w:hideMark/>
          </w:tcPr>
          <w:p w14:paraId="388A977F" w14:textId="77777777" w:rsidR="00B66CC3" w:rsidRPr="004A5BF7" w:rsidRDefault="00B66CC3" w:rsidP="00B66CC3">
            <w:pPr>
              <w:spacing w:before="0" w:after="0"/>
              <w:jc w:val="center"/>
              <w:rPr>
                <w:rFonts w:cs="Arial"/>
                <w:sz w:val="18"/>
                <w:szCs w:val="18"/>
              </w:rPr>
            </w:pPr>
            <w:r w:rsidRPr="004A5BF7">
              <w:rPr>
                <w:rFonts w:cs="Arial"/>
                <w:sz w:val="18"/>
                <w:szCs w:val="18"/>
              </w:rPr>
              <w:t>1,642</w:t>
            </w:r>
          </w:p>
        </w:tc>
        <w:tc>
          <w:tcPr>
            <w:tcW w:w="285" w:type="pct"/>
            <w:tcBorders>
              <w:top w:val="nil"/>
              <w:left w:val="nil"/>
              <w:bottom w:val="nil"/>
              <w:right w:val="nil"/>
            </w:tcBorders>
            <w:shd w:val="clear" w:color="auto" w:fill="auto"/>
            <w:noWrap/>
            <w:vAlign w:val="center"/>
            <w:hideMark/>
          </w:tcPr>
          <w:p w14:paraId="37E2C12C" w14:textId="77777777" w:rsidR="00B66CC3" w:rsidRPr="004A5BF7" w:rsidRDefault="00B66CC3" w:rsidP="00B66CC3">
            <w:pPr>
              <w:spacing w:before="0" w:after="0"/>
              <w:jc w:val="center"/>
              <w:rPr>
                <w:rFonts w:cs="Arial"/>
                <w:sz w:val="18"/>
                <w:szCs w:val="18"/>
              </w:rPr>
            </w:pPr>
            <w:r w:rsidRPr="004A5BF7">
              <w:rPr>
                <w:rFonts w:cs="Arial"/>
                <w:sz w:val="18"/>
                <w:szCs w:val="18"/>
              </w:rPr>
              <w:t>1,026</w:t>
            </w:r>
          </w:p>
        </w:tc>
        <w:tc>
          <w:tcPr>
            <w:tcW w:w="283" w:type="pct"/>
            <w:tcBorders>
              <w:top w:val="nil"/>
              <w:left w:val="nil"/>
              <w:bottom w:val="nil"/>
              <w:right w:val="nil"/>
            </w:tcBorders>
            <w:shd w:val="clear" w:color="auto" w:fill="auto"/>
            <w:noWrap/>
            <w:vAlign w:val="center"/>
            <w:hideMark/>
          </w:tcPr>
          <w:p w14:paraId="11198D41" w14:textId="77777777" w:rsidR="00B66CC3" w:rsidRPr="004A5BF7" w:rsidRDefault="00B66CC3" w:rsidP="00B66CC3">
            <w:pPr>
              <w:spacing w:before="0" w:after="0"/>
              <w:jc w:val="center"/>
              <w:rPr>
                <w:rFonts w:cs="Arial"/>
                <w:sz w:val="18"/>
                <w:szCs w:val="18"/>
              </w:rPr>
            </w:pPr>
            <w:r w:rsidRPr="004A5BF7">
              <w:rPr>
                <w:rFonts w:cs="Arial"/>
                <w:sz w:val="18"/>
                <w:szCs w:val="18"/>
              </w:rPr>
              <w:t>1,512</w:t>
            </w:r>
          </w:p>
        </w:tc>
        <w:tc>
          <w:tcPr>
            <w:tcW w:w="243" w:type="pct"/>
            <w:tcBorders>
              <w:top w:val="nil"/>
              <w:left w:val="nil"/>
              <w:bottom w:val="nil"/>
              <w:right w:val="nil"/>
            </w:tcBorders>
            <w:shd w:val="clear" w:color="auto" w:fill="auto"/>
            <w:noWrap/>
            <w:vAlign w:val="center"/>
            <w:hideMark/>
          </w:tcPr>
          <w:p w14:paraId="1C4CA90B" w14:textId="77777777" w:rsidR="00B66CC3" w:rsidRPr="004A5BF7" w:rsidRDefault="00B66CC3" w:rsidP="00B66CC3">
            <w:pPr>
              <w:spacing w:before="0" w:after="0"/>
              <w:jc w:val="center"/>
              <w:rPr>
                <w:rFonts w:cs="Arial"/>
                <w:sz w:val="18"/>
                <w:szCs w:val="18"/>
              </w:rPr>
            </w:pPr>
            <w:r w:rsidRPr="004A5BF7">
              <w:rPr>
                <w:rFonts w:cs="Arial"/>
                <w:sz w:val="18"/>
                <w:szCs w:val="18"/>
              </w:rPr>
              <w:t>722</w:t>
            </w:r>
          </w:p>
        </w:tc>
      </w:tr>
      <w:tr w:rsidR="00B66CC3" w:rsidRPr="00E9409C" w14:paraId="3E55CDBC" w14:textId="77777777" w:rsidTr="00E662D3">
        <w:trPr>
          <w:trHeight w:val="454"/>
          <w:tblHeader/>
        </w:trPr>
        <w:tc>
          <w:tcPr>
            <w:tcW w:w="602" w:type="pct"/>
            <w:tcBorders>
              <w:top w:val="nil"/>
              <w:left w:val="nil"/>
              <w:bottom w:val="nil"/>
              <w:right w:val="nil"/>
            </w:tcBorders>
            <w:shd w:val="clear" w:color="auto" w:fill="auto"/>
            <w:noWrap/>
            <w:vAlign w:val="center"/>
            <w:hideMark/>
          </w:tcPr>
          <w:p w14:paraId="79E84976" w14:textId="77777777" w:rsidR="00B66CC3" w:rsidRPr="004A5BF7" w:rsidRDefault="00B66CC3" w:rsidP="004A5BF7">
            <w:pPr>
              <w:spacing w:before="0" w:after="0"/>
              <w:jc w:val="left"/>
              <w:rPr>
                <w:rFonts w:cs="Arial"/>
                <w:sz w:val="18"/>
                <w:szCs w:val="18"/>
              </w:rPr>
            </w:pPr>
            <w:r w:rsidRPr="004A5BF7">
              <w:rPr>
                <w:rFonts w:cs="Arial"/>
                <w:sz w:val="18"/>
                <w:szCs w:val="18"/>
              </w:rPr>
              <w:t>Tully-Murray</w:t>
            </w:r>
          </w:p>
        </w:tc>
        <w:tc>
          <w:tcPr>
            <w:tcW w:w="706" w:type="pct"/>
            <w:tcBorders>
              <w:top w:val="nil"/>
              <w:left w:val="nil"/>
              <w:bottom w:val="nil"/>
              <w:right w:val="nil"/>
            </w:tcBorders>
            <w:shd w:val="clear" w:color="auto" w:fill="auto"/>
            <w:noWrap/>
            <w:vAlign w:val="center"/>
            <w:hideMark/>
          </w:tcPr>
          <w:p w14:paraId="5F572336"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282" w:type="pct"/>
            <w:tcBorders>
              <w:top w:val="nil"/>
              <w:left w:val="nil"/>
              <w:bottom w:val="nil"/>
              <w:right w:val="nil"/>
            </w:tcBorders>
            <w:shd w:val="clear" w:color="auto" w:fill="auto"/>
            <w:noWrap/>
            <w:vAlign w:val="center"/>
            <w:hideMark/>
          </w:tcPr>
          <w:p w14:paraId="2CEEA576" w14:textId="77777777" w:rsidR="00B66CC3" w:rsidRPr="004A5BF7" w:rsidRDefault="00B66CC3" w:rsidP="00B66CC3">
            <w:pPr>
              <w:spacing w:before="0" w:after="0"/>
              <w:jc w:val="center"/>
              <w:rPr>
                <w:rFonts w:cs="Arial"/>
                <w:sz w:val="18"/>
                <w:szCs w:val="18"/>
              </w:rPr>
            </w:pPr>
            <w:r w:rsidRPr="004A5BF7">
              <w:rPr>
                <w:rFonts w:cs="Arial"/>
                <w:sz w:val="18"/>
                <w:szCs w:val="18"/>
              </w:rPr>
              <w:t>350</w:t>
            </w:r>
          </w:p>
        </w:tc>
        <w:tc>
          <w:tcPr>
            <w:tcW w:w="283" w:type="pct"/>
            <w:tcBorders>
              <w:top w:val="nil"/>
              <w:left w:val="nil"/>
              <w:bottom w:val="nil"/>
              <w:right w:val="nil"/>
            </w:tcBorders>
            <w:shd w:val="clear" w:color="auto" w:fill="auto"/>
            <w:noWrap/>
            <w:vAlign w:val="center"/>
            <w:hideMark/>
          </w:tcPr>
          <w:p w14:paraId="5A4E6759" w14:textId="77777777" w:rsidR="00B66CC3" w:rsidRPr="004A5BF7" w:rsidRDefault="00B66CC3" w:rsidP="00B66CC3">
            <w:pPr>
              <w:spacing w:before="0" w:after="0"/>
              <w:jc w:val="center"/>
              <w:rPr>
                <w:rFonts w:cs="Arial"/>
                <w:sz w:val="18"/>
                <w:szCs w:val="18"/>
              </w:rPr>
            </w:pPr>
            <w:r w:rsidRPr="004A5BF7">
              <w:rPr>
                <w:rFonts w:cs="Arial"/>
                <w:sz w:val="18"/>
                <w:szCs w:val="18"/>
              </w:rPr>
              <w:t>828</w:t>
            </w:r>
          </w:p>
        </w:tc>
        <w:tc>
          <w:tcPr>
            <w:tcW w:w="283" w:type="pct"/>
            <w:tcBorders>
              <w:top w:val="nil"/>
              <w:left w:val="nil"/>
              <w:bottom w:val="nil"/>
              <w:right w:val="nil"/>
            </w:tcBorders>
            <w:shd w:val="clear" w:color="auto" w:fill="auto"/>
            <w:noWrap/>
            <w:vAlign w:val="center"/>
            <w:hideMark/>
          </w:tcPr>
          <w:p w14:paraId="0CDFA61D" w14:textId="77777777" w:rsidR="00B66CC3" w:rsidRPr="004A5BF7" w:rsidRDefault="00B66CC3" w:rsidP="00B66CC3">
            <w:pPr>
              <w:spacing w:before="0" w:after="0"/>
              <w:jc w:val="center"/>
              <w:rPr>
                <w:rFonts w:cs="Arial"/>
                <w:sz w:val="18"/>
                <w:szCs w:val="18"/>
              </w:rPr>
            </w:pPr>
            <w:r w:rsidRPr="004A5BF7">
              <w:rPr>
                <w:rFonts w:cs="Arial"/>
                <w:sz w:val="18"/>
                <w:szCs w:val="18"/>
              </w:rPr>
              <w:t>555</w:t>
            </w:r>
          </w:p>
        </w:tc>
        <w:tc>
          <w:tcPr>
            <w:tcW w:w="283" w:type="pct"/>
            <w:tcBorders>
              <w:top w:val="nil"/>
              <w:left w:val="nil"/>
              <w:bottom w:val="nil"/>
              <w:right w:val="nil"/>
            </w:tcBorders>
            <w:shd w:val="clear" w:color="auto" w:fill="auto"/>
            <w:noWrap/>
            <w:vAlign w:val="center"/>
            <w:hideMark/>
          </w:tcPr>
          <w:p w14:paraId="7AF465C5" w14:textId="77777777" w:rsidR="00B66CC3" w:rsidRPr="004A5BF7" w:rsidRDefault="00B66CC3" w:rsidP="00B66CC3">
            <w:pPr>
              <w:spacing w:before="0" w:after="0"/>
              <w:jc w:val="center"/>
              <w:rPr>
                <w:rFonts w:cs="Arial"/>
                <w:sz w:val="18"/>
                <w:szCs w:val="18"/>
              </w:rPr>
            </w:pPr>
            <w:r w:rsidRPr="004A5BF7">
              <w:rPr>
                <w:rFonts w:cs="Arial"/>
                <w:sz w:val="18"/>
                <w:szCs w:val="18"/>
              </w:rPr>
              <w:t>926</w:t>
            </w:r>
          </w:p>
        </w:tc>
        <w:tc>
          <w:tcPr>
            <w:tcW w:w="285" w:type="pct"/>
            <w:tcBorders>
              <w:top w:val="nil"/>
              <w:left w:val="nil"/>
              <w:bottom w:val="nil"/>
              <w:right w:val="nil"/>
            </w:tcBorders>
            <w:shd w:val="clear" w:color="auto" w:fill="auto"/>
            <w:noWrap/>
            <w:vAlign w:val="center"/>
            <w:hideMark/>
          </w:tcPr>
          <w:p w14:paraId="0CF14276" w14:textId="77777777" w:rsidR="00B66CC3" w:rsidRPr="004A5BF7" w:rsidRDefault="00B66CC3" w:rsidP="00B66CC3">
            <w:pPr>
              <w:spacing w:before="0" w:after="0"/>
              <w:jc w:val="center"/>
              <w:rPr>
                <w:rFonts w:cs="Arial"/>
                <w:sz w:val="18"/>
                <w:szCs w:val="18"/>
              </w:rPr>
            </w:pPr>
            <w:r w:rsidRPr="004A5BF7">
              <w:rPr>
                <w:rFonts w:cs="Arial"/>
                <w:sz w:val="18"/>
                <w:szCs w:val="18"/>
              </w:rPr>
              <w:t>990</w:t>
            </w:r>
          </w:p>
        </w:tc>
        <w:tc>
          <w:tcPr>
            <w:tcW w:w="285" w:type="pct"/>
            <w:tcBorders>
              <w:top w:val="nil"/>
              <w:left w:val="nil"/>
              <w:bottom w:val="nil"/>
              <w:right w:val="nil"/>
            </w:tcBorders>
            <w:shd w:val="clear" w:color="auto" w:fill="auto"/>
            <w:noWrap/>
            <w:vAlign w:val="center"/>
            <w:hideMark/>
          </w:tcPr>
          <w:p w14:paraId="1E8F6124" w14:textId="77777777" w:rsidR="00B66CC3" w:rsidRPr="004A5BF7" w:rsidRDefault="00B66CC3" w:rsidP="00B66CC3">
            <w:pPr>
              <w:spacing w:before="0" w:after="0"/>
              <w:jc w:val="center"/>
              <w:rPr>
                <w:rFonts w:cs="Arial"/>
                <w:sz w:val="18"/>
                <w:szCs w:val="18"/>
              </w:rPr>
            </w:pPr>
            <w:r w:rsidRPr="004A5BF7">
              <w:rPr>
                <w:rFonts w:cs="Arial"/>
                <w:sz w:val="18"/>
                <w:szCs w:val="18"/>
              </w:rPr>
              <w:t>759</w:t>
            </w:r>
          </w:p>
        </w:tc>
        <w:tc>
          <w:tcPr>
            <w:tcW w:w="285" w:type="pct"/>
            <w:tcBorders>
              <w:top w:val="nil"/>
              <w:left w:val="nil"/>
              <w:bottom w:val="nil"/>
              <w:right w:val="nil"/>
            </w:tcBorders>
            <w:shd w:val="clear" w:color="auto" w:fill="auto"/>
            <w:noWrap/>
            <w:vAlign w:val="center"/>
            <w:hideMark/>
          </w:tcPr>
          <w:p w14:paraId="7D8E655C" w14:textId="77777777" w:rsidR="00B66CC3" w:rsidRPr="004A5BF7" w:rsidRDefault="00B66CC3" w:rsidP="00B66CC3">
            <w:pPr>
              <w:spacing w:before="0" w:after="0"/>
              <w:jc w:val="center"/>
              <w:rPr>
                <w:rFonts w:cs="Arial"/>
                <w:sz w:val="18"/>
                <w:szCs w:val="18"/>
              </w:rPr>
            </w:pPr>
            <w:r w:rsidRPr="004A5BF7">
              <w:rPr>
                <w:rFonts w:cs="Arial"/>
                <w:sz w:val="18"/>
                <w:szCs w:val="18"/>
              </w:rPr>
              <w:t>867</w:t>
            </w:r>
          </w:p>
        </w:tc>
        <w:tc>
          <w:tcPr>
            <w:tcW w:w="285" w:type="pct"/>
            <w:tcBorders>
              <w:top w:val="nil"/>
              <w:left w:val="nil"/>
              <w:bottom w:val="nil"/>
              <w:right w:val="nil"/>
            </w:tcBorders>
            <w:shd w:val="clear" w:color="auto" w:fill="auto"/>
            <w:noWrap/>
            <w:vAlign w:val="center"/>
            <w:hideMark/>
          </w:tcPr>
          <w:p w14:paraId="5AD37EF8" w14:textId="77777777" w:rsidR="00B66CC3" w:rsidRPr="004A5BF7" w:rsidRDefault="00B66CC3" w:rsidP="00B66CC3">
            <w:pPr>
              <w:spacing w:before="0" w:after="0"/>
              <w:jc w:val="center"/>
              <w:rPr>
                <w:rFonts w:cs="Arial"/>
                <w:sz w:val="18"/>
                <w:szCs w:val="18"/>
              </w:rPr>
            </w:pPr>
            <w:r w:rsidRPr="004A5BF7">
              <w:rPr>
                <w:rFonts w:cs="Arial"/>
                <w:sz w:val="18"/>
                <w:szCs w:val="18"/>
              </w:rPr>
              <w:t>690</w:t>
            </w:r>
          </w:p>
        </w:tc>
        <w:tc>
          <w:tcPr>
            <w:tcW w:w="325" w:type="pct"/>
            <w:tcBorders>
              <w:top w:val="nil"/>
              <w:left w:val="nil"/>
              <w:bottom w:val="nil"/>
              <w:right w:val="nil"/>
            </w:tcBorders>
            <w:shd w:val="clear" w:color="auto" w:fill="auto"/>
            <w:noWrap/>
            <w:vAlign w:val="center"/>
            <w:hideMark/>
          </w:tcPr>
          <w:p w14:paraId="7EBAD65E" w14:textId="77777777" w:rsidR="00B66CC3" w:rsidRPr="004A5BF7" w:rsidRDefault="00B66CC3" w:rsidP="00B66CC3">
            <w:pPr>
              <w:spacing w:before="0" w:after="0"/>
              <w:jc w:val="center"/>
              <w:rPr>
                <w:rFonts w:cs="Arial"/>
                <w:sz w:val="18"/>
                <w:szCs w:val="18"/>
              </w:rPr>
            </w:pPr>
            <w:r w:rsidRPr="004A5BF7">
              <w:rPr>
                <w:rFonts w:cs="Arial"/>
                <w:sz w:val="18"/>
                <w:szCs w:val="18"/>
              </w:rPr>
              <w:t>1,489</w:t>
            </w:r>
          </w:p>
        </w:tc>
        <w:tc>
          <w:tcPr>
            <w:tcW w:w="285" w:type="pct"/>
            <w:tcBorders>
              <w:top w:val="nil"/>
              <w:left w:val="nil"/>
              <w:bottom w:val="nil"/>
              <w:right w:val="nil"/>
            </w:tcBorders>
            <w:shd w:val="clear" w:color="auto" w:fill="auto"/>
            <w:noWrap/>
            <w:vAlign w:val="center"/>
            <w:hideMark/>
          </w:tcPr>
          <w:p w14:paraId="60BED207" w14:textId="77777777" w:rsidR="00B66CC3" w:rsidRPr="004A5BF7" w:rsidRDefault="00B66CC3" w:rsidP="00B66CC3">
            <w:pPr>
              <w:spacing w:before="0" w:after="0"/>
              <w:jc w:val="center"/>
              <w:rPr>
                <w:rFonts w:cs="Arial"/>
                <w:sz w:val="18"/>
                <w:szCs w:val="18"/>
              </w:rPr>
            </w:pPr>
            <w:r w:rsidRPr="004A5BF7">
              <w:rPr>
                <w:rFonts w:cs="Arial"/>
                <w:sz w:val="18"/>
                <w:szCs w:val="18"/>
              </w:rPr>
              <w:t>910</w:t>
            </w:r>
          </w:p>
        </w:tc>
        <w:tc>
          <w:tcPr>
            <w:tcW w:w="285" w:type="pct"/>
            <w:tcBorders>
              <w:top w:val="nil"/>
              <w:left w:val="nil"/>
              <w:bottom w:val="nil"/>
              <w:right w:val="nil"/>
            </w:tcBorders>
            <w:shd w:val="clear" w:color="auto" w:fill="auto"/>
            <w:noWrap/>
            <w:vAlign w:val="center"/>
            <w:hideMark/>
          </w:tcPr>
          <w:p w14:paraId="138C3661" w14:textId="77777777" w:rsidR="00B66CC3" w:rsidRPr="004A5BF7" w:rsidRDefault="00B66CC3" w:rsidP="00B66CC3">
            <w:pPr>
              <w:spacing w:before="0" w:after="0"/>
              <w:jc w:val="center"/>
              <w:rPr>
                <w:rFonts w:cs="Arial"/>
                <w:sz w:val="18"/>
                <w:szCs w:val="18"/>
              </w:rPr>
            </w:pPr>
            <w:r w:rsidRPr="004A5BF7">
              <w:rPr>
                <w:rFonts w:cs="Arial"/>
                <w:sz w:val="18"/>
                <w:szCs w:val="18"/>
              </w:rPr>
              <w:t>716</w:t>
            </w:r>
          </w:p>
        </w:tc>
        <w:tc>
          <w:tcPr>
            <w:tcW w:w="283" w:type="pct"/>
            <w:tcBorders>
              <w:top w:val="nil"/>
              <w:left w:val="nil"/>
              <w:bottom w:val="nil"/>
              <w:right w:val="nil"/>
            </w:tcBorders>
            <w:shd w:val="clear" w:color="auto" w:fill="auto"/>
            <w:noWrap/>
            <w:vAlign w:val="center"/>
            <w:hideMark/>
          </w:tcPr>
          <w:p w14:paraId="050EE6EE" w14:textId="77777777" w:rsidR="00B66CC3" w:rsidRPr="004A5BF7" w:rsidRDefault="00B66CC3" w:rsidP="00B66CC3">
            <w:pPr>
              <w:spacing w:before="0" w:after="0"/>
              <w:jc w:val="center"/>
              <w:rPr>
                <w:rFonts w:cs="Arial"/>
                <w:sz w:val="18"/>
                <w:szCs w:val="18"/>
              </w:rPr>
            </w:pPr>
            <w:r w:rsidRPr="004A5BF7">
              <w:rPr>
                <w:rFonts w:cs="Arial"/>
                <w:sz w:val="18"/>
                <w:szCs w:val="18"/>
              </w:rPr>
              <w:t>906</w:t>
            </w:r>
          </w:p>
        </w:tc>
        <w:tc>
          <w:tcPr>
            <w:tcW w:w="243" w:type="pct"/>
            <w:tcBorders>
              <w:top w:val="nil"/>
              <w:left w:val="nil"/>
              <w:bottom w:val="nil"/>
              <w:right w:val="nil"/>
            </w:tcBorders>
            <w:shd w:val="clear" w:color="auto" w:fill="auto"/>
            <w:noWrap/>
            <w:vAlign w:val="center"/>
            <w:hideMark/>
          </w:tcPr>
          <w:p w14:paraId="27BDFB13" w14:textId="77777777" w:rsidR="00B66CC3" w:rsidRPr="004A5BF7" w:rsidRDefault="00B66CC3" w:rsidP="00B66CC3">
            <w:pPr>
              <w:spacing w:before="0" w:after="0"/>
              <w:jc w:val="center"/>
              <w:rPr>
                <w:rFonts w:cs="Arial"/>
                <w:sz w:val="18"/>
                <w:szCs w:val="18"/>
              </w:rPr>
            </w:pPr>
            <w:r w:rsidRPr="004A5BF7">
              <w:rPr>
                <w:rFonts w:cs="Arial"/>
                <w:sz w:val="18"/>
                <w:szCs w:val="18"/>
              </w:rPr>
              <w:t>443</w:t>
            </w:r>
          </w:p>
        </w:tc>
      </w:tr>
      <w:tr w:rsidR="00B66CC3" w:rsidRPr="00E9409C" w14:paraId="3833B0D8" w14:textId="77777777" w:rsidTr="00E662D3">
        <w:trPr>
          <w:trHeight w:val="454"/>
          <w:tblHeader/>
        </w:trPr>
        <w:tc>
          <w:tcPr>
            <w:tcW w:w="602" w:type="pct"/>
            <w:tcBorders>
              <w:top w:val="nil"/>
              <w:left w:val="nil"/>
              <w:bottom w:val="nil"/>
              <w:right w:val="nil"/>
            </w:tcBorders>
            <w:shd w:val="clear" w:color="auto" w:fill="auto"/>
            <w:noWrap/>
            <w:vAlign w:val="center"/>
            <w:hideMark/>
          </w:tcPr>
          <w:p w14:paraId="7CC28A39" w14:textId="77777777" w:rsidR="00B66CC3" w:rsidRPr="004A5BF7" w:rsidRDefault="00B66CC3" w:rsidP="004A5BF7">
            <w:pPr>
              <w:spacing w:before="0" w:after="0"/>
              <w:jc w:val="left"/>
              <w:rPr>
                <w:rFonts w:cs="Arial"/>
                <w:sz w:val="18"/>
                <w:szCs w:val="18"/>
              </w:rPr>
            </w:pPr>
            <w:r w:rsidRPr="004A5BF7">
              <w:rPr>
                <w:rFonts w:cs="Arial"/>
                <w:sz w:val="18"/>
                <w:szCs w:val="18"/>
              </w:rPr>
              <w:t>Herbert</w:t>
            </w:r>
          </w:p>
        </w:tc>
        <w:tc>
          <w:tcPr>
            <w:tcW w:w="706" w:type="pct"/>
            <w:tcBorders>
              <w:top w:val="nil"/>
              <w:left w:val="nil"/>
              <w:bottom w:val="nil"/>
              <w:right w:val="nil"/>
            </w:tcBorders>
            <w:shd w:val="clear" w:color="auto" w:fill="auto"/>
            <w:noWrap/>
            <w:vAlign w:val="center"/>
            <w:hideMark/>
          </w:tcPr>
          <w:p w14:paraId="4E3DA03F"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282" w:type="pct"/>
            <w:tcBorders>
              <w:top w:val="nil"/>
              <w:left w:val="nil"/>
              <w:bottom w:val="nil"/>
              <w:right w:val="nil"/>
            </w:tcBorders>
            <w:shd w:val="clear" w:color="auto" w:fill="auto"/>
            <w:noWrap/>
            <w:vAlign w:val="center"/>
            <w:hideMark/>
          </w:tcPr>
          <w:p w14:paraId="2D396E53" w14:textId="77777777" w:rsidR="00B66CC3" w:rsidRPr="004A5BF7" w:rsidRDefault="00B66CC3" w:rsidP="00B66CC3">
            <w:pPr>
              <w:spacing w:before="0" w:after="0"/>
              <w:jc w:val="center"/>
              <w:rPr>
                <w:rFonts w:cs="Arial"/>
                <w:sz w:val="18"/>
                <w:szCs w:val="18"/>
              </w:rPr>
            </w:pPr>
            <w:r w:rsidRPr="004A5BF7">
              <w:rPr>
                <w:rFonts w:cs="Arial"/>
                <w:sz w:val="18"/>
                <w:szCs w:val="18"/>
              </w:rPr>
              <w:t>195</w:t>
            </w:r>
          </w:p>
        </w:tc>
        <w:tc>
          <w:tcPr>
            <w:tcW w:w="283" w:type="pct"/>
            <w:tcBorders>
              <w:top w:val="nil"/>
              <w:left w:val="nil"/>
              <w:bottom w:val="nil"/>
              <w:right w:val="nil"/>
            </w:tcBorders>
            <w:shd w:val="clear" w:color="auto" w:fill="auto"/>
            <w:noWrap/>
            <w:vAlign w:val="center"/>
            <w:hideMark/>
          </w:tcPr>
          <w:p w14:paraId="0F4A2D0A" w14:textId="77777777" w:rsidR="00B66CC3" w:rsidRPr="004A5BF7" w:rsidRDefault="00B66CC3" w:rsidP="00B66CC3">
            <w:pPr>
              <w:spacing w:before="0" w:after="0"/>
              <w:jc w:val="center"/>
              <w:rPr>
                <w:rFonts w:cs="Arial"/>
                <w:sz w:val="18"/>
                <w:szCs w:val="18"/>
              </w:rPr>
            </w:pPr>
            <w:r w:rsidRPr="004A5BF7">
              <w:rPr>
                <w:rFonts w:cs="Arial"/>
                <w:sz w:val="18"/>
                <w:szCs w:val="18"/>
              </w:rPr>
              <w:t>843</w:t>
            </w:r>
          </w:p>
        </w:tc>
        <w:tc>
          <w:tcPr>
            <w:tcW w:w="283" w:type="pct"/>
            <w:tcBorders>
              <w:top w:val="nil"/>
              <w:left w:val="nil"/>
              <w:bottom w:val="nil"/>
              <w:right w:val="nil"/>
            </w:tcBorders>
            <w:shd w:val="clear" w:color="auto" w:fill="auto"/>
            <w:noWrap/>
            <w:vAlign w:val="center"/>
            <w:hideMark/>
          </w:tcPr>
          <w:p w14:paraId="2BAE85AB" w14:textId="77777777" w:rsidR="00B66CC3" w:rsidRPr="004A5BF7" w:rsidRDefault="00B66CC3" w:rsidP="00B66CC3">
            <w:pPr>
              <w:spacing w:before="0" w:after="0"/>
              <w:jc w:val="center"/>
              <w:rPr>
                <w:rFonts w:cs="Arial"/>
                <w:sz w:val="18"/>
                <w:szCs w:val="18"/>
              </w:rPr>
            </w:pPr>
            <w:r w:rsidRPr="004A5BF7">
              <w:rPr>
                <w:rFonts w:cs="Arial"/>
                <w:sz w:val="18"/>
                <w:szCs w:val="18"/>
              </w:rPr>
              <w:t>340</w:t>
            </w:r>
          </w:p>
        </w:tc>
        <w:tc>
          <w:tcPr>
            <w:tcW w:w="283" w:type="pct"/>
            <w:tcBorders>
              <w:top w:val="nil"/>
              <w:left w:val="nil"/>
              <w:bottom w:val="nil"/>
              <w:right w:val="nil"/>
            </w:tcBorders>
            <w:shd w:val="clear" w:color="auto" w:fill="auto"/>
            <w:noWrap/>
            <w:vAlign w:val="center"/>
            <w:hideMark/>
          </w:tcPr>
          <w:p w14:paraId="614AAAF7" w14:textId="77777777" w:rsidR="00B66CC3" w:rsidRPr="004A5BF7" w:rsidRDefault="00B66CC3" w:rsidP="00B66CC3">
            <w:pPr>
              <w:spacing w:before="0" w:after="0"/>
              <w:jc w:val="center"/>
              <w:rPr>
                <w:rFonts w:cs="Arial"/>
                <w:sz w:val="18"/>
                <w:szCs w:val="18"/>
              </w:rPr>
            </w:pPr>
            <w:r w:rsidRPr="004A5BF7">
              <w:rPr>
                <w:rFonts w:cs="Arial"/>
                <w:sz w:val="18"/>
                <w:szCs w:val="18"/>
              </w:rPr>
              <w:t>1,003</w:t>
            </w:r>
          </w:p>
        </w:tc>
        <w:tc>
          <w:tcPr>
            <w:tcW w:w="285" w:type="pct"/>
            <w:tcBorders>
              <w:top w:val="nil"/>
              <w:left w:val="nil"/>
              <w:bottom w:val="nil"/>
              <w:right w:val="nil"/>
            </w:tcBorders>
            <w:shd w:val="clear" w:color="auto" w:fill="auto"/>
            <w:noWrap/>
            <w:vAlign w:val="center"/>
            <w:hideMark/>
          </w:tcPr>
          <w:p w14:paraId="088DA844" w14:textId="77777777" w:rsidR="00B66CC3" w:rsidRPr="004A5BF7" w:rsidRDefault="00B66CC3" w:rsidP="00B66CC3">
            <w:pPr>
              <w:spacing w:before="0" w:after="0"/>
              <w:jc w:val="center"/>
              <w:rPr>
                <w:rFonts w:cs="Arial"/>
                <w:sz w:val="18"/>
                <w:szCs w:val="18"/>
              </w:rPr>
            </w:pPr>
            <w:r w:rsidRPr="004A5BF7">
              <w:rPr>
                <w:rFonts w:cs="Arial"/>
                <w:sz w:val="18"/>
                <w:szCs w:val="18"/>
              </w:rPr>
              <w:t>1,000</w:t>
            </w:r>
          </w:p>
        </w:tc>
        <w:tc>
          <w:tcPr>
            <w:tcW w:w="285" w:type="pct"/>
            <w:tcBorders>
              <w:top w:val="nil"/>
              <w:left w:val="nil"/>
              <w:bottom w:val="nil"/>
              <w:right w:val="nil"/>
            </w:tcBorders>
            <w:shd w:val="clear" w:color="auto" w:fill="auto"/>
            <w:noWrap/>
            <w:vAlign w:val="center"/>
            <w:hideMark/>
          </w:tcPr>
          <w:p w14:paraId="3D7CE6B6" w14:textId="77777777" w:rsidR="00B66CC3" w:rsidRPr="004A5BF7" w:rsidRDefault="00B66CC3" w:rsidP="00B66CC3">
            <w:pPr>
              <w:spacing w:before="0" w:after="0"/>
              <w:jc w:val="center"/>
              <w:rPr>
                <w:rFonts w:cs="Arial"/>
                <w:sz w:val="18"/>
                <w:szCs w:val="18"/>
              </w:rPr>
            </w:pPr>
            <w:r w:rsidRPr="004A5BF7">
              <w:rPr>
                <w:rFonts w:cs="Arial"/>
                <w:sz w:val="18"/>
                <w:szCs w:val="18"/>
              </w:rPr>
              <w:t>803</w:t>
            </w:r>
          </w:p>
        </w:tc>
        <w:tc>
          <w:tcPr>
            <w:tcW w:w="285" w:type="pct"/>
            <w:tcBorders>
              <w:top w:val="nil"/>
              <w:left w:val="nil"/>
              <w:bottom w:val="nil"/>
              <w:right w:val="nil"/>
            </w:tcBorders>
            <w:shd w:val="clear" w:color="auto" w:fill="auto"/>
            <w:noWrap/>
            <w:vAlign w:val="center"/>
            <w:hideMark/>
          </w:tcPr>
          <w:p w14:paraId="7BAB9BD2" w14:textId="77777777" w:rsidR="00B66CC3" w:rsidRPr="004A5BF7" w:rsidRDefault="00B66CC3" w:rsidP="00B66CC3">
            <w:pPr>
              <w:spacing w:before="0" w:after="0"/>
              <w:jc w:val="center"/>
              <w:rPr>
                <w:rFonts w:cs="Arial"/>
                <w:sz w:val="18"/>
                <w:szCs w:val="18"/>
              </w:rPr>
            </w:pPr>
            <w:r w:rsidRPr="004A5BF7">
              <w:rPr>
                <w:rFonts w:cs="Arial"/>
                <w:sz w:val="18"/>
                <w:szCs w:val="18"/>
              </w:rPr>
              <w:t>2,352</w:t>
            </w:r>
          </w:p>
        </w:tc>
        <w:tc>
          <w:tcPr>
            <w:tcW w:w="285" w:type="pct"/>
            <w:tcBorders>
              <w:top w:val="nil"/>
              <w:left w:val="nil"/>
              <w:bottom w:val="nil"/>
              <w:right w:val="nil"/>
            </w:tcBorders>
            <w:shd w:val="clear" w:color="auto" w:fill="auto"/>
            <w:noWrap/>
            <w:vAlign w:val="center"/>
            <w:hideMark/>
          </w:tcPr>
          <w:p w14:paraId="0185C0FA" w14:textId="77777777" w:rsidR="00B66CC3" w:rsidRPr="004A5BF7" w:rsidRDefault="00B66CC3" w:rsidP="00B66CC3">
            <w:pPr>
              <w:spacing w:before="0" w:after="0"/>
              <w:jc w:val="center"/>
              <w:rPr>
                <w:rFonts w:cs="Arial"/>
                <w:sz w:val="18"/>
                <w:szCs w:val="18"/>
              </w:rPr>
            </w:pPr>
            <w:r w:rsidRPr="004A5BF7">
              <w:rPr>
                <w:rFonts w:cs="Arial"/>
                <w:sz w:val="18"/>
                <w:szCs w:val="18"/>
              </w:rPr>
              <w:t>742</w:t>
            </w:r>
          </w:p>
        </w:tc>
        <w:tc>
          <w:tcPr>
            <w:tcW w:w="325" w:type="pct"/>
            <w:tcBorders>
              <w:top w:val="nil"/>
              <w:left w:val="nil"/>
              <w:bottom w:val="nil"/>
              <w:right w:val="nil"/>
            </w:tcBorders>
            <w:shd w:val="clear" w:color="auto" w:fill="auto"/>
            <w:noWrap/>
            <w:vAlign w:val="center"/>
            <w:hideMark/>
          </w:tcPr>
          <w:p w14:paraId="0348E9B3" w14:textId="77777777" w:rsidR="00B66CC3" w:rsidRPr="004A5BF7" w:rsidRDefault="00B66CC3" w:rsidP="00B66CC3">
            <w:pPr>
              <w:spacing w:before="0" w:after="0"/>
              <w:jc w:val="center"/>
              <w:rPr>
                <w:rFonts w:cs="Arial"/>
                <w:sz w:val="18"/>
                <w:szCs w:val="18"/>
              </w:rPr>
            </w:pPr>
            <w:r w:rsidRPr="004A5BF7">
              <w:rPr>
                <w:rFonts w:cs="Arial"/>
                <w:sz w:val="18"/>
                <w:szCs w:val="18"/>
              </w:rPr>
              <w:t>2,916</w:t>
            </w:r>
          </w:p>
        </w:tc>
        <w:tc>
          <w:tcPr>
            <w:tcW w:w="285" w:type="pct"/>
            <w:tcBorders>
              <w:top w:val="nil"/>
              <w:left w:val="nil"/>
              <w:bottom w:val="nil"/>
              <w:right w:val="nil"/>
            </w:tcBorders>
            <w:shd w:val="clear" w:color="auto" w:fill="auto"/>
            <w:noWrap/>
            <w:vAlign w:val="center"/>
            <w:hideMark/>
          </w:tcPr>
          <w:p w14:paraId="1F3A3852" w14:textId="77777777" w:rsidR="00B66CC3" w:rsidRPr="004A5BF7" w:rsidRDefault="00B66CC3" w:rsidP="00B66CC3">
            <w:pPr>
              <w:spacing w:before="0" w:after="0"/>
              <w:jc w:val="center"/>
              <w:rPr>
                <w:rFonts w:cs="Arial"/>
                <w:sz w:val="18"/>
                <w:szCs w:val="18"/>
              </w:rPr>
            </w:pPr>
            <w:r w:rsidRPr="004A5BF7">
              <w:rPr>
                <w:rFonts w:cs="Arial"/>
                <w:sz w:val="18"/>
                <w:szCs w:val="18"/>
              </w:rPr>
              <w:t>1,062</w:t>
            </w:r>
          </w:p>
        </w:tc>
        <w:tc>
          <w:tcPr>
            <w:tcW w:w="285" w:type="pct"/>
            <w:tcBorders>
              <w:top w:val="nil"/>
              <w:left w:val="nil"/>
              <w:bottom w:val="nil"/>
              <w:right w:val="nil"/>
            </w:tcBorders>
            <w:shd w:val="clear" w:color="auto" w:fill="auto"/>
            <w:noWrap/>
            <w:vAlign w:val="center"/>
            <w:hideMark/>
          </w:tcPr>
          <w:p w14:paraId="178F5AEC" w14:textId="77777777" w:rsidR="00B66CC3" w:rsidRPr="004A5BF7" w:rsidRDefault="00B66CC3" w:rsidP="00B66CC3">
            <w:pPr>
              <w:spacing w:before="0" w:after="0"/>
              <w:jc w:val="center"/>
              <w:rPr>
                <w:rFonts w:cs="Arial"/>
                <w:sz w:val="18"/>
                <w:szCs w:val="18"/>
              </w:rPr>
            </w:pPr>
            <w:r w:rsidRPr="004A5BF7">
              <w:rPr>
                <w:rFonts w:cs="Arial"/>
                <w:sz w:val="18"/>
                <w:szCs w:val="18"/>
              </w:rPr>
              <w:t>740</w:t>
            </w:r>
          </w:p>
        </w:tc>
        <w:tc>
          <w:tcPr>
            <w:tcW w:w="283" w:type="pct"/>
            <w:tcBorders>
              <w:top w:val="nil"/>
              <w:left w:val="nil"/>
              <w:bottom w:val="nil"/>
              <w:right w:val="nil"/>
            </w:tcBorders>
            <w:shd w:val="clear" w:color="auto" w:fill="auto"/>
            <w:noWrap/>
            <w:vAlign w:val="center"/>
            <w:hideMark/>
          </w:tcPr>
          <w:p w14:paraId="719FD29B" w14:textId="77777777" w:rsidR="00B66CC3" w:rsidRPr="004A5BF7" w:rsidRDefault="00B66CC3" w:rsidP="00B66CC3">
            <w:pPr>
              <w:spacing w:before="0" w:after="0"/>
              <w:jc w:val="center"/>
              <w:rPr>
                <w:rFonts w:cs="Arial"/>
                <w:sz w:val="18"/>
                <w:szCs w:val="18"/>
              </w:rPr>
            </w:pPr>
            <w:r w:rsidRPr="004A5BF7">
              <w:rPr>
                <w:rFonts w:cs="Arial"/>
                <w:sz w:val="18"/>
                <w:szCs w:val="18"/>
              </w:rPr>
              <w:t>995</w:t>
            </w:r>
          </w:p>
        </w:tc>
        <w:tc>
          <w:tcPr>
            <w:tcW w:w="243" w:type="pct"/>
            <w:tcBorders>
              <w:top w:val="nil"/>
              <w:left w:val="nil"/>
              <w:bottom w:val="nil"/>
              <w:right w:val="nil"/>
            </w:tcBorders>
            <w:shd w:val="clear" w:color="auto" w:fill="auto"/>
            <w:noWrap/>
            <w:vAlign w:val="center"/>
            <w:hideMark/>
          </w:tcPr>
          <w:p w14:paraId="1B5F75B7" w14:textId="77777777" w:rsidR="00B66CC3" w:rsidRPr="004A5BF7" w:rsidRDefault="00B66CC3" w:rsidP="00B66CC3">
            <w:pPr>
              <w:spacing w:before="0" w:after="0"/>
              <w:jc w:val="center"/>
              <w:rPr>
                <w:rFonts w:cs="Arial"/>
                <w:sz w:val="18"/>
                <w:szCs w:val="18"/>
              </w:rPr>
            </w:pPr>
            <w:r w:rsidRPr="004A5BF7">
              <w:rPr>
                <w:rFonts w:cs="Arial"/>
                <w:sz w:val="18"/>
                <w:szCs w:val="18"/>
              </w:rPr>
              <w:t>248</w:t>
            </w:r>
          </w:p>
        </w:tc>
      </w:tr>
      <w:tr w:rsidR="00B66CC3" w:rsidRPr="00E9409C" w14:paraId="6668EC1F" w14:textId="77777777" w:rsidTr="00E662D3">
        <w:trPr>
          <w:trHeight w:val="454"/>
          <w:tblHeader/>
        </w:trPr>
        <w:tc>
          <w:tcPr>
            <w:tcW w:w="602" w:type="pct"/>
            <w:tcBorders>
              <w:top w:val="nil"/>
              <w:left w:val="nil"/>
              <w:bottom w:val="nil"/>
              <w:right w:val="nil"/>
            </w:tcBorders>
            <w:shd w:val="clear" w:color="auto" w:fill="auto"/>
            <w:noWrap/>
            <w:vAlign w:val="center"/>
            <w:hideMark/>
          </w:tcPr>
          <w:p w14:paraId="32140D43" w14:textId="77777777" w:rsidR="00B66CC3" w:rsidRPr="004A5BF7" w:rsidRDefault="00B66CC3" w:rsidP="004A5BF7">
            <w:pPr>
              <w:spacing w:before="0" w:after="0"/>
              <w:jc w:val="left"/>
              <w:rPr>
                <w:rFonts w:cs="Arial"/>
                <w:sz w:val="18"/>
                <w:szCs w:val="18"/>
              </w:rPr>
            </w:pPr>
            <w:r w:rsidRPr="004A5BF7">
              <w:rPr>
                <w:rFonts w:cs="Arial"/>
                <w:sz w:val="18"/>
                <w:szCs w:val="18"/>
              </w:rPr>
              <w:t>Haughton</w:t>
            </w:r>
          </w:p>
        </w:tc>
        <w:tc>
          <w:tcPr>
            <w:tcW w:w="706" w:type="pct"/>
            <w:tcBorders>
              <w:top w:val="nil"/>
              <w:left w:val="nil"/>
              <w:bottom w:val="nil"/>
              <w:right w:val="nil"/>
            </w:tcBorders>
            <w:shd w:val="clear" w:color="auto" w:fill="auto"/>
            <w:noWrap/>
            <w:vAlign w:val="center"/>
            <w:hideMark/>
          </w:tcPr>
          <w:p w14:paraId="464D7F0F" w14:textId="77777777" w:rsidR="00B66CC3" w:rsidRPr="004A5BF7" w:rsidRDefault="00B66CC3" w:rsidP="004A5BF7">
            <w:pPr>
              <w:spacing w:before="0" w:after="0"/>
              <w:jc w:val="left"/>
              <w:rPr>
                <w:rFonts w:cs="Arial"/>
                <w:sz w:val="18"/>
                <w:szCs w:val="18"/>
              </w:rPr>
            </w:pPr>
            <w:r w:rsidRPr="004A5BF7">
              <w:rPr>
                <w:rFonts w:cs="Arial"/>
                <w:sz w:val="18"/>
                <w:szCs w:val="18"/>
              </w:rPr>
              <w:t>Burdekin</w:t>
            </w:r>
          </w:p>
        </w:tc>
        <w:tc>
          <w:tcPr>
            <w:tcW w:w="282" w:type="pct"/>
            <w:tcBorders>
              <w:top w:val="nil"/>
              <w:left w:val="nil"/>
              <w:bottom w:val="nil"/>
              <w:right w:val="nil"/>
            </w:tcBorders>
            <w:shd w:val="clear" w:color="auto" w:fill="auto"/>
            <w:noWrap/>
            <w:vAlign w:val="center"/>
            <w:hideMark/>
          </w:tcPr>
          <w:p w14:paraId="26103360" w14:textId="77777777" w:rsidR="00B66CC3" w:rsidRPr="004A5BF7" w:rsidRDefault="00B66CC3" w:rsidP="00B66CC3">
            <w:pPr>
              <w:spacing w:before="0" w:after="0"/>
              <w:jc w:val="center"/>
              <w:rPr>
                <w:rFonts w:cs="Arial"/>
                <w:sz w:val="18"/>
                <w:szCs w:val="18"/>
              </w:rPr>
            </w:pPr>
            <w:r w:rsidRPr="004A5BF7">
              <w:rPr>
                <w:rFonts w:cs="Arial"/>
                <w:sz w:val="18"/>
                <w:szCs w:val="18"/>
              </w:rPr>
              <w:t>239</w:t>
            </w:r>
          </w:p>
        </w:tc>
        <w:tc>
          <w:tcPr>
            <w:tcW w:w="283" w:type="pct"/>
            <w:tcBorders>
              <w:top w:val="nil"/>
              <w:left w:val="nil"/>
              <w:bottom w:val="nil"/>
              <w:right w:val="nil"/>
            </w:tcBorders>
            <w:shd w:val="clear" w:color="auto" w:fill="auto"/>
            <w:noWrap/>
            <w:vAlign w:val="center"/>
            <w:hideMark/>
          </w:tcPr>
          <w:p w14:paraId="568FA3F2" w14:textId="77777777" w:rsidR="00B66CC3" w:rsidRPr="004A5BF7" w:rsidRDefault="00B66CC3" w:rsidP="00B66CC3">
            <w:pPr>
              <w:spacing w:before="0" w:after="0"/>
              <w:jc w:val="center"/>
              <w:rPr>
                <w:rFonts w:cs="Arial"/>
                <w:sz w:val="18"/>
                <w:szCs w:val="18"/>
              </w:rPr>
            </w:pPr>
            <w:r w:rsidRPr="004A5BF7">
              <w:rPr>
                <w:rFonts w:cs="Arial"/>
                <w:sz w:val="18"/>
                <w:szCs w:val="18"/>
              </w:rPr>
              <w:t>522</w:t>
            </w:r>
          </w:p>
        </w:tc>
        <w:tc>
          <w:tcPr>
            <w:tcW w:w="283" w:type="pct"/>
            <w:tcBorders>
              <w:top w:val="nil"/>
              <w:left w:val="nil"/>
              <w:bottom w:val="nil"/>
              <w:right w:val="nil"/>
            </w:tcBorders>
            <w:shd w:val="clear" w:color="auto" w:fill="auto"/>
            <w:noWrap/>
            <w:vAlign w:val="center"/>
            <w:hideMark/>
          </w:tcPr>
          <w:p w14:paraId="5F914BFC" w14:textId="77777777" w:rsidR="00B66CC3" w:rsidRPr="004A5BF7" w:rsidRDefault="00B66CC3" w:rsidP="00B66CC3">
            <w:pPr>
              <w:spacing w:before="0" w:after="0"/>
              <w:jc w:val="center"/>
              <w:rPr>
                <w:rFonts w:cs="Arial"/>
                <w:sz w:val="18"/>
                <w:szCs w:val="18"/>
              </w:rPr>
            </w:pPr>
            <w:r w:rsidRPr="004A5BF7">
              <w:rPr>
                <w:rFonts w:cs="Arial"/>
                <w:sz w:val="18"/>
                <w:szCs w:val="18"/>
              </w:rPr>
              <w:t>722</w:t>
            </w:r>
          </w:p>
        </w:tc>
        <w:tc>
          <w:tcPr>
            <w:tcW w:w="283" w:type="pct"/>
            <w:tcBorders>
              <w:top w:val="nil"/>
              <w:left w:val="nil"/>
              <w:bottom w:val="nil"/>
              <w:right w:val="nil"/>
            </w:tcBorders>
            <w:shd w:val="clear" w:color="auto" w:fill="auto"/>
            <w:noWrap/>
            <w:vAlign w:val="center"/>
            <w:hideMark/>
          </w:tcPr>
          <w:p w14:paraId="641CF0EA" w14:textId="77777777" w:rsidR="00B66CC3" w:rsidRPr="004A5BF7" w:rsidRDefault="00B66CC3" w:rsidP="00B66CC3">
            <w:pPr>
              <w:spacing w:before="0" w:after="0"/>
              <w:jc w:val="center"/>
              <w:rPr>
                <w:rFonts w:cs="Arial"/>
                <w:sz w:val="18"/>
                <w:szCs w:val="18"/>
              </w:rPr>
            </w:pPr>
            <w:r w:rsidRPr="004A5BF7">
              <w:rPr>
                <w:rFonts w:cs="Arial"/>
                <w:sz w:val="18"/>
                <w:szCs w:val="18"/>
              </w:rPr>
              <w:t>855</w:t>
            </w:r>
          </w:p>
        </w:tc>
        <w:tc>
          <w:tcPr>
            <w:tcW w:w="285" w:type="pct"/>
            <w:tcBorders>
              <w:top w:val="nil"/>
              <w:left w:val="nil"/>
              <w:bottom w:val="nil"/>
              <w:right w:val="nil"/>
            </w:tcBorders>
            <w:shd w:val="clear" w:color="auto" w:fill="auto"/>
            <w:noWrap/>
            <w:vAlign w:val="center"/>
            <w:hideMark/>
          </w:tcPr>
          <w:p w14:paraId="45533034" w14:textId="77777777" w:rsidR="00B66CC3" w:rsidRPr="004A5BF7" w:rsidRDefault="00B66CC3" w:rsidP="00B66CC3">
            <w:pPr>
              <w:spacing w:before="0" w:after="0"/>
              <w:jc w:val="center"/>
              <w:rPr>
                <w:rFonts w:cs="Arial"/>
                <w:sz w:val="18"/>
                <w:szCs w:val="18"/>
              </w:rPr>
            </w:pPr>
            <w:r w:rsidRPr="004A5BF7">
              <w:rPr>
                <w:rFonts w:cs="Arial"/>
                <w:sz w:val="18"/>
                <w:szCs w:val="18"/>
              </w:rPr>
              <w:t>1,669</w:t>
            </w:r>
          </w:p>
        </w:tc>
        <w:tc>
          <w:tcPr>
            <w:tcW w:w="285" w:type="pct"/>
            <w:tcBorders>
              <w:top w:val="nil"/>
              <w:left w:val="nil"/>
              <w:bottom w:val="nil"/>
              <w:right w:val="nil"/>
            </w:tcBorders>
            <w:shd w:val="clear" w:color="auto" w:fill="auto"/>
            <w:noWrap/>
            <w:vAlign w:val="center"/>
            <w:hideMark/>
          </w:tcPr>
          <w:p w14:paraId="236D03A6" w14:textId="77777777" w:rsidR="00B66CC3" w:rsidRPr="004A5BF7" w:rsidRDefault="00B66CC3" w:rsidP="00B66CC3">
            <w:pPr>
              <w:spacing w:before="0" w:after="0"/>
              <w:jc w:val="center"/>
              <w:rPr>
                <w:rFonts w:cs="Arial"/>
                <w:sz w:val="18"/>
                <w:szCs w:val="18"/>
              </w:rPr>
            </w:pPr>
            <w:r w:rsidRPr="004A5BF7">
              <w:rPr>
                <w:rFonts w:cs="Arial"/>
                <w:sz w:val="18"/>
                <w:szCs w:val="18"/>
              </w:rPr>
              <w:t>2,121</w:t>
            </w:r>
          </w:p>
        </w:tc>
        <w:tc>
          <w:tcPr>
            <w:tcW w:w="285" w:type="pct"/>
            <w:tcBorders>
              <w:top w:val="nil"/>
              <w:left w:val="nil"/>
              <w:bottom w:val="nil"/>
              <w:right w:val="nil"/>
            </w:tcBorders>
            <w:shd w:val="clear" w:color="auto" w:fill="auto"/>
            <w:noWrap/>
            <w:vAlign w:val="center"/>
            <w:hideMark/>
          </w:tcPr>
          <w:p w14:paraId="2831B918" w14:textId="77777777" w:rsidR="00B66CC3" w:rsidRPr="004A5BF7" w:rsidRDefault="00B66CC3" w:rsidP="00B66CC3">
            <w:pPr>
              <w:spacing w:before="0" w:after="0"/>
              <w:jc w:val="center"/>
              <w:rPr>
                <w:rFonts w:cs="Arial"/>
                <w:sz w:val="18"/>
                <w:szCs w:val="18"/>
              </w:rPr>
            </w:pPr>
            <w:r w:rsidRPr="004A5BF7">
              <w:rPr>
                <w:rFonts w:cs="Arial"/>
                <w:sz w:val="18"/>
                <w:szCs w:val="18"/>
              </w:rPr>
              <w:t>3,309</w:t>
            </w:r>
          </w:p>
        </w:tc>
        <w:tc>
          <w:tcPr>
            <w:tcW w:w="285" w:type="pct"/>
            <w:tcBorders>
              <w:top w:val="nil"/>
              <w:left w:val="nil"/>
              <w:bottom w:val="nil"/>
              <w:right w:val="nil"/>
            </w:tcBorders>
            <w:shd w:val="clear" w:color="auto" w:fill="auto"/>
            <w:noWrap/>
            <w:vAlign w:val="center"/>
            <w:hideMark/>
          </w:tcPr>
          <w:p w14:paraId="169693A1" w14:textId="77777777" w:rsidR="00B66CC3" w:rsidRPr="004A5BF7" w:rsidRDefault="00B66CC3" w:rsidP="00B66CC3">
            <w:pPr>
              <w:spacing w:before="0" w:after="0"/>
              <w:jc w:val="center"/>
              <w:rPr>
                <w:rFonts w:cs="Arial"/>
                <w:sz w:val="18"/>
                <w:szCs w:val="18"/>
              </w:rPr>
            </w:pPr>
            <w:r w:rsidRPr="004A5BF7">
              <w:rPr>
                <w:rFonts w:cs="Arial"/>
                <w:sz w:val="18"/>
                <w:szCs w:val="18"/>
              </w:rPr>
              <w:t>1,432</w:t>
            </w:r>
          </w:p>
        </w:tc>
        <w:tc>
          <w:tcPr>
            <w:tcW w:w="325" w:type="pct"/>
            <w:tcBorders>
              <w:top w:val="nil"/>
              <w:left w:val="nil"/>
              <w:bottom w:val="nil"/>
              <w:right w:val="nil"/>
            </w:tcBorders>
            <w:shd w:val="clear" w:color="auto" w:fill="auto"/>
            <w:noWrap/>
            <w:vAlign w:val="center"/>
            <w:hideMark/>
          </w:tcPr>
          <w:p w14:paraId="29AA4D06" w14:textId="77777777" w:rsidR="00B66CC3" w:rsidRPr="004A5BF7" w:rsidRDefault="00B66CC3" w:rsidP="00B66CC3">
            <w:pPr>
              <w:spacing w:before="0" w:after="0"/>
              <w:jc w:val="center"/>
              <w:rPr>
                <w:rFonts w:cs="Arial"/>
                <w:sz w:val="18"/>
                <w:szCs w:val="18"/>
              </w:rPr>
            </w:pPr>
            <w:r w:rsidRPr="004A5BF7">
              <w:rPr>
                <w:rFonts w:cs="Arial"/>
                <w:sz w:val="18"/>
                <w:szCs w:val="18"/>
              </w:rPr>
              <w:t>2,810</w:t>
            </w:r>
          </w:p>
        </w:tc>
        <w:tc>
          <w:tcPr>
            <w:tcW w:w="285" w:type="pct"/>
            <w:tcBorders>
              <w:top w:val="nil"/>
              <w:left w:val="nil"/>
              <w:bottom w:val="nil"/>
              <w:right w:val="nil"/>
            </w:tcBorders>
            <w:shd w:val="clear" w:color="auto" w:fill="auto"/>
            <w:noWrap/>
            <w:vAlign w:val="center"/>
            <w:hideMark/>
          </w:tcPr>
          <w:p w14:paraId="0559A83D" w14:textId="77777777" w:rsidR="00B66CC3" w:rsidRPr="004A5BF7" w:rsidRDefault="00B66CC3" w:rsidP="00B66CC3">
            <w:pPr>
              <w:spacing w:before="0" w:after="0"/>
              <w:jc w:val="center"/>
              <w:rPr>
                <w:rFonts w:cs="Arial"/>
                <w:sz w:val="18"/>
                <w:szCs w:val="18"/>
              </w:rPr>
            </w:pPr>
            <w:r w:rsidRPr="004A5BF7">
              <w:rPr>
                <w:rFonts w:cs="Arial"/>
                <w:sz w:val="18"/>
                <w:szCs w:val="18"/>
              </w:rPr>
              <w:t>2,042</w:t>
            </w:r>
          </w:p>
        </w:tc>
        <w:tc>
          <w:tcPr>
            <w:tcW w:w="285" w:type="pct"/>
            <w:tcBorders>
              <w:top w:val="nil"/>
              <w:left w:val="nil"/>
              <w:bottom w:val="nil"/>
              <w:right w:val="nil"/>
            </w:tcBorders>
            <w:shd w:val="clear" w:color="auto" w:fill="auto"/>
            <w:noWrap/>
            <w:vAlign w:val="center"/>
            <w:hideMark/>
          </w:tcPr>
          <w:p w14:paraId="5B97E375" w14:textId="77777777" w:rsidR="00B66CC3" w:rsidRPr="004A5BF7" w:rsidRDefault="00B66CC3" w:rsidP="00B66CC3">
            <w:pPr>
              <w:spacing w:before="0" w:after="0"/>
              <w:jc w:val="center"/>
              <w:rPr>
                <w:rFonts w:cs="Arial"/>
                <w:sz w:val="18"/>
                <w:szCs w:val="18"/>
              </w:rPr>
            </w:pPr>
            <w:r w:rsidRPr="004A5BF7">
              <w:rPr>
                <w:rFonts w:cs="Arial"/>
                <w:sz w:val="18"/>
                <w:szCs w:val="18"/>
              </w:rPr>
              <w:t>570</w:t>
            </w:r>
          </w:p>
        </w:tc>
        <w:tc>
          <w:tcPr>
            <w:tcW w:w="283" w:type="pct"/>
            <w:tcBorders>
              <w:top w:val="nil"/>
              <w:left w:val="nil"/>
              <w:bottom w:val="nil"/>
              <w:right w:val="nil"/>
            </w:tcBorders>
            <w:shd w:val="clear" w:color="auto" w:fill="auto"/>
            <w:noWrap/>
            <w:vAlign w:val="center"/>
            <w:hideMark/>
          </w:tcPr>
          <w:p w14:paraId="6CFDDB4A" w14:textId="77777777" w:rsidR="00B66CC3" w:rsidRPr="004A5BF7" w:rsidRDefault="00B66CC3" w:rsidP="00B66CC3">
            <w:pPr>
              <w:spacing w:before="0" w:after="0"/>
              <w:jc w:val="center"/>
              <w:rPr>
                <w:rFonts w:cs="Arial"/>
                <w:sz w:val="18"/>
                <w:szCs w:val="18"/>
              </w:rPr>
            </w:pPr>
            <w:r w:rsidRPr="004A5BF7">
              <w:rPr>
                <w:rFonts w:cs="Arial"/>
                <w:sz w:val="18"/>
                <w:szCs w:val="18"/>
              </w:rPr>
              <w:t>640</w:t>
            </w:r>
          </w:p>
        </w:tc>
        <w:tc>
          <w:tcPr>
            <w:tcW w:w="243" w:type="pct"/>
            <w:tcBorders>
              <w:top w:val="nil"/>
              <w:left w:val="nil"/>
              <w:bottom w:val="nil"/>
              <w:right w:val="nil"/>
            </w:tcBorders>
            <w:shd w:val="clear" w:color="auto" w:fill="auto"/>
            <w:noWrap/>
            <w:vAlign w:val="center"/>
            <w:hideMark/>
          </w:tcPr>
          <w:p w14:paraId="61D29347" w14:textId="77777777" w:rsidR="00B66CC3" w:rsidRPr="004A5BF7" w:rsidRDefault="00B66CC3" w:rsidP="00B66CC3">
            <w:pPr>
              <w:spacing w:before="0" w:after="0"/>
              <w:jc w:val="center"/>
              <w:rPr>
                <w:rFonts w:cs="Arial"/>
                <w:sz w:val="18"/>
                <w:szCs w:val="18"/>
              </w:rPr>
            </w:pPr>
            <w:r w:rsidRPr="004A5BF7">
              <w:rPr>
                <w:rFonts w:cs="Arial"/>
                <w:sz w:val="18"/>
                <w:szCs w:val="18"/>
              </w:rPr>
              <w:t>115</w:t>
            </w:r>
          </w:p>
        </w:tc>
      </w:tr>
      <w:tr w:rsidR="00B66CC3" w:rsidRPr="00E9409C" w14:paraId="099A4607" w14:textId="77777777" w:rsidTr="00E662D3">
        <w:trPr>
          <w:trHeight w:val="454"/>
          <w:tblHeader/>
        </w:trPr>
        <w:tc>
          <w:tcPr>
            <w:tcW w:w="602" w:type="pct"/>
            <w:tcBorders>
              <w:top w:val="nil"/>
              <w:left w:val="nil"/>
              <w:bottom w:val="nil"/>
              <w:right w:val="nil"/>
            </w:tcBorders>
            <w:shd w:val="clear" w:color="auto" w:fill="auto"/>
            <w:noWrap/>
            <w:vAlign w:val="center"/>
            <w:hideMark/>
          </w:tcPr>
          <w:p w14:paraId="62375F97" w14:textId="77777777" w:rsidR="00B66CC3" w:rsidRPr="004A5BF7" w:rsidRDefault="00B66CC3" w:rsidP="004A5BF7">
            <w:pPr>
              <w:spacing w:before="0" w:after="0"/>
              <w:jc w:val="left"/>
              <w:rPr>
                <w:rFonts w:cs="Arial"/>
                <w:sz w:val="18"/>
                <w:szCs w:val="18"/>
              </w:rPr>
            </w:pPr>
            <w:r w:rsidRPr="004A5BF7">
              <w:rPr>
                <w:rFonts w:cs="Arial"/>
                <w:sz w:val="18"/>
                <w:szCs w:val="18"/>
              </w:rPr>
              <w:t>Burdekin</w:t>
            </w:r>
          </w:p>
        </w:tc>
        <w:tc>
          <w:tcPr>
            <w:tcW w:w="706" w:type="pct"/>
            <w:tcBorders>
              <w:top w:val="nil"/>
              <w:left w:val="nil"/>
              <w:bottom w:val="nil"/>
              <w:right w:val="nil"/>
            </w:tcBorders>
            <w:shd w:val="clear" w:color="auto" w:fill="auto"/>
            <w:noWrap/>
            <w:vAlign w:val="center"/>
            <w:hideMark/>
          </w:tcPr>
          <w:p w14:paraId="015B0724" w14:textId="77777777" w:rsidR="00B66CC3" w:rsidRPr="004A5BF7" w:rsidRDefault="00B66CC3" w:rsidP="004A5BF7">
            <w:pPr>
              <w:spacing w:before="0" w:after="0"/>
              <w:jc w:val="left"/>
              <w:rPr>
                <w:rFonts w:cs="Arial"/>
                <w:sz w:val="18"/>
                <w:szCs w:val="18"/>
              </w:rPr>
            </w:pPr>
            <w:r w:rsidRPr="004A5BF7">
              <w:rPr>
                <w:rFonts w:cs="Arial"/>
                <w:sz w:val="18"/>
                <w:szCs w:val="18"/>
              </w:rPr>
              <w:t>Burdekin</w:t>
            </w:r>
          </w:p>
        </w:tc>
        <w:tc>
          <w:tcPr>
            <w:tcW w:w="282" w:type="pct"/>
            <w:tcBorders>
              <w:top w:val="nil"/>
              <w:left w:val="nil"/>
              <w:bottom w:val="nil"/>
              <w:right w:val="nil"/>
            </w:tcBorders>
            <w:shd w:val="clear" w:color="auto" w:fill="auto"/>
            <w:noWrap/>
            <w:vAlign w:val="center"/>
            <w:hideMark/>
          </w:tcPr>
          <w:p w14:paraId="1C2D970B" w14:textId="77777777" w:rsidR="00B66CC3" w:rsidRPr="004A5BF7" w:rsidRDefault="00B66CC3" w:rsidP="00B66CC3">
            <w:pPr>
              <w:spacing w:before="0" w:after="0"/>
              <w:jc w:val="center"/>
              <w:rPr>
                <w:rFonts w:cs="Arial"/>
                <w:sz w:val="18"/>
                <w:szCs w:val="18"/>
              </w:rPr>
            </w:pPr>
            <w:r w:rsidRPr="004A5BF7">
              <w:rPr>
                <w:rFonts w:cs="Arial"/>
                <w:sz w:val="18"/>
                <w:szCs w:val="18"/>
              </w:rPr>
              <w:t>651</w:t>
            </w:r>
          </w:p>
        </w:tc>
        <w:tc>
          <w:tcPr>
            <w:tcW w:w="283" w:type="pct"/>
            <w:tcBorders>
              <w:top w:val="nil"/>
              <w:left w:val="nil"/>
              <w:bottom w:val="nil"/>
              <w:right w:val="nil"/>
            </w:tcBorders>
            <w:shd w:val="clear" w:color="auto" w:fill="auto"/>
            <w:noWrap/>
            <w:vAlign w:val="center"/>
            <w:hideMark/>
          </w:tcPr>
          <w:p w14:paraId="1C0845DC" w14:textId="77777777" w:rsidR="00B66CC3" w:rsidRPr="004A5BF7" w:rsidRDefault="00B66CC3" w:rsidP="00B66CC3">
            <w:pPr>
              <w:spacing w:before="0" w:after="0"/>
              <w:jc w:val="center"/>
              <w:rPr>
                <w:rFonts w:cs="Arial"/>
                <w:sz w:val="18"/>
                <w:szCs w:val="18"/>
              </w:rPr>
            </w:pPr>
            <w:r w:rsidRPr="004A5BF7">
              <w:rPr>
                <w:rFonts w:cs="Arial"/>
                <w:sz w:val="18"/>
                <w:szCs w:val="18"/>
              </w:rPr>
              <w:t>481</w:t>
            </w:r>
          </w:p>
        </w:tc>
        <w:tc>
          <w:tcPr>
            <w:tcW w:w="283" w:type="pct"/>
            <w:tcBorders>
              <w:top w:val="nil"/>
              <w:left w:val="nil"/>
              <w:bottom w:val="nil"/>
              <w:right w:val="nil"/>
            </w:tcBorders>
            <w:shd w:val="clear" w:color="auto" w:fill="auto"/>
            <w:noWrap/>
            <w:vAlign w:val="center"/>
            <w:hideMark/>
          </w:tcPr>
          <w:p w14:paraId="046CC521" w14:textId="77777777" w:rsidR="00B66CC3" w:rsidRPr="004A5BF7" w:rsidRDefault="00B66CC3" w:rsidP="00B66CC3">
            <w:pPr>
              <w:spacing w:before="0" w:after="0"/>
              <w:jc w:val="center"/>
              <w:rPr>
                <w:rFonts w:cs="Arial"/>
                <w:sz w:val="18"/>
                <w:szCs w:val="18"/>
              </w:rPr>
            </w:pPr>
            <w:r w:rsidRPr="004A5BF7">
              <w:rPr>
                <w:rFonts w:cs="Arial"/>
                <w:sz w:val="18"/>
                <w:szCs w:val="18"/>
              </w:rPr>
              <w:t>1,369</w:t>
            </w:r>
          </w:p>
        </w:tc>
        <w:tc>
          <w:tcPr>
            <w:tcW w:w="283" w:type="pct"/>
            <w:tcBorders>
              <w:top w:val="nil"/>
              <w:left w:val="nil"/>
              <w:bottom w:val="nil"/>
              <w:right w:val="nil"/>
            </w:tcBorders>
            <w:shd w:val="clear" w:color="auto" w:fill="auto"/>
            <w:noWrap/>
            <w:vAlign w:val="center"/>
            <w:hideMark/>
          </w:tcPr>
          <w:p w14:paraId="5BD347A9" w14:textId="77777777" w:rsidR="00B66CC3" w:rsidRPr="004A5BF7" w:rsidRDefault="00B66CC3" w:rsidP="00B66CC3">
            <w:pPr>
              <w:spacing w:before="0" w:after="0"/>
              <w:jc w:val="center"/>
              <w:rPr>
                <w:rFonts w:cs="Arial"/>
                <w:sz w:val="18"/>
                <w:szCs w:val="18"/>
              </w:rPr>
            </w:pPr>
            <w:r w:rsidRPr="004A5BF7">
              <w:rPr>
                <w:rFonts w:cs="Arial"/>
                <w:sz w:val="18"/>
                <w:szCs w:val="18"/>
              </w:rPr>
              <w:t>720</w:t>
            </w:r>
          </w:p>
        </w:tc>
        <w:tc>
          <w:tcPr>
            <w:tcW w:w="285" w:type="pct"/>
            <w:tcBorders>
              <w:top w:val="nil"/>
              <w:left w:val="nil"/>
              <w:bottom w:val="nil"/>
              <w:right w:val="nil"/>
            </w:tcBorders>
            <w:shd w:val="clear" w:color="auto" w:fill="auto"/>
            <w:noWrap/>
            <w:vAlign w:val="center"/>
            <w:hideMark/>
          </w:tcPr>
          <w:p w14:paraId="5370F739" w14:textId="77777777" w:rsidR="00B66CC3" w:rsidRPr="004A5BF7" w:rsidRDefault="00B66CC3" w:rsidP="00B66CC3">
            <w:pPr>
              <w:spacing w:before="0" w:after="0"/>
              <w:jc w:val="center"/>
              <w:rPr>
                <w:rFonts w:cs="Arial"/>
                <w:sz w:val="18"/>
                <w:szCs w:val="18"/>
              </w:rPr>
            </w:pPr>
            <w:r w:rsidRPr="004A5BF7">
              <w:rPr>
                <w:rFonts w:cs="Arial"/>
                <w:sz w:val="18"/>
                <w:szCs w:val="18"/>
              </w:rPr>
              <w:t>3,159</w:t>
            </w:r>
          </w:p>
        </w:tc>
        <w:tc>
          <w:tcPr>
            <w:tcW w:w="285" w:type="pct"/>
            <w:tcBorders>
              <w:top w:val="nil"/>
              <w:left w:val="nil"/>
              <w:bottom w:val="nil"/>
              <w:right w:val="nil"/>
            </w:tcBorders>
            <w:shd w:val="clear" w:color="auto" w:fill="auto"/>
            <w:noWrap/>
            <w:vAlign w:val="center"/>
            <w:hideMark/>
          </w:tcPr>
          <w:p w14:paraId="2FC9192E" w14:textId="77777777" w:rsidR="00B66CC3" w:rsidRPr="004A5BF7" w:rsidRDefault="00B66CC3" w:rsidP="00B66CC3">
            <w:pPr>
              <w:spacing w:before="0" w:after="0"/>
              <w:jc w:val="center"/>
              <w:rPr>
                <w:rFonts w:cs="Arial"/>
                <w:sz w:val="18"/>
                <w:szCs w:val="18"/>
              </w:rPr>
            </w:pPr>
            <w:r w:rsidRPr="004A5BF7">
              <w:rPr>
                <w:rFonts w:cs="Arial"/>
                <w:sz w:val="18"/>
                <w:szCs w:val="18"/>
              </w:rPr>
              <w:t>8,736</w:t>
            </w:r>
          </w:p>
        </w:tc>
        <w:tc>
          <w:tcPr>
            <w:tcW w:w="285" w:type="pct"/>
            <w:tcBorders>
              <w:top w:val="nil"/>
              <w:left w:val="nil"/>
              <w:bottom w:val="nil"/>
              <w:right w:val="nil"/>
            </w:tcBorders>
            <w:shd w:val="clear" w:color="auto" w:fill="auto"/>
            <w:noWrap/>
            <w:vAlign w:val="center"/>
            <w:hideMark/>
          </w:tcPr>
          <w:p w14:paraId="50D7BA86" w14:textId="77777777" w:rsidR="00B66CC3" w:rsidRPr="004A5BF7" w:rsidRDefault="00B66CC3" w:rsidP="00B66CC3">
            <w:pPr>
              <w:spacing w:before="0" w:after="0"/>
              <w:jc w:val="center"/>
              <w:rPr>
                <w:rFonts w:cs="Arial"/>
                <w:sz w:val="18"/>
                <w:szCs w:val="18"/>
              </w:rPr>
            </w:pPr>
            <w:r w:rsidRPr="004A5BF7">
              <w:rPr>
                <w:rFonts w:cs="Arial"/>
                <w:sz w:val="18"/>
                <w:szCs w:val="18"/>
              </w:rPr>
              <w:t>9,452</w:t>
            </w:r>
          </w:p>
        </w:tc>
        <w:tc>
          <w:tcPr>
            <w:tcW w:w="285" w:type="pct"/>
            <w:tcBorders>
              <w:top w:val="nil"/>
              <w:left w:val="nil"/>
              <w:bottom w:val="nil"/>
              <w:right w:val="nil"/>
            </w:tcBorders>
            <w:shd w:val="clear" w:color="auto" w:fill="auto"/>
            <w:noWrap/>
            <w:vAlign w:val="center"/>
            <w:hideMark/>
          </w:tcPr>
          <w:p w14:paraId="7F1B8516" w14:textId="77777777" w:rsidR="00B66CC3" w:rsidRPr="004A5BF7" w:rsidRDefault="00B66CC3" w:rsidP="00B66CC3">
            <w:pPr>
              <w:spacing w:before="0" w:after="0"/>
              <w:jc w:val="center"/>
              <w:rPr>
                <w:rFonts w:cs="Arial"/>
                <w:sz w:val="18"/>
                <w:szCs w:val="18"/>
              </w:rPr>
            </w:pPr>
            <w:r w:rsidRPr="004A5BF7">
              <w:rPr>
                <w:rFonts w:cs="Arial"/>
                <w:sz w:val="18"/>
                <w:szCs w:val="18"/>
              </w:rPr>
              <w:t>2,480</w:t>
            </w:r>
          </w:p>
        </w:tc>
        <w:tc>
          <w:tcPr>
            <w:tcW w:w="325" w:type="pct"/>
            <w:tcBorders>
              <w:top w:val="nil"/>
              <w:left w:val="nil"/>
              <w:bottom w:val="nil"/>
              <w:right w:val="nil"/>
            </w:tcBorders>
            <w:shd w:val="clear" w:color="auto" w:fill="auto"/>
            <w:noWrap/>
            <w:vAlign w:val="center"/>
            <w:hideMark/>
          </w:tcPr>
          <w:p w14:paraId="5DCD9819" w14:textId="77777777" w:rsidR="00B66CC3" w:rsidRPr="004A5BF7" w:rsidRDefault="00B66CC3" w:rsidP="00B66CC3">
            <w:pPr>
              <w:spacing w:before="0" w:after="0"/>
              <w:jc w:val="center"/>
              <w:rPr>
                <w:rFonts w:cs="Arial"/>
                <w:sz w:val="18"/>
                <w:szCs w:val="18"/>
              </w:rPr>
            </w:pPr>
            <w:r w:rsidRPr="004A5BF7">
              <w:rPr>
                <w:rFonts w:cs="Arial"/>
                <w:sz w:val="18"/>
                <w:szCs w:val="18"/>
              </w:rPr>
              <w:t>11,390</w:t>
            </w:r>
          </w:p>
        </w:tc>
        <w:tc>
          <w:tcPr>
            <w:tcW w:w="285" w:type="pct"/>
            <w:tcBorders>
              <w:top w:val="nil"/>
              <w:left w:val="nil"/>
              <w:bottom w:val="nil"/>
              <w:right w:val="nil"/>
            </w:tcBorders>
            <w:shd w:val="clear" w:color="auto" w:fill="auto"/>
            <w:noWrap/>
            <w:vAlign w:val="center"/>
            <w:hideMark/>
          </w:tcPr>
          <w:p w14:paraId="3350E1B5" w14:textId="77777777" w:rsidR="00B66CC3" w:rsidRPr="004A5BF7" w:rsidRDefault="00B66CC3" w:rsidP="00B66CC3">
            <w:pPr>
              <w:spacing w:before="0" w:after="0"/>
              <w:jc w:val="center"/>
              <w:rPr>
                <w:rFonts w:cs="Arial"/>
                <w:sz w:val="18"/>
                <w:szCs w:val="18"/>
              </w:rPr>
            </w:pPr>
            <w:r w:rsidRPr="004A5BF7">
              <w:rPr>
                <w:rFonts w:cs="Arial"/>
                <w:sz w:val="18"/>
                <w:szCs w:val="18"/>
              </w:rPr>
              <w:t>5,074</w:t>
            </w:r>
          </w:p>
        </w:tc>
        <w:tc>
          <w:tcPr>
            <w:tcW w:w="285" w:type="pct"/>
            <w:tcBorders>
              <w:top w:val="nil"/>
              <w:left w:val="nil"/>
              <w:bottom w:val="nil"/>
              <w:right w:val="nil"/>
            </w:tcBorders>
            <w:shd w:val="clear" w:color="auto" w:fill="auto"/>
            <w:noWrap/>
            <w:vAlign w:val="center"/>
            <w:hideMark/>
          </w:tcPr>
          <w:p w14:paraId="40EFA270" w14:textId="77777777" w:rsidR="00B66CC3" w:rsidRPr="004A5BF7" w:rsidRDefault="00B66CC3" w:rsidP="00B66CC3">
            <w:pPr>
              <w:spacing w:before="0" w:after="0"/>
              <w:jc w:val="center"/>
              <w:rPr>
                <w:rFonts w:cs="Arial"/>
                <w:sz w:val="18"/>
                <w:szCs w:val="18"/>
              </w:rPr>
            </w:pPr>
            <w:r w:rsidRPr="004A5BF7">
              <w:rPr>
                <w:rFonts w:cs="Arial"/>
                <w:sz w:val="18"/>
                <w:szCs w:val="18"/>
              </w:rPr>
              <w:t>1,110</w:t>
            </w:r>
          </w:p>
        </w:tc>
        <w:tc>
          <w:tcPr>
            <w:tcW w:w="283" w:type="pct"/>
            <w:tcBorders>
              <w:top w:val="nil"/>
              <w:left w:val="nil"/>
              <w:bottom w:val="nil"/>
              <w:right w:val="nil"/>
            </w:tcBorders>
            <w:shd w:val="clear" w:color="auto" w:fill="auto"/>
            <w:noWrap/>
            <w:vAlign w:val="center"/>
            <w:hideMark/>
          </w:tcPr>
          <w:p w14:paraId="443779AE" w14:textId="77777777" w:rsidR="00B66CC3" w:rsidRPr="004A5BF7" w:rsidRDefault="00B66CC3" w:rsidP="00B66CC3">
            <w:pPr>
              <w:spacing w:before="0" w:after="0"/>
              <w:jc w:val="center"/>
              <w:rPr>
                <w:rFonts w:cs="Arial"/>
                <w:sz w:val="18"/>
                <w:szCs w:val="18"/>
              </w:rPr>
            </w:pPr>
            <w:r w:rsidRPr="004A5BF7">
              <w:rPr>
                <w:rFonts w:cs="Arial"/>
                <w:sz w:val="18"/>
                <w:szCs w:val="18"/>
              </w:rPr>
              <w:t>470</w:t>
            </w:r>
          </w:p>
        </w:tc>
        <w:tc>
          <w:tcPr>
            <w:tcW w:w="243" w:type="pct"/>
            <w:tcBorders>
              <w:top w:val="nil"/>
              <w:left w:val="nil"/>
              <w:bottom w:val="nil"/>
              <w:right w:val="nil"/>
            </w:tcBorders>
            <w:shd w:val="clear" w:color="auto" w:fill="auto"/>
            <w:noWrap/>
            <w:vAlign w:val="center"/>
            <w:hideMark/>
          </w:tcPr>
          <w:p w14:paraId="1F43DDA2" w14:textId="77777777" w:rsidR="00B66CC3" w:rsidRPr="004A5BF7" w:rsidRDefault="00B66CC3" w:rsidP="00B66CC3">
            <w:pPr>
              <w:spacing w:before="0" w:after="0"/>
              <w:jc w:val="center"/>
              <w:rPr>
                <w:rFonts w:cs="Arial"/>
                <w:sz w:val="18"/>
                <w:szCs w:val="18"/>
              </w:rPr>
            </w:pPr>
            <w:r w:rsidRPr="004A5BF7">
              <w:rPr>
                <w:rFonts w:cs="Arial"/>
                <w:sz w:val="18"/>
                <w:szCs w:val="18"/>
              </w:rPr>
              <w:t>270</w:t>
            </w:r>
          </w:p>
        </w:tc>
      </w:tr>
      <w:tr w:rsidR="00B66CC3" w:rsidRPr="00E9409C" w14:paraId="47F6DF87" w14:textId="77777777" w:rsidTr="00E662D3">
        <w:trPr>
          <w:trHeight w:val="454"/>
          <w:tblHeader/>
        </w:trPr>
        <w:tc>
          <w:tcPr>
            <w:tcW w:w="602" w:type="pct"/>
            <w:tcBorders>
              <w:top w:val="nil"/>
              <w:left w:val="nil"/>
              <w:bottom w:val="nil"/>
              <w:right w:val="nil"/>
            </w:tcBorders>
            <w:shd w:val="clear" w:color="auto" w:fill="auto"/>
            <w:noWrap/>
            <w:vAlign w:val="center"/>
            <w:hideMark/>
          </w:tcPr>
          <w:p w14:paraId="7E7D3A87" w14:textId="77777777" w:rsidR="00B66CC3" w:rsidRPr="004A5BF7" w:rsidRDefault="00B66CC3" w:rsidP="004A5BF7">
            <w:pPr>
              <w:spacing w:before="0" w:after="0"/>
              <w:jc w:val="left"/>
              <w:rPr>
                <w:rFonts w:cs="Arial"/>
                <w:sz w:val="18"/>
                <w:szCs w:val="18"/>
              </w:rPr>
            </w:pPr>
            <w:r w:rsidRPr="004A5BF7">
              <w:rPr>
                <w:rFonts w:cs="Arial"/>
                <w:sz w:val="18"/>
                <w:szCs w:val="18"/>
              </w:rPr>
              <w:t>Proserpine</w:t>
            </w:r>
          </w:p>
        </w:tc>
        <w:tc>
          <w:tcPr>
            <w:tcW w:w="706" w:type="pct"/>
            <w:tcBorders>
              <w:top w:val="nil"/>
              <w:left w:val="nil"/>
              <w:bottom w:val="nil"/>
              <w:right w:val="nil"/>
            </w:tcBorders>
            <w:shd w:val="clear" w:color="auto" w:fill="auto"/>
            <w:noWrap/>
            <w:vAlign w:val="center"/>
            <w:hideMark/>
          </w:tcPr>
          <w:p w14:paraId="253B51E5" w14:textId="713BE0E8" w:rsidR="00B66CC3" w:rsidRPr="004A5BF7" w:rsidRDefault="00B66CC3" w:rsidP="004A5BF7">
            <w:pPr>
              <w:spacing w:before="0" w:after="0"/>
              <w:jc w:val="left"/>
              <w:rPr>
                <w:rFonts w:cs="Arial"/>
                <w:sz w:val="18"/>
                <w:szCs w:val="18"/>
              </w:rPr>
            </w:pPr>
            <w:r w:rsidRPr="004A5BF7">
              <w:rPr>
                <w:rFonts w:cs="Arial"/>
                <w:sz w:val="18"/>
                <w:szCs w:val="18"/>
              </w:rPr>
              <w:t>Mackay</w:t>
            </w:r>
            <w:r w:rsidR="000E764B">
              <w:rPr>
                <w:rFonts w:cs="Arial"/>
                <w:sz w:val="18"/>
                <w:szCs w:val="18"/>
              </w:rPr>
              <w:t xml:space="preserve"> </w:t>
            </w:r>
            <w:r w:rsidRPr="004A5BF7">
              <w:rPr>
                <w:rFonts w:cs="Arial"/>
                <w:sz w:val="18"/>
                <w:szCs w:val="18"/>
              </w:rPr>
              <w:t>Whitsunday</w:t>
            </w:r>
          </w:p>
        </w:tc>
        <w:tc>
          <w:tcPr>
            <w:tcW w:w="282" w:type="pct"/>
            <w:tcBorders>
              <w:top w:val="nil"/>
              <w:left w:val="nil"/>
              <w:bottom w:val="nil"/>
              <w:right w:val="nil"/>
            </w:tcBorders>
            <w:shd w:val="clear" w:color="auto" w:fill="auto"/>
            <w:noWrap/>
            <w:vAlign w:val="center"/>
            <w:hideMark/>
          </w:tcPr>
          <w:p w14:paraId="6FC1739D" w14:textId="77777777" w:rsidR="00B66CC3" w:rsidRPr="004A5BF7" w:rsidRDefault="00B66CC3" w:rsidP="00B66CC3">
            <w:pPr>
              <w:spacing w:before="0" w:after="0"/>
              <w:jc w:val="center"/>
              <w:rPr>
                <w:rFonts w:cs="Arial"/>
                <w:sz w:val="18"/>
                <w:szCs w:val="18"/>
              </w:rPr>
            </w:pPr>
            <w:r w:rsidRPr="004A5BF7">
              <w:rPr>
                <w:rFonts w:cs="Arial"/>
                <w:sz w:val="18"/>
                <w:szCs w:val="18"/>
              </w:rPr>
              <w:t>37</w:t>
            </w:r>
          </w:p>
        </w:tc>
        <w:tc>
          <w:tcPr>
            <w:tcW w:w="283" w:type="pct"/>
            <w:tcBorders>
              <w:top w:val="nil"/>
              <w:left w:val="nil"/>
              <w:bottom w:val="nil"/>
              <w:right w:val="nil"/>
            </w:tcBorders>
            <w:shd w:val="clear" w:color="auto" w:fill="auto"/>
            <w:noWrap/>
            <w:vAlign w:val="center"/>
            <w:hideMark/>
          </w:tcPr>
          <w:p w14:paraId="6B7D3B6E" w14:textId="77777777" w:rsidR="00B66CC3" w:rsidRPr="004A5BF7" w:rsidRDefault="00B66CC3" w:rsidP="00B66CC3">
            <w:pPr>
              <w:spacing w:before="0" w:after="0"/>
              <w:jc w:val="center"/>
              <w:rPr>
                <w:rFonts w:cs="Arial"/>
                <w:sz w:val="18"/>
                <w:szCs w:val="18"/>
              </w:rPr>
            </w:pPr>
            <w:r w:rsidRPr="004A5BF7">
              <w:rPr>
                <w:rFonts w:cs="Arial"/>
                <w:sz w:val="18"/>
                <w:szCs w:val="18"/>
              </w:rPr>
              <w:t>48</w:t>
            </w:r>
          </w:p>
        </w:tc>
        <w:tc>
          <w:tcPr>
            <w:tcW w:w="283" w:type="pct"/>
            <w:tcBorders>
              <w:top w:val="nil"/>
              <w:left w:val="nil"/>
              <w:bottom w:val="nil"/>
              <w:right w:val="nil"/>
            </w:tcBorders>
            <w:shd w:val="clear" w:color="auto" w:fill="auto"/>
            <w:noWrap/>
            <w:vAlign w:val="center"/>
            <w:hideMark/>
          </w:tcPr>
          <w:p w14:paraId="3E5DCC4B" w14:textId="77777777" w:rsidR="00B66CC3" w:rsidRPr="004A5BF7" w:rsidRDefault="00B66CC3" w:rsidP="00B66CC3">
            <w:pPr>
              <w:spacing w:before="0" w:after="0"/>
              <w:jc w:val="center"/>
              <w:rPr>
                <w:rFonts w:cs="Arial"/>
                <w:sz w:val="18"/>
                <w:szCs w:val="18"/>
              </w:rPr>
            </w:pPr>
            <w:r w:rsidRPr="004A5BF7">
              <w:rPr>
                <w:rFonts w:cs="Arial"/>
                <w:sz w:val="18"/>
                <w:szCs w:val="18"/>
              </w:rPr>
              <w:t>113</w:t>
            </w:r>
          </w:p>
        </w:tc>
        <w:tc>
          <w:tcPr>
            <w:tcW w:w="283" w:type="pct"/>
            <w:tcBorders>
              <w:top w:val="nil"/>
              <w:left w:val="nil"/>
              <w:bottom w:val="nil"/>
              <w:right w:val="nil"/>
            </w:tcBorders>
            <w:shd w:val="clear" w:color="auto" w:fill="auto"/>
            <w:noWrap/>
            <w:vAlign w:val="center"/>
            <w:hideMark/>
          </w:tcPr>
          <w:p w14:paraId="2F73314A" w14:textId="77777777" w:rsidR="00B66CC3" w:rsidRPr="004A5BF7" w:rsidRDefault="00B66CC3" w:rsidP="00B66CC3">
            <w:pPr>
              <w:spacing w:before="0" w:after="0"/>
              <w:jc w:val="center"/>
              <w:rPr>
                <w:rFonts w:cs="Arial"/>
                <w:sz w:val="18"/>
                <w:szCs w:val="18"/>
              </w:rPr>
            </w:pPr>
            <w:r w:rsidRPr="004A5BF7">
              <w:rPr>
                <w:rFonts w:cs="Arial"/>
                <w:sz w:val="18"/>
                <w:szCs w:val="18"/>
              </w:rPr>
              <w:t>127</w:t>
            </w:r>
          </w:p>
        </w:tc>
        <w:tc>
          <w:tcPr>
            <w:tcW w:w="285" w:type="pct"/>
            <w:tcBorders>
              <w:top w:val="nil"/>
              <w:left w:val="nil"/>
              <w:bottom w:val="nil"/>
              <w:right w:val="nil"/>
            </w:tcBorders>
            <w:shd w:val="clear" w:color="auto" w:fill="auto"/>
            <w:noWrap/>
            <w:vAlign w:val="center"/>
            <w:hideMark/>
          </w:tcPr>
          <w:p w14:paraId="7136A7C4" w14:textId="77777777" w:rsidR="00B66CC3" w:rsidRPr="004A5BF7" w:rsidRDefault="00B66CC3" w:rsidP="00B66CC3">
            <w:pPr>
              <w:spacing w:before="0" w:after="0"/>
              <w:jc w:val="center"/>
              <w:rPr>
                <w:rFonts w:cs="Arial"/>
                <w:sz w:val="18"/>
                <w:szCs w:val="18"/>
              </w:rPr>
            </w:pPr>
            <w:r w:rsidRPr="004A5BF7">
              <w:rPr>
                <w:rFonts w:cs="Arial"/>
                <w:sz w:val="18"/>
                <w:szCs w:val="18"/>
              </w:rPr>
              <w:t>288</w:t>
            </w:r>
          </w:p>
        </w:tc>
        <w:tc>
          <w:tcPr>
            <w:tcW w:w="285" w:type="pct"/>
            <w:tcBorders>
              <w:top w:val="nil"/>
              <w:left w:val="nil"/>
              <w:bottom w:val="nil"/>
              <w:right w:val="nil"/>
            </w:tcBorders>
            <w:shd w:val="clear" w:color="auto" w:fill="auto"/>
            <w:noWrap/>
            <w:vAlign w:val="center"/>
            <w:hideMark/>
          </w:tcPr>
          <w:p w14:paraId="58CEF9C5" w14:textId="77777777" w:rsidR="00B66CC3" w:rsidRPr="004A5BF7" w:rsidRDefault="00B66CC3" w:rsidP="00B66CC3">
            <w:pPr>
              <w:spacing w:before="0" w:after="0"/>
              <w:jc w:val="center"/>
              <w:rPr>
                <w:rFonts w:cs="Arial"/>
                <w:sz w:val="18"/>
                <w:szCs w:val="18"/>
              </w:rPr>
            </w:pPr>
            <w:r w:rsidRPr="004A5BF7">
              <w:rPr>
                <w:rFonts w:cs="Arial"/>
                <w:sz w:val="18"/>
                <w:szCs w:val="18"/>
              </w:rPr>
              <w:t>656</w:t>
            </w:r>
          </w:p>
        </w:tc>
        <w:tc>
          <w:tcPr>
            <w:tcW w:w="285" w:type="pct"/>
            <w:tcBorders>
              <w:top w:val="nil"/>
              <w:left w:val="nil"/>
              <w:bottom w:val="nil"/>
              <w:right w:val="nil"/>
            </w:tcBorders>
            <w:shd w:val="clear" w:color="auto" w:fill="auto"/>
            <w:noWrap/>
            <w:vAlign w:val="center"/>
            <w:hideMark/>
          </w:tcPr>
          <w:p w14:paraId="1750E63E" w14:textId="77777777" w:rsidR="00B66CC3" w:rsidRPr="004A5BF7" w:rsidRDefault="00B66CC3" w:rsidP="00B66CC3">
            <w:pPr>
              <w:spacing w:before="0" w:after="0"/>
              <w:jc w:val="center"/>
              <w:rPr>
                <w:rFonts w:cs="Arial"/>
                <w:sz w:val="18"/>
                <w:szCs w:val="18"/>
              </w:rPr>
            </w:pPr>
            <w:r w:rsidRPr="004A5BF7">
              <w:rPr>
                <w:rFonts w:cs="Arial"/>
                <w:sz w:val="18"/>
                <w:szCs w:val="18"/>
              </w:rPr>
              <w:t>377</w:t>
            </w:r>
          </w:p>
        </w:tc>
        <w:tc>
          <w:tcPr>
            <w:tcW w:w="285" w:type="pct"/>
            <w:tcBorders>
              <w:top w:val="nil"/>
              <w:left w:val="nil"/>
              <w:bottom w:val="nil"/>
              <w:right w:val="nil"/>
            </w:tcBorders>
            <w:shd w:val="clear" w:color="auto" w:fill="auto"/>
            <w:noWrap/>
            <w:vAlign w:val="center"/>
            <w:hideMark/>
          </w:tcPr>
          <w:p w14:paraId="159D8CAD" w14:textId="77777777" w:rsidR="00B66CC3" w:rsidRPr="004A5BF7" w:rsidRDefault="00B66CC3" w:rsidP="00B66CC3">
            <w:pPr>
              <w:spacing w:before="0" w:after="0"/>
              <w:jc w:val="center"/>
              <w:rPr>
                <w:rFonts w:cs="Arial"/>
                <w:sz w:val="18"/>
                <w:szCs w:val="18"/>
              </w:rPr>
            </w:pPr>
            <w:r w:rsidRPr="004A5BF7">
              <w:rPr>
                <w:rFonts w:cs="Arial"/>
                <w:sz w:val="18"/>
                <w:szCs w:val="18"/>
              </w:rPr>
              <w:t>325</w:t>
            </w:r>
          </w:p>
        </w:tc>
        <w:tc>
          <w:tcPr>
            <w:tcW w:w="325" w:type="pct"/>
            <w:tcBorders>
              <w:top w:val="nil"/>
              <w:left w:val="nil"/>
              <w:bottom w:val="nil"/>
              <w:right w:val="nil"/>
            </w:tcBorders>
            <w:shd w:val="clear" w:color="auto" w:fill="auto"/>
            <w:noWrap/>
            <w:vAlign w:val="center"/>
            <w:hideMark/>
          </w:tcPr>
          <w:p w14:paraId="582A8C82" w14:textId="77777777" w:rsidR="00B66CC3" w:rsidRPr="004A5BF7" w:rsidRDefault="00B66CC3" w:rsidP="00B66CC3">
            <w:pPr>
              <w:spacing w:before="0" w:after="0"/>
              <w:jc w:val="center"/>
              <w:rPr>
                <w:rFonts w:cs="Arial"/>
                <w:sz w:val="18"/>
                <w:szCs w:val="18"/>
              </w:rPr>
            </w:pPr>
            <w:r w:rsidRPr="004A5BF7">
              <w:rPr>
                <w:rFonts w:cs="Arial"/>
                <w:sz w:val="18"/>
                <w:szCs w:val="18"/>
              </w:rPr>
              <w:t>615</w:t>
            </w:r>
          </w:p>
        </w:tc>
        <w:tc>
          <w:tcPr>
            <w:tcW w:w="285" w:type="pct"/>
            <w:tcBorders>
              <w:top w:val="nil"/>
              <w:left w:val="nil"/>
              <w:bottom w:val="nil"/>
              <w:right w:val="nil"/>
            </w:tcBorders>
            <w:shd w:val="clear" w:color="auto" w:fill="auto"/>
            <w:noWrap/>
            <w:vAlign w:val="center"/>
            <w:hideMark/>
          </w:tcPr>
          <w:p w14:paraId="735D31E3" w14:textId="77777777" w:rsidR="00B66CC3" w:rsidRPr="004A5BF7" w:rsidRDefault="00B66CC3" w:rsidP="00B66CC3">
            <w:pPr>
              <w:spacing w:before="0" w:after="0"/>
              <w:jc w:val="center"/>
              <w:rPr>
                <w:rFonts w:cs="Arial"/>
                <w:sz w:val="18"/>
                <w:szCs w:val="18"/>
              </w:rPr>
            </w:pPr>
            <w:r w:rsidRPr="004A5BF7">
              <w:rPr>
                <w:rFonts w:cs="Arial"/>
                <w:sz w:val="18"/>
                <w:szCs w:val="18"/>
              </w:rPr>
              <w:t>222</w:t>
            </w:r>
          </w:p>
        </w:tc>
        <w:tc>
          <w:tcPr>
            <w:tcW w:w="285" w:type="pct"/>
            <w:tcBorders>
              <w:top w:val="nil"/>
              <w:left w:val="nil"/>
              <w:bottom w:val="nil"/>
              <w:right w:val="nil"/>
            </w:tcBorders>
            <w:shd w:val="clear" w:color="auto" w:fill="auto"/>
            <w:noWrap/>
            <w:vAlign w:val="center"/>
            <w:hideMark/>
          </w:tcPr>
          <w:p w14:paraId="594FC96C" w14:textId="77777777" w:rsidR="00B66CC3" w:rsidRPr="004A5BF7" w:rsidRDefault="00B66CC3" w:rsidP="00B66CC3">
            <w:pPr>
              <w:spacing w:before="0" w:after="0"/>
              <w:jc w:val="center"/>
              <w:rPr>
                <w:rFonts w:cs="Arial"/>
                <w:sz w:val="18"/>
                <w:szCs w:val="18"/>
              </w:rPr>
            </w:pPr>
            <w:r w:rsidRPr="004A5BF7">
              <w:rPr>
                <w:rFonts w:cs="Arial"/>
                <w:sz w:val="18"/>
                <w:szCs w:val="18"/>
              </w:rPr>
              <w:t>216</w:t>
            </w:r>
          </w:p>
        </w:tc>
        <w:tc>
          <w:tcPr>
            <w:tcW w:w="283" w:type="pct"/>
            <w:tcBorders>
              <w:top w:val="nil"/>
              <w:left w:val="nil"/>
              <w:bottom w:val="nil"/>
              <w:right w:val="nil"/>
            </w:tcBorders>
            <w:shd w:val="clear" w:color="auto" w:fill="auto"/>
            <w:noWrap/>
            <w:vAlign w:val="center"/>
            <w:hideMark/>
          </w:tcPr>
          <w:p w14:paraId="64EF2D17" w14:textId="77777777" w:rsidR="00B66CC3" w:rsidRPr="004A5BF7" w:rsidRDefault="00B66CC3" w:rsidP="00B66CC3">
            <w:pPr>
              <w:spacing w:before="0" w:after="0"/>
              <w:jc w:val="center"/>
              <w:rPr>
                <w:rFonts w:cs="Arial"/>
                <w:sz w:val="18"/>
                <w:szCs w:val="18"/>
              </w:rPr>
            </w:pPr>
            <w:r w:rsidRPr="004A5BF7">
              <w:rPr>
                <w:rFonts w:cs="Arial"/>
                <w:sz w:val="18"/>
                <w:szCs w:val="18"/>
              </w:rPr>
              <w:t>213</w:t>
            </w:r>
          </w:p>
        </w:tc>
        <w:tc>
          <w:tcPr>
            <w:tcW w:w="243" w:type="pct"/>
            <w:tcBorders>
              <w:top w:val="nil"/>
              <w:left w:val="nil"/>
              <w:bottom w:val="nil"/>
              <w:right w:val="nil"/>
            </w:tcBorders>
            <w:shd w:val="clear" w:color="auto" w:fill="auto"/>
            <w:noWrap/>
            <w:vAlign w:val="center"/>
            <w:hideMark/>
          </w:tcPr>
          <w:p w14:paraId="46A1CB08" w14:textId="77777777" w:rsidR="00B66CC3" w:rsidRPr="004A5BF7" w:rsidRDefault="00B66CC3" w:rsidP="00B66CC3">
            <w:pPr>
              <w:spacing w:before="0" w:after="0"/>
              <w:jc w:val="center"/>
              <w:rPr>
                <w:rFonts w:cs="Arial"/>
                <w:sz w:val="18"/>
                <w:szCs w:val="18"/>
              </w:rPr>
            </w:pPr>
            <w:r w:rsidRPr="004A5BF7">
              <w:rPr>
                <w:rFonts w:cs="Arial"/>
                <w:sz w:val="18"/>
                <w:szCs w:val="18"/>
              </w:rPr>
              <w:t>32</w:t>
            </w:r>
          </w:p>
        </w:tc>
      </w:tr>
      <w:tr w:rsidR="00B66CC3" w:rsidRPr="00E9409C" w14:paraId="35F7E3C8" w14:textId="77777777" w:rsidTr="00E662D3">
        <w:trPr>
          <w:trHeight w:val="454"/>
          <w:tblHeader/>
        </w:trPr>
        <w:tc>
          <w:tcPr>
            <w:tcW w:w="602" w:type="pct"/>
            <w:tcBorders>
              <w:top w:val="nil"/>
              <w:left w:val="nil"/>
              <w:bottom w:val="nil"/>
              <w:right w:val="nil"/>
            </w:tcBorders>
            <w:shd w:val="clear" w:color="auto" w:fill="auto"/>
            <w:noWrap/>
            <w:vAlign w:val="center"/>
            <w:hideMark/>
          </w:tcPr>
          <w:p w14:paraId="64EA0DEA" w14:textId="77777777" w:rsidR="00B66CC3" w:rsidRPr="004A5BF7" w:rsidRDefault="00B66CC3" w:rsidP="004A5BF7">
            <w:pPr>
              <w:spacing w:before="0" w:after="0"/>
              <w:jc w:val="left"/>
              <w:rPr>
                <w:rFonts w:cs="Arial"/>
                <w:sz w:val="18"/>
                <w:szCs w:val="18"/>
              </w:rPr>
            </w:pPr>
            <w:r w:rsidRPr="004A5BF7">
              <w:rPr>
                <w:rFonts w:cs="Arial"/>
                <w:sz w:val="18"/>
                <w:szCs w:val="18"/>
              </w:rPr>
              <w:t>O'Connell</w:t>
            </w:r>
          </w:p>
        </w:tc>
        <w:tc>
          <w:tcPr>
            <w:tcW w:w="706" w:type="pct"/>
            <w:tcBorders>
              <w:top w:val="nil"/>
              <w:left w:val="nil"/>
              <w:bottom w:val="nil"/>
              <w:right w:val="nil"/>
            </w:tcBorders>
            <w:shd w:val="clear" w:color="auto" w:fill="auto"/>
            <w:noWrap/>
            <w:vAlign w:val="center"/>
            <w:hideMark/>
          </w:tcPr>
          <w:p w14:paraId="0224BBFA" w14:textId="21301D25" w:rsidR="00B66CC3" w:rsidRPr="004A5BF7" w:rsidRDefault="00B66CC3" w:rsidP="004A5BF7">
            <w:pPr>
              <w:spacing w:before="0" w:after="0"/>
              <w:jc w:val="left"/>
              <w:rPr>
                <w:rFonts w:cs="Arial"/>
                <w:sz w:val="18"/>
                <w:szCs w:val="18"/>
              </w:rPr>
            </w:pPr>
            <w:r w:rsidRPr="004A5BF7">
              <w:rPr>
                <w:rFonts w:cs="Arial"/>
                <w:sz w:val="18"/>
                <w:szCs w:val="18"/>
              </w:rPr>
              <w:t>Mackay</w:t>
            </w:r>
            <w:r w:rsidR="000E764B">
              <w:rPr>
                <w:rFonts w:cs="Arial"/>
                <w:sz w:val="18"/>
                <w:szCs w:val="18"/>
              </w:rPr>
              <w:t xml:space="preserve"> </w:t>
            </w:r>
            <w:r w:rsidRPr="004A5BF7">
              <w:rPr>
                <w:rFonts w:cs="Arial"/>
                <w:sz w:val="18"/>
                <w:szCs w:val="18"/>
              </w:rPr>
              <w:t>Whitsunday</w:t>
            </w:r>
          </w:p>
        </w:tc>
        <w:tc>
          <w:tcPr>
            <w:tcW w:w="282" w:type="pct"/>
            <w:tcBorders>
              <w:top w:val="nil"/>
              <w:left w:val="nil"/>
              <w:bottom w:val="nil"/>
              <w:right w:val="nil"/>
            </w:tcBorders>
            <w:shd w:val="clear" w:color="auto" w:fill="auto"/>
            <w:noWrap/>
            <w:vAlign w:val="center"/>
            <w:hideMark/>
          </w:tcPr>
          <w:p w14:paraId="564C23DC" w14:textId="77777777" w:rsidR="00B66CC3" w:rsidRPr="004A5BF7" w:rsidRDefault="00B66CC3" w:rsidP="00B66CC3">
            <w:pPr>
              <w:spacing w:before="0" w:after="0"/>
              <w:jc w:val="center"/>
              <w:rPr>
                <w:rFonts w:cs="Arial"/>
                <w:sz w:val="18"/>
                <w:szCs w:val="18"/>
              </w:rPr>
            </w:pPr>
            <w:r w:rsidRPr="004A5BF7">
              <w:rPr>
                <w:rFonts w:cs="Arial"/>
                <w:sz w:val="18"/>
                <w:szCs w:val="18"/>
              </w:rPr>
              <w:t>66</w:t>
            </w:r>
          </w:p>
        </w:tc>
        <w:tc>
          <w:tcPr>
            <w:tcW w:w="283" w:type="pct"/>
            <w:tcBorders>
              <w:top w:val="nil"/>
              <w:left w:val="nil"/>
              <w:bottom w:val="nil"/>
              <w:right w:val="nil"/>
            </w:tcBorders>
            <w:shd w:val="clear" w:color="auto" w:fill="auto"/>
            <w:noWrap/>
            <w:vAlign w:val="center"/>
            <w:hideMark/>
          </w:tcPr>
          <w:p w14:paraId="4208980C" w14:textId="77777777" w:rsidR="00B66CC3" w:rsidRPr="004A5BF7" w:rsidRDefault="00B66CC3" w:rsidP="00B66CC3">
            <w:pPr>
              <w:spacing w:before="0" w:after="0"/>
              <w:jc w:val="center"/>
              <w:rPr>
                <w:rFonts w:cs="Arial"/>
                <w:sz w:val="18"/>
                <w:szCs w:val="18"/>
              </w:rPr>
            </w:pPr>
            <w:r w:rsidRPr="004A5BF7">
              <w:rPr>
                <w:rFonts w:cs="Arial"/>
                <w:sz w:val="18"/>
                <w:szCs w:val="18"/>
              </w:rPr>
              <w:t>68</w:t>
            </w:r>
          </w:p>
        </w:tc>
        <w:tc>
          <w:tcPr>
            <w:tcW w:w="283" w:type="pct"/>
            <w:tcBorders>
              <w:top w:val="nil"/>
              <w:left w:val="nil"/>
              <w:bottom w:val="nil"/>
              <w:right w:val="nil"/>
            </w:tcBorders>
            <w:shd w:val="clear" w:color="auto" w:fill="auto"/>
            <w:noWrap/>
            <w:vAlign w:val="center"/>
            <w:hideMark/>
          </w:tcPr>
          <w:p w14:paraId="5EBDEF21" w14:textId="77777777" w:rsidR="00B66CC3" w:rsidRPr="004A5BF7" w:rsidRDefault="00B66CC3" w:rsidP="00B66CC3">
            <w:pPr>
              <w:spacing w:before="0" w:after="0"/>
              <w:jc w:val="center"/>
              <w:rPr>
                <w:rFonts w:cs="Arial"/>
                <w:sz w:val="18"/>
                <w:szCs w:val="18"/>
              </w:rPr>
            </w:pPr>
            <w:r w:rsidRPr="004A5BF7">
              <w:rPr>
                <w:rFonts w:cs="Arial"/>
                <w:sz w:val="18"/>
                <w:szCs w:val="18"/>
              </w:rPr>
              <w:t>210</w:t>
            </w:r>
          </w:p>
        </w:tc>
        <w:tc>
          <w:tcPr>
            <w:tcW w:w="283" w:type="pct"/>
            <w:tcBorders>
              <w:top w:val="nil"/>
              <w:left w:val="nil"/>
              <w:bottom w:val="nil"/>
              <w:right w:val="nil"/>
            </w:tcBorders>
            <w:shd w:val="clear" w:color="auto" w:fill="auto"/>
            <w:noWrap/>
            <w:vAlign w:val="center"/>
            <w:hideMark/>
          </w:tcPr>
          <w:p w14:paraId="378BBEF9" w14:textId="77777777" w:rsidR="00B66CC3" w:rsidRPr="004A5BF7" w:rsidRDefault="00B66CC3" w:rsidP="00B66CC3">
            <w:pPr>
              <w:spacing w:before="0" w:after="0"/>
              <w:jc w:val="center"/>
              <w:rPr>
                <w:rFonts w:cs="Arial"/>
                <w:sz w:val="18"/>
                <w:szCs w:val="18"/>
              </w:rPr>
            </w:pPr>
            <w:r w:rsidRPr="004A5BF7">
              <w:rPr>
                <w:rFonts w:cs="Arial"/>
                <w:sz w:val="18"/>
                <w:szCs w:val="18"/>
              </w:rPr>
              <w:t>248</w:t>
            </w:r>
          </w:p>
        </w:tc>
        <w:tc>
          <w:tcPr>
            <w:tcW w:w="285" w:type="pct"/>
            <w:tcBorders>
              <w:top w:val="nil"/>
              <w:left w:val="nil"/>
              <w:bottom w:val="nil"/>
              <w:right w:val="nil"/>
            </w:tcBorders>
            <w:shd w:val="clear" w:color="auto" w:fill="auto"/>
            <w:noWrap/>
            <w:vAlign w:val="center"/>
            <w:hideMark/>
          </w:tcPr>
          <w:p w14:paraId="072A2536" w14:textId="77777777" w:rsidR="00B66CC3" w:rsidRPr="004A5BF7" w:rsidRDefault="00B66CC3" w:rsidP="00B66CC3">
            <w:pPr>
              <w:spacing w:before="0" w:after="0"/>
              <w:jc w:val="center"/>
              <w:rPr>
                <w:rFonts w:cs="Arial"/>
                <w:sz w:val="18"/>
                <w:szCs w:val="18"/>
              </w:rPr>
            </w:pPr>
            <w:r w:rsidRPr="004A5BF7">
              <w:rPr>
                <w:rFonts w:cs="Arial"/>
                <w:sz w:val="18"/>
                <w:szCs w:val="18"/>
              </w:rPr>
              <w:t>515</w:t>
            </w:r>
          </w:p>
        </w:tc>
        <w:tc>
          <w:tcPr>
            <w:tcW w:w="285" w:type="pct"/>
            <w:tcBorders>
              <w:top w:val="nil"/>
              <w:left w:val="nil"/>
              <w:bottom w:val="nil"/>
              <w:right w:val="nil"/>
            </w:tcBorders>
            <w:shd w:val="clear" w:color="auto" w:fill="auto"/>
            <w:noWrap/>
            <w:vAlign w:val="center"/>
            <w:hideMark/>
          </w:tcPr>
          <w:p w14:paraId="76E2386B" w14:textId="77777777" w:rsidR="00B66CC3" w:rsidRPr="004A5BF7" w:rsidRDefault="00B66CC3" w:rsidP="00B66CC3">
            <w:pPr>
              <w:spacing w:before="0" w:after="0"/>
              <w:jc w:val="center"/>
              <w:rPr>
                <w:rFonts w:cs="Arial"/>
                <w:sz w:val="18"/>
                <w:szCs w:val="18"/>
              </w:rPr>
            </w:pPr>
            <w:r w:rsidRPr="004A5BF7">
              <w:rPr>
                <w:rFonts w:cs="Arial"/>
                <w:sz w:val="18"/>
                <w:szCs w:val="18"/>
              </w:rPr>
              <w:t>717</w:t>
            </w:r>
          </w:p>
        </w:tc>
        <w:tc>
          <w:tcPr>
            <w:tcW w:w="285" w:type="pct"/>
            <w:tcBorders>
              <w:top w:val="nil"/>
              <w:left w:val="nil"/>
              <w:bottom w:val="nil"/>
              <w:right w:val="nil"/>
            </w:tcBorders>
            <w:shd w:val="clear" w:color="auto" w:fill="auto"/>
            <w:noWrap/>
            <w:vAlign w:val="center"/>
            <w:hideMark/>
          </w:tcPr>
          <w:p w14:paraId="5F9B5CBA" w14:textId="77777777" w:rsidR="00B66CC3" w:rsidRPr="004A5BF7" w:rsidRDefault="00B66CC3" w:rsidP="00B66CC3">
            <w:pPr>
              <w:spacing w:before="0" w:after="0"/>
              <w:jc w:val="center"/>
              <w:rPr>
                <w:rFonts w:cs="Arial"/>
                <w:sz w:val="18"/>
                <w:szCs w:val="18"/>
              </w:rPr>
            </w:pPr>
            <w:r w:rsidRPr="004A5BF7">
              <w:rPr>
                <w:rFonts w:cs="Arial"/>
                <w:sz w:val="18"/>
                <w:szCs w:val="18"/>
              </w:rPr>
              <w:t>620</w:t>
            </w:r>
          </w:p>
        </w:tc>
        <w:tc>
          <w:tcPr>
            <w:tcW w:w="285" w:type="pct"/>
            <w:tcBorders>
              <w:top w:val="nil"/>
              <w:left w:val="nil"/>
              <w:bottom w:val="nil"/>
              <w:right w:val="nil"/>
            </w:tcBorders>
            <w:shd w:val="clear" w:color="auto" w:fill="auto"/>
            <w:noWrap/>
            <w:vAlign w:val="center"/>
            <w:hideMark/>
          </w:tcPr>
          <w:p w14:paraId="66412F26" w14:textId="77777777" w:rsidR="00B66CC3" w:rsidRPr="004A5BF7" w:rsidRDefault="00B66CC3" w:rsidP="00B66CC3">
            <w:pPr>
              <w:spacing w:before="0" w:after="0"/>
              <w:jc w:val="center"/>
              <w:rPr>
                <w:rFonts w:cs="Arial"/>
                <w:sz w:val="18"/>
                <w:szCs w:val="18"/>
              </w:rPr>
            </w:pPr>
            <w:r w:rsidRPr="004A5BF7">
              <w:rPr>
                <w:rFonts w:cs="Arial"/>
                <w:sz w:val="18"/>
                <w:szCs w:val="18"/>
              </w:rPr>
              <w:t>937</w:t>
            </w:r>
          </w:p>
        </w:tc>
        <w:tc>
          <w:tcPr>
            <w:tcW w:w="325" w:type="pct"/>
            <w:tcBorders>
              <w:top w:val="nil"/>
              <w:left w:val="nil"/>
              <w:bottom w:val="nil"/>
              <w:right w:val="nil"/>
            </w:tcBorders>
            <w:shd w:val="clear" w:color="auto" w:fill="auto"/>
            <w:noWrap/>
            <w:vAlign w:val="center"/>
            <w:hideMark/>
          </w:tcPr>
          <w:p w14:paraId="6DBAAE00" w14:textId="77777777" w:rsidR="00B66CC3" w:rsidRPr="004A5BF7" w:rsidRDefault="00B66CC3" w:rsidP="00B66CC3">
            <w:pPr>
              <w:spacing w:before="0" w:after="0"/>
              <w:jc w:val="center"/>
              <w:rPr>
                <w:rFonts w:cs="Arial"/>
                <w:sz w:val="18"/>
                <w:szCs w:val="18"/>
              </w:rPr>
            </w:pPr>
            <w:r w:rsidRPr="004A5BF7">
              <w:rPr>
                <w:rFonts w:cs="Arial"/>
                <w:sz w:val="18"/>
                <w:szCs w:val="18"/>
              </w:rPr>
              <w:t>1,882</w:t>
            </w:r>
          </w:p>
        </w:tc>
        <w:tc>
          <w:tcPr>
            <w:tcW w:w="285" w:type="pct"/>
            <w:tcBorders>
              <w:top w:val="nil"/>
              <w:left w:val="nil"/>
              <w:bottom w:val="nil"/>
              <w:right w:val="nil"/>
            </w:tcBorders>
            <w:shd w:val="clear" w:color="auto" w:fill="auto"/>
            <w:noWrap/>
            <w:vAlign w:val="center"/>
            <w:hideMark/>
          </w:tcPr>
          <w:p w14:paraId="2DB2371A" w14:textId="77777777" w:rsidR="00B66CC3" w:rsidRPr="004A5BF7" w:rsidRDefault="00B66CC3" w:rsidP="00B66CC3">
            <w:pPr>
              <w:spacing w:before="0" w:after="0"/>
              <w:jc w:val="center"/>
              <w:rPr>
                <w:rFonts w:cs="Arial"/>
                <w:sz w:val="18"/>
                <w:szCs w:val="18"/>
              </w:rPr>
            </w:pPr>
            <w:r w:rsidRPr="004A5BF7">
              <w:rPr>
                <w:rFonts w:cs="Arial"/>
                <w:sz w:val="18"/>
                <w:szCs w:val="18"/>
              </w:rPr>
              <w:t>892</w:t>
            </w:r>
          </w:p>
        </w:tc>
        <w:tc>
          <w:tcPr>
            <w:tcW w:w="285" w:type="pct"/>
            <w:tcBorders>
              <w:top w:val="nil"/>
              <w:left w:val="nil"/>
              <w:bottom w:val="nil"/>
              <w:right w:val="nil"/>
            </w:tcBorders>
            <w:shd w:val="clear" w:color="auto" w:fill="auto"/>
            <w:noWrap/>
            <w:vAlign w:val="center"/>
            <w:hideMark/>
          </w:tcPr>
          <w:p w14:paraId="28F8B916" w14:textId="77777777" w:rsidR="00B66CC3" w:rsidRPr="004A5BF7" w:rsidRDefault="00B66CC3" w:rsidP="00B66CC3">
            <w:pPr>
              <w:spacing w:before="0" w:after="0"/>
              <w:jc w:val="center"/>
              <w:rPr>
                <w:rFonts w:cs="Arial"/>
                <w:sz w:val="18"/>
                <w:szCs w:val="18"/>
              </w:rPr>
            </w:pPr>
            <w:r w:rsidRPr="004A5BF7">
              <w:rPr>
                <w:rFonts w:cs="Arial"/>
                <w:sz w:val="18"/>
                <w:szCs w:val="18"/>
              </w:rPr>
              <w:t>338</w:t>
            </w:r>
          </w:p>
        </w:tc>
        <w:tc>
          <w:tcPr>
            <w:tcW w:w="283" w:type="pct"/>
            <w:tcBorders>
              <w:top w:val="nil"/>
              <w:left w:val="nil"/>
              <w:bottom w:val="nil"/>
              <w:right w:val="nil"/>
            </w:tcBorders>
            <w:shd w:val="clear" w:color="auto" w:fill="auto"/>
            <w:noWrap/>
            <w:vAlign w:val="center"/>
            <w:hideMark/>
          </w:tcPr>
          <w:p w14:paraId="68E15642" w14:textId="77777777" w:rsidR="00B66CC3" w:rsidRPr="004A5BF7" w:rsidRDefault="00B66CC3" w:rsidP="00B66CC3">
            <w:pPr>
              <w:spacing w:before="0" w:after="0"/>
              <w:jc w:val="center"/>
              <w:rPr>
                <w:rFonts w:cs="Arial"/>
                <w:sz w:val="18"/>
                <w:szCs w:val="18"/>
              </w:rPr>
            </w:pPr>
            <w:r w:rsidRPr="004A5BF7">
              <w:rPr>
                <w:rFonts w:cs="Arial"/>
                <w:sz w:val="18"/>
                <w:szCs w:val="18"/>
              </w:rPr>
              <w:t>286</w:t>
            </w:r>
          </w:p>
        </w:tc>
        <w:tc>
          <w:tcPr>
            <w:tcW w:w="243" w:type="pct"/>
            <w:tcBorders>
              <w:top w:val="nil"/>
              <w:left w:val="nil"/>
              <w:bottom w:val="nil"/>
              <w:right w:val="nil"/>
            </w:tcBorders>
            <w:shd w:val="clear" w:color="auto" w:fill="auto"/>
            <w:noWrap/>
            <w:vAlign w:val="center"/>
            <w:hideMark/>
          </w:tcPr>
          <w:p w14:paraId="27B716F1" w14:textId="77777777" w:rsidR="00B66CC3" w:rsidRPr="004A5BF7" w:rsidRDefault="00B66CC3" w:rsidP="00B66CC3">
            <w:pPr>
              <w:spacing w:before="0" w:after="0"/>
              <w:jc w:val="center"/>
              <w:rPr>
                <w:rFonts w:cs="Arial"/>
                <w:sz w:val="18"/>
                <w:szCs w:val="18"/>
              </w:rPr>
            </w:pPr>
            <w:r w:rsidRPr="004A5BF7">
              <w:rPr>
                <w:rFonts w:cs="Arial"/>
                <w:sz w:val="18"/>
                <w:szCs w:val="18"/>
              </w:rPr>
              <w:t>61</w:t>
            </w:r>
          </w:p>
        </w:tc>
      </w:tr>
      <w:tr w:rsidR="00B66CC3" w:rsidRPr="00E9409C" w14:paraId="69DAC376" w14:textId="77777777" w:rsidTr="00E662D3">
        <w:trPr>
          <w:trHeight w:val="454"/>
          <w:tblHeader/>
        </w:trPr>
        <w:tc>
          <w:tcPr>
            <w:tcW w:w="602" w:type="pct"/>
            <w:tcBorders>
              <w:top w:val="nil"/>
              <w:left w:val="nil"/>
              <w:bottom w:val="nil"/>
              <w:right w:val="nil"/>
            </w:tcBorders>
            <w:shd w:val="clear" w:color="auto" w:fill="auto"/>
            <w:noWrap/>
            <w:vAlign w:val="center"/>
            <w:hideMark/>
          </w:tcPr>
          <w:p w14:paraId="01EA4D65" w14:textId="77777777" w:rsidR="00B66CC3" w:rsidRPr="004A5BF7" w:rsidRDefault="00B66CC3" w:rsidP="004A5BF7">
            <w:pPr>
              <w:spacing w:before="0" w:after="0"/>
              <w:jc w:val="left"/>
              <w:rPr>
                <w:rFonts w:cs="Arial"/>
                <w:sz w:val="18"/>
                <w:szCs w:val="18"/>
              </w:rPr>
            </w:pPr>
            <w:r w:rsidRPr="004A5BF7">
              <w:rPr>
                <w:rFonts w:cs="Arial"/>
                <w:sz w:val="18"/>
                <w:szCs w:val="18"/>
              </w:rPr>
              <w:t>Pioneer</w:t>
            </w:r>
          </w:p>
        </w:tc>
        <w:tc>
          <w:tcPr>
            <w:tcW w:w="706" w:type="pct"/>
            <w:tcBorders>
              <w:top w:val="nil"/>
              <w:left w:val="nil"/>
              <w:bottom w:val="nil"/>
              <w:right w:val="nil"/>
            </w:tcBorders>
            <w:shd w:val="clear" w:color="auto" w:fill="auto"/>
            <w:noWrap/>
            <w:vAlign w:val="center"/>
            <w:hideMark/>
          </w:tcPr>
          <w:p w14:paraId="14A7D816" w14:textId="4DDAC778" w:rsidR="00B66CC3" w:rsidRPr="004A5BF7" w:rsidRDefault="00B66CC3" w:rsidP="004A5BF7">
            <w:pPr>
              <w:spacing w:before="0" w:after="0"/>
              <w:jc w:val="left"/>
              <w:rPr>
                <w:rFonts w:cs="Arial"/>
                <w:sz w:val="18"/>
                <w:szCs w:val="18"/>
              </w:rPr>
            </w:pPr>
            <w:r w:rsidRPr="004A5BF7">
              <w:rPr>
                <w:rFonts w:cs="Arial"/>
                <w:sz w:val="18"/>
                <w:szCs w:val="18"/>
              </w:rPr>
              <w:t>Mackay</w:t>
            </w:r>
            <w:r w:rsidR="000E764B">
              <w:rPr>
                <w:rFonts w:cs="Arial"/>
                <w:sz w:val="18"/>
                <w:szCs w:val="18"/>
              </w:rPr>
              <w:t xml:space="preserve"> </w:t>
            </w:r>
            <w:r w:rsidRPr="004A5BF7">
              <w:rPr>
                <w:rFonts w:cs="Arial"/>
                <w:sz w:val="18"/>
                <w:szCs w:val="18"/>
              </w:rPr>
              <w:t>Whitsunday</w:t>
            </w:r>
          </w:p>
        </w:tc>
        <w:tc>
          <w:tcPr>
            <w:tcW w:w="282" w:type="pct"/>
            <w:tcBorders>
              <w:top w:val="nil"/>
              <w:left w:val="nil"/>
              <w:bottom w:val="nil"/>
              <w:right w:val="nil"/>
            </w:tcBorders>
            <w:shd w:val="clear" w:color="auto" w:fill="auto"/>
            <w:noWrap/>
            <w:vAlign w:val="center"/>
            <w:hideMark/>
          </w:tcPr>
          <w:p w14:paraId="061986E9" w14:textId="77777777" w:rsidR="00B66CC3" w:rsidRPr="004A5BF7" w:rsidRDefault="00B66CC3" w:rsidP="00B66CC3">
            <w:pPr>
              <w:spacing w:before="0" w:after="0"/>
              <w:jc w:val="center"/>
              <w:rPr>
                <w:rFonts w:cs="Arial"/>
                <w:sz w:val="18"/>
                <w:szCs w:val="18"/>
              </w:rPr>
            </w:pPr>
            <w:r w:rsidRPr="004A5BF7">
              <w:rPr>
                <w:rFonts w:cs="Arial"/>
                <w:sz w:val="18"/>
                <w:szCs w:val="18"/>
              </w:rPr>
              <w:t>72</w:t>
            </w:r>
          </w:p>
        </w:tc>
        <w:tc>
          <w:tcPr>
            <w:tcW w:w="283" w:type="pct"/>
            <w:tcBorders>
              <w:top w:val="nil"/>
              <w:left w:val="nil"/>
              <w:bottom w:val="nil"/>
              <w:right w:val="nil"/>
            </w:tcBorders>
            <w:shd w:val="clear" w:color="auto" w:fill="auto"/>
            <w:noWrap/>
            <w:vAlign w:val="center"/>
            <w:hideMark/>
          </w:tcPr>
          <w:p w14:paraId="1C5944A1" w14:textId="77777777" w:rsidR="00B66CC3" w:rsidRPr="004A5BF7" w:rsidRDefault="00B66CC3" w:rsidP="00B66CC3">
            <w:pPr>
              <w:spacing w:before="0" w:after="0"/>
              <w:jc w:val="center"/>
              <w:rPr>
                <w:rFonts w:cs="Arial"/>
                <w:sz w:val="18"/>
                <w:szCs w:val="18"/>
              </w:rPr>
            </w:pPr>
            <w:r w:rsidRPr="004A5BF7">
              <w:rPr>
                <w:rFonts w:cs="Arial"/>
                <w:sz w:val="18"/>
                <w:szCs w:val="18"/>
              </w:rPr>
              <w:t>16</w:t>
            </w:r>
          </w:p>
        </w:tc>
        <w:tc>
          <w:tcPr>
            <w:tcW w:w="283" w:type="pct"/>
            <w:tcBorders>
              <w:top w:val="nil"/>
              <w:left w:val="nil"/>
              <w:bottom w:val="nil"/>
              <w:right w:val="nil"/>
            </w:tcBorders>
            <w:shd w:val="clear" w:color="auto" w:fill="auto"/>
            <w:noWrap/>
            <w:vAlign w:val="center"/>
            <w:hideMark/>
          </w:tcPr>
          <w:p w14:paraId="27AA9FDE" w14:textId="77777777" w:rsidR="00B66CC3" w:rsidRPr="004A5BF7" w:rsidRDefault="00B66CC3" w:rsidP="00B66CC3">
            <w:pPr>
              <w:spacing w:before="0" w:after="0"/>
              <w:jc w:val="center"/>
              <w:rPr>
                <w:rFonts w:cs="Arial"/>
                <w:sz w:val="18"/>
                <w:szCs w:val="18"/>
              </w:rPr>
            </w:pPr>
            <w:r w:rsidRPr="004A5BF7">
              <w:rPr>
                <w:rFonts w:cs="Arial"/>
                <w:sz w:val="18"/>
                <w:szCs w:val="18"/>
              </w:rPr>
              <w:t>143</w:t>
            </w:r>
          </w:p>
        </w:tc>
        <w:tc>
          <w:tcPr>
            <w:tcW w:w="283" w:type="pct"/>
            <w:tcBorders>
              <w:top w:val="nil"/>
              <w:left w:val="nil"/>
              <w:bottom w:val="nil"/>
              <w:right w:val="nil"/>
            </w:tcBorders>
            <w:shd w:val="clear" w:color="auto" w:fill="auto"/>
            <w:noWrap/>
            <w:vAlign w:val="center"/>
            <w:hideMark/>
          </w:tcPr>
          <w:p w14:paraId="57C3D725" w14:textId="77777777" w:rsidR="00B66CC3" w:rsidRPr="004A5BF7" w:rsidRDefault="00B66CC3" w:rsidP="00B66CC3">
            <w:pPr>
              <w:spacing w:before="0" w:after="0"/>
              <w:jc w:val="center"/>
              <w:rPr>
                <w:rFonts w:cs="Arial"/>
                <w:sz w:val="18"/>
                <w:szCs w:val="18"/>
              </w:rPr>
            </w:pPr>
            <w:r w:rsidRPr="004A5BF7">
              <w:rPr>
                <w:rFonts w:cs="Arial"/>
                <w:sz w:val="18"/>
                <w:szCs w:val="18"/>
              </w:rPr>
              <w:t>55</w:t>
            </w:r>
          </w:p>
        </w:tc>
        <w:tc>
          <w:tcPr>
            <w:tcW w:w="285" w:type="pct"/>
            <w:tcBorders>
              <w:top w:val="nil"/>
              <w:left w:val="nil"/>
              <w:bottom w:val="nil"/>
              <w:right w:val="nil"/>
            </w:tcBorders>
            <w:shd w:val="clear" w:color="auto" w:fill="auto"/>
            <w:noWrap/>
            <w:vAlign w:val="center"/>
            <w:hideMark/>
          </w:tcPr>
          <w:p w14:paraId="0F219BEF" w14:textId="77777777" w:rsidR="00B66CC3" w:rsidRPr="004A5BF7" w:rsidRDefault="00B66CC3" w:rsidP="00B66CC3">
            <w:pPr>
              <w:spacing w:before="0" w:after="0"/>
              <w:jc w:val="center"/>
              <w:rPr>
                <w:rFonts w:cs="Arial"/>
                <w:sz w:val="18"/>
                <w:szCs w:val="18"/>
              </w:rPr>
            </w:pPr>
            <w:r w:rsidRPr="004A5BF7">
              <w:rPr>
                <w:rFonts w:cs="Arial"/>
                <w:sz w:val="18"/>
                <w:szCs w:val="18"/>
              </w:rPr>
              <w:t>723</w:t>
            </w:r>
          </w:p>
        </w:tc>
        <w:tc>
          <w:tcPr>
            <w:tcW w:w="285" w:type="pct"/>
            <w:tcBorders>
              <w:top w:val="nil"/>
              <w:left w:val="nil"/>
              <w:bottom w:val="nil"/>
              <w:right w:val="nil"/>
            </w:tcBorders>
            <w:shd w:val="clear" w:color="auto" w:fill="auto"/>
            <w:noWrap/>
            <w:vAlign w:val="center"/>
            <w:hideMark/>
          </w:tcPr>
          <w:p w14:paraId="1767CC1C" w14:textId="77777777" w:rsidR="00B66CC3" w:rsidRPr="004A5BF7" w:rsidRDefault="00B66CC3" w:rsidP="00B66CC3">
            <w:pPr>
              <w:spacing w:before="0" w:after="0"/>
              <w:jc w:val="center"/>
              <w:rPr>
                <w:rFonts w:cs="Arial"/>
                <w:sz w:val="18"/>
                <w:szCs w:val="18"/>
              </w:rPr>
            </w:pPr>
            <w:r w:rsidRPr="004A5BF7">
              <w:rPr>
                <w:rFonts w:cs="Arial"/>
                <w:sz w:val="18"/>
                <w:szCs w:val="18"/>
              </w:rPr>
              <w:t>1,038</w:t>
            </w:r>
          </w:p>
        </w:tc>
        <w:tc>
          <w:tcPr>
            <w:tcW w:w="285" w:type="pct"/>
            <w:tcBorders>
              <w:top w:val="nil"/>
              <w:left w:val="nil"/>
              <w:bottom w:val="nil"/>
              <w:right w:val="nil"/>
            </w:tcBorders>
            <w:shd w:val="clear" w:color="auto" w:fill="auto"/>
            <w:noWrap/>
            <w:vAlign w:val="center"/>
            <w:hideMark/>
          </w:tcPr>
          <w:p w14:paraId="040E0F10" w14:textId="77777777" w:rsidR="00B66CC3" w:rsidRPr="004A5BF7" w:rsidRDefault="00B66CC3" w:rsidP="00B66CC3">
            <w:pPr>
              <w:spacing w:before="0" w:after="0"/>
              <w:jc w:val="center"/>
              <w:rPr>
                <w:rFonts w:cs="Arial"/>
                <w:sz w:val="18"/>
                <w:szCs w:val="18"/>
              </w:rPr>
            </w:pPr>
            <w:r w:rsidRPr="004A5BF7">
              <w:rPr>
                <w:rFonts w:cs="Arial"/>
                <w:sz w:val="18"/>
                <w:szCs w:val="18"/>
              </w:rPr>
              <w:t>783</w:t>
            </w:r>
          </w:p>
        </w:tc>
        <w:tc>
          <w:tcPr>
            <w:tcW w:w="285" w:type="pct"/>
            <w:tcBorders>
              <w:top w:val="nil"/>
              <w:left w:val="nil"/>
              <w:bottom w:val="nil"/>
              <w:right w:val="nil"/>
            </w:tcBorders>
            <w:shd w:val="clear" w:color="auto" w:fill="auto"/>
            <w:noWrap/>
            <w:vAlign w:val="center"/>
            <w:hideMark/>
          </w:tcPr>
          <w:p w14:paraId="2A6497D4" w14:textId="77777777" w:rsidR="00B66CC3" w:rsidRPr="004A5BF7" w:rsidRDefault="00B66CC3" w:rsidP="00B66CC3">
            <w:pPr>
              <w:spacing w:before="0" w:after="0"/>
              <w:jc w:val="center"/>
              <w:rPr>
                <w:rFonts w:cs="Arial"/>
                <w:sz w:val="18"/>
                <w:szCs w:val="18"/>
              </w:rPr>
            </w:pPr>
            <w:r w:rsidRPr="004A5BF7">
              <w:rPr>
                <w:rFonts w:cs="Arial"/>
                <w:sz w:val="18"/>
                <w:szCs w:val="18"/>
              </w:rPr>
              <w:t>990</w:t>
            </w:r>
          </w:p>
        </w:tc>
        <w:tc>
          <w:tcPr>
            <w:tcW w:w="325" w:type="pct"/>
            <w:tcBorders>
              <w:top w:val="nil"/>
              <w:left w:val="nil"/>
              <w:bottom w:val="nil"/>
              <w:right w:val="nil"/>
            </w:tcBorders>
            <w:shd w:val="clear" w:color="auto" w:fill="auto"/>
            <w:noWrap/>
            <w:vAlign w:val="center"/>
            <w:hideMark/>
          </w:tcPr>
          <w:p w14:paraId="702170A3" w14:textId="77777777" w:rsidR="00B66CC3" w:rsidRPr="004A5BF7" w:rsidRDefault="00B66CC3" w:rsidP="00B66CC3">
            <w:pPr>
              <w:spacing w:before="0" w:after="0"/>
              <w:jc w:val="center"/>
              <w:rPr>
                <w:rFonts w:cs="Arial"/>
                <w:sz w:val="18"/>
                <w:szCs w:val="18"/>
              </w:rPr>
            </w:pPr>
            <w:r w:rsidRPr="004A5BF7">
              <w:rPr>
                <w:rFonts w:cs="Arial"/>
                <w:sz w:val="18"/>
                <w:szCs w:val="18"/>
              </w:rPr>
              <w:t>2,500</w:t>
            </w:r>
          </w:p>
        </w:tc>
        <w:tc>
          <w:tcPr>
            <w:tcW w:w="285" w:type="pct"/>
            <w:tcBorders>
              <w:top w:val="nil"/>
              <w:left w:val="nil"/>
              <w:bottom w:val="nil"/>
              <w:right w:val="nil"/>
            </w:tcBorders>
            <w:shd w:val="clear" w:color="auto" w:fill="auto"/>
            <w:noWrap/>
            <w:vAlign w:val="center"/>
            <w:hideMark/>
          </w:tcPr>
          <w:p w14:paraId="4DEB0823" w14:textId="77777777" w:rsidR="00B66CC3" w:rsidRPr="004A5BF7" w:rsidRDefault="00B66CC3" w:rsidP="00B66CC3">
            <w:pPr>
              <w:spacing w:before="0" w:after="0"/>
              <w:jc w:val="center"/>
              <w:rPr>
                <w:rFonts w:cs="Arial"/>
                <w:sz w:val="18"/>
                <w:szCs w:val="18"/>
              </w:rPr>
            </w:pPr>
            <w:r w:rsidRPr="004A5BF7">
              <w:rPr>
                <w:rFonts w:cs="Arial"/>
                <w:sz w:val="18"/>
                <w:szCs w:val="18"/>
              </w:rPr>
              <w:t>1,080</w:t>
            </w:r>
          </w:p>
        </w:tc>
        <w:tc>
          <w:tcPr>
            <w:tcW w:w="285" w:type="pct"/>
            <w:tcBorders>
              <w:top w:val="nil"/>
              <w:left w:val="nil"/>
              <w:bottom w:val="nil"/>
              <w:right w:val="nil"/>
            </w:tcBorders>
            <w:shd w:val="clear" w:color="auto" w:fill="auto"/>
            <w:noWrap/>
            <w:vAlign w:val="center"/>
            <w:hideMark/>
          </w:tcPr>
          <w:p w14:paraId="4CA40859" w14:textId="77777777" w:rsidR="00B66CC3" w:rsidRPr="004A5BF7" w:rsidRDefault="00B66CC3" w:rsidP="00B66CC3">
            <w:pPr>
              <w:spacing w:before="0" w:after="0"/>
              <w:jc w:val="center"/>
              <w:rPr>
                <w:rFonts w:cs="Arial"/>
                <w:sz w:val="18"/>
                <w:szCs w:val="18"/>
              </w:rPr>
            </w:pPr>
            <w:r w:rsidRPr="004A5BF7">
              <w:rPr>
                <w:rFonts w:cs="Arial"/>
                <w:sz w:val="18"/>
                <w:szCs w:val="18"/>
              </w:rPr>
              <w:t>801</w:t>
            </w:r>
          </w:p>
        </w:tc>
        <w:tc>
          <w:tcPr>
            <w:tcW w:w="283" w:type="pct"/>
            <w:tcBorders>
              <w:top w:val="nil"/>
              <w:left w:val="nil"/>
              <w:bottom w:val="nil"/>
              <w:right w:val="nil"/>
            </w:tcBorders>
            <w:shd w:val="clear" w:color="auto" w:fill="auto"/>
            <w:noWrap/>
            <w:vAlign w:val="center"/>
            <w:hideMark/>
          </w:tcPr>
          <w:p w14:paraId="4BE10BCF" w14:textId="77777777" w:rsidR="00B66CC3" w:rsidRPr="004A5BF7" w:rsidRDefault="00B66CC3" w:rsidP="00B66CC3">
            <w:pPr>
              <w:spacing w:before="0" w:after="0"/>
              <w:jc w:val="center"/>
              <w:rPr>
                <w:rFonts w:cs="Arial"/>
                <w:sz w:val="18"/>
                <w:szCs w:val="18"/>
              </w:rPr>
            </w:pPr>
            <w:r w:rsidRPr="004A5BF7">
              <w:rPr>
                <w:rFonts w:cs="Arial"/>
                <w:sz w:val="18"/>
                <w:szCs w:val="18"/>
              </w:rPr>
              <w:t>438</w:t>
            </w:r>
          </w:p>
        </w:tc>
        <w:tc>
          <w:tcPr>
            <w:tcW w:w="243" w:type="pct"/>
            <w:tcBorders>
              <w:top w:val="nil"/>
              <w:left w:val="nil"/>
              <w:bottom w:val="nil"/>
              <w:right w:val="nil"/>
            </w:tcBorders>
            <w:shd w:val="clear" w:color="auto" w:fill="auto"/>
            <w:noWrap/>
            <w:vAlign w:val="center"/>
            <w:hideMark/>
          </w:tcPr>
          <w:p w14:paraId="138ED6FF" w14:textId="77777777" w:rsidR="00B66CC3" w:rsidRPr="004A5BF7" w:rsidRDefault="00B66CC3" w:rsidP="00B66CC3">
            <w:pPr>
              <w:spacing w:before="0" w:after="0"/>
              <w:jc w:val="center"/>
              <w:rPr>
                <w:rFonts w:cs="Arial"/>
                <w:sz w:val="18"/>
                <w:szCs w:val="18"/>
              </w:rPr>
            </w:pPr>
            <w:r w:rsidRPr="004A5BF7">
              <w:rPr>
                <w:rFonts w:cs="Arial"/>
                <w:sz w:val="18"/>
                <w:szCs w:val="18"/>
              </w:rPr>
              <w:t>91</w:t>
            </w:r>
          </w:p>
        </w:tc>
      </w:tr>
      <w:tr w:rsidR="00B66CC3" w:rsidRPr="00E9409C" w14:paraId="6E4ECC18" w14:textId="77777777" w:rsidTr="00E662D3">
        <w:trPr>
          <w:trHeight w:val="454"/>
          <w:tblHeader/>
        </w:trPr>
        <w:tc>
          <w:tcPr>
            <w:tcW w:w="602" w:type="pct"/>
            <w:tcBorders>
              <w:top w:val="nil"/>
              <w:left w:val="nil"/>
              <w:bottom w:val="nil"/>
              <w:right w:val="nil"/>
            </w:tcBorders>
            <w:shd w:val="clear" w:color="auto" w:fill="auto"/>
            <w:noWrap/>
            <w:vAlign w:val="center"/>
            <w:hideMark/>
          </w:tcPr>
          <w:p w14:paraId="08896302" w14:textId="77777777" w:rsidR="00B66CC3" w:rsidRPr="004A5BF7" w:rsidRDefault="00B66CC3" w:rsidP="004A5BF7">
            <w:pPr>
              <w:spacing w:before="0" w:after="0"/>
              <w:jc w:val="left"/>
              <w:rPr>
                <w:rFonts w:cs="Arial"/>
                <w:sz w:val="18"/>
                <w:szCs w:val="18"/>
              </w:rPr>
            </w:pPr>
            <w:r w:rsidRPr="004A5BF7">
              <w:rPr>
                <w:rFonts w:cs="Arial"/>
                <w:sz w:val="18"/>
                <w:szCs w:val="18"/>
              </w:rPr>
              <w:t>Plane</w:t>
            </w:r>
          </w:p>
        </w:tc>
        <w:tc>
          <w:tcPr>
            <w:tcW w:w="706" w:type="pct"/>
            <w:tcBorders>
              <w:top w:val="nil"/>
              <w:left w:val="nil"/>
              <w:bottom w:val="nil"/>
              <w:right w:val="nil"/>
            </w:tcBorders>
            <w:shd w:val="clear" w:color="auto" w:fill="auto"/>
            <w:noWrap/>
            <w:vAlign w:val="center"/>
            <w:hideMark/>
          </w:tcPr>
          <w:p w14:paraId="19A7EEBD" w14:textId="5D2314D1" w:rsidR="00B66CC3" w:rsidRPr="004A5BF7" w:rsidRDefault="00B66CC3" w:rsidP="004A5BF7">
            <w:pPr>
              <w:spacing w:before="0" w:after="0"/>
              <w:jc w:val="left"/>
              <w:rPr>
                <w:rFonts w:cs="Arial"/>
                <w:sz w:val="18"/>
                <w:szCs w:val="18"/>
              </w:rPr>
            </w:pPr>
            <w:r w:rsidRPr="004A5BF7">
              <w:rPr>
                <w:rFonts w:cs="Arial"/>
                <w:sz w:val="18"/>
                <w:szCs w:val="18"/>
              </w:rPr>
              <w:t>Macka</w:t>
            </w:r>
            <w:r w:rsidR="000E764B">
              <w:rPr>
                <w:rFonts w:cs="Arial"/>
                <w:sz w:val="18"/>
                <w:szCs w:val="18"/>
              </w:rPr>
              <w:t xml:space="preserve">y </w:t>
            </w:r>
            <w:r w:rsidRPr="004A5BF7">
              <w:rPr>
                <w:rFonts w:cs="Arial"/>
                <w:sz w:val="18"/>
                <w:szCs w:val="18"/>
              </w:rPr>
              <w:t>Whitsunday</w:t>
            </w:r>
          </w:p>
        </w:tc>
        <w:tc>
          <w:tcPr>
            <w:tcW w:w="282" w:type="pct"/>
            <w:tcBorders>
              <w:top w:val="nil"/>
              <w:left w:val="nil"/>
              <w:bottom w:val="nil"/>
              <w:right w:val="nil"/>
            </w:tcBorders>
            <w:shd w:val="clear" w:color="auto" w:fill="auto"/>
            <w:noWrap/>
            <w:vAlign w:val="center"/>
            <w:hideMark/>
          </w:tcPr>
          <w:p w14:paraId="5A7E862D" w14:textId="77777777" w:rsidR="00B66CC3" w:rsidRPr="004A5BF7" w:rsidRDefault="00B66CC3" w:rsidP="00B66CC3">
            <w:pPr>
              <w:spacing w:before="0" w:after="0"/>
              <w:jc w:val="center"/>
              <w:rPr>
                <w:rFonts w:cs="Arial"/>
                <w:sz w:val="18"/>
                <w:szCs w:val="18"/>
              </w:rPr>
            </w:pPr>
            <w:r w:rsidRPr="004A5BF7">
              <w:rPr>
                <w:rFonts w:cs="Arial"/>
                <w:sz w:val="18"/>
                <w:szCs w:val="18"/>
              </w:rPr>
              <w:t>237</w:t>
            </w:r>
          </w:p>
        </w:tc>
        <w:tc>
          <w:tcPr>
            <w:tcW w:w="283" w:type="pct"/>
            <w:tcBorders>
              <w:top w:val="nil"/>
              <w:left w:val="nil"/>
              <w:bottom w:val="nil"/>
              <w:right w:val="nil"/>
            </w:tcBorders>
            <w:shd w:val="clear" w:color="auto" w:fill="auto"/>
            <w:noWrap/>
            <w:vAlign w:val="center"/>
            <w:hideMark/>
          </w:tcPr>
          <w:p w14:paraId="42EE4B0F" w14:textId="77777777" w:rsidR="00B66CC3" w:rsidRPr="004A5BF7" w:rsidRDefault="00B66CC3" w:rsidP="00B66CC3">
            <w:pPr>
              <w:spacing w:before="0" w:after="0"/>
              <w:jc w:val="center"/>
              <w:rPr>
                <w:rFonts w:cs="Arial"/>
                <w:sz w:val="18"/>
                <w:szCs w:val="18"/>
              </w:rPr>
            </w:pPr>
            <w:r w:rsidRPr="004A5BF7">
              <w:rPr>
                <w:rFonts w:cs="Arial"/>
                <w:sz w:val="18"/>
                <w:szCs w:val="18"/>
              </w:rPr>
              <w:t>50</w:t>
            </w:r>
          </w:p>
        </w:tc>
        <w:tc>
          <w:tcPr>
            <w:tcW w:w="283" w:type="pct"/>
            <w:tcBorders>
              <w:top w:val="nil"/>
              <w:left w:val="nil"/>
              <w:bottom w:val="nil"/>
              <w:right w:val="nil"/>
            </w:tcBorders>
            <w:shd w:val="clear" w:color="auto" w:fill="auto"/>
            <w:noWrap/>
            <w:vAlign w:val="center"/>
            <w:hideMark/>
          </w:tcPr>
          <w:p w14:paraId="4AC248B4" w14:textId="77777777" w:rsidR="00B66CC3" w:rsidRPr="004A5BF7" w:rsidRDefault="00B66CC3" w:rsidP="00B66CC3">
            <w:pPr>
              <w:spacing w:before="0" w:after="0"/>
              <w:jc w:val="center"/>
              <w:rPr>
                <w:rFonts w:cs="Arial"/>
                <w:sz w:val="18"/>
                <w:szCs w:val="18"/>
              </w:rPr>
            </w:pPr>
            <w:r w:rsidRPr="004A5BF7">
              <w:rPr>
                <w:rFonts w:cs="Arial"/>
                <w:sz w:val="18"/>
                <w:szCs w:val="18"/>
              </w:rPr>
              <w:t>339</w:t>
            </w:r>
          </w:p>
        </w:tc>
        <w:tc>
          <w:tcPr>
            <w:tcW w:w="283" w:type="pct"/>
            <w:tcBorders>
              <w:top w:val="nil"/>
              <w:left w:val="nil"/>
              <w:bottom w:val="nil"/>
              <w:right w:val="nil"/>
            </w:tcBorders>
            <w:shd w:val="clear" w:color="auto" w:fill="auto"/>
            <w:noWrap/>
            <w:vAlign w:val="center"/>
            <w:hideMark/>
          </w:tcPr>
          <w:p w14:paraId="1A6BFB75" w14:textId="77777777" w:rsidR="00B66CC3" w:rsidRPr="004A5BF7" w:rsidRDefault="00B66CC3" w:rsidP="00B66CC3">
            <w:pPr>
              <w:spacing w:before="0" w:after="0"/>
              <w:jc w:val="center"/>
              <w:rPr>
                <w:rFonts w:cs="Arial"/>
                <w:sz w:val="18"/>
                <w:szCs w:val="18"/>
              </w:rPr>
            </w:pPr>
            <w:r w:rsidRPr="004A5BF7">
              <w:rPr>
                <w:rFonts w:cs="Arial"/>
                <w:sz w:val="18"/>
                <w:szCs w:val="18"/>
              </w:rPr>
              <w:t>30</w:t>
            </w:r>
          </w:p>
        </w:tc>
        <w:tc>
          <w:tcPr>
            <w:tcW w:w="285" w:type="pct"/>
            <w:tcBorders>
              <w:top w:val="nil"/>
              <w:left w:val="nil"/>
              <w:bottom w:val="nil"/>
              <w:right w:val="nil"/>
            </w:tcBorders>
            <w:shd w:val="clear" w:color="auto" w:fill="auto"/>
            <w:noWrap/>
            <w:vAlign w:val="center"/>
            <w:hideMark/>
          </w:tcPr>
          <w:p w14:paraId="3B9A77B8" w14:textId="77777777" w:rsidR="00B66CC3" w:rsidRPr="004A5BF7" w:rsidRDefault="00B66CC3" w:rsidP="00B66CC3">
            <w:pPr>
              <w:spacing w:before="0" w:after="0"/>
              <w:jc w:val="center"/>
              <w:rPr>
                <w:rFonts w:cs="Arial"/>
                <w:sz w:val="18"/>
                <w:szCs w:val="18"/>
              </w:rPr>
            </w:pPr>
            <w:r w:rsidRPr="004A5BF7">
              <w:rPr>
                <w:rFonts w:cs="Arial"/>
                <w:sz w:val="18"/>
                <w:szCs w:val="18"/>
              </w:rPr>
              <w:t>775</w:t>
            </w:r>
          </w:p>
        </w:tc>
        <w:tc>
          <w:tcPr>
            <w:tcW w:w="285" w:type="pct"/>
            <w:tcBorders>
              <w:top w:val="nil"/>
              <w:left w:val="nil"/>
              <w:bottom w:val="nil"/>
              <w:right w:val="nil"/>
            </w:tcBorders>
            <w:shd w:val="clear" w:color="auto" w:fill="auto"/>
            <w:noWrap/>
            <w:vAlign w:val="center"/>
            <w:hideMark/>
          </w:tcPr>
          <w:p w14:paraId="2FEF9ADF" w14:textId="77777777" w:rsidR="00B66CC3" w:rsidRPr="004A5BF7" w:rsidRDefault="00B66CC3" w:rsidP="00B66CC3">
            <w:pPr>
              <w:spacing w:before="0" w:after="0"/>
              <w:jc w:val="center"/>
              <w:rPr>
                <w:rFonts w:cs="Arial"/>
                <w:sz w:val="18"/>
                <w:szCs w:val="18"/>
              </w:rPr>
            </w:pPr>
            <w:r w:rsidRPr="004A5BF7">
              <w:rPr>
                <w:rFonts w:cs="Arial"/>
                <w:sz w:val="18"/>
                <w:szCs w:val="18"/>
              </w:rPr>
              <w:t>1,643</w:t>
            </w:r>
          </w:p>
        </w:tc>
        <w:tc>
          <w:tcPr>
            <w:tcW w:w="285" w:type="pct"/>
            <w:tcBorders>
              <w:top w:val="nil"/>
              <w:left w:val="nil"/>
              <w:bottom w:val="nil"/>
              <w:right w:val="nil"/>
            </w:tcBorders>
            <w:shd w:val="clear" w:color="auto" w:fill="auto"/>
            <w:noWrap/>
            <w:vAlign w:val="center"/>
            <w:hideMark/>
          </w:tcPr>
          <w:p w14:paraId="16152C5D" w14:textId="77777777" w:rsidR="00B66CC3" w:rsidRPr="004A5BF7" w:rsidRDefault="00B66CC3" w:rsidP="00B66CC3">
            <w:pPr>
              <w:spacing w:before="0" w:after="0"/>
              <w:jc w:val="center"/>
              <w:rPr>
                <w:rFonts w:cs="Arial"/>
                <w:sz w:val="18"/>
                <w:szCs w:val="18"/>
              </w:rPr>
            </w:pPr>
            <w:r w:rsidRPr="004A5BF7">
              <w:rPr>
                <w:rFonts w:cs="Arial"/>
                <w:sz w:val="18"/>
                <w:szCs w:val="18"/>
              </w:rPr>
              <w:t>997</w:t>
            </w:r>
          </w:p>
        </w:tc>
        <w:tc>
          <w:tcPr>
            <w:tcW w:w="285" w:type="pct"/>
            <w:tcBorders>
              <w:top w:val="nil"/>
              <w:left w:val="nil"/>
              <w:bottom w:val="nil"/>
              <w:right w:val="nil"/>
            </w:tcBorders>
            <w:shd w:val="clear" w:color="auto" w:fill="auto"/>
            <w:noWrap/>
            <w:vAlign w:val="center"/>
            <w:hideMark/>
          </w:tcPr>
          <w:p w14:paraId="4553ACF9" w14:textId="77777777" w:rsidR="00B66CC3" w:rsidRPr="004A5BF7" w:rsidRDefault="00B66CC3" w:rsidP="00B66CC3">
            <w:pPr>
              <w:spacing w:before="0" w:after="0"/>
              <w:jc w:val="center"/>
              <w:rPr>
                <w:rFonts w:cs="Arial"/>
                <w:sz w:val="18"/>
                <w:szCs w:val="18"/>
              </w:rPr>
            </w:pPr>
            <w:r w:rsidRPr="004A5BF7">
              <w:rPr>
                <w:rFonts w:cs="Arial"/>
                <w:sz w:val="18"/>
                <w:szCs w:val="18"/>
              </w:rPr>
              <w:t>1,651</w:t>
            </w:r>
          </w:p>
        </w:tc>
        <w:tc>
          <w:tcPr>
            <w:tcW w:w="325" w:type="pct"/>
            <w:tcBorders>
              <w:top w:val="nil"/>
              <w:left w:val="nil"/>
              <w:bottom w:val="nil"/>
              <w:right w:val="nil"/>
            </w:tcBorders>
            <w:shd w:val="clear" w:color="auto" w:fill="auto"/>
            <w:noWrap/>
            <w:vAlign w:val="center"/>
            <w:hideMark/>
          </w:tcPr>
          <w:p w14:paraId="361FA759" w14:textId="77777777" w:rsidR="00B66CC3" w:rsidRPr="004A5BF7" w:rsidRDefault="00B66CC3" w:rsidP="00B66CC3">
            <w:pPr>
              <w:spacing w:before="0" w:after="0"/>
              <w:jc w:val="center"/>
              <w:rPr>
                <w:rFonts w:cs="Arial"/>
                <w:sz w:val="18"/>
                <w:szCs w:val="18"/>
              </w:rPr>
            </w:pPr>
            <w:r w:rsidRPr="004A5BF7">
              <w:rPr>
                <w:rFonts w:cs="Arial"/>
                <w:sz w:val="18"/>
                <w:szCs w:val="18"/>
              </w:rPr>
              <w:t>3,046</w:t>
            </w:r>
          </w:p>
        </w:tc>
        <w:tc>
          <w:tcPr>
            <w:tcW w:w="285" w:type="pct"/>
            <w:tcBorders>
              <w:top w:val="nil"/>
              <w:left w:val="nil"/>
              <w:bottom w:val="nil"/>
              <w:right w:val="nil"/>
            </w:tcBorders>
            <w:shd w:val="clear" w:color="auto" w:fill="auto"/>
            <w:noWrap/>
            <w:vAlign w:val="center"/>
            <w:hideMark/>
          </w:tcPr>
          <w:p w14:paraId="7763C178" w14:textId="77777777" w:rsidR="00B66CC3" w:rsidRPr="004A5BF7" w:rsidRDefault="00B66CC3" w:rsidP="00B66CC3">
            <w:pPr>
              <w:spacing w:before="0" w:after="0"/>
              <w:jc w:val="center"/>
              <w:rPr>
                <w:rFonts w:cs="Arial"/>
                <w:sz w:val="18"/>
                <w:szCs w:val="18"/>
              </w:rPr>
            </w:pPr>
            <w:r w:rsidRPr="004A5BF7">
              <w:rPr>
                <w:rFonts w:cs="Arial"/>
                <w:sz w:val="18"/>
                <w:szCs w:val="18"/>
              </w:rPr>
              <w:t>1,808</w:t>
            </w:r>
          </w:p>
        </w:tc>
        <w:tc>
          <w:tcPr>
            <w:tcW w:w="285" w:type="pct"/>
            <w:tcBorders>
              <w:top w:val="nil"/>
              <w:left w:val="nil"/>
              <w:bottom w:val="nil"/>
              <w:right w:val="nil"/>
            </w:tcBorders>
            <w:shd w:val="clear" w:color="auto" w:fill="auto"/>
            <w:noWrap/>
            <w:vAlign w:val="center"/>
            <w:hideMark/>
          </w:tcPr>
          <w:p w14:paraId="49020504" w14:textId="77777777" w:rsidR="00B66CC3" w:rsidRPr="004A5BF7" w:rsidRDefault="00B66CC3" w:rsidP="00B66CC3">
            <w:pPr>
              <w:spacing w:before="0" w:after="0"/>
              <w:jc w:val="center"/>
              <w:rPr>
                <w:rFonts w:cs="Arial"/>
                <w:sz w:val="18"/>
                <w:szCs w:val="18"/>
              </w:rPr>
            </w:pPr>
            <w:r w:rsidRPr="004A5BF7">
              <w:rPr>
                <w:rFonts w:cs="Arial"/>
                <w:sz w:val="18"/>
                <w:szCs w:val="18"/>
              </w:rPr>
              <w:t>1,234</w:t>
            </w:r>
          </w:p>
        </w:tc>
        <w:tc>
          <w:tcPr>
            <w:tcW w:w="283" w:type="pct"/>
            <w:tcBorders>
              <w:top w:val="nil"/>
              <w:left w:val="nil"/>
              <w:bottom w:val="nil"/>
              <w:right w:val="nil"/>
            </w:tcBorders>
            <w:shd w:val="clear" w:color="auto" w:fill="auto"/>
            <w:noWrap/>
            <w:vAlign w:val="center"/>
            <w:hideMark/>
          </w:tcPr>
          <w:p w14:paraId="6D873DFF" w14:textId="77777777" w:rsidR="00B66CC3" w:rsidRPr="004A5BF7" w:rsidRDefault="00B66CC3" w:rsidP="00B66CC3">
            <w:pPr>
              <w:spacing w:before="0" w:after="0"/>
              <w:jc w:val="center"/>
              <w:rPr>
                <w:rFonts w:cs="Arial"/>
                <w:sz w:val="18"/>
                <w:szCs w:val="18"/>
              </w:rPr>
            </w:pPr>
            <w:r w:rsidRPr="004A5BF7">
              <w:rPr>
                <w:rFonts w:cs="Arial"/>
                <w:sz w:val="18"/>
                <w:szCs w:val="18"/>
              </w:rPr>
              <w:t>467</w:t>
            </w:r>
          </w:p>
        </w:tc>
        <w:tc>
          <w:tcPr>
            <w:tcW w:w="243" w:type="pct"/>
            <w:tcBorders>
              <w:top w:val="nil"/>
              <w:left w:val="nil"/>
              <w:bottom w:val="nil"/>
              <w:right w:val="nil"/>
            </w:tcBorders>
            <w:shd w:val="clear" w:color="auto" w:fill="auto"/>
            <w:noWrap/>
            <w:vAlign w:val="center"/>
            <w:hideMark/>
          </w:tcPr>
          <w:p w14:paraId="78624DC7" w14:textId="77777777" w:rsidR="00B66CC3" w:rsidRPr="004A5BF7" w:rsidRDefault="00B66CC3" w:rsidP="00B66CC3">
            <w:pPr>
              <w:spacing w:before="0" w:after="0"/>
              <w:jc w:val="center"/>
              <w:rPr>
                <w:rFonts w:cs="Arial"/>
                <w:sz w:val="18"/>
                <w:szCs w:val="18"/>
              </w:rPr>
            </w:pPr>
            <w:r w:rsidRPr="004A5BF7">
              <w:rPr>
                <w:rFonts w:cs="Arial"/>
                <w:sz w:val="18"/>
                <w:szCs w:val="18"/>
              </w:rPr>
              <w:t>151</w:t>
            </w:r>
          </w:p>
        </w:tc>
      </w:tr>
      <w:tr w:rsidR="00B66CC3" w:rsidRPr="00E9409C" w14:paraId="67042703" w14:textId="77777777" w:rsidTr="00E662D3">
        <w:trPr>
          <w:trHeight w:val="454"/>
          <w:tblHeader/>
        </w:trPr>
        <w:tc>
          <w:tcPr>
            <w:tcW w:w="602" w:type="pct"/>
            <w:tcBorders>
              <w:top w:val="nil"/>
              <w:left w:val="nil"/>
              <w:bottom w:val="nil"/>
              <w:right w:val="nil"/>
            </w:tcBorders>
            <w:shd w:val="clear" w:color="auto" w:fill="auto"/>
            <w:noWrap/>
            <w:vAlign w:val="center"/>
            <w:hideMark/>
          </w:tcPr>
          <w:p w14:paraId="5FF897D9" w14:textId="77777777" w:rsidR="00B66CC3" w:rsidRPr="004A5BF7" w:rsidRDefault="00B66CC3" w:rsidP="004A5BF7">
            <w:pPr>
              <w:spacing w:before="0" w:after="0"/>
              <w:jc w:val="left"/>
              <w:rPr>
                <w:rFonts w:cs="Arial"/>
                <w:sz w:val="18"/>
                <w:szCs w:val="18"/>
              </w:rPr>
            </w:pPr>
            <w:r w:rsidRPr="004A5BF7">
              <w:rPr>
                <w:rFonts w:cs="Arial"/>
                <w:sz w:val="18"/>
                <w:szCs w:val="18"/>
              </w:rPr>
              <w:t>Fitzroy</w:t>
            </w:r>
          </w:p>
        </w:tc>
        <w:tc>
          <w:tcPr>
            <w:tcW w:w="706" w:type="pct"/>
            <w:tcBorders>
              <w:top w:val="nil"/>
              <w:left w:val="nil"/>
              <w:bottom w:val="nil"/>
              <w:right w:val="nil"/>
            </w:tcBorders>
            <w:shd w:val="clear" w:color="auto" w:fill="auto"/>
            <w:noWrap/>
            <w:vAlign w:val="center"/>
            <w:hideMark/>
          </w:tcPr>
          <w:p w14:paraId="5EE645A8" w14:textId="77777777" w:rsidR="00B66CC3" w:rsidRPr="004A5BF7" w:rsidRDefault="00B66CC3" w:rsidP="004A5BF7">
            <w:pPr>
              <w:spacing w:before="0" w:after="0"/>
              <w:jc w:val="left"/>
              <w:rPr>
                <w:rFonts w:cs="Arial"/>
                <w:sz w:val="18"/>
                <w:szCs w:val="18"/>
              </w:rPr>
            </w:pPr>
            <w:r w:rsidRPr="004A5BF7">
              <w:rPr>
                <w:rFonts w:cs="Arial"/>
                <w:sz w:val="18"/>
                <w:szCs w:val="18"/>
              </w:rPr>
              <w:t>Fitzroy</w:t>
            </w:r>
          </w:p>
        </w:tc>
        <w:tc>
          <w:tcPr>
            <w:tcW w:w="282" w:type="pct"/>
            <w:tcBorders>
              <w:top w:val="nil"/>
              <w:left w:val="nil"/>
              <w:bottom w:val="nil"/>
              <w:right w:val="nil"/>
            </w:tcBorders>
            <w:shd w:val="clear" w:color="auto" w:fill="auto"/>
            <w:noWrap/>
            <w:vAlign w:val="center"/>
            <w:hideMark/>
          </w:tcPr>
          <w:p w14:paraId="430B3877" w14:textId="77777777" w:rsidR="00B66CC3" w:rsidRPr="004A5BF7" w:rsidRDefault="00B66CC3" w:rsidP="00B66CC3">
            <w:pPr>
              <w:spacing w:before="0" w:after="0"/>
              <w:jc w:val="center"/>
              <w:rPr>
                <w:rFonts w:cs="Arial"/>
                <w:sz w:val="18"/>
                <w:szCs w:val="18"/>
              </w:rPr>
            </w:pPr>
            <w:r w:rsidRPr="004A5BF7">
              <w:rPr>
                <w:rFonts w:cs="Arial"/>
                <w:sz w:val="18"/>
                <w:szCs w:val="18"/>
              </w:rPr>
              <w:t>3,900</w:t>
            </w:r>
          </w:p>
        </w:tc>
        <w:tc>
          <w:tcPr>
            <w:tcW w:w="283" w:type="pct"/>
            <w:tcBorders>
              <w:top w:val="nil"/>
              <w:left w:val="nil"/>
              <w:bottom w:val="nil"/>
              <w:right w:val="nil"/>
            </w:tcBorders>
            <w:shd w:val="clear" w:color="auto" w:fill="auto"/>
            <w:noWrap/>
            <w:vAlign w:val="center"/>
            <w:hideMark/>
          </w:tcPr>
          <w:p w14:paraId="2081FF6E" w14:textId="77777777" w:rsidR="00B66CC3" w:rsidRPr="004A5BF7" w:rsidRDefault="00B66CC3" w:rsidP="00B66CC3">
            <w:pPr>
              <w:spacing w:before="0" w:after="0"/>
              <w:jc w:val="center"/>
              <w:rPr>
                <w:rFonts w:cs="Arial"/>
                <w:sz w:val="18"/>
                <w:szCs w:val="18"/>
              </w:rPr>
            </w:pPr>
            <w:r w:rsidRPr="004A5BF7">
              <w:rPr>
                <w:rFonts w:cs="Arial"/>
                <w:sz w:val="18"/>
                <w:szCs w:val="18"/>
              </w:rPr>
              <w:t>700</w:t>
            </w:r>
          </w:p>
        </w:tc>
        <w:tc>
          <w:tcPr>
            <w:tcW w:w="283" w:type="pct"/>
            <w:tcBorders>
              <w:top w:val="nil"/>
              <w:left w:val="nil"/>
              <w:bottom w:val="nil"/>
              <w:right w:val="nil"/>
            </w:tcBorders>
            <w:shd w:val="clear" w:color="auto" w:fill="auto"/>
            <w:noWrap/>
            <w:vAlign w:val="center"/>
            <w:hideMark/>
          </w:tcPr>
          <w:p w14:paraId="3630DC67" w14:textId="77777777" w:rsidR="00B66CC3" w:rsidRPr="004A5BF7" w:rsidRDefault="00B66CC3" w:rsidP="00B66CC3">
            <w:pPr>
              <w:spacing w:before="0" w:after="0"/>
              <w:jc w:val="center"/>
              <w:rPr>
                <w:rFonts w:cs="Arial"/>
                <w:sz w:val="18"/>
                <w:szCs w:val="18"/>
              </w:rPr>
            </w:pPr>
            <w:r w:rsidRPr="004A5BF7">
              <w:rPr>
                <w:rFonts w:cs="Arial"/>
                <w:sz w:val="18"/>
                <w:szCs w:val="18"/>
              </w:rPr>
              <w:t>280</w:t>
            </w:r>
          </w:p>
        </w:tc>
        <w:tc>
          <w:tcPr>
            <w:tcW w:w="283" w:type="pct"/>
            <w:tcBorders>
              <w:top w:val="nil"/>
              <w:left w:val="nil"/>
              <w:bottom w:val="nil"/>
              <w:right w:val="nil"/>
            </w:tcBorders>
            <w:shd w:val="clear" w:color="auto" w:fill="auto"/>
            <w:noWrap/>
            <w:vAlign w:val="center"/>
            <w:hideMark/>
          </w:tcPr>
          <w:p w14:paraId="0B84332A" w14:textId="77777777" w:rsidR="00B66CC3" w:rsidRPr="004A5BF7" w:rsidRDefault="00B66CC3" w:rsidP="00B66CC3">
            <w:pPr>
              <w:spacing w:before="0" w:after="0"/>
              <w:jc w:val="center"/>
              <w:rPr>
                <w:rFonts w:cs="Arial"/>
                <w:sz w:val="18"/>
                <w:szCs w:val="18"/>
              </w:rPr>
            </w:pPr>
            <w:r w:rsidRPr="004A5BF7">
              <w:rPr>
                <w:rFonts w:cs="Arial"/>
                <w:sz w:val="18"/>
                <w:szCs w:val="18"/>
              </w:rPr>
              <w:t>300</w:t>
            </w:r>
          </w:p>
        </w:tc>
        <w:tc>
          <w:tcPr>
            <w:tcW w:w="285" w:type="pct"/>
            <w:tcBorders>
              <w:top w:val="nil"/>
              <w:left w:val="nil"/>
              <w:bottom w:val="nil"/>
              <w:right w:val="nil"/>
            </w:tcBorders>
            <w:shd w:val="clear" w:color="auto" w:fill="auto"/>
            <w:noWrap/>
            <w:vAlign w:val="center"/>
            <w:hideMark/>
          </w:tcPr>
          <w:p w14:paraId="69AB7A44" w14:textId="77777777" w:rsidR="00B66CC3" w:rsidRPr="004A5BF7" w:rsidRDefault="00B66CC3" w:rsidP="00B66CC3">
            <w:pPr>
              <w:spacing w:before="0" w:after="0"/>
              <w:jc w:val="center"/>
              <w:rPr>
                <w:rFonts w:cs="Arial"/>
                <w:sz w:val="18"/>
                <w:szCs w:val="18"/>
              </w:rPr>
            </w:pPr>
            <w:r w:rsidRPr="004A5BF7">
              <w:rPr>
                <w:rFonts w:cs="Arial"/>
                <w:sz w:val="18"/>
                <w:szCs w:val="18"/>
              </w:rPr>
              <w:t>645</w:t>
            </w:r>
          </w:p>
        </w:tc>
        <w:tc>
          <w:tcPr>
            <w:tcW w:w="285" w:type="pct"/>
            <w:tcBorders>
              <w:top w:val="nil"/>
              <w:left w:val="nil"/>
              <w:bottom w:val="nil"/>
              <w:right w:val="nil"/>
            </w:tcBorders>
            <w:shd w:val="clear" w:color="auto" w:fill="auto"/>
            <w:noWrap/>
            <w:vAlign w:val="center"/>
            <w:hideMark/>
          </w:tcPr>
          <w:p w14:paraId="727E82C1" w14:textId="77777777" w:rsidR="00B66CC3" w:rsidRPr="004A5BF7" w:rsidRDefault="00B66CC3" w:rsidP="00B66CC3">
            <w:pPr>
              <w:spacing w:before="0" w:after="0"/>
              <w:jc w:val="center"/>
              <w:rPr>
                <w:rFonts w:cs="Arial"/>
                <w:sz w:val="18"/>
                <w:szCs w:val="18"/>
              </w:rPr>
            </w:pPr>
            <w:r w:rsidRPr="004A5BF7">
              <w:rPr>
                <w:rFonts w:cs="Arial"/>
                <w:sz w:val="18"/>
                <w:szCs w:val="18"/>
              </w:rPr>
              <w:t>8,460</w:t>
            </w:r>
          </w:p>
        </w:tc>
        <w:tc>
          <w:tcPr>
            <w:tcW w:w="285" w:type="pct"/>
            <w:tcBorders>
              <w:top w:val="nil"/>
              <w:left w:val="nil"/>
              <w:bottom w:val="nil"/>
              <w:right w:val="nil"/>
            </w:tcBorders>
            <w:shd w:val="clear" w:color="auto" w:fill="auto"/>
            <w:noWrap/>
            <w:vAlign w:val="center"/>
            <w:hideMark/>
          </w:tcPr>
          <w:p w14:paraId="7A6B1035" w14:textId="77777777" w:rsidR="00B66CC3" w:rsidRPr="004A5BF7" w:rsidRDefault="00B66CC3" w:rsidP="00B66CC3">
            <w:pPr>
              <w:spacing w:before="0" w:after="0"/>
              <w:jc w:val="center"/>
              <w:rPr>
                <w:rFonts w:cs="Arial"/>
                <w:sz w:val="18"/>
                <w:szCs w:val="18"/>
              </w:rPr>
            </w:pPr>
            <w:r w:rsidRPr="004A5BF7">
              <w:rPr>
                <w:rFonts w:cs="Arial"/>
                <w:sz w:val="18"/>
                <w:szCs w:val="18"/>
              </w:rPr>
              <w:t>1,380</w:t>
            </w:r>
          </w:p>
        </w:tc>
        <w:tc>
          <w:tcPr>
            <w:tcW w:w="285" w:type="pct"/>
            <w:tcBorders>
              <w:top w:val="nil"/>
              <w:left w:val="nil"/>
              <w:bottom w:val="nil"/>
              <w:right w:val="nil"/>
            </w:tcBorders>
            <w:shd w:val="clear" w:color="auto" w:fill="auto"/>
            <w:noWrap/>
            <w:vAlign w:val="center"/>
            <w:hideMark/>
          </w:tcPr>
          <w:p w14:paraId="7859C93F" w14:textId="77777777" w:rsidR="00B66CC3" w:rsidRPr="004A5BF7" w:rsidRDefault="00B66CC3" w:rsidP="00B66CC3">
            <w:pPr>
              <w:spacing w:before="0" w:after="0"/>
              <w:jc w:val="center"/>
              <w:rPr>
                <w:rFonts w:cs="Arial"/>
                <w:sz w:val="18"/>
                <w:szCs w:val="18"/>
              </w:rPr>
            </w:pPr>
            <w:r w:rsidRPr="004A5BF7">
              <w:rPr>
                <w:rFonts w:cs="Arial"/>
                <w:sz w:val="18"/>
                <w:szCs w:val="18"/>
              </w:rPr>
              <w:t>4,291</w:t>
            </w:r>
          </w:p>
        </w:tc>
        <w:tc>
          <w:tcPr>
            <w:tcW w:w="325" w:type="pct"/>
            <w:tcBorders>
              <w:top w:val="nil"/>
              <w:left w:val="nil"/>
              <w:bottom w:val="nil"/>
              <w:right w:val="nil"/>
            </w:tcBorders>
            <w:shd w:val="clear" w:color="auto" w:fill="auto"/>
            <w:noWrap/>
            <w:vAlign w:val="center"/>
            <w:hideMark/>
          </w:tcPr>
          <w:p w14:paraId="278A69CD" w14:textId="77777777" w:rsidR="00B66CC3" w:rsidRPr="004A5BF7" w:rsidRDefault="00B66CC3" w:rsidP="00B66CC3">
            <w:pPr>
              <w:spacing w:before="0" w:after="0"/>
              <w:jc w:val="center"/>
              <w:rPr>
                <w:rFonts w:cs="Arial"/>
                <w:sz w:val="18"/>
                <w:szCs w:val="18"/>
              </w:rPr>
            </w:pPr>
            <w:r w:rsidRPr="004A5BF7">
              <w:rPr>
                <w:rFonts w:cs="Arial"/>
                <w:sz w:val="18"/>
                <w:szCs w:val="18"/>
              </w:rPr>
              <w:t>17,000</w:t>
            </w:r>
          </w:p>
        </w:tc>
        <w:tc>
          <w:tcPr>
            <w:tcW w:w="285" w:type="pct"/>
            <w:tcBorders>
              <w:top w:val="nil"/>
              <w:left w:val="nil"/>
              <w:bottom w:val="nil"/>
              <w:right w:val="nil"/>
            </w:tcBorders>
            <w:shd w:val="clear" w:color="auto" w:fill="auto"/>
            <w:noWrap/>
            <w:vAlign w:val="center"/>
            <w:hideMark/>
          </w:tcPr>
          <w:p w14:paraId="0409B751" w14:textId="77777777" w:rsidR="00B66CC3" w:rsidRPr="004A5BF7" w:rsidRDefault="00B66CC3" w:rsidP="00B66CC3">
            <w:pPr>
              <w:spacing w:before="0" w:after="0"/>
              <w:jc w:val="center"/>
              <w:rPr>
                <w:rFonts w:cs="Arial"/>
                <w:sz w:val="18"/>
                <w:szCs w:val="18"/>
              </w:rPr>
            </w:pPr>
            <w:r w:rsidRPr="004A5BF7">
              <w:rPr>
                <w:rFonts w:cs="Arial"/>
                <w:sz w:val="18"/>
                <w:szCs w:val="18"/>
              </w:rPr>
              <w:t>3,040</w:t>
            </w:r>
          </w:p>
        </w:tc>
        <w:tc>
          <w:tcPr>
            <w:tcW w:w="285" w:type="pct"/>
            <w:tcBorders>
              <w:top w:val="nil"/>
              <w:left w:val="nil"/>
              <w:bottom w:val="nil"/>
              <w:right w:val="nil"/>
            </w:tcBorders>
            <w:shd w:val="clear" w:color="auto" w:fill="auto"/>
            <w:noWrap/>
            <w:vAlign w:val="center"/>
            <w:hideMark/>
          </w:tcPr>
          <w:p w14:paraId="03CA49BD" w14:textId="77777777" w:rsidR="00B66CC3" w:rsidRPr="004A5BF7" w:rsidRDefault="00B66CC3" w:rsidP="00B66CC3">
            <w:pPr>
              <w:spacing w:before="0" w:after="0"/>
              <w:jc w:val="center"/>
              <w:rPr>
                <w:rFonts w:cs="Arial"/>
                <w:sz w:val="18"/>
                <w:szCs w:val="18"/>
              </w:rPr>
            </w:pPr>
            <w:r w:rsidRPr="004A5BF7">
              <w:rPr>
                <w:rFonts w:cs="Arial"/>
                <w:sz w:val="18"/>
                <w:szCs w:val="18"/>
              </w:rPr>
              <w:t>4,300</w:t>
            </w:r>
          </w:p>
        </w:tc>
        <w:tc>
          <w:tcPr>
            <w:tcW w:w="283" w:type="pct"/>
            <w:tcBorders>
              <w:top w:val="nil"/>
              <w:left w:val="nil"/>
              <w:bottom w:val="nil"/>
              <w:right w:val="nil"/>
            </w:tcBorders>
            <w:shd w:val="clear" w:color="auto" w:fill="auto"/>
            <w:noWrap/>
            <w:vAlign w:val="center"/>
            <w:hideMark/>
          </w:tcPr>
          <w:p w14:paraId="027B8AB1" w14:textId="77777777" w:rsidR="00B66CC3" w:rsidRPr="004A5BF7" w:rsidRDefault="00B66CC3" w:rsidP="00B66CC3">
            <w:pPr>
              <w:spacing w:before="0" w:after="0"/>
              <w:jc w:val="center"/>
              <w:rPr>
                <w:rFonts w:cs="Arial"/>
                <w:sz w:val="18"/>
                <w:szCs w:val="18"/>
              </w:rPr>
            </w:pPr>
            <w:r w:rsidRPr="004A5BF7">
              <w:rPr>
                <w:rFonts w:cs="Arial"/>
                <w:sz w:val="18"/>
                <w:szCs w:val="18"/>
              </w:rPr>
              <w:t>230</w:t>
            </w:r>
          </w:p>
        </w:tc>
        <w:tc>
          <w:tcPr>
            <w:tcW w:w="243" w:type="pct"/>
            <w:tcBorders>
              <w:top w:val="nil"/>
              <w:left w:val="nil"/>
              <w:bottom w:val="nil"/>
              <w:right w:val="nil"/>
            </w:tcBorders>
            <w:shd w:val="clear" w:color="auto" w:fill="auto"/>
            <w:noWrap/>
            <w:vAlign w:val="center"/>
            <w:hideMark/>
          </w:tcPr>
          <w:p w14:paraId="58845029" w14:textId="77777777" w:rsidR="00B66CC3" w:rsidRPr="004A5BF7" w:rsidRDefault="00B66CC3" w:rsidP="00B66CC3">
            <w:pPr>
              <w:spacing w:before="0" w:after="0"/>
              <w:jc w:val="center"/>
              <w:rPr>
                <w:rFonts w:cs="Arial"/>
                <w:sz w:val="18"/>
                <w:szCs w:val="18"/>
              </w:rPr>
            </w:pPr>
            <w:r w:rsidRPr="004A5BF7">
              <w:rPr>
                <w:rFonts w:cs="Arial"/>
                <w:sz w:val="18"/>
                <w:szCs w:val="18"/>
              </w:rPr>
              <w:t>500</w:t>
            </w:r>
          </w:p>
        </w:tc>
      </w:tr>
      <w:tr w:rsidR="00B66CC3" w:rsidRPr="00E9409C" w14:paraId="03081A18" w14:textId="77777777" w:rsidTr="00E662D3">
        <w:trPr>
          <w:trHeight w:val="454"/>
          <w:tblHeader/>
        </w:trPr>
        <w:tc>
          <w:tcPr>
            <w:tcW w:w="1309" w:type="pct"/>
            <w:gridSpan w:val="2"/>
            <w:tcBorders>
              <w:top w:val="single" w:sz="4" w:space="0" w:color="auto"/>
              <w:left w:val="nil"/>
              <w:bottom w:val="single" w:sz="4" w:space="0" w:color="auto"/>
              <w:right w:val="nil"/>
            </w:tcBorders>
            <w:shd w:val="clear" w:color="auto" w:fill="auto"/>
            <w:noWrap/>
            <w:vAlign w:val="center"/>
            <w:hideMark/>
          </w:tcPr>
          <w:p w14:paraId="25598112" w14:textId="77777777" w:rsidR="00B66CC3" w:rsidRPr="004A5BF7" w:rsidRDefault="00B66CC3" w:rsidP="004A5BF7">
            <w:pPr>
              <w:spacing w:before="0" w:after="0"/>
              <w:jc w:val="left"/>
              <w:rPr>
                <w:rFonts w:cs="Arial"/>
                <w:sz w:val="18"/>
                <w:szCs w:val="18"/>
              </w:rPr>
            </w:pPr>
            <w:r w:rsidRPr="004A5BF7">
              <w:rPr>
                <w:rFonts w:cs="Arial"/>
                <w:sz w:val="18"/>
                <w:szCs w:val="18"/>
              </w:rPr>
              <w:t>Total annual PN load</w:t>
            </w:r>
          </w:p>
        </w:tc>
        <w:tc>
          <w:tcPr>
            <w:tcW w:w="282" w:type="pct"/>
            <w:tcBorders>
              <w:top w:val="single" w:sz="4" w:space="0" w:color="auto"/>
              <w:left w:val="nil"/>
              <w:bottom w:val="single" w:sz="4" w:space="0" w:color="auto"/>
              <w:right w:val="nil"/>
            </w:tcBorders>
            <w:shd w:val="clear" w:color="auto" w:fill="auto"/>
            <w:noWrap/>
            <w:vAlign w:val="center"/>
            <w:hideMark/>
          </w:tcPr>
          <w:p w14:paraId="75B9675A" w14:textId="77777777" w:rsidR="00B66CC3" w:rsidRPr="004A5BF7" w:rsidRDefault="00B66CC3" w:rsidP="00B66CC3">
            <w:pPr>
              <w:spacing w:before="0" w:after="0"/>
              <w:jc w:val="center"/>
              <w:rPr>
                <w:rFonts w:cs="Arial"/>
                <w:sz w:val="18"/>
                <w:szCs w:val="18"/>
              </w:rPr>
            </w:pPr>
            <w:r w:rsidRPr="004A5BF7">
              <w:rPr>
                <w:rFonts w:cs="Arial"/>
                <w:sz w:val="18"/>
                <w:szCs w:val="18"/>
              </w:rPr>
              <w:t>6,613</w:t>
            </w:r>
          </w:p>
        </w:tc>
        <w:tc>
          <w:tcPr>
            <w:tcW w:w="283" w:type="pct"/>
            <w:tcBorders>
              <w:top w:val="single" w:sz="4" w:space="0" w:color="auto"/>
              <w:left w:val="nil"/>
              <w:bottom w:val="single" w:sz="4" w:space="0" w:color="auto"/>
              <w:right w:val="nil"/>
            </w:tcBorders>
            <w:shd w:val="clear" w:color="auto" w:fill="auto"/>
            <w:noWrap/>
            <w:vAlign w:val="center"/>
            <w:hideMark/>
          </w:tcPr>
          <w:p w14:paraId="64BEE366" w14:textId="77777777" w:rsidR="00B66CC3" w:rsidRPr="004A5BF7" w:rsidRDefault="00B66CC3" w:rsidP="00B66CC3">
            <w:pPr>
              <w:spacing w:before="0" w:after="0"/>
              <w:jc w:val="center"/>
              <w:rPr>
                <w:rFonts w:cs="Arial"/>
                <w:sz w:val="18"/>
                <w:szCs w:val="18"/>
              </w:rPr>
            </w:pPr>
            <w:r w:rsidRPr="004A5BF7">
              <w:rPr>
                <w:rFonts w:cs="Arial"/>
                <w:sz w:val="18"/>
                <w:szCs w:val="18"/>
              </w:rPr>
              <w:t>5,875</w:t>
            </w:r>
          </w:p>
        </w:tc>
        <w:tc>
          <w:tcPr>
            <w:tcW w:w="283" w:type="pct"/>
            <w:tcBorders>
              <w:top w:val="single" w:sz="4" w:space="0" w:color="auto"/>
              <w:left w:val="nil"/>
              <w:bottom w:val="single" w:sz="4" w:space="0" w:color="auto"/>
              <w:right w:val="nil"/>
            </w:tcBorders>
            <w:shd w:val="clear" w:color="auto" w:fill="auto"/>
            <w:noWrap/>
            <w:vAlign w:val="center"/>
            <w:hideMark/>
          </w:tcPr>
          <w:p w14:paraId="0A26BC11" w14:textId="77777777" w:rsidR="00B66CC3" w:rsidRPr="004A5BF7" w:rsidRDefault="00B66CC3" w:rsidP="00B66CC3">
            <w:pPr>
              <w:spacing w:before="0" w:after="0"/>
              <w:jc w:val="center"/>
              <w:rPr>
                <w:rFonts w:cs="Arial"/>
                <w:sz w:val="18"/>
                <w:szCs w:val="18"/>
              </w:rPr>
            </w:pPr>
            <w:r w:rsidRPr="004A5BF7">
              <w:rPr>
                <w:rFonts w:cs="Arial"/>
                <w:sz w:val="18"/>
                <w:szCs w:val="18"/>
              </w:rPr>
              <w:t>5,562</w:t>
            </w:r>
          </w:p>
        </w:tc>
        <w:tc>
          <w:tcPr>
            <w:tcW w:w="283" w:type="pct"/>
            <w:tcBorders>
              <w:top w:val="single" w:sz="4" w:space="0" w:color="auto"/>
              <w:left w:val="nil"/>
              <w:bottom w:val="single" w:sz="4" w:space="0" w:color="auto"/>
              <w:right w:val="nil"/>
            </w:tcBorders>
            <w:shd w:val="clear" w:color="auto" w:fill="auto"/>
            <w:noWrap/>
            <w:vAlign w:val="center"/>
            <w:hideMark/>
          </w:tcPr>
          <w:p w14:paraId="0B097CE5" w14:textId="77777777" w:rsidR="00B66CC3" w:rsidRPr="004A5BF7" w:rsidRDefault="00B66CC3" w:rsidP="00B66CC3">
            <w:pPr>
              <w:spacing w:before="0" w:after="0"/>
              <w:jc w:val="center"/>
              <w:rPr>
                <w:rFonts w:cs="Arial"/>
                <w:sz w:val="18"/>
                <w:szCs w:val="18"/>
              </w:rPr>
            </w:pPr>
            <w:r w:rsidRPr="004A5BF7">
              <w:rPr>
                <w:rFonts w:cs="Arial"/>
                <w:sz w:val="18"/>
                <w:szCs w:val="18"/>
              </w:rPr>
              <w:t>6,991</w:t>
            </w:r>
          </w:p>
        </w:tc>
        <w:tc>
          <w:tcPr>
            <w:tcW w:w="285" w:type="pct"/>
            <w:tcBorders>
              <w:top w:val="single" w:sz="4" w:space="0" w:color="auto"/>
              <w:left w:val="nil"/>
              <w:bottom w:val="single" w:sz="4" w:space="0" w:color="auto"/>
              <w:right w:val="nil"/>
            </w:tcBorders>
            <w:shd w:val="clear" w:color="auto" w:fill="auto"/>
            <w:noWrap/>
            <w:vAlign w:val="center"/>
            <w:hideMark/>
          </w:tcPr>
          <w:p w14:paraId="060910D2" w14:textId="77777777" w:rsidR="00B66CC3" w:rsidRPr="004A5BF7" w:rsidRDefault="00B66CC3" w:rsidP="00B66CC3">
            <w:pPr>
              <w:spacing w:before="0" w:after="0"/>
              <w:jc w:val="center"/>
              <w:rPr>
                <w:rFonts w:cs="Arial"/>
                <w:sz w:val="18"/>
                <w:szCs w:val="18"/>
              </w:rPr>
            </w:pPr>
            <w:r w:rsidRPr="004A5BF7">
              <w:rPr>
                <w:rFonts w:cs="Arial"/>
                <w:sz w:val="18"/>
                <w:szCs w:val="18"/>
              </w:rPr>
              <w:t>11,910</w:t>
            </w:r>
          </w:p>
        </w:tc>
        <w:tc>
          <w:tcPr>
            <w:tcW w:w="285" w:type="pct"/>
            <w:tcBorders>
              <w:top w:val="single" w:sz="4" w:space="0" w:color="auto"/>
              <w:left w:val="nil"/>
              <w:bottom w:val="single" w:sz="4" w:space="0" w:color="auto"/>
              <w:right w:val="nil"/>
            </w:tcBorders>
            <w:shd w:val="clear" w:color="auto" w:fill="auto"/>
            <w:noWrap/>
            <w:vAlign w:val="center"/>
            <w:hideMark/>
          </w:tcPr>
          <w:p w14:paraId="24D70189" w14:textId="77777777" w:rsidR="00B66CC3" w:rsidRPr="004A5BF7" w:rsidRDefault="00B66CC3" w:rsidP="00B66CC3">
            <w:pPr>
              <w:spacing w:before="0" w:after="0"/>
              <w:jc w:val="center"/>
              <w:rPr>
                <w:rFonts w:cs="Arial"/>
                <w:sz w:val="18"/>
                <w:szCs w:val="18"/>
              </w:rPr>
            </w:pPr>
            <w:r w:rsidRPr="004A5BF7">
              <w:rPr>
                <w:rFonts w:cs="Arial"/>
                <w:sz w:val="18"/>
                <w:szCs w:val="18"/>
              </w:rPr>
              <w:t>27,334</w:t>
            </w:r>
          </w:p>
        </w:tc>
        <w:tc>
          <w:tcPr>
            <w:tcW w:w="285" w:type="pct"/>
            <w:tcBorders>
              <w:top w:val="single" w:sz="4" w:space="0" w:color="auto"/>
              <w:left w:val="nil"/>
              <w:bottom w:val="single" w:sz="4" w:space="0" w:color="auto"/>
              <w:right w:val="nil"/>
            </w:tcBorders>
            <w:shd w:val="clear" w:color="auto" w:fill="auto"/>
            <w:noWrap/>
            <w:vAlign w:val="center"/>
            <w:hideMark/>
          </w:tcPr>
          <w:p w14:paraId="6762B5EA" w14:textId="77777777" w:rsidR="00B66CC3" w:rsidRPr="004A5BF7" w:rsidRDefault="00B66CC3" w:rsidP="00B66CC3">
            <w:pPr>
              <w:spacing w:before="0" w:after="0"/>
              <w:jc w:val="center"/>
              <w:rPr>
                <w:rFonts w:cs="Arial"/>
                <w:sz w:val="18"/>
                <w:szCs w:val="18"/>
              </w:rPr>
            </w:pPr>
            <w:r w:rsidRPr="004A5BF7">
              <w:rPr>
                <w:rFonts w:cs="Arial"/>
                <w:sz w:val="18"/>
                <w:szCs w:val="18"/>
              </w:rPr>
              <w:t>22,623</w:t>
            </w:r>
          </w:p>
        </w:tc>
        <w:tc>
          <w:tcPr>
            <w:tcW w:w="285" w:type="pct"/>
            <w:tcBorders>
              <w:top w:val="single" w:sz="4" w:space="0" w:color="auto"/>
              <w:left w:val="nil"/>
              <w:bottom w:val="single" w:sz="4" w:space="0" w:color="auto"/>
              <w:right w:val="nil"/>
            </w:tcBorders>
            <w:shd w:val="clear" w:color="auto" w:fill="auto"/>
            <w:noWrap/>
            <w:vAlign w:val="center"/>
            <w:hideMark/>
          </w:tcPr>
          <w:p w14:paraId="50E9C758" w14:textId="77777777" w:rsidR="00B66CC3" w:rsidRPr="004A5BF7" w:rsidRDefault="00B66CC3" w:rsidP="00B66CC3">
            <w:pPr>
              <w:spacing w:before="0" w:after="0"/>
              <w:jc w:val="center"/>
              <w:rPr>
                <w:rFonts w:cs="Arial"/>
                <w:sz w:val="18"/>
                <w:szCs w:val="18"/>
              </w:rPr>
            </w:pPr>
            <w:r w:rsidRPr="004A5BF7">
              <w:rPr>
                <w:rFonts w:cs="Arial"/>
                <w:sz w:val="18"/>
                <w:szCs w:val="18"/>
              </w:rPr>
              <w:t>15,755</w:t>
            </w:r>
          </w:p>
        </w:tc>
        <w:tc>
          <w:tcPr>
            <w:tcW w:w="325" w:type="pct"/>
            <w:tcBorders>
              <w:top w:val="single" w:sz="4" w:space="0" w:color="auto"/>
              <w:left w:val="nil"/>
              <w:bottom w:val="single" w:sz="4" w:space="0" w:color="auto"/>
              <w:right w:val="nil"/>
            </w:tcBorders>
            <w:shd w:val="clear" w:color="auto" w:fill="auto"/>
            <w:noWrap/>
            <w:vAlign w:val="center"/>
            <w:hideMark/>
          </w:tcPr>
          <w:p w14:paraId="3391660B" w14:textId="77777777" w:rsidR="00B66CC3" w:rsidRPr="004A5BF7" w:rsidRDefault="00B66CC3" w:rsidP="00B66CC3">
            <w:pPr>
              <w:spacing w:before="0" w:after="0"/>
              <w:jc w:val="center"/>
              <w:rPr>
                <w:rFonts w:cs="Arial"/>
                <w:sz w:val="18"/>
                <w:szCs w:val="18"/>
              </w:rPr>
            </w:pPr>
            <w:r w:rsidRPr="004A5BF7">
              <w:rPr>
                <w:rFonts w:cs="Arial"/>
                <w:sz w:val="18"/>
                <w:szCs w:val="18"/>
              </w:rPr>
              <w:t>48,663</w:t>
            </w:r>
          </w:p>
        </w:tc>
        <w:tc>
          <w:tcPr>
            <w:tcW w:w="285" w:type="pct"/>
            <w:tcBorders>
              <w:top w:val="single" w:sz="4" w:space="0" w:color="auto"/>
              <w:left w:val="nil"/>
              <w:bottom w:val="single" w:sz="4" w:space="0" w:color="auto"/>
              <w:right w:val="nil"/>
            </w:tcBorders>
            <w:shd w:val="clear" w:color="auto" w:fill="auto"/>
            <w:noWrap/>
            <w:vAlign w:val="center"/>
            <w:hideMark/>
          </w:tcPr>
          <w:p w14:paraId="6C047D20" w14:textId="77777777" w:rsidR="00B66CC3" w:rsidRPr="004A5BF7" w:rsidRDefault="00B66CC3" w:rsidP="00B66CC3">
            <w:pPr>
              <w:spacing w:before="0" w:after="0"/>
              <w:jc w:val="center"/>
              <w:rPr>
                <w:rFonts w:cs="Arial"/>
                <w:sz w:val="18"/>
                <w:szCs w:val="18"/>
              </w:rPr>
            </w:pPr>
            <w:r w:rsidRPr="004A5BF7">
              <w:rPr>
                <w:rFonts w:cs="Arial"/>
                <w:sz w:val="18"/>
                <w:szCs w:val="18"/>
              </w:rPr>
              <w:t>19,197</w:t>
            </w:r>
          </w:p>
        </w:tc>
        <w:tc>
          <w:tcPr>
            <w:tcW w:w="285" w:type="pct"/>
            <w:tcBorders>
              <w:top w:val="single" w:sz="4" w:space="0" w:color="auto"/>
              <w:left w:val="nil"/>
              <w:bottom w:val="single" w:sz="4" w:space="0" w:color="auto"/>
              <w:right w:val="nil"/>
            </w:tcBorders>
            <w:shd w:val="clear" w:color="auto" w:fill="auto"/>
            <w:noWrap/>
            <w:vAlign w:val="center"/>
            <w:hideMark/>
          </w:tcPr>
          <w:p w14:paraId="03411942" w14:textId="77777777" w:rsidR="00B66CC3" w:rsidRPr="004A5BF7" w:rsidRDefault="00B66CC3" w:rsidP="00B66CC3">
            <w:pPr>
              <w:spacing w:before="0" w:after="0"/>
              <w:jc w:val="center"/>
              <w:rPr>
                <w:rFonts w:cs="Arial"/>
                <w:sz w:val="18"/>
                <w:szCs w:val="18"/>
              </w:rPr>
            </w:pPr>
            <w:r w:rsidRPr="004A5BF7">
              <w:rPr>
                <w:rFonts w:cs="Arial"/>
                <w:sz w:val="18"/>
                <w:szCs w:val="18"/>
              </w:rPr>
              <w:t>11,866</w:t>
            </w:r>
          </w:p>
        </w:tc>
        <w:tc>
          <w:tcPr>
            <w:tcW w:w="283" w:type="pct"/>
            <w:tcBorders>
              <w:top w:val="single" w:sz="4" w:space="0" w:color="auto"/>
              <w:left w:val="nil"/>
              <w:bottom w:val="single" w:sz="4" w:space="0" w:color="auto"/>
              <w:right w:val="nil"/>
            </w:tcBorders>
            <w:shd w:val="clear" w:color="auto" w:fill="auto"/>
            <w:noWrap/>
            <w:vAlign w:val="center"/>
            <w:hideMark/>
          </w:tcPr>
          <w:p w14:paraId="7372AA5A" w14:textId="77777777" w:rsidR="00B66CC3" w:rsidRPr="004A5BF7" w:rsidRDefault="00B66CC3" w:rsidP="00B66CC3">
            <w:pPr>
              <w:spacing w:before="0" w:after="0"/>
              <w:jc w:val="center"/>
              <w:rPr>
                <w:rFonts w:cs="Arial"/>
                <w:sz w:val="18"/>
                <w:szCs w:val="18"/>
              </w:rPr>
            </w:pPr>
            <w:r w:rsidRPr="004A5BF7">
              <w:rPr>
                <w:rFonts w:cs="Arial"/>
                <w:sz w:val="18"/>
                <w:szCs w:val="18"/>
              </w:rPr>
              <w:t>7,755</w:t>
            </w:r>
          </w:p>
        </w:tc>
        <w:tc>
          <w:tcPr>
            <w:tcW w:w="243" w:type="pct"/>
            <w:tcBorders>
              <w:top w:val="single" w:sz="4" w:space="0" w:color="auto"/>
              <w:left w:val="nil"/>
              <w:bottom w:val="single" w:sz="4" w:space="0" w:color="auto"/>
              <w:right w:val="nil"/>
            </w:tcBorders>
            <w:shd w:val="clear" w:color="auto" w:fill="auto"/>
            <w:noWrap/>
            <w:vAlign w:val="center"/>
            <w:hideMark/>
          </w:tcPr>
          <w:p w14:paraId="10FE3370" w14:textId="77777777" w:rsidR="00B66CC3" w:rsidRPr="004A5BF7" w:rsidRDefault="00B66CC3" w:rsidP="00B66CC3">
            <w:pPr>
              <w:spacing w:before="0" w:after="0"/>
              <w:jc w:val="center"/>
              <w:rPr>
                <w:rFonts w:cs="Arial"/>
                <w:sz w:val="18"/>
                <w:szCs w:val="18"/>
              </w:rPr>
            </w:pPr>
            <w:r w:rsidRPr="004A5BF7">
              <w:rPr>
                <w:rFonts w:cs="Arial"/>
                <w:sz w:val="18"/>
                <w:szCs w:val="18"/>
              </w:rPr>
              <w:t>3,438</w:t>
            </w:r>
          </w:p>
        </w:tc>
      </w:tr>
    </w:tbl>
    <w:p w14:paraId="68DDCC5B" w14:textId="77777777" w:rsidR="00B66CC3" w:rsidRPr="004A5BF7" w:rsidRDefault="00B66CC3" w:rsidP="00B66CC3">
      <w:pPr>
        <w:rPr>
          <w:rFonts w:cs="Arial"/>
          <w:sz w:val="20"/>
        </w:rPr>
      </w:pPr>
      <w:r w:rsidRPr="004A5BF7">
        <w:rPr>
          <w:rFonts w:cs="Arial"/>
          <w:sz w:val="20"/>
        </w:rPr>
        <w:t>* Natural Resource Management</w:t>
      </w:r>
    </w:p>
    <w:p w14:paraId="616B333B" w14:textId="77777777" w:rsidR="00E9409C" w:rsidRDefault="00E9409C" w:rsidP="00B66CC3">
      <w:pPr>
        <w:rPr>
          <w:rFonts w:cs="Arial"/>
          <w:szCs w:val="22"/>
        </w:rPr>
      </w:pPr>
    </w:p>
    <w:p w14:paraId="68995258" w14:textId="77777777" w:rsidR="00E9409C" w:rsidRPr="00961331" w:rsidRDefault="00E9409C" w:rsidP="00B66CC3">
      <w:pPr>
        <w:rPr>
          <w:rFonts w:cs="Arial"/>
          <w:szCs w:val="22"/>
        </w:rPr>
      </w:pPr>
    </w:p>
    <w:p w14:paraId="1FF59D66" w14:textId="077700F3" w:rsidR="00B66CC3" w:rsidRPr="00961331" w:rsidRDefault="000E764B" w:rsidP="004A5BF7">
      <w:pPr>
        <w:pStyle w:val="Caption"/>
      </w:pPr>
      <w:bookmarkStart w:id="1600" w:name="_Ref450164381"/>
      <w:bookmarkStart w:id="1601" w:name="_Toc459332188"/>
      <w:r>
        <w:t xml:space="preserve">Table A1 </w:t>
      </w:r>
      <w:r>
        <w:fldChar w:fldCharType="begin"/>
      </w:r>
      <w:r>
        <w:instrText xml:space="preserve"> SEQ Table_A1 \* ARABIC </w:instrText>
      </w:r>
      <w:r>
        <w:fldChar w:fldCharType="separate"/>
      </w:r>
      <w:r w:rsidR="007F5336">
        <w:rPr>
          <w:noProof/>
        </w:rPr>
        <w:t>9</w:t>
      </w:r>
      <w:r>
        <w:rPr>
          <w:noProof/>
        </w:rPr>
        <w:fldChar w:fldCharType="end"/>
      </w:r>
      <w:r w:rsidRPr="00961331">
        <w:t xml:space="preserve">: </w:t>
      </w:r>
      <w:bookmarkEnd w:id="1600"/>
      <w:r w:rsidR="00B66CC3" w:rsidRPr="00961331">
        <w:t>End-of-catchment sediment loads (TSS, ton/year) from 2003 to 2015 water years (c.a., from October, 2002 to September, 2015).</w:t>
      </w:r>
      <w:bookmarkEnd w:id="1601"/>
    </w:p>
    <w:tbl>
      <w:tblPr>
        <w:tblW w:w="5000" w:type="pct"/>
        <w:tblLook w:val="04A0" w:firstRow="1" w:lastRow="0" w:firstColumn="1" w:lastColumn="0" w:noHBand="0" w:noVBand="1"/>
        <w:tblCaption w:val="Table A1 9: End-of-catchment sediment loads (TSS, ton/year) from 2003 to 2015 water years (c.a., from October, 2002 to September, 2015)."/>
        <w:tblDescription w:val="End-of-catchment sediment loads (TSS, ton/year) from 2003 to 2015 water years (c.a., from October, 2002 to September, 2015) for each of the major GBR catchments"/>
      </w:tblPr>
      <w:tblGrid>
        <w:gridCol w:w="1750"/>
        <w:gridCol w:w="2050"/>
        <w:gridCol w:w="797"/>
        <w:gridCol w:w="797"/>
        <w:gridCol w:w="797"/>
        <w:gridCol w:w="797"/>
        <w:gridCol w:w="799"/>
        <w:gridCol w:w="797"/>
        <w:gridCol w:w="797"/>
        <w:gridCol w:w="797"/>
        <w:gridCol w:w="876"/>
        <w:gridCol w:w="774"/>
        <w:gridCol w:w="774"/>
        <w:gridCol w:w="774"/>
        <w:gridCol w:w="799"/>
      </w:tblGrid>
      <w:tr w:rsidR="00B66CC3" w:rsidRPr="009228CA" w14:paraId="18693D21" w14:textId="77777777" w:rsidTr="00B66CC3">
        <w:trPr>
          <w:trHeight w:val="454"/>
        </w:trPr>
        <w:tc>
          <w:tcPr>
            <w:tcW w:w="617" w:type="pct"/>
            <w:tcBorders>
              <w:top w:val="single" w:sz="4" w:space="0" w:color="auto"/>
              <w:left w:val="nil"/>
              <w:bottom w:val="single" w:sz="4" w:space="0" w:color="auto"/>
              <w:right w:val="nil"/>
            </w:tcBorders>
            <w:shd w:val="clear" w:color="auto" w:fill="auto"/>
            <w:noWrap/>
            <w:vAlign w:val="center"/>
            <w:hideMark/>
          </w:tcPr>
          <w:p w14:paraId="2CA41079" w14:textId="77777777" w:rsidR="00B66CC3" w:rsidRPr="009228CA" w:rsidRDefault="00B66CC3" w:rsidP="004A5BF7">
            <w:pPr>
              <w:spacing w:before="0" w:after="0"/>
              <w:jc w:val="left"/>
              <w:rPr>
                <w:rFonts w:cs="Arial"/>
                <w:b/>
                <w:sz w:val="18"/>
                <w:szCs w:val="18"/>
              </w:rPr>
            </w:pPr>
            <w:r w:rsidRPr="009228CA">
              <w:rPr>
                <w:rFonts w:cs="Arial"/>
                <w:b/>
                <w:sz w:val="18"/>
                <w:szCs w:val="18"/>
              </w:rPr>
              <w:t>River</w:t>
            </w:r>
          </w:p>
        </w:tc>
        <w:tc>
          <w:tcPr>
            <w:tcW w:w="723" w:type="pct"/>
            <w:tcBorders>
              <w:top w:val="single" w:sz="4" w:space="0" w:color="auto"/>
              <w:left w:val="nil"/>
              <w:bottom w:val="single" w:sz="4" w:space="0" w:color="auto"/>
              <w:right w:val="nil"/>
            </w:tcBorders>
            <w:shd w:val="clear" w:color="auto" w:fill="auto"/>
            <w:noWrap/>
            <w:vAlign w:val="center"/>
            <w:hideMark/>
          </w:tcPr>
          <w:p w14:paraId="2D18B133" w14:textId="77777777" w:rsidR="00B66CC3" w:rsidRPr="009228CA" w:rsidRDefault="00B66CC3" w:rsidP="00B66CC3">
            <w:pPr>
              <w:spacing w:before="0" w:after="0"/>
              <w:jc w:val="center"/>
              <w:rPr>
                <w:rFonts w:cs="Arial"/>
                <w:b/>
                <w:sz w:val="18"/>
                <w:szCs w:val="18"/>
              </w:rPr>
            </w:pPr>
            <w:r w:rsidRPr="009228CA">
              <w:rPr>
                <w:rFonts w:cs="Arial"/>
                <w:b/>
                <w:sz w:val="18"/>
                <w:szCs w:val="18"/>
              </w:rPr>
              <w:t>NRM* region</w:t>
            </w:r>
          </w:p>
        </w:tc>
        <w:tc>
          <w:tcPr>
            <w:tcW w:w="281" w:type="pct"/>
            <w:tcBorders>
              <w:top w:val="single" w:sz="4" w:space="0" w:color="auto"/>
              <w:left w:val="nil"/>
              <w:bottom w:val="single" w:sz="4" w:space="0" w:color="auto"/>
              <w:right w:val="nil"/>
            </w:tcBorders>
            <w:shd w:val="clear" w:color="auto" w:fill="auto"/>
            <w:noWrap/>
            <w:vAlign w:val="center"/>
            <w:hideMark/>
          </w:tcPr>
          <w:p w14:paraId="2752B0B2" w14:textId="77777777" w:rsidR="00B66CC3" w:rsidRPr="009228CA" w:rsidRDefault="00B66CC3" w:rsidP="00B66CC3">
            <w:pPr>
              <w:spacing w:before="0" w:after="0"/>
              <w:jc w:val="center"/>
              <w:rPr>
                <w:rFonts w:cs="Arial"/>
                <w:b/>
                <w:sz w:val="18"/>
                <w:szCs w:val="18"/>
              </w:rPr>
            </w:pPr>
            <w:r w:rsidRPr="009228CA">
              <w:rPr>
                <w:rFonts w:cs="Arial"/>
                <w:b/>
                <w:sz w:val="18"/>
                <w:szCs w:val="18"/>
              </w:rPr>
              <w:t>2003</w:t>
            </w:r>
          </w:p>
        </w:tc>
        <w:tc>
          <w:tcPr>
            <w:tcW w:w="281" w:type="pct"/>
            <w:tcBorders>
              <w:top w:val="single" w:sz="4" w:space="0" w:color="auto"/>
              <w:left w:val="nil"/>
              <w:bottom w:val="single" w:sz="4" w:space="0" w:color="auto"/>
              <w:right w:val="nil"/>
            </w:tcBorders>
            <w:shd w:val="clear" w:color="auto" w:fill="auto"/>
            <w:noWrap/>
            <w:vAlign w:val="center"/>
            <w:hideMark/>
          </w:tcPr>
          <w:p w14:paraId="2A5154DD" w14:textId="77777777" w:rsidR="00B66CC3" w:rsidRPr="009228CA" w:rsidRDefault="00B66CC3" w:rsidP="00B66CC3">
            <w:pPr>
              <w:spacing w:before="0" w:after="0"/>
              <w:jc w:val="center"/>
              <w:rPr>
                <w:rFonts w:cs="Arial"/>
                <w:b/>
                <w:sz w:val="18"/>
                <w:szCs w:val="18"/>
              </w:rPr>
            </w:pPr>
            <w:r w:rsidRPr="009228CA">
              <w:rPr>
                <w:rFonts w:cs="Arial"/>
                <w:b/>
                <w:sz w:val="18"/>
                <w:szCs w:val="18"/>
              </w:rPr>
              <w:t>2004</w:t>
            </w:r>
          </w:p>
        </w:tc>
        <w:tc>
          <w:tcPr>
            <w:tcW w:w="281" w:type="pct"/>
            <w:tcBorders>
              <w:top w:val="single" w:sz="4" w:space="0" w:color="auto"/>
              <w:left w:val="nil"/>
              <w:bottom w:val="single" w:sz="4" w:space="0" w:color="auto"/>
              <w:right w:val="nil"/>
            </w:tcBorders>
            <w:shd w:val="clear" w:color="auto" w:fill="auto"/>
            <w:noWrap/>
            <w:vAlign w:val="center"/>
            <w:hideMark/>
          </w:tcPr>
          <w:p w14:paraId="0D315E9B" w14:textId="77777777" w:rsidR="00B66CC3" w:rsidRPr="009228CA" w:rsidRDefault="00B66CC3" w:rsidP="00B66CC3">
            <w:pPr>
              <w:spacing w:before="0" w:after="0"/>
              <w:jc w:val="center"/>
              <w:rPr>
                <w:rFonts w:cs="Arial"/>
                <w:b/>
                <w:sz w:val="18"/>
                <w:szCs w:val="18"/>
              </w:rPr>
            </w:pPr>
            <w:r w:rsidRPr="009228CA">
              <w:rPr>
                <w:rFonts w:cs="Arial"/>
                <w:b/>
                <w:sz w:val="18"/>
                <w:szCs w:val="18"/>
              </w:rPr>
              <w:t>2005</w:t>
            </w:r>
          </w:p>
        </w:tc>
        <w:tc>
          <w:tcPr>
            <w:tcW w:w="281" w:type="pct"/>
            <w:tcBorders>
              <w:top w:val="single" w:sz="4" w:space="0" w:color="auto"/>
              <w:left w:val="nil"/>
              <w:bottom w:val="single" w:sz="4" w:space="0" w:color="auto"/>
              <w:right w:val="nil"/>
            </w:tcBorders>
            <w:shd w:val="clear" w:color="auto" w:fill="auto"/>
            <w:noWrap/>
            <w:vAlign w:val="center"/>
            <w:hideMark/>
          </w:tcPr>
          <w:p w14:paraId="3A071C40" w14:textId="77777777" w:rsidR="00B66CC3" w:rsidRPr="009228CA" w:rsidRDefault="00B66CC3" w:rsidP="00B66CC3">
            <w:pPr>
              <w:spacing w:before="0" w:after="0"/>
              <w:jc w:val="center"/>
              <w:rPr>
                <w:rFonts w:cs="Arial"/>
                <w:b/>
                <w:sz w:val="18"/>
                <w:szCs w:val="18"/>
              </w:rPr>
            </w:pPr>
            <w:r w:rsidRPr="009228CA">
              <w:rPr>
                <w:rFonts w:cs="Arial"/>
                <w:b/>
                <w:sz w:val="18"/>
                <w:szCs w:val="18"/>
              </w:rPr>
              <w:t>2006</w:t>
            </w:r>
          </w:p>
        </w:tc>
        <w:tc>
          <w:tcPr>
            <w:tcW w:w="282" w:type="pct"/>
            <w:tcBorders>
              <w:top w:val="single" w:sz="4" w:space="0" w:color="auto"/>
              <w:left w:val="nil"/>
              <w:bottom w:val="single" w:sz="4" w:space="0" w:color="auto"/>
              <w:right w:val="nil"/>
            </w:tcBorders>
            <w:shd w:val="clear" w:color="auto" w:fill="auto"/>
            <w:noWrap/>
            <w:vAlign w:val="center"/>
            <w:hideMark/>
          </w:tcPr>
          <w:p w14:paraId="3DD3A914" w14:textId="77777777" w:rsidR="00B66CC3" w:rsidRPr="009228CA" w:rsidRDefault="00B66CC3" w:rsidP="00B66CC3">
            <w:pPr>
              <w:spacing w:before="0" w:after="0"/>
              <w:jc w:val="center"/>
              <w:rPr>
                <w:rFonts w:cs="Arial"/>
                <w:b/>
                <w:sz w:val="18"/>
                <w:szCs w:val="18"/>
              </w:rPr>
            </w:pPr>
            <w:r w:rsidRPr="009228CA">
              <w:rPr>
                <w:rFonts w:cs="Arial"/>
                <w:b/>
                <w:sz w:val="18"/>
                <w:szCs w:val="18"/>
              </w:rPr>
              <w:t>2007</w:t>
            </w:r>
          </w:p>
        </w:tc>
        <w:tc>
          <w:tcPr>
            <w:tcW w:w="281" w:type="pct"/>
            <w:tcBorders>
              <w:top w:val="single" w:sz="4" w:space="0" w:color="auto"/>
              <w:left w:val="nil"/>
              <w:bottom w:val="single" w:sz="4" w:space="0" w:color="auto"/>
              <w:right w:val="nil"/>
            </w:tcBorders>
            <w:shd w:val="clear" w:color="auto" w:fill="auto"/>
            <w:noWrap/>
            <w:vAlign w:val="center"/>
            <w:hideMark/>
          </w:tcPr>
          <w:p w14:paraId="7C0A3855" w14:textId="77777777" w:rsidR="00B66CC3" w:rsidRPr="009228CA" w:rsidRDefault="00B66CC3" w:rsidP="00B66CC3">
            <w:pPr>
              <w:spacing w:before="0" w:after="0"/>
              <w:jc w:val="center"/>
              <w:rPr>
                <w:rFonts w:cs="Arial"/>
                <w:b/>
                <w:sz w:val="18"/>
                <w:szCs w:val="18"/>
              </w:rPr>
            </w:pPr>
            <w:r w:rsidRPr="009228CA">
              <w:rPr>
                <w:rFonts w:cs="Arial"/>
                <w:b/>
                <w:sz w:val="18"/>
                <w:szCs w:val="18"/>
              </w:rPr>
              <w:t>2008</w:t>
            </w:r>
          </w:p>
        </w:tc>
        <w:tc>
          <w:tcPr>
            <w:tcW w:w="281" w:type="pct"/>
            <w:tcBorders>
              <w:top w:val="single" w:sz="4" w:space="0" w:color="auto"/>
              <w:left w:val="nil"/>
              <w:bottom w:val="single" w:sz="4" w:space="0" w:color="auto"/>
              <w:right w:val="nil"/>
            </w:tcBorders>
            <w:shd w:val="clear" w:color="auto" w:fill="auto"/>
            <w:noWrap/>
            <w:vAlign w:val="center"/>
            <w:hideMark/>
          </w:tcPr>
          <w:p w14:paraId="2F200D71" w14:textId="77777777" w:rsidR="00B66CC3" w:rsidRPr="009228CA" w:rsidRDefault="00B66CC3" w:rsidP="00B66CC3">
            <w:pPr>
              <w:spacing w:before="0" w:after="0"/>
              <w:jc w:val="center"/>
              <w:rPr>
                <w:rFonts w:cs="Arial"/>
                <w:b/>
                <w:sz w:val="18"/>
                <w:szCs w:val="18"/>
              </w:rPr>
            </w:pPr>
            <w:r w:rsidRPr="009228CA">
              <w:rPr>
                <w:rFonts w:cs="Arial"/>
                <w:b/>
                <w:sz w:val="18"/>
                <w:szCs w:val="18"/>
              </w:rPr>
              <w:t>2009</w:t>
            </w:r>
          </w:p>
        </w:tc>
        <w:tc>
          <w:tcPr>
            <w:tcW w:w="281" w:type="pct"/>
            <w:tcBorders>
              <w:top w:val="single" w:sz="4" w:space="0" w:color="auto"/>
              <w:left w:val="nil"/>
              <w:bottom w:val="single" w:sz="4" w:space="0" w:color="auto"/>
              <w:right w:val="nil"/>
            </w:tcBorders>
            <w:shd w:val="clear" w:color="auto" w:fill="auto"/>
            <w:noWrap/>
            <w:vAlign w:val="center"/>
            <w:hideMark/>
          </w:tcPr>
          <w:p w14:paraId="7BB06590" w14:textId="77777777" w:rsidR="00B66CC3" w:rsidRPr="009228CA" w:rsidRDefault="00B66CC3" w:rsidP="00B66CC3">
            <w:pPr>
              <w:spacing w:before="0" w:after="0"/>
              <w:jc w:val="center"/>
              <w:rPr>
                <w:rFonts w:cs="Arial"/>
                <w:b/>
                <w:sz w:val="18"/>
                <w:szCs w:val="18"/>
              </w:rPr>
            </w:pPr>
            <w:r w:rsidRPr="009228CA">
              <w:rPr>
                <w:rFonts w:cs="Arial"/>
                <w:b/>
                <w:sz w:val="18"/>
                <w:szCs w:val="18"/>
              </w:rPr>
              <w:t>2010</w:t>
            </w:r>
          </w:p>
        </w:tc>
        <w:tc>
          <w:tcPr>
            <w:tcW w:w="309" w:type="pct"/>
            <w:tcBorders>
              <w:top w:val="single" w:sz="4" w:space="0" w:color="auto"/>
              <w:left w:val="nil"/>
              <w:bottom w:val="single" w:sz="4" w:space="0" w:color="auto"/>
              <w:right w:val="nil"/>
            </w:tcBorders>
            <w:shd w:val="clear" w:color="auto" w:fill="auto"/>
            <w:noWrap/>
            <w:vAlign w:val="center"/>
            <w:hideMark/>
          </w:tcPr>
          <w:p w14:paraId="39354A63" w14:textId="77777777" w:rsidR="00B66CC3" w:rsidRPr="009228CA" w:rsidRDefault="00B66CC3" w:rsidP="00B66CC3">
            <w:pPr>
              <w:spacing w:before="0" w:after="0"/>
              <w:jc w:val="center"/>
              <w:rPr>
                <w:rFonts w:cs="Arial"/>
                <w:b/>
                <w:sz w:val="18"/>
                <w:szCs w:val="18"/>
              </w:rPr>
            </w:pPr>
            <w:r w:rsidRPr="009228CA">
              <w:rPr>
                <w:rFonts w:cs="Arial"/>
                <w:b/>
                <w:sz w:val="18"/>
                <w:szCs w:val="18"/>
              </w:rPr>
              <w:t>2011</w:t>
            </w:r>
          </w:p>
        </w:tc>
        <w:tc>
          <w:tcPr>
            <w:tcW w:w="273" w:type="pct"/>
            <w:tcBorders>
              <w:top w:val="single" w:sz="4" w:space="0" w:color="auto"/>
              <w:left w:val="nil"/>
              <w:bottom w:val="single" w:sz="4" w:space="0" w:color="auto"/>
              <w:right w:val="nil"/>
            </w:tcBorders>
            <w:shd w:val="clear" w:color="auto" w:fill="auto"/>
            <w:noWrap/>
            <w:vAlign w:val="center"/>
            <w:hideMark/>
          </w:tcPr>
          <w:p w14:paraId="4C738238" w14:textId="77777777" w:rsidR="00B66CC3" w:rsidRPr="009228CA" w:rsidRDefault="00B66CC3" w:rsidP="00B66CC3">
            <w:pPr>
              <w:spacing w:before="0" w:after="0"/>
              <w:jc w:val="center"/>
              <w:rPr>
                <w:rFonts w:cs="Arial"/>
                <w:b/>
                <w:sz w:val="18"/>
                <w:szCs w:val="18"/>
              </w:rPr>
            </w:pPr>
            <w:r w:rsidRPr="009228CA">
              <w:rPr>
                <w:rFonts w:cs="Arial"/>
                <w:b/>
                <w:sz w:val="18"/>
                <w:szCs w:val="18"/>
              </w:rPr>
              <w:t>2012</w:t>
            </w:r>
          </w:p>
        </w:tc>
        <w:tc>
          <w:tcPr>
            <w:tcW w:w="273" w:type="pct"/>
            <w:tcBorders>
              <w:top w:val="single" w:sz="4" w:space="0" w:color="auto"/>
              <w:left w:val="nil"/>
              <w:bottom w:val="single" w:sz="4" w:space="0" w:color="auto"/>
              <w:right w:val="nil"/>
            </w:tcBorders>
            <w:shd w:val="clear" w:color="auto" w:fill="auto"/>
            <w:noWrap/>
            <w:vAlign w:val="center"/>
            <w:hideMark/>
          </w:tcPr>
          <w:p w14:paraId="06577869" w14:textId="77777777" w:rsidR="00B66CC3" w:rsidRPr="009228CA" w:rsidRDefault="00B66CC3" w:rsidP="00B66CC3">
            <w:pPr>
              <w:spacing w:before="0" w:after="0"/>
              <w:jc w:val="center"/>
              <w:rPr>
                <w:rFonts w:cs="Arial"/>
                <w:b/>
                <w:sz w:val="18"/>
                <w:szCs w:val="18"/>
              </w:rPr>
            </w:pPr>
            <w:r w:rsidRPr="009228CA">
              <w:rPr>
                <w:rFonts w:cs="Arial"/>
                <w:b/>
                <w:sz w:val="18"/>
                <w:szCs w:val="18"/>
              </w:rPr>
              <w:t>2013</w:t>
            </w:r>
          </w:p>
        </w:tc>
        <w:tc>
          <w:tcPr>
            <w:tcW w:w="273" w:type="pct"/>
            <w:tcBorders>
              <w:top w:val="single" w:sz="4" w:space="0" w:color="auto"/>
              <w:left w:val="nil"/>
              <w:bottom w:val="single" w:sz="4" w:space="0" w:color="auto"/>
              <w:right w:val="nil"/>
            </w:tcBorders>
            <w:shd w:val="clear" w:color="auto" w:fill="auto"/>
            <w:noWrap/>
            <w:vAlign w:val="center"/>
            <w:hideMark/>
          </w:tcPr>
          <w:p w14:paraId="64B3145B" w14:textId="77777777" w:rsidR="00B66CC3" w:rsidRPr="009228CA" w:rsidRDefault="00B66CC3" w:rsidP="00B66CC3">
            <w:pPr>
              <w:spacing w:before="0" w:after="0"/>
              <w:jc w:val="center"/>
              <w:rPr>
                <w:rFonts w:cs="Arial"/>
                <w:b/>
                <w:sz w:val="18"/>
                <w:szCs w:val="18"/>
              </w:rPr>
            </w:pPr>
            <w:r w:rsidRPr="009228CA">
              <w:rPr>
                <w:rFonts w:cs="Arial"/>
                <w:b/>
                <w:sz w:val="18"/>
                <w:szCs w:val="18"/>
              </w:rPr>
              <w:t>2014</w:t>
            </w:r>
          </w:p>
        </w:tc>
        <w:tc>
          <w:tcPr>
            <w:tcW w:w="282" w:type="pct"/>
            <w:tcBorders>
              <w:top w:val="single" w:sz="4" w:space="0" w:color="auto"/>
              <w:left w:val="nil"/>
              <w:bottom w:val="single" w:sz="4" w:space="0" w:color="auto"/>
              <w:right w:val="nil"/>
            </w:tcBorders>
            <w:shd w:val="clear" w:color="auto" w:fill="auto"/>
            <w:noWrap/>
            <w:vAlign w:val="center"/>
            <w:hideMark/>
          </w:tcPr>
          <w:p w14:paraId="4520DA73" w14:textId="77777777" w:rsidR="00B66CC3" w:rsidRPr="009228CA" w:rsidRDefault="00B66CC3" w:rsidP="00B66CC3">
            <w:pPr>
              <w:spacing w:before="0" w:after="0"/>
              <w:jc w:val="center"/>
              <w:rPr>
                <w:rFonts w:cs="Arial"/>
                <w:b/>
                <w:sz w:val="18"/>
                <w:szCs w:val="18"/>
              </w:rPr>
            </w:pPr>
            <w:r w:rsidRPr="009228CA">
              <w:rPr>
                <w:rFonts w:cs="Arial"/>
                <w:b/>
                <w:sz w:val="18"/>
                <w:szCs w:val="18"/>
              </w:rPr>
              <w:t>2015</w:t>
            </w:r>
          </w:p>
        </w:tc>
      </w:tr>
      <w:tr w:rsidR="00B66CC3" w:rsidRPr="00E9409C" w14:paraId="79857576" w14:textId="77777777" w:rsidTr="00B66CC3">
        <w:trPr>
          <w:trHeight w:val="454"/>
        </w:trPr>
        <w:tc>
          <w:tcPr>
            <w:tcW w:w="617" w:type="pct"/>
            <w:tcBorders>
              <w:top w:val="nil"/>
              <w:left w:val="nil"/>
              <w:bottom w:val="nil"/>
              <w:right w:val="nil"/>
            </w:tcBorders>
            <w:shd w:val="clear" w:color="auto" w:fill="auto"/>
            <w:noWrap/>
            <w:vAlign w:val="center"/>
            <w:hideMark/>
          </w:tcPr>
          <w:p w14:paraId="185ADC2E" w14:textId="77777777" w:rsidR="00B66CC3" w:rsidRPr="004A5BF7" w:rsidRDefault="00B66CC3" w:rsidP="004A5BF7">
            <w:pPr>
              <w:spacing w:before="0" w:after="0"/>
              <w:jc w:val="left"/>
              <w:rPr>
                <w:rFonts w:cs="Arial"/>
                <w:sz w:val="18"/>
                <w:szCs w:val="18"/>
              </w:rPr>
            </w:pPr>
            <w:r w:rsidRPr="004A5BF7">
              <w:rPr>
                <w:rFonts w:cs="Arial"/>
                <w:sz w:val="18"/>
                <w:szCs w:val="18"/>
              </w:rPr>
              <w:t>Daintree</w:t>
            </w:r>
          </w:p>
        </w:tc>
        <w:tc>
          <w:tcPr>
            <w:tcW w:w="723" w:type="pct"/>
            <w:tcBorders>
              <w:top w:val="nil"/>
              <w:left w:val="nil"/>
              <w:bottom w:val="nil"/>
              <w:right w:val="nil"/>
            </w:tcBorders>
            <w:shd w:val="clear" w:color="auto" w:fill="auto"/>
            <w:noWrap/>
            <w:vAlign w:val="center"/>
            <w:hideMark/>
          </w:tcPr>
          <w:p w14:paraId="70BD853C"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281" w:type="pct"/>
            <w:tcBorders>
              <w:top w:val="nil"/>
              <w:left w:val="nil"/>
              <w:bottom w:val="nil"/>
              <w:right w:val="nil"/>
            </w:tcBorders>
            <w:shd w:val="clear" w:color="auto" w:fill="auto"/>
            <w:noWrap/>
            <w:vAlign w:val="center"/>
            <w:hideMark/>
          </w:tcPr>
          <w:p w14:paraId="31AD354D" w14:textId="77777777" w:rsidR="00B66CC3" w:rsidRPr="004A5BF7" w:rsidRDefault="00B66CC3" w:rsidP="00B66CC3">
            <w:pPr>
              <w:spacing w:before="0" w:after="0"/>
              <w:jc w:val="center"/>
              <w:rPr>
                <w:rFonts w:cs="Arial"/>
                <w:sz w:val="18"/>
                <w:szCs w:val="18"/>
              </w:rPr>
            </w:pPr>
            <w:r w:rsidRPr="004A5BF7">
              <w:rPr>
                <w:rFonts w:cs="Arial"/>
                <w:sz w:val="18"/>
                <w:szCs w:val="18"/>
              </w:rPr>
              <w:t>6</w:t>
            </w:r>
          </w:p>
        </w:tc>
        <w:tc>
          <w:tcPr>
            <w:tcW w:w="281" w:type="pct"/>
            <w:tcBorders>
              <w:top w:val="nil"/>
              <w:left w:val="nil"/>
              <w:bottom w:val="nil"/>
              <w:right w:val="nil"/>
            </w:tcBorders>
            <w:shd w:val="clear" w:color="auto" w:fill="auto"/>
            <w:noWrap/>
            <w:vAlign w:val="center"/>
            <w:hideMark/>
          </w:tcPr>
          <w:p w14:paraId="5CE29107" w14:textId="77777777" w:rsidR="00B66CC3" w:rsidRPr="004A5BF7" w:rsidRDefault="00B66CC3" w:rsidP="00B66CC3">
            <w:pPr>
              <w:spacing w:before="0" w:after="0"/>
              <w:jc w:val="center"/>
              <w:rPr>
                <w:rFonts w:cs="Arial"/>
                <w:sz w:val="18"/>
                <w:szCs w:val="18"/>
              </w:rPr>
            </w:pPr>
            <w:r w:rsidRPr="004A5BF7">
              <w:rPr>
                <w:rFonts w:cs="Arial"/>
                <w:sz w:val="18"/>
                <w:szCs w:val="18"/>
              </w:rPr>
              <w:t>352</w:t>
            </w:r>
          </w:p>
        </w:tc>
        <w:tc>
          <w:tcPr>
            <w:tcW w:w="281" w:type="pct"/>
            <w:tcBorders>
              <w:top w:val="nil"/>
              <w:left w:val="nil"/>
              <w:bottom w:val="nil"/>
              <w:right w:val="nil"/>
            </w:tcBorders>
            <w:shd w:val="clear" w:color="auto" w:fill="auto"/>
            <w:noWrap/>
            <w:vAlign w:val="center"/>
            <w:hideMark/>
          </w:tcPr>
          <w:p w14:paraId="7AE2B360" w14:textId="77777777" w:rsidR="00B66CC3" w:rsidRPr="004A5BF7" w:rsidRDefault="00B66CC3" w:rsidP="00B66CC3">
            <w:pPr>
              <w:spacing w:before="0" w:after="0"/>
              <w:jc w:val="center"/>
              <w:rPr>
                <w:rFonts w:cs="Arial"/>
                <w:sz w:val="18"/>
                <w:szCs w:val="18"/>
              </w:rPr>
            </w:pPr>
            <w:r w:rsidRPr="004A5BF7">
              <w:rPr>
                <w:rFonts w:cs="Arial"/>
                <w:sz w:val="18"/>
                <w:szCs w:val="18"/>
              </w:rPr>
              <w:t>41</w:t>
            </w:r>
          </w:p>
        </w:tc>
        <w:tc>
          <w:tcPr>
            <w:tcW w:w="281" w:type="pct"/>
            <w:tcBorders>
              <w:top w:val="nil"/>
              <w:left w:val="nil"/>
              <w:bottom w:val="nil"/>
              <w:right w:val="nil"/>
            </w:tcBorders>
            <w:shd w:val="clear" w:color="auto" w:fill="auto"/>
            <w:noWrap/>
            <w:vAlign w:val="center"/>
            <w:hideMark/>
          </w:tcPr>
          <w:p w14:paraId="6608510D" w14:textId="77777777" w:rsidR="00B66CC3" w:rsidRPr="004A5BF7" w:rsidRDefault="00B66CC3" w:rsidP="00B66CC3">
            <w:pPr>
              <w:spacing w:before="0" w:after="0"/>
              <w:jc w:val="center"/>
              <w:rPr>
                <w:rFonts w:cs="Arial"/>
                <w:sz w:val="18"/>
                <w:szCs w:val="18"/>
              </w:rPr>
            </w:pPr>
            <w:r w:rsidRPr="004A5BF7">
              <w:rPr>
                <w:rFonts w:cs="Arial"/>
                <w:sz w:val="18"/>
                <w:szCs w:val="18"/>
              </w:rPr>
              <w:t>349</w:t>
            </w:r>
          </w:p>
        </w:tc>
        <w:tc>
          <w:tcPr>
            <w:tcW w:w="282" w:type="pct"/>
            <w:tcBorders>
              <w:top w:val="nil"/>
              <w:left w:val="nil"/>
              <w:bottom w:val="nil"/>
              <w:right w:val="nil"/>
            </w:tcBorders>
            <w:shd w:val="clear" w:color="auto" w:fill="auto"/>
            <w:noWrap/>
            <w:vAlign w:val="center"/>
            <w:hideMark/>
          </w:tcPr>
          <w:p w14:paraId="681A3E35" w14:textId="77777777" w:rsidR="00B66CC3" w:rsidRPr="004A5BF7" w:rsidRDefault="00B66CC3" w:rsidP="00B66CC3">
            <w:pPr>
              <w:spacing w:before="0" w:after="0"/>
              <w:jc w:val="center"/>
              <w:rPr>
                <w:rFonts w:cs="Arial"/>
                <w:sz w:val="18"/>
                <w:szCs w:val="18"/>
              </w:rPr>
            </w:pPr>
            <w:r w:rsidRPr="004A5BF7">
              <w:rPr>
                <w:rFonts w:cs="Arial"/>
                <w:sz w:val="18"/>
                <w:szCs w:val="18"/>
              </w:rPr>
              <w:t>150</w:t>
            </w:r>
          </w:p>
        </w:tc>
        <w:tc>
          <w:tcPr>
            <w:tcW w:w="281" w:type="pct"/>
            <w:tcBorders>
              <w:top w:val="nil"/>
              <w:left w:val="nil"/>
              <w:bottom w:val="nil"/>
              <w:right w:val="nil"/>
            </w:tcBorders>
            <w:shd w:val="clear" w:color="auto" w:fill="auto"/>
            <w:noWrap/>
            <w:vAlign w:val="center"/>
            <w:hideMark/>
          </w:tcPr>
          <w:p w14:paraId="51D152F7" w14:textId="77777777" w:rsidR="00B66CC3" w:rsidRPr="004A5BF7" w:rsidRDefault="00B66CC3" w:rsidP="00B66CC3">
            <w:pPr>
              <w:spacing w:before="0" w:after="0"/>
              <w:jc w:val="center"/>
              <w:rPr>
                <w:rFonts w:cs="Arial"/>
                <w:sz w:val="18"/>
                <w:szCs w:val="18"/>
              </w:rPr>
            </w:pPr>
            <w:r w:rsidRPr="004A5BF7">
              <w:rPr>
                <w:rFonts w:cs="Arial"/>
                <w:sz w:val="18"/>
                <w:szCs w:val="18"/>
              </w:rPr>
              <w:t>293</w:t>
            </w:r>
          </w:p>
        </w:tc>
        <w:tc>
          <w:tcPr>
            <w:tcW w:w="281" w:type="pct"/>
            <w:tcBorders>
              <w:top w:val="nil"/>
              <w:left w:val="nil"/>
              <w:bottom w:val="nil"/>
              <w:right w:val="nil"/>
            </w:tcBorders>
            <w:shd w:val="clear" w:color="auto" w:fill="auto"/>
            <w:noWrap/>
            <w:vAlign w:val="center"/>
            <w:hideMark/>
          </w:tcPr>
          <w:p w14:paraId="6668B428" w14:textId="77777777" w:rsidR="00B66CC3" w:rsidRPr="004A5BF7" w:rsidRDefault="00B66CC3" w:rsidP="00B66CC3">
            <w:pPr>
              <w:spacing w:before="0" w:after="0"/>
              <w:jc w:val="center"/>
              <w:rPr>
                <w:rFonts w:cs="Arial"/>
                <w:sz w:val="18"/>
                <w:szCs w:val="18"/>
              </w:rPr>
            </w:pPr>
            <w:r w:rsidRPr="004A5BF7">
              <w:rPr>
                <w:rFonts w:cs="Arial"/>
                <w:sz w:val="18"/>
                <w:szCs w:val="18"/>
              </w:rPr>
              <w:t>187</w:t>
            </w:r>
          </w:p>
        </w:tc>
        <w:tc>
          <w:tcPr>
            <w:tcW w:w="281" w:type="pct"/>
            <w:tcBorders>
              <w:top w:val="nil"/>
              <w:left w:val="nil"/>
              <w:bottom w:val="nil"/>
              <w:right w:val="nil"/>
            </w:tcBorders>
            <w:shd w:val="clear" w:color="auto" w:fill="auto"/>
            <w:noWrap/>
            <w:vAlign w:val="center"/>
            <w:hideMark/>
          </w:tcPr>
          <w:p w14:paraId="59D447FC" w14:textId="77777777" w:rsidR="00B66CC3" w:rsidRPr="004A5BF7" w:rsidRDefault="00B66CC3" w:rsidP="00B66CC3">
            <w:pPr>
              <w:spacing w:before="0" w:after="0"/>
              <w:jc w:val="center"/>
              <w:rPr>
                <w:rFonts w:cs="Arial"/>
                <w:sz w:val="18"/>
                <w:szCs w:val="18"/>
              </w:rPr>
            </w:pPr>
            <w:r w:rsidRPr="004A5BF7">
              <w:rPr>
                <w:rFonts w:cs="Arial"/>
                <w:sz w:val="18"/>
                <w:szCs w:val="18"/>
              </w:rPr>
              <w:t>275</w:t>
            </w:r>
          </w:p>
        </w:tc>
        <w:tc>
          <w:tcPr>
            <w:tcW w:w="309" w:type="pct"/>
            <w:tcBorders>
              <w:top w:val="nil"/>
              <w:left w:val="nil"/>
              <w:bottom w:val="nil"/>
              <w:right w:val="nil"/>
            </w:tcBorders>
            <w:shd w:val="clear" w:color="auto" w:fill="auto"/>
            <w:noWrap/>
            <w:vAlign w:val="center"/>
            <w:hideMark/>
          </w:tcPr>
          <w:p w14:paraId="3FDA6623" w14:textId="77777777" w:rsidR="00B66CC3" w:rsidRPr="004A5BF7" w:rsidRDefault="00B66CC3" w:rsidP="00B66CC3">
            <w:pPr>
              <w:spacing w:before="0" w:after="0"/>
              <w:jc w:val="center"/>
              <w:rPr>
                <w:rFonts w:cs="Arial"/>
                <w:sz w:val="18"/>
                <w:szCs w:val="18"/>
              </w:rPr>
            </w:pPr>
            <w:r w:rsidRPr="004A5BF7">
              <w:rPr>
                <w:rFonts w:cs="Arial"/>
                <w:sz w:val="18"/>
                <w:szCs w:val="18"/>
              </w:rPr>
              <w:t>466</w:t>
            </w:r>
          </w:p>
        </w:tc>
        <w:tc>
          <w:tcPr>
            <w:tcW w:w="273" w:type="pct"/>
            <w:tcBorders>
              <w:top w:val="nil"/>
              <w:left w:val="nil"/>
              <w:bottom w:val="nil"/>
              <w:right w:val="nil"/>
            </w:tcBorders>
            <w:shd w:val="clear" w:color="auto" w:fill="auto"/>
            <w:noWrap/>
            <w:vAlign w:val="center"/>
            <w:hideMark/>
          </w:tcPr>
          <w:p w14:paraId="388D3384" w14:textId="77777777" w:rsidR="00B66CC3" w:rsidRPr="004A5BF7" w:rsidRDefault="00B66CC3" w:rsidP="00B66CC3">
            <w:pPr>
              <w:spacing w:before="0" w:after="0"/>
              <w:jc w:val="center"/>
              <w:rPr>
                <w:rFonts w:cs="Arial"/>
                <w:sz w:val="18"/>
                <w:szCs w:val="18"/>
              </w:rPr>
            </w:pPr>
            <w:r w:rsidRPr="004A5BF7">
              <w:rPr>
                <w:rFonts w:cs="Arial"/>
                <w:sz w:val="18"/>
                <w:szCs w:val="18"/>
              </w:rPr>
              <w:t>75</w:t>
            </w:r>
          </w:p>
        </w:tc>
        <w:tc>
          <w:tcPr>
            <w:tcW w:w="273" w:type="pct"/>
            <w:tcBorders>
              <w:top w:val="nil"/>
              <w:left w:val="nil"/>
              <w:bottom w:val="nil"/>
              <w:right w:val="nil"/>
            </w:tcBorders>
            <w:shd w:val="clear" w:color="auto" w:fill="auto"/>
            <w:noWrap/>
            <w:vAlign w:val="center"/>
            <w:hideMark/>
          </w:tcPr>
          <w:p w14:paraId="1BFE30E3" w14:textId="77777777" w:rsidR="00B66CC3" w:rsidRPr="004A5BF7" w:rsidRDefault="00B66CC3" w:rsidP="00B66CC3">
            <w:pPr>
              <w:spacing w:before="0" w:after="0"/>
              <w:jc w:val="center"/>
              <w:rPr>
                <w:rFonts w:cs="Arial"/>
                <w:sz w:val="18"/>
                <w:szCs w:val="18"/>
              </w:rPr>
            </w:pPr>
            <w:r w:rsidRPr="004A5BF7">
              <w:rPr>
                <w:rFonts w:cs="Arial"/>
                <w:sz w:val="18"/>
                <w:szCs w:val="18"/>
              </w:rPr>
              <w:t>158</w:t>
            </w:r>
          </w:p>
        </w:tc>
        <w:tc>
          <w:tcPr>
            <w:tcW w:w="273" w:type="pct"/>
            <w:tcBorders>
              <w:top w:val="nil"/>
              <w:left w:val="nil"/>
              <w:bottom w:val="nil"/>
              <w:right w:val="nil"/>
            </w:tcBorders>
            <w:shd w:val="clear" w:color="auto" w:fill="auto"/>
            <w:noWrap/>
            <w:vAlign w:val="center"/>
            <w:hideMark/>
          </w:tcPr>
          <w:p w14:paraId="01A63774" w14:textId="77777777" w:rsidR="00B66CC3" w:rsidRPr="004A5BF7" w:rsidRDefault="00B66CC3" w:rsidP="00B66CC3">
            <w:pPr>
              <w:spacing w:before="0" w:after="0"/>
              <w:jc w:val="center"/>
              <w:rPr>
                <w:rFonts w:cs="Arial"/>
                <w:sz w:val="18"/>
                <w:szCs w:val="18"/>
              </w:rPr>
            </w:pPr>
            <w:r w:rsidRPr="004A5BF7">
              <w:rPr>
                <w:rFonts w:cs="Arial"/>
                <w:sz w:val="18"/>
                <w:szCs w:val="18"/>
              </w:rPr>
              <w:t>284</w:t>
            </w:r>
          </w:p>
        </w:tc>
        <w:tc>
          <w:tcPr>
            <w:tcW w:w="282" w:type="pct"/>
            <w:tcBorders>
              <w:top w:val="nil"/>
              <w:left w:val="nil"/>
              <w:bottom w:val="nil"/>
              <w:right w:val="nil"/>
            </w:tcBorders>
            <w:shd w:val="clear" w:color="auto" w:fill="auto"/>
            <w:noWrap/>
            <w:vAlign w:val="center"/>
            <w:hideMark/>
          </w:tcPr>
          <w:p w14:paraId="60AA1F73" w14:textId="77777777" w:rsidR="00B66CC3" w:rsidRPr="004A5BF7" w:rsidRDefault="00B66CC3" w:rsidP="00B66CC3">
            <w:pPr>
              <w:spacing w:before="0" w:after="0"/>
              <w:jc w:val="center"/>
              <w:rPr>
                <w:rFonts w:cs="Arial"/>
                <w:sz w:val="18"/>
                <w:szCs w:val="18"/>
              </w:rPr>
            </w:pPr>
            <w:r w:rsidRPr="004A5BF7">
              <w:rPr>
                <w:rFonts w:cs="Arial"/>
                <w:sz w:val="18"/>
                <w:szCs w:val="18"/>
              </w:rPr>
              <w:t>117</w:t>
            </w:r>
          </w:p>
        </w:tc>
      </w:tr>
      <w:tr w:rsidR="00B66CC3" w:rsidRPr="00E9409C" w14:paraId="21C37168" w14:textId="77777777" w:rsidTr="00B66CC3">
        <w:trPr>
          <w:trHeight w:val="454"/>
        </w:trPr>
        <w:tc>
          <w:tcPr>
            <w:tcW w:w="617" w:type="pct"/>
            <w:tcBorders>
              <w:top w:val="nil"/>
              <w:left w:val="nil"/>
              <w:bottom w:val="nil"/>
              <w:right w:val="nil"/>
            </w:tcBorders>
            <w:shd w:val="clear" w:color="auto" w:fill="auto"/>
            <w:noWrap/>
            <w:vAlign w:val="center"/>
            <w:hideMark/>
          </w:tcPr>
          <w:p w14:paraId="0FF830BF" w14:textId="77777777" w:rsidR="00B66CC3" w:rsidRPr="004A5BF7" w:rsidRDefault="00B66CC3" w:rsidP="004A5BF7">
            <w:pPr>
              <w:spacing w:before="0" w:after="0"/>
              <w:jc w:val="left"/>
              <w:rPr>
                <w:rFonts w:cs="Arial"/>
                <w:sz w:val="18"/>
                <w:szCs w:val="18"/>
              </w:rPr>
            </w:pPr>
            <w:r w:rsidRPr="004A5BF7">
              <w:rPr>
                <w:rFonts w:cs="Arial"/>
                <w:sz w:val="18"/>
                <w:szCs w:val="18"/>
              </w:rPr>
              <w:t>Mossman</w:t>
            </w:r>
          </w:p>
        </w:tc>
        <w:tc>
          <w:tcPr>
            <w:tcW w:w="723" w:type="pct"/>
            <w:tcBorders>
              <w:top w:val="nil"/>
              <w:left w:val="nil"/>
              <w:bottom w:val="nil"/>
              <w:right w:val="nil"/>
            </w:tcBorders>
            <w:shd w:val="clear" w:color="auto" w:fill="auto"/>
            <w:noWrap/>
            <w:vAlign w:val="center"/>
            <w:hideMark/>
          </w:tcPr>
          <w:p w14:paraId="3F72D30C"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281" w:type="pct"/>
            <w:tcBorders>
              <w:top w:val="nil"/>
              <w:left w:val="nil"/>
              <w:bottom w:val="nil"/>
              <w:right w:val="nil"/>
            </w:tcBorders>
            <w:shd w:val="clear" w:color="auto" w:fill="auto"/>
            <w:noWrap/>
            <w:vAlign w:val="center"/>
            <w:hideMark/>
          </w:tcPr>
          <w:p w14:paraId="33174E06" w14:textId="77777777" w:rsidR="00B66CC3" w:rsidRPr="004A5BF7" w:rsidRDefault="00B66CC3" w:rsidP="00B66CC3">
            <w:pPr>
              <w:spacing w:before="0" w:after="0"/>
              <w:jc w:val="center"/>
              <w:rPr>
                <w:rFonts w:cs="Arial"/>
                <w:sz w:val="18"/>
                <w:szCs w:val="18"/>
              </w:rPr>
            </w:pPr>
            <w:r w:rsidRPr="004A5BF7">
              <w:rPr>
                <w:rFonts w:cs="Arial"/>
                <w:sz w:val="18"/>
                <w:szCs w:val="18"/>
              </w:rPr>
              <w:t>5</w:t>
            </w:r>
          </w:p>
        </w:tc>
        <w:tc>
          <w:tcPr>
            <w:tcW w:w="281" w:type="pct"/>
            <w:tcBorders>
              <w:top w:val="nil"/>
              <w:left w:val="nil"/>
              <w:bottom w:val="nil"/>
              <w:right w:val="nil"/>
            </w:tcBorders>
            <w:shd w:val="clear" w:color="auto" w:fill="auto"/>
            <w:noWrap/>
            <w:vAlign w:val="center"/>
            <w:hideMark/>
          </w:tcPr>
          <w:p w14:paraId="20190DC7" w14:textId="77777777" w:rsidR="00B66CC3" w:rsidRPr="004A5BF7" w:rsidRDefault="00B66CC3" w:rsidP="00B66CC3">
            <w:pPr>
              <w:spacing w:before="0" w:after="0"/>
              <w:jc w:val="center"/>
              <w:rPr>
                <w:rFonts w:cs="Arial"/>
                <w:sz w:val="18"/>
                <w:szCs w:val="18"/>
              </w:rPr>
            </w:pPr>
            <w:r w:rsidRPr="004A5BF7">
              <w:rPr>
                <w:rFonts w:cs="Arial"/>
                <w:sz w:val="18"/>
                <w:szCs w:val="18"/>
              </w:rPr>
              <w:t>52</w:t>
            </w:r>
          </w:p>
        </w:tc>
        <w:tc>
          <w:tcPr>
            <w:tcW w:w="281" w:type="pct"/>
            <w:tcBorders>
              <w:top w:val="nil"/>
              <w:left w:val="nil"/>
              <w:bottom w:val="nil"/>
              <w:right w:val="nil"/>
            </w:tcBorders>
            <w:shd w:val="clear" w:color="auto" w:fill="auto"/>
            <w:noWrap/>
            <w:vAlign w:val="center"/>
            <w:hideMark/>
          </w:tcPr>
          <w:p w14:paraId="7C325DB6" w14:textId="77777777" w:rsidR="00B66CC3" w:rsidRPr="004A5BF7" w:rsidRDefault="00B66CC3" w:rsidP="00B66CC3">
            <w:pPr>
              <w:spacing w:before="0" w:after="0"/>
              <w:jc w:val="center"/>
              <w:rPr>
                <w:rFonts w:cs="Arial"/>
                <w:sz w:val="18"/>
                <w:szCs w:val="18"/>
              </w:rPr>
            </w:pPr>
            <w:r w:rsidRPr="004A5BF7">
              <w:rPr>
                <w:rFonts w:cs="Arial"/>
                <w:sz w:val="18"/>
                <w:szCs w:val="18"/>
              </w:rPr>
              <w:t>18</w:t>
            </w:r>
          </w:p>
        </w:tc>
        <w:tc>
          <w:tcPr>
            <w:tcW w:w="281" w:type="pct"/>
            <w:tcBorders>
              <w:top w:val="nil"/>
              <w:left w:val="nil"/>
              <w:bottom w:val="nil"/>
              <w:right w:val="nil"/>
            </w:tcBorders>
            <w:shd w:val="clear" w:color="auto" w:fill="auto"/>
            <w:noWrap/>
            <w:vAlign w:val="center"/>
            <w:hideMark/>
          </w:tcPr>
          <w:p w14:paraId="334207D4" w14:textId="77777777" w:rsidR="00B66CC3" w:rsidRPr="004A5BF7" w:rsidRDefault="00B66CC3" w:rsidP="00B66CC3">
            <w:pPr>
              <w:spacing w:before="0" w:after="0"/>
              <w:jc w:val="center"/>
              <w:rPr>
                <w:rFonts w:cs="Arial"/>
                <w:sz w:val="18"/>
                <w:szCs w:val="18"/>
              </w:rPr>
            </w:pPr>
            <w:r w:rsidRPr="004A5BF7">
              <w:rPr>
                <w:rFonts w:cs="Arial"/>
                <w:sz w:val="18"/>
                <w:szCs w:val="18"/>
              </w:rPr>
              <w:t>46</w:t>
            </w:r>
          </w:p>
        </w:tc>
        <w:tc>
          <w:tcPr>
            <w:tcW w:w="282" w:type="pct"/>
            <w:tcBorders>
              <w:top w:val="nil"/>
              <w:left w:val="nil"/>
              <w:bottom w:val="nil"/>
              <w:right w:val="nil"/>
            </w:tcBorders>
            <w:shd w:val="clear" w:color="auto" w:fill="auto"/>
            <w:noWrap/>
            <w:vAlign w:val="center"/>
            <w:hideMark/>
          </w:tcPr>
          <w:p w14:paraId="07331B79" w14:textId="77777777" w:rsidR="00B66CC3" w:rsidRPr="004A5BF7" w:rsidRDefault="00B66CC3" w:rsidP="00B66CC3">
            <w:pPr>
              <w:spacing w:before="0" w:after="0"/>
              <w:jc w:val="center"/>
              <w:rPr>
                <w:rFonts w:cs="Arial"/>
                <w:sz w:val="18"/>
                <w:szCs w:val="18"/>
              </w:rPr>
            </w:pPr>
            <w:r w:rsidRPr="004A5BF7">
              <w:rPr>
                <w:rFonts w:cs="Arial"/>
                <w:sz w:val="18"/>
                <w:szCs w:val="18"/>
              </w:rPr>
              <w:t>29</w:t>
            </w:r>
          </w:p>
        </w:tc>
        <w:tc>
          <w:tcPr>
            <w:tcW w:w="281" w:type="pct"/>
            <w:tcBorders>
              <w:top w:val="nil"/>
              <w:left w:val="nil"/>
              <w:bottom w:val="nil"/>
              <w:right w:val="nil"/>
            </w:tcBorders>
            <w:shd w:val="clear" w:color="auto" w:fill="auto"/>
            <w:noWrap/>
            <w:vAlign w:val="center"/>
            <w:hideMark/>
          </w:tcPr>
          <w:p w14:paraId="4EB1A10F" w14:textId="77777777" w:rsidR="00B66CC3" w:rsidRPr="004A5BF7" w:rsidRDefault="00B66CC3" w:rsidP="00B66CC3">
            <w:pPr>
              <w:spacing w:before="0" w:after="0"/>
              <w:jc w:val="center"/>
              <w:rPr>
                <w:rFonts w:cs="Arial"/>
                <w:sz w:val="18"/>
                <w:szCs w:val="18"/>
              </w:rPr>
            </w:pPr>
            <w:r w:rsidRPr="004A5BF7">
              <w:rPr>
                <w:rFonts w:cs="Arial"/>
                <w:sz w:val="18"/>
                <w:szCs w:val="18"/>
              </w:rPr>
              <w:t>38</w:t>
            </w:r>
          </w:p>
        </w:tc>
        <w:tc>
          <w:tcPr>
            <w:tcW w:w="281" w:type="pct"/>
            <w:tcBorders>
              <w:top w:val="nil"/>
              <w:left w:val="nil"/>
              <w:bottom w:val="nil"/>
              <w:right w:val="nil"/>
            </w:tcBorders>
            <w:shd w:val="clear" w:color="auto" w:fill="auto"/>
            <w:noWrap/>
            <w:vAlign w:val="center"/>
            <w:hideMark/>
          </w:tcPr>
          <w:p w14:paraId="0F7CADD2" w14:textId="77777777" w:rsidR="00B66CC3" w:rsidRPr="004A5BF7" w:rsidRDefault="00B66CC3" w:rsidP="00B66CC3">
            <w:pPr>
              <w:spacing w:before="0" w:after="0"/>
              <w:jc w:val="center"/>
              <w:rPr>
                <w:rFonts w:cs="Arial"/>
                <w:sz w:val="18"/>
                <w:szCs w:val="18"/>
              </w:rPr>
            </w:pPr>
            <w:r w:rsidRPr="004A5BF7">
              <w:rPr>
                <w:rFonts w:cs="Arial"/>
                <w:sz w:val="18"/>
                <w:szCs w:val="18"/>
              </w:rPr>
              <w:t>30</w:t>
            </w:r>
          </w:p>
        </w:tc>
        <w:tc>
          <w:tcPr>
            <w:tcW w:w="281" w:type="pct"/>
            <w:tcBorders>
              <w:top w:val="nil"/>
              <w:left w:val="nil"/>
              <w:bottom w:val="nil"/>
              <w:right w:val="nil"/>
            </w:tcBorders>
            <w:shd w:val="clear" w:color="auto" w:fill="auto"/>
            <w:noWrap/>
            <w:vAlign w:val="center"/>
            <w:hideMark/>
          </w:tcPr>
          <w:p w14:paraId="3D24FDF2" w14:textId="77777777" w:rsidR="00B66CC3" w:rsidRPr="004A5BF7" w:rsidRDefault="00B66CC3" w:rsidP="00B66CC3">
            <w:pPr>
              <w:spacing w:before="0" w:after="0"/>
              <w:jc w:val="center"/>
              <w:rPr>
                <w:rFonts w:cs="Arial"/>
                <w:sz w:val="18"/>
                <w:szCs w:val="18"/>
              </w:rPr>
            </w:pPr>
            <w:r w:rsidRPr="004A5BF7">
              <w:rPr>
                <w:rFonts w:cs="Arial"/>
                <w:sz w:val="18"/>
                <w:szCs w:val="18"/>
              </w:rPr>
              <w:t>61</w:t>
            </w:r>
          </w:p>
        </w:tc>
        <w:tc>
          <w:tcPr>
            <w:tcW w:w="309" w:type="pct"/>
            <w:tcBorders>
              <w:top w:val="nil"/>
              <w:left w:val="nil"/>
              <w:bottom w:val="nil"/>
              <w:right w:val="nil"/>
            </w:tcBorders>
            <w:shd w:val="clear" w:color="auto" w:fill="auto"/>
            <w:noWrap/>
            <w:vAlign w:val="center"/>
            <w:hideMark/>
          </w:tcPr>
          <w:p w14:paraId="4F2F10A5" w14:textId="77777777" w:rsidR="00B66CC3" w:rsidRPr="004A5BF7" w:rsidRDefault="00B66CC3" w:rsidP="00B66CC3">
            <w:pPr>
              <w:spacing w:before="0" w:after="0"/>
              <w:jc w:val="center"/>
              <w:rPr>
                <w:rFonts w:cs="Arial"/>
                <w:sz w:val="18"/>
                <w:szCs w:val="18"/>
              </w:rPr>
            </w:pPr>
            <w:r w:rsidRPr="004A5BF7">
              <w:rPr>
                <w:rFonts w:cs="Arial"/>
                <w:sz w:val="18"/>
                <w:szCs w:val="18"/>
              </w:rPr>
              <w:t>89</w:t>
            </w:r>
          </w:p>
        </w:tc>
        <w:tc>
          <w:tcPr>
            <w:tcW w:w="273" w:type="pct"/>
            <w:tcBorders>
              <w:top w:val="nil"/>
              <w:left w:val="nil"/>
              <w:bottom w:val="nil"/>
              <w:right w:val="nil"/>
            </w:tcBorders>
            <w:shd w:val="clear" w:color="auto" w:fill="auto"/>
            <w:noWrap/>
            <w:vAlign w:val="center"/>
            <w:hideMark/>
          </w:tcPr>
          <w:p w14:paraId="5B9E5AB6" w14:textId="77777777" w:rsidR="00B66CC3" w:rsidRPr="004A5BF7" w:rsidRDefault="00B66CC3" w:rsidP="00B66CC3">
            <w:pPr>
              <w:spacing w:before="0" w:after="0"/>
              <w:jc w:val="center"/>
              <w:rPr>
                <w:rFonts w:cs="Arial"/>
                <w:sz w:val="18"/>
                <w:szCs w:val="18"/>
              </w:rPr>
            </w:pPr>
            <w:r w:rsidRPr="004A5BF7">
              <w:rPr>
                <w:rFonts w:cs="Arial"/>
                <w:sz w:val="18"/>
                <w:szCs w:val="18"/>
              </w:rPr>
              <w:t>54</w:t>
            </w:r>
          </w:p>
        </w:tc>
        <w:tc>
          <w:tcPr>
            <w:tcW w:w="273" w:type="pct"/>
            <w:tcBorders>
              <w:top w:val="nil"/>
              <w:left w:val="nil"/>
              <w:bottom w:val="nil"/>
              <w:right w:val="nil"/>
            </w:tcBorders>
            <w:shd w:val="clear" w:color="auto" w:fill="auto"/>
            <w:noWrap/>
            <w:vAlign w:val="center"/>
            <w:hideMark/>
          </w:tcPr>
          <w:p w14:paraId="650AF0F9" w14:textId="77777777" w:rsidR="00B66CC3" w:rsidRPr="004A5BF7" w:rsidRDefault="00B66CC3" w:rsidP="00B66CC3">
            <w:pPr>
              <w:spacing w:before="0" w:after="0"/>
              <w:jc w:val="center"/>
              <w:rPr>
                <w:rFonts w:cs="Arial"/>
                <w:sz w:val="18"/>
                <w:szCs w:val="18"/>
              </w:rPr>
            </w:pPr>
            <w:r w:rsidRPr="004A5BF7">
              <w:rPr>
                <w:rFonts w:cs="Arial"/>
                <w:sz w:val="18"/>
                <w:szCs w:val="18"/>
              </w:rPr>
              <w:t>38</w:t>
            </w:r>
          </w:p>
        </w:tc>
        <w:tc>
          <w:tcPr>
            <w:tcW w:w="273" w:type="pct"/>
            <w:tcBorders>
              <w:top w:val="nil"/>
              <w:left w:val="nil"/>
              <w:bottom w:val="nil"/>
              <w:right w:val="nil"/>
            </w:tcBorders>
            <w:shd w:val="clear" w:color="auto" w:fill="auto"/>
            <w:noWrap/>
            <w:vAlign w:val="center"/>
            <w:hideMark/>
          </w:tcPr>
          <w:p w14:paraId="6FCB8022" w14:textId="77777777" w:rsidR="00B66CC3" w:rsidRPr="004A5BF7" w:rsidRDefault="00B66CC3" w:rsidP="00B66CC3">
            <w:pPr>
              <w:spacing w:before="0" w:after="0"/>
              <w:jc w:val="center"/>
              <w:rPr>
                <w:rFonts w:cs="Arial"/>
                <w:sz w:val="18"/>
                <w:szCs w:val="18"/>
              </w:rPr>
            </w:pPr>
            <w:r w:rsidRPr="004A5BF7">
              <w:rPr>
                <w:rFonts w:cs="Arial"/>
                <w:sz w:val="18"/>
                <w:szCs w:val="18"/>
              </w:rPr>
              <w:t>115</w:t>
            </w:r>
          </w:p>
        </w:tc>
        <w:tc>
          <w:tcPr>
            <w:tcW w:w="282" w:type="pct"/>
            <w:tcBorders>
              <w:top w:val="nil"/>
              <w:left w:val="nil"/>
              <w:bottom w:val="nil"/>
              <w:right w:val="nil"/>
            </w:tcBorders>
            <w:shd w:val="clear" w:color="auto" w:fill="auto"/>
            <w:noWrap/>
            <w:vAlign w:val="center"/>
            <w:hideMark/>
          </w:tcPr>
          <w:p w14:paraId="6CFF85F8" w14:textId="77777777" w:rsidR="00B66CC3" w:rsidRPr="004A5BF7" w:rsidRDefault="00B66CC3" w:rsidP="00B66CC3">
            <w:pPr>
              <w:spacing w:before="0" w:after="0"/>
              <w:jc w:val="center"/>
              <w:rPr>
                <w:rFonts w:cs="Arial"/>
                <w:sz w:val="18"/>
                <w:szCs w:val="18"/>
              </w:rPr>
            </w:pPr>
            <w:r w:rsidRPr="004A5BF7">
              <w:rPr>
                <w:rFonts w:cs="Arial"/>
                <w:sz w:val="18"/>
                <w:szCs w:val="18"/>
              </w:rPr>
              <w:t>42</w:t>
            </w:r>
          </w:p>
        </w:tc>
      </w:tr>
      <w:tr w:rsidR="00B66CC3" w:rsidRPr="00E9409C" w14:paraId="10327776" w14:textId="77777777" w:rsidTr="00B66CC3">
        <w:trPr>
          <w:trHeight w:val="454"/>
        </w:trPr>
        <w:tc>
          <w:tcPr>
            <w:tcW w:w="617" w:type="pct"/>
            <w:tcBorders>
              <w:top w:val="nil"/>
              <w:left w:val="nil"/>
              <w:bottom w:val="nil"/>
              <w:right w:val="nil"/>
            </w:tcBorders>
            <w:shd w:val="clear" w:color="auto" w:fill="auto"/>
            <w:noWrap/>
            <w:vAlign w:val="center"/>
            <w:hideMark/>
          </w:tcPr>
          <w:p w14:paraId="61E2756D" w14:textId="77777777" w:rsidR="00B66CC3" w:rsidRPr="004A5BF7" w:rsidRDefault="00B66CC3" w:rsidP="004A5BF7">
            <w:pPr>
              <w:spacing w:before="0" w:after="0"/>
              <w:jc w:val="left"/>
              <w:rPr>
                <w:rFonts w:cs="Arial"/>
                <w:sz w:val="18"/>
                <w:szCs w:val="18"/>
              </w:rPr>
            </w:pPr>
            <w:r w:rsidRPr="004A5BF7">
              <w:rPr>
                <w:rFonts w:cs="Arial"/>
                <w:sz w:val="18"/>
                <w:szCs w:val="18"/>
              </w:rPr>
              <w:t>Barron</w:t>
            </w:r>
          </w:p>
        </w:tc>
        <w:tc>
          <w:tcPr>
            <w:tcW w:w="723" w:type="pct"/>
            <w:tcBorders>
              <w:top w:val="nil"/>
              <w:left w:val="nil"/>
              <w:bottom w:val="nil"/>
              <w:right w:val="nil"/>
            </w:tcBorders>
            <w:shd w:val="clear" w:color="auto" w:fill="auto"/>
            <w:noWrap/>
            <w:vAlign w:val="center"/>
            <w:hideMark/>
          </w:tcPr>
          <w:p w14:paraId="47BFBDD9"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281" w:type="pct"/>
            <w:tcBorders>
              <w:top w:val="nil"/>
              <w:left w:val="nil"/>
              <w:bottom w:val="nil"/>
              <w:right w:val="nil"/>
            </w:tcBorders>
            <w:shd w:val="clear" w:color="auto" w:fill="auto"/>
            <w:noWrap/>
            <w:vAlign w:val="center"/>
            <w:hideMark/>
          </w:tcPr>
          <w:p w14:paraId="21E31336" w14:textId="77777777" w:rsidR="00B66CC3" w:rsidRPr="004A5BF7" w:rsidRDefault="00B66CC3" w:rsidP="00B66CC3">
            <w:pPr>
              <w:spacing w:before="0" w:after="0"/>
              <w:jc w:val="center"/>
              <w:rPr>
                <w:rFonts w:cs="Arial"/>
                <w:sz w:val="18"/>
                <w:szCs w:val="18"/>
              </w:rPr>
            </w:pPr>
            <w:r w:rsidRPr="004A5BF7">
              <w:rPr>
                <w:rFonts w:cs="Arial"/>
                <w:sz w:val="18"/>
                <w:szCs w:val="18"/>
              </w:rPr>
              <w:t>21</w:t>
            </w:r>
          </w:p>
        </w:tc>
        <w:tc>
          <w:tcPr>
            <w:tcW w:w="281" w:type="pct"/>
            <w:tcBorders>
              <w:top w:val="nil"/>
              <w:left w:val="nil"/>
              <w:bottom w:val="nil"/>
              <w:right w:val="nil"/>
            </w:tcBorders>
            <w:shd w:val="clear" w:color="auto" w:fill="auto"/>
            <w:noWrap/>
            <w:vAlign w:val="center"/>
            <w:hideMark/>
          </w:tcPr>
          <w:p w14:paraId="1F64CF3E" w14:textId="77777777" w:rsidR="00B66CC3" w:rsidRPr="004A5BF7" w:rsidRDefault="00B66CC3" w:rsidP="00B66CC3">
            <w:pPr>
              <w:spacing w:before="0" w:after="0"/>
              <w:jc w:val="center"/>
              <w:rPr>
                <w:rFonts w:cs="Arial"/>
                <w:sz w:val="18"/>
                <w:szCs w:val="18"/>
              </w:rPr>
            </w:pPr>
            <w:r w:rsidRPr="004A5BF7">
              <w:rPr>
                <w:rFonts w:cs="Arial"/>
                <w:sz w:val="18"/>
                <w:szCs w:val="18"/>
              </w:rPr>
              <w:t>44</w:t>
            </w:r>
          </w:p>
        </w:tc>
        <w:tc>
          <w:tcPr>
            <w:tcW w:w="281" w:type="pct"/>
            <w:tcBorders>
              <w:top w:val="nil"/>
              <w:left w:val="nil"/>
              <w:bottom w:val="nil"/>
              <w:right w:val="nil"/>
            </w:tcBorders>
            <w:shd w:val="clear" w:color="auto" w:fill="auto"/>
            <w:noWrap/>
            <w:vAlign w:val="center"/>
            <w:hideMark/>
          </w:tcPr>
          <w:p w14:paraId="796F4214" w14:textId="77777777" w:rsidR="00B66CC3" w:rsidRPr="004A5BF7" w:rsidRDefault="00B66CC3" w:rsidP="00B66CC3">
            <w:pPr>
              <w:spacing w:before="0" w:after="0"/>
              <w:jc w:val="center"/>
              <w:rPr>
                <w:rFonts w:cs="Arial"/>
                <w:sz w:val="18"/>
                <w:szCs w:val="18"/>
              </w:rPr>
            </w:pPr>
            <w:r w:rsidRPr="004A5BF7">
              <w:rPr>
                <w:rFonts w:cs="Arial"/>
                <w:sz w:val="18"/>
                <w:szCs w:val="18"/>
              </w:rPr>
              <w:t>29</w:t>
            </w:r>
          </w:p>
        </w:tc>
        <w:tc>
          <w:tcPr>
            <w:tcW w:w="281" w:type="pct"/>
            <w:tcBorders>
              <w:top w:val="nil"/>
              <w:left w:val="nil"/>
              <w:bottom w:val="nil"/>
              <w:right w:val="nil"/>
            </w:tcBorders>
            <w:shd w:val="clear" w:color="auto" w:fill="auto"/>
            <w:noWrap/>
            <w:vAlign w:val="center"/>
            <w:hideMark/>
          </w:tcPr>
          <w:p w14:paraId="3C470130" w14:textId="77777777" w:rsidR="00B66CC3" w:rsidRPr="004A5BF7" w:rsidRDefault="00B66CC3" w:rsidP="00B66CC3">
            <w:pPr>
              <w:spacing w:before="0" w:after="0"/>
              <w:jc w:val="center"/>
              <w:rPr>
                <w:rFonts w:cs="Arial"/>
                <w:sz w:val="18"/>
                <w:szCs w:val="18"/>
              </w:rPr>
            </w:pPr>
            <w:r w:rsidRPr="004A5BF7">
              <w:rPr>
                <w:rFonts w:cs="Arial"/>
                <w:sz w:val="18"/>
                <w:szCs w:val="18"/>
              </w:rPr>
              <w:t>50</w:t>
            </w:r>
          </w:p>
        </w:tc>
        <w:tc>
          <w:tcPr>
            <w:tcW w:w="282" w:type="pct"/>
            <w:tcBorders>
              <w:top w:val="nil"/>
              <w:left w:val="nil"/>
              <w:bottom w:val="nil"/>
              <w:right w:val="nil"/>
            </w:tcBorders>
            <w:shd w:val="clear" w:color="auto" w:fill="auto"/>
            <w:noWrap/>
            <w:vAlign w:val="center"/>
            <w:hideMark/>
          </w:tcPr>
          <w:p w14:paraId="0B055519" w14:textId="77777777" w:rsidR="00B66CC3" w:rsidRPr="004A5BF7" w:rsidRDefault="00B66CC3" w:rsidP="00B66CC3">
            <w:pPr>
              <w:spacing w:before="0" w:after="0"/>
              <w:jc w:val="center"/>
              <w:rPr>
                <w:rFonts w:cs="Arial"/>
                <w:sz w:val="18"/>
                <w:szCs w:val="18"/>
              </w:rPr>
            </w:pPr>
            <w:r w:rsidRPr="004A5BF7">
              <w:rPr>
                <w:rFonts w:cs="Arial"/>
                <w:sz w:val="18"/>
                <w:szCs w:val="18"/>
              </w:rPr>
              <w:t>29</w:t>
            </w:r>
          </w:p>
        </w:tc>
        <w:tc>
          <w:tcPr>
            <w:tcW w:w="281" w:type="pct"/>
            <w:tcBorders>
              <w:top w:val="nil"/>
              <w:left w:val="nil"/>
              <w:bottom w:val="nil"/>
              <w:right w:val="nil"/>
            </w:tcBorders>
            <w:shd w:val="clear" w:color="auto" w:fill="auto"/>
            <w:noWrap/>
            <w:vAlign w:val="center"/>
            <w:hideMark/>
          </w:tcPr>
          <w:p w14:paraId="669E5E92" w14:textId="77777777" w:rsidR="00B66CC3" w:rsidRPr="004A5BF7" w:rsidRDefault="00B66CC3" w:rsidP="00B66CC3">
            <w:pPr>
              <w:spacing w:before="0" w:after="0"/>
              <w:jc w:val="center"/>
              <w:rPr>
                <w:rFonts w:cs="Arial"/>
                <w:sz w:val="18"/>
                <w:szCs w:val="18"/>
              </w:rPr>
            </w:pPr>
            <w:r w:rsidRPr="004A5BF7">
              <w:rPr>
                <w:rFonts w:cs="Arial"/>
                <w:sz w:val="18"/>
                <w:szCs w:val="18"/>
              </w:rPr>
              <w:t>28</w:t>
            </w:r>
          </w:p>
        </w:tc>
        <w:tc>
          <w:tcPr>
            <w:tcW w:w="281" w:type="pct"/>
            <w:tcBorders>
              <w:top w:val="nil"/>
              <w:left w:val="nil"/>
              <w:bottom w:val="nil"/>
              <w:right w:val="nil"/>
            </w:tcBorders>
            <w:shd w:val="clear" w:color="auto" w:fill="auto"/>
            <w:noWrap/>
            <w:vAlign w:val="center"/>
            <w:hideMark/>
          </w:tcPr>
          <w:p w14:paraId="649EF39C" w14:textId="77777777" w:rsidR="00B66CC3" w:rsidRPr="004A5BF7" w:rsidRDefault="00B66CC3" w:rsidP="00B66CC3">
            <w:pPr>
              <w:spacing w:before="0" w:after="0"/>
              <w:jc w:val="center"/>
              <w:rPr>
                <w:rFonts w:cs="Arial"/>
                <w:sz w:val="18"/>
                <w:szCs w:val="18"/>
              </w:rPr>
            </w:pPr>
            <w:r w:rsidRPr="004A5BF7">
              <w:rPr>
                <w:rFonts w:cs="Arial"/>
                <w:sz w:val="18"/>
                <w:szCs w:val="18"/>
              </w:rPr>
              <w:t>19</w:t>
            </w:r>
          </w:p>
        </w:tc>
        <w:tc>
          <w:tcPr>
            <w:tcW w:w="281" w:type="pct"/>
            <w:tcBorders>
              <w:top w:val="nil"/>
              <w:left w:val="nil"/>
              <w:bottom w:val="nil"/>
              <w:right w:val="nil"/>
            </w:tcBorders>
            <w:shd w:val="clear" w:color="auto" w:fill="auto"/>
            <w:noWrap/>
            <w:vAlign w:val="center"/>
            <w:hideMark/>
          </w:tcPr>
          <w:p w14:paraId="40F48914" w14:textId="77777777" w:rsidR="00B66CC3" w:rsidRPr="004A5BF7" w:rsidRDefault="00B66CC3" w:rsidP="00B66CC3">
            <w:pPr>
              <w:spacing w:before="0" w:after="0"/>
              <w:jc w:val="center"/>
              <w:rPr>
                <w:rFonts w:cs="Arial"/>
                <w:sz w:val="18"/>
                <w:szCs w:val="18"/>
              </w:rPr>
            </w:pPr>
            <w:r w:rsidRPr="004A5BF7">
              <w:rPr>
                <w:rFonts w:cs="Arial"/>
                <w:sz w:val="18"/>
                <w:szCs w:val="18"/>
              </w:rPr>
              <w:t>25</w:t>
            </w:r>
          </w:p>
        </w:tc>
        <w:tc>
          <w:tcPr>
            <w:tcW w:w="309" w:type="pct"/>
            <w:tcBorders>
              <w:top w:val="nil"/>
              <w:left w:val="nil"/>
              <w:bottom w:val="nil"/>
              <w:right w:val="nil"/>
            </w:tcBorders>
            <w:shd w:val="clear" w:color="auto" w:fill="auto"/>
            <w:noWrap/>
            <w:vAlign w:val="center"/>
            <w:hideMark/>
          </w:tcPr>
          <w:p w14:paraId="003BA334" w14:textId="77777777" w:rsidR="00B66CC3" w:rsidRPr="004A5BF7" w:rsidRDefault="00B66CC3" w:rsidP="00B66CC3">
            <w:pPr>
              <w:spacing w:before="0" w:after="0"/>
              <w:jc w:val="center"/>
              <w:rPr>
                <w:rFonts w:cs="Arial"/>
                <w:sz w:val="18"/>
                <w:szCs w:val="18"/>
              </w:rPr>
            </w:pPr>
            <w:r w:rsidRPr="004A5BF7">
              <w:rPr>
                <w:rFonts w:cs="Arial"/>
                <w:sz w:val="18"/>
                <w:szCs w:val="18"/>
              </w:rPr>
              <w:t>26</w:t>
            </w:r>
          </w:p>
        </w:tc>
        <w:tc>
          <w:tcPr>
            <w:tcW w:w="273" w:type="pct"/>
            <w:tcBorders>
              <w:top w:val="nil"/>
              <w:left w:val="nil"/>
              <w:bottom w:val="nil"/>
              <w:right w:val="nil"/>
            </w:tcBorders>
            <w:shd w:val="clear" w:color="auto" w:fill="auto"/>
            <w:noWrap/>
            <w:vAlign w:val="center"/>
            <w:hideMark/>
          </w:tcPr>
          <w:p w14:paraId="0AF0BAB1" w14:textId="77777777" w:rsidR="00B66CC3" w:rsidRPr="004A5BF7" w:rsidRDefault="00B66CC3" w:rsidP="00B66CC3">
            <w:pPr>
              <w:spacing w:before="0" w:after="0"/>
              <w:jc w:val="center"/>
              <w:rPr>
                <w:rFonts w:cs="Arial"/>
                <w:sz w:val="18"/>
                <w:szCs w:val="18"/>
              </w:rPr>
            </w:pPr>
            <w:r w:rsidRPr="004A5BF7">
              <w:rPr>
                <w:rFonts w:cs="Arial"/>
                <w:sz w:val="18"/>
                <w:szCs w:val="18"/>
              </w:rPr>
              <w:t>20</w:t>
            </w:r>
          </w:p>
        </w:tc>
        <w:tc>
          <w:tcPr>
            <w:tcW w:w="273" w:type="pct"/>
            <w:tcBorders>
              <w:top w:val="nil"/>
              <w:left w:val="nil"/>
              <w:bottom w:val="nil"/>
              <w:right w:val="nil"/>
            </w:tcBorders>
            <w:shd w:val="clear" w:color="auto" w:fill="auto"/>
            <w:noWrap/>
            <w:vAlign w:val="center"/>
            <w:hideMark/>
          </w:tcPr>
          <w:p w14:paraId="5036BFA4" w14:textId="77777777" w:rsidR="00B66CC3" w:rsidRPr="004A5BF7" w:rsidRDefault="00B66CC3" w:rsidP="00B66CC3">
            <w:pPr>
              <w:spacing w:before="0" w:after="0"/>
              <w:jc w:val="center"/>
              <w:rPr>
                <w:rFonts w:cs="Arial"/>
                <w:sz w:val="18"/>
                <w:szCs w:val="18"/>
              </w:rPr>
            </w:pPr>
            <w:r w:rsidRPr="004A5BF7">
              <w:rPr>
                <w:rFonts w:cs="Arial"/>
                <w:sz w:val="18"/>
                <w:szCs w:val="18"/>
              </w:rPr>
              <w:t>16</w:t>
            </w:r>
          </w:p>
        </w:tc>
        <w:tc>
          <w:tcPr>
            <w:tcW w:w="273" w:type="pct"/>
            <w:tcBorders>
              <w:top w:val="nil"/>
              <w:left w:val="nil"/>
              <w:bottom w:val="nil"/>
              <w:right w:val="nil"/>
            </w:tcBorders>
            <w:shd w:val="clear" w:color="auto" w:fill="auto"/>
            <w:noWrap/>
            <w:vAlign w:val="center"/>
            <w:hideMark/>
          </w:tcPr>
          <w:p w14:paraId="5F62C64A" w14:textId="77777777" w:rsidR="00B66CC3" w:rsidRPr="004A5BF7" w:rsidRDefault="00B66CC3" w:rsidP="00B66CC3">
            <w:pPr>
              <w:spacing w:before="0" w:after="0"/>
              <w:jc w:val="center"/>
              <w:rPr>
                <w:rFonts w:cs="Arial"/>
                <w:sz w:val="18"/>
                <w:szCs w:val="18"/>
              </w:rPr>
            </w:pPr>
            <w:r w:rsidRPr="004A5BF7">
              <w:rPr>
                <w:rFonts w:cs="Arial"/>
                <w:sz w:val="18"/>
                <w:szCs w:val="18"/>
              </w:rPr>
              <w:t>25</w:t>
            </w:r>
          </w:p>
        </w:tc>
        <w:tc>
          <w:tcPr>
            <w:tcW w:w="282" w:type="pct"/>
            <w:tcBorders>
              <w:top w:val="nil"/>
              <w:left w:val="nil"/>
              <w:bottom w:val="nil"/>
              <w:right w:val="nil"/>
            </w:tcBorders>
            <w:shd w:val="clear" w:color="auto" w:fill="auto"/>
            <w:noWrap/>
            <w:vAlign w:val="center"/>
            <w:hideMark/>
          </w:tcPr>
          <w:p w14:paraId="6B5DFFFD" w14:textId="77777777" w:rsidR="00B66CC3" w:rsidRPr="004A5BF7" w:rsidRDefault="00B66CC3" w:rsidP="00B66CC3">
            <w:pPr>
              <w:spacing w:before="0" w:after="0"/>
              <w:jc w:val="center"/>
              <w:rPr>
                <w:rFonts w:cs="Arial"/>
                <w:sz w:val="18"/>
                <w:szCs w:val="18"/>
              </w:rPr>
            </w:pPr>
            <w:r w:rsidRPr="004A5BF7">
              <w:rPr>
                <w:rFonts w:cs="Arial"/>
                <w:sz w:val="18"/>
                <w:szCs w:val="18"/>
              </w:rPr>
              <w:t>8</w:t>
            </w:r>
          </w:p>
        </w:tc>
      </w:tr>
      <w:tr w:rsidR="00B66CC3" w:rsidRPr="00E9409C" w14:paraId="26251AD7" w14:textId="77777777" w:rsidTr="00B66CC3">
        <w:trPr>
          <w:trHeight w:val="454"/>
        </w:trPr>
        <w:tc>
          <w:tcPr>
            <w:tcW w:w="617" w:type="pct"/>
            <w:tcBorders>
              <w:top w:val="nil"/>
              <w:left w:val="nil"/>
              <w:bottom w:val="nil"/>
              <w:right w:val="nil"/>
            </w:tcBorders>
            <w:shd w:val="clear" w:color="auto" w:fill="auto"/>
            <w:noWrap/>
            <w:vAlign w:val="center"/>
            <w:hideMark/>
          </w:tcPr>
          <w:p w14:paraId="7B1DA8BB" w14:textId="77777777" w:rsidR="00B66CC3" w:rsidRPr="004A5BF7" w:rsidRDefault="00B66CC3" w:rsidP="004A5BF7">
            <w:pPr>
              <w:spacing w:before="0" w:after="0"/>
              <w:jc w:val="left"/>
              <w:rPr>
                <w:rFonts w:cs="Arial"/>
                <w:sz w:val="18"/>
                <w:szCs w:val="18"/>
              </w:rPr>
            </w:pPr>
            <w:r w:rsidRPr="004A5BF7">
              <w:rPr>
                <w:rFonts w:cs="Arial"/>
                <w:sz w:val="18"/>
                <w:szCs w:val="18"/>
              </w:rPr>
              <w:t>Russell-Mulgrave</w:t>
            </w:r>
          </w:p>
        </w:tc>
        <w:tc>
          <w:tcPr>
            <w:tcW w:w="723" w:type="pct"/>
            <w:tcBorders>
              <w:top w:val="nil"/>
              <w:left w:val="nil"/>
              <w:bottom w:val="nil"/>
              <w:right w:val="nil"/>
            </w:tcBorders>
            <w:shd w:val="clear" w:color="auto" w:fill="auto"/>
            <w:noWrap/>
            <w:vAlign w:val="center"/>
            <w:hideMark/>
          </w:tcPr>
          <w:p w14:paraId="3BDEF6FC"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281" w:type="pct"/>
            <w:tcBorders>
              <w:top w:val="nil"/>
              <w:left w:val="nil"/>
              <w:bottom w:val="nil"/>
              <w:right w:val="nil"/>
            </w:tcBorders>
            <w:shd w:val="clear" w:color="auto" w:fill="auto"/>
            <w:noWrap/>
            <w:vAlign w:val="center"/>
            <w:hideMark/>
          </w:tcPr>
          <w:p w14:paraId="73B5EE7F" w14:textId="77777777" w:rsidR="00B66CC3" w:rsidRPr="004A5BF7" w:rsidRDefault="00B66CC3" w:rsidP="00B66CC3">
            <w:pPr>
              <w:spacing w:before="0" w:after="0"/>
              <w:jc w:val="center"/>
              <w:rPr>
                <w:rFonts w:cs="Arial"/>
                <w:sz w:val="18"/>
                <w:szCs w:val="18"/>
              </w:rPr>
            </w:pPr>
            <w:r w:rsidRPr="004A5BF7">
              <w:rPr>
                <w:rFonts w:cs="Arial"/>
                <w:sz w:val="18"/>
                <w:szCs w:val="18"/>
              </w:rPr>
              <w:t>17</w:t>
            </w:r>
          </w:p>
        </w:tc>
        <w:tc>
          <w:tcPr>
            <w:tcW w:w="281" w:type="pct"/>
            <w:tcBorders>
              <w:top w:val="nil"/>
              <w:left w:val="nil"/>
              <w:bottom w:val="nil"/>
              <w:right w:val="nil"/>
            </w:tcBorders>
            <w:shd w:val="clear" w:color="auto" w:fill="auto"/>
            <w:noWrap/>
            <w:vAlign w:val="center"/>
            <w:hideMark/>
          </w:tcPr>
          <w:p w14:paraId="258B6CE2" w14:textId="77777777" w:rsidR="00B66CC3" w:rsidRPr="004A5BF7" w:rsidRDefault="00B66CC3" w:rsidP="00B66CC3">
            <w:pPr>
              <w:spacing w:before="0" w:after="0"/>
              <w:jc w:val="center"/>
              <w:rPr>
                <w:rFonts w:cs="Arial"/>
                <w:sz w:val="18"/>
                <w:szCs w:val="18"/>
              </w:rPr>
            </w:pPr>
            <w:r w:rsidRPr="004A5BF7">
              <w:rPr>
                <w:rFonts w:cs="Arial"/>
                <w:sz w:val="18"/>
                <w:szCs w:val="18"/>
              </w:rPr>
              <w:t>143</w:t>
            </w:r>
          </w:p>
        </w:tc>
        <w:tc>
          <w:tcPr>
            <w:tcW w:w="281" w:type="pct"/>
            <w:tcBorders>
              <w:top w:val="nil"/>
              <w:left w:val="nil"/>
              <w:bottom w:val="nil"/>
              <w:right w:val="nil"/>
            </w:tcBorders>
            <w:shd w:val="clear" w:color="auto" w:fill="auto"/>
            <w:noWrap/>
            <w:vAlign w:val="center"/>
            <w:hideMark/>
          </w:tcPr>
          <w:p w14:paraId="70DCDF8F" w14:textId="77777777" w:rsidR="00B66CC3" w:rsidRPr="004A5BF7" w:rsidRDefault="00B66CC3" w:rsidP="00B66CC3">
            <w:pPr>
              <w:spacing w:before="0" w:after="0"/>
              <w:jc w:val="center"/>
              <w:rPr>
                <w:rFonts w:cs="Arial"/>
                <w:sz w:val="18"/>
                <w:szCs w:val="18"/>
              </w:rPr>
            </w:pPr>
            <w:r w:rsidRPr="004A5BF7">
              <w:rPr>
                <w:rFonts w:cs="Arial"/>
                <w:sz w:val="18"/>
                <w:szCs w:val="18"/>
              </w:rPr>
              <w:t>59</w:t>
            </w:r>
          </w:p>
        </w:tc>
        <w:tc>
          <w:tcPr>
            <w:tcW w:w="281" w:type="pct"/>
            <w:tcBorders>
              <w:top w:val="nil"/>
              <w:left w:val="nil"/>
              <w:bottom w:val="nil"/>
              <w:right w:val="nil"/>
            </w:tcBorders>
            <w:shd w:val="clear" w:color="auto" w:fill="auto"/>
            <w:noWrap/>
            <w:vAlign w:val="center"/>
            <w:hideMark/>
          </w:tcPr>
          <w:p w14:paraId="64795966" w14:textId="77777777" w:rsidR="00B66CC3" w:rsidRPr="004A5BF7" w:rsidRDefault="00B66CC3" w:rsidP="00B66CC3">
            <w:pPr>
              <w:spacing w:before="0" w:after="0"/>
              <w:jc w:val="center"/>
              <w:rPr>
                <w:rFonts w:cs="Arial"/>
                <w:sz w:val="18"/>
                <w:szCs w:val="18"/>
              </w:rPr>
            </w:pPr>
            <w:r w:rsidRPr="004A5BF7">
              <w:rPr>
                <w:rFonts w:cs="Arial"/>
                <w:sz w:val="18"/>
                <w:szCs w:val="18"/>
              </w:rPr>
              <w:t>115</w:t>
            </w:r>
          </w:p>
        </w:tc>
        <w:tc>
          <w:tcPr>
            <w:tcW w:w="282" w:type="pct"/>
            <w:tcBorders>
              <w:top w:val="nil"/>
              <w:left w:val="nil"/>
              <w:bottom w:val="nil"/>
              <w:right w:val="nil"/>
            </w:tcBorders>
            <w:shd w:val="clear" w:color="auto" w:fill="auto"/>
            <w:noWrap/>
            <w:vAlign w:val="center"/>
            <w:hideMark/>
          </w:tcPr>
          <w:p w14:paraId="1E677FFD" w14:textId="77777777" w:rsidR="00B66CC3" w:rsidRPr="004A5BF7" w:rsidRDefault="00B66CC3" w:rsidP="00B66CC3">
            <w:pPr>
              <w:spacing w:before="0" w:after="0"/>
              <w:jc w:val="center"/>
              <w:rPr>
                <w:rFonts w:cs="Arial"/>
                <w:sz w:val="18"/>
                <w:szCs w:val="18"/>
              </w:rPr>
            </w:pPr>
            <w:r w:rsidRPr="004A5BF7">
              <w:rPr>
                <w:rFonts w:cs="Arial"/>
                <w:sz w:val="18"/>
                <w:szCs w:val="18"/>
              </w:rPr>
              <w:t>64</w:t>
            </w:r>
          </w:p>
        </w:tc>
        <w:tc>
          <w:tcPr>
            <w:tcW w:w="281" w:type="pct"/>
            <w:tcBorders>
              <w:top w:val="nil"/>
              <w:left w:val="nil"/>
              <w:bottom w:val="nil"/>
              <w:right w:val="nil"/>
            </w:tcBorders>
            <w:shd w:val="clear" w:color="auto" w:fill="auto"/>
            <w:noWrap/>
            <w:vAlign w:val="center"/>
            <w:hideMark/>
          </w:tcPr>
          <w:p w14:paraId="03A5CFE6" w14:textId="77777777" w:rsidR="00B66CC3" w:rsidRPr="004A5BF7" w:rsidRDefault="00B66CC3" w:rsidP="00B66CC3">
            <w:pPr>
              <w:spacing w:before="0" w:after="0"/>
              <w:jc w:val="center"/>
              <w:rPr>
                <w:rFonts w:cs="Arial"/>
                <w:sz w:val="18"/>
                <w:szCs w:val="18"/>
              </w:rPr>
            </w:pPr>
            <w:r w:rsidRPr="004A5BF7">
              <w:rPr>
                <w:rFonts w:cs="Arial"/>
                <w:sz w:val="18"/>
                <w:szCs w:val="18"/>
              </w:rPr>
              <w:t>245</w:t>
            </w:r>
          </w:p>
        </w:tc>
        <w:tc>
          <w:tcPr>
            <w:tcW w:w="281" w:type="pct"/>
            <w:tcBorders>
              <w:top w:val="nil"/>
              <w:left w:val="nil"/>
              <w:bottom w:val="nil"/>
              <w:right w:val="nil"/>
            </w:tcBorders>
            <w:shd w:val="clear" w:color="auto" w:fill="auto"/>
            <w:noWrap/>
            <w:vAlign w:val="center"/>
            <w:hideMark/>
          </w:tcPr>
          <w:p w14:paraId="0B256CDF" w14:textId="77777777" w:rsidR="00B66CC3" w:rsidRPr="004A5BF7" w:rsidRDefault="00B66CC3" w:rsidP="00B66CC3">
            <w:pPr>
              <w:spacing w:before="0" w:after="0"/>
              <w:jc w:val="center"/>
              <w:rPr>
                <w:rFonts w:cs="Arial"/>
                <w:sz w:val="18"/>
                <w:szCs w:val="18"/>
              </w:rPr>
            </w:pPr>
            <w:r w:rsidRPr="004A5BF7">
              <w:rPr>
                <w:rFonts w:cs="Arial"/>
                <w:sz w:val="18"/>
                <w:szCs w:val="18"/>
              </w:rPr>
              <w:t>117</w:t>
            </w:r>
          </w:p>
        </w:tc>
        <w:tc>
          <w:tcPr>
            <w:tcW w:w="281" w:type="pct"/>
            <w:tcBorders>
              <w:top w:val="nil"/>
              <w:left w:val="nil"/>
              <w:bottom w:val="nil"/>
              <w:right w:val="nil"/>
            </w:tcBorders>
            <w:shd w:val="clear" w:color="auto" w:fill="auto"/>
            <w:noWrap/>
            <w:vAlign w:val="center"/>
            <w:hideMark/>
          </w:tcPr>
          <w:p w14:paraId="35CE50F9" w14:textId="77777777" w:rsidR="00B66CC3" w:rsidRPr="004A5BF7" w:rsidRDefault="00B66CC3" w:rsidP="00B66CC3">
            <w:pPr>
              <w:spacing w:before="0" w:after="0"/>
              <w:jc w:val="center"/>
              <w:rPr>
                <w:rFonts w:cs="Arial"/>
                <w:sz w:val="18"/>
                <w:szCs w:val="18"/>
              </w:rPr>
            </w:pPr>
            <w:r w:rsidRPr="004A5BF7">
              <w:rPr>
                <w:rFonts w:cs="Arial"/>
                <w:sz w:val="18"/>
                <w:szCs w:val="18"/>
              </w:rPr>
              <w:t>75</w:t>
            </w:r>
          </w:p>
        </w:tc>
        <w:tc>
          <w:tcPr>
            <w:tcW w:w="309" w:type="pct"/>
            <w:tcBorders>
              <w:top w:val="nil"/>
              <w:left w:val="nil"/>
              <w:bottom w:val="nil"/>
              <w:right w:val="nil"/>
            </w:tcBorders>
            <w:shd w:val="clear" w:color="auto" w:fill="auto"/>
            <w:noWrap/>
            <w:vAlign w:val="center"/>
            <w:hideMark/>
          </w:tcPr>
          <w:p w14:paraId="47052F82" w14:textId="77777777" w:rsidR="00B66CC3" w:rsidRPr="004A5BF7" w:rsidRDefault="00B66CC3" w:rsidP="00B66CC3">
            <w:pPr>
              <w:spacing w:before="0" w:after="0"/>
              <w:jc w:val="center"/>
              <w:rPr>
                <w:rFonts w:cs="Arial"/>
                <w:sz w:val="18"/>
                <w:szCs w:val="18"/>
              </w:rPr>
            </w:pPr>
            <w:r w:rsidRPr="004A5BF7">
              <w:rPr>
                <w:rFonts w:cs="Arial"/>
                <w:sz w:val="18"/>
                <w:szCs w:val="18"/>
              </w:rPr>
              <w:t>287</w:t>
            </w:r>
          </w:p>
        </w:tc>
        <w:tc>
          <w:tcPr>
            <w:tcW w:w="273" w:type="pct"/>
            <w:tcBorders>
              <w:top w:val="nil"/>
              <w:left w:val="nil"/>
              <w:bottom w:val="nil"/>
              <w:right w:val="nil"/>
            </w:tcBorders>
            <w:shd w:val="clear" w:color="auto" w:fill="auto"/>
            <w:noWrap/>
            <w:vAlign w:val="center"/>
            <w:hideMark/>
          </w:tcPr>
          <w:p w14:paraId="2CFC59E8" w14:textId="77777777" w:rsidR="00B66CC3" w:rsidRPr="004A5BF7" w:rsidRDefault="00B66CC3" w:rsidP="00B66CC3">
            <w:pPr>
              <w:spacing w:before="0" w:after="0"/>
              <w:jc w:val="center"/>
              <w:rPr>
                <w:rFonts w:cs="Arial"/>
                <w:sz w:val="18"/>
                <w:szCs w:val="18"/>
              </w:rPr>
            </w:pPr>
            <w:r w:rsidRPr="004A5BF7">
              <w:rPr>
                <w:rFonts w:cs="Arial"/>
                <w:sz w:val="18"/>
                <w:szCs w:val="18"/>
              </w:rPr>
              <w:t>116</w:t>
            </w:r>
          </w:p>
        </w:tc>
        <w:tc>
          <w:tcPr>
            <w:tcW w:w="273" w:type="pct"/>
            <w:tcBorders>
              <w:top w:val="nil"/>
              <w:left w:val="nil"/>
              <w:bottom w:val="nil"/>
              <w:right w:val="nil"/>
            </w:tcBorders>
            <w:shd w:val="clear" w:color="auto" w:fill="auto"/>
            <w:noWrap/>
            <w:vAlign w:val="center"/>
            <w:hideMark/>
          </w:tcPr>
          <w:p w14:paraId="6811DE4A" w14:textId="77777777" w:rsidR="00B66CC3" w:rsidRPr="004A5BF7" w:rsidRDefault="00B66CC3" w:rsidP="00B66CC3">
            <w:pPr>
              <w:spacing w:before="0" w:after="0"/>
              <w:jc w:val="center"/>
              <w:rPr>
                <w:rFonts w:cs="Arial"/>
                <w:sz w:val="18"/>
                <w:szCs w:val="18"/>
              </w:rPr>
            </w:pPr>
            <w:r w:rsidRPr="004A5BF7">
              <w:rPr>
                <w:rFonts w:cs="Arial"/>
                <w:sz w:val="18"/>
                <w:szCs w:val="18"/>
              </w:rPr>
              <w:t>45</w:t>
            </w:r>
          </w:p>
        </w:tc>
        <w:tc>
          <w:tcPr>
            <w:tcW w:w="273" w:type="pct"/>
            <w:tcBorders>
              <w:top w:val="nil"/>
              <w:left w:val="nil"/>
              <w:bottom w:val="nil"/>
              <w:right w:val="nil"/>
            </w:tcBorders>
            <w:shd w:val="clear" w:color="auto" w:fill="auto"/>
            <w:noWrap/>
            <w:vAlign w:val="center"/>
            <w:hideMark/>
          </w:tcPr>
          <w:p w14:paraId="1089A1E4" w14:textId="77777777" w:rsidR="00B66CC3" w:rsidRPr="004A5BF7" w:rsidRDefault="00B66CC3" w:rsidP="00B66CC3">
            <w:pPr>
              <w:spacing w:before="0" w:after="0"/>
              <w:jc w:val="center"/>
              <w:rPr>
                <w:rFonts w:cs="Arial"/>
                <w:sz w:val="18"/>
                <w:szCs w:val="18"/>
              </w:rPr>
            </w:pPr>
            <w:r w:rsidRPr="004A5BF7">
              <w:rPr>
                <w:rFonts w:cs="Arial"/>
                <w:sz w:val="18"/>
                <w:szCs w:val="18"/>
              </w:rPr>
              <w:t>90</w:t>
            </w:r>
          </w:p>
        </w:tc>
        <w:tc>
          <w:tcPr>
            <w:tcW w:w="282" w:type="pct"/>
            <w:tcBorders>
              <w:top w:val="nil"/>
              <w:left w:val="nil"/>
              <w:bottom w:val="nil"/>
              <w:right w:val="nil"/>
            </w:tcBorders>
            <w:shd w:val="clear" w:color="auto" w:fill="auto"/>
            <w:noWrap/>
            <w:vAlign w:val="center"/>
            <w:hideMark/>
          </w:tcPr>
          <w:p w14:paraId="0B14559D" w14:textId="77777777" w:rsidR="00B66CC3" w:rsidRPr="004A5BF7" w:rsidRDefault="00B66CC3" w:rsidP="00B66CC3">
            <w:pPr>
              <w:spacing w:before="0" w:after="0"/>
              <w:jc w:val="center"/>
              <w:rPr>
                <w:rFonts w:cs="Arial"/>
                <w:sz w:val="18"/>
                <w:szCs w:val="18"/>
              </w:rPr>
            </w:pPr>
            <w:r w:rsidRPr="004A5BF7">
              <w:rPr>
                <w:rFonts w:cs="Arial"/>
                <w:sz w:val="18"/>
                <w:szCs w:val="18"/>
              </w:rPr>
              <w:t>52</w:t>
            </w:r>
          </w:p>
        </w:tc>
      </w:tr>
      <w:tr w:rsidR="00B66CC3" w:rsidRPr="00E9409C" w14:paraId="56B02DD8" w14:textId="77777777" w:rsidTr="00B66CC3">
        <w:trPr>
          <w:trHeight w:val="454"/>
        </w:trPr>
        <w:tc>
          <w:tcPr>
            <w:tcW w:w="617" w:type="pct"/>
            <w:tcBorders>
              <w:top w:val="nil"/>
              <w:left w:val="nil"/>
              <w:bottom w:val="nil"/>
              <w:right w:val="nil"/>
            </w:tcBorders>
            <w:shd w:val="clear" w:color="auto" w:fill="auto"/>
            <w:noWrap/>
            <w:vAlign w:val="center"/>
            <w:hideMark/>
          </w:tcPr>
          <w:p w14:paraId="7883636C" w14:textId="77777777" w:rsidR="00B66CC3" w:rsidRPr="004A5BF7" w:rsidRDefault="00B66CC3" w:rsidP="004A5BF7">
            <w:pPr>
              <w:spacing w:before="0" w:after="0"/>
              <w:jc w:val="left"/>
              <w:rPr>
                <w:rFonts w:cs="Arial"/>
                <w:sz w:val="18"/>
                <w:szCs w:val="18"/>
              </w:rPr>
            </w:pPr>
            <w:r w:rsidRPr="004A5BF7">
              <w:rPr>
                <w:rFonts w:cs="Arial"/>
                <w:sz w:val="18"/>
                <w:szCs w:val="18"/>
              </w:rPr>
              <w:t>Johnstone</w:t>
            </w:r>
          </w:p>
        </w:tc>
        <w:tc>
          <w:tcPr>
            <w:tcW w:w="723" w:type="pct"/>
            <w:tcBorders>
              <w:top w:val="nil"/>
              <w:left w:val="nil"/>
              <w:bottom w:val="nil"/>
              <w:right w:val="nil"/>
            </w:tcBorders>
            <w:shd w:val="clear" w:color="auto" w:fill="auto"/>
            <w:noWrap/>
            <w:vAlign w:val="center"/>
            <w:hideMark/>
          </w:tcPr>
          <w:p w14:paraId="638A24B6"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281" w:type="pct"/>
            <w:tcBorders>
              <w:top w:val="nil"/>
              <w:left w:val="nil"/>
              <w:bottom w:val="nil"/>
              <w:right w:val="nil"/>
            </w:tcBorders>
            <w:shd w:val="clear" w:color="auto" w:fill="auto"/>
            <w:noWrap/>
            <w:vAlign w:val="center"/>
            <w:hideMark/>
          </w:tcPr>
          <w:p w14:paraId="45AF4B55" w14:textId="77777777" w:rsidR="00B66CC3" w:rsidRPr="004A5BF7" w:rsidRDefault="00B66CC3" w:rsidP="00B66CC3">
            <w:pPr>
              <w:spacing w:before="0" w:after="0"/>
              <w:jc w:val="center"/>
              <w:rPr>
                <w:rFonts w:cs="Arial"/>
                <w:sz w:val="18"/>
                <w:szCs w:val="18"/>
              </w:rPr>
            </w:pPr>
            <w:r w:rsidRPr="004A5BF7">
              <w:rPr>
                <w:rFonts w:cs="Arial"/>
                <w:sz w:val="18"/>
                <w:szCs w:val="18"/>
              </w:rPr>
              <w:t>70</w:t>
            </w:r>
          </w:p>
        </w:tc>
        <w:tc>
          <w:tcPr>
            <w:tcW w:w="281" w:type="pct"/>
            <w:tcBorders>
              <w:top w:val="nil"/>
              <w:left w:val="nil"/>
              <w:bottom w:val="nil"/>
              <w:right w:val="nil"/>
            </w:tcBorders>
            <w:shd w:val="clear" w:color="auto" w:fill="auto"/>
            <w:noWrap/>
            <w:vAlign w:val="center"/>
            <w:hideMark/>
          </w:tcPr>
          <w:p w14:paraId="70E9E753" w14:textId="77777777" w:rsidR="00B66CC3" w:rsidRPr="004A5BF7" w:rsidRDefault="00B66CC3" w:rsidP="00B66CC3">
            <w:pPr>
              <w:spacing w:before="0" w:after="0"/>
              <w:jc w:val="center"/>
              <w:rPr>
                <w:rFonts w:cs="Arial"/>
                <w:sz w:val="18"/>
                <w:szCs w:val="18"/>
              </w:rPr>
            </w:pPr>
            <w:r w:rsidRPr="004A5BF7">
              <w:rPr>
                <w:rFonts w:cs="Arial"/>
                <w:sz w:val="18"/>
                <w:szCs w:val="18"/>
              </w:rPr>
              <w:t>234</w:t>
            </w:r>
          </w:p>
        </w:tc>
        <w:tc>
          <w:tcPr>
            <w:tcW w:w="281" w:type="pct"/>
            <w:tcBorders>
              <w:top w:val="nil"/>
              <w:left w:val="nil"/>
              <w:bottom w:val="nil"/>
              <w:right w:val="nil"/>
            </w:tcBorders>
            <w:shd w:val="clear" w:color="auto" w:fill="auto"/>
            <w:noWrap/>
            <w:vAlign w:val="center"/>
            <w:hideMark/>
          </w:tcPr>
          <w:p w14:paraId="585C471F" w14:textId="77777777" w:rsidR="00B66CC3" w:rsidRPr="004A5BF7" w:rsidRDefault="00B66CC3" w:rsidP="00B66CC3">
            <w:pPr>
              <w:spacing w:before="0" w:after="0"/>
              <w:jc w:val="center"/>
              <w:rPr>
                <w:rFonts w:cs="Arial"/>
                <w:sz w:val="18"/>
                <w:szCs w:val="18"/>
              </w:rPr>
            </w:pPr>
            <w:r w:rsidRPr="004A5BF7">
              <w:rPr>
                <w:rFonts w:cs="Arial"/>
                <w:sz w:val="18"/>
                <w:szCs w:val="18"/>
              </w:rPr>
              <w:t>106</w:t>
            </w:r>
          </w:p>
        </w:tc>
        <w:tc>
          <w:tcPr>
            <w:tcW w:w="281" w:type="pct"/>
            <w:tcBorders>
              <w:top w:val="nil"/>
              <w:left w:val="nil"/>
              <w:bottom w:val="nil"/>
              <w:right w:val="nil"/>
            </w:tcBorders>
            <w:shd w:val="clear" w:color="auto" w:fill="auto"/>
            <w:noWrap/>
            <w:vAlign w:val="center"/>
            <w:hideMark/>
          </w:tcPr>
          <w:p w14:paraId="672166B9" w14:textId="77777777" w:rsidR="00B66CC3" w:rsidRPr="004A5BF7" w:rsidRDefault="00B66CC3" w:rsidP="00B66CC3">
            <w:pPr>
              <w:spacing w:before="0" w:after="0"/>
              <w:jc w:val="center"/>
              <w:rPr>
                <w:rFonts w:cs="Arial"/>
                <w:sz w:val="18"/>
                <w:szCs w:val="18"/>
              </w:rPr>
            </w:pPr>
            <w:r w:rsidRPr="004A5BF7">
              <w:rPr>
                <w:rFonts w:cs="Arial"/>
                <w:sz w:val="18"/>
                <w:szCs w:val="18"/>
              </w:rPr>
              <w:t>185</w:t>
            </w:r>
          </w:p>
        </w:tc>
        <w:tc>
          <w:tcPr>
            <w:tcW w:w="282" w:type="pct"/>
            <w:tcBorders>
              <w:top w:val="nil"/>
              <w:left w:val="nil"/>
              <w:bottom w:val="nil"/>
              <w:right w:val="nil"/>
            </w:tcBorders>
            <w:shd w:val="clear" w:color="auto" w:fill="auto"/>
            <w:noWrap/>
            <w:vAlign w:val="center"/>
            <w:hideMark/>
          </w:tcPr>
          <w:p w14:paraId="076EA7B8" w14:textId="77777777" w:rsidR="00B66CC3" w:rsidRPr="004A5BF7" w:rsidRDefault="00B66CC3" w:rsidP="00B66CC3">
            <w:pPr>
              <w:spacing w:before="0" w:after="0"/>
              <w:jc w:val="center"/>
              <w:rPr>
                <w:rFonts w:cs="Arial"/>
                <w:sz w:val="18"/>
                <w:szCs w:val="18"/>
              </w:rPr>
            </w:pPr>
            <w:r w:rsidRPr="004A5BF7">
              <w:rPr>
                <w:rFonts w:cs="Arial"/>
                <w:sz w:val="18"/>
                <w:szCs w:val="18"/>
              </w:rPr>
              <w:t>144</w:t>
            </w:r>
          </w:p>
        </w:tc>
        <w:tc>
          <w:tcPr>
            <w:tcW w:w="281" w:type="pct"/>
            <w:tcBorders>
              <w:top w:val="nil"/>
              <w:left w:val="nil"/>
              <w:bottom w:val="nil"/>
              <w:right w:val="nil"/>
            </w:tcBorders>
            <w:shd w:val="clear" w:color="auto" w:fill="auto"/>
            <w:noWrap/>
            <w:vAlign w:val="center"/>
            <w:hideMark/>
          </w:tcPr>
          <w:p w14:paraId="3B24EF86" w14:textId="77777777" w:rsidR="00B66CC3" w:rsidRPr="004A5BF7" w:rsidRDefault="00B66CC3" w:rsidP="00B66CC3">
            <w:pPr>
              <w:spacing w:before="0" w:after="0"/>
              <w:jc w:val="center"/>
              <w:rPr>
                <w:rFonts w:cs="Arial"/>
                <w:sz w:val="18"/>
                <w:szCs w:val="18"/>
              </w:rPr>
            </w:pPr>
            <w:r w:rsidRPr="004A5BF7">
              <w:rPr>
                <w:rFonts w:cs="Arial"/>
                <w:sz w:val="18"/>
                <w:szCs w:val="18"/>
              </w:rPr>
              <w:t>187</w:t>
            </w:r>
          </w:p>
        </w:tc>
        <w:tc>
          <w:tcPr>
            <w:tcW w:w="281" w:type="pct"/>
            <w:tcBorders>
              <w:top w:val="nil"/>
              <w:left w:val="nil"/>
              <w:bottom w:val="nil"/>
              <w:right w:val="nil"/>
            </w:tcBorders>
            <w:shd w:val="clear" w:color="auto" w:fill="auto"/>
            <w:noWrap/>
            <w:vAlign w:val="center"/>
            <w:hideMark/>
          </w:tcPr>
          <w:p w14:paraId="1305AB91" w14:textId="77777777" w:rsidR="00B66CC3" w:rsidRPr="004A5BF7" w:rsidRDefault="00B66CC3" w:rsidP="00B66CC3">
            <w:pPr>
              <w:spacing w:before="0" w:after="0"/>
              <w:jc w:val="center"/>
              <w:rPr>
                <w:rFonts w:cs="Arial"/>
                <w:sz w:val="18"/>
                <w:szCs w:val="18"/>
              </w:rPr>
            </w:pPr>
            <w:r w:rsidRPr="004A5BF7">
              <w:rPr>
                <w:rFonts w:cs="Arial"/>
                <w:sz w:val="18"/>
                <w:szCs w:val="18"/>
              </w:rPr>
              <w:t>140</w:t>
            </w:r>
          </w:p>
        </w:tc>
        <w:tc>
          <w:tcPr>
            <w:tcW w:w="281" w:type="pct"/>
            <w:tcBorders>
              <w:top w:val="nil"/>
              <w:left w:val="nil"/>
              <w:bottom w:val="nil"/>
              <w:right w:val="nil"/>
            </w:tcBorders>
            <w:shd w:val="clear" w:color="auto" w:fill="auto"/>
            <w:noWrap/>
            <w:vAlign w:val="center"/>
            <w:hideMark/>
          </w:tcPr>
          <w:p w14:paraId="5B93A2E1" w14:textId="77777777" w:rsidR="00B66CC3" w:rsidRPr="004A5BF7" w:rsidRDefault="00B66CC3" w:rsidP="00B66CC3">
            <w:pPr>
              <w:spacing w:before="0" w:after="0"/>
              <w:jc w:val="center"/>
              <w:rPr>
                <w:rFonts w:cs="Arial"/>
                <w:sz w:val="18"/>
                <w:szCs w:val="18"/>
              </w:rPr>
            </w:pPr>
            <w:r w:rsidRPr="004A5BF7">
              <w:rPr>
                <w:rFonts w:cs="Arial"/>
                <w:sz w:val="18"/>
                <w:szCs w:val="18"/>
              </w:rPr>
              <w:t>145</w:t>
            </w:r>
          </w:p>
        </w:tc>
        <w:tc>
          <w:tcPr>
            <w:tcW w:w="309" w:type="pct"/>
            <w:tcBorders>
              <w:top w:val="nil"/>
              <w:left w:val="nil"/>
              <w:bottom w:val="nil"/>
              <w:right w:val="nil"/>
            </w:tcBorders>
            <w:shd w:val="clear" w:color="auto" w:fill="auto"/>
            <w:noWrap/>
            <w:vAlign w:val="center"/>
            <w:hideMark/>
          </w:tcPr>
          <w:p w14:paraId="49DC7D56" w14:textId="77777777" w:rsidR="00B66CC3" w:rsidRPr="004A5BF7" w:rsidRDefault="00B66CC3" w:rsidP="00B66CC3">
            <w:pPr>
              <w:spacing w:before="0" w:after="0"/>
              <w:jc w:val="center"/>
              <w:rPr>
                <w:rFonts w:cs="Arial"/>
                <w:sz w:val="18"/>
                <w:szCs w:val="18"/>
              </w:rPr>
            </w:pPr>
            <w:r w:rsidRPr="004A5BF7">
              <w:rPr>
                <w:rFonts w:cs="Arial"/>
                <w:sz w:val="18"/>
                <w:szCs w:val="18"/>
              </w:rPr>
              <w:t>288</w:t>
            </w:r>
          </w:p>
        </w:tc>
        <w:tc>
          <w:tcPr>
            <w:tcW w:w="273" w:type="pct"/>
            <w:tcBorders>
              <w:top w:val="nil"/>
              <w:left w:val="nil"/>
              <w:bottom w:val="nil"/>
              <w:right w:val="nil"/>
            </w:tcBorders>
            <w:shd w:val="clear" w:color="auto" w:fill="auto"/>
            <w:noWrap/>
            <w:vAlign w:val="center"/>
            <w:hideMark/>
          </w:tcPr>
          <w:p w14:paraId="2AC11FCA" w14:textId="77777777" w:rsidR="00B66CC3" w:rsidRPr="004A5BF7" w:rsidRDefault="00B66CC3" w:rsidP="00B66CC3">
            <w:pPr>
              <w:spacing w:before="0" w:after="0"/>
              <w:jc w:val="center"/>
              <w:rPr>
                <w:rFonts w:cs="Arial"/>
                <w:sz w:val="18"/>
                <w:szCs w:val="18"/>
              </w:rPr>
            </w:pPr>
            <w:r w:rsidRPr="004A5BF7">
              <w:rPr>
                <w:rFonts w:cs="Arial"/>
                <w:sz w:val="18"/>
                <w:szCs w:val="18"/>
              </w:rPr>
              <w:t>198</w:t>
            </w:r>
          </w:p>
        </w:tc>
        <w:tc>
          <w:tcPr>
            <w:tcW w:w="273" w:type="pct"/>
            <w:tcBorders>
              <w:top w:val="nil"/>
              <w:left w:val="nil"/>
              <w:bottom w:val="nil"/>
              <w:right w:val="nil"/>
            </w:tcBorders>
            <w:shd w:val="clear" w:color="auto" w:fill="auto"/>
            <w:noWrap/>
            <w:vAlign w:val="center"/>
            <w:hideMark/>
          </w:tcPr>
          <w:p w14:paraId="4DED502A" w14:textId="77777777" w:rsidR="00B66CC3" w:rsidRPr="004A5BF7" w:rsidRDefault="00B66CC3" w:rsidP="00B66CC3">
            <w:pPr>
              <w:spacing w:before="0" w:after="0"/>
              <w:jc w:val="center"/>
              <w:rPr>
                <w:rFonts w:cs="Arial"/>
                <w:sz w:val="18"/>
                <w:szCs w:val="18"/>
              </w:rPr>
            </w:pPr>
            <w:r w:rsidRPr="004A5BF7">
              <w:rPr>
                <w:rFonts w:cs="Arial"/>
                <w:sz w:val="18"/>
                <w:szCs w:val="18"/>
              </w:rPr>
              <w:t>105</w:t>
            </w:r>
          </w:p>
        </w:tc>
        <w:tc>
          <w:tcPr>
            <w:tcW w:w="273" w:type="pct"/>
            <w:tcBorders>
              <w:top w:val="nil"/>
              <w:left w:val="nil"/>
              <w:bottom w:val="nil"/>
              <w:right w:val="nil"/>
            </w:tcBorders>
            <w:shd w:val="clear" w:color="auto" w:fill="auto"/>
            <w:noWrap/>
            <w:vAlign w:val="center"/>
            <w:hideMark/>
          </w:tcPr>
          <w:p w14:paraId="2429358C" w14:textId="77777777" w:rsidR="00B66CC3" w:rsidRPr="004A5BF7" w:rsidRDefault="00B66CC3" w:rsidP="00B66CC3">
            <w:pPr>
              <w:spacing w:before="0" w:after="0"/>
              <w:jc w:val="center"/>
              <w:rPr>
                <w:rFonts w:cs="Arial"/>
                <w:sz w:val="18"/>
                <w:szCs w:val="18"/>
              </w:rPr>
            </w:pPr>
            <w:r w:rsidRPr="004A5BF7">
              <w:rPr>
                <w:rFonts w:cs="Arial"/>
                <w:sz w:val="18"/>
                <w:szCs w:val="18"/>
              </w:rPr>
              <w:t>171</w:t>
            </w:r>
          </w:p>
        </w:tc>
        <w:tc>
          <w:tcPr>
            <w:tcW w:w="282" w:type="pct"/>
            <w:tcBorders>
              <w:top w:val="nil"/>
              <w:left w:val="nil"/>
              <w:bottom w:val="nil"/>
              <w:right w:val="nil"/>
            </w:tcBorders>
            <w:shd w:val="clear" w:color="auto" w:fill="auto"/>
            <w:noWrap/>
            <w:vAlign w:val="center"/>
            <w:hideMark/>
          </w:tcPr>
          <w:p w14:paraId="5BF810FA" w14:textId="77777777" w:rsidR="00B66CC3" w:rsidRPr="004A5BF7" w:rsidRDefault="00B66CC3" w:rsidP="00B66CC3">
            <w:pPr>
              <w:spacing w:before="0" w:after="0"/>
              <w:jc w:val="center"/>
              <w:rPr>
                <w:rFonts w:cs="Arial"/>
                <w:sz w:val="18"/>
                <w:szCs w:val="18"/>
              </w:rPr>
            </w:pPr>
            <w:r w:rsidRPr="004A5BF7">
              <w:rPr>
                <w:rFonts w:cs="Arial"/>
                <w:sz w:val="18"/>
                <w:szCs w:val="18"/>
              </w:rPr>
              <w:t>106</w:t>
            </w:r>
          </w:p>
        </w:tc>
      </w:tr>
      <w:tr w:rsidR="00B66CC3" w:rsidRPr="00E9409C" w14:paraId="66208460" w14:textId="77777777" w:rsidTr="00B66CC3">
        <w:trPr>
          <w:trHeight w:val="454"/>
        </w:trPr>
        <w:tc>
          <w:tcPr>
            <w:tcW w:w="617" w:type="pct"/>
            <w:tcBorders>
              <w:top w:val="nil"/>
              <w:left w:val="nil"/>
              <w:bottom w:val="nil"/>
              <w:right w:val="nil"/>
            </w:tcBorders>
            <w:shd w:val="clear" w:color="auto" w:fill="auto"/>
            <w:noWrap/>
            <w:vAlign w:val="center"/>
            <w:hideMark/>
          </w:tcPr>
          <w:p w14:paraId="3FDBAE4E" w14:textId="77777777" w:rsidR="00B66CC3" w:rsidRPr="004A5BF7" w:rsidRDefault="00B66CC3" w:rsidP="004A5BF7">
            <w:pPr>
              <w:spacing w:before="0" w:after="0"/>
              <w:jc w:val="left"/>
              <w:rPr>
                <w:rFonts w:cs="Arial"/>
                <w:sz w:val="18"/>
                <w:szCs w:val="18"/>
              </w:rPr>
            </w:pPr>
            <w:r w:rsidRPr="004A5BF7">
              <w:rPr>
                <w:rFonts w:cs="Arial"/>
                <w:sz w:val="18"/>
                <w:szCs w:val="18"/>
              </w:rPr>
              <w:t>Tully-Murray</w:t>
            </w:r>
          </w:p>
        </w:tc>
        <w:tc>
          <w:tcPr>
            <w:tcW w:w="723" w:type="pct"/>
            <w:tcBorders>
              <w:top w:val="nil"/>
              <w:left w:val="nil"/>
              <w:bottom w:val="nil"/>
              <w:right w:val="nil"/>
            </w:tcBorders>
            <w:shd w:val="clear" w:color="auto" w:fill="auto"/>
            <w:noWrap/>
            <w:vAlign w:val="center"/>
            <w:hideMark/>
          </w:tcPr>
          <w:p w14:paraId="69BAC352"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281" w:type="pct"/>
            <w:tcBorders>
              <w:top w:val="nil"/>
              <w:left w:val="nil"/>
              <w:bottom w:val="nil"/>
              <w:right w:val="nil"/>
            </w:tcBorders>
            <w:shd w:val="clear" w:color="auto" w:fill="auto"/>
            <w:noWrap/>
            <w:vAlign w:val="center"/>
            <w:hideMark/>
          </w:tcPr>
          <w:p w14:paraId="3CE40A97" w14:textId="77777777" w:rsidR="00B66CC3" w:rsidRPr="004A5BF7" w:rsidRDefault="00B66CC3" w:rsidP="00B66CC3">
            <w:pPr>
              <w:spacing w:before="0" w:after="0"/>
              <w:jc w:val="center"/>
              <w:rPr>
                <w:rFonts w:cs="Arial"/>
                <w:sz w:val="18"/>
                <w:szCs w:val="18"/>
              </w:rPr>
            </w:pPr>
            <w:r w:rsidRPr="004A5BF7">
              <w:rPr>
                <w:rFonts w:cs="Arial"/>
                <w:sz w:val="18"/>
                <w:szCs w:val="18"/>
              </w:rPr>
              <w:t>131</w:t>
            </w:r>
          </w:p>
        </w:tc>
        <w:tc>
          <w:tcPr>
            <w:tcW w:w="281" w:type="pct"/>
            <w:tcBorders>
              <w:top w:val="nil"/>
              <w:left w:val="nil"/>
              <w:bottom w:val="nil"/>
              <w:right w:val="nil"/>
            </w:tcBorders>
            <w:shd w:val="clear" w:color="auto" w:fill="auto"/>
            <w:noWrap/>
            <w:vAlign w:val="center"/>
            <w:hideMark/>
          </w:tcPr>
          <w:p w14:paraId="1377089E" w14:textId="77777777" w:rsidR="00B66CC3" w:rsidRPr="004A5BF7" w:rsidRDefault="00B66CC3" w:rsidP="00B66CC3">
            <w:pPr>
              <w:spacing w:before="0" w:after="0"/>
              <w:jc w:val="center"/>
              <w:rPr>
                <w:rFonts w:cs="Arial"/>
                <w:sz w:val="18"/>
                <w:szCs w:val="18"/>
              </w:rPr>
            </w:pPr>
            <w:r w:rsidRPr="004A5BF7">
              <w:rPr>
                <w:rFonts w:cs="Arial"/>
                <w:sz w:val="18"/>
                <w:szCs w:val="18"/>
              </w:rPr>
              <w:t>179</w:t>
            </w:r>
          </w:p>
        </w:tc>
        <w:tc>
          <w:tcPr>
            <w:tcW w:w="281" w:type="pct"/>
            <w:tcBorders>
              <w:top w:val="nil"/>
              <w:left w:val="nil"/>
              <w:bottom w:val="nil"/>
              <w:right w:val="nil"/>
            </w:tcBorders>
            <w:shd w:val="clear" w:color="auto" w:fill="auto"/>
            <w:noWrap/>
            <w:vAlign w:val="center"/>
            <w:hideMark/>
          </w:tcPr>
          <w:p w14:paraId="58924CFE" w14:textId="77777777" w:rsidR="00B66CC3" w:rsidRPr="004A5BF7" w:rsidRDefault="00B66CC3" w:rsidP="00B66CC3">
            <w:pPr>
              <w:spacing w:before="0" w:after="0"/>
              <w:jc w:val="center"/>
              <w:rPr>
                <w:rFonts w:cs="Arial"/>
                <w:sz w:val="18"/>
                <w:szCs w:val="18"/>
              </w:rPr>
            </w:pPr>
            <w:r w:rsidRPr="004A5BF7">
              <w:rPr>
                <w:rFonts w:cs="Arial"/>
                <w:sz w:val="18"/>
                <w:szCs w:val="18"/>
              </w:rPr>
              <w:t>223</w:t>
            </w:r>
          </w:p>
        </w:tc>
        <w:tc>
          <w:tcPr>
            <w:tcW w:w="281" w:type="pct"/>
            <w:tcBorders>
              <w:top w:val="nil"/>
              <w:left w:val="nil"/>
              <w:bottom w:val="nil"/>
              <w:right w:val="nil"/>
            </w:tcBorders>
            <w:shd w:val="clear" w:color="auto" w:fill="auto"/>
            <w:noWrap/>
            <w:vAlign w:val="center"/>
            <w:hideMark/>
          </w:tcPr>
          <w:p w14:paraId="7FA0A3EE" w14:textId="77777777" w:rsidR="00B66CC3" w:rsidRPr="004A5BF7" w:rsidRDefault="00B66CC3" w:rsidP="00B66CC3">
            <w:pPr>
              <w:spacing w:before="0" w:after="0"/>
              <w:jc w:val="center"/>
              <w:rPr>
                <w:rFonts w:cs="Arial"/>
                <w:sz w:val="18"/>
                <w:szCs w:val="18"/>
              </w:rPr>
            </w:pPr>
            <w:r w:rsidRPr="004A5BF7">
              <w:rPr>
                <w:rFonts w:cs="Arial"/>
                <w:sz w:val="18"/>
                <w:szCs w:val="18"/>
              </w:rPr>
              <w:t>405</w:t>
            </w:r>
          </w:p>
        </w:tc>
        <w:tc>
          <w:tcPr>
            <w:tcW w:w="282" w:type="pct"/>
            <w:tcBorders>
              <w:top w:val="nil"/>
              <w:left w:val="nil"/>
              <w:bottom w:val="nil"/>
              <w:right w:val="nil"/>
            </w:tcBorders>
            <w:shd w:val="clear" w:color="auto" w:fill="auto"/>
            <w:noWrap/>
            <w:vAlign w:val="center"/>
            <w:hideMark/>
          </w:tcPr>
          <w:p w14:paraId="50BDE4BC" w14:textId="77777777" w:rsidR="00B66CC3" w:rsidRPr="004A5BF7" w:rsidRDefault="00B66CC3" w:rsidP="00B66CC3">
            <w:pPr>
              <w:spacing w:before="0" w:after="0"/>
              <w:jc w:val="center"/>
              <w:rPr>
                <w:rFonts w:cs="Arial"/>
                <w:sz w:val="18"/>
                <w:szCs w:val="18"/>
              </w:rPr>
            </w:pPr>
            <w:r w:rsidRPr="004A5BF7">
              <w:rPr>
                <w:rFonts w:cs="Arial"/>
                <w:sz w:val="18"/>
                <w:szCs w:val="18"/>
              </w:rPr>
              <w:t>353</w:t>
            </w:r>
          </w:p>
        </w:tc>
        <w:tc>
          <w:tcPr>
            <w:tcW w:w="281" w:type="pct"/>
            <w:tcBorders>
              <w:top w:val="nil"/>
              <w:left w:val="nil"/>
              <w:bottom w:val="nil"/>
              <w:right w:val="nil"/>
            </w:tcBorders>
            <w:shd w:val="clear" w:color="auto" w:fill="auto"/>
            <w:noWrap/>
            <w:vAlign w:val="center"/>
            <w:hideMark/>
          </w:tcPr>
          <w:p w14:paraId="1FFCE321" w14:textId="77777777" w:rsidR="00B66CC3" w:rsidRPr="004A5BF7" w:rsidRDefault="00B66CC3" w:rsidP="00B66CC3">
            <w:pPr>
              <w:spacing w:before="0" w:after="0"/>
              <w:jc w:val="center"/>
              <w:rPr>
                <w:rFonts w:cs="Arial"/>
                <w:sz w:val="18"/>
                <w:szCs w:val="18"/>
              </w:rPr>
            </w:pPr>
            <w:r w:rsidRPr="004A5BF7">
              <w:rPr>
                <w:rFonts w:cs="Arial"/>
                <w:sz w:val="18"/>
                <w:szCs w:val="18"/>
              </w:rPr>
              <w:t>307</w:t>
            </w:r>
          </w:p>
        </w:tc>
        <w:tc>
          <w:tcPr>
            <w:tcW w:w="281" w:type="pct"/>
            <w:tcBorders>
              <w:top w:val="nil"/>
              <w:left w:val="nil"/>
              <w:bottom w:val="nil"/>
              <w:right w:val="nil"/>
            </w:tcBorders>
            <w:shd w:val="clear" w:color="auto" w:fill="auto"/>
            <w:noWrap/>
            <w:vAlign w:val="center"/>
            <w:hideMark/>
          </w:tcPr>
          <w:p w14:paraId="43A232DE" w14:textId="77777777" w:rsidR="00B66CC3" w:rsidRPr="004A5BF7" w:rsidRDefault="00B66CC3" w:rsidP="00B66CC3">
            <w:pPr>
              <w:spacing w:before="0" w:after="0"/>
              <w:jc w:val="center"/>
              <w:rPr>
                <w:rFonts w:cs="Arial"/>
                <w:sz w:val="18"/>
                <w:szCs w:val="18"/>
              </w:rPr>
            </w:pPr>
            <w:r w:rsidRPr="004A5BF7">
              <w:rPr>
                <w:rFonts w:cs="Arial"/>
                <w:sz w:val="18"/>
                <w:szCs w:val="18"/>
              </w:rPr>
              <w:t>388</w:t>
            </w:r>
          </w:p>
        </w:tc>
        <w:tc>
          <w:tcPr>
            <w:tcW w:w="281" w:type="pct"/>
            <w:tcBorders>
              <w:top w:val="nil"/>
              <w:left w:val="nil"/>
              <w:bottom w:val="nil"/>
              <w:right w:val="nil"/>
            </w:tcBorders>
            <w:shd w:val="clear" w:color="auto" w:fill="auto"/>
            <w:noWrap/>
            <w:vAlign w:val="center"/>
            <w:hideMark/>
          </w:tcPr>
          <w:p w14:paraId="40864C3C" w14:textId="77777777" w:rsidR="00B66CC3" w:rsidRPr="004A5BF7" w:rsidRDefault="00B66CC3" w:rsidP="00B66CC3">
            <w:pPr>
              <w:spacing w:before="0" w:after="0"/>
              <w:jc w:val="center"/>
              <w:rPr>
                <w:rFonts w:cs="Arial"/>
                <w:sz w:val="18"/>
                <w:szCs w:val="18"/>
              </w:rPr>
            </w:pPr>
            <w:r w:rsidRPr="004A5BF7">
              <w:rPr>
                <w:rFonts w:cs="Arial"/>
                <w:sz w:val="18"/>
                <w:szCs w:val="18"/>
              </w:rPr>
              <w:t>264</w:t>
            </w:r>
          </w:p>
        </w:tc>
        <w:tc>
          <w:tcPr>
            <w:tcW w:w="309" w:type="pct"/>
            <w:tcBorders>
              <w:top w:val="nil"/>
              <w:left w:val="nil"/>
              <w:bottom w:val="nil"/>
              <w:right w:val="nil"/>
            </w:tcBorders>
            <w:shd w:val="clear" w:color="auto" w:fill="auto"/>
            <w:noWrap/>
            <w:vAlign w:val="center"/>
            <w:hideMark/>
          </w:tcPr>
          <w:p w14:paraId="7B276E9D" w14:textId="77777777" w:rsidR="00B66CC3" w:rsidRPr="004A5BF7" w:rsidRDefault="00B66CC3" w:rsidP="00B66CC3">
            <w:pPr>
              <w:spacing w:before="0" w:after="0"/>
              <w:jc w:val="center"/>
              <w:rPr>
                <w:rFonts w:cs="Arial"/>
                <w:sz w:val="18"/>
                <w:szCs w:val="18"/>
              </w:rPr>
            </w:pPr>
            <w:r w:rsidRPr="004A5BF7">
              <w:rPr>
                <w:rFonts w:cs="Arial"/>
                <w:sz w:val="18"/>
                <w:szCs w:val="18"/>
              </w:rPr>
              <w:t>570</w:t>
            </w:r>
          </w:p>
        </w:tc>
        <w:tc>
          <w:tcPr>
            <w:tcW w:w="273" w:type="pct"/>
            <w:tcBorders>
              <w:top w:val="nil"/>
              <w:left w:val="nil"/>
              <w:bottom w:val="nil"/>
              <w:right w:val="nil"/>
            </w:tcBorders>
            <w:shd w:val="clear" w:color="auto" w:fill="auto"/>
            <w:noWrap/>
            <w:vAlign w:val="center"/>
            <w:hideMark/>
          </w:tcPr>
          <w:p w14:paraId="32CB6E8D" w14:textId="77777777" w:rsidR="00B66CC3" w:rsidRPr="004A5BF7" w:rsidRDefault="00B66CC3" w:rsidP="00B66CC3">
            <w:pPr>
              <w:spacing w:before="0" w:after="0"/>
              <w:jc w:val="center"/>
              <w:rPr>
                <w:rFonts w:cs="Arial"/>
                <w:sz w:val="18"/>
                <w:szCs w:val="18"/>
              </w:rPr>
            </w:pPr>
            <w:r w:rsidRPr="004A5BF7">
              <w:rPr>
                <w:rFonts w:cs="Arial"/>
                <w:sz w:val="18"/>
                <w:szCs w:val="18"/>
              </w:rPr>
              <w:t>333</w:t>
            </w:r>
          </w:p>
        </w:tc>
        <w:tc>
          <w:tcPr>
            <w:tcW w:w="273" w:type="pct"/>
            <w:tcBorders>
              <w:top w:val="nil"/>
              <w:left w:val="nil"/>
              <w:bottom w:val="nil"/>
              <w:right w:val="nil"/>
            </w:tcBorders>
            <w:shd w:val="clear" w:color="auto" w:fill="auto"/>
            <w:noWrap/>
            <w:vAlign w:val="center"/>
            <w:hideMark/>
          </w:tcPr>
          <w:p w14:paraId="415CF841" w14:textId="77777777" w:rsidR="00B66CC3" w:rsidRPr="004A5BF7" w:rsidRDefault="00B66CC3" w:rsidP="00B66CC3">
            <w:pPr>
              <w:spacing w:before="0" w:after="0"/>
              <w:jc w:val="center"/>
              <w:rPr>
                <w:rFonts w:cs="Arial"/>
                <w:sz w:val="18"/>
                <w:szCs w:val="18"/>
              </w:rPr>
            </w:pPr>
            <w:r w:rsidRPr="004A5BF7">
              <w:rPr>
                <w:rFonts w:cs="Arial"/>
                <w:sz w:val="18"/>
                <w:szCs w:val="18"/>
              </w:rPr>
              <w:t>208</w:t>
            </w:r>
          </w:p>
        </w:tc>
        <w:tc>
          <w:tcPr>
            <w:tcW w:w="273" w:type="pct"/>
            <w:tcBorders>
              <w:top w:val="nil"/>
              <w:left w:val="nil"/>
              <w:bottom w:val="nil"/>
              <w:right w:val="nil"/>
            </w:tcBorders>
            <w:shd w:val="clear" w:color="auto" w:fill="auto"/>
            <w:noWrap/>
            <w:vAlign w:val="center"/>
            <w:hideMark/>
          </w:tcPr>
          <w:p w14:paraId="26ACB812" w14:textId="77777777" w:rsidR="00B66CC3" w:rsidRPr="004A5BF7" w:rsidRDefault="00B66CC3" w:rsidP="00B66CC3">
            <w:pPr>
              <w:spacing w:before="0" w:after="0"/>
              <w:jc w:val="center"/>
              <w:rPr>
                <w:rFonts w:cs="Arial"/>
                <w:sz w:val="18"/>
                <w:szCs w:val="18"/>
              </w:rPr>
            </w:pPr>
            <w:r w:rsidRPr="004A5BF7">
              <w:rPr>
                <w:rFonts w:cs="Arial"/>
                <w:sz w:val="18"/>
                <w:szCs w:val="18"/>
              </w:rPr>
              <w:t>307</w:t>
            </w:r>
          </w:p>
        </w:tc>
        <w:tc>
          <w:tcPr>
            <w:tcW w:w="282" w:type="pct"/>
            <w:tcBorders>
              <w:top w:val="nil"/>
              <w:left w:val="nil"/>
              <w:bottom w:val="nil"/>
              <w:right w:val="nil"/>
            </w:tcBorders>
            <w:shd w:val="clear" w:color="auto" w:fill="auto"/>
            <w:noWrap/>
            <w:vAlign w:val="center"/>
            <w:hideMark/>
          </w:tcPr>
          <w:p w14:paraId="4B1E57F1" w14:textId="77777777" w:rsidR="00B66CC3" w:rsidRPr="004A5BF7" w:rsidRDefault="00B66CC3" w:rsidP="00B66CC3">
            <w:pPr>
              <w:spacing w:before="0" w:after="0"/>
              <w:jc w:val="center"/>
              <w:rPr>
                <w:rFonts w:cs="Arial"/>
                <w:sz w:val="18"/>
                <w:szCs w:val="18"/>
              </w:rPr>
            </w:pPr>
            <w:r w:rsidRPr="004A5BF7">
              <w:rPr>
                <w:rFonts w:cs="Arial"/>
                <w:sz w:val="18"/>
                <w:szCs w:val="18"/>
              </w:rPr>
              <w:t>146</w:t>
            </w:r>
          </w:p>
        </w:tc>
      </w:tr>
      <w:tr w:rsidR="00B66CC3" w:rsidRPr="00E9409C" w14:paraId="117496D7" w14:textId="77777777" w:rsidTr="00B66CC3">
        <w:trPr>
          <w:trHeight w:val="454"/>
        </w:trPr>
        <w:tc>
          <w:tcPr>
            <w:tcW w:w="617" w:type="pct"/>
            <w:tcBorders>
              <w:top w:val="nil"/>
              <w:left w:val="nil"/>
              <w:bottom w:val="nil"/>
              <w:right w:val="nil"/>
            </w:tcBorders>
            <w:shd w:val="clear" w:color="auto" w:fill="auto"/>
            <w:noWrap/>
            <w:vAlign w:val="center"/>
            <w:hideMark/>
          </w:tcPr>
          <w:p w14:paraId="08835030" w14:textId="77777777" w:rsidR="00B66CC3" w:rsidRPr="004A5BF7" w:rsidRDefault="00B66CC3" w:rsidP="004A5BF7">
            <w:pPr>
              <w:spacing w:before="0" w:after="0"/>
              <w:jc w:val="left"/>
              <w:rPr>
                <w:rFonts w:cs="Arial"/>
                <w:sz w:val="18"/>
                <w:szCs w:val="18"/>
              </w:rPr>
            </w:pPr>
            <w:r w:rsidRPr="004A5BF7">
              <w:rPr>
                <w:rFonts w:cs="Arial"/>
                <w:sz w:val="18"/>
                <w:szCs w:val="18"/>
              </w:rPr>
              <w:t>Herbert</w:t>
            </w:r>
          </w:p>
        </w:tc>
        <w:tc>
          <w:tcPr>
            <w:tcW w:w="723" w:type="pct"/>
            <w:tcBorders>
              <w:top w:val="nil"/>
              <w:left w:val="nil"/>
              <w:bottom w:val="nil"/>
              <w:right w:val="nil"/>
            </w:tcBorders>
            <w:shd w:val="clear" w:color="auto" w:fill="auto"/>
            <w:noWrap/>
            <w:vAlign w:val="center"/>
            <w:hideMark/>
          </w:tcPr>
          <w:p w14:paraId="30A7F7D6" w14:textId="77777777" w:rsidR="00B66CC3" w:rsidRPr="004A5BF7" w:rsidRDefault="00B66CC3" w:rsidP="004A5BF7">
            <w:pPr>
              <w:spacing w:before="0" w:after="0"/>
              <w:jc w:val="left"/>
              <w:rPr>
                <w:rFonts w:cs="Arial"/>
                <w:sz w:val="18"/>
                <w:szCs w:val="18"/>
              </w:rPr>
            </w:pPr>
            <w:r w:rsidRPr="004A5BF7">
              <w:rPr>
                <w:rFonts w:cs="Arial"/>
                <w:sz w:val="18"/>
                <w:szCs w:val="18"/>
              </w:rPr>
              <w:t>Wet Tropics</w:t>
            </w:r>
          </w:p>
        </w:tc>
        <w:tc>
          <w:tcPr>
            <w:tcW w:w="281" w:type="pct"/>
            <w:tcBorders>
              <w:top w:val="nil"/>
              <w:left w:val="nil"/>
              <w:bottom w:val="nil"/>
              <w:right w:val="nil"/>
            </w:tcBorders>
            <w:shd w:val="clear" w:color="auto" w:fill="auto"/>
            <w:noWrap/>
            <w:vAlign w:val="center"/>
            <w:hideMark/>
          </w:tcPr>
          <w:p w14:paraId="36DBA1A3" w14:textId="77777777" w:rsidR="00B66CC3" w:rsidRPr="004A5BF7" w:rsidRDefault="00B66CC3" w:rsidP="00B66CC3">
            <w:pPr>
              <w:spacing w:before="0" w:after="0"/>
              <w:jc w:val="center"/>
              <w:rPr>
                <w:rFonts w:cs="Arial"/>
                <w:sz w:val="18"/>
                <w:szCs w:val="18"/>
              </w:rPr>
            </w:pPr>
            <w:r w:rsidRPr="004A5BF7">
              <w:rPr>
                <w:rFonts w:cs="Arial"/>
                <w:sz w:val="18"/>
                <w:szCs w:val="18"/>
              </w:rPr>
              <w:t>65</w:t>
            </w:r>
          </w:p>
        </w:tc>
        <w:tc>
          <w:tcPr>
            <w:tcW w:w="281" w:type="pct"/>
            <w:tcBorders>
              <w:top w:val="nil"/>
              <w:left w:val="nil"/>
              <w:bottom w:val="nil"/>
              <w:right w:val="nil"/>
            </w:tcBorders>
            <w:shd w:val="clear" w:color="auto" w:fill="auto"/>
            <w:noWrap/>
            <w:vAlign w:val="center"/>
            <w:hideMark/>
          </w:tcPr>
          <w:p w14:paraId="22D4BC57" w14:textId="77777777" w:rsidR="00B66CC3" w:rsidRPr="004A5BF7" w:rsidRDefault="00B66CC3" w:rsidP="00B66CC3">
            <w:pPr>
              <w:spacing w:before="0" w:after="0"/>
              <w:jc w:val="center"/>
              <w:rPr>
                <w:rFonts w:cs="Arial"/>
                <w:sz w:val="18"/>
                <w:szCs w:val="18"/>
              </w:rPr>
            </w:pPr>
            <w:r w:rsidRPr="004A5BF7">
              <w:rPr>
                <w:rFonts w:cs="Arial"/>
                <w:sz w:val="18"/>
                <w:szCs w:val="18"/>
              </w:rPr>
              <w:t>151</w:t>
            </w:r>
          </w:p>
        </w:tc>
        <w:tc>
          <w:tcPr>
            <w:tcW w:w="281" w:type="pct"/>
            <w:tcBorders>
              <w:top w:val="nil"/>
              <w:left w:val="nil"/>
              <w:bottom w:val="nil"/>
              <w:right w:val="nil"/>
            </w:tcBorders>
            <w:shd w:val="clear" w:color="auto" w:fill="auto"/>
            <w:noWrap/>
            <w:vAlign w:val="center"/>
            <w:hideMark/>
          </w:tcPr>
          <w:p w14:paraId="564A0C14" w14:textId="77777777" w:rsidR="00B66CC3" w:rsidRPr="004A5BF7" w:rsidRDefault="00B66CC3" w:rsidP="00B66CC3">
            <w:pPr>
              <w:spacing w:before="0" w:after="0"/>
              <w:jc w:val="center"/>
              <w:rPr>
                <w:rFonts w:cs="Arial"/>
                <w:sz w:val="18"/>
                <w:szCs w:val="18"/>
              </w:rPr>
            </w:pPr>
            <w:r w:rsidRPr="004A5BF7">
              <w:rPr>
                <w:rFonts w:cs="Arial"/>
                <w:sz w:val="18"/>
                <w:szCs w:val="18"/>
              </w:rPr>
              <w:t>103</w:t>
            </w:r>
          </w:p>
        </w:tc>
        <w:tc>
          <w:tcPr>
            <w:tcW w:w="281" w:type="pct"/>
            <w:tcBorders>
              <w:top w:val="nil"/>
              <w:left w:val="nil"/>
              <w:bottom w:val="nil"/>
              <w:right w:val="nil"/>
            </w:tcBorders>
            <w:shd w:val="clear" w:color="auto" w:fill="auto"/>
            <w:noWrap/>
            <w:vAlign w:val="center"/>
            <w:hideMark/>
          </w:tcPr>
          <w:p w14:paraId="71BE3720" w14:textId="77777777" w:rsidR="00B66CC3" w:rsidRPr="004A5BF7" w:rsidRDefault="00B66CC3" w:rsidP="00B66CC3">
            <w:pPr>
              <w:spacing w:before="0" w:after="0"/>
              <w:jc w:val="center"/>
              <w:rPr>
                <w:rFonts w:cs="Arial"/>
                <w:sz w:val="18"/>
                <w:szCs w:val="18"/>
              </w:rPr>
            </w:pPr>
            <w:r w:rsidRPr="004A5BF7">
              <w:rPr>
                <w:rFonts w:cs="Arial"/>
                <w:sz w:val="18"/>
                <w:szCs w:val="18"/>
              </w:rPr>
              <w:t>173</w:t>
            </w:r>
          </w:p>
        </w:tc>
        <w:tc>
          <w:tcPr>
            <w:tcW w:w="282" w:type="pct"/>
            <w:tcBorders>
              <w:top w:val="nil"/>
              <w:left w:val="nil"/>
              <w:bottom w:val="nil"/>
              <w:right w:val="nil"/>
            </w:tcBorders>
            <w:shd w:val="clear" w:color="auto" w:fill="auto"/>
            <w:noWrap/>
            <w:vAlign w:val="center"/>
            <w:hideMark/>
          </w:tcPr>
          <w:p w14:paraId="2955BAFE" w14:textId="77777777" w:rsidR="00B66CC3" w:rsidRPr="004A5BF7" w:rsidRDefault="00B66CC3" w:rsidP="00B66CC3">
            <w:pPr>
              <w:spacing w:before="0" w:after="0"/>
              <w:jc w:val="center"/>
              <w:rPr>
                <w:rFonts w:cs="Arial"/>
                <w:sz w:val="18"/>
                <w:szCs w:val="18"/>
              </w:rPr>
            </w:pPr>
            <w:r w:rsidRPr="004A5BF7">
              <w:rPr>
                <w:rFonts w:cs="Arial"/>
                <w:sz w:val="18"/>
                <w:szCs w:val="18"/>
              </w:rPr>
              <w:t>185</w:t>
            </w:r>
          </w:p>
        </w:tc>
        <w:tc>
          <w:tcPr>
            <w:tcW w:w="281" w:type="pct"/>
            <w:tcBorders>
              <w:top w:val="nil"/>
              <w:left w:val="nil"/>
              <w:bottom w:val="nil"/>
              <w:right w:val="nil"/>
            </w:tcBorders>
            <w:shd w:val="clear" w:color="auto" w:fill="auto"/>
            <w:noWrap/>
            <w:vAlign w:val="center"/>
            <w:hideMark/>
          </w:tcPr>
          <w:p w14:paraId="58F35932" w14:textId="77777777" w:rsidR="00B66CC3" w:rsidRPr="004A5BF7" w:rsidRDefault="00B66CC3" w:rsidP="00B66CC3">
            <w:pPr>
              <w:spacing w:before="0" w:after="0"/>
              <w:jc w:val="center"/>
              <w:rPr>
                <w:rFonts w:cs="Arial"/>
                <w:sz w:val="18"/>
                <w:szCs w:val="18"/>
              </w:rPr>
            </w:pPr>
            <w:r w:rsidRPr="004A5BF7">
              <w:rPr>
                <w:rFonts w:cs="Arial"/>
                <w:sz w:val="18"/>
                <w:szCs w:val="18"/>
              </w:rPr>
              <w:t>150</w:t>
            </w:r>
          </w:p>
        </w:tc>
        <w:tc>
          <w:tcPr>
            <w:tcW w:w="281" w:type="pct"/>
            <w:tcBorders>
              <w:top w:val="nil"/>
              <w:left w:val="nil"/>
              <w:bottom w:val="nil"/>
              <w:right w:val="nil"/>
            </w:tcBorders>
            <w:shd w:val="clear" w:color="auto" w:fill="auto"/>
            <w:noWrap/>
            <w:vAlign w:val="center"/>
            <w:hideMark/>
          </w:tcPr>
          <w:p w14:paraId="0AB1B27A" w14:textId="77777777" w:rsidR="00B66CC3" w:rsidRPr="004A5BF7" w:rsidRDefault="00B66CC3" w:rsidP="00B66CC3">
            <w:pPr>
              <w:spacing w:before="0" w:after="0"/>
              <w:jc w:val="center"/>
              <w:rPr>
                <w:rFonts w:cs="Arial"/>
                <w:sz w:val="18"/>
                <w:szCs w:val="18"/>
              </w:rPr>
            </w:pPr>
            <w:r w:rsidRPr="004A5BF7">
              <w:rPr>
                <w:rFonts w:cs="Arial"/>
                <w:sz w:val="18"/>
                <w:szCs w:val="18"/>
              </w:rPr>
              <w:t>167</w:t>
            </w:r>
          </w:p>
        </w:tc>
        <w:tc>
          <w:tcPr>
            <w:tcW w:w="281" w:type="pct"/>
            <w:tcBorders>
              <w:top w:val="nil"/>
              <w:left w:val="nil"/>
              <w:bottom w:val="nil"/>
              <w:right w:val="nil"/>
            </w:tcBorders>
            <w:shd w:val="clear" w:color="auto" w:fill="auto"/>
            <w:noWrap/>
            <w:vAlign w:val="center"/>
            <w:hideMark/>
          </w:tcPr>
          <w:p w14:paraId="5E18A798" w14:textId="77777777" w:rsidR="00B66CC3" w:rsidRPr="004A5BF7" w:rsidRDefault="00B66CC3" w:rsidP="00B66CC3">
            <w:pPr>
              <w:spacing w:before="0" w:after="0"/>
              <w:jc w:val="center"/>
              <w:rPr>
                <w:rFonts w:cs="Arial"/>
                <w:sz w:val="18"/>
                <w:szCs w:val="18"/>
              </w:rPr>
            </w:pPr>
            <w:r w:rsidRPr="004A5BF7">
              <w:rPr>
                <w:rFonts w:cs="Arial"/>
                <w:sz w:val="18"/>
                <w:szCs w:val="18"/>
              </w:rPr>
              <w:t>138</w:t>
            </w:r>
          </w:p>
        </w:tc>
        <w:tc>
          <w:tcPr>
            <w:tcW w:w="309" w:type="pct"/>
            <w:tcBorders>
              <w:top w:val="nil"/>
              <w:left w:val="nil"/>
              <w:bottom w:val="nil"/>
              <w:right w:val="nil"/>
            </w:tcBorders>
            <w:shd w:val="clear" w:color="auto" w:fill="auto"/>
            <w:noWrap/>
            <w:vAlign w:val="center"/>
            <w:hideMark/>
          </w:tcPr>
          <w:p w14:paraId="72E251AD" w14:textId="77777777" w:rsidR="00B66CC3" w:rsidRPr="004A5BF7" w:rsidRDefault="00B66CC3" w:rsidP="00B66CC3">
            <w:pPr>
              <w:spacing w:before="0" w:after="0"/>
              <w:jc w:val="center"/>
              <w:rPr>
                <w:rFonts w:cs="Arial"/>
                <w:sz w:val="18"/>
                <w:szCs w:val="18"/>
              </w:rPr>
            </w:pPr>
            <w:r w:rsidRPr="004A5BF7">
              <w:rPr>
                <w:rFonts w:cs="Arial"/>
                <w:sz w:val="18"/>
                <w:szCs w:val="18"/>
              </w:rPr>
              <w:t>274</w:t>
            </w:r>
          </w:p>
        </w:tc>
        <w:tc>
          <w:tcPr>
            <w:tcW w:w="273" w:type="pct"/>
            <w:tcBorders>
              <w:top w:val="nil"/>
              <w:left w:val="nil"/>
              <w:bottom w:val="nil"/>
              <w:right w:val="nil"/>
            </w:tcBorders>
            <w:shd w:val="clear" w:color="auto" w:fill="auto"/>
            <w:noWrap/>
            <w:vAlign w:val="center"/>
            <w:hideMark/>
          </w:tcPr>
          <w:p w14:paraId="6F64436B" w14:textId="77777777" w:rsidR="00B66CC3" w:rsidRPr="004A5BF7" w:rsidRDefault="00B66CC3" w:rsidP="00B66CC3">
            <w:pPr>
              <w:spacing w:before="0" w:after="0"/>
              <w:jc w:val="center"/>
              <w:rPr>
                <w:rFonts w:cs="Arial"/>
                <w:sz w:val="18"/>
                <w:szCs w:val="18"/>
              </w:rPr>
            </w:pPr>
            <w:r w:rsidRPr="004A5BF7">
              <w:rPr>
                <w:rFonts w:cs="Arial"/>
                <w:sz w:val="18"/>
                <w:szCs w:val="18"/>
              </w:rPr>
              <w:t>167</w:t>
            </w:r>
          </w:p>
        </w:tc>
        <w:tc>
          <w:tcPr>
            <w:tcW w:w="273" w:type="pct"/>
            <w:tcBorders>
              <w:top w:val="nil"/>
              <w:left w:val="nil"/>
              <w:bottom w:val="nil"/>
              <w:right w:val="nil"/>
            </w:tcBorders>
            <w:shd w:val="clear" w:color="auto" w:fill="auto"/>
            <w:noWrap/>
            <w:vAlign w:val="center"/>
            <w:hideMark/>
          </w:tcPr>
          <w:p w14:paraId="747B5D86" w14:textId="77777777" w:rsidR="00B66CC3" w:rsidRPr="004A5BF7" w:rsidRDefault="00B66CC3" w:rsidP="00B66CC3">
            <w:pPr>
              <w:spacing w:before="0" w:after="0"/>
              <w:jc w:val="center"/>
              <w:rPr>
                <w:rFonts w:cs="Arial"/>
                <w:sz w:val="18"/>
                <w:szCs w:val="18"/>
              </w:rPr>
            </w:pPr>
            <w:r w:rsidRPr="004A5BF7">
              <w:rPr>
                <w:rFonts w:cs="Arial"/>
                <w:sz w:val="18"/>
                <w:szCs w:val="18"/>
              </w:rPr>
              <w:t>132</w:t>
            </w:r>
          </w:p>
        </w:tc>
        <w:tc>
          <w:tcPr>
            <w:tcW w:w="273" w:type="pct"/>
            <w:tcBorders>
              <w:top w:val="nil"/>
              <w:left w:val="nil"/>
              <w:bottom w:val="nil"/>
              <w:right w:val="nil"/>
            </w:tcBorders>
            <w:shd w:val="clear" w:color="auto" w:fill="auto"/>
            <w:noWrap/>
            <w:vAlign w:val="center"/>
            <w:hideMark/>
          </w:tcPr>
          <w:p w14:paraId="3BBFCF0C" w14:textId="77777777" w:rsidR="00B66CC3" w:rsidRPr="004A5BF7" w:rsidRDefault="00B66CC3" w:rsidP="00B66CC3">
            <w:pPr>
              <w:spacing w:before="0" w:after="0"/>
              <w:jc w:val="center"/>
              <w:rPr>
                <w:rFonts w:cs="Arial"/>
                <w:sz w:val="18"/>
                <w:szCs w:val="18"/>
              </w:rPr>
            </w:pPr>
            <w:r w:rsidRPr="004A5BF7">
              <w:rPr>
                <w:rFonts w:cs="Arial"/>
                <w:sz w:val="18"/>
                <w:szCs w:val="18"/>
              </w:rPr>
              <w:t>167</w:t>
            </w:r>
          </w:p>
        </w:tc>
        <w:tc>
          <w:tcPr>
            <w:tcW w:w="282" w:type="pct"/>
            <w:tcBorders>
              <w:top w:val="nil"/>
              <w:left w:val="nil"/>
              <w:bottom w:val="nil"/>
              <w:right w:val="nil"/>
            </w:tcBorders>
            <w:shd w:val="clear" w:color="auto" w:fill="auto"/>
            <w:noWrap/>
            <w:vAlign w:val="center"/>
            <w:hideMark/>
          </w:tcPr>
          <w:p w14:paraId="4876D274" w14:textId="77777777" w:rsidR="00B66CC3" w:rsidRPr="004A5BF7" w:rsidRDefault="00B66CC3" w:rsidP="00B66CC3">
            <w:pPr>
              <w:spacing w:before="0" w:after="0"/>
              <w:jc w:val="center"/>
              <w:rPr>
                <w:rFonts w:cs="Arial"/>
                <w:sz w:val="18"/>
                <w:szCs w:val="18"/>
              </w:rPr>
            </w:pPr>
            <w:r w:rsidRPr="004A5BF7">
              <w:rPr>
                <w:rFonts w:cs="Arial"/>
                <w:sz w:val="18"/>
                <w:szCs w:val="18"/>
              </w:rPr>
              <w:t>82</w:t>
            </w:r>
          </w:p>
        </w:tc>
      </w:tr>
      <w:tr w:rsidR="00B66CC3" w:rsidRPr="00E9409C" w14:paraId="082201AB" w14:textId="77777777" w:rsidTr="00B66CC3">
        <w:trPr>
          <w:trHeight w:val="454"/>
        </w:trPr>
        <w:tc>
          <w:tcPr>
            <w:tcW w:w="617" w:type="pct"/>
            <w:tcBorders>
              <w:top w:val="nil"/>
              <w:left w:val="nil"/>
              <w:bottom w:val="nil"/>
              <w:right w:val="nil"/>
            </w:tcBorders>
            <w:shd w:val="clear" w:color="auto" w:fill="auto"/>
            <w:noWrap/>
            <w:vAlign w:val="center"/>
            <w:hideMark/>
          </w:tcPr>
          <w:p w14:paraId="40CB82C2" w14:textId="77777777" w:rsidR="00B66CC3" w:rsidRPr="004A5BF7" w:rsidRDefault="00B66CC3" w:rsidP="004A5BF7">
            <w:pPr>
              <w:spacing w:before="0" w:after="0"/>
              <w:jc w:val="left"/>
              <w:rPr>
                <w:rFonts w:cs="Arial"/>
                <w:sz w:val="18"/>
                <w:szCs w:val="18"/>
              </w:rPr>
            </w:pPr>
            <w:r w:rsidRPr="004A5BF7">
              <w:rPr>
                <w:rFonts w:cs="Arial"/>
                <w:sz w:val="18"/>
                <w:szCs w:val="18"/>
              </w:rPr>
              <w:t>Haughton</w:t>
            </w:r>
          </w:p>
        </w:tc>
        <w:tc>
          <w:tcPr>
            <w:tcW w:w="723" w:type="pct"/>
            <w:tcBorders>
              <w:top w:val="nil"/>
              <w:left w:val="nil"/>
              <w:bottom w:val="nil"/>
              <w:right w:val="nil"/>
            </w:tcBorders>
            <w:shd w:val="clear" w:color="auto" w:fill="auto"/>
            <w:noWrap/>
            <w:vAlign w:val="center"/>
            <w:hideMark/>
          </w:tcPr>
          <w:p w14:paraId="5A641F59" w14:textId="77777777" w:rsidR="00B66CC3" w:rsidRPr="004A5BF7" w:rsidRDefault="00B66CC3" w:rsidP="004A5BF7">
            <w:pPr>
              <w:spacing w:before="0" w:after="0"/>
              <w:jc w:val="left"/>
              <w:rPr>
                <w:rFonts w:cs="Arial"/>
                <w:sz w:val="18"/>
                <w:szCs w:val="18"/>
              </w:rPr>
            </w:pPr>
            <w:r w:rsidRPr="004A5BF7">
              <w:rPr>
                <w:rFonts w:cs="Arial"/>
                <w:sz w:val="18"/>
                <w:szCs w:val="18"/>
              </w:rPr>
              <w:t>Burdekin</w:t>
            </w:r>
          </w:p>
        </w:tc>
        <w:tc>
          <w:tcPr>
            <w:tcW w:w="281" w:type="pct"/>
            <w:tcBorders>
              <w:top w:val="nil"/>
              <w:left w:val="nil"/>
              <w:bottom w:val="nil"/>
              <w:right w:val="nil"/>
            </w:tcBorders>
            <w:shd w:val="clear" w:color="auto" w:fill="auto"/>
            <w:noWrap/>
            <w:vAlign w:val="center"/>
            <w:hideMark/>
          </w:tcPr>
          <w:p w14:paraId="4E136F20" w14:textId="77777777" w:rsidR="00B66CC3" w:rsidRPr="004A5BF7" w:rsidRDefault="00B66CC3" w:rsidP="00B66CC3">
            <w:pPr>
              <w:spacing w:before="0" w:after="0"/>
              <w:jc w:val="center"/>
              <w:rPr>
                <w:rFonts w:cs="Arial"/>
                <w:sz w:val="18"/>
                <w:szCs w:val="18"/>
              </w:rPr>
            </w:pPr>
            <w:r w:rsidRPr="004A5BF7">
              <w:rPr>
                <w:rFonts w:cs="Arial"/>
                <w:sz w:val="18"/>
                <w:szCs w:val="18"/>
              </w:rPr>
              <w:t>141</w:t>
            </w:r>
          </w:p>
        </w:tc>
        <w:tc>
          <w:tcPr>
            <w:tcW w:w="281" w:type="pct"/>
            <w:tcBorders>
              <w:top w:val="nil"/>
              <w:left w:val="nil"/>
              <w:bottom w:val="nil"/>
              <w:right w:val="nil"/>
            </w:tcBorders>
            <w:shd w:val="clear" w:color="auto" w:fill="auto"/>
            <w:noWrap/>
            <w:vAlign w:val="center"/>
            <w:hideMark/>
          </w:tcPr>
          <w:p w14:paraId="5A9AF7A3" w14:textId="77777777" w:rsidR="00B66CC3" w:rsidRPr="004A5BF7" w:rsidRDefault="00B66CC3" w:rsidP="00B66CC3">
            <w:pPr>
              <w:spacing w:before="0" w:after="0"/>
              <w:jc w:val="center"/>
              <w:rPr>
                <w:rFonts w:cs="Arial"/>
                <w:sz w:val="18"/>
                <w:szCs w:val="18"/>
              </w:rPr>
            </w:pPr>
            <w:r w:rsidRPr="004A5BF7">
              <w:rPr>
                <w:rFonts w:cs="Arial"/>
                <w:sz w:val="18"/>
                <w:szCs w:val="18"/>
              </w:rPr>
              <w:t>679</w:t>
            </w:r>
          </w:p>
        </w:tc>
        <w:tc>
          <w:tcPr>
            <w:tcW w:w="281" w:type="pct"/>
            <w:tcBorders>
              <w:top w:val="nil"/>
              <w:left w:val="nil"/>
              <w:bottom w:val="nil"/>
              <w:right w:val="nil"/>
            </w:tcBorders>
            <w:shd w:val="clear" w:color="auto" w:fill="auto"/>
            <w:noWrap/>
            <w:vAlign w:val="center"/>
            <w:hideMark/>
          </w:tcPr>
          <w:p w14:paraId="061B2054" w14:textId="77777777" w:rsidR="00B66CC3" w:rsidRPr="004A5BF7" w:rsidRDefault="00B66CC3" w:rsidP="00B66CC3">
            <w:pPr>
              <w:spacing w:before="0" w:after="0"/>
              <w:jc w:val="center"/>
              <w:rPr>
                <w:rFonts w:cs="Arial"/>
                <w:sz w:val="18"/>
                <w:szCs w:val="18"/>
              </w:rPr>
            </w:pPr>
            <w:r w:rsidRPr="004A5BF7">
              <w:rPr>
                <w:rFonts w:cs="Arial"/>
                <w:sz w:val="18"/>
                <w:szCs w:val="18"/>
              </w:rPr>
              <w:t>276</w:t>
            </w:r>
          </w:p>
        </w:tc>
        <w:tc>
          <w:tcPr>
            <w:tcW w:w="281" w:type="pct"/>
            <w:tcBorders>
              <w:top w:val="nil"/>
              <w:left w:val="nil"/>
              <w:bottom w:val="nil"/>
              <w:right w:val="nil"/>
            </w:tcBorders>
            <w:shd w:val="clear" w:color="auto" w:fill="auto"/>
            <w:noWrap/>
            <w:vAlign w:val="center"/>
            <w:hideMark/>
          </w:tcPr>
          <w:p w14:paraId="59B3F082" w14:textId="77777777" w:rsidR="00B66CC3" w:rsidRPr="004A5BF7" w:rsidRDefault="00B66CC3" w:rsidP="00B66CC3">
            <w:pPr>
              <w:spacing w:before="0" w:after="0"/>
              <w:jc w:val="center"/>
              <w:rPr>
                <w:rFonts w:cs="Arial"/>
                <w:sz w:val="18"/>
                <w:szCs w:val="18"/>
              </w:rPr>
            </w:pPr>
            <w:r w:rsidRPr="004A5BF7">
              <w:rPr>
                <w:rFonts w:cs="Arial"/>
                <w:sz w:val="18"/>
                <w:szCs w:val="18"/>
              </w:rPr>
              <w:t>830</w:t>
            </w:r>
          </w:p>
        </w:tc>
        <w:tc>
          <w:tcPr>
            <w:tcW w:w="282" w:type="pct"/>
            <w:tcBorders>
              <w:top w:val="nil"/>
              <w:left w:val="nil"/>
              <w:bottom w:val="nil"/>
              <w:right w:val="nil"/>
            </w:tcBorders>
            <w:shd w:val="clear" w:color="auto" w:fill="auto"/>
            <w:noWrap/>
            <w:vAlign w:val="center"/>
            <w:hideMark/>
          </w:tcPr>
          <w:p w14:paraId="671E9BB1" w14:textId="77777777" w:rsidR="00B66CC3" w:rsidRPr="004A5BF7" w:rsidRDefault="00B66CC3" w:rsidP="00B66CC3">
            <w:pPr>
              <w:spacing w:before="0" w:after="0"/>
              <w:jc w:val="center"/>
              <w:rPr>
                <w:rFonts w:cs="Arial"/>
                <w:sz w:val="18"/>
                <w:szCs w:val="18"/>
              </w:rPr>
            </w:pPr>
            <w:r w:rsidRPr="004A5BF7">
              <w:rPr>
                <w:rFonts w:cs="Arial"/>
                <w:sz w:val="18"/>
                <w:szCs w:val="18"/>
              </w:rPr>
              <w:t>820</w:t>
            </w:r>
          </w:p>
        </w:tc>
        <w:tc>
          <w:tcPr>
            <w:tcW w:w="281" w:type="pct"/>
            <w:tcBorders>
              <w:top w:val="nil"/>
              <w:left w:val="nil"/>
              <w:bottom w:val="nil"/>
              <w:right w:val="nil"/>
            </w:tcBorders>
            <w:shd w:val="clear" w:color="auto" w:fill="auto"/>
            <w:noWrap/>
            <w:vAlign w:val="center"/>
            <w:hideMark/>
          </w:tcPr>
          <w:p w14:paraId="08C87F35" w14:textId="77777777" w:rsidR="00B66CC3" w:rsidRPr="004A5BF7" w:rsidRDefault="00B66CC3" w:rsidP="00B66CC3">
            <w:pPr>
              <w:spacing w:before="0" w:after="0"/>
              <w:jc w:val="center"/>
              <w:rPr>
                <w:rFonts w:cs="Arial"/>
                <w:sz w:val="18"/>
                <w:szCs w:val="18"/>
              </w:rPr>
            </w:pPr>
            <w:r w:rsidRPr="004A5BF7">
              <w:rPr>
                <w:rFonts w:cs="Arial"/>
                <w:sz w:val="18"/>
                <w:szCs w:val="18"/>
              </w:rPr>
              <w:t>685</w:t>
            </w:r>
          </w:p>
        </w:tc>
        <w:tc>
          <w:tcPr>
            <w:tcW w:w="281" w:type="pct"/>
            <w:tcBorders>
              <w:top w:val="nil"/>
              <w:left w:val="nil"/>
              <w:bottom w:val="nil"/>
              <w:right w:val="nil"/>
            </w:tcBorders>
            <w:shd w:val="clear" w:color="auto" w:fill="auto"/>
            <w:noWrap/>
            <w:vAlign w:val="center"/>
            <w:hideMark/>
          </w:tcPr>
          <w:p w14:paraId="0EC4BA2C" w14:textId="77777777" w:rsidR="00B66CC3" w:rsidRPr="004A5BF7" w:rsidRDefault="00B66CC3" w:rsidP="00B66CC3">
            <w:pPr>
              <w:spacing w:before="0" w:after="0"/>
              <w:jc w:val="center"/>
              <w:rPr>
                <w:rFonts w:cs="Arial"/>
                <w:sz w:val="18"/>
                <w:szCs w:val="18"/>
              </w:rPr>
            </w:pPr>
            <w:r w:rsidRPr="004A5BF7">
              <w:rPr>
                <w:rFonts w:cs="Arial"/>
                <w:sz w:val="18"/>
                <w:szCs w:val="18"/>
              </w:rPr>
              <w:t>1,924</w:t>
            </w:r>
          </w:p>
        </w:tc>
        <w:tc>
          <w:tcPr>
            <w:tcW w:w="281" w:type="pct"/>
            <w:tcBorders>
              <w:top w:val="nil"/>
              <w:left w:val="nil"/>
              <w:bottom w:val="nil"/>
              <w:right w:val="nil"/>
            </w:tcBorders>
            <w:shd w:val="clear" w:color="auto" w:fill="auto"/>
            <w:noWrap/>
            <w:vAlign w:val="center"/>
            <w:hideMark/>
          </w:tcPr>
          <w:p w14:paraId="2C26DA04" w14:textId="77777777" w:rsidR="00B66CC3" w:rsidRPr="004A5BF7" w:rsidRDefault="00B66CC3" w:rsidP="00B66CC3">
            <w:pPr>
              <w:spacing w:before="0" w:after="0"/>
              <w:jc w:val="center"/>
              <w:rPr>
                <w:rFonts w:cs="Arial"/>
                <w:sz w:val="18"/>
                <w:szCs w:val="18"/>
              </w:rPr>
            </w:pPr>
            <w:r w:rsidRPr="004A5BF7">
              <w:rPr>
                <w:rFonts w:cs="Arial"/>
                <w:sz w:val="18"/>
                <w:szCs w:val="18"/>
              </w:rPr>
              <w:t>646</w:t>
            </w:r>
          </w:p>
        </w:tc>
        <w:tc>
          <w:tcPr>
            <w:tcW w:w="309" w:type="pct"/>
            <w:tcBorders>
              <w:top w:val="nil"/>
              <w:left w:val="nil"/>
              <w:bottom w:val="nil"/>
              <w:right w:val="nil"/>
            </w:tcBorders>
            <w:shd w:val="clear" w:color="auto" w:fill="auto"/>
            <w:noWrap/>
            <w:vAlign w:val="center"/>
            <w:hideMark/>
          </w:tcPr>
          <w:p w14:paraId="69868F7C" w14:textId="77777777" w:rsidR="00B66CC3" w:rsidRPr="004A5BF7" w:rsidRDefault="00B66CC3" w:rsidP="00B66CC3">
            <w:pPr>
              <w:spacing w:before="0" w:after="0"/>
              <w:jc w:val="center"/>
              <w:rPr>
                <w:rFonts w:cs="Arial"/>
                <w:sz w:val="18"/>
                <w:szCs w:val="18"/>
              </w:rPr>
            </w:pPr>
            <w:r w:rsidRPr="004A5BF7">
              <w:rPr>
                <w:rFonts w:cs="Arial"/>
                <w:sz w:val="18"/>
                <w:szCs w:val="18"/>
              </w:rPr>
              <w:t>2,500</w:t>
            </w:r>
          </w:p>
        </w:tc>
        <w:tc>
          <w:tcPr>
            <w:tcW w:w="273" w:type="pct"/>
            <w:tcBorders>
              <w:top w:val="nil"/>
              <w:left w:val="nil"/>
              <w:bottom w:val="nil"/>
              <w:right w:val="nil"/>
            </w:tcBorders>
            <w:shd w:val="clear" w:color="auto" w:fill="auto"/>
            <w:noWrap/>
            <w:vAlign w:val="center"/>
            <w:hideMark/>
          </w:tcPr>
          <w:p w14:paraId="6A3B858D" w14:textId="77777777" w:rsidR="00B66CC3" w:rsidRPr="004A5BF7" w:rsidRDefault="00B66CC3" w:rsidP="00B66CC3">
            <w:pPr>
              <w:spacing w:before="0" w:after="0"/>
              <w:jc w:val="center"/>
              <w:rPr>
                <w:rFonts w:cs="Arial"/>
                <w:sz w:val="18"/>
                <w:szCs w:val="18"/>
              </w:rPr>
            </w:pPr>
            <w:r w:rsidRPr="004A5BF7">
              <w:rPr>
                <w:rFonts w:cs="Arial"/>
                <w:sz w:val="18"/>
                <w:szCs w:val="18"/>
              </w:rPr>
              <w:t>910</w:t>
            </w:r>
          </w:p>
        </w:tc>
        <w:tc>
          <w:tcPr>
            <w:tcW w:w="273" w:type="pct"/>
            <w:tcBorders>
              <w:top w:val="nil"/>
              <w:left w:val="nil"/>
              <w:bottom w:val="nil"/>
              <w:right w:val="nil"/>
            </w:tcBorders>
            <w:shd w:val="clear" w:color="auto" w:fill="auto"/>
            <w:noWrap/>
            <w:vAlign w:val="center"/>
            <w:hideMark/>
          </w:tcPr>
          <w:p w14:paraId="087F5595" w14:textId="77777777" w:rsidR="00B66CC3" w:rsidRPr="004A5BF7" w:rsidRDefault="00B66CC3" w:rsidP="00B66CC3">
            <w:pPr>
              <w:spacing w:before="0" w:after="0"/>
              <w:jc w:val="center"/>
              <w:rPr>
                <w:rFonts w:cs="Arial"/>
                <w:sz w:val="18"/>
                <w:szCs w:val="18"/>
              </w:rPr>
            </w:pPr>
            <w:r w:rsidRPr="004A5BF7">
              <w:rPr>
                <w:rFonts w:cs="Arial"/>
                <w:sz w:val="18"/>
                <w:szCs w:val="18"/>
              </w:rPr>
              <w:t>635</w:t>
            </w:r>
          </w:p>
        </w:tc>
        <w:tc>
          <w:tcPr>
            <w:tcW w:w="273" w:type="pct"/>
            <w:tcBorders>
              <w:top w:val="nil"/>
              <w:left w:val="nil"/>
              <w:bottom w:val="nil"/>
              <w:right w:val="nil"/>
            </w:tcBorders>
            <w:shd w:val="clear" w:color="auto" w:fill="auto"/>
            <w:noWrap/>
            <w:vAlign w:val="center"/>
            <w:hideMark/>
          </w:tcPr>
          <w:p w14:paraId="1802E310" w14:textId="77777777" w:rsidR="00B66CC3" w:rsidRPr="004A5BF7" w:rsidRDefault="00B66CC3" w:rsidP="00B66CC3">
            <w:pPr>
              <w:spacing w:before="0" w:after="0"/>
              <w:jc w:val="center"/>
              <w:rPr>
                <w:rFonts w:cs="Arial"/>
                <w:sz w:val="18"/>
                <w:szCs w:val="18"/>
              </w:rPr>
            </w:pPr>
            <w:r w:rsidRPr="004A5BF7">
              <w:rPr>
                <w:rFonts w:cs="Arial"/>
                <w:sz w:val="18"/>
                <w:szCs w:val="18"/>
              </w:rPr>
              <w:t>853</w:t>
            </w:r>
          </w:p>
        </w:tc>
        <w:tc>
          <w:tcPr>
            <w:tcW w:w="282" w:type="pct"/>
            <w:tcBorders>
              <w:top w:val="nil"/>
              <w:left w:val="nil"/>
              <w:bottom w:val="nil"/>
              <w:right w:val="nil"/>
            </w:tcBorders>
            <w:shd w:val="clear" w:color="auto" w:fill="auto"/>
            <w:noWrap/>
            <w:vAlign w:val="center"/>
            <w:hideMark/>
          </w:tcPr>
          <w:p w14:paraId="41CD9D8D" w14:textId="77777777" w:rsidR="00B66CC3" w:rsidRPr="004A5BF7" w:rsidRDefault="00B66CC3" w:rsidP="00B66CC3">
            <w:pPr>
              <w:spacing w:before="0" w:after="0"/>
              <w:jc w:val="center"/>
              <w:rPr>
                <w:rFonts w:cs="Arial"/>
                <w:sz w:val="18"/>
                <w:szCs w:val="18"/>
              </w:rPr>
            </w:pPr>
            <w:r w:rsidRPr="004A5BF7">
              <w:rPr>
                <w:rFonts w:cs="Arial"/>
                <w:sz w:val="18"/>
                <w:szCs w:val="18"/>
              </w:rPr>
              <w:t>213</w:t>
            </w:r>
          </w:p>
        </w:tc>
      </w:tr>
      <w:tr w:rsidR="00B66CC3" w:rsidRPr="00E9409C" w14:paraId="1F33499F" w14:textId="77777777" w:rsidTr="00B66CC3">
        <w:trPr>
          <w:trHeight w:val="454"/>
        </w:trPr>
        <w:tc>
          <w:tcPr>
            <w:tcW w:w="617" w:type="pct"/>
            <w:tcBorders>
              <w:top w:val="nil"/>
              <w:left w:val="nil"/>
              <w:bottom w:val="nil"/>
              <w:right w:val="nil"/>
            </w:tcBorders>
            <w:shd w:val="clear" w:color="auto" w:fill="auto"/>
            <w:noWrap/>
            <w:vAlign w:val="center"/>
            <w:hideMark/>
          </w:tcPr>
          <w:p w14:paraId="1BA6AFA0" w14:textId="77777777" w:rsidR="00B66CC3" w:rsidRPr="004A5BF7" w:rsidRDefault="00B66CC3" w:rsidP="004A5BF7">
            <w:pPr>
              <w:spacing w:before="0" w:after="0"/>
              <w:jc w:val="left"/>
              <w:rPr>
                <w:rFonts w:cs="Arial"/>
                <w:sz w:val="18"/>
                <w:szCs w:val="18"/>
              </w:rPr>
            </w:pPr>
            <w:r w:rsidRPr="004A5BF7">
              <w:rPr>
                <w:rFonts w:cs="Arial"/>
                <w:sz w:val="18"/>
                <w:szCs w:val="18"/>
              </w:rPr>
              <w:t>Burdekin</w:t>
            </w:r>
          </w:p>
        </w:tc>
        <w:tc>
          <w:tcPr>
            <w:tcW w:w="723" w:type="pct"/>
            <w:tcBorders>
              <w:top w:val="nil"/>
              <w:left w:val="nil"/>
              <w:bottom w:val="nil"/>
              <w:right w:val="nil"/>
            </w:tcBorders>
            <w:shd w:val="clear" w:color="auto" w:fill="auto"/>
            <w:noWrap/>
            <w:vAlign w:val="center"/>
            <w:hideMark/>
          </w:tcPr>
          <w:p w14:paraId="64AC50EF" w14:textId="77777777" w:rsidR="00B66CC3" w:rsidRPr="004A5BF7" w:rsidRDefault="00B66CC3" w:rsidP="004A5BF7">
            <w:pPr>
              <w:spacing w:before="0" w:after="0"/>
              <w:jc w:val="left"/>
              <w:rPr>
                <w:rFonts w:cs="Arial"/>
                <w:sz w:val="18"/>
                <w:szCs w:val="18"/>
              </w:rPr>
            </w:pPr>
            <w:r w:rsidRPr="004A5BF7">
              <w:rPr>
                <w:rFonts w:cs="Arial"/>
                <w:sz w:val="18"/>
                <w:szCs w:val="18"/>
              </w:rPr>
              <w:t>Burdekin</w:t>
            </w:r>
          </w:p>
        </w:tc>
        <w:tc>
          <w:tcPr>
            <w:tcW w:w="281" w:type="pct"/>
            <w:tcBorders>
              <w:top w:val="nil"/>
              <w:left w:val="nil"/>
              <w:bottom w:val="nil"/>
              <w:right w:val="nil"/>
            </w:tcBorders>
            <w:shd w:val="clear" w:color="auto" w:fill="auto"/>
            <w:noWrap/>
            <w:vAlign w:val="center"/>
            <w:hideMark/>
          </w:tcPr>
          <w:p w14:paraId="41A9C96D" w14:textId="77777777" w:rsidR="00B66CC3" w:rsidRPr="004A5BF7" w:rsidRDefault="00B66CC3" w:rsidP="00B66CC3">
            <w:pPr>
              <w:spacing w:before="0" w:after="0"/>
              <w:jc w:val="center"/>
              <w:rPr>
                <w:rFonts w:cs="Arial"/>
                <w:sz w:val="18"/>
                <w:szCs w:val="18"/>
              </w:rPr>
            </w:pPr>
            <w:r w:rsidRPr="004A5BF7">
              <w:rPr>
                <w:rFonts w:cs="Arial"/>
                <w:sz w:val="18"/>
                <w:szCs w:val="18"/>
              </w:rPr>
              <w:t>26</w:t>
            </w:r>
          </w:p>
        </w:tc>
        <w:tc>
          <w:tcPr>
            <w:tcW w:w="281" w:type="pct"/>
            <w:tcBorders>
              <w:top w:val="nil"/>
              <w:left w:val="nil"/>
              <w:bottom w:val="nil"/>
              <w:right w:val="nil"/>
            </w:tcBorders>
            <w:shd w:val="clear" w:color="auto" w:fill="auto"/>
            <w:noWrap/>
            <w:vAlign w:val="center"/>
            <w:hideMark/>
          </w:tcPr>
          <w:p w14:paraId="29A123F4" w14:textId="77777777" w:rsidR="00B66CC3" w:rsidRPr="004A5BF7" w:rsidRDefault="00B66CC3" w:rsidP="00B66CC3">
            <w:pPr>
              <w:spacing w:before="0" w:after="0"/>
              <w:jc w:val="center"/>
              <w:rPr>
                <w:rFonts w:cs="Arial"/>
                <w:sz w:val="18"/>
                <w:szCs w:val="18"/>
              </w:rPr>
            </w:pPr>
            <w:r w:rsidRPr="004A5BF7">
              <w:rPr>
                <w:rFonts w:cs="Arial"/>
                <w:sz w:val="18"/>
                <w:szCs w:val="18"/>
              </w:rPr>
              <w:t>56</w:t>
            </w:r>
          </w:p>
        </w:tc>
        <w:tc>
          <w:tcPr>
            <w:tcW w:w="281" w:type="pct"/>
            <w:tcBorders>
              <w:top w:val="nil"/>
              <w:left w:val="nil"/>
              <w:bottom w:val="nil"/>
              <w:right w:val="nil"/>
            </w:tcBorders>
            <w:shd w:val="clear" w:color="auto" w:fill="auto"/>
            <w:noWrap/>
            <w:vAlign w:val="center"/>
            <w:hideMark/>
          </w:tcPr>
          <w:p w14:paraId="25ED1AD0" w14:textId="77777777" w:rsidR="00B66CC3" w:rsidRPr="004A5BF7" w:rsidRDefault="00B66CC3" w:rsidP="00B66CC3">
            <w:pPr>
              <w:spacing w:before="0" w:after="0"/>
              <w:jc w:val="center"/>
              <w:rPr>
                <w:rFonts w:cs="Arial"/>
                <w:sz w:val="18"/>
                <w:szCs w:val="18"/>
              </w:rPr>
            </w:pPr>
            <w:r w:rsidRPr="004A5BF7">
              <w:rPr>
                <w:rFonts w:cs="Arial"/>
                <w:sz w:val="18"/>
                <w:szCs w:val="18"/>
              </w:rPr>
              <w:t>81</w:t>
            </w:r>
          </w:p>
        </w:tc>
        <w:tc>
          <w:tcPr>
            <w:tcW w:w="281" w:type="pct"/>
            <w:tcBorders>
              <w:top w:val="nil"/>
              <w:left w:val="nil"/>
              <w:bottom w:val="nil"/>
              <w:right w:val="nil"/>
            </w:tcBorders>
            <w:shd w:val="clear" w:color="auto" w:fill="auto"/>
            <w:noWrap/>
            <w:vAlign w:val="center"/>
            <w:hideMark/>
          </w:tcPr>
          <w:p w14:paraId="142A68DE" w14:textId="77777777" w:rsidR="00B66CC3" w:rsidRPr="004A5BF7" w:rsidRDefault="00B66CC3" w:rsidP="00B66CC3">
            <w:pPr>
              <w:spacing w:before="0" w:after="0"/>
              <w:jc w:val="center"/>
              <w:rPr>
                <w:rFonts w:cs="Arial"/>
                <w:sz w:val="18"/>
                <w:szCs w:val="18"/>
              </w:rPr>
            </w:pPr>
            <w:r w:rsidRPr="004A5BF7">
              <w:rPr>
                <w:rFonts w:cs="Arial"/>
                <w:sz w:val="18"/>
                <w:szCs w:val="18"/>
              </w:rPr>
              <w:t>93</w:t>
            </w:r>
          </w:p>
        </w:tc>
        <w:tc>
          <w:tcPr>
            <w:tcW w:w="282" w:type="pct"/>
            <w:tcBorders>
              <w:top w:val="nil"/>
              <w:left w:val="nil"/>
              <w:bottom w:val="nil"/>
              <w:right w:val="nil"/>
            </w:tcBorders>
            <w:shd w:val="clear" w:color="auto" w:fill="auto"/>
            <w:noWrap/>
            <w:vAlign w:val="center"/>
            <w:hideMark/>
          </w:tcPr>
          <w:p w14:paraId="3A05D52E" w14:textId="77777777" w:rsidR="00B66CC3" w:rsidRPr="004A5BF7" w:rsidRDefault="00B66CC3" w:rsidP="00B66CC3">
            <w:pPr>
              <w:spacing w:before="0" w:after="0"/>
              <w:jc w:val="center"/>
              <w:rPr>
                <w:rFonts w:cs="Arial"/>
                <w:sz w:val="18"/>
                <w:szCs w:val="18"/>
              </w:rPr>
            </w:pPr>
            <w:r w:rsidRPr="004A5BF7">
              <w:rPr>
                <w:rFonts w:cs="Arial"/>
                <w:sz w:val="18"/>
                <w:szCs w:val="18"/>
              </w:rPr>
              <w:t>187</w:t>
            </w:r>
          </w:p>
        </w:tc>
        <w:tc>
          <w:tcPr>
            <w:tcW w:w="281" w:type="pct"/>
            <w:tcBorders>
              <w:top w:val="nil"/>
              <w:left w:val="nil"/>
              <w:bottom w:val="nil"/>
              <w:right w:val="nil"/>
            </w:tcBorders>
            <w:shd w:val="clear" w:color="auto" w:fill="auto"/>
            <w:noWrap/>
            <w:vAlign w:val="center"/>
            <w:hideMark/>
          </w:tcPr>
          <w:p w14:paraId="0CD018F6" w14:textId="77777777" w:rsidR="00B66CC3" w:rsidRPr="004A5BF7" w:rsidRDefault="00B66CC3" w:rsidP="00B66CC3">
            <w:pPr>
              <w:spacing w:before="0" w:after="0"/>
              <w:jc w:val="center"/>
              <w:rPr>
                <w:rFonts w:cs="Arial"/>
                <w:sz w:val="18"/>
                <w:szCs w:val="18"/>
              </w:rPr>
            </w:pPr>
            <w:r w:rsidRPr="004A5BF7">
              <w:rPr>
                <w:rFonts w:cs="Arial"/>
                <w:sz w:val="18"/>
                <w:szCs w:val="18"/>
              </w:rPr>
              <w:t>252</w:t>
            </w:r>
          </w:p>
        </w:tc>
        <w:tc>
          <w:tcPr>
            <w:tcW w:w="281" w:type="pct"/>
            <w:tcBorders>
              <w:top w:val="nil"/>
              <w:left w:val="nil"/>
              <w:bottom w:val="nil"/>
              <w:right w:val="nil"/>
            </w:tcBorders>
            <w:shd w:val="clear" w:color="auto" w:fill="auto"/>
            <w:noWrap/>
            <w:vAlign w:val="center"/>
            <w:hideMark/>
          </w:tcPr>
          <w:p w14:paraId="265A4147" w14:textId="77777777" w:rsidR="00B66CC3" w:rsidRPr="004A5BF7" w:rsidRDefault="00B66CC3" w:rsidP="00B66CC3">
            <w:pPr>
              <w:spacing w:before="0" w:after="0"/>
              <w:jc w:val="center"/>
              <w:rPr>
                <w:rFonts w:cs="Arial"/>
                <w:sz w:val="18"/>
                <w:szCs w:val="18"/>
              </w:rPr>
            </w:pPr>
            <w:r w:rsidRPr="004A5BF7">
              <w:rPr>
                <w:rFonts w:cs="Arial"/>
                <w:sz w:val="18"/>
                <w:szCs w:val="18"/>
              </w:rPr>
              <w:t>340</w:t>
            </w:r>
          </w:p>
        </w:tc>
        <w:tc>
          <w:tcPr>
            <w:tcW w:w="281" w:type="pct"/>
            <w:tcBorders>
              <w:top w:val="nil"/>
              <w:left w:val="nil"/>
              <w:bottom w:val="nil"/>
              <w:right w:val="nil"/>
            </w:tcBorders>
            <w:shd w:val="clear" w:color="auto" w:fill="auto"/>
            <w:noWrap/>
            <w:vAlign w:val="center"/>
            <w:hideMark/>
          </w:tcPr>
          <w:p w14:paraId="6F870533" w14:textId="77777777" w:rsidR="00B66CC3" w:rsidRPr="004A5BF7" w:rsidRDefault="00B66CC3" w:rsidP="00B66CC3">
            <w:pPr>
              <w:spacing w:before="0" w:after="0"/>
              <w:jc w:val="center"/>
              <w:rPr>
                <w:rFonts w:cs="Arial"/>
                <w:sz w:val="18"/>
                <w:szCs w:val="18"/>
              </w:rPr>
            </w:pPr>
            <w:r w:rsidRPr="004A5BF7">
              <w:rPr>
                <w:rFonts w:cs="Arial"/>
                <w:sz w:val="18"/>
                <w:szCs w:val="18"/>
              </w:rPr>
              <w:t>149</w:t>
            </w:r>
          </w:p>
        </w:tc>
        <w:tc>
          <w:tcPr>
            <w:tcW w:w="309" w:type="pct"/>
            <w:tcBorders>
              <w:top w:val="nil"/>
              <w:left w:val="nil"/>
              <w:bottom w:val="nil"/>
              <w:right w:val="nil"/>
            </w:tcBorders>
            <w:shd w:val="clear" w:color="auto" w:fill="auto"/>
            <w:noWrap/>
            <w:vAlign w:val="center"/>
            <w:hideMark/>
          </w:tcPr>
          <w:p w14:paraId="29DF6F83" w14:textId="77777777" w:rsidR="00B66CC3" w:rsidRPr="004A5BF7" w:rsidRDefault="00B66CC3" w:rsidP="00B66CC3">
            <w:pPr>
              <w:spacing w:before="0" w:after="0"/>
              <w:jc w:val="center"/>
              <w:rPr>
                <w:rFonts w:cs="Arial"/>
                <w:sz w:val="18"/>
                <w:szCs w:val="18"/>
              </w:rPr>
            </w:pPr>
            <w:r w:rsidRPr="004A5BF7">
              <w:rPr>
                <w:rFonts w:cs="Arial"/>
                <w:sz w:val="18"/>
                <w:szCs w:val="18"/>
              </w:rPr>
              <w:t>307</w:t>
            </w:r>
          </w:p>
        </w:tc>
        <w:tc>
          <w:tcPr>
            <w:tcW w:w="273" w:type="pct"/>
            <w:tcBorders>
              <w:top w:val="nil"/>
              <w:left w:val="nil"/>
              <w:bottom w:val="nil"/>
              <w:right w:val="nil"/>
            </w:tcBorders>
            <w:shd w:val="clear" w:color="auto" w:fill="auto"/>
            <w:noWrap/>
            <w:vAlign w:val="center"/>
            <w:hideMark/>
          </w:tcPr>
          <w:p w14:paraId="7BC5C356" w14:textId="77777777" w:rsidR="00B66CC3" w:rsidRPr="004A5BF7" w:rsidRDefault="00B66CC3" w:rsidP="00B66CC3">
            <w:pPr>
              <w:spacing w:before="0" w:after="0"/>
              <w:jc w:val="center"/>
              <w:rPr>
                <w:rFonts w:cs="Arial"/>
                <w:sz w:val="18"/>
                <w:szCs w:val="18"/>
              </w:rPr>
            </w:pPr>
            <w:r w:rsidRPr="004A5BF7">
              <w:rPr>
                <w:rFonts w:cs="Arial"/>
                <w:sz w:val="18"/>
                <w:szCs w:val="18"/>
              </w:rPr>
              <w:t>223</w:t>
            </w:r>
          </w:p>
        </w:tc>
        <w:tc>
          <w:tcPr>
            <w:tcW w:w="273" w:type="pct"/>
            <w:tcBorders>
              <w:top w:val="nil"/>
              <w:left w:val="nil"/>
              <w:bottom w:val="nil"/>
              <w:right w:val="nil"/>
            </w:tcBorders>
            <w:shd w:val="clear" w:color="auto" w:fill="auto"/>
            <w:noWrap/>
            <w:vAlign w:val="center"/>
            <w:hideMark/>
          </w:tcPr>
          <w:p w14:paraId="6CE3B6C5" w14:textId="77777777" w:rsidR="00B66CC3" w:rsidRPr="004A5BF7" w:rsidRDefault="00B66CC3" w:rsidP="00B66CC3">
            <w:pPr>
              <w:spacing w:before="0" w:after="0"/>
              <w:jc w:val="center"/>
              <w:rPr>
                <w:rFonts w:cs="Arial"/>
                <w:sz w:val="18"/>
                <w:szCs w:val="18"/>
              </w:rPr>
            </w:pPr>
            <w:r w:rsidRPr="004A5BF7">
              <w:rPr>
                <w:rFonts w:cs="Arial"/>
                <w:sz w:val="18"/>
                <w:szCs w:val="18"/>
              </w:rPr>
              <w:t>62</w:t>
            </w:r>
          </w:p>
        </w:tc>
        <w:tc>
          <w:tcPr>
            <w:tcW w:w="273" w:type="pct"/>
            <w:tcBorders>
              <w:top w:val="nil"/>
              <w:left w:val="nil"/>
              <w:bottom w:val="nil"/>
              <w:right w:val="nil"/>
            </w:tcBorders>
            <w:shd w:val="clear" w:color="auto" w:fill="auto"/>
            <w:noWrap/>
            <w:vAlign w:val="center"/>
            <w:hideMark/>
          </w:tcPr>
          <w:p w14:paraId="76E79F92" w14:textId="77777777" w:rsidR="00B66CC3" w:rsidRPr="004A5BF7" w:rsidRDefault="00B66CC3" w:rsidP="00B66CC3">
            <w:pPr>
              <w:spacing w:before="0" w:after="0"/>
              <w:jc w:val="center"/>
              <w:rPr>
                <w:rFonts w:cs="Arial"/>
                <w:sz w:val="18"/>
                <w:szCs w:val="18"/>
              </w:rPr>
            </w:pPr>
            <w:r w:rsidRPr="004A5BF7">
              <w:rPr>
                <w:rFonts w:cs="Arial"/>
                <w:sz w:val="18"/>
                <w:szCs w:val="18"/>
              </w:rPr>
              <w:t>70</w:t>
            </w:r>
          </w:p>
        </w:tc>
        <w:tc>
          <w:tcPr>
            <w:tcW w:w="282" w:type="pct"/>
            <w:tcBorders>
              <w:top w:val="nil"/>
              <w:left w:val="nil"/>
              <w:bottom w:val="nil"/>
              <w:right w:val="nil"/>
            </w:tcBorders>
            <w:shd w:val="clear" w:color="auto" w:fill="auto"/>
            <w:noWrap/>
            <w:vAlign w:val="center"/>
            <w:hideMark/>
          </w:tcPr>
          <w:p w14:paraId="2EE1958F" w14:textId="77777777" w:rsidR="00B66CC3" w:rsidRPr="004A5BF7" w:rsidRDefault="00B66CC3" w:rsidP="00B66CC3">
            <w:pPr>
              <w:spacing w:before="0" w:after="0"/>
              <w:jc w:val="center"/>
              <w:rPr>
                <w:rFonts w:cs="Arial"/>
                <w:sz w:val="18"/>
                <w:szCs w:val="18"/>
              </w:rPr>
            </w:pPr>
            <w:r w:rsidRPr="004A5BF7">
              <w:rPr>
                <w:rFonts w:cs="Arial"/>
                <w:sz w:val="18"/>
                <w:szCs w:val="18"/>
              </w:rPr>
              <w:t>13</w:t>
            </w:r>
          </w:p>
        </w:tc>
      </w:tr>
      <w:tr w:rsidR="00B66CC3" w:rsidRPr="00E9409C" w14:paraId="4ACEC4E8" w14:textId="77777777" w:rsidTr="00B66CC3">
        <w:trPr>
          <w:trHeight w:val="454"/>
        </w:trPr>
        <w:tc>
          <w:tcPr>
            <w:tcW w:w="617" w:type="pct"/>
            <w:tcBorders>
              <w:top w:val="nil"/>
              <w:left w:val="nil"/>
              <w:bottom w:val="nil"/>
              <w:right w:val="nil"/>
            </w:tcBorders>
            <w:shd w:val="clear" w:color="auto" w:fill="auto"/>
            <w:noWrap/>
            <w:vAlign w:val="center"/>
            <w:hideMark/>
          </w:tcPr>
          <w:p w14:paraId="0D9C14DC" w14:textId="77777777" w:rsidR="00B66CC3" w:rsidRPr="004A5BF7" w:rsidRDefault="00B66CC3" w:rsidP="004A5BF7">
            <w:pPr>
              <w:spacing w:before="0" w:after="0"/>
              <w:jc w:val="left"/>
              <w:rPr>
                <w:rFonts w:cs="Arial"/>
                <w:sz w:val="18"/>
                <w:szCs w:val="18"/>
              </w:rPr>
            </w:pPr>
            <w:r w:rsidRPr="004A5BF7">
              <w:rPr>
                <w:rFonts w:cs="Arial"/>
                <w:sz w:val="18"/>
                <w:szCs w:val="18"/>
              </w:rPr>
              <w:t>Proserpine</w:t>
            </w:r>
          </w:p>
        </w:tc>
        <w:tc>
          <w:tcPr>
            <w:tcW w:w="723" w:type="pct"/>
            <w:tcBorders>
              <w:top w:val="nil"/>
              <w:left w:val="nil"/>
              <w:bottom w:val="nil"/>
              <w:right w:val="nil"/>
            </w:tcBorders>
            <w:shd w:val="clear" w:color="auto" w:fill="auto"/>
            <w:noWrap/>
            <w:vAlign w:val="center"/>
            <w:hideMark/>
          </w:tcPr>
          <w:p w14:paraId="37D8E2F6" w14:textId="41BAD191" w:rsidR="00B66CC3" w:rsidRPr="004A5BF7" w:rsidRDefault="00B66CC3" w:rsidP="004A5BF7">
            <w:pPr>
              <w:spacing w:before="0" w:after="0"/>
              <w:jc w:val="left"/>
              <w:rPr>
                <w:rFonts w:cs="Arial"/>
                <w:sz w:val="18"/>
                <w:szCs w:val="18"/>
              </w:rPr>
            </w:pPr>
            <w:r w:rsidRPr="004A5BF7">
              <w:rPr>
                <w:rFonts w:cs="Arial"/>
                <w:sz w:val="18"/>
                <w:szCs w:val="18"/>
              </w:rPr>
              <w:t>Mackay</w:t>
            </w:r>
            <w:r w:rsidR="000E764B">
              <w:rPr>
                <w:rFonts w:cs="Arial"/>
                <w:sz w:val="18"/>
                <w:szCs w:val="18"/>
              </w:rPr>
              <w:t xml:space="preserve"> </w:t>
            </w:r>
            <w:r w:rsidRPr="004A5BF7">
              <w:rPr>
                <w:rFonts w:cs="Arial"/>
                <w:sz w:val="18"/>
                <w:szCs w:val="18"/>
              </w:rPr>
              <w:t>Whitsunday</w:t>
            </w:r>
          </w:p>
        </w:tc>
        <w:tc>
          <w:tcPr>
            <w:tcW w:w="281" w:type="pct"/>
            <w:tcBorders>
              <w:top w:val="nil"/>
              <w:left w:val="nil"/>
              <w:bottom w:val="nil"/>
              <w:right w:val="nil"/>
            </w:tcBorders>
            <w:shd w:val="clear" w:color="auto" w:fill="auto"/>
            <w:noWrap/>
            <w:vAlign w:val="center"/>
            <w:hideMark/>
          </w:tcPr>
          <w:p w14:paraId="1687C333" w14:textId="77777777" w:rsidR="00B66CC3" w:rsidRPr="004A5BF7" w:rsidRDefault="00B66CC3" w:rsidP="00B66CC3">
            <w:pPr>
              <w:spacing w:before="0" w:after="0"/>
              <w:jc w:val="center"/>
              <w:rPr>
                <w:rFonts w:cs="Arial"/>
                <w:sz w:val="18"/>
                <w:szCs w:val="18"/>
              </w:rPr>
            </w:pPr>
            <w:r w:rsidRPr="004A5BF7">
              <w:rPr>
                <w:rFonts w:cs="Arial"/>
                <w:sz w:val="18"/>
                <w:szCs w:val="18"/>
              </w:rPr>
              <w:t>755</w:t>
            </w:r>
          </w:p>
        </w:tc>
        <w:tc>
          <w:tcPr>
            <w:tcW w:w="281" w:type="pct"/>
            <w:tcBorders>
              <w:top w:val="nil"/>
              <w:left w:val="nil"/>
              <w:bottom w:val="nil"/>
              <w:right w:val="nil"/>
            </w:tcBorders>
            <w:shd w:val="clear" w:color="auto" w:fill="auto"/>
            <w:noWrap/>
            <w:vAlign w:val="center"/>
            <w:hideMark/>
          </w:tcPr>
          <w:p w14:paraId="7158281B" w14:textId="77777777" w:rsidR="00B66CC3" w:rsidRPr="004A5BF7" w:rsidRDefault="00B66CC3" w:rsidP="00B66CC3">
            <w:pPr>
              <w:spacing w:before="0" w:after="0"/>
              <w:jc w:val="center"/>
              <w:rPr>
                <w:rFonts w:cs="Arial"/>
                <w:sz w:val="18"/>
                <w:szCs w:val="18"/>
              </w:rPr>
            </w:pPr>
            <w:r w:rsidRPr="004A5BF7">
              <w:rPr>
                <w:rFonts w:cs="Arial"/>
                <w:sz w:val="18"/>
                <w:szCs w:val="18"/>
              </w:rPr>
              <w:t>384</w:t>
            </w:r>
          </w:p>
        </w:tc>
        <w:tc>
          <w:tcPr>
            <w:tcW w:w="281" w:type="pct"/>
            <w:tcBorders>
              <w:top w:val="nil"/>
              <w:left w:val="nil"/>
              <w:bottom w:val="nil"/>
              <w:right w:val="nil"/>
            </w:tcBorders>
            <w:shd w:val="clear" w:color="auto" w:fill="auto"/>
            <w:noWrap/>
            <w:vAlign w:val="center"/>
            <w:hideMark/>
          </w:tcPr>
          <w:p w14:paraId="5E0796EE" w14:textId="77777777" w:rsidR="00B66CC3" w:rsidRPr="004A5BF7" w:rsidRDefault="00B66CC3" w:rsidP="00B66CC3">
            <w:pPr>
              <w:spacing w:before="0" w:after="0"/>
              <w:jc w:val="center"/>
              <w:rPr>
                <w:rFonts w:cs="Arial"/>
                <w:sz w:val="18"/>
                <w:szCs w:val="18"/>
              </w:rPr>
            </w:pPr>
            <w:r w:rsidRPr="004A5BF7">
              <w:rPr>
                <w:rFonts w:cs="Arial"/>
                <w:sz w:val="18"/>
                <w:szCs w:val="18"/>
              </w:rPr>
              <w:t>4,338</w:t>
            </w:r>
          </w:p>
        </w:tc>
        <w:tc>
          <w:tcPr>
            <w:tcW w:w="281" w:type="pct"/>
            <w:tcBorders>
              <w:top w:val="nil"/>
              <w:left w:val="nil"/>
              <w:bottom w:val="nil"/>
              <w:right w:val="nil"/>
            </w:tcBorders>
            <w:shd w:val="clear" w:color="auto" w:fill="auto"/>
            <w:noWrap/>
            <w:vAlign w:val="center"/>
            <w:hideMark/>
          </w:tcPr>
          <w:p w14:paraId="643623DE" w14:textId="77777777" w:rsidR="00B66CC3" w:rsidRPr="004A5BF7" w:rsidRDefault="00B66CC3" w:rsidP="00B66CC3">
            <w:pPr>
              <w:spacing w:before="0" w:after="0"/>
              <w:jc w:val="center"/>
              <w:rPr>
                <w:rFonts w:cs="Arial"/>
                <w:sz w:val="18"/>
                <w:szCs w:val="18"/>
              </w:rPr>
            </w:pPr>
            <w:r w:rsidRPr="004A5BF7">
              <w:rPr>
                <w:rFonts w:cs="Arial"/>
                <w:sz w:val="18"/>
                <w:szCs w:val="18"/>
              </w:rPr>
              <w:t>884</w:t>
            </w:r>
          </w:p>
        </w:tc>
        <w:tc>
          <w:tcPr>
            <w:tcW w:w="282" w:type="pct"/>
            <w:tcBorders>
              <w:top w:val="nil"/>
              <w:left w:val="nil"/>
              <w:bottom w:val="nil"/>
              <w:right w:val="nil"/>
            </w:tcBorders>
            <w:shd w:val="clear" w:color="auto" w:fill="auto"/>
            <w:noWrap/>
            <w:vAlign w:val="center"/>
            <w:hideMark/>
          </w:tcPr>
          <w:p w14:paraId="0C0ADBB6" w14:textId="77777777" w:rsidR="00B66CC3" w:rsidRPr="004A5BF7" w:rsidRDefault="00B66CC3" w:rsidP="00B66CC3">
            <w:pPr>
              <w:spacing w:before="0" w:after="0"/>
              <w:jc w:val="center"/>
              <w:rPr>
                <w:rFonts w:cs="Arial"/>
                <w:sz w:val="18"/>
                <w:szCs w:val="18"/>
              </w:rPr>
            </w:pPr>
            <w:r w:rsidRPr="004A5BF7">
              <w:rPr>
                <w:rFonts w:cs="Arial"/>
                <w:sz w:val="18"/>
                <w:szCs w:val="18"/>
              </w:rPr>
              <w:t>7,195</w:t>
            </w:r>
          </w:p>
        </w:tc>
        <w:tc>
          <w:tcPr>
            <w:tcW w:w="281" w:type="pct"/>
            <w:tcBorders>
              <w:top w:val="nil"/>
              <w:left w:val="nil"/>
              <w:bottom w:val="nil"/>
              <w:right w:val="nil"/>
            </w:tcBorders>
            <w:shd w:val="clear" w:color="auto" w:fill="auto"/>
            <w:noWrap/>
            <w:vAlign w:val="center"/>
            <w:hideMark/>
          </w:tcPr>
          <w:p w14:paraId="179B835A" w14:textId="77777777" w:rsidR="00B66CC3" w:rsidRPr="004A5BF7" w:rsidRDefault="00B66CC3" w:rsidP="00B66CC3">
            <w:pPr>
              <w:spacing w:before="0" w:after="0"/>
              <w:jc w:val="center"/>
              <w:rPr>
                <w:rFonts w:cs="Arial"/>
                <w:sz w:val="18"/>
                <w:szCs w:val="18"/>
              </w:rPr>
            </w:pPr>
            <w:r w:rsidRPr="004A5BF7">
              <w:rPr>
                <w:rFonts w:cs="Arial"/>
                <w:sz w:val="18"/>
                <w:szCs w:val="18"/>
              </w:rPr>
              <w:t>14,806</w:t>
            </w:r>
          </w:p>
        </w:tc>
        <w:tc>
          <w:tcPr>
            <w:tcW w:w="281" w:type="pct"/>
            <w:tcBorders>
              <w:top w:val="nil"/>
              <w:left w:val="nil"/>
              <w:bottom w:val="nil"/>
              <w:right w:val="nil"/>
            </w:tcBorders>
            <w:shd w:val="clear" w:color="auto" w:fill="auto"/>
            <w:noWrap/>
            <w:vAlign w:val="center"/>
            <w:hideMark/>
          </w:tcPr>
          <w:p w14:paraId="440AC9F2" w14:textId="77777777" w:rsidR="00B66CC3" w:rsidRPr="004A5BF7" w:rsidRDefault="00B66CC3" w:rsidP="00B66CC3">
            <w:pPr>
              <w:spacing w:before="0" w:after="0"/>
              <w:jc w:val="center"/>
              <w:rPr>
                <w:rFonts w:cs="Arial"/>
                <w:sz w:val="18"/>
                <w:szCs w:val="18"/>
              </w:rPr>
            </w:pPr>
            <w:r w:rsidRPr="004A5BF7">
              <w:rPr>
                <w:rFonts w:cs="Arial"/>
                <w:sz w:val="18"/>
                <w:szCs w:val="18"/>
              </w:rPr>
              <w:t>10,855</w:t>
            </w:r>
          </w:p>
        </w:tc>
        <w:tc>
          <w:tcPr>
            <w:tcW w:w="281" w:type="pct"/>
            <w:tcBorders>
              <w:top w:val="nil"/>
              <w:left w:val="nil"/>
              <w:bottom w:val="nil"/>
              <w:right w:val="nil"/>
            </w:tcBorders>
            <w:shd w:val="clear" w:color="auto" w:fill="auto"/>
            <w:noWrap/>
            <w:vAlign w:val="center"/>
            <w:hideMark/>
          </w:tcPr>
          <w:p w14:paraId="6CF20FDE" w14:textId="77777777" w:rsidR="00B66CC3" w:rsidRPr="004A5BF7" w:rsidRDefault="00B66CC3" w:rsidP="00B66CC3">
            <w:pPr>
              <w:spacing w:before="0" w:after="0"/>
              <w:jc w:val="center"/>
              <w:rPr>
                <w:rFonts w:cs="Arial"/>
                <w:sz w:val="18"/>
                <w:szCs w:val="18"/>
              </w:rPr>
            </w:pPr>
            <w:r w:rsidRPr="004A5BF7">
              <w:rPr>
                <w:rFonts w:cs="Arial"/>
                <w:sz w:val="18"/>
                <w:szCs w:val="18"/>
              </w:rPr>
              <w:t>1,938</w:t>
            </w:r>
          </w:p>
        </w:tc>
        <w:tc>
          <w:tcPr>
            <w:tcW w:w="309" w:type="pct"/>
            <w:tcBorders>
              <w:top w:val="nil"/>
              <w:left w:val="nil"/>
              <w:bottom w:val="nil"/>
              <w:right w:val="nil"/>
            </w:tcBorders>
            <w:shd w:val="clear" w:color="auto" w:fill="auto"/>
            <w:noWrap/>
            <w:vAlign w:val="center"/>
            <w:hideMark/>
          </w:tcPr>
          <w:p w14:paraId="1D57B861" w14:textId="77777777" w:rsidR="00B66CC3" w:rsidRPr="004A5BF7" w:rsidRDefault="00B66CC3" w:rsidP="00B66CC3">
            <w:pPr>
              <w:spacing w:before="0" w:after="0"/>
              <w:jc w:val="center"/>
              <w:rPr>
                <w:rFonts w:cs="Arial"/>
                <w:sz w:val="18"/>
                <w:szCs w:val="18"/>
              </w:rPr>
            </w:pPr>
            <w:r w:rsidRPr="004A5BF7">
              <w:rPr>
                <w:rFonts w:cs="Arial"/>
                <w:sz w:val="18"/>
                <w:szCs w:val="18"/>
              </w:rPr>
              <w:t>6,200</w:t>
            </w:r>
          </w:p>
        </w:tc>
        <w:tc>
          <w:tcPr>
            <w:tcW w:w="273" w:type="pct"/>
            <w:tcBorders>
              <w:top w:val="nil"/>
              <w:left w:val="nil"/>
              <w:bottom w:val="nil"/>
              <w:right w:val="nil"/>
            </w:tcBorders>
            <w:shd w:val="clear" w:color="auto" w:fill="auto"/>
            <w:noWrap/>
            <w:vAlign w:val="center"/>
            <w:hideMark/>
          </w:tcPr>
          <w:p w14:paraId="4949171D" w14:textId="77777777" w:rsidR="00B66CC3" w:rsidRPr="004A5BF7" w:rsidRDefault="00B66CC3" w:rsidP="00B66CC3">
            <w:pPr>
              <w:spacing w:before="0" w:after="0"/>
              <w:jc w:val="center"/>
              <w:rPr>
                <w:rFonts w:cs="Arial"/>
                <w:sz w:val="18"/>
                <w:szCs w:val="18"/>
              </w:rPr>
            </w:pPr>
            <w:r w:rsidRPr="004A5BF7">
              <w:rPr>
                <w:rFonts w:cs="Arial"/>
                <w:sz w:val="18"/>
                <w:szCs w:val="18"/>
              </w:rPr>
              <w:t>3,300</w:t>
            </w:r>
          </w:p>
        </w:tc>
        <w:tc>
          <w:tcPr>
            <w:tcW w:w="273" w:type="pct"/>
            <w:tcBorders>
              <w:top w:val="nil"/>
              <w:left w:val="nil"/>
              <w:bottom w:val="nil"/>
              <w:right w:val="nil"/>
            </w:tcBorders>
            <w:shd w:val="clear" w:color="auto" w:fill="auto"/>
            <w:noWrap/>
            <w:vAlign w:val="center"/>
            <w:hideMark/>
          </w:tcPr>
          <w:p w14:paraId="14087E04" w14:textId="77777777" w:rsidR="00B66CC3" w:rsidRPr="004A5BF7" w:rsidRDefault="00B66CC3" w:rsidP="00B66CC3">
            <w:pPr>
              <w:spacing w:before="0" w:after="0"/>
              <w:jc w:val="center"/>
              <w:rPr>
                <w:rFonts w:cs="Arial"/>
                <w:sz w:val="18"/>
                <w:szCs w:val="18"/>
              </w:rPr>
            </w:pPr>
            <w:r w:rsidRPr="004A5BF7">
              <w:rPr>
                <w:rFonts w:cs="Arial"/>
                <w:sz w:val="18"/>
                <w:szCs w:val="18"/>
              </w:rPr>
              <w:t>2,500</w:t>
            </w:r>
          </w:p>
        </w:tc>
        <w:tc>
          <w:tcPr>
            <w:tcW w:w="273" w:type="pct"/>
            <w:tcBorders>
              <w:top w:val="nil"/>
              <w:left w:val="nil"/>
              <w:bottom w:val="nil"/>
              <w:right w:val="nil"/>
            </w:tcBorders>
            <w:shd w:val="clear" w:color="auto" w:fill="auto"/>
            <w:noWrap/>
            <w:vAlign w:val="center"/>
            <w:hideMark/>
          </w:tcPr>
          <w:p w14:paraId="24D72810" w14:textId="77777777" w:rsidR="00B66CC3" w:rsidRPr="004A5BF7" w:rsidRDefault="00B66CC3" w:rsidP="00B66CC3">
            <w:pPr>
              <w:spacing w:before="0" w:after="0"/>
              <w:jc w:val="center"/>
              <w:rPr>
                <w:rFonts w:cs="Arial"/>
                <w:sz w:val="18"/>
                <w:szCs w:val="18"/>
              </w:rPr>
            </w:pPr>
            <w:r w:rsidRPr="004A5BF7">
              <w:rPr>
                <w:rFonts w:cs="Arial"/>
                <w:sz w:val="18"/>
                <w:szCs w:val="18"/>
              </w:rPr>
              <w:t>220</w:t>
            </w:r>
          </w:p>
        </w:tc>
        <w:tc>
          <w:tcPr>
            <w:tcW w:w="282" w:type="pct"/>
            <w:tcBorders>
              <w:top w:val="nil"/>
              <w:left w:val="nil"/>
              <w:bottom w:val="nil"/>
              <w:right w:val="nil"/>
            </w:tcBorders>
            <w:shd w:val="clear" w:color="auto" w:fill="auto"/>
            <w:noWrap/>
            <w:vAlign w:val="center"/>
            <w:hideMark/>
          </w:tcPr>
          <w:p w14:paraId="6D28A1A9" w14:textId="77777777" w:rsidR="00B66CC3" w:rsidRPr="004A5BF7" w:rsidRDefault="00B66CC3" w:rsidP="00B66CC3">
            <w:pPr>
              <w:spacing w:before="0" w:after="0"/>
              <w:jc w:val="center"/>
              <w:rPr>
                <w:rFonts w:cs="Arial"/>
                <w:sz w:val="18"/>
                <w:szCs w:val="18"/>
              </w:rPr>
            </w:pPr>
            <w:r w:rsidRPr="004A5BF7">
              <w:rPr>
                <w:rFonts w:cs="Arial"/>
                <w:sz w:val="18"/>
                <w:szCs w:val="18"/>
              </w:rPr>
              <w:t>500</w:t>
            </w:r>
          </w:p>
        </w:tc>
      </w:tr>
      <w:tr w:rsidR="00B66CC3" w:rsidRPr="00E9409C" w14:paraId="4EA7B315" w14:textId="77777777" w:rsidTr="00B66CC3">
        <w:trPr>
          <w:trHeight w:val="454"/>
        </w:trPr>
        <w:tc>
          <w:tcPr>
            <w:tcW w:w="617" w:type="pct"/>
            <w:tcBorders>
              <w:top w:val="nil"/>
              <w:left w:val="nil"/>
              <w:bottom w:val="nil"/>
              <w:right w:val="nil"/>
            </w:tcBorders>
            <w:shd w:val="clear" w:color="auto" w:fill="auto"/>
            <w:noWrap/>
            <w:vAlign w:val="center"/>
            <w:hideMark/>
          </w:tcPr>
          <w:p w14:paraId="7964E380" w14:textId="77777777" w:rsidR="00B66CC3" w:rsidRPr="004A5BF7" w:rsidRDefault="00B66CC3" w:rsidP="004A5BF7">
            <w:pPr>
              <w:spacing w:before="0" w:after="0"/>
              <w:jc w:val="left"/>
              <w:rPr>
                <w:rFonts w:cs="Arial"/>
                <w:sz w:val="18"/>
                <w:szCs w:val="18"/>
              </w:rPr>
            </w:pPr>
            <w:r w:rsidRPr="004A5BF7">
              <w:rPr>
                <w:rFonts w:cs="Arial"/>
                <w:sz w:val="18"/>
                <w:szCs w:val="18"/>
              </w:rPr>
              <w:t>O'Connell</w:t>
            </w:r>
          </w:p>
        </w:tc>
        <w:tc>
          <w:tcPr>
            <w:tcW w:w="723" w:type="pct"/>
            <w:tcBorders>
              <w:top w:val="nil"/>
              <w:left w:val="nil"/>
              <w:bottom w:val="nil"/>
              <w:right w:val="nil"/>
            </w:tcBorders>
            <w:shd w:val="clear" w:color="auto" w:fill="auto"/>
            <w:noWrap/>
            <w:vAlign w:val="center"/>
            <w:hideMark/>
          </w:tcPr>
          <w:p w14:paraId="2E78A2EE" w14:textId="37068124" w:rsidR="00B66CC3" w:rsidRPr="004A5BF7" w:rsidRDefault="00B66CC3" w:rsidP="004A5BF7">
            <w:pPr>
              <w:spacing w:before="0" w:after="0"/>
              <w:jc w:val="left"/>
              <w:rPr>
                <w:rFonts w:cs="Arial"/>
                <w:sz w:val="18"/>
                <w:szCs w:val="18"/>
              </w:rPr>
            </w:pPr>
            <w:r w:rsidRPr="004A5BF7">
              <w:rPr>
                <w:rFonts w:cs="Arial"/>
                <w:sz w:val="18"/>
                <w:szCs w:val="18"/>
              </w:rPr>
              <w:t>Mackay</w:t>
            </w:r>
            <w:r w:rsidR="000E764B">
              <w:rPr>
                <w:rFonts w:cs="Arial"/>
                <w:sz w:val="18"/>
                <w:szCs w:val="18"/>
              </w:rPr>
              <w:t xml:space="preserve"> </w:t>
            </w:r>
            <w:r w:rsidRPr="004A5BF7">
              <w:rPr>
                <w:rFonts w:cs="Arial"/>
                <w:sz w:val="18"/>
                <w:szCs w:val="18"/>
              </w:rPr>
              <w:t>Whitsunday</w:t>
            </w:r>
          </w:p>
        </w:tc>
        <w:tc>
          <w:tcPr>
            <w:tcW w:w="281" w:type="pct"/>
            <w:tcBorders>
              <w:top w:val="nil"/>
              <w:left w:val="nil"/>
              <w:bottom w:val="nil"/>
              <w:right w:val="nil"/>
            </w:tcBorders>
            <w:shd w:val="clear" w:color="auto" w:fill="auto"/>
            <w:noWrap/>
            <w:vAlign w:val="center"/>
            <w:hideMark/>
          </w:tcPr>
          <w:p w14:paraId="650F60FF" w14:textId="77777777" w:rsidR="00B66CC3" w:rsidRPr="004A5BF7" w:rsidRDefault="00B66CC3" w:rsidP="00B66CC3">
            <w:pPr>
              <w:spacing w:before="0" w:after="0"/>
              <w:jc w:val="center"/>
              <w:rPr>
                <w:rFonts w:cs="Arial"/>
                <w:sz w:val="18"/>
                <w:szCs w:val="18"/>
              </w:rPr>
            </w:pPr>
            <w:r w:rsidRPr="004A5BF7">
              <w:rPr>
                <w:rFonts w:cs="Arial"/>
                <w:sz w:val="18"/>
                <w:szCs w:val="18"/>
              </w:rPr>
              <w:t>12</w:t>
            </w:r>
          </w:p>
        </w:tc>
        <w:tc>
          <w:tcPr>
            <w:tcW w:w="281" w:type="pct"/>
            <w:tcBorders>
              <w:top w:val="nil"/>
              <w:left w:val="nil"/>
              <w:bottom w:val="nil"/>
              <w:right w:val="nil"/>
            </w:tcBorders>
            <w:shd w:val="clear" w:color="auto" w:fill="auto"/>
            <w:noWrap/>
            <w:vAlign w:val="center"/>
            <w:hideMark/>
          </w:tcPr>
          <w:p w14:paraId="1A08FCFE" w14:textId="77777777" w:rsidR="00B66CC3" w:rsidRPr="004A5BF7" w:rsidRDefault="00B66CC3" w:rsidP="00B66CC3">
            <w:pPr>
              <w:spacing w:before="0" w:after="0"/>
              <w:jc w:val="center"/>
              <w:rPr>
                <w:rFonts w:cs="Arial"/>
                <w:sz w:val="18"/>
                <w:szCs w:val="18"/>
              </w:rPr>
            </w:pPr>
            <w:r w:rsidRPr="004A5BF7">
              <w:rPr>
                <w:rFonts w:cs="Arial"/>
                <w:sz w:val="18"/>
                <w:szCs w:val="18"/>
              </w:rPr>
              <w:t>15</w:t>
            </w:r>
          </w:p>
        </w:tc>
        <w:tc>
          <w:tcPr>
            <w:tcW w:w="281" w:type="pct"/>
            <w:tcBorders>
              <w:top w:val="nil"/>
              <w:left w:val="nil"/>
              <w:bottom w:val="nil"/>
              <w:right w:val="nil"/>
            </w:tcBorders>
            <w:shd w:val="clear" w:color="auto" w:fill="auto"/>
            <w:noWrap/>
            <w:vAlign w:val="center"/>
            <w:hideMark/>
          </w:tcPr>
          <w:p w14:paraId="65DE5465" w14:textId="77777777" w:rsidR="00B66CC3" w:rsidRPr="004A5BF7" w:rsidRDefault="00B66CC3" w:rsidP="00B66CC3">
            <w:pPr>
              <w:spacing w:before="0" w:after="0"/>
              <w:jc w:val="center"/>
              <w:rPr>
                <w:rFonts w:cs="Arial"/>
                <w:sz w:val="18"/>
                <w:szCs w:val="18"/>
              </w:rPr>
            </w:pPr>
            <w:r w:rsidRPr="004A5BF7">
              <w:rPr>
                <w:rFonts w:cs="Arial"/>
                <w:sz w:val="18"/>
                <w:szCs w:val="18"/>
              </w:rPr>
              <w:t>35</w:t>
            </w:r>
          </w:p>
        </w:tc>
        <w:tc>
          <w:tcPr>
            <w:tcW w:w="281" w:type="pct"/>
            <w:tcBorders>
              <w:top w:val="nil"/>
              <w:left w:val="nil"/>
              <w:bottom w:val="nil"/>
              <w:right w:val="nil"/>
            </w:tcBorders>
            <w:shd w:val="clear" w:color="auto" w:fill="auto"/>
            <w:noWrap/>
            <w:vAlign w:val="center"/>
            <w:hideMark/>
          </w:tcPr>
          <w:p w14:paraId="1D588268" w14:textId="77777777" w:rsidR="00B66CC3" w:rsidRPr="004A5BF7" w:rsidRDefault="00B66CC3" w:rsidP="00B66CC3">
            <w:pPr>
              <w:spacing w:before="0" w:after="0"/>
              <w:jc w:val="center"/>
              <w:rPr>
                <w:rFonts w:cs="Arial"/>
                <w:sz w:val="18"/>
                <w:szCs w:val="18"/>
              </w:rPr>
            </w:pPr>
            <w:r w:rsidRPr="004A5BF7">
              <w:rPr>
                <w:rFonts w:cs="Arial"/>
                <w:sz w:val="18"/>
                <w:szCs w:val="18"/>
              </w:rPr>
              <w:t>38</w:t>
            </w:r>
          </w:p>
        </w:tc>
        <w:tc>
          <w:tcPr>
            <w:tcW w:w="282" w:type="pct"/>
            <w:tcBorders>
              <w:top w:val="nil"/>
              <w:left w:val="nil"/>
              <w:bottom w:val="nil"/>
              <w:right w:val="nil"/>
            </w:tcBorders>
            <w:shd w:val="clear" w:color="auto" w:fill="auto"/>
            <w:noWrap/>
            <w:vAlign w:val="center"/>
            <w:hideMark/>
          </w:tcPr>
          <w:p w14:paraId="678F8FD8" w14:textId="77777777" w:rsidR="00B66CC3" w:rsidRPr="004A5BF7" w:rsidRDefault="00B66CC3" w:rsidP="00B66CC3">
            <w:pPr>
              <w:spacing w:before="0" w:after="0"/>
              <w:jc w:val="center"/>
              <w:rPr>
                <w:rFonts w:cs="Arial"/>
                <w:sz w:val="18"/>
                <w:szCs w:val="18"/>
              </w:rPr>
            </w:pPr>
            <w:r w:rsidRPr="004A5BF7">
              <w:rPr>
                <w:rFonts w:cs="Arial"/>
                <w:sz w:val="18"/>
                <w:szCs w:val="18"/>
              </w:rPr>
              <w:t>90</w:t>
            </w:r>
          </w:p>
        </w:tc>
        <w:tc>
          <w:tcPr>
            <w:tcW w:w="281" w:type="pct"/>
            <w:tcBorders>
              <w:top w:val="nil"/>
              <w:left w:val="nil"/>
              <w:bottom w:val="nil"/>
              <w:right w:val="nil"/>
            </w:tcBorders>
            <w:shd w:val="clear" w:color="auto" w:fill="auto"/>
            <w:noWrap/>
            <w:vAlign w:val="center"/>
            <w:hideMark/>
          </w:tcPr>
          <w:p w14:paraId="098E36ED" w14:textId="77777777" w:rsidR="00B66CC3" w:rsidRPr="004A5BF7" w:rsidRDefault="00B66CC3" w:rsidP="00B66CC3">
            <w:pPr>
              <w:spacing w:before="0" w:after="0"/>
              <w:jc w:val="center"/>
              <w:rPr>
                <w:rFonts w:cs="Arial"/>
                <w:sz w:val="18"/>
                <w:szCs w:val="18"/>
              </w:rPr>
            </w:pPr>
            <w:r w:rsidRPr="004A5BF7">
              <w:rPr>
                <w:rFonts w:cs="Arial"/>
                <w:sz w:val="18"/>
                <w:szCs w:val="18"/>
              </w:rPr>
              <w:t>213</w:t>
            </w:r>
          </w:p>
        </w:tc>
        <w:tc>
          <w:tcPr>
            <w:tcW w:w="281" w:type="pct"/>
            <w:tcBorders>
              <w:top w:val="nil"/>
              <w:left w:val="nil"/>
              <w:bottom w:val="nil"/>
              <w:right w:val="nil"/>
            </w:tcBorders>
            <w:shd w:val="clear" w:color="auto" w:fill="auto"/>
            <w:noWrap/>
            <w:vAlign w:val="center"/>
            <w:hideMark/>
          </w:tcPr>
          <w:p w14:paraId="2FDDD354" w14:textId="77777777" w:rsidR="00B66CC3" w:rsidRPr="004A5BF7" w:rsidRDefault="00B66CC3" w:rsidP="00B66CC3">
            <w:pPr>
              <w:spacing w:before="0" w:after="0"/>
              <w:jc w:val="center"/>
              <w:rPr>
                <w:rFonts w:cs="Arial"/>
                <w:sz w:val="18"/>
                <w:szCs w:val="18"/>
              </w:rPr>
            </w:pPr>
            <w:r w:rsidRPr="004A5BF7">
              <w:rPr>
                <w:rFonts w:cs="Arial"/>
                <w:sz w:val="18"/>
                <w:szCs w:val="18"/>
              </w:rPr>
              <w:t>116</w:t>
            </w:r>
          </w:p>
        </w:tc>
        <w:tc>
          <w:tcPr>
            <w:tcW w:w="281" w:type="pct"/>
            <w:tcBorders>
              <w:top w:val="nil"/>
              <w:left w:val="nil"/>
              <w:bottom w:val="nil"/>
              <w:right w:val="nil"/>
            </w:tcBorders>
            <w:shd w:val="clear" w:color="auto" w:fill="auto"/>
            <w:noWrap/>
            <w:vAlign w:val="center"/>
            <w:hideMark/>
          </w:tcPr>
          <w:p w14:paraId="6C00FDF4" w14:textId="77777777" w:rsidR="00B66CC3" w:rsidRPr="004A5BF7" w:rsidRDefault="00B66CC3" w:rsidP="00B66CC3">
            <w:pPr>
              <w:spacing w:before="0" w:after="0"/>
              <w:jc w:val="center"/>
              <w:rPr>
                <w:rFonts w:cs="Arial"/>
                <w:sz w:val="18"/>
                <w:szCs w:val="18"/>
              </w:rPr>
            </w:pPr>
            <w:r w:rsidRPr="004A5BF7">
              <w:rPr>
                <w:rFonts w:cs="Arial"/>
                <w:sz w:val="18"/>
                <w:szCs w:val="18"/>
              </w:rPr>
              <w:t>111</w:t>
            </w:r>
          </w:p>
        </w:tc>
        <w:tc>
          <w:tcPr>
            <w:tcW w:w="309" w:type="pct"/>
            <w:tcBorders>
              <w:top w:val="nil"/>
              <w:left w:val="nil"/>
              <w:bottom w:val="nil"/>
              <w:right w:val="nil"/>
            </w:tcBorders>
            <w:shd w:val="clear" w:color="auto" w:fill="auto"/>
            <w:noWrap/>
            <w:vAlign w:val="center"/>
            <w:hideMark/>
          </w:tcPr>
          <w:p w14:paraId="7D1B5B92" w14:textId="77777777" w:rsidR="00B66CC3" w:rsidRPr="004A5BF7" w:rsidRDefault="00B66CC3" w:rsidP="00B66CC3">
            <w:pPr>
              <w:spacing w:before="0" w:after="0"/>
              <w:jc w:val="center"/>
              <w:rPr>
                <w:rFonts w:cs="Arial"/>
                <w:sz w:val="18"/>
                <w:szCs w:val="18"/>
              </w:rPr>
            </w:pPr>
            <w:r w:rsidRPr="004A5BF7">
              <w:rPr>
                <w:rFonts w:cs="Arial"/>
                <w:sz w:val="18"/>
                <w:szCs w:val="18"/>
              </w:rPr>
              <w:t>204</w:t>
            </w:r>
          </w:p>
        </w:tc>
        <w:tc>
          <w:tcPr>
            <w:tcW w:w="273" w:type="pct"/>
            <w:tcBorders>
              <w:top w:val="nil"/>
              <w:left w:val="nil"/>
              <w:bottom w:val="nil"/>
              <w:right w:val="nil"/>
            </w:tcBorders>
            <w:shd w:val="clear" w:color="auto" w:fill="auto"/>
            <w:noWrap/>
            <w:vAlign w:val="center"/>
            <w:hideMark/>
          </w:tcPr>
          <w:p w14:paraId="1D94D977" w14:textId="77777777" w:rsidR="00B66CC3" w:rsidRPr="004A5BF7" w:rsidRDefault="00B66CC3" w:rsidP="00B66CC3">
            <w:pPr>
              <w:spacing w:before="0" w:after="0"/>
              <w:jc w:val="center"/>
              <w:rPr>
                <w:rFonts w:cs="Arial"/>
                <w:sz w:val="18"/>
                <w:szCs w:val="18"/>
              </w:rPr>
            </w:pPr>
            <w:r w:rsidRPr="004A5BF7">
              <w:rPr>
                <w:rFonts w:cs="Arial"/>
                <w:sz w:val="18"/>
                <w:szCs w:val="18"/>
              </w:rPr>
              <w:t>73</w:t>
            </w:r>
          </w:p>
        </w:tc>
        <w:tc>
          <w:tcPr>
            <w:tcW w:w="273" w:type="pct"/>
            <w:tcBorders>
              <w:top w:val="nil"/>
              <w:left w:val="nil"/>
              <w:bottom w:val="nil"/>
              <w:right w:val="nil"/>
            </w:tcBorders>
            <w:shd w:val="clear" w:color="auto" w:fill="auto"/>
            <w:noWrap/>
            <w:vAlign w:val="center"/>
            <w:hideMark/>
          </w:tcPr>
          <w:p w14:paraId="72677395" w14:textId="77777777" w:rsidR="00B66CC3" w:rsidRPr="004A5BF7" w:rsidRDefault="00B66CC3" w:rsidP="00B66CC3">
            <w:pPr>
              <w:spacing w:before="0" w:after="0"/>
              <w:jc w:val="center"/>
              <w:rPr>
                <w:rFonts w:cs="Arial"/>
                <w:sz w:val="18"/>
                <w:szCs w:val="18"/>
              </w:rPr>
            </w:pPr>
            <w:r w:rsidRPr="004A5BF7">
              <w:rPr>
                <w:rFonts w:cs="Arial"/>
                <w:sz w:val="18"/>
                <w:szCs w:val="18"/>
              </w:rPr>
              <w:t>72</w:t>
            </w:r>
          </w:p>
        </w:tc>
        <w:tc>
          <w:tcPr>
            <w:tcW w:w="273" w:type="pct"/>
            <w:tcBorders>
              <w:top w:val="nil"/>
              <w:left w:val="nil"/>
              <w:bottom w:val="nil"/>
              <w:right w:val="nil"/>
            </w:tcBorders>
            <w:shd w:val="clear" w:color="auto" w:fill="auto"/>
            <w:noWrap/>
            <w:vAlign w:val="center"/>
            <w:hideMark/>
          </w:tcPr>
          <w:p w14:paraId="05CA14AB" w14:textId="77777777" w:rsidR="00B66CC3" w:rsidRPr="004A5BF7" w:rsidRDefault="00B66CC3" w:rsidP="00B66CC3">
            <w:pPr>
              <w:spacing w:before="0" w:after="0"/>
              <w:jc w:val="center"/>
              <w:rPr>
                <w:rFonts w:cs="Arial"/>
                <w:sz w:val="18"/>
                <w:szCs w:val="18"/>
              </w:rPr>
            </w:pPr>
            <w:r w:rsidRPr="004A5BF7">
              <w:rPr>
                <w:rFonts w:cs="Arial"/>
                <w:sz w:val="18"/>
                <w:szCs w:val="18"/>
              </w:rPr>
              <w:t>70</w:t>
            </w:r>
          </w:p>
        </w:tc>
        <w:tc>
          <w:tcPr>
            <w:tcW w:w="282" w:type="pct"/>
            <w:tcBorders>
              <w:top w:val="nil"/>
              <w:left w:val="nil"/>
              <w:bottom w:val="nil"/>
              <w:right w:val="nil"/>
            </w:tcBorders>
            <w:shd w:val="clear" w:color="auto" w:fill="auto"/>
            <w:noWrap/>
            <w:vAlign w:val="center"/>
            <w:hideMark/>
          </w:tcPr>
          <w:p w14:paraId="34878936" w14:textId="77777777" w:rsidR="00B66CC3" w:rsidRPr="004A5BF7" w:rsidRDefault="00B66CC3" w:rsidP="00B66CC3">
            <w:pPr>
              <w:spacing w:before="0" w:after="0"/>
              <w:jc w:val="center"/>
              <w:rPr>
                <w:rFonts w:cs="Arial"/>
                <w:sz w:val="18"/>
                <w:szCs w:val="18"/>
              </w:rPr>
            </w:pPr>
            <w:r w:rsidRPr="004A5BF7">
              <w:rPr>
                <w:rFonts w:cs="Arial"/>
                <w:sz w:val="18"/>
                <w:szCs w:val="18"/>
              </w:rPr>
              <w:t>11</w:t>
            </w:r>
          </w:p>
        </w:tc>
      </w:tr>
      <w:tr w:rsidR="00B66CC3" w:rsidRPr="00E9409C" w14:paraId="73BCF686" w14:textId="77777777" w:rsidTr="00B66CC3">
        <w:trPr>
          <w:trHeight w:val="454"/>
        </w:trPr>
        <w:tc>
          <w:tcPr>
            <w:tcW w:w="617" w:type="pct"/>
            <w:tcBorders>
              <w:top w:val="nil"/>
              <w:left w:val="nil"/>
              <w:bottom w:val="nil"/>
              <w:right w:val="nil"/>
            </w:tcBorders>
            <w:shd w:val="clear" w:color="auto" w:fill="auto"/>
            <w:noWrap/>
            <w:vAlign w:val="center"/>
            <w:hideMark/>
          </w:tcPr>
          <w:p w14:paraId="128E1E00" w14:textId="77777777" w:rsidR="00B66CC3" w:rsidRPr="004A5BF7" w:rsidRDefault="00B66CC3" w:rsidP="004A5BF7">
            <w:pPr>
              <w:spacing w:before="0" w:after="0"/>
              <w:jc w:val="left"/>
              <w:rPr>
                <w:rFonts w:cs="Arial"/>
                <w:sz w:val="18"/>
                <w:szCs w:val="18"/>
              </w:rPr>
            </w:pPr>
            <w:r w:rsidRPr="004A5BF7">
              <w:rPr>
                <w:rFonts w:cs="Arial"/>
                <w:sz w:val="18"/>
                <w:szCs w:val="18"/>
              </w:rPr>
              <w:t>Pioneer</w:t>
            </w:r>
          </w:p>
        </w:tc>
        <w:tc>
          <w:tcPr>
            <w:tcW w:w="723" w:type="pct"/>
            <w:tcBorders>
              <w:top w:val="nil"/>
              <w:left w:val="nil"/>
              <w:bottom w:val="nil"/>
              <w:right w:val="nil"/>
            </w:tcBorders>
            <w:shd w:val="clear" w:color="auto" w:fill="auto"/>
            <w:noWrap/>
            <w:vAlign w:val="center"/>
            <w:hideMark/>
          </w:tcPr>
          <w:p w14:paraId="712192A8" w14:textId="0F951746" w:rsidR="00B66CC3" w:rsidRPr="004A5BF7" w:rsidRDefault="00B66CC3" w:rsidP="004A5BF7">
            <w:pPr>
              <w:spacing w:before="0" w:after="0"/>
              <w:jc w:val="left"/>
              <w:rPr>
                <w:rFonts w:cs="Arial"/>
                <w:sz w:val="18"/>
                <w:szCs w:val="18"/>
              </w:rPr>
            </w:pPr>
            <w:r w:rsidRPr="004A5BF7">
              <w:rPr>
                <w:rFonts w:cs="Arial"/>
                <w:sz w:val="18"/>
                <w:szCs w:val="18"/>
              </w:rPr>
              <w:t>Mackay</w:t>
            </w:r>
            <w:r w:rsidR="000E764B">
              <w:rPr>
                <w:rFonts w:cs="Arial"/>
                <w:sz w:val="18"/>
                <w:szCs w:val="18"/>
              </w:rPr>
              <w:t xml:space="preserve"> </w:t>
            </w:r>
            <w:r w:rsidRPr="004A5BF7">
              <w:rPr>
                <w:rFonts w:cs="Arial"/>
                <w:sz w:val="18"/>
                <w:szCs w:val="18"/>
              </w:rPr>
              <w:t>Whitsunday</w:t>
            </w:r>
          </w:p>
        </w:tc>
        <w:tc>
          <w:tcPr>
            <w:tcW w:w="281" w:type="pct"/>
            <w:tcBorders>
              <w:top w:val="nil"/>
              <w:left w:val="nil"/>
              <w:bottom w:val="nil"/>
              <w:right w:val="nil"/>
            </w:tcBorders>
            <w:shd w:val="clear" w:color="auto" w:fill="auto"/>
            <w:noWrap/>
            <w:vAlign w:val="center"/>
            <w:hideMark/>
          </w:tcPr>
          <w:p w14:paraId="30041AC3" w14:textId="77777777" w:rsidR="00B66CC3" w:rsidRPr="004A5BF7" w:rsidRDefault="00B66CC3" w:rsidP="00B66CC3">
            <w:pPr>
              <w:spacing w:before="0" w:after="0"/>
              <w:jc w:val="center"/>
              <w:rPr>
                <w:rFonts w:cs="Arial"/>
                <w:sz w:val="18"/>
                <w:szCs w:val="18"/>
              </w:rPr>
            </w:pPr>
            <w:r w:rsidRPr="004A5BF7">
              <w:rPr>
                <w:rFonts w:cs="Arial"/>
                <w:sz w:val="18"/>
                <w:szCs w:val="18"/>
              </w:rPr>
              <w:t>18</w:t>
            </w:r>
          </w:p>
        </w:tc>
        <w:tc>
          <w:tcPr>
            <w:tcW w:w="281" w:type="pct"/>
            <w:tcBorders>
              <w:top w:val="nil"/>
              <w:left w:val="nil"/>
              <w:bottom w:val="nil"/>
              <w:right w:val="nil"/>
            </w:tcBorders>
            <w:shd w:val="clear" w:color="auto" w:fill="auto"/>
            <w:noWrap/>
            <w:vAlign w:val="center"/>
            <w:hideMark/>
          </w:tcPr>
          <w:p w14:paraId="28837BB0" w14:textId="77777777" w:rsidR="00B66CC3" w:rsidRPr="004A5BF7" w:rsidRDefault="00B66CC3" w:rsidP="00B66CC3">
            <w:pPr>
              <w:spacing w:before="0" w:after="0"/>
              <w:jc w:val="center"/>
              <w:rPr>
                <w:rFonts w:cs="Arial"/>
                <w:sz w:val="18"/>
                <w:szCs w:val="18"/>
              </w:rPr>
            </w:pPr>
            <w:r w:rsidRPr="004A5BF7">
              <w:rPr>
                <w:rFonts w:cs="Arial"/>
                <w:sz w:val="18"/>
                <w:szCs w:val="18"/>
              </w:rPr>
              <w:t>18</w:t>
            </w:r>
          </w:p>
        </w:tc>
        <w:tc>
          <w:tcPr>
            <w:tcW w:w="281" w:type="pct"/>
            <w:tcBorders>
              <w:top w:val="nil"/>
              <w:left w:val="nil"/>
              <w:bottom w:val="nil"/>
              <w:right w:val="nil"/>
            </w:tcBorders>
            <w:shd w:val="clear" w:color="auto" w:fill="auto"/>
            <w:noWrap/>
            <w:vAlign w:val="center"/>
            <w:hideMark/>
          </w:tcPr>
          <w:p w14:paraId="572CE867" w14:textId="77777777" w:rsidR="00B66CC3" w:rsidRPr="004A5BF7" w:rsidRDefault="00B66CC3" w:rsidP="00B66CC3">
            <w:pPr>
              <w:spacing w:before="0" w:after="0"/>
              <w:jc w:val="center"/>
              <w:rPr>
                <w:rFonts w:cs="Arial"/>
                <w:sz w:val="18"/>
                <w:szCs w:val="18"/>
              </w:rPr>
            </w:pPr>
            <w:r w:rsidRPr="004A5BF7">
              <w:rPr>
                <w:rFonts w:cs="Arial"/>
                <w:sz w:val="18"/>
                <w:szCs w:val="18"/>
              </w:rPr>
              <w:t>57</w:t>
            </w:r>
          </w:p>
        </w:tc>
        <w:tc>
          <w:tcPr>
            <w:tcW w:w="281" w:type="pct"/>
            <w:tcBorders>
              <w:top w:val="nil"/>
              <w:left w:val="nil"/>
              <w:bottom w:val="nil"/>
              <w:right w:val="nil"/>
            </w:tcBorders>
            <w:shd w:val="clear" w:color="auto" w:fill="auto"/>
            <w:noWrap/>
            <w:vAlign w:val="center"/>
            <w:hideMark/>
          </w:tcPr>
          <w:p w14:paraId="70DC8C9C" w14:textId="77777777" w:rsidR="00B66CC3" w:rsidRPr="004A5BF7" w:rsidRDefault="00B66CC3" w:rsidP="00B66CC3">
            <w:pPr>
              <w:spacing w:before="0" w:after="0"/>
              <w:jc w:val="center"/>
              <w:rPr>
                <w:rFonts w:cs="Arial"/>
                <w:sz w:val="18"/>
                <w:szCs w:val="18"/>
              </w:rPr>
            </w:pPr>
            <w:r w:rsidRPr="004A5BF7">
              <w:rPr>
                <w:rFonts w:cs="Arial"/>
                <w:sz w:val="18"/>
                <w:szCs w:val="18"/>
              </w:rPr>
              <w:t>66</w:t>
            </w:r>
          </w:p>
        </w:tc>
        <w:tc>
          <w:tcPr>
            <w:tcW w:w="282" w:type="pct"/>
            <w:tcBorders>
              <w:top w:val="nil"/>
              <w:left w:val="nil"/>
              <w:bottom w:val="nil"/>
              <w:right w:val="nil"/>
            </w:tcBorders>
            <w:shd w:val="clear" w:color="auto" w:fill="auto"/>
            <w:noWrap/>
            <w:vAlign w:val="center"/>
            <w:hideMark/>
          </w:tcPr>
          <w:p w14:paraId="580B2AAA" w14:textId="77777777" w:rsidR="00B66CC3" w:rsidRPr="004A5BF7" w:rsidRDefault="00B66CC3" w:rsidP="00B66CC3">
            <w:pPr>
              <w:spacing w:before="0" w:after="0"/>
              <w:jc w:val="center"/>
              <w:rPr>
                <w:rFonts w:cs="Arial"/>
                <w:sz w:val="18"/>
                <w:szCs w:val="18"/>
              </w:rPr>
            </w:pPr>
            <w:r w:rsidRPr="004A5BF7">
              <w:rPr>
                <w:rFonts w:cs="Arial"/>
                <w:sz w:val="18"/>
                <w:szCs w:val="18"/>
              </w:rPr>
              <w:t>145</w:t>
            </w:r>
          </w:p>
        </w:tc>
        <w:tc>
          <w:tcPr>
            <w:tcW w:w="281" w:type="pct"/>
            <w:tcBorders>
              <w:top w:val="nil"/>
              <w:left w:val="nil"/>
              <w:bottom w:val="nil"/>
              <w:right w:val="nil"/>
            </w:tcBorders>
            <w:shd w:val="clear" w:color="auto" w:fill="auto"/>
            <w:noWrap/>
            <w:vAlign w:val="center"/>
            <w:hideMark/>
          </w:tcPr>
          <w:p w14:paraId="3F70AE79" w14:textId="77777777" w:rsidR="00B66CC3" w:rsidRPr="004A5BF7" w:rsidRDefault="00B66CC3" w:rsidP="00B66CC3">
            <w:pPr>
              <w:spacing w:before="0" w:after="0"/>
              <w:jc w:val="center"/>
              <w:rPr>
                <w:rFonts w:cs="Arial"/>
                <w:sz w:val="18"/>
                <w:szCs w:val="18"/>
              </w:rPr>
            </w:pPr>
            <w:r w:rsidRPr="004A5BF7">
              <w:rPr>
                <w:rFonts w:cs="Arial"/>
                <w:sz w:val="18"/>
                <w:szCs w:val="18"/>
              </w:rPr>
              <w:t>215</w:t>
            </w:r>
          </w:p>
        </w:tc>
        <w:tc>
          <w:tcPr>
            <w:tcW w:w="281" w:type="pct"/>
            <w:tcBorders>
              <w:top w:val="nil"/>
              <w:left w:val="nil"/>
              <w:bottom w:val="nil"/>
              <w:right w:val="nil"/>
            </w:tcBorders>
            <w:shd w:val="clear" w:color="auto" w:fill="auto"/>
            <w:noWrap/>
            <w:vAlign w:val="center"/>
            <w:hideMark/>
          </w:tcPr>
          <w:p w14:paraId="60E23551" w14:textId="77777777" w:rsidR="00B66CC3" w:rsidRPr="004A5BF7" w:rsidRDefault="00B66CC3" w:rsidP="00B66CC3">
            <w:pPr>
              <w:spacing w:before="0" w:after="0"/>
              <w:jc w:val="center"/>
              <w:rPr>
                <w:rFonts w:cs="Arial"/>
                <w:sz w:val="18"/>
                <w:szCs w:val="18"/>
              </w:rPr>
            </w:pPr>
            <w:r w:rsidRPr="004A5BF7">
              <w:rPr>
                <w:rFonts w:cs="Arial"/>
                <w:sz w:val="18"/>
                <w:szCs w:val="18"/>
              </w:rPr>
              <w:t>170</w:t>
            </w:r>
          </w:p>
        </w:tc>
        <w:tc>
          <w:tcPr>
            <w:tcW w:w="281" w:type="pct"/>
            <w:tcBorders>
              <w:top w:val="nil"/>
              <w:left w:val="nil"/>
              <w:bottom w:val="nil"/>
              <w:right w:val="nil"/>
            </w:tcBorders>
            <w:shd w:val="clear" w:color="auto" w:fill="auto"/>
            <w:noWrap/>
            <w:vAlign w:val="center"/>
            <w:hideMark/>
          </w:tcPr>
          <w:p w14:paraId="61244AB4" w14:textId="77777777" w:rsidR="00B66CC3" w:rsidRPr="004A5BF7" w:rsidRDefault="00B66CC3" w:rsidP="00B66CC3">
            <w:pPr>
              <w:spacing w:before="0" w:after="0"/>
              <w:jc w:val="center"/>
              <w:rPr>
                <w:rFonts w:cs="Arial"/>
                <w:sz w:val="18"/>
                <w:szCs w:val="18"/>
              </w:rPr>
            </w:pPr>
            <w:r w:rsidRPr="004A5BF7">
              <w:rPr>
                <w:rFonts w:cs="Arial"/>
                <w:sz w:val="18"/>
                <w:szCs w:val="18"/>
              </w:rPr>
              <w:t>308</w:t>
            </w:r>
          </w:p>
        </w:tc>
        <w:tc>
          <w:tcPr>
            <w:tcW w:w="309" w:type="pct"/>
            <w:tcBorders>
              <w:top w:val="nil"/>
              <w:left w:val="nil"/>
              <w:bottom w:val="nil"/>
              <w:right w:val="nil"/>
            </w:tcBorders>
            <w:shd w:val="clear" w:color="auto" w:fill="auto"/>
            <w:noWrap/>
            <w:vAlign w:val="center"/>
            <w:hideMark/>
          </w:tcPr>
          <w:p w14:paraId="4852B2E8" w14:textId="77777777" w:rsidR="00B66CC3" w:rsidRPr="004A5BF7" w:rsidRDefault="00B66CC3" w:rsidP="00B66CC3">
            <w:pPr>
              <w:spacing w:before="0" w:after="0"/>
              <w:jc w:val="center"/>
              <w:rPr>
                <w:rFonts w:cs="Arial"/>
                <w:sz w:val="18"/>
                <w:szCs w:val="18"/>
              </w:rPr>
            </w:pPr>
            <w:r w:rsidRPr="004A5BF7">
              <w:rPr>
                <w:rFonts w:cs="Arial"/>
                <w:sz w:val="18"/>
                <w:szCs w:val="18"/>
              </w:rPr>
              <w:t>581</w:t>
            </w:r>
          </w:p>
        </w:tc>
        <w:tc>
          <w:tcPr>
            <w:tcW w:w="273" w:type="pct"/>
            <w:tcBorders>
              <w:top w:val="nil"/>
              <w:left w:val="nil"/>
              <w:bottom w:val="nil"/>
              <w:right w:val="nil"/>
            </w:tcBorders>
            <w:shd w:val="clear" w:color="auto" w:fill="auto"/>
            <w:noWrap/>
            <w:vAlign w:val="center"/>
            <w:hideMark/>
          </w:tcPr>
          <w:p w14:paraId="27A64E1E" w14:textId="77777777" w:rsidR="00B66CC3" w:rsidRPr="004A5BF7" w:rsidRDefault="00B66CC3" w:rsidP="00B66CC3">
            <w:pPr>
              <w:spacing w:before="0" w:after="0"/>
              <w:jc w:val="center"/>
              <w:rPr>
                <w:rFonts w:cs="Arial"/>
                <w:sz w:val="18"/>
                <w:szCs w:val="18"/>
              </w:rPr>
            </w:pPr>
            <w:r w:rsidRPr="004A5BF7">
              <w:rPr>
                <w:rFonts w:cs="Arial"/>
                <w:sz w:val="18"/>
                <w:szCs w:val="18"/>
              </w:rPr>
              <w:t>275</w:t>
            </w:r>
          </w:p>
        </w:tc>
        <w:tc>
          <w:tcPr>
            <w:tcW w:w="273" w:type="pct"/>
            <w:tcBorders>
              <w:top w:val="nil"/>
              <w:left w:val="nil"/>
              <w:bottom w:val="nil"/>
              <w:right w:val="nil"/>
            </w:tcBorders>
            <w:shd w:val="clear" w:color="auto" w:fill="auto"/>
            <w:noWrap/>
            <w:vAlign w:val="center"/>
            <w:hideMark/>
          </w:tcPr>
          <w:p w14:paraId="320F9497" w14:textId="77777777" w:rsidR="00B66CC3" w:rsidRPr="004A5BF7" w:rsidRDefault="00B66CC3" w:rsidP="00B66CC3">
            <w:pPr>
              <w:spacing w:before="0" w:after="0"/>
              <w:jc w:val="center"/>
              <w:rPr>
                <w:rFonts w:cs="Arial"/>
                <w:sz w:val="18"/>
                <w:szCs w:val="18"/>
              </w:rPr>
            </w:pPr>
            <w:r w:rsidRPr="004A5BF7">
              <w:rPr>
                <w:rFonts w:cs="Arial"/>
                <w:sz w:val="18"/>
                <w:szCs w:val="18"/>
              </w:rPr>
              <w:t>104</w:t>
            </w:r>
          </w:p>
        </w:tc>
        <w:tc>
          <w:tcPr>
            <w:tcW w:w="273" w:type="pct"/>
            <w:tcBorders>
              <w:top w:val="nil"/>
              <w:left w:val="nil"/>
              <w:bottom w:val="nil"/>
              <w:right w:val="nil"/>
            </w:tcBorders>
            <w:shd w:val="clear" w:color="auto" w:fill="auto"/>
            <w:noWrap/>
            <w:vAlign w:val="center"/>
            <w:hideMark/>
          </w:tcPr>
          <w:p w14:paraId="1AC42778" w14:textId="77777777" w:rsidR="00B66CC3" w:rsidRPr="004A5BF7" w:rsidRDefault="00B66CC3" w:rsidP="00B66CC3">
            <w:pPr>
              <w:spacing w:before="0" w:after="0"/>
              <w:jc w:val="center"/>
              <w:rPr>
                <w:rFonts w:cs="Arial"/>
                <w:sz w:val="18"/>
                <w:szCs w:val="18"/>
              </w:rPr>
            </w:pPr>
            <w:r w:rsidRPr="004A5BF7">
              <w:rPr>
                <w:rFonts w:cs="Arial"/>
                <w:sz w:val="18"/>
                <w:szCs w:val="18"/>
              </w:rPr>
              <w:t>88</w:t>
            </w:r>
          </w:p>
        </w:tc>
        <w:tc>
          <w:tcPr>
            <w:tcW w:w="282" w:type="pct"/>
            <w:tcBorders>
              <w:top w:val="nil"/>
              <w:left w:val="nil"/>
              <w:bottom w:val="nil"/>
              <w:right w:val="nil"/>
            </w:tcBorders>
            <w:shd w:val="clear" w:color="auto" w:fill="auto"/>
            <w:noWrap/>
            <w:vAlign w:val="center"/>
            <w:hideMark/>
          </w:tcPr>
          <w:p w14:paraId="722AEC6D" w14:textId="77777777" w:rsidR="00B66CC3" w:rsidRPr="004A5BF7" w:rsidRDefault="00B66CC3" w:rsidP="00B66CC3">
            <w:pPr>
              <w:spacing w:before="0" w:after="0"/>
              <w:jc w:val="center"/>
              <w:rPr>
                <w:rFonts w:cs="Arial"/>
                <w:sz w:val="18"/>
                <w:szCs w:val="18"/>
              </w:rPr>
            </w:pPr>
            <w:r w:rsidRPr="004A5BF7">
              <w:rPr>
                <w:rFonts w:cs="Arial"/>
                <w:sz w:val="18"/>
                <w:szCs w:val="18"/>
              </w:rPr>
              <w:t>19</w:t>
            </w:r>
          </w:p>
        </w:tc>
      </w:tr>
      <w:tr w:rsidR="00B66CC3" w:rsidRPr="00E9409C" w14:paraId="09ECF0E2" w14:textId="77777777" w:rsidTr="00B66CC3">
        <w:trPr>
          <w:trHeight w:val="454"/>
        </w:trPr>
        <w:tc>
          <w:tcPr>
            <w:tcW w:w="617" w:type="pct"/>
            <w:tcBorders>
              <w:top w:val="nil"/>
              <w:left w:val="nil"/>
              <w:bottom w:val="nil"/>
              <w:right w:val="nil"/>
            </w:tcBorders>
            <w:shd w:val="clear" w:color="auto" w:fill="auto"/>
            <w:noWrap/>
            <w:vAlign w:val="center"/>
            <w:hideMark/>
          </w:tcPr>
          <w:p w14:paraId="334A664C" w14:textId="77777777" w:rsidR="00B66CC3" w:rsidRPr="004A5BF7" w:rsidRDefault="00B66CC3" w:rsidP="004A5BF7">
            <w:pPr>
              <w:spacing w:before="0" w:after="0"/>
              <w:jc w:val="left"/>
              <w:rPr>
                <w:rFonts w:cs="Arial"/>
                <w:sz w:val="18"/>
                <w:szCs w:val="18"/>
              </w:rPr>
            </w:pPr>
            <w:r w:rsidRPr="004A5BF7">
              <w:rPr>
                <w:rFonts w:cs="Arial"/>
                <w:sz w:val="18"/>
                <w:szCs w:val="18"/>
              </w:rPr>
              <w:t>Plane</w:t>
            </w:r>
          </w:p>
        </w:tc>
        <w:tc>
          <w:tcPr>
            <w:tcW w:w="723" w:type="pct"/>
            <w:tcBorders>
              <w:top w:val="nil"/>
              <w:left w:val="nil"/>
              <w:bottom w:val="nil"/>
              <w:right w:val="nil"/>
            </w:tcBorders>
            <w:shd w:val="clear" w:color="auto" w:fill="auto"/>
            <w:noWrap/>
            <w:vAlign w:val="center"/>
            <w:hideMark/>
          </w:tcPr>
          <w:p w14:paraId="48432F93" w14:textId="65AAA00F" w:rsidR="00B66CC3" w:rsidRPr="004A5BF7" w:rsidRDefault="00B66CC3" w:rsidP="004A5BF7">
            <w:pPr>
              <w:spacing w:before="0" w:after="0"/>
              <w:jc w:val="left"/>
              <w:rPr>
                <w:rFonts w:cs="Arial"/>
                <w:sz w:val="18"/>
                <w:szCs w:val="18"/>
              </w:rPr>
            </w:pPr>
            <w:r w:rsidRPr="004A5BF7">
              <w:rPr>
                <w:rFonts w:cs="Arial"/>
                <w:sz w:val="18"/>
                <w:szCs w:val="18"/>
              </w:rPr>
              <w:t>Mackay</w:t>
            </w:r>
            <w:r w:rsidR="000E764B">
              <w:rPr>
                <w:rFonts w:cs="Arial"/>
                <w:sz w:val="18"/>
                <w:szCs w:val="18"/>
              </w:rPr>
              <w:t xml:space="preserve"> </w:t>
            </w:r>
            <w:r w:rsidRPr="004A5BF7">
              <w:rPr>
                <w:rFonts w:cs="Arial"/>
                <w:sz w:val="18"/>
                <w:szCs w:val="18"/>
              </w:rPr>
              <w:t>Whitsunday</w:t>
            </w:r>
          </w:p>
        </w:tc>
        <w:tc>
          <w:tcPr>
            <w:tcW w:w="281" w:type="pct"/>
            <w:tcBorders>
              <w:top w:val="nil"/>
              <w:left w:val="nil"/>
              <w:bottom w:val="nil"/>
              <w:right w:val="nil"/>
            </w:tcBorders>
            <w:shd w:val="clear" w:color="auto" w:fill="auto"/>
            <w:noWrap/>
            <w:vAlign w:val="center"/>
            <w:hideMark/>
          </w:tcPr>
          <w:p w14:paraId="5484FC8F" w14:textId="77777777" w:rsidR="00B66CC3" w:rsidRPr="004A5BF7" w:rsidRDefault="00B66CC3" w:rsidP="00B66CC3">
            <w:pPr>
              <w:spacing w:before="0" w:after="0"/>
              <w:jc w:val="center"/>
              <w:rPr>
                <w:rFonts w:cs="Arial"/>
                <w:sz w:val="18"/>
                <w:szCs w:val="18"/>
              </w:rPr>
            </w:pPr>
            <w:r w:rsidRPr="004A5BF7">
              <w:rPr>
                <w:rFonts w:cs="Arial"/>
                <w:sz w:val="18"/>
                <w:szCs w:val="18"/>
              </w:rPr>
              <w:t>17</w:t>
            </w:r>
          </w:p>
        </w:tc>
        <w:tc>
          <w:tcPr>
            <w:tcW w:w="281" w:type="pct"/>
            <w:tcBorders>
              <w:top w:val="nil"/>
              <w:left w:val="nil"/>
              <w:bottom w:val="nil"/>
              <w:right w:val="nil"/>
            </w:tcBorders>
            <w:shd w:val="clear" w:color="auto" w:fill="auto"/>
            <w:noWrap/>
            <w:vAlign w:val="center"/>
            <w:hideMark/>
          </w:tcPr>
          <w:p w14:paraId="0CD9D1D8" w14:textId="77777777" w:rsidR="00B66CC3" w:rsidRPr="004A5BF7" w:rsidRDefault="00B66CC3" w:rsidP="00B66CC3">
            <w:pPr>
              <w:spacing w:before="0" w:after="0"/>
              <w:jc w:val="center"/>
              <w:rPr>
                <w:rFonts w:cs="Arial"/>
                <w:sz w:val="18"/>
                <w:szCs w:val="18"/>
              </w:rPr>
            </w:pPr>
            <w:r w:rsidRPr="004A5BF7">
              <w:rPr>
                <w:rFonts w:cs="Arial"/>
                <w:sz w:val="18"/>
                <w:szCs w:val="18"/>
              </w:rPr>
              <w:t>4</w:t>
            </w:r>
          </w:p>
        </w:tc>
        <w:tc>
          <w:tcPr>
            <w:tcW w:w="281" w:type="pct"/>
            <w:tcBorders>
              <w:top w:val="nil"/>
              <w:left w:val="nil"/>
              <w:bottom w:val="nil"/>
              <w:right w:val="nil"/>
            </w:tcBorders>
            <w:shd w:val="clear" w:color="auto" w:fill="auto"/>
            <w:noWrap/>
            <w:vAlign w:val="center"/>
            <w:hideMark/>
          </w:tcPr>
          <w:p w14:paraId="1B54016B" w14:textId="77777777" w:rsidR="00B66CC3" w:rsidRPr="004A5BF7" w:rsidRDefault="00B66CC3" w:rsidP="00B66CC3">
            <w:pPr>
              <w:spacing w:before="0" w:after="0"/>
              <w:jc w:val="center"/>
              <w:rPr>
                <w:rFonts w:cs="Arial"/>
                <w:sz w:val="18"/>
                <w:szCs w:val="18"/>
              </w:rPr>
            </w:pPr>
            <w:r w:rsidRPr="004A5BF7">
              <w:rPr>
                <w:rFonts w:cs="Arial"/>
                <w:sz w:val="18"/>
                <w:szCs w:val="18"/>
              </w:rPr>
              <w:t>33</w:t>
            </w:r>
          </w:p>
        </w:tc>
        <w:tc>
          <w:tcPr>
            <w:tcW w:w="281" w:type="pct"/>
            <w:tcBorders>
              <w:top w:val="nil"/>
              <w:left w:val="nil"/>
              <w:bottom w:val="nil"/>
              <w:right w:val="nil"/>
            </w:tcBorders>
            <w:shd w:val="clear" w:color="auto" w:fill="auto"/>
            <w:noWrap/>
            <w:vAlign w:val="center"/>
            <w:hideMark/>
          </w:tcPr>
          <w:p w14:paraId="00C73753" w14:textId="77777777" w:rsidR="00B66CC3" w:rsidRPr="004A5BF7" w:rsidRDefault="00B66CC3" w:rsidP="00B66CC3">
            <w:pPr>
              <w:spacing w:before="0" w:after="0"/>
              <w:jc w:val="center"/>
              <w:rPr>
                <w:rFonts w:cs="Arial"/>
                <w:sz w:val="18"/>
                <w:szCs w:val="18"/>
              </w:rPr>
            </w:pPr>
            <w:r w:rsidRPr="004A5BF7">
              <w:rPr>
                <w:rFonts w:cs="Arial"/>
                <w:sz w:val="18"/>
                <w:szCs w:val="18"/>
              </w:rPr>
              <w:t>12</w:t>
            </w:r>
          </w:p>
        </w:tc>
        <w:tc>
          <w:tcPr>
            <w:tcW w:w="282" w:type="pct"/>
            <w:tcBorders>
              <w:top w:val="nil"/>
              <w:left w:val="nil"/>
              <w:bottom w:val="nil"/>
              <w:right w:val="nil"/>
            </w:tcBorders>
            <w:shd w:val="clear" w:color="auto" w:fill="auto"/>
            <w:noWrap/>
            <w:vAlign w:val="center"/>
            <w:hideMark/>
          </w:tcPr>
          <w:p w14:paraId="75A20945" w14:textId="77777777" w:rsidR="00B66CC3" w:rsidRPr="004A5BF7" w:rsidRDefault="00B66CC3" w:rsidP="00B66CC3">
            <w:pPr>
              <w:spacing w:before="0" w:after="0"/>
              <w:jc w:val="center"/>
              <w:rPr>
                <w:rFonts w:cs="Arial"/>
                <w:sz w:val="18"/>
                <w:szCs w:val="18"/>
              </w:rPr>
            </w:pPr>
            <w:r w:rsidRPr="004A5BF7">
              <w:rPr>
                <w:rFonts w:cs="Arial"/>
                <w:sz w:val="18"/>
                <w:szCs w:val="18"/>
              </w:rPr>
              <w:t>172</w:t>
            </w:r>
          </w:p>
        </w:tc>
        <w:tc>
          <w:tcPr>
            <w:tcW w:w="281" w:type="pct"/>
            <w:tcBorders>
              <w:top w:val="nil"/>
              <w:left w:val="nil"/>
              <w:bottom w:val="nil"/>
              <w:right w:val="nil"/>
            </w:tcBorders>
            <w:shd w:val="clear" w:color="auto" w:fill="auto"/>
            <w:noWrap/>
            <w:vAlign w:val="center"/>
            <w:hideMark/>
          </w:tcPr>
          <w:p w14:paraId="644A9D04" w14:textId="77777777" w:rsidR="00B66CC3" w:rsidRPr="004A5BF7" w:rsidRDefault="00B66CC3" w:rsidP="00B66CC3">
            <w:pPr>
              <w:spacing w:before="0" w:after="0"/>
              <w:jc w:val="center"/>
              <w:rPr>
                <w:rFonts w:cs="Arial"/>
                <w:sz w:val="18"/>
                <w:szCs w:val="18"/>
              </w:rPr>
            </w:pPr>
            <w:r w:rsidRPr="004A5BF7">
              <w:rPr>
                <w:rFonts w:cs="Arial"/>
                <w:sz w:val="18"/>
                <w:szCs w:val="18"/>
              </w:rPr>
              <w:t>265</w:t>
            </w:r>
          </w:p>
        </w:tc>
        <w:tc>
          <w:tcPr>
            <w:tcW w:w="281" w:type="pct"/>
            <w:tcBorders>
              <w:top w:val="nil"/>
              <w:left w:val="nil"/>
              <w:bottom w:val="nil"/>
              <w:right w:val="nil"/>
            </w:tcBorders>
            <w:shd w:val="clear" w:color="auto" w:fill="auto"/>
            <w:noWrap/>
            <w:vAlign w:val="center"/>
            <w:hideMark/>
          </w:tcPr>
          <w:p w14:paraId="1D769F10" w14:textId="77777777" w:rsidR="00B66CC3" w:rsidRPr="004A5BF7" w:rsidRDefault="00B66CC3" w:rsidP="00B66CC3">
            <w:pPr>
              <w:spacing w:before="0" w:after="0"/>
              <w:jc w:val="center"/>
              <w:rPr>
                <w:rFonts w:cs="Arial"/>
                <w:sz w:val="18"/>
                <w:szCs w:val="18"/>
              </w:rPr>
            </w:pPr>
            <w:r w:rsidRPr="004A5BF7">
              <w:rPr>
                <w:rFonts w:cs="Arial"/>
                <w:sz w:val="18"/>
                <w:szCs w:val="18"/>
              </w:rPr>
              <w:t>175</w:t>
            </w:r>
          </w:p>
        </w:tc>
        <w:tc>
          <w:tcPr>
            <w:tcW w:w="281" w:type="pct"/>
            <w:tcBorders>
              <w:top w:val="nil"/>
              <w:left w:val="nil"/>
              <w:bottom w:val="nil"/>
              <w:right w:val="nil"/>
            </w:tcBorders>
            <w:shd w:val="clear" w:color="auto" w:fill="auto"/>
            <w:noWrap/>
            <w:vAlign w:val="center"/>
            <w:hideMark/>
          </w:tcPr>
          <w:p w14:paraId="6AC0DEE9" w14:textId="77777777" w:rsidR="00B66CC3" w:rsidRPr="004A5BF7" w:rsidRDefault="00B66CC3" w:rsidP="00B66CC3">
            <w:pPr>
              <w:spacing w:before="0" w:after="0"/>
              <w:jc w:val="center"/>
              <w:rPr>
                <w:rFonts w:cs="Arial"/>
                <w:sz w:val="18"/>
                <w:szCs w:val="18"/>
              </w:rPr>
            </w:pPr>
            <w:r w:rsidRPr="004A5BF7">
              <w:rPr>
                <w:rFonts w:cs="Arial"/>
                <w:sz w:val="18"/>
                <w:szCs w:val="18"/>
              </w:rPr>
              <w:t>277</w:t>
            </w:r>
          </w:p>
        </w:tc>
        <w:tc>
          <w:tcPr>
            <w:tcW w:w="309" w:type="pct"/>
            <w:tcBorders>
              <w:top w:val="nil"/>
              <w:left w:val="nil"/>
              <w:bottom w:val="nil"/>
              <w:right w:val="nil"/>
            </w:tcBorders>
            <w:shd w:val="clear" w:color="auto" w:fill="auto"/>
            <w:noWrap/>
            <w:vAlign w:val="center"/>
            <w:hideMark/>
          </w:tcPr>
          <w:p w14:paraId="04347008" w14:textId="77777777" w:rsidR="00B66CC3" w:rsidRPr="004A5BF7" w:rsidRDefault="00B66CC3" w:rsidP="00B66CC3">
            <w:pPr>
              <w:spacing w:before="0" w:after="0"/>
              <w:jc w:val="center"/>
              <w:rPr>
                <w:rFonts w:cs="Arial"/>
                <w:sz w:val="18"/>
                <w:szCs w:val="18"/>
              </w:rPr>
            </w:pPr>
            <w:r w:rsidRPr="004A5BF7">
              <w:rPr>
                <w:rFonts w:cs="Arial"/>
                <w:sz w:val="18"/>
                <w:szCs w:val="18"/>
              </w:rPr>
              <w:t>638</w:t>
            </w:r>
          </w:p>
        </w:tc>
        <w:tc>
          <w:tcPr>
            <w:tcW w:w="273" w:type="pct"/>
            <w:tcBorders>
              <w:top w:val="nil"/>
              <w:left w:val="nil"/>
              <w:bottom w:val="nil"/>
              <w:right w:val="nil"/>
            </w:tcBorders>
            <w:shd w:val="clear" w:color="auto" w:fill="auto"/>
            <w:noWrap/>
            <w:vAlign w:val="center"/>
            <w:hideMark/>
          </w:tcPr>
          <w:p w14:paraId="6ABA9F25" w14:textId="77777777" w:rsidR="00B66CC3" w:rsidRPr="004A5BF7" w:rsidRDefault="00B66CC3" w:rsidP="00B66CC3">
            <w:pPr>
              <w:spacing w:before="0" w:after="0"/>
              <w:jc w:val="center"/>
              <w:rPr>
                <w:rFonts w:cs="Arial"/>
                <w:sz w:val="18"/>
                <w:szCs w:val="18"/>
              </w:rPr>
            </w:pPr>
            <w:r w:rsidRPr="004A5BF7">
              <w:rPr>
                <w:rFonts w:cs="Arial"/>
                <w:sz w:val="18"/>
                <w:szCs w:val="18"/>
              </w:rPr>
              <w:t>276</w:t>
            </w:r>
          </w:p>
        </w:tc>
        <w:tc>
          <w:tcPr>
            <w:tcW w:w="273" w:type="pct"/>
            <w:tcBorders>
              <w:top w:val="nil"/>
              <w:left w:val="nil"/>
              <w:bottom w:val="nil"/>
              <w:right w:val="nil"/>
            </w:tcBorders>
            <w:shd w:val="clear" w:color="auto" w:fill="auto"/>
            <w:noWrap/>
            <w:vAlign w:val="center"/>
            <w:hideMark/>
          </w:tcPr>
          <w:p w14:paraId="14785025" w14:textId="77777777" w:rsidR="00B66CC3" w:rsidRPr="004A5BF7" w:rsidRDefault="00B66CC3" w:rsidP="00B66CC3">
            <w:pPr>
              <w:spacing w:before="0" w:after="0"/>
              <w:jc w:val="center"/>
              <w:rPr>
                <w:rFonts w:cs="Arial"/>
                <w:sz w:val="18"/>
                <w:szCs w:val="18"/>
              </w:rPr>
            </w:pPr>
            <w:r w:rsidRPr="004A5BF7">
              <w:rPr>
                <w:rFonts w:cs="Arial"/>
                <w:sz w:val="18"/>
                <w:szCs w:val="18"/>
              </w:rPr>
              <w:t>204</w:t>
            </w:r>
          </w:p>
        </w:tc>
        <w:tc>
          <w:tcPr>
            <w:tcW w:w="273" w:type="pct"/>
            <w:tcBorders>
              <w:top w:val="nil"/>
              <w:left w:val="nil"/>
              <w:bottom w:val="nil"/>
              <w:right w:val="nil"/>
            </w:tcBorders>
            <w:shd w:val="clear" w:color="auto" w:fill="auto"/>
            <w:noWrap/>
            <w:vAlign w:val="center"/>
            <w:hideMark/>
          </w:tcPr>
          <w:p w14:paraId="66A75F06" w14:textId="77777777" w:rsidR="00B66CC3" w:rsidRPr="004A5BF7" w:rsidRDefault="00B66CC3" w:rsidP="00B66CC3">
            <w:pPr>
              <w:spacing w:before="0" w:after="0"/>
              <w:jc w:val="center"/>
              <w:rPr>
                <w:rFonts w:cs="Arial"/>
                <w:sz w:val="18"/>
                <w:szCs w:val="18"/>
              </w:rPr>
            </w:pPr>
            <w:r w:rsidRPr="004A5BF7">
              <w:rPr>
                <w:rFonts w:cs="Arial"/>
                <w:sz w:val="18"/>
                <w:szCs w:val="18"/>
              </w:rPr>
              <w:t>112</w:t>
            </w:r>
          </w:p>
        </w:tc>
        <w:tc>
          <w:tcPr>
            <w:tcW w:w="282" w:type="pct"/>
            <w:tcBorders>
              <w:top w:val="nil"/>
              <w:left w:val="nil"/>
              <w:bottom w:val="nil"/>
              <w:right w:val="nil"/>
            </w:tcBorders>
            <w:shd w:val="clear" w:color="auto" w:fill="auto"/>
            <w:noWrap/>
            <w:vAlign w:val="center"/>
            <w:hideMark/>
          </w:tcPr>
          <w:p w14:paraId="3DF5633D" w14:textId="77777777" w:rsidR="00B66CC3" w:rsidRPr="004A5BF7" w:rsidRDefault="00B66CC3" w:rsidP="00B66CC3">
            <w:pPr>
              <w:spacing w:before="0" w:after="0"/>
              <w:jc w:val="center"/>
              <w:rPr>
                <w:rFonts w:cs="Arial"/>
                <w:sz w:val="18"/>
                <w:szCs w:val="18"/>
              </w:rPr>
            </w:pPr>
            <w:r w:rsidRPr="004A5BF7">
              <w:rPr>
                <w:rFonts w:cs="Arial"/>
                <w:sz w:val="18"/>
                <w:szCs w:val="18"/>
              </w:rPr>
              <w:t>23</w:t>
            </w:r>
          </w:p>
        </w:tc>
      </w:tr>
      <w:tr w:rsidR="00B66CC3" w:rsidRPr="00E9409C" w14:paraId="5C1FD657" w14:textId="77777777" w:rsidTr="00B66CC3">
        <w:trPr>
          <w:trHeight w:val="454"/>
        </w:trPr>
        <w:tc>
          <w:tcPr>
            <w:tcW w:w="617" w:type="pct"/>
            <w:tcBorders>
              <w:top w:val="nil"/>
              <w:left w:val="nil"/>
              <w:bottom w:val="nil"/>
              <w:right w:val="nil"/>
            </w:tcBorders>
            <w:shd w:val="clear" w:color="auto" w:fill="auto"/>
            <w:noWrap/>
            <w:vAlign w:val="center"/>
            <w:hideMark/>
          </w:tcPr>
          <w:p w14:paraId="61E1B9C8" w14:textId="77777777" w:rsidR="00B66CC3" w:rsidRPr="004A5BF7" w:rsidRDefault="00B66CC3" w:rsidP="004A5BF7">
            <w:pPr>
              <w:spacing w:before="0" w:after="0"/>
              <w:jc w:val="left"/>
              <w:rPr>
                <w:rFonts w:cs="Arial"/>
                <w:sz w:val="18"/>
                <w:szCs w:val="18"/>
              </w:rPr>
            </w:pPr>
            <w:r w:rsidRPr="004A5BF7">
              <w:rPr>
                <w:rFonts w:cs="Arial"/>
                <w:sz w:val="18"/>
                <w:szCs w:val="18"/>
              </w:rPr>
              <w:t>Fitzroy</w:t>
            </w:r>
          </w:p>
        </w:tc>
        <w:tc>
          <w:tcPr>
            <w:tcW w:w="723" w:type="pct"/>
            <w:tcBorders>
              <w:top w:val="nil"/>
              <w:left w:val="nil"/>
              <w:bottom w:val="nil"/>
              <w:right w:val="nil"/>
            </w:tcBorders>
            <w:shd w:val="clear" w:color="auto" w:fill="auto"/>
            <w:noWrap/>
            <w:vAlign w:val="center"/>
            <w:hideMark/>
          </w:tcPr>
          <w:p w14:paraId="2BA129E4" w14:textId="77777777" w:rsidR="00B66CC3" w:rsidRPr="004A5BF7" w:rsidRDefault="00B66CC3" w:rsidP="004A5BF7">
            <w:pPr>
              <w:spacing w:before="0" w:after="0"/>
              <w:jc w:val="left"/>
              <w:rPr>
                <w:rFonts w:cs="Arial"/>
                <w:sz w:val="18"/>
                <w:szCs w:val="18"/>
              </w:rPr>
            </w:pPr>
            <w:r w:rsidRPr="004A5BF7">
              <w:rPr>
                <w:rFonts w:cs="Arial"/>
                <w:sz w:val="18"/>
                <w:szCs w:val="18"/>
              </w:rPr>
              <w:t>Fitzroy</w:t>
            </w:r>
          </w:p>
        </w:tc>
        <w:tc>
          <w:tcPr>
            <w:tcW w:w="281" w:type="pct"/>
            <w:tcBorders>
              <w:top w:val="nil"/>
              <w:left w:val="nil"/>
              <w:bottom w:val="nil"/>
              <w:right w:val="nil"/>
            </w:tcBorders>
            <w:shd w:val="clear" w:color="auto" w:fill="auto"/>
            <w:noWrap/>
            <w:vAlign w:val="center"/>
            <w:hideMark/>
          </w:tcPr>
          <w:p w14:paraId="60D0C972" w14:textId="77777777" w:rsidR="00B66CC3" w:rsidRPr="004A5BF7" w:rsidRDefault="00B66CC3" w:rsidP="00B66CC3">
            <w:pPr>
              <w:spacing w:before="0" w:after="0"/>
              <w:jc w:val="center"/>
              <w:rPr>
                <w:rFonts w:cs="Arial"/>
                <w:sz w:val="18"/>
                <w:szCs w:val="18"/>
              </w:rPr>
            </w:pPr>
            <w:r w:rsidRPr="004A5BF7">
              <w:rPr>
                <w:rFonts w:cs="Arial"/>
                <w:sz w:val="18"/>
                <w:szCs w:val="18"/>
              </w:rPr>
              <w:t>57</w:t>
            </w:r>
          </w:p>
        </w:tc>
        <w:tc>
          <w:tcPr>
            <w:tcW w:w="281" w:type="pct"/>
            <w:tcBorders>
              <w:top w:val="nil"/>
              <w:left w:val="nil"/>
              <w:bottom w:val="nil"/>
              <w:right w:val="nil"/>
            </w:tcBorders>
            <w:shd w:val="clear" w:color="auto" w:fill="auto"/>
            <w:noWrap/>
            <w:vAlign w:val="center"/>
            <w:hideMark/>
          </w:tcPr>
          <w:p w14:paraId="44CD0E67" w14:textId="77777777" w:rsidR="00B66CC3" w:rsidRPr="004A5BF7" w:rsidRDefault="00B66CC3" w:rsidP="00B66CC3">
            <w:pPr>
              <w:spacing w:before="0" w:after="0"/>
              <w:jc w:val="center"/>
              <w:rPr>
                <w:rFonts w:cs="Arial"/>
                <w:sz w:val="18"/>
                <w:szCs w:val="18"/>
              </w:rPr>
            </w:pPr>
            <w:r w:rsidRPr="004A5BF7">
              <w:rPr>
                <w:rFonts w:cs="Arial"/>
                <w:sz w:val="18"/>
                <w:szCs w:val="18"/>
              </w:rPr>
              <w:t>12</w:t>
            </w:r>
          </w:p>
        </w:tc>
        <w:tc>
          <w:tcPr>
            <w:tcW w:w="281" w:type="pct"/>
            <w:tcBorders>
              <w:top w:val="nil"/>
              <w:left w:val="nil"/>
              <w:bottom w:val="nil"/>
              <w:right w:val="nil"/>
            </w:tcBorders>
            <w:shd w:val="clear" w:color="auto" w:fill="auto"/>
            <w:noWrap/>
            <w:vAlign w:val="center"/>
            <w:hideMark/>
          </w:tcPr>
          <w:p w14:paraId="09AE6627" w14:textId="77777777" w:rsidR="00B66CC3" w:rsidRPr="004A5BF7" w:rsidRDefault="00B66CC3" w:rsidP="00B66CC3">
            <w:pPr>
              <w:spacing w:before="0" w:after="0"/>
              <w:jc w:val="center"/>
              <w:rPr>
                <w:rFonts w:cs="Arial"/>
                <w:sz w:val="18"/>
                <w:szCs w:val="18"/>
              </w:rPr>
            </w:pPr>
            <w:r w:rsidRPr="004A5BF7">
              <w:rPr>
                <w:rFonts w:cs="Arial"/>
                <w:sz w:val="18"/>
                <w:szCs w:val="18"/>
              </w:rPr>
              <w:t>81</w:t>
            </w:r>
          </w:p>
        </w:tc>
        <w:tc>
          <w:tcPr>
            <w:tcW w:w="281" w:type="pct"/>
            <w:tcBorders>
              <w:top w:val="nil"/>
              <w:left w:val="nil"/>
              <w:bottom w:val="nil"/>
              <w:right w:val="nil"/>
            </w:tcBorders>
            <w:shd w:val="clear" w:color="auto" w:fill="auto"/>
            <w:noWrap/>
            <w:vAlign w:val="center"/>
            <w:hideMark/>
          </w:tcPr>
          <w:p w14:paraId="0291ACC1" w14:textId="77777777" w:rsidR="00B66CC3" w:rsidRPr="004A5BF7" w:rsidRDefault="00B66CC3" w:rsidP="00B66CC3">
            <w:pPr>
              <w:spacing w:before="0" w:after="0"/>
              <w:jc w:val="center"/>
              <w:rPr>
                <w:rFonts w:cs="Arial"/>
                <w:sz w:val="18"/>
                <w:szCs w:val="18"/>
              </w:rPr>
            </w:pPr>
            <w:r w:rsidRPr="004A5BF7">
              <w:rPr>
                <w:rFonts w:cs="Arial"/>
                <w:sz w:val="18"/>
                <w:szCs w:val="18"/>
              </w:rPr>
              <w:t>7</w:t>
            </w:r>
          </w:p>
        </w:tc>
        <w:tc>
          <w:tcPr>
            <w:tcW w:w="282" w:type="pct"/>
            <w:tcBorders>
              <w:top w:val="nil"/>
              <w:left w:val="nil"/>
              <w:bottom w:val="nil"/>
              <w:right w:val="nil"/>
            </w:tcBorders>
            <w:shd w:val="clear" w:color="auto" w:fill="auto"/>
            <w:noWrap/>
            <w:vAlign w:val="center"/>
            <w:hideMark/>
          </w:tcPr>
          <w:p w14:paraId="299D1FA3" w14:textId="77777777" w:rsidR="00B66CC3" w:rsidRPr="004A5BF7" w:rsidRDefault="00B66CC3" w:rsidP="00B66CC3">
            <w:pPr>
              <w:spacing w:before="0" w:after="0"/>
              <w:jc w:val="center"/>
              <w:rPr>
                <w:rFonts w:cs="Arial"/>
                <w:sz w:val="18"/>
                <w:szCs w:val="18"/>
              </w:rPr>
            </w:pPr>
            <w:r w:rsidRPr="004A5BF7">
              <w:rPr>
                <w:rFonts w:cs="Arial"/>
                <w:sz w:val="18"/>
                <w:szCs w:val="18"/>
              </w:rPr>
              <w:t>193</w:t>
            </w:r>
          </w:p>
        </w:tc>
        <w:tc>
          <w:tcPr>
            <w:tcW w:w="281" w:type="pct"/>
            <w:tcBorders>
              <w:top w:val="nil"/>
              <w:left w:val="nil"/>
              <w:bottom w:val="nil"/>
              <w:right w:val="nil"/>
            </w:tcBorders>
            <w:shd w:val="clear" w:color="auto" w:fill="auto"/>
            <w:noWrap/>
            <w:vAlign w:val="center"/>
            <w:hideMark/>
          </w:tcPr>
          <w:p w14:paraId="0BD37A8D" w14:textId="77777777" w:rsidR="00B66CC3" w:rsidRPr="004A5BF7" w:rsidRDefault="00B66CC3" w:rsidP="00B66CC3">
            <w:pPr>
              <w:spacing w:before="0" w:after="0"/>
              <w:jc w:val="center"/>
              <w:rPr>
                <w:rFonts w:cs="Arial"/>
                <w:sz w:val="18"/>
                <w:szCs w:val="18"/>
              </w:rPr>
            </w:pPr>
            <w:r w:rsidRPr="004A5BF7">
              <w:rPr>
                <w:rFonts w:cs="Arial"/>
                <w:sz w:val="18"/>
                <w:szCs w:val="18"/>
              </w:rPr>
              <w:t>440</w:t>
            </w:r>
          </w:p>
        </w:tc>
        <w:tc>
          <w:tcPr>
            <w:tcW w:w="281" w:type="pct"/>
            <w:tcBorders>
              <w:top w:val="nil"/>
              <w:left w:val="nil"/>
              <w:bottom w:val="nil"/>
              <w:right w:val="nil"/>
            </w:tcBorders>
            <w:shd w:val="clear" w:color="auto" w:fill="auto"/>
            <w:noWrap/>
            <w:vAlign w:val="center"/>
            <w:hideMark/>
          </w:tcPr>
          <w:p w14:paraId="4B111E88" w14:textId="77777777" w:rsidR="00B66CC3" w:rsidRPr="004A5BF7" w:rsidRDefault="00B66CC3" w:rsidP="00B66CC3">
            <w:pPr>
              <w:spacing w:before="0" w:after="0"/>
              <w:jc w:val="center"/>
              <w:rPr>
                <w:rFonts w:cs="Arial"/>
                <w:sz w:val="18"/>
                <w:szCs w:val="18"/>
              </w:rPr>
            </w:pPr>
            <w:r w:rsidRPr="004A5BF7">
              <w:rPr>
                <w:rFonts w:cs="Arial"/>
                <w:sz w:val="18"/>
                <w:szCs w:val="18"/>
              </w:rPr>
              <w:t>237</w:t>
            </w:r>
          </w:p>
        </w:tc>
        <w:tc>
          <w:tcPr>
            <w:tcW w:w="281" w:type="pct"/>
            <w:tcBorders>
              <w:top w:val="nil"/>
              <w:left w:val="nil"/>
              <w:bottom w:val="nil"/>
              <w:right w:val="nil"/>
            </w:tcBorders>
            <w:shd w:val="clear" w:color="auto" w:fill="auto"/>
            <w:noWrap/>
            <w:vAlign w:val="center"/>
            <w:hideMark/>
          </w:tcPr>
          <w:p w14:paraId="6ACD20CB" w14:textId="77777777" w:rsidR="00B66CC3" w:rsidRPr="004A5BF7" w:rsidRDefault="00B66CC3" w:rsidP="00B66CC3">
            <w:pPr>
              <w:spacing w:before="0" w:after="0"/>
              <w:jc w:val="center"/>
              <w:rPr>
                <w:rFonts w:cs="Arial"/>
                <w:sz w:val="18"/>
                <w:szCs w:val="18"/>
              </w:rPr>
            </w:pPr>
            <w:r w:rsidRPr="004A5BF7">
              <w:rPr>
                <w:rFonts w:cs="Arial"/>
                <w:sz w:val="18"/>
                <w:szCs w:val="18"/>
              </w:rPr>
              <w:t>489</w:t>
            </w:r>
          </w:p>
        </w:tc>
        <w:tc>
          <w:tcPr>
            <w:tcW w:w="309" w:type="pct"/>
            <w:tcBorders>
              <w:top w:val="nil"/>
              <w:left w:val="nil"/>
              <w:bottom w:val="nil"/>
              <w:right w:val="nil"/>
            </w:tcBorders>
            <w:shd w:val="clear" w:color="auto" w:fill="auto"/>
            <w:noWrap/>
            <w:vAlign w:val="center"/>
            <w:hideMark/>
          </w:tcPr>
          <w:p w14:paraId="5A700055" w14:textId="77777777" w:rsidR="00B66CC3" w:rsidRPr="004A5BF7" w:rsidRDefault="00B66CC3" w:rsidP="00B66CC3">
            <w:pPr>
              <w:spacing w:before="0" w:after="0"/>
              <w:jc w:val="center"/>
              <w:rPr>
                <w:rFonts w:cs="Arial"/>
                <w:sz w:val="18"/>
                <w:szCs w:val="18"/>
              </w:rPr>
            </w:pPr>
            <w:r w:rsidRPr="004A5BF7">
              <w:rPr>
                <w:rFonts w:cs="Arial"/>
                <w:sz w:val="18"/>
                <w:szCs w:val="18"/>
              </w:rPr>
              <w:t>833</w:t>
            </w:r>
          </w:p>
        </w:tc>
        <w:tc>
          <w:tcPr>
            <w:tcW w:w="273" w:type="pct"/>
            <w:tcBorders>
              <w:top w:val="nil"/>
              <w:left w:val="nil"/>
              <w:bottom w:val="nil"/>
              <w:right w:val="nil"/>
            </w:tcBorders>
            <w:shd w:val="clear" w:color="auto" w:fill="auto"/>
            <w:noWrap/>
            <w:vAlign w:val="center"/>
            <w:hideMark/>
          </w:tcPr>
          <w:p w14:paraId="15C9AEFF" w14:textId="77777777" w:rsidR="00B66CC3" w:rsidRPr="004A5BF7" w:rsidRDefault="00B66CC3" w:rsidP="00B66CC3">
            <w:pPr>
              <w:spacing w:before="0" w:after="0"/>
              <w:jc w:val="center"/>
              <w:rPr>
                <w:rFonts w:cs="Arial"/>
                <w:sz w:val="18"/>
                <w:szCs w:val="18"/>
              </w:rPr>
            </w:pPr>
            <w:r w:rsidRPr="004A5BF7">
              <w:rPr>
                <w:rFonts w:cs="Arial"/>
                <w:sz w:val="18"/>
                <w:szCs w:val="18"/>
              </w:rPr>
              <w:t>495</w:t>
            </w:r>
          </w:p>
        </w:tc>
        <w:tc>
          <w:tcPr>
            <w:tcW w:w="273" w:type="pct"/>
            <w:tcBorders>
              <w:top w:val="nil"/>
              <w:left w:val="nil"/>
              <w:bottom w:val="nil"/>
              <w:right w:val="nil"/>
            </w:tcBorders>
            <w:shd w:val="clear" w:color="auto" w:fill="auto"/>
            <w:noWrap/>
            <w:vAlign w:val="center"/>
            <w:hideMark/>
          </w:tcPr>
          <w:p w14:paraId="754B389C" w14:textId="77777777" w:rsidR="00B66CC3" w:rsidRPr="004A5BF7" w:rsidRDefault="00B66CC3" w:rsidP="00B66CC3">
            <w:pPr>
              <w:spacing w:before="0" w:after="0"/>
              <w:jc w:val="center"/>
              <w:rPr>
                <w:rFonts w:cs="Arial"/>
                <w:sz w:val="18"/>
                <w:szCs w:val="18"/>
              </w:rPr>
            </w:pPr>
            <w:r w:rsidRPr="004A5BF7">
              <w:rPr>
                <w:rFonts w:cs="Arial"/>
                <w:sz w:val="18"/>
                <w:szCs w:val="18"/>
              </w:rPr>
              <w:t>338</w:t>
            </w:r>
          </w:p>
        </w:tc>
        <w:tc>
          <w:tcPr>
            <w:tcW w:w="273" w:type="pct"/>
            <w:tcBorders>
              <w:top w:val="nil"/>
              <w:left w:val="nil"/>
              <w:bottom w:val="nil"/>
              <w:right w:val="nil"/>
            </w:tcBorders>
            <w:shd w:val="clear" w:color="auto" w:fill="auto"/>
            <w:noWrap/>
            <w:vAlign w:val="center"/>
            <w:hideMark/>
          </w:tcPr>
          <w:p w14:paraId="61C7BFEA" w14:textId="77777777" w:rsidR="00B66CC3" w:rsidRPr="004A5BF7" w:rsidRDefault="00B66CC3" w:rsidP="00B66CC3">
            <w:pPr>
              <w:spacing w:before="0" w:after="0"/>
              <w:jc w:val="center"/>
              <w:rPr>
                <w:rFonts w:cs="Arial"/>
                <w:sz w:val="18"/>
                <w:szCs w:val="18"/>
              </w:rPr>
            </w:pPr>
            <w:r w:rsidRPr="004A5BF7">
              <w:rPr>
                <w:rFonts w:cs="Arial"/>
                <w:sz w:val="18"/>
                <w:szCs w:val="18"/>
              </w:rPr>
              <w:t>128</w:t>
            </w:r>
          </w:p>
        </w:tc>
        <w:tc>
          <w:tcPr>
            <w:tcW w:w="282" w:type="pct"/>
            <w:tcBorders>
              <w:top w:val="nil"/>
              <w:left w:val="nil"/>
              <w:bottom w:val="nil"/>
              <w:right w:val="nil"/>
            </w:tcBorders>
            <w:shd w:val="clear" w:color="auto" w:fill="auto"/>
            <w:noWrap/>
            <w:vAlign w:val="center"/>
            <w:hideMark/>
          </w:tcPr>
          <w:p w14:paraId="471A6EF7" w14:textId="77777777" w:rsidR="00B66CC3" w:rsidRPr="004A5BF7" w:rsidRDefault="00B66CC3" w:rsidP="00B66CC3">
            <w:pPr>
              <w:spacing w:before="0" w:after="0"/>
              <w:jc w:val="center"/>
              <w:rPr>
                <w:rFonts w:cs="Arial"/>
                <w:sz w:val="18"/>
                <w:szCs w:val="18"/>
              </w:rPr>
            </w:pPr>
            <w:r w:rsidRPr="004A5BF7">
              <w:rPr>
                <w:rFonts w:cs="Arial"/>
                <w:sz w:val="18"/>
                <w:szCs w:val="18"/>
              </w:rPr>
              <w:t>41</w:t>
            </w:r>
          </w:p>
        </w:tc>
      </w:tr>
      <w:tr w:rsidR="00B66CC3" w:rsidRPr="00E9409C" w14:paraId="21B35ADC" w14:textId="77777777" w:rsidTr="00B66CC3">
        <w:trPr>
          <w:trHeight w:val="454"/>
        </w:trPr>
        <w:tc>
          <w:tcPr>
            <w:tcW w:w="1340" w:type="pct"/>
            <w:gridSpan w:val="2"/>
            <w:tcBorders>
              <w:top w:val="single" w:sz="4" w:space="0" w:color="auto"/>
              <w:left w:val="nil"/>
              <w:bottom w:val="single" w:sz="4" w:space="0" w:color="auto"/>
              <w:right w:val="nil"/>
            </w:tcBorders>
            <w:shd w:val="clear" w:color="auto" w:fill="auto"/>
            <w:noWrap/>
            <w:vAlign w:val="center"/>
            <w:hideMark/>
          </w:tcPr>
          <w:p w14:paraId="4C6EB4ED" w14:textId="77777777" w:rsidR="00B66CC3" w:rsidRPr="004A5BF7" w:rsidRDefault="00B66CC3" w:rsidP="004A5BF7">
            <w:pPr>
              <w:spacing w:before="0" w:after="0"/>
              <w:jc w:val="left"/>
              <w:rPr>
                <w:rFonts w:cs="Arial"/>
                <w:sz w:val="18"/>
                <w:szCs w:val="18"/>
              </w:rPr>
            </w:pPr>
            <w:r w:rsidRPr="004A5BF7">
              <w:rPr>
                <w:rFonts w:cs="Arial"/>
                <w:sz w:val="18"/>
                <w:szCs w:val="18"/>
              </w:rPr>
              <w:t>Total annual TSS load</w:t>
            </w:r>
          </w:p>
        </w:tc>
        <w:tc>
          <w:tcPr>
            <w:tcW w:w="281" w:type="pct"/>
            <w:tcBorders>
              <w:top w:val="single" w:sz="4" w:space="0" w:color="auto"/>
              <w:left w:val="nil"/>
              <w:bottom w:val="single" w:sz="4" w:space="0" w:color="auto"/>
              <w:right w:val="nil"/>
            </w:tcBorders>
            <w:shd w:val="clear" w:color="auto" w:fill="auto"/>
            <w:noWrap/>
            <w:vAlign w:val="center"/>
            <w:hideMark/>
          </w:tcPr>
          <w:p w14:paraId="4E1FC276" w14:textId="77777777" w:rsidR="00B66CC3" w:rsidRPr="004A5BF7" w:rsidRDefault="00B66CC3" w:rsidP="00B66CC3">
            <w:pPr>
              <w:spacing w:before="0" w:after="0"/>
              <w:jc w:val="center"/>
              <w:rPr>
                <w:rFonts w:cs="Arial"/>
                <w:sz w:val="18"/>
                <w:szCs w:val="18"/>
              </w:rPr>
            </w:pPr>
            <w:r w:rsidRPr="004A5BF7">
              <w:rPr>
                <w:rFonts w:cs="Arial"/>
                <w:sz w:val="18"/>
                <w:szCs w:val="18"/>
              </w:rPr>
              <w:t>7,068</w:t>
            </w:r>
          </w:p>
        </w:tc>
        <w:tc>
          <w:tcPr>
            <w:tcW w:w="281" w:type="pct"/>
            <w:tcBorders>
              <w:top w:val="single" w:sz="4" w:space="0" w:color="auto"/>
              <w:left w:val="nil"/>
              <w:bottom w:val="single" w:sz="4" w:space="0" w:color="auto"/>
              <w:right w:val="nil"/>
            </w:tcBorders>
            <w:shd w:val="clear" w:color="auto" w:fill="auto"/>
            <w:noWrap/>
            <w:vAlign w:val="center"/>
            <w:hideMark/>
          </w:tcPr>
          <w:p w14:paraId="337404F5" w14:textId="77777777" w:rsidR="00B66CC3" w:rsidRPr="004A5BF7" w:rsidRDefault="00B66CC3" w:rsidP="00B66CC3">
            <w:pPr>
              <w:spacing w:before="0" w:after="0"/>
              <w:jc w:val="center"/>
              <w:rPr>
                <w:rFonts w:cs="Arial"/>
                <w:sz w:val="18"/>
                <w:szCs w:val="18"/>
              </w:rPr>
            </w:pPr>
            <w:r w:rsidRPr="004A5BF7">
              <w:rPr>
                <w:rFonts w:cs="Arial"/>
                <w:sz w:val="18"/>
                <w:szCs w:val="18"/>
              </w:rPr>
              <w:t>1,800</w:t>
            </w:r>
          </w:p>
        </w:tc>
        <w:tc>
          <w:tcPr>
            <w:tcW w:w="281" w:type="pct"/>
            <w:tcBorders>
              <w:top w:val="single" w:sz="4" w:space="0" w:color="auto"/>
              <w:left w:val="nil"/>
              <w:bottom w:val="single" w:sz="4" w:space="0" w:color="auto"/>
              <w:right w:val="nil"/>
            </w:tcBorders>
            <w:shd w:val="clear" w:color="auto" w:fill="auto"/>
            <w:noWrap/>
            <w:vAlign w:val="center"/>
            <w:hideMark/>
          </w:tcPr>
          <w:p w14:paraId="04EEE78D" w14:textId="77777777" w:rsidR="00B66CC3" w:rsidRPr="004A5BF7" w:rsidRDefault="00B66CC3" w:rsidP="00B66CC3">
            <w:pPr>
              <w:spacing w:before="0" w:after="0"/>
              <w:jc w:val="center"/>
              <w:rPr>
                <w:rFonts w:cs="Arial"/>
                <w:sz w:val="18"/>
                <w:szCs w:val="18"/>
              </w:rPr>
            </w:pPr>
            <w:r w:rsidRPr="004A5BF7">
              <w:rPr>
                <w:rFonts w:cs="Arial"/>
                <w:sz w:val="18"/>
                <w:szCs w:val="18"/>
              </w:rPr>
              <w:t>600</w:t>
            </w:r>
          </w:p>
        </w:tc>
        <w:tc>
          <w:tcPr>
            <w:tcW w:w="281" w:type="pct"/>
            <w:tcBorders>
              <w:top w:val="single" w:sz="4" w:space="0" w:color="auto"/>
              <w:left w:val="nil"/>
              <w:bottom w:val="single" w:sz="4" w:space="0" w:color="auto"/>
              <w:right w:val="nil"/>
            </w:tcBorders>
            <w:shd w:val="clear" w:color="auto" w:fill="auto"/>
            <w:noWrap/>
            <w:vAlign w:val="center"/>
            <w:hideMark/>
          </w:tcPr>
          <w:p w14:paraId="5C35B6B5" w14:textId="77777777" w:rsidR="00B66CC3" w:rsidRPr="004A5BF7" w:rsidRDefault="00B66CC3" w:rsidP="00B66CC3">
            <w:pPr>
              <w:spacing w:before="0" w:after="0"/>
              <w:jc w:val="center"/>
              <w:rPr>
                <w:rFonts w:cs="Arial"/>
                <w:sz w:val="18"/>
                <w:szCs w:val="18"/>
              </w:rPr>
            </w:pPr>
            <w:r w:rsidRPr="004A5BF7">
              <w:rPr>
                <w:rFonts w:cs="Arial"/>
                <w:sz w:val="18"/>
                <w:szCs w:val="18"/>
              </w:rPr>
              <w:t>250</w:t>
            </w:r>
          </w:p>
        </w:tc>
        <w:tc>
          <w:tcPr>
            <w:tcW w:w="282" w:type="pct"/>
            <w:tcBorders>
              <w:top w:val="single" w:sz="4" w:space="0" w:color="auto"/>
              <w:left w:val="nil"/>
              <w:bottom w:val="single" w:sz="4" w:space="0" w:color="auto"/>
              <w:right w:val="nil"/>
            </w:tcBorders>
            <w:shd w:val="clear" w:color="auto" w:fill="auto"/>
            <w:noWrap/>
            <w:vAlign w:val="center"/>
            <w:hideMark/>
          </w:tcPr>
          <w:p w14:paraId="13AF1739" w14:textId="77777777" w:rsidR="00B66CC3" w:rsidRPr="004A5BF7" w:rsidRDefault="00B66CC3" w:rsidP="00B66CC3">
            <w:pPr>
              <w:spacing w:before="0" w:after="0"/>
              <w:jc w:val="center"/>
              <w:rPr>
                <w:rFonts w:cs="Arial"/>
                <w:sz w:val="18"/>
                <w:szCs w:val="18"/>
              </w:rPr>
            </w:pPr>
            <w:r w:rsidRPr="004A5BF7">
              <w:rPr>
                <w:rFonts w:cs="Arial"/>
                <w:sz w:val="18"/>
                <w:szCs w:val="18"/>
              </w:rPr>
              <w:t>140</w:t>
            </w:r>
          </w:p>
        </w:tc>
        <w:tc>
          <w:tcPr>
            <w:tcW w:w="281" w:type="pct"/>
            <w:tcBorders>
              <w:top w:val="single" w:sz="4" w:space="0" w:color="auto"/>
              <w:left w:val="nil"/>
              <w:bottom w:val="single" w:sz="4" w:space="0" w:color="auto"/>
              <w:right w:val="nil"/>
            </w:tcBorders>
            <w:shd w:val="clear" w:color="auto" w:fill="auto"/>
            <w:noWrap/>
            <w:vAlign w:val="center"/>
            <w:hideMark/>
          </w:tcPr>
          <w:p w14:paraId="3F1A948A" w14:textId="77777777" w:rsidR="00B66CC3" w:rsidRPr="004A5BF7" w:rsidRDefault="00B66CC3" w:rsidP="00B66CC3">
            <w:pPr>
              <w:spacing w:before="0" w:after="0"/>
              <w:jc w:val="center"/>
              <w:rPr>
                <w:rFonts w:cs="Arial"/>
                <w:sz w:val="18"/>
                <w:szCs w:val="18"/>
              </w:rPr>
            </w:pPr>
            <w:r w:rsidRPr="004A5BF7">
              <w:rPr>
                <w:rFonts w:cs="Arial"/>
                <w:sz w:val="18"/>
                <w:szCs w:val="18"/>
              </w:rPr>
              <w:t>425</w:t>
            </w:r>
          </w:p>
        </w:tc>
        <w:tc>
          <w:tcPr>
            <w:tcW w:w="281" w:type="pct"/>
            <w:tcBorders>
              <w:top w:val="single" w:sz="4" w:space="0" w:color="auto"/>
              <w:left w:val="nil"/>
              <w:bottom w:val="single" w:sz="4" w:space="0" w:color="auto"/>
              <w:right w:val="nil"/>
            </w:tcBorders>
            <w:shd w:val="clear" w:color="auto" w:fill="auto"/>
            <w:noWrap/>
            <w:vAlign w:val="center"/>
            <w:hideMark/>
          </w:tcPr>
          <w:p w14:paraId="79C139C3" w14:textId="77777777" w:rsidR="00B66CC3" w:rsidRPr="004A5BF7" w:rsidRDefault="00B66CC3" w:rsidP="00B66CC3">
            <w:pPr>
              <w:spacing w:before="0" w:after="0"/>
              <w:jc w:val="center"/>
              <w:rPr>
                <w:rFonts w:cs="Arial"/>
                <w:sz w:val="18"/>
                <w:szCs w:val="18"/>
              </w:rPr>
            </w:pPr>
            <w:r w:rsidRPr="004A5BF7">
              <w:rPr>
                <w:rFonts w:cs="Arial"/>
                <w:sz w:val="18"/>
                <w:szCs w:val="18"/>
              </w:rPr>
              <w:t>4,530</w:t>
            </w:r>
          </w:p>
        </w:tc>
        <w:tc>
          <w:tcPr>
            <w:tcW w:w="281" w:type="pct"/>
            <w:tcBorders>
              <w:top w:val="single" w:sz="4" w:space="0" w:color="auto"/>
              <w:left w:val="nil"/>
              <w:bottom w:val="single" w:sz="4" w:space="0" w:color="auto"/>
              <w:right w:val="nil"/>
            </w:tcBorders>
            <w:shd w:val="clear" w:color="auto" w:fill="auto"/>
            <w:noWrap/>
            <w:vAlign w:val="center"/>
            <w:hideMark/>
          </w:tcPr>
          <w:p w14:paraId="04D1E08F" w14:textId="77777777" w:rsidR="00B66CC3" w:rsidRPr="004A5BF7" w:rsidRDefault="00B66CC3" w:rsidP="00B66CC3">
            <w:pPr>
              <w:spacing w:before="0" w:after="0"/>
              <w:jc w:val="center"/>
              <w:rPr>
                <w:rFonts w:cs="Arial"/>
                <w:sz w:val="18"/>
                <w:szCs w:val="18"/>
              </w:rPr>
            </w:pPr>
            <w:r w:rsidRPr="004A5BF7">
              <w:rPr>
                <w:rFonts w:cs="Arial"/>
                <w:sz w:val="18"/>
                <w:szCs w:val="18"/>
              </w:rPr>
              <w:t>404</w:t>
            </w:r>
          </w:p>
        </w:tc>
        <w:tc>
          <w:tcPr>
            <w:tcW w:w="309" w:type="pct"/>
            <w:tcBorders>
              <w:top w:val="single" w:sz="4" w:space="0" w:color="auto"/>
              <w:left w:val="nil"/>
              <w:bottom w:val="single" w:sz="4" w:space="0" w:color="auto"/>
              <w:right w:val="nil"/>
            </w:tcBorders>
            <w:shd w:val="clear" w:color="auto" w:fill="auto"/>
            <w:noWrap/>
            <w:vAlign w:val="center"/>
            <w:hideMark/>
          </w:tcPr>
          <w:p w14:paraId="02A08507" w14:textId="77777777" w:rsidR="00B66CC3" w:rsidRPr="004A5BF7" w:rsidRDefault="00B66CC3" w:rsidP="00B66CC3">
            <w:pPr>
              <w:spacing w:before="0" w:after="0"/>
              <w:jc w:val="center"/>
              <w:rPr>
                <w:rFonts w:cs="Arial"/>
                <w:sz w:val="18"/>
                <w:szCs w:val="18"/>
              </w:rPr>
            </w:pPr>
            <w:r w:rsidRPr="004A5BF7">
              <w:rPr>
                <w:rFonts w:cs="Arial"/>
                <w:sz w:val="18"/>
                <w:szCs w:val="18"/>
              </w:rPr>
              <w:t>3,564</w:t>
            </w:r>
          </w:p>
        </w:tc>
        <w:tc>
          <w:tcPr>
            <w:tcW w:w="273" w:type="pct"/>
            <w:tcBorders>
              <w:top w:val="single" w:sz="4" w:space="0" w:color="auto"/>
              <w:left w:val="nil"/>
              <w:bottom w:val="single" w:sz="4" w:space="0" w:color="auto"/>
              <w:right w:val="nil"/>
            </w:tcBorders>
            <w:shd w:val="clear" w:color="auto" w:fill="auto"/>
            <w:noWrap/>
            <w:vAlign w:val="center"/>
            <w:hideMark/>
          </w:tcPr>
          <w:p w14:paraId="631BFE0F" w14:textId="77777777" w:rsidR="00B66CC3" w:rsidRPr="004A5BF7" w:rsidRDefault="00B66CC3" w:rsidP="00B66CC3">
            <w:pPr>
              <w:spacing w:before="0" w:after="0"/>
              <w:jc w:val="center"/>
              <w:rPr>
                <w:rFonts w:cs="Arial"/>
                <w:sz w:val="18"/>
                <w:szCs w:val="18"/>
              </w:rPr>
            </w:pPr>
            <w:r w:rsidRPr="004A5BF7">
              <w:rPr>
                <w:rFonts w:cs="Arial"/>
                <w:sz w:val="18"/>
                <w:szCs w:val="18"/>
              </w:rPr>
              <w:t>7,000</w:t>
            </w:r>
          </w:p>
        </w:tc>
        <w:tc>
          <w:tcPr>
            <w:tcW w:w="273" w:type="pct"/>
            <w:tcBorders>
              <w:top w:val="single" w:sz="4" w:space="0" w:color="auto"/>
              <w:left w:val="nil"/>
              <w:bottom w:val="single" w:sz="4" w:space="0" w:color="auto"/>
              <w:right w:val="nil"/>
            </w:tcBorders>
            <w:shd w:val="clear" w:color="auto" w:fill="auto"/>
            <w:noWrap/>
            <w:vAlign w:val="center"/>
            <w:hideMark/>
          </w:tcPr>
          <w:p w14:paraId="43EE7F36" w14:textId="77777777" w:rsidR="00B66CC3" w:rsidRPr="004A5BF7" w:rsidRDefault="00B66CC3" w:rsidP="00B66CC3">
            <w:pPr>
              <w:spacing w:before="0" w:after="0"/>
              <w:jc w:val="center"/>
              <w:rPr>
                <w:rFonts w:cs="Arial"/>
                <w:sz w:val="18"/>
                <w:szCs w:val="18"/>
              </w:rPr>
            </w:pPr>
            <w:r w:rsidRPr="004A5BF7">
              <w:rPr>
                <w:rFonts w:cs="Arial"/>
                <w:sz w:val="18"/>
                <w:szCs w:val="18"/>
              </w:rPr>
              <w:t>1,320</w:t>
            </w:r>
          </w:p>
        </w:tc>
        <w:tc>
          <w:tcPr>
            <w:tcW w:w="273" w:type="pct"/>
            <w:tcBorders>
              <w:top w:val="single" w:sz="4" w:space="0" w:color="auto"/>
              <w:left w:val="nil"/>
              <w:bottom w:val="single" w:sz="4" w:space="0" w:color="auto"/>
              <w:right w:val="nil"/>
            </w:tcBorders>
            <w:shd w:val="clear" w:color="auto" w:fill="auto"/>
            <w:noWrap/>
            <w:vAlign w:val="center"/>
            <w:hideMark/>
          </w:tcPr>
          <w:p w14:paraId="2F930B77" w14:textId="77777777" w:rsidR="00B66CC3" w:rsidRPr="004A5BF7" w:rsidRDefault="00B66CC3" w:rsidP="00B66CC3">
            <w:pPr>
              <w:spacing w:before="0" w:after="0"/>
              <w:jc w:val="center"/>
              <w:rPr>
                <w:rFonts w:cs="Arial"/>
                <w:sz w:val="18"/>
                <w:szCs w:val="18"/>
              </w:rPr>
            </w:pPr>
            <w:r w:rsidRPr="004A5BF7">
              <w:rPr>
                <w:rFonts w:cs="Arial"/>
                <w:sz w:val="18"/>
                <w:szCs w:val="18"/>
              </w:rPr>
              <w:t>2,500</w:t>
            </w:r>
          </w:p>
        </w:tc>
        <w:tc>
          <w:tcPr>
            <w:tcW w:w="282" w:type="pct"/>
            <w:tcBorders>
              <w:top w:val="single" w:sz="4" w:space="0" w:color="auto"/>
              <w:left w:val="nil"/>
              <w:bottom w:val="single" w:sz="4" w:space="0" w:color="auto"/>
              <w:right w:val="nil"/>
            </w:tcBorders>
            <w:shd w:val="clear" w:color="auto" w:fill="auto"/>
            <w:noWrap/>
            <w:vAlign w:val="center"/>
            <w:hideMark/>
          </w:tcPr>
          <w:p w14:paraId="372BADB2" w14:textId="77777777" w:rsidR="00B66CC3" w:rsidRPr="004A5BF7" w:rsidRDefault="00B66CC3" w:rsidP="00B66CC3">
            <w:pPr>
              <w:spacing w:before="0" w:after="0"/>
              <w:jc w:val="center"/>
              <w:rPr>
                <w:rFonts w:cs="Arial"/>
                <w:sz w:val="18"/>
                <w:szCs w:val="18"/>
              </w:rPr>
            </w:pPr>
            <w:r w:rsidRPr="004A5BF7">
              <w:rPr>
                <w:rFonts w:cs="Arial"/>
                <w:sz w:val="18"/>
                <w:szCs w:val="18"/>
              </w:rPr>
              <w:t>52</w:t>
            </w:r>
          </w:p>
        </w:tc>
      </w:tr>
    </w:tbl>
    <w:p w14:paraId="78B1718D" w14:textId="77777777" w:rsidR="00B66CC3" w:rsidRPr="004A5BF7" w:rsidRDefault="00B66CC3" w:rsidP="00B66CC3">
      <w:pPr>
        <w:rPr>
          <w:rFonts w:cs="Arial"/>
          <w:sz w:val="20"/>
        </w:rPr>
      </w:pPr>
      <w:r w:rsidRPr="00961331">
        <w:rPr>
          <w:rFonts w:cs="Arial"/>
          <w:szCs w:val="22"/>
        </w:rPr>
        <w:t xml:space="preserve">* </w:t>
      </w:r>
      <w:r w:rsidRPr="004A5BF7">
        <w:rPr>
          <w:rFonts w:cs="Arial"/>
          <w:sz w:val="20"/>
        </w:rPr>
        <w:t>Natural Resource Management</w:t>
      </w:r>
    </w:p>
    <w:p w14:paraId="4A5E20F0" w14:textId="77777777" w:rsidR="00B66CC3" w:rsidRPr="00961331" w:rsidRDefault="00B66CC3" w:rsidP="00B66CC3">
      <w:pPr>
        <w:rPr>
          <w:rFonts w:cs="Arial"/>
          <w:szCs w:val="22"/>
        </w:rPr>
        <w:sectPr w:rsidR="00B66CC3" w:rsidRPr="00961331" w:rsidSect="00207F81">
          <w:pgSz w:w="16839" w:h="11907" w:orient="landscape" w:code="9"/>
          <w:pgMar w:top="1440" w:right="1440" w:bottom="1440" w:left="1440" w:header="708" w:footer="708" w:gutter="0"/>
          <w:cols w:space="708"/>
          <w:docGrid w:linePitch="299"/>
        </w:sectPr>
      </w:pPr>
    </w:p>
    <w:p w14:paraId="182274A0" w14:textId="77777777" w:rsidR="00B66CC3" w:rsidRPr="00961331" w:rsidRDefault="00B66CC3" w:rsidP="00B66CC3">
      <w:pPr>
        <w:rPr>
          <w:rFonts w:cs="Arial"/>
          <w:szCs w:val="22"/>
        </w:rPr>
      </w:pPr>
      <w:r w:rsidRPr="00B05E41">
        <w:rPr>
          <w:rFonts w:cs="Arial"/>
          <w:noProof/>
          <w:szCs w:val="22"/>
          <w:lang w:val="en-AU" w:eastAsia="en-AU"/>
        </w:rPr>
        <w:drawing>
          <wp:inline distT="0" distB="0" distL="0" distR="0" wp14:anchorId="50CFA934" wp14:editId="5F424ADE">
            <wp:extent cx="5760000" cy="2336433"/>
            <wp:effectExtent l="0" t="0" r="0" b="6985"/>
            <wp:docPr id="85" name="Picture 85" descr="Plots showing median mass of particulate nitrogen (a) and total suspended solids (b), and their per-cent contribution across the six-colour class. Error bars stand for 95%CI " title="Figure A1 14: Median mass of particulate nitrogen (a) and total suspended solids (b), and their per-cent contribution across the six-colour clas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99" cstate="print">
                      <a:extLst>
                        <a:ext uri="{28A0092B-C50C-407E-A947-70E740481C1C}">
                          <a14:useLocalDpi xmlns:a14="http://schemas.microsoft.com/office/drawing/2010/main" val="0"/>
                        </a:ext>
                      </a:extLst>
                    </a:blip>
                    <a:srcRect/>
                    <a:stretch>
                      <a:fillRect/>
                    </a:stretch>
                  </pic:blipFill>
                  <pic:spPr bwMode="auto">
                    <a:xfrm>
                      <a:off x="0" y="0"/>
                      <a:ext cx="5760000" cy="2336433"/>
                    </a:xfrm>
                    <a:prstGeom prst="rect">
                      <a:avLst/>
                    </a:prstGeom>
                    <a:noFill/>
                  </pic:spPr>
                </pic:pic>
              </a:graphicData>
            </a:graphic>
          </wp:inline>
        </w:drawing>
      </w:r>
    </w:p>
    <w:p w14:paraId="7CE0E501" w14:textId="4C7CE634" w:rsidR="00B66CC3" w:rsidRPr="00961331" w:rsidRDefault="000E764B" w:rsidP="004A5BF7">
      <w:pPr>
        <w:pStyle w:val="Caption"/>
      </w:pPr>
      <w:bookmarkStart w:id="1602" w:name="_Ref450162981"/>
      <w:bookmarkStart w:id="1603" w:name="_Toc459332203"/>
      <w:bookmarkStart w:id="1604" w:name="_Toc461194311"/>
      <w:r>
        <w:t xml:space="preserve">Figure A1 </w:t>
      </w:r>
      <w:r>
        <w:fldChar w:fldCharType="begin"/>
      </w:r>
      <w:r>
        <w:instrText xml:space="preserve"> SEQ Figure_A1 \* ARABIC </w:instrText>
      </w:r>
      <w:r>
        <w:fldChar w:fldCharType="separate"/>
      </w:r>
      <w:r w:rsidR="007F5336">
        <w:rPr>
          <w:noProof/>
        </w:rPr>
        <w:t>14</w:t>
      </w:r>
      <w:r>
        <w:rPr>
          <w:noProof/>
        </w:rPr>
        <w:fldChar w:fldCharType="end"/>
      </w:r>
      <w:r>
        <w:rPr>
          <w:noProof/>
        </w:rPr>
        <w:t xml:space="preserve">: </w:t>
      </w:r>
      <w:bookmarkEnd w:id="1602"/>
      <w:r w:rsidR="00B66CC3" w:rsidRPr="00961331">
        <w:t>Median mass of particulate nitrogen (a) and total suspended solids (b), and their per-cent contribution across the six-colour class. Error bars stand for 95%CI (see text for explanation).</w:t>
      </w:r>
      <w:bookmarkEnd w:id="1603"/>
      <w:bookmarkEnd w:id="1604"/>
    </w:p>
    <w:p w14:paraId="5ABE511F" w14:textId="77777777" w:rsidR="00B66CC3" w:rsidRDefault="00B66CC3" w:rsidP="00E662D3">
      <w:pPr>
        <w:rPr>
          <w:lang w:val="en-AU"/>
        </w:rPr>
      </w:pPr>
    </w:p>
    <w:p w14:paraId="523AF28B" w14:textId="77777777" w:rsidR="00B66CC3" w:rsidRPr="00961331" w:rsidRDefault="00B66CC3" w:rsidP="00B66CC3">
      <w:pPr>
        <w:rPr>
          <w:rFonts w:cs="Arial"/>
          <w:b/>
          <w:szCs w:val="22"/>
        </w:rPr>
      </w:pPr>
      <w:r w:rsidRPr="00961331">
        <w:rPr>
          <w:rFonts w:cs="Arial"/>
          <w:b/>
          <w:szCs w:val="22"/>
        </w:rPr>
        <w:t>General in-situ DIN behaviour in plume waters and a critical overview of the DIN dispersion map modelling.</w:t>
      </w:r>
    </w:p>
    <w:p w14:paraId="3A77A7FF" w14:textId="342AD66B" w:rsidR="00B66CC3" w:rsidRPr="00961331" w:rsidRDefault="00B66CC3" w:rsidP="00B66CC3">
      <w:pPr>
        <w:rPr>
          <w:rFonts w:cs="Arial"/>
          <w:szCs w:val="22"/>
        </w:rPr>
      </w:pPr>
      <w:r w:rsidRPr="00961331">
        <w:rPr>
          <w:rFonts w:cs="Arial"/>
          <w:szCs w:val="22"/>
        </w:rPr>
        <w:t xml:space="preserve">DIN behaviour across the six colour classes presented in </w:t>
      </w:r>
      <w:r w:rsidRPr="00961331">
        <w:rPr>
          <w:rFonts w:cs="Arial"/>
          <w:szCs w:val="22"/>
        </w:rPr>
        <w:fldChar w:fldCharType="begin"/>
      </w:r>
      <w:r w:rsidRPr="00961331">
        <w:rPr>
          <w:rFonts w:cs="Arial"/>
          <w:szCs w:val="22"/>
        </w:rPr>
        <w:instrText xml:space="preserve"> REF _Ref449130369 \h  \* MERGEFORMAT </w:instrText>
      </w:r>
      <w:r w:rsidRPr="00961331">
        <w:rPr>
          <w:rFonts w:cs="Arial"/>
          <w:szCs w:val="22"/>
        </w:rPr>
      </w:r>
      <w:r w:rsidRPr="00961331">
        <w:rPr>
          <w:rFonts w:cs="Arial"/>
          <w:szCs w:val="22"/>
        </w:rPr>
        <w:fldChar w:fldCharType="separate"/>
      </w:r>
      <w:r w:rsidR="007F5336" w:rsidRPr="007F5336">
        <w:rPr>
          <w:rFonts w:cs="Arial"/>
          <w:szCs w:val="22"/>
        </w:rPr>
        <w:t xml:space="preserve">Figure </w:t>
      </w:r>
      <w:r w:rsidR="007F5336" w:rsidRPr="007F5336">
        <w:rPr>
          <w:rFonts w:cs="Arial"/>
          <w:noProof/>
          <w:szCs w:val="22"/>
        </w:rPr>
        <w:t>A1</w:t>
      </w:r>
      <w:r w:rsidR="007F5336">
        <w:t xml:space="preserve"> </w:t>
      </w:r>
      <w:r w:rsidR="007F5336">
        <w:rPr>
          <w:noProof/>
        </w:rPr>
        <w:t>9:</w:t>
      </w:r>
      <w:r w:rsidR="007F5336" w:rsidRPr="00961331">
        <w:t xml:space="preserve"> </w:t>
      </w:r>
      <w:r w:rsidRPr="00961331">
        <w:rPr>
          <w:rFonts w:cs="Arial"/>
          <w:szCs w:val="22"/>
        </w:rPr>
        <w:fldChar w:fldCharType="end"/>
      </w:r>
      <w:r w:rsidRPr="00961331">
        <w:rPr>
          <w:rFonts w:cs="Arial"/>
          <w:szCs w:val="22"/>
        </w:rPr>
        <w:t xml:space="preserve">a show reducing concentrations moving further from the river mouth, mainly due to dispersion and biological uptake. Dissolved inorganic nitrogen in the GBR waters up to salinity 20-25 </w:t>
      </w:r>
      <w:r w:rsidR="00E9409C">
        <w:rPr>
          <w:rFonts w:cs="Arial"/>
          <w:szCs w:val="22"/>
        </w:rPr>
        <w:t xml:space="preserve">ppt </w:t>
      </w:r>
      <w:r w:rsidRPr="00961331">
        <w:rPr>
          <w:rFonts w:cs="Arial"/>
          <w:szCs w:val="22"/>
        </w:rPr>
        <w:t xml:space="preserve">commonly displays conservative mixing behaviour (i.e., dilution) </w:t>
      </w:r>
      <w:r w:rsidRPr="00961331">
        <w:rPr>
          <w:rFonts w:cs="Arial"/>
          <w:szCs w:val="22"/>
        </w:rPr>
        <w:fldChar w:fldCharType="begin"/>
      </w:r>
      <w:r w:rsidRPr="00961331">
        <w:rPr>
          <w:rFonts w:cs="Arial"/>
          <w:szCs w:val="22"/>
        </w:rPr>
        <w:instrText xml:space="preserve"> ADDIN ZOTERO_ITEM CSL_CITATION {"citationID":"6qdmd9paa","properties":{"formattedCitation":"(Devlin and Brodie, 2005)","plainCitation":"(Devlin and Brodie, 2005)"},"citationItems":[{"id":47,"uris":["http://zotero.org/users/2324349/items/2QIUTENW"],"uri":["http://zotero.org/users/2324349/items/2QIUTENW"],"itemData":{"id":47,"type":"article-journal","title":"Terrestrial discharge into the Great Barrier Reef Lagoon: nutrient behavior in coastal waters","container-title":"Marine Pollution Bulletin","collection-title":"Catchment to Reef: Water Quality Issues in the Great Barrier Reef Region","page":"9-22","volume":"51","issue":"1–4","source":"ScienceDirect","abstract":"Pollution of coastal regions of the Great Barrier Reef World Heritage Area (GBRWHA) is dominated by river discharge associated with agricultural development of the adjacent catchments. Runoff of sediment, nutrients and pesticides has sharply increased since European settlement. Since 1991 plumes from river discharge entering the GBRWHA have been mapped by aerial mapping of plume edges and concentrations of contaminants in plumes measured. Plume dispersion is governed primarily by wind speed and direction. Most plumes spread in a band up to 50 km from the coast. Particulate material discharged in the plumes is trapped within 10 km of the coast. Dissolved nutrients disperse much further and elevated nutrient concentrations are measurable at distances of hundreds of kilometres from river mouths. This differential transport of particulate versus dissolved nutrients is important for the potential effects of these materials and management of their generation on the Great Barrier Reef catchment.","DOI":"10.1016/j.marpolbul.2004.10.037","ISSN":"0025-326X","shortTitle":"Terrestrial discharge into the Great Barrier Reef Lagoon","journalAbbreviation":"Marine Pollution Bulletin","author":[{"family":"Devlin","given":"M. J."},{"family":"Brodie","given":"J."}],"issued":{"date-parts":[["2005"]]}}}],"schema":"https://github.com/citation-style-language/schema/raw/master/csl-citation.json"} </w:instrText>
      </w:r>
      <w:r w:rsidRPr="00961331">
        <w:rPr>
          <w:rFonts w:cs="Arial"/>
          <w:szCs w:val="22"/>
        </w:rPr>
        <w:fldChar w:fldCharType="separate"/>
      </w:r>
      <w:r w:rsidRPr="00961331">
        <w:rPr>
          <w:rFonts w:cs="Arial"/>
          <w:szCs w:val="22"/>
        </w:rPr>
        <w:t>(Devlin and Brodie, 2005)</w:t>
      </w:r>
      <w:r w:rsidRPr="00961331">
        <w:rPr>
          <w:rFonts w:cs="Arial"/>
          <w:szCs w:val="22"/>
        </w:rPr>
        <w:fldChar w:fldCharType="end"/>
      </w:r>
      <w:r w:rsidRPr="00961331">
        <w:rPr>
          <w:rFonts w:cs="Arial"/>
          <w:szCs w:val="22"/>
        </w:rPr>
        <w:t>. However, salinity in plume colour-class 2 is 21.0 ± 9.9</w:t>
      </w:r>
      <w:r w:rsidR="00E9409C">
        <w:rPr>
          <w:rFonts w:cs="Arial"/>
          <w:szCs w:val="22"/>
        </w:rPr>
        <w:t xml:space="preserve"> ppt</w:t>
      </w:r>
      <w:r w:rsidRPr="00961331">
        <w:rPr>
          <w:rFonts w:cs="Arial"/>
          <w:szCs w:val="22"/>
        </w:rPr>
        <w:t xml:space="preserve"> (mean ± 1 SD), so the conservative behaviour is taken over by an exponential decay when DIN is considered over the whole plume extent. After classes 2-3, the plume waters experience reduction of suspended sediment and consequently light conditions improve, favouring primary production and DIN consumption </w:t>
      </w:r>
      <w:r w:rsidRPr="00961331">
        <w:rPr>
          <w:rFonts w:cs="Arial"/>
          <w:szCs w:val="22"/>
        </w:rPr>
        <w:fldChar w:fldCharType="begin"/>
      </w:r>
      <w:r w:rsidRPr="00961331">
        <w:rPr>
          <w:rFonts w:cs="Arial"/>
          <w:szCs w:val="22"/>
        </w:rPr>
        <w:instrText xml:space="preserve"> ADDIN ZOTERO_ITEM CSL_CITATION {"citationID":"UczB9K8o","properties":{"formattedCitation":"(Bainbridge et al., 2012; Devlin et al., 2012a, 2012b; Devlin and Brodie, 2005)","plainCitation":"(Bainbridge et al., 2012; Devlin et al., 2012a, 2012b; Devlin and Brodie, 2005)"},"citationItems":[{"id":4,"uris":["http://zotero.org/users/2324349/items/5SVF9VK9"],"uri":["http://zotero.org/users/2324349/items/5SVF9VK9"],"itemData":{"id":4,"type":"article-journal","title":"Fine sediment and nutrient dynamics related to particle size and floc formation in a Burdekin River flood plume, Australia","container-title":"Marine Pollution Bulletin","collection-title":"The Catchment to Reef Continuum: Case studies from the Great Barrier Reef","page":"236-248","volume":"65","issue":"4–9","source":"ScienceDirect","abstract":"The extreme 2010–2011 wet season resulted in highly elevated Burdekin River discharge into the Great Barrier Reef lagoon for a period of 200 days, resulting in a large flood plume extending &amp;gt;50 km offshore and &amp;gt;100 km north during peak conditions. Export of suspended sediment was dominated by clay and fine silt fractions and most sediment initially settled within </w:instrText>
      </w:r>
      <w:r w:rsidRPr="00961331">
        <w:rPr>
          <w:rFonts w:ascii="Cambria Math" w:hAnsi="Cambria Math" w:cs="Cambria Math"/>
          <w:szCs w:val="22"/>
        </w:rPr>
        <w:instrText>∼</w:instrText>
      </w:r>
      <w:r w:rsidRPr="00961331">
        <w:rPr>
          <w:rFonts w:cs="Arial"/>
          <w:szCs w:val="22"/>
        </w:rPr>
        <w:instrText>10 km of the river mouth. Biologically-mediated flocculation of these particles enhanced deposition in the initial low salinity zone. Fine silt and clay particles and nutrients remaining in suspension, were carried as far as 100 km northward from the mouth, binding with planktonic and transparent exopolymer particulate matter to form large floc aggregates (muddy marine snow). These aggregates, due to their sticky nature, likely pose a risk to benthic organisms e.g. coral and seagrass through smothering, and also by contributing to increased turbidity during wind-induced resuspension events.","DOI":"10.1016/j.marpolbul.2012.01.043","ISSN":"0025-326X","journalAbbreviation":"Marine Pollution Bulletin","author":[{"family":"Bainbridge","given":"Zoe T."},{"family":"Wolanski","given":"Eric"},{"family":"Álvarez-Romero","given":"Jorge G."},{"family":"Lewis","given":"Stephen E."},{"family":"Brodie","given":"Jon E."}],"issued":{"date-parts":[["2012"]]}}},{"id":19,"uris":["http://zotero.org/users/2324349/items/Q39GZNEF"],"uri":["http://zotero.org/users/2324349/items/Q39GZNEF"],"itemData":{"id":19,"type":"article-journal","title":"Mapping the pollutants in surface riverine flood plume waters in the Great Barrier Reef, Australia","container-title":"Marine Pollution Bulletin","collection-title":"The Catchment to Reef Continuum: Case studies from the Great Barrier Reef","page":"224-235","volume":"65","issue":"4–9","source":"ScienceDirect","abstract":"The extent of flood plume water over a 10 year period was mapped using quasi-true colour imagery and used to calculate long-term frequency of occurrence of the plumes. The proportional contribution of riverine loads of dissolved inorganic nitrogen, total suspended sediments and Photosystem-II herbicides from each catchment was used to scale the surface exposure maps for each pollutant. A classification procedure was also applied to satellite imagery (only Wet Tropics region) during 11 flood events (2000–2010) through processing of level-2 ocean colour products to discriminate the changing characteristics across three water types: “primary plume water”, characterised by high TSS values; “secondary plume water”, characterised by high phytoplankton production as measured by elevated chlorophyll-a (chl-a), and “tertiary plume water”, characterised by elevated coloured dissolved and detrital matter (CDOM + D). This classification is a first step to characterise flood plumes.","DOI":"10.1016/j.marpolbul.2012.03.001","ISSN":"0025-326X","journalAbbreviation":"Marine Pollution Bulletin","author":[{"family":"Devlin","given":"Michelle"},{"family":"McKinna","given":"L."},{"family":"Álvarez-Romero","given":"J. G."},{"family":"Petus","given":"C."},{"family":"Abott","given":"B."},{"family":"Harkness","given":"P."},{"family":"Brodie","given":"J."}],"issued":{"date-parts":[["2012"]]}}},{"id":25,"uris":["http://zotero.org/users/2324349/items/TRJAN8JF"],"uri":["http://zotero.org/users/2324349/items/TRJAN8JF"],"itemData":{"id":25,"type":"chapter","title":"Monitoring and mapping of flood plumes in the Great Barrier Reef based on in-situ and remote sensing observations.","container-title":"Advances in Environmental Remote Sensing to Monitor Global Changes","publisher":"CRC Press","publisher-place":"Boca Raton","event-place":"Boca Raton","URL":"http://www.nerptropical.edu.au/publication/monitoring-and-mapping-flood-plumes-great-barrier-reef-based-situ-and-remote-sensing","author":[{"family":"Devlin","given":"Michelle"},{"family":"Schroeder","given":"Thomas"},{"family":"McKinna","given":"L."},{"family":"Brodie","given":"Jon"},{"family":"Brando","given":"Vittorio"},{"family":"Dekker","given":"A."}],"issued":{"date-parts":[["2012"]]},"accessed":{"date-parts":[["2015",5,20]]}}},{"id":47,"uris":["http://zotero.org/users/2324349/items/2QIUTENW"],"uri":["http://zotero.org/users/2324349/items/2QIUTENW"],"itemData":{"id":47,"type":"article-journal","title":"Terrestrial discharge into the Great Barrier Reef Lagoon: nutrient behavior in coastal waters","container-title":"Marine Pollution Bulletin","collection-title":"Catchment to Reef: Water Quality Issues in the Gr</w:instrText>
      </w:r>
      <w:r w:rsidRPr="004A5BF7">
        <w:rPr>
          <w:rFonts w:cs="Arial"/>
          <w:szCs w:val="22"/>
          <w:lang w:val="da-DK"/>
        </w:rPr>
        <w:instrText xml:space="preserve">eat Barrier Reef Region","page":"9-22","volume":"51","issue":"1–4","source":"ScienceDirect","abstract":"Pollution of coastal regions of the Great Barrier Reef World Heritage Area (GBRWHA) is dominated by river discharge associated with agricultural development of the adjacent catchments. Runoff of sediment, nutrients and pesticides has sharply increased since European settlement. Since 1991 plumes from river discharge entering the GBRWHA have been mapped by aerial mapping of plume edges and concentrations of contaminants in plumes measured. Plume dispersion is governed primarily by wind speed and direction. Most plumes spread in a band up to 50 km from the coast. Particulate material discharged in the plumes is trapped within 10 km of the coast. Dissolved nutrients disperse much further and elevated nutrient concentrations are measurable at distances of hundreds of kilometres from river mouths. This differential transport of particulate versus dissolved nutrients is important for the potential effects of these materials and management of their generation on the Great Barrier Reef catchment.","DOI":"10.1016/j.marpolbul.2004.10.037","ISSN":"0025-326X","shortTitle":"Terrestrial discharge into the Great Barrier Reef Lagoon","journalAbbreviation":"Marine Pollution Bulletin","author":[{"family":"Devlin","given":"M. J."},{"family":"Brodie","given":"J."}],"issued":{"date-parts":[["2005"]]}}}],"schema":"https://github.com/citation-style-language/schema/raw/master/csl-citation.json"} </w:instrText>
      </w:r>
      <w:r w:rsidRPr="00961331">
        <w:rPr>
          <w:rFonts w:cs="Arial"/>
          <w:szCs w:val="22"/>
        </w:rPr>
        <w:fldChar w:fldCharType="separate"/>
      </w:r>
      <w:r w:rsidRPr="004A5BF7">
        <w:rPr>
          <w:rFonts w:cs="Arial"/>
          <w:szCs w:val="22"/>
          <w:lang w:val="da-DK"/>
        </w:rPr>
        <w:t>(Bainbridge et al., 2012; Devlin et al., 2012a, 2012b; Devlin and Brodie, 2005)</w:t>
      </w:r>
      <w:r w:rsidRPr="00961331">
        <w:rPr>
          <w:rFonts w:cs="Arial"/>
          <w:szCs w:val="22"/>
        </w:rPr>
        <w:fldChar w:fldCharType="end"/>
      </w:r>
      <w:r w:rsidRPr="004A5BF7">
        <w:rPr>
          <w:rFonts w:cs="Arial"/>
          <w:szCs w:val="22"/>
          <w:lang w:val="da-DK"/>
        </w:rPr>
        <w:t xml:space="preserve">. </w:t>
      </w:r>
      <w:r w:rsidRPr="00961331">
        <w:rPr>
          <w:rFonts w:cs="Arial"/>
          <w:szCs w:val="22"/>
        </w:rPr>
        <w:t>Therefore, the behaviour presented by in-situ DIN concentration through the river plume account for those processes.</w:t>
      </w:r>
    </w:p>
    <w:p w14:paraId="1B74B1E3" w14:textId="77777777" w:rsidR="00B66CC3" w:rsidRPr="00961331" w:rsidRDefault="00B66CC3" w:rsidP="00B66CC3">
      <w:pPr>
        <w:rPr>
          <w:rFonts w:cs="Arial"/>
          <w:szCs w:val="22"/>
        </w:rPr>
      </w:pPr>
      <w:r w:rsidRPr="00961331">
        <w:rPr>
          <w:rFonts w:cs="Arial"/>
          <w:szCs w:val="22"/>
        </w:rPr>
        <w:t xml:space="preserve">Other processes that may affect DIN concentrations in plume waters can be nitrogen fixation by (cyano-) bacteria (Trichodesmium) and upwelling of nutrient-enriched deep water from the Coral Sea </w:t>
      </w:r>
      <w:r w:rsidRPr="00961331">
        <w:rPr>
          <w:rFonts w:cs="Arial"/>
          <w:szCs w:val="22"/>
        </w:rPr>
        <w:fldChar w:fldCharType="begin"/>
      </w:r>
      <w:r w:rsidRPr="00961331">
        <w:rPr>
          <w:rFonts w:cs="Arial"/>
          <w:szCs w:val="22"/>
        </w:rPr>
        <w:instrText xml:space="preserve"> ADDIN ZOTERO_ITEM CSL_CITATION {"citationID":"25s9gt1ol9","properties":{"formattedCitation":"(Furnas et al., 2011)","plainCitation":"(Furnas et al., 2011)"},"citationItems":[{"id":85,"uris":["http://zotero.org/users/2324349/items/3WE9MQDQ"],"uri":["http://zotero.org/users/2324349/items/3WE9MQDQ"],"itemData":{"id":85,"type":"article-journal","title":"Regional-scale nitrogen and phosphorus budgets for the northern (14°S) and central (17°S) Great Barrier Reef shelf ecosystem","container-title":"Continental Shelf Research","page":"1967-1990","volume":"31","issue":"19–20","source":"ScienceDirect","abstract":"Seasonally averaged N and P box model budgets were constructed for two regional-scale sections of the Great Barrier Reef (GBR) shelf, one in the near-pristine far-northern GBR (13.5–14.5°S) and the other in the central GBR (17–18°S) adjacent to more intensively farmed wet tropics watersheds. We were unable to simultaneously balance shelf-scale N and P budgets within seasonal or annual time frames, indicating that magnitudes of a number of key input and, especially, loss processes are still poorly constrained. In most cases, current estimates of system-level N and P sources (rainfall, runoff, upwelling, N-fixation) are less than estimated loss processes (denitrification, cross-shelfbreak mixing and burial). Nutrient dynamics in both shelf sections are dominated by the tightly coupled uptake and mineralization of soluble N and P in the water column and the sedimentation–resuspension of particulate detritus. On an area-averaged basis, internal cycling fluxes are an order of magnitude greater than input–output fluxes. Denitrification in shelf sediments is a significant sink for N while lateral mixing is both a source and sink for P.","DOI":"10.1016/j.csr.2011.09.007","ISSN":"0278-4343","journalAbbreviation":"Continental Shelf Research","author":[{"family":"Furnas","given":"M."},{"family":"Alongi","given":"D."},{"family":"McKinnon","given":"D."},{"family":"Trott","given":"L."},{"family":"Skuza","given":"M."}],"issued":{"date-parts":[["2011",12]]}}}],"schema":"https://github.com/citation-style-language/schema/raw/master/csl-citation.json"} </w:instrText>
      </w:r>
      <w:r w:rsidRPr="00961331">
        <w:rPr>
          <w:rFonts w:cs="Arial"/>
          <w:szCs w:val="22"/>
        </w:rPr>
        <w:fldChar w:fldCharType="separate"/>
      </w:r>
      <w:r w:rsidRPr="00961331">
        <w:rPr>
          <w:rFonts w:cs="Arial"/>
          <w:szCs w:val="22"/>
        </w:rPr>
        <w:t>(Furnas et al., 2011)</w:t>
      </w:r>
      <w:r w:rsidRPr="00961331">
        <w:rPr>
          <w:rFonts w:cs="Arial"/>
          <w:szCs w:val="22"/>
        </w:rPr>
        <w:fldChar w:fldCharType="end"/>
      </w:r>
      <w:r w:rsidRPr="00961331">
        <w:rPr>
          <w:rFonts w:cs="Arial"/>
          <w:szCs w:val="22"/>
        </w:rPr>
        <w:t xml:space="preserve">. However, land runoff is the largest source of new nutrients to the inshore GBR, especially during monsoonal flood events </w:t>
      </w:r>
      <w:r w:rsidRPr="00961331">
        <w:rPr>
          <w:rFonts w:cs="Arial"/>
          <w:szCs w:val="22"/>
        </w:rPr>
        <w:fldChar w:fldCharType="begin"/>
      </w:r>
      <w:r w:rsidRPr="00961331">
        <w:rPr>
          <w:rFonts w:cs="Arial"/>
          <w:szCs w:val="22"/>
        </w:rPr>
        <w:instrText xml:space="preserve"> ADDIN ZOTERO_ITEM CSL_CITATION {"citationID":"I6jtsApA","properties":{"formattedCitation":"(Furnas et al., 2011)","plainCitation":"(Furnas et al., 2011)"},"citationItems":[{"id":85,"uris":["http://zotero.org/users/2324349/items/3WE9MQDQ"],"uri":["http://zotero.org/users/2324349/items/3WE9MQDQ"],"itemData":{"id":85,"type":"article-journal","title":"Regional-scale nitrogen and phosphorus budgets for the northern (14°S) and central (17°S) Great Barrier Reef shelf ecosystem","container-title":"Continental Shelf Research","page":"1967-1990","volume":"31","issue":"19–20","source":"ScienceDirect","abstract":"Seasonally averaged N and P box model budgets were constructed for two regional-scale sections of the Great Barrier Reef (GBR) shelf, one in the near-pristine far-northern GBR (13.5–14.5°S) and the other in the central GBR (17–18°S) adjacent to more intensively farmed wet tropics watersheds. We were unable to simultaneously balance shelf-scale N and P budgets within seasonal or annual time frames, indicating that magnitudes of a number of key input and, especially, loss processes are still poorly constrained. In most cases, current estimates of system-level N and P sources (rainfall, runoff, upwelling, N-fixation) are less than estimated loss processes (denitrification, cross-shelfbreak mixing and burial). Nutrient dynamics in both shelf sections are dominated by the tightly coupled uptake and mineralization of soluble N and P in the water column and the sedimentation–resuspension of particulate detritus. On an area-averaged basis, internal cycling fluxes are an order of magnitude greater than input–output fluxes. Denitrification in shelf sediments is a significant sink for N while lateral mixing is both a source and sink for P.","DOI":"10.1016/j.csr.2011.09.007","ISSN":"0278-4343","journalAbbreviation":"Continental Shelf Research","author":[{"family":"Furnas","given":"M."},{"family":"Alongi","given":"D."},{"family":"McKinnon","given":"D."},{"family":"Trott","given":"L."},{"family":"Skuza","given":"M."}],"issued":{"date-parts":[["2011",12]]}}}],"schema":"https://github.com/citation-style-language/schema/raw/master/csl-citation.json"} </w:instrText>
      </w:r>
      <w:r w:rsidRPr="00961331">
        <w:rPr>
          <w:rFonts w:cs="Arial"/>
          <w:szCs w:val="22"/>
        </w:rPr>
        <w:fldChar w:fldCharType="separate"/>
      </w:r>
      <w:r w:rsidRPr="00961331">
        <w:rPr>
          <w:rFonts w:cs="Arial"/>
          <w:szCs w:val="22"/>
        </w:rPr>
        <w:t>(Furnas et al., 2011)</w:t>
      </w:r>
      <w:r w:rsidRPr="00961331">
        <w:rPr>
          <w:rFonts w:cs="Arial"/>
          <w:szCs w:val="22"/>
        </w:rPr>
        <w:fldChar w:fldCharType="end"/>
      </w:r>
      <w:r w:rsidRPr="00961331">
        <w:rPr>
          <w:rFonts w:cs="Arial"/>
          <w:szCs w:val="22"/>
        </w:rPr>
        <w:t xml:space="preserve">. Moreover, upwelling intrusions are spatially restricted to the Central GBR subsurface waters </w:t>
      </w:r>
      <w:r w:rsidRPr="00961331">
        <w:rPr>
          <w:rFonts w:cs="Arial"/>
          <w:szCs w:val="22"/>
        </w:rPr>
        <w:fldChar w:fldCharType="begin"/>
      </w:r>
      <w:r w:rsidRPr="00961331">
        <w:rPr>
          <w:rFonts w:cs="Arial"/>
          <w:szCs w:val="22"/>
        </w:rPr>
        <w:instrText xml:space="preserve"> ADDIN ZOTERO_ITEM CSL_CITATION {"citationID":"317hb8qk0","properties":{"formattedCitation":"(Berkelmans et al., 2010)","plainCitation":"(Berkelmans et al., 2010)"},"citationItems":[{"id":156,"uris":["http://zotero.org/users/2324349/items/XSGWI2JI"],"uri":["http://zotero.org/users/2324349/items/XSGWI2JI"],"itemData":{"id":156,"type":"article-journal","title":"Upwelling linked to warm summers and bleaching on the Great Barrier Reef","container-title":"Limnology and Oceanography","page":"2634-2644","volume":"55","issue":"6","source":"espace.library.uq.edu.au","DOI":"10.4319/lo.2010.55.6.2634","ISSN":"0024-3590, 1939-5590, 1939-5604","language":"eng","author":[{"family":"Berkelmans","given":"Ray"},{"family":"Weeks","given":"Scarla J."},{"family":"Steinberg","given":"Craig R."}],"issued":{"date-parts":[["2010",11,1]]}}}],"schema":"https://github.com/citation-style-language/schema/raw/master/csl-citation.json"} </w:instrText>
      </w:r>
      <w:r w:rsidRPr="00961331">
        <w:rPr>
          <w:rFonts w:cs="Arial"/>
          <w:szCs w:val="22"/>
        </w:rPr>
        <w:fldChar w:fldCharType="separate"/>
      </w:r>
      <w:r w:rsidRPr="00961331">
        <w:rPr>
          <w:rFonts w:cs="Arial"/>
          <w:szCs w:val="22"/>
        </w:rPr>
        <w:t>(Berkelmans et al., 2010)</w:t>
      </w:r>
      <w:r w:rsidRPr="00961331">
        <w:rPr>
          <w:rFonts w:cs="Arial"/>
          <w:szCs w:val="22"/>
        </w:rPr>
        <w:fldChar w:fldCharType="end"/>
      </w:r>
      <w:r w:rsidRPr="00961331">
        <w:rPr>
          <w:rFonts w:cs="Arial"/>
          <w:szCs w:val="22"/>
        </w:rPr>
        <w:t xml:space="preserve">, and therefore not captured by the superficial in-situ DIN data. Nitrogen fixation is likely to occur across the whole plume area, adding equally to the measured in-situ DIN, and not affecting the general behaviour depicted in the DIN function. Otherwise if intense fixation due to Trichodesmium blooms and denitrification, followed by decomposition would result in locally elevated DIN concentrations </w:t>
      </w:r>
      <w:r w:rsidRPr="00961331">
        <w:rPr>
          <w:rFonts w:cs="Arial"/>
          <w:szCs w:val="22"/>
        </w:rPr>
        <w:fldChar w:fldCharType="begin"/>
      </w:r>
      <w:r w:rsidRPr="00961331">
        <w:rPr>
          <w:rFonts w:cs="Arial"/>
          <w:szCs w:val="22"/>
        </w:rPr>
        <w:instrText xml:space="preserve"> ADDIN ZOTERO_ITEM CSL_CITATION {"citationID":"1e2gfr65ib","properties":{"formattedCitation":"(Devlin and Brodie, 2005; Furnas et al., 2011)","plainCitation":"(Devlin and Brodie, 2005; Furnas et al., 2011)"},"citationItems":[{"id":47,"uris":["http://zotero.org/users/2324349/items/2QIUTENW"],"uri":["http://zotero.org/users/2324349/items/2QIUTENW"],"itemData":{"id":47,"type":"article-journal","title":"Terrestrial discharge into the Great Barrier Reef Lagoon: nutrient behavior in coastal waters","container-title":"Marine Pollution Bulletin","collection-title":"Catchment to Reef: Water Quality Issues in the Great Barrier Reef Region","page":"9-22","volume":"51","issue":"1–4","source":"ScienceDirect","abstract":"Pollution of coastal regions of the Great Barrier Reef World Heritage Area (GBRWHA) is dominated by river discharge associated with agricultural development of the adjacent catchments. Runoff of sediment, nutrients and pesticides has sharply increased since European settlement. Since 1991 plumes from river discharge entering the GBRWHA have been mapped by aerial mapping of plume edges and concentrations of contaminants in plumes measured. Plume dispersion is governed primarily by wind speed and direction. Most plumes spread in a band up to 50 km from the coast. Particulate material discharged in the plumes is trapped within 10 km of the coast. Dissolved nutrients disperse much further and elevated nutrient concentrations are measurable at distances of hundreds of kilometres from river mouths. This differential transport of particulate versus dissolved nutrients is important for the potential effects of these materials and management of their generation on the Great Barrier Reef catchment.","DOI":"10.1016/j.marpolbul.2004.10.037","ISSN":"0025-326X","shortTitle":"Terrestrial discharge into the Great Barrier Reef Lagoon","journalAbbreviation":"Marine Pollution Bulletin","author":[{"family":"Devlin","given":"M. J."},{"family":"Brodie","given":"J."}],"issued":{"date-parts":[["2005"]]}}},{"id":85,"uris":["http://zotero.org/users/2324349/items/3WE9MQDQ"],"uri":["http://zotero.org/users/2324349/items/3WE9MQDQ"],"itemData":{"id":85,"type":"article-journal","title":"Regional-scale nitrogen and phosphorus budgets for the northern (14°S) and central (17°S) Great Barrier Reef shelf ecosystem","container-title":"Continental Shelf Research","page":"1967-1990","volume":"31","issue":"19–20","source":"ScienceDirect","abstract":"Seasonally averaged N and P box model budgets were constructed for two regional-scale sections of the Great Barrier Reef (GBR) shelf, one in the near-pristine far-northern GBR (13.5–14.5°S) and the other in the central GBR (17–18°S) adjacent to more intensively farmed wet tropics watersheds. We were unable to simultaneously balance shelf-scale N and P budgets within seasonal or annual time frames, indicating that magnitudes of a number of key input and, especially, loss processes are still poorly constrained. In most cases, current estimates of system-level N and P sources (rainfall, runoff, upwelling, N-fixation) are less than estimated loss processes (denitrification, cross-shelfbreak mixing and burial). Nutrient dynamics in both shelf sections are dominated by the tightly coupled uptake and mineralization of soluble N and P in the water column and the sedimentation–resuspension of particulate detritus. On an area-averaged basis, internal cycling fluxes are an order of magnitude greater than input–output fluxes. Denitrification in shelf sediments is a significant sink for N while lateral mixing is both a source and sink for P.","DOI":"10.1016/j.csr.2011.09.007","ISSN":"0278-4343","journalAbbreviation":"Continental Shelf Research","author":[{"family":"Furnas","given":"M."},{"family":"Alongi","given":"D."},{"family":"McKinnon","given":"D."},{"family":"Trott","given":"L."},{"family":"Skuza","given":"M."}],"issued":{"date-parts":[["2011",12]]}}}],"schema":"https://github.com/citation-style-language/schema/raw/master/csl-citation.json"} </w:instrText>
      </w:r>
      <w:r w:rsidRPr="00961331">
        <w:rPr>
          <w:rFonts w:cs="Arial"/>
          <w:szCs w:val="22"/>
        </w:rPr>
        <w:fldChar w:fldCharType="separate"/>
      </w:r>
      <w:r w:rsidRPr="00961331">
        <w:rPr>
          <w:rFonts w:cs="Arial"/>
          <w:szCs w:val="22"/>
        </w:rPr>
        <w:t>(Devlin and Brodie, 2005; Furnas et al., 2011)</w:t>
      </w:r>
      <w:r w:rsidRPr="00961331">
        <w:rPr>
          <w:rFonts w:cs="Arial"/>
          <w:szCs w:val="22"/>
        </w:rPr>
        <w:fldChar w:fldCharType="end"/>
      </w:r>
      <w:r w:rsidRPr="00961331">
        <w:rPr>
          <w:rFonts w:cs="Arial"/>
          <w:szCs w:val="22"/>
        </w:rPr>
        <w:t xml:space="preserve">, the use of median as to describe the central tendency of DIN data across plume colour classes would likely remove this effect. </w:t>
      </w:r>
    </w:p>
    <w:p w14:paraId="66D9198B" w14:textId="5C357CC7" w:rsidR="00B66CC3" w:rsidRPr="00961331" w:rsidRDefault="00B66CC3" w:rsidP="00B66CC3">
      <w:pPr>
        <w:rPr>
          <w:rFonts w:cs="Arial"/>
          <w:szCs w:val="22"/>
        </w:rPr>
      </w:pPr>
      <w:r w:rsidRPr="00961331">
        <w:rPr>
          <w:rFonts w:cs="Arial"/>
          <w:szCs w:val="22"/>
        </w:rPr>
        <w:t xml:space="preserve">We note that although the highest concentrations are usually associated with water in the colour class 1 (i.e., close to the river mouth, see </w:t>
      </w:r>
      <w:r w:rsidRPr="00961331">
        <w:rPr>
          <w:rFonts w:cs="Arial"/>
          <w:szCs w:val="22"/>
        </w:rPr>
        <w:fldChar w:fldCharType="begin"/>
      </w:r>
      <w:r w:rsidRPr="00961331">
        <w:rPr>
          <w:rFonts w:cs="Arial"/>
          <w:szCs w:val="22"/>
        </w:rPr>
        <w:instrText xml:space="preserve"> REF _Ref449130369 \h  \* MERGEFORMAT </w:instrText>
      </w:r>
      <w:r w:rsidRPr="00961331">
        <w:rPr>
          <w:rFonts w:cs="Arial"/>
          <w:szCs w:val="22"/>
        </w:rPr>
      </w:r>
      <w:r w:rsidRPr="00961331">
        <w:rPr>
          <w:rFonts w:cs="Arial"/>
          <w:szCs w:val="22"/>
        </w:rPr>
        <w:fldChar w:fldCharType="separate"/>
      </w:r>
      <w:r w:rsidR="007F5336" w:rsidRPr="007F5336">
        <w:rPr>
          <w:rFonts w:cs="Arial"/>
          <w:szCs w:val="22"/>
        </w:rPr>
        <w:t xml:space="preserve">Figure </w:t>
      </w:r>
      <w:r w:rsidR="007F5336" w:rsidRPr="007F5336">
        <w:rPr>
          <w:rFonts w:cs="Arial"/>
          <w:noProof/>
          <w:szCs w:val="22"/>
        </w:rPr>
        <w:t>A1</w:t>
      </w:r>
      <w:r w:rsidR="007F5336">
        <w:t xml:space="preserve"> </w:t>
      </w:r>
      <w:r w:rsidR="007F5336">
        <w:rPr>
          <w:noProof/>
        </w:rPr>
        <w:t>9:</w:t>
      </w:r>
      <w:r w:rsidR="007F5336" w:rsidRPr="00961331">
        <w:t xml:space="preserve"> </w:t>
      </w:r>
      <w:r w:rsidRPr="00961331">
        <w:rPr>
          <w:rFonts w:cs="Arial"/>
          <w:szCs w:val="22"/>
        </w:rPr>
        <w:fldChar w:fldCharType="end"/>
      </w:r>
      <w:r w:rsidRPr="00961331">
        <w:rPr>
          <w:rFonts w:cs="Arial"/>
          <w:szCs w:val="22"/>
        </w:rPr>
        <w:t xml:space="preserve">a), the largest mass of DIN is in colour class 6 (more than 35%, </w:t>
      </w:r>
      <w:r w:rsidRPr="00961331">
        <w:rPr>
          <w:rFonts w:cs="Arial"/>
          <w:szCs w:val="22"/>
        </w:rPr>
        <w:fldChar w:fldCharType="begin"/>
      </w:r>
      <w:r w:rsidRPr="00961331">
        <w:rPr>
          <w:rFonts w:cs="Arial"/>
          <w:szCs w:val="22"/>
        </w:rPr>
        <w:instrText xml:space="preserve"> REF _Ref449130587 \h  \* MERGEFORMAT </w:instrText>
      </w:r>
      <w:r w:rsidRPr="00961331">
        <w:rPr>
          <w:rFonts w:cs="Arial"/>
          <w:szCs w:val="22"/>
        </w:rPr>
      </w:r>
      <w:r w:rsidRPr="00961331">
        <w:rPr>
          <w:rFonts w:cs="Arial"/>
          <w:szCs w:val="22"/>
        </w:rPr>
        <w:fldChar w:fldCharType="separate"/>
      </w:r>
      <w:r w:rsidR="007F5336" w:rsidRPr="007F5336">
        <w:rPr>
          <w:rFonts w:cs="Arial"/>
          <w:szCs w:val="22"/>
        </w:rPr>
        <w:t xml:space="preserve">Figure </w:t>
      </w:r>
      <w:r w:rsidR="007F5336" w:rsidRPr="007F5336">
        <w:rPr>
          <w:rFonts w:cs="Arial"/>
          <w:noProof/>
          <w:szCs w:val="22"/>
        </w:rPr>
        <w:t>A1</w:t>
      </w:r>
      <w:r w:rsidR="007F5336">
        <w:t xml:space="preserve"> </w:t>
      </w:r>
      <w:r w:rsidR="007F5336">
        <w:rPr>
          <w:noProof/>
        </w:rPr>
        <w:t>10:</w:t>
      </w:r>
      <w:r w:rsidR="007F5336" w:rsidRPr="00961331">
        <w:t xml:space="preserve"> </w:t>
      </w:r>
      <w:r w:rsidRPr="00961331">
        <w:rPr>
          <w:rFonts w:cs="Arial"/>
          <w:szCs w:val="22"/>
        </w:rPr>
        <w:fldChar w:fldCharType="end"/>
      </w:r>
      <w:r w:rsidRPr="00961331">
        <w:rPr>
          <w:rFonts w:cs="Arial"/>
          <w:szCs w:val="22"/>
        </w:rPr>
        <w:t>). This is due to the large volume of colour class 6 compared to the other colour classes (</w:t>
      </w:r>
      <w:r w:rsidRPr="00961331">
        <w:rPr>
          <w:rFonts w:cs="Arial"/>
          <w:szCs w:val="22"/>
        </w:rPr>
        <w:fldChar w:fldCharType="begin"/>
      </w:r>
      <w:r w:rsidRPr="00961331">
        <w:rPr>
          <w:rFonts w:cs="Arial"/>
          <w:szCs w:val="22"/>
        </w:rPr>
        <w:instrText xml:space="preserve"> REF _Ref449130369 \h  \* MERGEFORMAT </w:instrText>
      </w:r>
      <w:r w:rsidRPr="00961331">
        <w:rPr>
          <w:rFonts w:cs="Arial"/>
          <w:szCs w:val="22"/>
        </w:rPr>
      </w:r>
      <w:r w:rsidRPr="00961331">
        <w:rPr>
          <w:rFonts w:cs="Arial"/>
          <w:szCs w:val="22"/>
        </w:rPr>
        <w:fldChar w:fldCharType="separate"/>
      </w:r>
      <w:r w:rsidR="007F5336" w:rsidRPr="007F5336">
        <w:rPr>
          <w:rFonts w:cs="Arial"/>
          <w:szCs w:val="22"/>
        </w:rPr>
        <w:t xml:space="preserve">Figure </w:t>
      </w:r>
      <w:r w:rsidR="007F5336" w:rsidRPr="007F5336">
        <w:rPr>
          <w:rFonts w:cs="Arial"/>
          <w:noProof/>
          <w:szCs w:val="22"/>
        </w:rPr>
        <w:t>A1</w:t>
      </w:r>
      <w:r w:rsidR="007F5336">
        <w:t xml:space="preserve"> </w:t>
      </w:r>
      <w:r w:rsidR="007F5336">
        <w:rPr>
          <w:noProof/>
        </w:rPr>
        <w:t>9:</w:t>
      </w:r>
      <w:r w:rsidR="007F5336" w:rsidRPr="00961331">
        <w:t xml:space="preserve"> </w:t>
      </w:r>
      <w:r w:rsidRPr="00961331">
        <w:rPr>
          <w:rFonts w:cs="Arial"/>
          <w:szCs w:val="22"/>
        </w:rPr>
        <w:fldChar w:fldCharType="end"/>
      </w:r>
      <w:r w:rsidRPr="00961331">
        <w:rPr>
          <w:rFonts w:cs="Arial"/>
          <w:szCs w:val="22"/>
        </w:rPr>
        <w:t>d). While the DIN contribution from the rivers reaching plume colour class 6 are minor compared to that reaching colour class 1, its larger area and deeper mixing layer results in a larger DIN mass.</w:t>
      </w:r>
    </w:p>
    <w:p w14:paraId="31B5DFA9" w14:textId="750B2CC5" w:rsidR="00B66CC3" w:rsidRPr="00961331" w:rsidRDefault="00B66CC3" w:rsidP="00B66CC3">
      <w:pPr>
        <w:rPr>
          <w:rFonts w:cs="Arial"/>
          <w:szCs w:val="22"/>
        </w:rPr>
      </w:pPr>
      <w:r w:rsidRPr="00961331">
        <w:rPr>
          <w:rFonts w:cs="Arial"/>
          <w:szCs w:val="22"/>
        </w:rPr>
        <w:t xml:space="preserve">The base for the DIN dispersion model is the calculation of the DIN mass in plume waters over 13 years. Here we present a comparison between the DIN mass against the annual DIN load and also against its fraction in plume water that is likely to be land-sourced (based on a simple dilution model). This comparison is presented in </w:t>
      </w:r>
      <w:r w:rsidRPr="00961331">
        <w:rPr>
          <w:rFonts w:cs="Arial"/>
          <w:szCs w:val="22"/>
        </w:rPr>
        <w:fldChar w:fldCharType="begin"/>
      </w:r>
      <w:r w:rsidRPr="00961331">
        <w:rPr>
          <w:rFonts w:cs="Arial"/>
          <w:szCs w:val="22"/>
        </w:rPr>
        <w:instrText xml:space="preserve"> REF _Ref449432802 \h  \* MERGEFORMAT </w:instrText>
      </w:r>
      <w:r w:rsidRPr="00961331">
        <w:rPr>
          <w:rFonts w:cs="Arial"/>
          <w:szCs w:val="22"/>
        </w:rPr>
      </w:r>
      <w:r w:rsidRPr="00961331">
        <w:rPr>
          <w:rFonts w:cs="Arial"/>
          <w:szCs w:val="22"/>
        </w:rPr>
        <w:fldChar w:fldCharType="separate"/>
      </w:r>
      <w:r w:rsidR="007F5336" w:rsidRPr="007F5336">
        <w:rPr>
          <w:rFonts w:cs="Arial"/>
          <w:szCs w:val="22"/>
        </w:rPr>
        <w:t xml:space="preserve">Table </w:t>
      </w:r>
      <w:r w:rsidR="007F5336" w:rsidRPr="007F5336">
        <w:rPr>
          <w:rFonts w:cs="Arial"/>
          <w:noProof/>
          <w:szCs w:val="22"/>
        </w:rPr>
        <w:t>A1</w:t>
      </w:r>
      <w:r w:rsidR="007F5336">
        <w:t xml:space="preserve"> </w:t>
      </w:r>
      <w:r w:rsidR="007F5336">
        <w:rPr>
          <w:noProof/>
        </w:rPr>
        <w:t>10</w:t>
      </w:r>
      <w:r w:rsidR="007F5336" w:rsidRPr="00961331">
        <w:t xml:space="preserve">: </w:t>
      </w:r>
      <w:r w:rsidRPr="00961331">
        <w:rPr>
          <w:rFonts w:cs="Arial"/>
          <w:szCs w:val="22"/>
        </w:rPr>
        <w:fldChar w:fldCharType="end"/>
      </w:r>
      <w:r w:rsidRPr="00961331">
        <w:rPr>
          <w:rFonts w:cs="Arial"/>
          <w:szCs w:val="22"/>
        </w:rPr>
        <w:t>. If the dilution model is not applied, the DIN mass in plume waters (c.a., simple multiplication of DIN concentration by plume area and the mixing layer depth) is on average 1.3 times greater than the annual DIN load. When a dilution factor is accounted for, assuming that part of the measured in-situ DIN is land-sourced and the other part is a background concentration, the DIN mass in plume waters represent less than 10% of that relative to the annual watershed input. This number suggests that dispersing the annual DIN load over a median plume size may overestimate the final DIN concentration in the GBR lagoon. This problem can be partially solved if a smaller time frame is used, one that approaches the plume waters residence time. Although an estimation of the plume residence time can be obtained from a hydrodynamic model, we do not have DIN loads in a timeframe shorter than annual.</w:t>
      </w:r>
    </w:p>
    <w:p w14:paraId="29521B08" w14:textId="4034A03F" w:rsidR="00B66CC3" w:rsidRPr="00961331" w:rsidRDefault="000E764B" w:rsidP="004A5BF7">
      <w:pPr>
        <w:pStyle w:val="Caption"/>
      </w:pPr>
      <w:bookmarkStart w:id="1605" w:name="_Ref449432802"/>
      <w:bookmarkStart w:id="1606" w:name="_Toc459332189"/>
      <w:r>
        <w:t xml:space="preserve">Table A1 </w:t>
      </w:r>
      <w:r>
        <w:fldChar w:fldCharType="begin"/>
      </w:r>
      <w:r>
        <w:instrText xml:space="preserve"> SEQ Table_A1 \* ARABIC </w:instrText>
      </w:r>
      <w:r>
        <w:fldChar w:fldCharType="separate"/>
      </w:r>
      <w:r w:rsidR="007F5336">
        <w:rPr>
          <w:noProof/>
        </w:rPr>
        <w:t>10</w:t>
      </w:r>
      <w:r>
        <w:rPr>
          <w:noProof/>
        </w:rPr>
        <w:fldChar w:fldCharType="end"/>
      </w:r>
      <w:r w:rsidRPr="00961331">
        <w:t xml:space="preserve">: </w:t>
      </w:r>
      <w:bookmarkEnd w:id="1605"/>
      <w:r w:rsidR="00B66CC3" w:rsidRPr="00961331">
        <w:t>Annual dissolved inorganic nitrogen mass (tonne) in the river loads, and in the plume waters, when the total DIN mass is calculated by a simple multiplication of DIN concentration, plume area and the mixing layer depth (Total DIN mass), and when a dilution factor based on salinity is also taken into account (Relative DIN mass).</w:t>
      </w:r>
      <w:bookmarkEnd w:id="1606"/>
    </w:p>
    <w:tbl>
      <w:tblPr>
        <w:tblW w:w="0" w:type="auto"/>
        <w:tblLook w:val="04A0" w:firstRow="1" w:lastRow="0" w:firstColumn="1" w:lastColumn="0" w:noHBand="0" w:noVBand="1"/>
        <w:tblCaption w:val="Table A1 10: Annual dissolved inorganic nitrogen mass (tonne) in the river loads, and in the plume waters"/>
        <w:tblDescription w:val="Annual dissolved inorganic nitrogen mass (tonne) in the river loads, and in the plume waters, when the total DIN mass is calculated by a simple multiplication of DIN concentration, plume area and the mixing layer depth (Total DIN mass), and when a dilution factor based on salinity is also taken into account (Relative DIN mass)."/>
      </w:tblPr>
      <w:tblGrid>
        <w:gridCol w:w="1195"/>
        <w:gridCol w:w="828"/>
        <w:gridCol w:w="2284"/>
        <w:gridCol w:w="2562"/>
        <w:gridCol w:w="1162"/>
        <w:gridCol w:w="1440"/>
      </w:tblGrid>
      <w:tr w:rsidR="00B66CC3" w:rsidRPr="00E9409C" w14:paraId="5A3C7D3D" w14:textId="77777777" w:rsidTr="00E662D3">
        <w:trPr>
          <w:trHeight w:val="340"/>
          <w:tblHeader/>
        </w:trPr>
        <w:tc>
          <w:tcPr>
            <w:tcW w:w="0" w:type="auto"/>
            <w:tcBorders>
              <w:top w:val="single" w:sz="4" w:space="0" w:color="auto"/>
              <w:left w:val="nil"/>
              <w:bottom w:val="single" w:sz="4" w:space="0" w:color="auto"/>
              <w:right w:val="nil"/>
            </w:tcBorders>
            <w:shd w:val="clear" w:color="auto" w:fill="auto"/>
            <w:noWrap/>
            <w:vAlign w:val="center"/>
            <w:hideMark/>
          </w:tcPr>
          <w:p w14:paraId="4DE3C411" w14:textId="77777777" w:rsidR="00B66CC3" w:rsidRPr="004A5BF7" w:rsidRDefault="00B66CC3" w:rsidP="00B66CC3">
            <w:pPr>
              <w:spacing w:before="0" w:after="0"/>
              <w:jc w:val="center"/>
              <w:rPr>
                <w:rFonts w:cs="Arial"/>
                <w:color w:val="000000"/>
                <w:sz w:val="20"/>
              </w:rPr>
            </w:pPr>
            <w:r w:rsidRPr="004A5BF7">
              <w:rPr>
                <w:rFonts w:cs="Arial"/>
                <w:color w:val="000000"/>
                <w:sz w:val="20"/>
              </w:rPr>
              <w:t>Water year</w:t>
            </w:r>
          </w:p>
        </w:tc>
        <w:tc>
          <w:tcPr>
            <w:tcW w:w="0" w:type="auto"/>
            <w:tcBorders>
              <w:top w:val="single" w:sz="4" w:space="0" w:color="auto"/>
              <w:left w:val="nil"/>
              <w:bottom w:val="single" w:sz="4" w:space="0" w:color="auto"/>
              <w:right w:val="nil"/>
            </w:tcBorders>
            <w:shd w:val="clear" w:color="auto" w:fill="auto"/>
            <w:noWrap/>
            <w:vAlign w:val="center"/>
            <w:hideMark/>
          </w:tcPr>
          <w:p w14:paraId="35E5A8ED" w14:textId="77777777" w:rsidR="00B66CC3" w:rsidRPr="004A5BF7" w:rsidRDefault="00B66CC3" w:rsidP="00B66CC3">
            <w:pPr>
              <w:spacing w:before="0" w:after="0"/>
              <w:jc w:val="center"/>
              <w:rPr>
                <w:rFonts w:cs="Arial"/>
                <w:color w:val="000000"/>
                <w:sz w:val="20"/>
              </w:rPr>
            </w:pPr>
            <w:r w:rsidRPr="004A5BF7">
              <w:rPr>
                <w:rFonts w:cs="Arial"/>
                <w:color w:val="000000"/>
                <w:sz w:val="20"/>
              </w:rPr>
              <w:t>Load*</w:t>
            </w:r>
          </w:p>
        </w:tc>
        <w:tc>
          <w:tcPr>
            <w:tcW w:w="0" w:type="auto"/>
            <w:tcBorders>
              <w:top w:val="single" w:sz="4" w:space="0" w:color="auto"/>
              <w:left w:val="nil"/>
              <w:bottom w:val="single" w:sz="4" w:space="0" w:color="auto"/>
              <w:right w:val="nil"/>
            </w:tcBorders>
            <w:shd w:val="clear" w:color="auto" w:fill="auto"/>
            <w:noWrap/>
            <w:vAlign w:val="center"/>
            <w:hideMark/>
          </w:tcPr>
          <w:p w14:paraId="468E6364" w14:textId="77777777" w:rsidR="00B66CC3" w:rsidRPr="004A5BF7" w:rsidRDefault="00B66CC3" w:rsidP="00B66CC3">
            <w:pPr>
              <w:spacing w:before="0" w:after="0"/>
              <w:jc w:val="center"/>
              <w:rPr>
                <w:rFonts w:cs="Arial"/>
                <w:color w:val="000000"/>
                <w:sz w:val="20"/>
              </w:rPr>
            </w:pPr>
            <w:r w:rsidRPr="004A5BF7">
              <w:rPr>
                <w:rFonts w:cs="Arial"/>
                <w:color w:val="000000"/>
                <w:sz w:val="20"/>
              </w:rPr>
              <w:t>Total DIN mass (tonne)</w:t>
            </w:r>
          </w:p>
        </w:tc>
        <w:tc>
          <w:tcPr>
            <w:tcW w:w="0" w:type="auto"/>
            <w:tcBorders>
              <w:top w:val="single" w:sz="4" w:space="0" w:color="auto"/>
              <w:left w:val="nil"/>
              <w:bottom w:val="single" w:sz="4" w:space="0" w:color="auto"/>
              <w:right w:val="nil"/>
            </w:tcBorders>
            <w:shd w:val="clear" w:color="auto" w:fill="auto"/>
            <w:noWrap/>
            <w:vAlign w:val="center"/>
            <w:hideMark/>
          </w:tcPr>
          <w:p w14:paraId="5F87BE41" w14:textId="77777777" w:rsidR="00B66CC3" w:rsidRPr="004A5BF7" w:rsidRDefault="00B66CC3" w:rsidP="00B66CC3">
            <w:pPr>
              <w:spacing w:before="0" w:after="0"/>
              <w:jc w:val="center"/>
              <w:rPr>
                <w:rFonts w:cs="Arial"/>
                <w:color w:val="000000"/>
                <w:sz w:val="20"/>
              </w:rPr>
            </w:pPr>
            <w:r w:rsidRPr="004A5BF7">
              <w:rPr>
                <w:rFonts w:cs="Arial"/>
                <w:color w:val="000000"/>
                <w:sz w:val="20"/>
              </w:rPr>
              <w:t>Relative DIN mass (tonne)</w:t>
            </w:r>
          </w:p>
        </w:tc>
        <w:tc>
          <w:tcPr>
            <w:tcW w:w="0" w:type="auto"/>
            <w:tcBorders>
              <w:top w:val="single" w:sz="4" w:space="0" w:color="auto"/>
              <w:left w:val="nil"/>
              <w:bottom w:val="single" w:sz="4" w:space="0" w:color="auto"/>
              <w:right w:val="nil"/>
            </w:tcBorders>
            <w:shd w:val="clear" w:color="auto" w:fill="auto"/>
            <w:noWrap/>
            <w:vAlign w:val="center"/>
            <w:hideMark/>
          </w:tcPr>
          <w:p w14:paraId="759AB607" w14:textId="77777777" w:rsidR="00B66CC3" w:rsidRPr="004A5BF7" w:rsidRDefault="00B66CC3" w:rsidP="00B66CC3">
            <w:pPr>
              <w:spacing w:before="0" w:after="0"/>
              <w:jc w:val="center"/>
              <w:rPr>
                <w:rFonts w:cs="Arial"/>
                <w:color w:val="000000"/>
                <w:sz w:val="20"/>
              </w:rPr>
            </w:pPr>
            <w:r w:rsidRPr="004A5BF7">
              <w:rPr>
                <w:rFonts w:cs="Arial"/>
                <w:color w:val="000000"/>
                <w:sz w:val="20"/>
              </w:rPr>
              <w:t>Total/Load</w:t>
            </w:r>
          </w:p>
        </w:tc>
        <w:tc>
          <w:tcPr>
            <w:tcW w:w="0" w:type="auto"/>
            <w:tcBorders>
              <w:top w:val="single" w:sz="4" w:space="0" w:color="auto"/>
              <w:left w:val="nil"/>
              <w:bottom w:val="single" w:sz="4" w:space="0" w:color="auto"/>
              <w:right w:val="nil"/>
            </w:tcBorders>
            <w:shd w:val="clear" w:color="auto" w:fill="auto"/>
            <w:noWrap/>
            <w:vAlign w:val="center"/>
            <w:hideMark/>
          </w:tcPr>
          <w:p w14:paraId="4B461265" w14:textId="77777777" w:rsidR="00B66CC3" w:rsidRPr="004A5BF7" w:rsidRDefault="00B66CC3" w:rsidP="00B66CC3">
            <w:pPr>
              <w:spacing w:before="0" w:after="0"/>
              <w:jc w:val="center"/>
              <w:rPr>
                <w:rFonts w:cs="Arial"/>
                <w:color w:val="000000"/>
                <w:sz w:val="20"/>
              </w:rPr>
            </w:pPr>
            <w:r w:rsidRPr="004A5BF7">
              <w:rPr>
                <w:rFonts w:cs="Arial"/>
                <w:color w:val="000000"/>
                <w:sz w:val="20"/>
              </w:rPr>
              <w:t>Relative/Load</w:t>
            </w:r>
          </w:p>
        </w:tc>
      </w:tr>
      <w:tr w:rsidR="00B66CC3" w:rsidRPr="00E9409C" w14:paraId="1ED36C1A" w14:textId="77777777" w:rsidTr="00E662D3">
        <w:trPr>
          <w:trHeight w:val="340"/>
          <w:tblHeader/>
        </w:trPr>
        <w:tc>
          <w:tcPr>
            <w:tcW w:w="0" w:type="auto"/>
            <w:tcBorders>
              <w:top w:val="nil"/>
              <w:left w:val="nil"/>
              <w:bottom w:val="nil"/>
              <w:right w:val="nil"/>
            </w:tcBorders>
            <w:shd w:val="clear" w:color="auto" w:fill="auto"/>
            <w:noWrap/>
            <w:vAlign w:val="center"/>
            <w:hideMark/>
          </w:tcPr>
          <w:p w14:paraId="5D9D711D" w14:textId="77777777" w:rsidR="00B66CC3" w:rsidRPr="004A5BF7" w:rsidRDefault="00B66CC3" w:rsidP="00B66CC3">
            <w:pPr>
              <w:spacing w:before="0" w:after="0"/>
              <w:jc w:val="center"/>
              <w:rPr>
                <w:rFonts w:cs="Arial"/>
                <w:color w:val="000000"/>
                <w:sz w:val="20"/>
              </w:rPr>
            </w:pPr>
            <w:r w:rsidRPr="004A5BF7">
              <w:rPr>
                <w:rFonts w:cs="Arial"/>
                <w:color w:val="000000"/>
                <w:sz w:val="20"/>
              </w:rPr>
              <w:t>2003</w:t>
            </w:r>
          </w:p>
        </w:tc>
        <w:tc>
          <w:tcPr>
            <w:tcW w:w="0" w:type="auto"/>
            <w:tcBorders>
              <w:top w:val="nil"/>
              <w:left w:val="nil"/>
              <w:bottom w:val="nil"/>
              <w:right w:val="nil"/>
            </w:tcBorders>
            <w:shd w:val="clear" w:color="auto" w:fill="auto"/>
            <w:noWrap/>
            <w:vAlign w:val="center"/>
            <w:hideMark/>
          </w:tcPr>
          <w:p w14:paraId="7C094B36"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3,029 </w:t>
            </w:r>
          </w:p>
        </w:tc>
        <w:tc>
          <w:tcPr>
            <w:tcW w:w="0" w:type="auto"/>
            <w:tcBorders>
              <w:top w:val="nil"/>
              <w:left w:val="nil"/>
              <w:bottom w:val="nil"/>
              <w:right w:val="nil"/>
            </w:tcBorders>
            <w:shd w:val="clear" w:color="auto" w:fill="auto"/>
            <w:noWrap/>
            <w:vAlign w:val="center"/>
            <w:hideMark/>
          </w:tcPr>
          <w:p w14:paraId="0B97431E"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8,168 </w:t>
            </w:r>
          </w:p>
        </w:tc>
        <w:tc>
          <w:tcPr>
            <w:tcW w:w="0" w:type="auto"/>
            <w:tcBorders>
              <w:top w:val="nil"/>
              <w:left w:val="nil"/>
              <w:bottom w:val="nil"/>
              <w:right w:val="nil"/>
            </w:tcBorders>
            <w:shd w:val="clear" w:color="auto" w:fill="auto"/>
            <w:noWrap/>
            <w:vAlign w:val="center"/>
            <w:hideMark/>
          </w:tcPr>
          <w:p w14:paraId="44F689F9"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505 </w:t>
            </w:r>
          </w:p>
        </w:tc>
        <w:tc>
          <w:tcPr>
            <w:tcW w:w="0" w:type="auto"/>
            <w:tcBorders>
              <w:top w:val="nil"/>
              <w:left w:val="nil"/>
              <w:bottom w:val="nil"/>
              <w:right w:val="nil"/>
            </w:tcBorders>
            <w:shd w:val="clear" w:color="auto" w:fill="auto"/>
            <w:noWrap/>
            <w:vAlign w:val="center"/>
            <w:hideMark/>
          </w:tcPr>
          <w:p w14:paraId="4117F883" w14:textId="77777777" w:rsidR="00B66CC3" w:rsidRPr="004A5BF7" w:rsidRDefault="00B66CC3" w:rsidP="00B66CC3">
            <w:pPr>
              <w:spacing w:before="0" w:after="0"/>
              <w:jc w:val="center"/>
              <w:rPr>
                <w:rFonts w:cs="Arial"/>
                <w:color w:val="000000"/>
                <w:sz w:val="20"/>
              </w:rPr>
            </w:pPr>
            <w:r w:rsidRPr="004A5BF7">
              <w:rPr>
                <w:rFonts w:cs="Arial"/>
                <w:color w:val="000000"/>
                <w:sz w:val="20"/>
              </w:rPr>
              <w:t>2.70</w:t>
            </w:r>
          </w:p>
        </w:tc>
        <w:tc>
          <w:tcPr>
            <w:tcW w:w="0" w:type="auto"/>
            <w:tcBorders>
              <w:top w:val="nil"/>
              <w:left w:val="nil"/>
              <w:bottom w:val="nil"/>
              <w:right w:val="nil"/>
            </w:tcBorders>
            <w:shd w:val="clear" w:color="auto" w:fill="auto"/>
            <w:noWrap/>
            <w:vAlign w:val="center"/>
            <w:hideMark/>
          </w:tcPr>
          <w:p w14:paraId="4FA59860" w14:textId="77777777" w:rsidR="00B66CC3" w:rsidRPr="004A5BF7" w:rsidRDefault="00B66CC3" w:rsidP="00B66CC3">
            <w:pPr>
              <w:spacing w:before="0" w:after="0"/>
              <w:jc w:val="center"/>
              <w:rPr>
                <w:rFonts w:cs="Arial"/>
                <w:color w:val="000000"/>
                <w:sz w:val="20"/>
              </w:rPr>
            </w:pPr>
            <w:r w:rsidRPr="004A5BF7">
              <w:rPr>
                <w:rFonts w:cs="Arial"/>
                <w:color w:val="000000"/>
                <w:sz w:val="20"/>
              </w:rPr>
              <w:t>0.17</w:t>
            </w:r>
          </w:p>
        </w:tc>
      </w:tr>
      <w:tr w:rsidR="00B66CC3" w:rsidRPr="00E9409C" w14:paraId="14C56B36" w14:textId="77777777" w:rsidTr="00E662D3">
        <w:trPr>
          <w:trHeight w:val="340"/>
          <w:tblHeader/>
        </w:trPr>
        <w:tc>
          <w:tcPr>
            <w:tcW w:w="0" w:type="auto"/>
            <w:tcBorders>
              <w:top w:val="nil"/>
              <w:left w:val="nil"/>
              <w:bottom w:val="nil"/>
              <w:right w:val="nil"/>
            </w:tcBorders>
            <w:shd w:val="clear" w:color="auto" w:fill="auto"/>
            <w:noWrap/>
            <w:vAlign w:val="center"/>
            <w:hideMark/>
          </w:tcPr>
          <w:p w14:paraId="2FE6D107" w14:textId="77777777" w:rsidR="00B66CC3" w:rsidRPr="004A5BF7" w:rsidRDefault="00B66CC3" w:rsidP="00B66CC3">
            <w:pPr>
              <w:spacing w:before="0" w:after="0"/>
              <w:jc w:val="center"/>
              <w:rPr>
                <w:rFonts w:cs="Arial"/>
                <w:color w:val="000000"/>
                <w:sz w:val="20"/>
              </w:rPr>
            </w:pPr>
            <w:r w:rsidRPr="004A5BF7">
              <w:rPr>
                <w:rFonts w:cs="Arial"/>
                <w:color w:val="000000"/>
                <w:sz w:val="20"/>
              </w:rPr>
              <w:t>2004</w:t>
            </w:r>
          </w:p>
        </w:tc>
        <w:tc>
          <w:tcPr>
            <w:tcW w:w="0" w:type="auto"/>
            <w:tcBorders>
              <w:top w:val="nil"/>
              <w:left w:val="nil"/>
              <w:bottom w:val="nil"/>
              <w:right w:val="nil"/>
            </w:tcBorders>
            <w:shd w:val="clear" w:color="auto" w:fill="auto"/>
            <w:noWrap/>
            <w:vAlign w:val="center"/>
            <w:hideMark/>
          </w:tcPr>
          <w:p w14:paraId="44EDBA22"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5,242 </w:t>
            </w:r>
          </w:p>
        </w:tc>
        <w:tc>
          <w:tcPr>
            <w:tcW w:w="0" w:type="auto"/>
            <w:tcBorders>
              <w:top w:val="nil"/>
              <w:left w:val="nil"/>
              <w:bottom w:val="nil"/>
              <w:right w:val="nil"/>
            </w:tcBorders>
            <w:shd w:val="clear" w:color="auto" w:fill="auto"/>
            <w:noWrap/>
            <w:vAlign w:val="center"/>
            <w:hideMark/>
          </w:tcPr>
          <w:p w14:paraId="6F0A73DB"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9,773 </w:t>
            </w:r>
          </w:p>
        </w:tc>
        <w:tc>
          <w:tcPr>
            <w:tcW w:w="0" w:type="auto"/>
            <w:tcBorders>
              <w:top w:val="nil"/>
              <w:left w:val="nil"/>
              <w:bottom w:val="nil"/>
              <w:right w:val="nil"/>
            </w:tcBorders>
            <w:shd w:val="clear" w:color="auto" w:fill="auto"/>
            <w:noWrap/>
            <w:vAlign w:val="center"/>
            <w:hideMark/>
          </w:tcPr>
          <w:p w14:paraId="7F0B79AA"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584 </w:t>
            </w:r>
          </w:p>
        </w:tc>
        <w:tc>
          <w:tcPr>
            <w:tcW w:w="0" w:type="auto"/>
            <w:tcBorders>
              <w:top w:val="nil"/>
              <w:left w:val="nil"/>
              <w:bottom w:val="nil"/>
              <w:right w:val="nil"/>
            </w:tcBorders>
            <w:shd w:val="clear" w:color="auto" w:fill="auto"/>
            <w:noWrap/>
            <w:vAlign w:val="center"/>
            <w:hideMark/>
          </w:tcPr>
          <w:p w14:paraId="7647582E" w14:textId="77777777" w:rsidR="00B66CC3" w:rsidRPr="004A5BF7" w:rsidRDefault="00B66CC3" w:rsidP="00B66CC3">
            <w:pPr>
              <w:spacing w:before="0" w:after="0"/>
              <w:jc w:val="center"/>
              <w:rPr>
                <w:rFonts w:cs="Arial"/>
                <w:color w:val="000000"/>
                <w:sz w:val="20"/>
              </w:rPr>
            </w:pPr>
            <w:r w:rsidRPr="004A5BF7">
              <w:rPr>
                <w:rFonts w:cs="Arial"/>
                <w:color w:val="000000"/>
                <w:sz w:val="20"/>
              </w:rPr>
              <w:t>1.86</w:t>
            </w:r>
          </w:p>
        </w:tc>
        <w:tc>
          <w:tcPr>
            <w:tcW w:w="0" w:type="auto"/>
            <w:tcBorders>
              <w:top w:val="nil"/>
              <w:left w:val="nil"/>
              <w:bottom w:val="nil"/>
              <w:right w:val="nil"/>
            </w:tcBorders>
            <w:shd w:val="clear" w:color="auto" w:fill="auto"/>
            <w:noWrap/>
            <w:vAlign w:val="center"/>
            <w:hideMark/>
          </w:tcPr>
          <w:p w14:paraId="2A0ECC6E" w14:textId="77777777" w:rsidR="00B66CC3" w:rsidRPr="004A5BF7" w:rsidRDefault="00B66CC3" w:rsidP="00B66CC3">
            <w:pPr>
              <w:spacing w:before="0" w:after="0"/>
              <w:jc w:val="center"/>
              <w:rPr>
                <w:rFonts w:cs="Arial"/>
                <w:color w:val="000000"/>
                <w:sz w:val="20"/>
              </w:rPr>
            </w:pPr>
            <w:r w:rsidRPr="004A5BF7">
              <w:rPr>
                <w:rFonts w:cs="Arial"/>
                <w:color w:val="000000"/>
                <w:sz w:val="20"/>
              </w:rPr>
              <w:t>0.11</w:t>
            </w:r>
          </w:p>
        </w:tc>
      </w:tr>
      <w:tr w:rsidR="00B66CC3" w:rsidRPr="00E9409C" w14:paraId="70FE2C5B" w14:textId="77777777" w:rsidTr="00E662D3">
        <w:trPr>
          <w:trHeight w:val="340"/>
          <w:tblHeader/>
        </w:trPr>
        <w:tc>
          <w:tcPr>
            <w:tcW w:w="0" w:type="auto"/>
            <w:tcBorders>
              <w:top w:val="nil"/>
              <w:left w:val="nil"/>
              <w:bottom w:val="nil"/>
              <w:right w:val="nil"/>
            </w:tcBorders>
            <w:shd w:val="clear" w:color="auto" w:fill="auto"/>
            <w:noWrap/>
            <w:vAlign w:val="center"/>
            <w:hideMark/>
          </w:tcPr>
          <w:p w14:paraId="74AEA286" w14:textId="77777777" w:rsidR="00B66CC3" w:rsidRPr="004A5BF7" w:rsidRDefault="00B66CC3" w:rsidP="00B66CC3">
            <w:pPr>
              <w:spacing w:before="0" w:after="0"/>
              <w:jc w:val="center"/>
              <w:rPr>
                <w:rFonts w:cs="Arial"/>
                <w:color w:val="000000"/>
                <w:sz w:val="20"/>
              </w:rPr>
            </w:pPr>
            <w:r w:rsidRPr="004A5BF7">
              <w:rPr>
                <w:rFonts w:cs="Arial"/>
                <w:color w:val="000000"/>
                <w:sz w:val="20"/>
              </w:rPr>
              <w:t>2005</w:t>
            </w:r>
          </w:p>
        </w:tc>
        <w:tc>
          <w:tcPr>
            <w:tcW w:w="0" w:type="auto"/>
            <w:tcBorders>
              <w:top w:val="nil"/>
              <w:left w:val="nil"/>
              <w:bottom w:val="nil"/>
              <w:right w:val="nil"/>
            </w:tcBorders>
            <w:shd w:val="clear" w:color="auto" w:fill="auto"/>
            <w:noWrap/>
            <w:vAlign w:val="center"/>
            <w:hideMark/>
          </w:tcPr>
          <w:p w14:paraId="6A9DD973"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4,678 </w:t>
            </w:r>
          </w:p>
        </w:tc>
        <w:tc>
          <w:tcPr>
            <w:tcW w:w="0" w:type="auto"/>
            <w:tcBorders>
              <w:top w:val="nil"/>
              <w:left w:val="nil"/>
              <w:bottom w:val="nil"/>
              <w:right w:val="nil"/>
            </w:tcBorders>
            <w:shd w:val="clear" w:color="auto" w:fill="auto"/>
            <w:noWrap/>
            <w:vAlign w:val="center"/>
            <w:hideMark/>
          </w:tcPr>
          <w:p w14:paraId="44AC0AD6"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8,776 </w:t>
            </w:r>
          </w:p>
        </w:tc>
        <w:tc>
          <w:tcPr>
            <w:tcW w:w="0" w:type="auto"/>
            <w:tcBorders>
              <w:top w:val="nil"/>
              <w:left w:val="nil"/>
              <w:bottom w:val="nil"/>
              <w:right w:val="nil"/>
            </w:tcBorders>
            <w:shd w:val="clear" w:color="auto" w:fill="auto"/>
            <w:noWrap/>
            <w:vAlign w:val="center"/>
            <w:hideMark/>
          </w:tcPr>
          <w:p w14:paraId="17288977"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501 </w:t>
            </w:r>
          </w:p>
        </w:tc>
        <w:tc>
          <w:tcPr>
            <w:tcW w:w="0" w:type="auto"/>
            <w:tcBorders>
              <w:top w:val="nil"/>
              <w:left w:val="nil"/>
              <w:bottom w:val="nil"/>
              <w:right w:val="nil"/>
            </w:tcBorders>
            <w:shd w:val="clear" w:color="auto" w:fill="auto"/>
            <w:noWrap/>
            <w:vAlign w:val="center"/>
            <w:hideMark/>
          </w:tcPr>
          <w:p w14:paraId="092E45EB" w14:textId="77777777" w:rsidR="00B66CC3" w:rsidRPr="004A5BF7" w:rsidRDefault="00B66CC3" w:rsidP="00B66CC3">
            <w:pPr>
              <w:spacing w:before="0" w:after="0"/>
              <w:jc w:val="center"/>
              <w:rPr>
                <w:rFonts w:cs="Arial"/>
                <w:color w:val="000000"/>
                <w:sz w:val="20"/>
              </w:rPr>
            </w:pPr>
            <w:r w:rsidRPr="004A5BF7">
              <w:rPr>
                <w:rFonts w:cs="Arial"/>
                <w:color w:val="000000"/>
                <w:sz w:val="20"/>
              </w:rPr>
              <w:t>1.88</w:t>
            </w:r>
          </w:p>
        </w:tc>
        <w:tc>
          <w:tcPr>
            <w:tcW w:w="0" w:type="auto"/>
            <w:tcBorders>
              <w:top w:val="nil"/>
              <w:left w:val="nil"/>
              <w:bottom w:val="nil"/>
              <w:right w:val="nil"/>
            </w:tcBorders>
            <w:shd w:val="clear" w:color="auto" w:fill="auto"/>
            <w:noWrap/>
            <w:vAlign w:val="center"/>
            <w:hideMark/>
          </w:tcPr>
          <w:p w14:paraId="4F3CF7E0" w14:textId="77777777" w:rsidR="00B66CC3" w:rsidRPr="004A5BF7" w:rsidRDefault="00B66CC3" w:rsidP="00B66CC3">
            <w:pPr>
              <w:spacing w:before="0" w:after="0"/>
              <w:jc w:val="center"/>
              <w:rPr>
                <w:rFonts w:cs="Arial"/>
                <w:color w:val="000000"/>
                <w:sz w:val="20"/>
              </w:rPr>
            </w:pPr>
            <w:r w:rsidRPr="004A5BF7">
              <w:rPr>
                <w:rFonts w:cs="Arial"/>
                <w:color w:val="000000"/>
                <w:sz w:val="20"/>
              </w:rPr>
              <w:t>0.11</w:t>
            </w:r>
          </w:p>
        </w:tc>
      </w:tr>
      <w:tr w:rsidR="00B66CC3" w:rsidRPr="00E9409C" w14:paraId="0219AC9E" w14:textId="77777777" w:rsidTr="00E662D3">
        <w:trPr>
          <w:trHeight w:val="340"/>
          <w:tblHeader/>
        </w:trPr>
        <w:tc>
          <w:tcPr>
            <w:tcW w:w="0" w:type="auto"/>
            <w:tcBorders>
              <w:top w:val="nil"/>
              <w:left w:val="nil"/>
              <w:bottom w:val="nil"/>
              <w:right w:val="nil"/>
            </w:tcBorders>
            <w:shd w:val="clear" w:color="auto" w:fill="auto"/>
            <w:noWrap/>
            <w:vAlign w:val="center"/>
            <w:hideMark/>
          </w:tcPr>
          <w:p w14:paraId="61F8930C" w14:textId="77777777" w:rsidR="00B66CC3" w:rsidRPr="004A5BF7" w:rsidRDefault="00B66CC3" w:rsidP="00B66CC3">
            <w:pPr>
              <w:spacing w:before="0" w:after="0"/>
              <w:jc w:val="center"/>
              <w:rPr>
                <w:rFonts w:cs="Arial"/>
                <w:color w:val="000000"/>
                <w:sz w:val="20"/>
              </w:rPr>
            </w:pPr>
            <w:r w:rsidRPr="004A5BF7">
              <w:rPr>
                <w:rFonts w:cs="Arial"/>
                <w:color w:val="000000"/>
                <w:sz w:val="20"/>
              </w:rPr>
              <w:t>2006</w:t>
            </w:r>
          </w:p>
        </w:tc>
        <w:tc>
          <w:tcPr>
            <w:tcW w:w="0" w:type="auto"/>
            <w:tcBorders>
              <w:top w:val="nil"/>
              <w:left w:val="nil"/>
              <w:bottom w:val="nil"/>
              <w:right w:val="nil"/>
            </w:tcBorders>
            <w:shd w:val="clear" w:color="auto" w:fill="auto"/>
            <w:noWrap/>
            <w:vAlign w:val="center"/>
            <w:hideMark/>
          </w:tcPr>
          <w:p w14:paraId="182E1418"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6,396 </w:t>
            </w:r>
          </w:p>
        </w:tc>
        <w:tc>
          <w:tcPr>
            <w:tcW w:w="0" w:type="auto"/>
            <w:tcBorders>
              <w:top w:val="nil"/>
              <w:left w:val="nil"/>
              <w:bottom w:val="nil"/>
              <w:right w:val="nil"/>
            </w:tcBorders>
            <w:shd w:val="clear" w:color="auto" w:fill="auto"/>
            <w:noWrap/>
            <w:vAlign w:val="center"/>
            <w:hideMark/>
          </w:tcPr>
          <w:p w14:paraId="3AC5A34D"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9,896 </w:t>
            </w:r>
          </w:p>
        </w:tc>
        <w:tc>
          <w:tcPr>
            <w:tcW w:w="0" w:type="auto"/>
            <w:tcBorders>
              <w:top w:val="nil"/>
              <w:left w:val="nil"/>
              <w:bottom w:val="nil"/>
              <w:right w:val="nil"/>
            </w:tcBorders>
            <w:shd w:val="clear" w:color="auto" w:fill="auto"/>
            <w:noWrap/>
            <w:vAlign w:val="center"/>
            <w:hideMark/>
          </w:tcPr>
          <w:p w14:paraId="4B169EDC"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532 </w:t>
            </w:r>
          </w:p>
        </w:tc>
        <w:tc>
          <w:tcPr>
            <w:tcW w:w="0" w:type="auto"/>
            <w:tcBorders>
              <w:top w:val="nil"/>
              <w:left w:val="nil"/>
              <w:bottom w:val="nil"/>
              <w:right w:val="nil"/>
            </w:tcBorders>
            <w:shd w:val="clear" w:color="auto" w:fill="auto"/>
            <w:noWrap/>
            <w:vAlign w:val="center"/>
            <w:hideMark/>
          </w:tcPr>
          <w:p w14:paraId="3DD92840" w14:textId="77777777" w:rsidR="00B66CC3" w:rsidRPr="004A5BF7" w:rsidRDefault="00B66CC3" w:rsidP="00B66CC3">
            <w:pPr>
              <w:spacing w:before="0" w:after="0"/>
              <w:jc w:val="center"/>
              <w:rPr>
                <w:rFonts w:cs="Arial"/>
                <w:color w:val="000000"/>
                <w:sz w:val="20"/>
              </w:rPr>
            </w:pPr>
            <w:r w:rsidRPr="004A5BF7">
              <w:rPr>
                <w:rFonts w:cs="Arial"/>
                <w:color w:val="000000"/>
                <w:sz w:val="20"/>
              </w:rPr>
              <w:t>1.55</w:t>
            </w:r>
          </w:p>
        </w:tc>
        <w:tc>
          <w:tcPr>
            <w:tcW w:w="0" w:type="auto"/>
            <w:tcBorders>
              <w:top w:val="nil"/>
              <w:left w:val="nil"/>
              <w:bottom w:val="nil"/>
              <w:right w:val="nil"/>
            </w:tcBorders>
            <w:shd w:val="clear" w:color="auto" w:fill="auto"/>
            <w:noWrap/>
            <w:vAlign w:val="center"/>
            <w:hideMark/>
          </w:tcPr>
          <w:p w14:paraId="4EEA0048" w14:textId="77777777" w:rsidR="00B66CC3" w:rsidRPr="004A5BF7" w:rsidRDefault="00B66CC3" w:rsidP="00B66CC3">
            <w:pPr>
              <w:spacing w:before="0" w:after="0"/>
              <w:jc w:val="center"/>
              <w:rPr>
                <w:rFonts w:cs="Arial"/>
                <w:color w:val="000000"/>
                <w:sz w:val="20"/>
              </w:rPr>
            </w:pPr>
            <w:r w:rsidRPr="004A5BF7">
              <w:rPr>
                <w:rFonts w:cs="Arial"/>
                <w:color w:val="000000"/>
                <w:sz w:val="20"/>
              </w:rPr>
              <w:t>0.08</w:t>
            </w:r>
          </w:p>
        </w:tc>
      </w:tr>
      <w:tr w:rsidR="00B66CC3" w:rsidRPr="00E9409C" w14:paraId="74856315" w14:textId="77777777" w:rsidTr="00E662D3">
        <w:trPr>
          <w:trHeight w:val="340"/>
          <w:tblHeader/>
        </w:trPr>
        <w:tc>
          <w:tcPr>
            <w:tcW w:w="0" w:type="auto"/>
            <w:tcBorders>
              <w:top w:val="nil"/>
              <w:left w:val="nil"/>
              <w:bottom w:val="nil"/>
              <w:right w:val="nil"/>
            </w:tcBorders>
            <w:shd w:val="clear" w:color="auto" w:fill="auto"/>
            <w:noWrap/>
            <w:vAlign w:val="center"/>
            <w:hideMark/>
          </w:tcPr>
          <w:p w14:paraId="2DFFD070" w14:textId="77777777" w:rsidR="00B66CC3" w:rsidRPr="004A5BF7" w:rsidRDefault="00B66CC3" w:rsidP="00B66CC3">
            <w:pPr>
              <w:spacing w:before="0" w:after="0"/>
              <w:jc w:val="center"/>
              <w:rPr>
                <w:rFonts w:cs="Arial"/>
                <w:color w:val="000000"/>
                <w:sz w:val="20"/>
              </w:rPr>
            </w:pPr>
            <w:r w:rsidRPr="004A5BF7">
              <w:rPr>
                <w:rFonts w:cs="Arial"/>
                <w:color w:val="000000"/>
                <w:sz w:val="20"/>
              </w:rPr>
              <w:t>2007</w:t>
            </w:r>
          </w:p>
        </w:tc>
        <w:tc>
          <w:tcPr>
            <w:tcW w:w="0" w:type="auto"/>
            <w:tcBorders>
              <w:top w:val="nil"/>
              <w:left w:val="nil"/>
              <w:bottom w:val="nil"/>
              <w:right w:val="nil"/>
            </w:tcBorders>
            <w:shd w:val="clear" w:color="auto" w:fill="auto"/>
            <w:noWrap/>
            <w:vAlign w:val="center"/>
            <w:hideMark/>
          </w:tcPr>
          <w:p w14:paraId="49EC2484"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9,265 </w:t>
            </w:r>
          </w:p>
        </w:tc>
        <w:tc>
          <w:tcPr>
            <w:tcW w:w="0" w:type="auto"/>
            <w:tcBorders>
              <w:top w:val="nil"/>
              <w:left w:val="nil"/>
              <w:bottom w:val="nil"/>
              <w:right w:val="nil"/>
            </w:tcBorders>
            <w:shd w:val="clear" w:color="auto" w:fill="auto"/>
            <w:noWrap/>
            <w:vAlign w:val="center"/>
            <w:hideMark/>
          </w:tcPr>
          <w:p w14:paraId="0341C5E8"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6,864 </w:t>
            </w:r>
          </w:p>
        </w:tc>
        <w:tc>
          <w:tcPr>
            <w:tcW w:w="0" w:type="auto"/>
            <w:tcBorders>
              <w:top w:val="nil"/>
              <w:left w:val="nil"/>
              <w:bottom w:val="nil"/>
              <w:right w:val="nil"/>
            </w:tcBorders>
            <w:shd w:val="clear" w:color="auto" w:fill="auto"/>
            <w:noWrap/>
            <w:vAlign w:val="center"/>
            <w:hideMark/>
          </w:tcPr>
          <w:p w14:paraId="0D52029E"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393 </w:t>
            </w:r>
          </w:p>
        </w:tc>
        <w:tc>
          <w:tcPr>
            <w:tcW w:w="0" w:type="auto"/>
            <w:tcBorders>
              <w:top w:val="nil"/>
              <w:left w:val="nil"/>
              <w:bottom w:val="nil"/>
              <w:right w:val="nil"/>
            </w:tcBorders>
            <w:shd w:val="clear" w:color="auto" w:fill="auto"/>
            <w:noWrap/>
            <w:vAlign w:val="center"/>
            <w:hideMark/>
          </w:tcPr>
          <w:p w14:paraId="1E3B16C2" w14:textId="77777777" w:rsidR="00B66CC3" w:rsidRPr="004A5BF7" w:rsidRDefault="00B66CC3" w:rsidP="00B66CC3">
            <w:pPr>
              <w:spacing w:before="0" w:after="0"/>
              <w:jc w:val="center"/>
              <w:rPr>
                <w:rFonts w:cs="Arial"/>
                <w:color w:val="000000"/>
                <w:sz w:val="20"/>
              </w:rPr>
            </w:pPr>
            <w:r w:rsidRPr="004A5BF7">
              <w:rPr>
                <w:rFonts w:cs="Arial"/>
                <w:color w:val="000000"/>
                <w:sz w:val="20"/>
              </w:rPr>
              <w:t>0.74</w:t>
            </w:r>
          </w:p>
        </w:tc>
        <w:tc>
          <w:tcPr>
            <w:tcW w:w="0" w:type="auto"/>
            <w:tcBorders>
              <w:top w:val="nil"/>
              <w:left w:val="nil"/>
              <w:bottom w:val="nil"/>
              <w:right w:val="nil"/>
            </w:tcBorders>
            <w:shd w:val="clear" w:color="auto" w:fill="auto"/>
            <w:noWrap/>
            <w:vAlign w:val="center"/>
            <w:hideMark/>
          </w:tcPr>
          <w:p w14:paraId="5BE4D327" w14:textId="77777777" w:rsidR="00B66CC3" w:rsidRPr="004A5BF7" w:rsidRDefault="00B66CC3" w:rsidP="00B66CC3">
            <w:pPr>
              <w:spacing w:before="0" w:after="0"/>
              <w:jc w:val="center"/>
              <w:rPr>
                <w:rFonts w:cs="Arial"/>
                <w:color w:val="000000"/>
                <w:sz w:val="20"/>
              </w:rPr>
            </w:pPr>
            <w:r w:rsidRPr="004A5BF7">
              <w:rPr>
                <w:rFonts w:cs="Arial"/>
                <w:color w:val="000000"/>
                <w:sz w:val="20"/>
              </w:rPr>
              <w:t>0.04</w:t>
            </w:r>
          </w:p>
        </w:tc>
      </w:tr>
      <w:tr w:rsidR="00B66CC3" w:rsidRPr="00E9409C" w14:paraId="65569876" w14:textId="77777777" w:rsidTr="00E662D3">
        <w:trPr>
          <w:trHeight w:val="340"/>
          <w:tblHeader/>
        </w:trPr>
        <w:tc>
          <w:tcPr>
            <w:tcW w:w="0" w:type="auto"/>
            <w:tcBorders>
              <w:top w:val="nil"/>
              <w:left w:val="nil"/>
              <w:bottom w:val="nil"/>
              <w:right w:val="nil"/>
            </w:tcBorders>
            <w:shd w:val="clear" w:color="auto" w:fill="auto"/>
            <w:noWrap/>
            <w:vAlign w:val="center"/>
            <w:hideMark/>
          </w:tcPr>
          <w:p w14:paraId="3C3711F8" w14:textId="77777777" w:rsidR="00B66CC3" w:rsidRPr="004A5BF7" w:rsidRDefault="00B66CC3" w:rsidP="00B66CC3">
            <w:pPr>
              <w:spacing w:before="0" w:after="0"/>
              <w:jc w:val="center"/>
              <w:rPr>
                <w:rFonts w:cs="Arial"/>
                <w:color w:val="000000"/>
                <w:sz w:val="20"/>
              </w:rPr>
            </w:pPr>
            <w:r w:rsidRPr="004A5BF7">
              <w:rPr>
                <w:rFonts w:cs="Arial"/>
                <w:color w:val="000000"/>
                <w:sz w:val="20"/>
              </w:rPr>
              <w:t>2008</w:t>
            </w:r>
          </w:p>
        </w:tc>
        <w:tc>
          <w:tcPr>
            <w:tcW w:w="0" w:type="auto"/>
            <w:tcBorders>
              <w:top w:val="nil"/>
              <w:left w:val="nil"/>
              <w:bottom w:val="nil"/>
              <w:right w:val="nil"/>
            </w:tcBorders>
            <w:shd w:val="clear" w:color="auto" w:fill="auto"/>
            <w:noWrap/>
            <w:vAlign w:val="center"/>
            <w:hideMark/>
          </w:tcPr>
          <w:p w14:paraId="27B91BF4"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15,653 </w:t>
            </w:r>
          </w:p>
        </w:tc>
        <w:tc>
          <w:tcPr>
            <w:tcW w:w="0" w:type="auto"/>
            <w:tcBorders>
              <w:top w:val="nil"/>
              <w:left w:val="nil"/>
              <w:bottom w:val="nil"/>
              <w:right w:val="nil"/>
            </w:tcBorders>
            <w:shd w:val="clear" w:color="auto" w:fill="auto"/>
            <w:noWrap/>
            <w:vAlign w:val="center"/>
            <w:hideMark/>
          </w:tcPr>
          <w:p w14:paraId="037236B6"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7,607 </w:t>
            </w:r>
          </w:p>
        </w:tc>
        <w:tc>
          <w:tcPr>
            <w:tcW w:w="0" w:type="auto"/>
            <w:tcBorders>
              <w:top w:val="nil"/>
              <w:left w:val="nil"/>
              <w:bottom w:val="nil"/>
              <w:right w:val="nil"/>
            </w:tcBorders>
            <w:shd w:val="clear" w:color="auto" w:fill="auto"/>
            <w:noWrap/>
            <w:vAlign w:val="center"/>
            <w:hideMark/>
          </w:tcPr>
          <w:p w14:paraId="4FA99A24"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468 </w:t>
            </w:r>
          </w:p>
        </w:tc>
        <w:tc>
          <w:tcPr>
            <w:tcW w:w="0" w:type="auto"/>
            <w:tcBorders>
              <w:top w:val="nil"/>
              <w:left w:val="nil"/>
              <w:bottom w:val="nil"/>
              <w:right w:val="nil"/>
            </w:tcBorders>
            <w:shd w:val="clear" w:color="auto" w:fill="auto"/>
            <w:noWrap/>
            <w:vAlign w:val="center"/>
            <w:hideMark/>
          </w:tcPr>
          <w:p w14:paraId="388B2F7F" w14:textId="77777777" w:rsidR="00B66CC3" w:rsidRPr="004A5BF7" w:rsidRDefault="00B66CC3" w:rsidP="00B66CC3">
            <w:pPr>
              <w:spacing w:before="0" w:after="0"/>
              <w:jc w:val="center"/>
              <w:rPr>
                <w:rFonts w:cs="Arial"/>
                <w:color w:val="000000"/>
                <w:sz w:val="20"/>
              </w:rPr>
            </w:pPr>
            <w:r w:rsidRPr="004A5BF7">
              <w:rPr>
                <w:rFonts w:cs="Arial"/>
                <w:color w:val="000000"/>
                <w:sz w:val="20"/>
              </w:rPr>
              <w:t>0.49</w:t>
            </w:r>
          </w:p>
        </w:tc>
        <w:tc>
          <w:tcPr>
            <w:tcW w:w="0" w:type="auto"/>
            <w:tcBorders>
              <w:top w:val="nil"/>
              <w:left w:val="nil"/>
              <w:bottom w:val="nil"/>
              <w:right w:val="nil"/>
            </w:tcBorders>
            <w:shd w:val="clear" w:color="auto" w:fill="auto"/>
            <w:noWrap/>
            <w:vAlign w:val="center"/>
            <w:hideMark/>
          </w:tcPr>
          <w:p w14:paraId="4EA9DB80" w14:textId="77777777" w:rsidR="00B66CC3" w:rsidRPr="004A5BF7" w:rsidRDefault="00B66CC3" w:rsidP="00B66CC3">
            <w:pPr>
              <w:spacing w:before="0" w:after="0"/>
              <w:jc w:val="center"/>
              <w:rPr>
                <w:rFonts w:cs="Arial"/>
                <w:color w:val="000000"/>
                <w:sz w:val="20"/>
              </w:rPr>
            </w:pPr>
            <w:r w:rsidRPr="004A5BF7">
              <w:rPr>
                <w:rFonts w:cs="Arial"/>
                <w:color w:val="000000"/>
                <w:sz w:val="20"/>
              </w:rPr>
              <w:t>0.03</w:t>
            </w:r>
          </w:p>
        </w:tc>
      </w:tr>
      <w:tr w:rsidR="00B66CC3" w:rsidRPr="00E9409C" w14:paraId="3FB66652" w14:textId="77777777" w:rsidTr="00E662D3">
        <w:trPr>
          <w:trHeight w:val="340"/>
          <w:tblHeader/>
        </w:trPr>
        <w:tc>
          <w:tcPr>
            <w:tcW w:w="0" w:type="auto"/>
            <w:tcBorders>
              <w:top w:val="nil"/>
              <w:left w:val="nil"/>
              <w:bottom w:val="nil"/>
              <w:right w:val="nil"/>
            </w:tcBorders>
            <w:shd w:val="clear" w:color="auto" w:fill="auto"/>
            <w:noWrap/>
            <w:vAlign w:val="center"/>
            <w:hideMark/>
          </w:tcPr>
          <w:p w14:paraId="4623D456" w14:textId="77777777" w:rsidR="00B66CC3" w:rsidRPr="004A5BF7" w:rsidRDefault="00B66CC3" w:rsidP="00B66CC3">
            <w:pPr>
              <w:spacing w:before="0" w:after="0"/>
              <w:jc w:val="center"/>
              <w:rPr>
                <w:rFonts w:cs="Arial"/>
                <w:color w:val="000000"/>
                <w:sz w:val="20"/>
              </w:rPr>
            </w:pPr>
            <w:r w:rsidRPr="004A5BF7">
              <w:rPr>
                <w:rFonts w:cs="Arial"/>
                <w:color w:val="000000"/>
                <w:sz w:val="20"/>
              </w:rPr>
              <w:t>2009</w:t>
            </w:r>
          </w:p>
        </w:tc>
        <w:tc>
          <w:tcPr>
            <w:tcW w:w="0" w:type="auto"/>
            <w:tcBorders>
              <w:top w:val="nil"/>
              <w:left w:val="nil"/>
              <w:bottom w:val="nil"/>
              <w:right w:val="nil"/>
            </w:tcBorders>
            <w:shd w:val="clear" w:color="auto" w:fill="auto"/>
            <w:noWrap/>
            <w:vAlign w:val="center"/>
            <w:hideMark/>
          </w:tcPr>
          <w:p w14:paraId="6795CF8A"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17,613 </w:t>
            </w:r>
          </w:p>
        </w:tc>
        <w:tc>
          <w:tcPr>
            <w:tcW w:w="0" w:type="auto"/>
            <w:tcBorders>
              <w:top w:val="nil"/>
              <w:left w:val="nil"/>
              <w:bottom w:val="nil"/>
              <w:right w:val="nil"/>
            </w:tcBorders>
            <w:shd w:val="clear" w:color="auto" w:fill="auto"/>
            <w:noWrap/>
            <w:vAlign w:val="center"/>
            <w:hideMark/>
          </w:tcPr>
          <w:p w14:paraId="7947DB56"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8,510 </w:t>
            </w:r>
          </w:p>
        </w:tc>
        <w:tc>
          <w:tcPr>
            <w:tcW w:w="0" w:type="auto"/>
            <w:tcBorders>
              <w:top w:val="nil"/>
              <w:left w:val="nil"/>
              <w:bottom w:val="nil"/>
              <w:right w:val="nil"/>
            </w:tcBorders>
            <w:shd w:val="clear" w:color="auto" w:fill="auto"/>
            <w:noWrap/>
            <w:vAlign w:val="center"/>
            <w:hideMark/>
          </w:tcPr>
          <w:p w14:paraId="54B67C42"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489 </w:t>
            </w:r>
          </w:p>
        </w:tc>
        <w:tc>
          <w:tcPr>
            <w:tcW w:w="0" w:type="auto"/>
            <w:tcBorders>
              <w:top w:val="nil"/>
              <w:left w:val="nil"/>
              <w:bottom w:val="nil"/>
              <w:right w:val="nil"/>
            </w:tcBorders>
            <w:shd w:val="clear" w:color="auto" w:fill="auto"/>
            <w:noWrap/>
            <w:vAlign w:val="center"/>
            <w:hideMark/>
          </w:tcPr>
          <w:p w14:paraId="77C9E04A" w14:textId="77777777" w:rsidR="00B66CC3" w:rsidRPr="004A5BF7" w:rsidRDefault="00B66CC3" w:rsidP="00B66CC3">
            <w:pPr>
              <w:spacing w:before="0" w:after="0"/>
              <w:jc w:val="center"/>
              <w:rPr>
                <w:rFonts w:cs="Arial"/>
                <w:color w:val="000000"/>
                <w:sz w:val="20"/>
              </w:rPr>
            </w:pPr>
            <w:r w:rsidRPr="004A5BF7">
              <w:rPr>
                <w:rFonts w:cs="Arial"/>
                <w:color w:val="000000"/>
                <w:sz w:val="20"/>
              </w:rPr>
              <w:t>0.48</w:t>
            </w:r>
          </w:p>
        </w:tc>
        <w:tc>
          <w:tcPr>
            <w:tcW w:w="0" w:type="auto"/>
            <w:tcBorders>
              <w:top w:val="nil"/>
              <w:left w:val="nil"/>
              <w:bottom w:val="nil"/>
              <w:right w:val="nil"/>
            </w:tcBorders>
            <w:shd w:val="clear" w:color="auto" w:fill="auto"/>
            <w:noWrap/>
            <w:vAlign w:val="center"/>
            <w:hideMark/>
          </w:tcPr>
          <w:p w14:paraId="16AE81CD" w14:textId="77777777" w:rsidR="00B66CC3" w:rsidRPr="004A5BF7" w:rsidRDefault="00B66CC3" w:rsidP="00B66CC3">
            <w:pPr>
              <w:spacing w:before="0" w:after="0"/>
              <w:jc w:val="center"/>
              <w:rPr>
                <w:rFonts w:cs="Arial"/>
                <w:color w:val="000000"/>
                <w:sz w:val="20"/>
              </w:rPr>
            </w:pPr>
            <w:r w:rsidRPr="004A5BF7">
              <w:rPr>
                <w:rFonts w:cs="Arial"/>
                <w:color w:val="000000"/>
                <w:sz w:val="20"/>
              </w:rPr>
              <w:t>0.03</w:t>
            </w:r>
          </w:p>
        </w:tc>
      </w:tr>
      <w:tr w:rsidR="00B66CC3" w:rsidRPr="00E9409C" w14:paraId="28E7FBA9" w14:textId="77777777" w:rsidTr="00E662D3">
        <w:trPr>
          <w:trHeight w:val="340"/>
          <w:tblHeader/>
        </w:trPr>
        <w:tc>
          <w:tcPr>
            <w:tcW w:w="0" w:type="auto"/>
            <w:tcBorders>
              <w:top w:val="nil"/>
              <w:left w:val="nil"/>
              <w:bottom w:val="nil"/>
              <w:right w:val="nil"/>
            </w:tcBorders>
            <w:shd w:val="clear" w:color="auto" w:fill="auto"/>
            <w:noWrap/>
            <w:vAlign w:val="center"/>
            <w:hideMark/>
          </w:tcPr>
          <w:p w14:paraId="53803141" w14:textId="77777777" w:rsidR="00B66CC3" w:rsidRPr="004A5BF7" w:rsidRDefault="00B66CC3" w:rsidP="00B66CC3">
            <w:pPr>
              <w:spacing w:before="0" w:after="0"/>
              <w:jc w:val="center"/>
              <w:rPr>
                <w:rFonts w:cs="Arial"/>
                <w:color w:val="000000"/>
                <w:sz w:val="20"/>
              </w:rPr>
            </w:pPr>
            <w:r w:rsidRPr="004A5BF7">
              <w:rPr>
                <w:rFonts w:cs="Arial"/>
                <w:color w:val="000000"/>
                <w:sz w:val="20"/>
              </w:rPr>
              <w:t>2010</w:t>
            </w:r>
          </w:p>
        </w:tc>
        <w:tc>
          <w:tcPr>
            <w:tcW w:w="0" w:type="auto"/>
            <w:tcBorders>
              <w:top w:val="nil"/>
              <w:left w:val="nil"/>
              <w:bottom w:val="nil"/>
              <w:right w:val="nil"/>
            </w:tcBorders>
            <w:shd w:val="clear" w:color="auto" w:fill="auto"/>
            <w:noWrap/>
            <w:vAlign w:val="center"/>
            <w:hideMark/>
          </w:tcPr>
          <w:p w14:paraId="77EE5FCE"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11,033 </w:t>
            </w:r>
          </w:p>
        </w:tc>
        <w:tc>
          <w:tcPr>
            <w:tcW w:w="0" w:type="auto"/>
            <w:tcBorders>
              <w:top w:val="nil"/>
              <w:left w:val="nil"/>
              <w:bottom w:val="nil"/>
              <w:right w:val="nil"/>
            </w:tcBorders>
            <w:shd w:val="clear" w:color="auto" w:fill="auto"/>
            <w:noWrap/>
            <w:vAlign w:val="center"/>
            <w:hideMark/>
          </w:tcPr>
          <w:p w14:paraId="0EDE4FD6"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8,073 </w:t>
            </w:r>
          </w:p>
        </w:tc>
        <w:tc>
          <w:tcPr>
            <w:tcW w:w="0" w:type="auto"/>
            <w:tcBorders>
              <w:top w:val="nil"/>
              <w:left w:val="nil"/>
              <w:bottom w:val="nil"/>
              <w:right w:val="nil"/>
            </w:tcBorders>
            <w:shd w:val="clear" w:color="auto" w:fill="auto"/>
            <w:noWrap/>
            <w:vAlign w:val="center"/>
            <w:hideMark/>
          </w:tcPr>
          <w:p w14:paraId="01A96ABC"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472 </w:t>
            </w:r>
          </w:p>
        </w:tc>
        <w:tc>
          <w:tcPr>
            <w:tcW w:w="0" w:type="auto"/>
            <w:tcBorders>
              <w:top w:val="nil"/>
              <w:left w:val="nil"/>
              <w:bottom w:val="nil"/>
              <w:right w:val="nil"/>
            </w:tcBorders>
            <w:shd w:val="clear" w:color="auto" w:fill="auto"/>
            <w:noWrap/>
            <w:vAlign w:val="center"/>
            <w:hideMark/>
          </w:tcPr>
          <w:p w14:paraId="5B70654B" w14:textId="77777777" w:rsidR="00B66CC3" w:rsidRPr="004A5BF7" w:rsidRDefault="00B66CC3" w:rsidP="00B66CC3">
            <w:pPr>
              <w:spacing w:before="0" w:after="0"/>
              <w:jc w:val="center"/>
              <w:rPr>
                <w:rFonts w:cs="Arial"/>
                <w:color w:val="000000"/>
                <w:sz w:val="20"/>
              </w:rPr>
            </w:pPr>
            <w:r w:rsidRPr="004A5BF7">
              <w:rPr>
                <w:rFonts w:cs="Arial"/>
                <w:color w:val="000000"/>
                <w:sz w:val="20"/>
              </w:rPr>
              <w:t>0.73</w:t>
            </w:r>
          </w:p>
        </w:tc>
        <w:tc>
          <w:tcPr>
            <w:tcW w:w="0" w:type="auto"/>
            <w:tcBorders>
              <w:top w:val="nil"/>
              <w:left w:val="nil"/>
              <w:bottom w:val="nil"/>
              <w:right w:val="nil"/>
            </w:tcBorders>
            <w:shd w:val="clear" w:color="auto" w:fill="auto"/>
            <w:noWrap/>
            <w:vAlign w:val="center"/>
            <w:hideMark/>
          </w:tcPr>
          <w:p w14:paraId="01EAD487" w14:textId="77777777" w:rsidR="00B66CC3" w:rsidRPr="004A5BF7" w:rsidRDefault="00B66CC3" w:rsidP="00B66CC3">
            <w:pPr>
              <w:spacing w:before="0" w:after="0"/>
              <w:jc w:val="center"/>
              <w:rPr>
                <w:rFonts w:cs="Arial"/>
                <w:color w:val="000000"/>
                <w:sz w:val="20"/>
              </w:rPr>
            </w:pPr>
            <w:r w:rsidRPr="004A5BF7">
              <w:rPr>
                <w:rFonts w:cs="Arial"/>
                <w:color w:val="000000"/>
                <w:sz w:val="20"/>
              </w:rPr>
              <w:t>0.04</w:t>
            </w:r>
          </w:p>
        </w:tc>
      </w:tr>
      <w:tr w:rsidR="00B66CC3" w:rsidRPr="00E9409C" w14:paraId="7068C236" w14:textId="77777777" w:rsidTr="00E662D3">
        <w:trPr>
          <w:trHeight w:val="340"/>
          <w:tblHeader/>
        </w:trPr>
        <w:tc>
          <w:tcPr>
            <w:tcW w:w="0" w:type="auto"/>
            <w:tcBorders>
              <w:top w:val="nil"/>
              <w:left w:val="nil"/>
              <w:bottom w:val="nil"/>
              <w:right w:val="nil"/>
            </w:tcBorders>
            <w:shd w:val="clear" w:color="auto" w:fill="auto"/>
            <w:noWrap/>
            <w:vAlign w:val="center"/>
            <w:hideMark/>
          </w:tcPr>
          <w:p w14:paraId="66AE5A36" w14:textId="77777777" w:rsidR="00B66CC3" w:rsidRPr="004A5BF7" w:rsidRDefault="00B66CC3" w:rsidP="00B66CC3">
            <w:pPr>
              <w:spacing w:before="0" w:after="0"/>
              <w:jc w:val="center"/>
              <w:rPr>
                <w:rFonts w:cs="Arial"/>
                <w:color w:val="000000"/>
                <w:sz w:val="20"/>
              </w:rPr>
            </w:pPr>
            <w:r w:rsidRPr="004A5BF7">
              <w:rPr>
                <w:rFonts w:cs="Arial"/>
                <w:color w:val="000000"/>
                <w:sz w:val="20"/>
              </w:rPr>
              <w:t>2011</w:t>
            </w:r>
          </w:p>
        </w:tc>
        <w:tc>
          <w:tcPr>
            <w:tcW w:w="0" w:type="auto"/>
            <w:tcBorders>
              <w:top w:val="nil"/>
              <w:left w:val="nil"/>
              <w:bottom w:val="nil"/>
              <w:right w:val="nil"/>
            </w:tcBorders>
            <w:shd w:val="clear" w:color="auto" w:fill="auto"/>
            <w:noWrap/>
            <w:vAlign w:val="center"/>
            <w:hideMark/>
          </w:tcPr>
          <w:p w14:paraId="49C7B5F7"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29,958 </w:t>
            </w:r>
          </w:p>
        </w:tc>
        <w:tc>
          <w:tcPr>
            <w:tcW w:w="0" w:type="auto"/>
            <w:tcBorders>
              <w:top w:val="nil"/>
              <w:left w:val="nil"/>
              <w:bottom w:val="nil"/>
              <w:right w:val="nil"/>
            </w:tcBorders>
            <w:shd w:val="clear" w:color="auto" w:fill="auto"/>
            <w:noWrap/>
            <w:vAlign w:val="center"/>
            <w:hideMark/>
          </w:tcPr>
          <w:p w14:paraId="0D9C913C"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9,990 </w:t>
            </w:r>
          </w:p>
        </w:tc>
        <w:tc>
          <w:tcPr>
            <w:tcW w:w="0" w:type="auto"/>
            <w:tcBorders>
              <w:top w:val="nil"/>
              <w:left w:val="nil"/>
              <w:bottom w:val="nil"/>
              <w:right w:val="nil"/>
            </w:tcBorders>
            <w:shd w:val="clear" w:color="auto" w:fill="auto"/>
            <w:noWrap/>
            <w:vAlign w:val="center"/>
            <w:hideMark/>
          </w:tcPr>
          <w:p w14:paraId="4A7C6FBB"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728 </w:t>
            </w:r>
          </w:p>
        </w:tc>
        <w:tc>
          <w:tcPr>
            <w:tcW w:w="0" w:type="auto"/>
            <w:tcBorders>
              <w:top w:val="nil"/>
              <w:left w:val="nil"/>
              <w:bottom w:val="nil"/>
              <w:right w:val="nil"/>
            </w:tcBorders>
            <w:shd w:val="clear" w:color="auto" w:fill="auto"/>
            <w:noWrap/>
            <w:vAlign w:val="center"/>
            <w:hideMark/>
          </w:tcPr>
          <w:p w14:paraId="22D736F9" w14:textId="77777777" w:rsidR="00B66CC3" w:rsidRPr="004A5BF7" w:rsidRDefault="00B66CC3" w:rsidP="00B66CC3">
            <w:pPr>
              <w:spacing w:before="0" w:after="0"/>
              <w:jc w:val="center"/>
              <w:rPr>
                <w:rFonts w:cs="Arial"/>
                <w:color w:val="000000"/>
                <w:sz w:val="20"/>
              </w:rPr>
            </w:pPr>
            <w:r w:rsidRPr="004A5BF7">
              <w:rPr>
                <w:rFonts w:cs="Arial"/>
                <w:color w:val="000000"/>
                <w:sz w:val="20"/>
              </w:rPr>
              <w:t>0.33</w:t>
            </w:r>
          </w:p>
        </w:tc>
        <w:tc>
          <w:tcPr>
            <w:tcW w:w="0" w:type="auto"/>
            <w:tcBorders>
              <w:top w:val="nil"/>
              <w:left w:val="nil"/>
              <w:bottom w:val="nil"/>
              <w:right w:val="nil"/>
            </w:tcBorders>
            <w:shd w:val="clear" w:color="auto" w:fill="auto"/>
            <w:noWrap/>
            <w:vAlign w:val="center"/>
            <w:hideMark/>
          </w:tcPr>
          <w:p w14:paraId="3564A05C" w14:textId="77777777" w:rsidR="00B66CC3" w:rsidRPr="004A5BF7" w:rsidRDefault="00B66CC3" w:rsidP="00B66CC3">
            <w:pPr>
              <w:spacing w:before="0" w:after="0"/>
              <w:jc w:val="center"/>
              <w:rPr>
                <w:rFonts w:cs="Arial"/>
                <w:color w:val="000000"/>
                <w:sz w:val="20"/>
              </w:rPr>
            </w:pPr>
            <w:r w:rsidRPr="004A5BF7">
              <w:rPr>
                <w:rFonts w:cs="Arial"/>
                <w:color w:val="000000"/>
                <w:sz w:val="20"/>
              </w:rPr>
              <w:t>0.02</w:t>
            </w:r>
          </w:p>
        </w:tc>
      </w:tr>
      <w:tr w:rsidR="00B66CC3" w:rsidRPr="00E9409C" w14:paraId="2F0F4CDA" w14:textId="77777777" w:rsidTr="00E662D3">
        <w:trPr>
          <w:trHeight w:val="340"/>
          <w:tblHeader/>
        </w:trPr>
        <w:tc>
          <w:tcPr>
            <w:tcW w:w="0" w:type="auto"/>
            <w:tcBorders>
              <w:top w:val="nil"/>
              <w:left w:val="nil"/>
              <w:bottom w:val="nil"/>
              <w:right w:val="nil"/>
            </w:tcBorders>
            <w:shd w:val="clear" w:color="auto" w:fill="auto"/>
            <w:noWrap/>
            <w:vAlign w:val="center"/>
            <w:hideMark/>
          </w:tcPr>
          <w:p w14:paraId="7DEF74D2" w14:textId="77777777" w:rsidR="00B66CC3" w:rsidRPr="004A5BF7" w:rsidRDefault="00B66CC3" w:rsidP="00B66CC3">
            <w:pPr>
              <w:spacing w:before="0" w:after="0"/>
              <w:jc w:val="center"/>
              <w:rPr>
                <w:rFonts w:cs="Arial"/>
                <w:color w:val="000000"/>
                <w:sz w:val="20"/>
              </w:rPr>
            </w:pPr>
            <w:r w:rsidRPr="004A5BF7">
              <w:rPr>
                <w:rFonts w:cs="Arial"/>
                <w:color w:val="000000"/>
                <w:sz w:val="20"/>
              </w:rPr>
              <w:t>2012</w:t>
            </w:r>
          </w:p>
        </w:tc>
        <w:tc>
          <w:tcPr>
            <w:tcW w:w="0" w:type="auto"/>
            <w:tcBorders>
              <w:top w:val="nil"/>
              <w:left w:val="nil"/>
              <w:bottom w:val="nil"/>
              <w:right w:val="nil"/>
            </w:tcBorders>
            <w:shd w:val="clear" w:color="auto" w:fill="auto"/>
            <w:noWrap/>
            <w:vAlign w:val="center"/>
            <w:hideMark/>
          </w:tcPr>
          <w:p w14:paraId="66618902"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13,873 </w:t>
            </w:r>
          </w:p>
        </w:tc>
        <w:tc>
          <w:tcPr>
            <w:tcW w:w="0" w:type="auto"/>
            <w:tcBorders>
              <w:top w:val="nil"/>
              <w:left w:val="nil"/>
              <w:bottom w:val="nil"/>
              <w:right w:val="nil"/>
            </w:tcBorders>
            <w:shd w:val="clear" w:color="auto" w:fill="auto"/>
            <w:noWrap/>
            <w:vAlign w:val="center"/>
            <w:hideMark/>
          </w:tcPr>
          <w:p w14:paraId="46D20125"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6,503 </w:t>
            </w:r>
          </w:p>
        </w:tc>
        <w:tc>
          <w:tcPr>
            <w:tcW w:w="0" w:type="auto"/>
            <w:tcBorders>
              <w:top w:val="nil"/>
              <w:left w:val="nil"/>
              <w:bottom w:val="nil"/>
              <w:right w:val="nil"/>
            </w:tcBorders>
            <w:shd w:val="clear" w:color="auto" w:fill="auto"/>
            <w:noWrap/>
            <w:vAlign w:val="center"/>
            <w:hideMark/>
          </w:tcPr>
          <w:p w14:paraId="0182C61B"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435 </w:t>
            </w:r>
          </w:p>
        </w:tc>
        <w:tc>
          <w:tcPr>
            <w:tcW w:w="0" w:type="auto"/>
            <w:tcBorders>
              <w:top w:val="nil"/>
              <w:left w:val="nil"/>
              <w:bottom w:val="nil"/>
              <w:right w:val="nil"/>
            </w:tcBorders>
            <w:shd w:val="clear" w:color="auto" w:fill="auto"/>
            <w:noWrap/>
            <w:vAlign w:val="center"/>
            <w:hideMark/>
          </w:tcPr>
          <w:p w14:paraId="10F6AF3C" w14:textId="77777777" w:rsidR="00B66CC3" w:rsidRPr="004A5BF7" w:rsidRDefault="00B66CC3" w:rsidP="00B66CC3">
            <w:pPr>
              <w:spacing w:before="0" w:after="0"/>
              <w:jc w:val="center"/>
              <w:rPr>
                <w:rFonts w:cs="Arial"/>
                <w:color w:val="000000"/>
                <w:sz w:val="20"/>
              </w:rPr>
            </w:pPr>
            <w:r w:rsidRPr="004A5BF7">
              <w:rPr>
                <w:rFonts w:cs="Arial"/>
                <w:color w:val="000000"/>
                <w:sz w:val="20"/>
              </w:rPr>
              <w:t>0.47</w:t>
            </w:r>
          </w:p>
        </w:tc>
        <w:tc>
          <w:tcPr>
            <w:tcW w:w="0" w:type="auto"/>
            <w:tcBorders>
              <w:top w:val="nil"/>
              <w:left w:val="nil"/>
              <w:bottom w:val="nil"/>
              <w:right w:val="nil"/>
            </w:tcBorders>
            <w:shd w:val="clear" w:color="auto" w:fill="auto"/>
            <w:noWrap/>
            <w:vAlign w:val="center"/>
            <w:hideMark/>
          </w:tcPr>
          <w:p w14:paraId="62AD57D4" w14:textId="77777777" w:rsidR="00B66CC3" w:rsidRPr="004A5BF7" w:rsidRDefault="00B66CC3" w:rsidP="00B66CC3">
            <w:pPr>
              <w:spacing w:before="0" w:after="0"/>
              <w:jc w:val="center"/>
              <w:rPr>
                <w:rFonts w:cs="Arial"/>
                <w:color w:val="000000"/>
                <w:sz w:val="20"/>
              </w:rPr>
            </w:pPr>
            <w:r w:rsidRPr="004A5BF7">
              <w:rPr>
                <w:rFonts w:cs="Arial"/>
                <w:color w:val="000000"/>
                <w:sz w:val="20"/>
              </w:rPr>
              <w:t>0.03</w:t>
            </w:r>
          </w:p>
        </w:tc>
      </w:tr>
      <w:tr w:rsidR="00B66CC3" w:rsidRPr="00E9409C" w14:paraId="41BB74D3" w14:textId="77777777" w:rsidTr="00E662D3">
        <w:trPr>
          <w:trHeight w:val="340"/>
          <w:tblHeader/>
        </w:trPr>
        <w:tc>
          <w:tcPr>
            <w:tcW w:w="0" w:type="auto"/>
            <w:tcBorders>
              <w:top w:val="nil"/>
              <w:left w:val="nil"/>
              <w:bottom w:val="nil"/>
              <w:right w:val="nil"/>
            </w:tcBorders>
            <w:shd w:val="clear" w:color="auto" w:fill="auto"/>
            <w:noWrap/>
            <w:vAlign w:val="center"/>
            <w:hideMark/>
          </w:tcPr>
          <w:p w14:paraId="7904077B" w14:textId="77777777" w:rsidR="00B66CC3" w:rsidRPr="004A5BF7" w:rsidRDefault="00B66CC3" w:rsidP="00B66CC3">
            <w:pPr>
              <w:spacing w:before="0" w:after="0"/>
              <w:jc w:val="center"/>
              <w:rPr>
                <w:rFonts w:cs="Arial"/>
                <w:color w:val="000000"/>
                <w:sz w:val="20"/>
              </w:rPr>
            </w:pPr>
            <w:r w:rsidRPr="004A5BF7">
              <w:rPr>
                <w:rFonts w:cs="Arial"/>
                <w:color w:val="000000"/>
                <w:sz w:val="20"/>
              </w:rPr>
              <w:t>2013</w:t>
            </w:r>
          </w:p>
        </w:tc>
        <w:tc>
          <w:tcPr>
            <w:tcW w:w="0" w:type="auto"/>
            <w:tcBorders>
              <w:top w:val="nil"/>
              <w:left w:val="nil"/>
              <w:bottom w:val="nil"/>
              <w:right w:val="nil"/>
            </w:tcBorders>
            <w:shd w:val="clear" w:color="auto" w:fill="auto"/>
            <w:noWrap/>
            <w:vAlign w:val="center"/>
            <w:hideMark/>
          </w:tcPr>
          <w:p w14:paraId="2A9FF40B"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7,470 </w:t>
            </w:r>
          </w:p>
        </w:tc>
        <w:tc>
          <w:tcPr>
            <w:tcW w:w="0" w:type="auto"/>
            <w:tcBorders>
              <w:top w:val="nil"/>
              <w:left w:val="nil"/>
              <w:bottom w:val="nil"/>
              <w:right w:val="nil"/>
            </w:tcBorders>
            <w:shd w:val="clear" w:color="auto" w:fill="auto"/>
            <w:noWrap/>
            <w:vAlign w:val="center"/>
            <w:hideMark/>
          </w:tcPr>
          <w:p w14:paraId="5562154C"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10,781 </w:t>
            </w:r>
          </w:p>
        </w:tc>
        <w:tc>
          <w:tcPr>
            <w:tcW w:w="0" w:type="auto"/>
            <w:tcBorders>
              <w:top w:val="nil"/>
              <w:left w:val="nil"/>
              <w:bottom w:val="nil"/>
              <w:right w:val="nil"/>
            </w:tcBorders>
            <w:shd w:val="clear" w:color="auto" w:fill="auto"/>
            <w:noWrap/>
            <w:vAlign w:val="center"/>
            <w:hideMark/>
          </w:tcPr>
          <w:p w14:paraId="2ED7F381"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615 </w:t>
            </w:r>
          </w:p>
        </w:tc>
        <w:tc>
          <w:tcPr>
            <w:tcW w:w="0" w:type="auto"/>
            <w:tcBorders>
              <w:top w:val="nil"/>
              <w:left w:val="nil"/>
              <w:bottom w:val="nil"/>
              <w:right w:val="nil"/>
            </w:tcBorders>
            <w:shd w:val="clear" w:color="auto" w:fill="auto"/>
            <w:noWrap/>
            <w:vAlign w:val="center"/>
            <w:hideMark/>
          </w:tcPr>
          <w:p w14:paraId="2DA56F1C" w14:textId="77777777" w:rsidR="00B66CC3" w:rsidRPr="004A5BF7" w:rsidRDefault="00B66CC3" w:rsidP="00B66CC3">
            <w:pPr>
              <w:spacing w:before="0" w:after="0"/>
              <w:jc w:val="center"/>
              <w:rPr>
                <w:rFonts w:cs="Arial"/>
                <w:color w:val="000000"/>
                <w:sz w:val="20"/>
              </w:rPr>
            </w:pPr>
            <w:r w:rsidRPr="004A5BF7">
              <w:rPr>
                <w:rFonts w:cs="Arial"/>
                <w:color w:val="000000"/>
                <w:sz w:val="20"/>
              </w:rPr>
              <w:t>1.44</w:t>
            </w:r>
          </w:p>
        </w:tc>
        <w:tc>
          <w:tcPr>
            <w:tcW w:w="0" w:type="auto"/>
            <w:tcBorders>
              <w:top w:val="nil"/>
              <w:left w:val="nil"/>
              <w:bottom w:val="nil"/>
              <w:right w:val="nil"/>
            </w:tcBorders>
            <w:shd w:val="clear" w:color="auto" w:fill="auto"/>
            <w:noWrap/>
            <w:vAlign w:val="center"/>
            <w:hideMark/>
          </w:tcPr>
          <w:p w14:paraId="3EA45772" w14:textId="77777777" w:rsidR="00B66CC3" w:rsidRPr="004A5BF7" w:rsidRDefault="00B66CC3" w:rsidP="00B66CC3">
            <w:pPr>
              <w:spacing w:before="0" w:after="0"/>
              <w:jc w:val="center"/>
              <w:rPr>
                <w:rFonts w:cs="Arial"/>
                <w:color w:val="000000"/>
                <w:sz w:val="20"/>
              </w:rPr>
            </w:pPr>
            <w:r w:rsidRPr="004A5BF7">
              <w:rPr>
                <w:rFonts w:cs="Arial"/>
                <w:color w:val="000000"/>
                <w:sz w:val="20"/>
              </w:rPr>
              <w:t>0.08</w:t>
            </w:r>
          </w:p>
        </w:tc>
      </w:tr>
      <w:tr w:rsidR="00B66CC3" w:rsidRPr="00E9409C" w14:paraId="3A3FCD9F" w14:textId="77777777" w:rsidTr="00E662D3">
        <w:trPr>
          <w:trHeight w:val="340"/>
          <w:tblHeader/>
        </w:trPr>
        <w:tc>
          <w:tcPr>
            <w:tcW w:w="0" w:type="auto"/>
            <w:tcBorders>
              <w:top w:val="nil"/>
              <w:left w:val="nil"/>
              <w:bottom w:val="nil"/>
              <w:right w:val="nil"/>
            </w:tcBorders>
            <w:shd w:val="clear" w:color="auto" w:fill="auto"/>
            <w:noWrap/>
            <w:vAlign w:val="center"/>
            <w:hideMark/>
          </w:tcPr>
          <w:p w14:paraId="4F7D9646" w14:textId="77777777" w:rsidR="00B66CC3" w:rsidRPr="004A5BF7" w:rsidRDefault="00B66CC3" w:rsidP="00B66CC3">
            <w:pPr>
              <w:spacing w:before="0" w:after="0"/>
              <w:jc w:val="center"/>
              <w:rPr>
                <w:rFonts w:cs="Arial"/>
                <w:color w:val="000000"/>
                <w:sz w:val="20"/>
              </w:rPr>
            </w:pPr>
            <w:r w:rsidRPr="004A5BF7">
              <w:rPr>
                <w:rFonts w:cs="Arial"/>
                <w:color w:val="000000"/>
                <w:sz w:val="20"/>
              </w:rPr>
              <w:t>2014</w:t>
            </w:r>
          </w:p>
        </w:tc>
        <w:tc>
          <w:tcPr>
            <w:tcW w:w="0" w:type="auto"/>
            <w:tcBorders>
              <w:top w:val="nil"/>
              <w:left w:val="nil"/>
              <w:bottom w:val="nil"/>
              <w:right w:val="nil"/>
            </w:tcBorders>
            <w:shd w:val="clear" w:color="auto" w:fill="auto"/>
            <w:noWrap/>
            <w:vAlign w:val="center"/>
            <w:hideMark/>
          </w:tcPr>
          <w:p w14:paraId="1FFACA2E"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7,304 </w:t>
            </w:r>
          </w:p>
        </w:tc>
        <w:tc>
          <w:tcPr>
            <w:tcW w:w="0" w:type="auto"/>
            <w:tcBorders>
              <w:top w:val="nil"/>
              <w:left w:val="nil"/>
              <w:bottom w:val="nil"/>
              <w:right w:val="nil"/>
            </w:tcBorders>
            <w:shd w:val="clear" w:color="auto" w:fill="auto"/>
            <w:noWrap/>
            <w:vAlign w:val="center"/>
            <w:hideMark/>
          </w:tcPr>
          <w:p w14:paraId="732B1CE0"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9,674 </w:t>
            </w:r>
          </w:p>
        </w:tc>
        <w:tc>
          <w:tcPr>
            <w:tcW w:w="0" w:type="auto"/>
            <w:tcBorders>
              <w:top w:val="nil"/>
              <w:left w:val="nil"/>
              <w:bottom w:val="nil"/>
              <w:right w:val="nil"/>
            </w:tcBorders>
            <w:shd w:val="clear" w:color="auto" w:fill="auto"/>
            <w:noWrap/>
            <w:vAlign w:val="center"/>
            <w:hideMark/>
          </w:tcPr>
          <w:p w14:paraId="57FFB93B"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596 </w:t>
            </w:r>
          </w:p>
        </w:tc>
        <w:tc>
          <w:tcPr>
            <w:tcW w:w="0" w:type="auto"/>
            <w:tcBorders>
              <w:top w:val="nil"/>
              <w:left w:val="nil"/>
              <w:bottom w:val="nil"/>
              <w:right w:val="nil"/>
            </w:tcBorders>
            <w:shd w:val="clear" w:color="auto" w:fill="auto"/>
            <w:noWrap/>
            <w:vAlign w:val="center"/>
            <w:hideMark/>
          </w:tcPr>
          <w:p w14:paraId="0871F004" w14:textId="77777777" w:rsidR="00B66CC3" w:rsidRPr="004A5BF7" w:rsidRDefault="00B66CC3" w:rsidP="00B66CC3">
            <w:pPr>
              <w:spacing w:before="0" w:after="0"/>
              <w:jc w:val="center"/>
              <w:rPr>
                <w:rFonts w:cs="Arial"/>
                <w:color w:val="000000"/>
                <w:sz w:val="20"/>
              </w:rPr>
            </w:pPr>
            <w:r w:rsidRPr="004A5BF7">
              <w:rPr>
                <w:rFonts w:cs="Arial"/>
                <w:color w:val="000000"/>
                <w:sz w:val="20"/>
              </w:rPr>
              <w:t>1.32</w:t>
            </w:r>
          </w:p>
        </w:tc>
        <w:tc>
          <w:tcPr>
            <w:tcW w:w="0" w:type="auto"/>
            <w:tcBorders>
              <w:top w:val="nil"/>
              <w:left w:val="nil"/>
              <w:bottom w:val="nil"/>
              <w:right w:val="nil"/>
            </w:tcBorders>
            <w:shd w:val="clear" w:color="auto" w:fill="auto"/>
            <w:noWrap/>
            <w:vAlign w:val="center"/>
            <w:hideMark/>
          </w:tcPr>
          <w:p w14:paraId="16118C4B" w14:textId="77777777" w:rsidR="00B66CC3" w:rsidRPr="004A5BF7" w:rsidRDefault="00B66CC3" w:rsidP="00B66CC3">
            <w:pPr>
              <w:spacing w:before="0" w:after="0"/>
              <w:jc w:val="center"/>
              <w:rPr>
                <w:rFonts w:cs="Arial"/>
                <w:color w:val="000000"/>
                <w:sz w:val="20"/>
              </w:rPr>
            </w:pPr>
            <w:r w:rsidRPr="004A5BF7">
              <w:rPr>
                <w:rFonts w:cs="Arial"/>
                <w:color w:val="000000"/>
                <w:sz w:val="20"/>
              </w:rPr>
              <w:t>0.08</w:t>
            </w:r>
          </w:p>
        </w:tc>
      </w:tr>
      <w:tr w:rsidR="00B66CC3" w:rsidRPr="00E9409C" w14:paraId="539AEA66" w14:textId="77777777" w:rsidTr="00E662D3">
        <w:trPr>
          <w:trHeight w:val="340"/>
          <w:tblHeader/>
        </w:trPr>
        <w:tc>
          <w:tcPr>
            <w:tcW w:w="0" w:type="auto"/>
            <w:tcBorders>
              <w:top w:val="nil"/>
              <w:left w:val="nil"/>
              <w:bottom w:val="single" w:sz="4" w:space="0" w:color="auto"/>
              <w:right w:val="nil"/>
            </w:tcBorders>
            <w:shd w:val="clear" w:color="auto" w:fill="auto"/>
            <w:noWrap/>
            <w:vAlign w:val="center"/>
            <w:hideMark/>
          </w:tcPr>
          <w:p w14:paraId="3CC02554" w14:textId="77777777" w:rsidR="00B66CC3" w:rsidRPr="004A5BF7" w:rsidRDefault="00B66CC3" w:rsidP="00B66CC3">
            <w:pPr>
              <w:spacing w:before="0" w:after="0"/>
              <w:jc w:val="center"/>
              <w:rPr>
                <w:rFonts w:cs="Arial"/>
                <w:color w:val="000000"/>
                <w:sz w:val="20"/>
              </w:rPr>
            </w:pPr>
            <w:r w:rsidRPr="004A5BF7">
              <w:rPr>
                <w:rFonts w:cs="Arial"/>
                <w:color w:val="000000"/>
                <w:sz w:val="20"/>
              </w:rPr>
              <w:t>2015</w:t>
            </w:r>
          </w:p>
        </w:tc>
        <w:tc>
          <w:tcPr>
            <w:tcW w:w="0" w:type="auto"/>
            <w:tcBorders>
              <w:top w:val="nil"/>
              <w:left w:val="nil"/>
              <w:bottom w:val="single" w:sz="4" w:space="0" w:color="auto"/>
              <w:right w:val="nil"/>
            </w:tcBorders>
            <w:shd w:val="clear" w:color="auto" w:fill="auto"/>
            <w:noWrap/>
            <w:vAlign w:val="center"/>
            <w:hideMark/>
          </w:tcPr>
          <w:p w14:paraId="3264D5D1"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2,852 </w:t>
            </w:r>
          </w:p>
        </w:tc>
        <w:tc>
          <w:tcPr>
            <w:tcW w:w="0" w:type="auto"/>
            <w:tcBorders>
              <w:top w:val="nil"/>
              <w:left w:val="nil"/>
              <w:bottom w:val="single" w:sz="4" w:space="0" w:color="auto"/>
              <w:right w:val="nil"/>
            </w:tcBorders>
            <w:shd w:val="clear" w:color="auto" w:fill="auto"/>
            <w:noWrap/>
            <w:vAlign w:val="center"/>
            <w:hideMark/>
          </w:tcPr>
          <w:p w14:paraId="616B85A5"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9,572 </w:t>
            </w:r>
          </w:p>
        </w:tc>
        <w:tc>
          <w:tcPr>
            <w:tcW w:w="0" w:type="auto"/>
            <w:tcBorders>
              <w:top w:val="nil"/>
              <w:left w:val="nil"/>
              <w:bottom w:val="single" w:sz="4" w:space="0" w:color="auto"/>
              <w:right w:val="nil"/>
            </w:tcBorders>
            <w:shd w:val="clear" w:color="auto" w:fill="auto"/>
            <w:noWrap/>
            <w:vAlign w:val="center"/>
            <w:hideMark/>
          </w:tcPr>
          <w:p w14:paraId="74F2F928" w14:textId="77777777" w:rsidR="00B66CC3" w:rsidRPr="004A5BF7" w:rsidRDefault="00B66CC3" w:rsidP="00B66CC3">
            <w:pPr>
              <w:spacing w:before="0" w:after="0"/>
              <w:jc w:val="center"/>
              <w:rPr>
                <w:rFonts w:cs="Arial"/>
                <w:color w:val="000000"/>
                <w:sz w:val="20"/>
              </w:rPr>
            </w:pPr>
            <w:r w:rsidRPr="004A5BF7">
              <w:rPr>
                <w:rFonts w:cs="Arial"/>
                <w:color w:val="000000"/>
                <w:sz w:val="20"/>
              </w:rPr>
              <w:t xml:space="preserve">540 </w:t>
            </w:r>
          </w:p>
        </w:tc>
        <w:tc>
          <w:tcPr>
            <w:tcW w:w="0" w:type="auto"/>
            <w:tcBorders>
              <w:top w:val="nil"/>
              <w:left w:val="nil"/>
              <w:bottom w:val="single" w:sz="4" w:space="0" w:color="auto"/>
              <w:right w:val="nil"/>
            </w:tcBorders>
            <w:shd w:val="clear" w:color="auto" w:fill="auto"/>
            <w:noWrap/>
            <w:vAlign w:val="center"/>
            <w:hideMark/>
          </w:tcPr>
          <w:p w14:paraId="284D7B27" w14:textId="77777777" w:rsidR="00B66CC3" w:rsidRPr="004A5BF7" w:rsidRDefault="00B66CC3" w:rsidP="00B66CC3">
            <w:pPr>
              <w:spacing w:before="0" w:after="0"/>
              <w:jc w:val="center"/>
              <w:rPr>
                <w:rFonts w:cs="Arial"/>
                <w:color w:val="000000"/>
                <w:sz w:val="20"/>
              </w:rPr>
            </w:pPr>
            <w:r w:rsidRPr="004A5BF7">
              <w:rPr>
                <w:rFonts w:cs="Arial"/>
                <w:color w:val="000000"/>
                <w:sz w:val="20"/>
              </w:rPr>
              <w:t>3.36</w:t>
            </w:r>
          </w:p>
        </w:tc>
        <w:tc>
          <w:tcPr>
            <w:tcW w:w="0" w:type="auto"/>
            <w:tcBorders>
              <w:top w:val="nil"/>
              <w:left w:val="nil"/>
              <w:bottom w:val="single" w:sz="4" w:space="0" w:color="auto"/>
              <w:right w:val="nil"/>
            </w:tcBorders>
            <w:shd w:val="clear" w:color="auto" w:fill="auto"/>
            <w:noWrap/>
            <w:vAlign w:val="center"/>
            <w:hideMark/>
          </w:tcPr>
          <w:p w14:paraId="3F7A5851" w14:textId="77777777" w:rsidR="00B66CC3" w:rsidRPr="004A5BF7" w:rsidRDefault="00B66CC3" w:rsidP="00B66CC3">
            <w:pPr>
              <w:spacing w:before="0" w:after="0"/>
              <w:jc w:val="center"/>
              <w:rPr>
                <w:rFonts w:cs="Arial"/>
                <w:color w:val="000000"/>
                <w:sz w:val="20"/>
              </w:rPr>
            </w:pPr>
            <w:r w:rsidRPr="004A5BF7">
              <w:rPr>
                <w:rFonts w:cs="Arial"/>
                <w:color w:val="000000"/>
                <w:sz w:val="20"/>
              </w:rPr>
              <w:t>0.19</w:t>
            </w:r>
          </w:p>
        </w:tc>
      </w:tr>
    </w:tbl>
    <w:p w14:paraId="791F3620" w14:textId="77777777" w:rsidR="00B66CC3" w:rsidRPr="00961331" w:rsidRDefault="00B66CC3" w:rsidP="00B66CC3">
      <w:pPr>
        <w:pStyle w:val="Figure"/>
        <w:rPr>
          <w:rFonts w:ascii="Arial" w:hAnsi="Arial" w:cs="Arial"/>
          <w:szCs w:val="22"/>
        </w:rPr>
      </w:pPr>
    </w:p>
    <w:p w14:paraId="3D6C591E" w14:textId="3C03A47B" w:rsidR="00B66CC3" w:rsidRPr="00961331" w:rsidRDefault="00B66CC3" w:rsidP="00B66CC3">
      <w:pPr>
        <w:rPr>
          <w:rFonts w:cs="Arial"/>
          <w:szCs w:val="22"/>
        </w:rPr>
      </w:pPr>
      <w:r w:rsidRPr="00961331">
        <w:rPr>
          <w:rFonts w:cs="Arial"/>
          <w:szCs w:val="22"/>
        </w:rPr>
        <w:t>A simple plot between DIN load against relative DIN mass (</w:t>
      </w:r>
      <w:r w:rsidRPr="00961331">
        <w:rPr>
          <w:rFonts w:cs="Arial"/>
          <w:szCs w:val="22"/>
        </w:rPr>
        <w:fldChar w:fldCharType="begin"/>
      </w:r>
      <w:r w:rsidRPr="00961331">
        <w:rPr>
          <w:rFonts w:cs="Arial"/>
          <w:szCs w:val="22"/>
        </w:rPr>
        <w:instrText xml:space="preserve"> REF _Ref449433433 \h  \* MERGEFORMAT </w:instrText>
      </w:r>
      <w:r w:rsidRPr="00961331">
        <w:rPr>
          <w:rFonts w:cs="Arial"/>
          <w:szCs w:val="22"/>
        </w:rPr>
      </w:r>
      <w:r w:rsidRPr="00961331">
        <w:rPr>
          <w:rFonts w:cs="Arial"/>
          <w:szCs w:val="22"/>
        </w:rPr>
        <w:fldChar w:fldCharType="separate"/>
      </w:r>
      <w:r w:rsidR="007F5336" w:rsidRPr="007F5336">
        <w:rPr>
          <w:rFonts w:cs="Arial"/>
          <w:szCs w:val="22"/>
        </w:rPr>
        <w:t xml:space="preserve">Figure </w:t>
      </w:r>
      <w:r w:rsidR="007F5336" w:rsidRPr="007F5336">
        <w:rPr>
          <w:rFonts w:cs="Arial"/>
          <w:noProof/>
          <w:szCs w:val="22"/>
        </w:rPr>
        <w:t>A1</w:t>
      </w:r>
      <w:r w:rsidR="007F5336">
        <w:t xml:space="preserve"> </w:t>
      </w:r>
      <w:r w:rsidR="007F5336">
        <w:rPr>
          <w:noProof/>
        </w:rPr>
        <w:t xml:space="preserve">15: </w:t>
      </w:r>
      <w:r w:rsidRPr="00961331">
        <w:rPr>
          <w:rFonts w:cs="Arial"/>
          <w:szCs w:val="22"/>
        </w:rPr>
        <w:fldChar w:fldCharType="end"/>
      </w:r>
      <w:r w:rsidRPr="00961331">
        <w:rPr>
          <w:rFonts w:cs="Arial"/>
          <w:szCs w:val="22"/>
        </w:rPr>
        <w:t>), shows there is a weak correlation between these two variables. On the calculation of DIN mass, the only parameter that varied over the 13 years is the area of the plumes; in-situ DIN concentration, salinity and the mixing layer depth are constant for all years due to the lack of data. This suggests that plume area variation is not enough to explain DIN concentrations over the GBR lagoon. Future versions of this model should therefore include smaller time scale resolution for superficial salinity, depth of mixing layer and in-situ DIN concentration.</w:t>
      </w:r>
    </w:p>
    <w:p w14:paraId="00A3B888" w14:textId="77777777" w:rsidR="00B66CC3" w:rsidRPr="00961331" w:rsidRDefault="00B66CC3" w:rsidP="00B66CC3">
      <w:pPr>
        <w:jc w:val="center"/>
        <w:rPr>
          <w:rFonts w:cs="Arial"/>
          <w:szCs w:val="22"/>
        </w:rPr>
      </w:pPr>
      <w:r w:rsidRPr="00B05E41">
        <w:rPr>
          <w:rFonts w:cs="Arial"/>
          <w:noProof/>
          <w:szCs w:val="22"/>
          <w:lang w:val="en-AU" w:eastAsia="en-AU"/>
        </w:rPr>
        <w:drawing>
          <wp:inline distT="0" distB="0" distL="0" distR="0" wp14:anchorId="5D2CECF5" wp14:editId="0D0B5067">
            <wp:extent cx="4320000" cy="3134510"/>
            <wp:effectExtent l="0" t="0" r="4445" b="8890"/>
            <wp:docPr id="86" name="Picture 86" descr="Graph showing relationship between DIN load (ton) against the relative DIN mass (ton) in plume waters (see text for explanation)." title="Figure A1 15: Relationship between DIN load (ton) against the relative DIN mass (ton) in plume waters (see text for expla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0">
                      <a:extLst>
                        <a:ext uri="{28A0092B-C50C-407E-A947-70E740481C1C}">
                          <a14:useLocalDpi xmlns:a14="http://schemas.microsoft.com/office/drawing/2010/main" val="0"/>
                        </a:ext>
                      </a:extLst>
                    </a:blip>
                    <a:srcRect/>
                    <a:stretch>
                      <a:fillRect/>
                    </a:stretch>
                  </pic:blipFill>
                  <pic:spPr bwMode="auto">
                    <a:xfrm>
                      <a:off x="0" y="0"/>
                      <a:ext cx="4320000" cy="3134510"/>
                    </a:xfrm>
                    <a:prstGeom prst="rect">
                      <a:avLst/>
                    </a:prstGeom>
                    <a:noFill/>
                  </pic:spPr>
                </pic:pic>
              </a:graphicData>
            </a:graphic>
          </wp:inline>
        </w:drawing>
      </w:r>
    </w:p>
    <w:p w14:paraId="23EAEAB6" w14:textId="3EC3C50A" w:rsidR="00B66CC3" w:rsidRPr="00961331" w:rsidRDefault="000E764B" w:rsidP="004A5BF7">
      <w:pPr>
        <w:pStyle w:val="Caption"/>
      </w:pPr>
      <w:bookmarkStart w:id="1607" w:name="_Ref449433433"/>
      <w:bookmarkStart w:id="1608" w:name="_Toc459332204"/>
      <w:bookmarkStart w:id="1609" w:name="_Toc461194312"/>
      <w:r>
        <w:t xml:space="preserve">Figure A1 </w:t>
      </w:r>
      <w:r>
        <w:fldChar w:fldCharType="begin"/>
      </w:r>
      <w:r>
        <w:instrText xml:space="preserve"> SEQ Figure_A1 \* ARABIC </w:instrText>
      </w:r>
      <w:r>
        <w:fldChar w:fldCharType="separate"/>
      </w:r>
      <w:r w:rsidR="007F5336">
        <w:rPr>
          <w:noProof/>
        </w:rPr>
        <w:t>15</w:t>
      </w:r>
      <w:r>
        <w:rPr>
          <w:noProof/>
        </w:rPr>
        <w:fldChar w:fldCharType="end"/>
      </w:r>
      <w:r>
        <w:rPr>
          <w:noProof/>
        </w:rPr>
        <w:t xml:space="preserve">: </w:t>
      </w:r>
      <w:bookmarkEnd w:id="1607"/>
      <w:r w:rsidR="00B66CC3" w:rsidRPr="00961331">
        <w:t>Relationship between DIN load (ton) against the relative DIN mass (ton) in plume waters (see text for explanation).</w:t>
      </w:r>
      <w:bookmarkEnd w:id="1608"/>
      <w:bookmarkEnd w:id="1609"/>
    </w:p>
    <w:p w14:paraId="063B0F87" w14:textId="77777777" w:rsidR="00B66CC3" w:rsidRPr="00961331" w:rsidRDefault="00B66CC3" w:rsidP="00B66CC3">
      <w:pPr>
        <w:pStyle w:val="Figure"/>
        <w:rPr>
          <w:rFonts w:ascii="Arial" w:hAnsi="Arial" w:cs="Arial"/>
          <w:szCs w:val="22"/>
        </w:rPr>
      </w:pPr>
    </w:p>
    <w:p w14:paraId="22CF70FE" w14:textId="77777777" w:rsidR="00B66CC3" w:rsidRPr="00961331" w:rsidRDefault="00B66CC3" w:rsidP="00B66CC3">
      <w:pPr>
        <w:rPr>
          <w:rFonts w:cs="Arial"/>
          <w:szCs w:val="22"/>
        </w:rPr>
      </w:pPr>
      <w:r w:rsidRPr="00961331">
        <w:rPr>
          <w:rFonts w:cs="Arial"/>
          <w:szCs w:val="22"/>
        </w:rPr>
        <w:t xml:space="preserve">Moreover, simulation exercises using virtual tracers in a hydrodynamic model suggest that on an annual basis, the water constituents discharged by rivers can travel further than the edge of colour class six, reaching distances up to 800 km far from the river mouth </w:t>
      </w:r>
      <w:r w:rsidRPr="00961331">
        <w:rPr>
          <w:rFonts w:cs="Arial"/>
          <w:szCs w:val="22"/>
        </w:rPr>
        <w:fldChar w:fldCharType="begin"/>
      </w:r>
      <w:r w:rsidRPr="00961331">
        <w:rPr>
          <w:rFonts w:cs="Arial"/>
          <w:szCs w:val="22"/>
        </w:rPr>
        <w:instrText xml:space="preserve"> ADDIN ZOTERO_ITEM CSL_CITATION {"citationID":"1n7n2hl8dr","properties":{"formattedCitation":"(Luick et al., 2007b)","plainCitation":"(Luick et al., 2007b)"},"citationItems":[{"id":122,"uris":["http://zotero.org/users/2324349/items/6GZ2FM2Z"],"uri":["http://zotero.org/users/2324349/items/6GZ2FM2Z"],"itemData":{"id":122,"type":"article-journal","title":"Circulation in the Great Barrier Reef Lagoon using numerical tracers and in situ data","container-title":"Continental Shelf Research","page":"757-778","volume":"27","issue":"6","source":"ScienceDirect","abstract":"Numerical hydrodynamic models of the northeastern Queensland shelf, forced by regional winds and modelled boundary currents in the northern Coral Sea, are used to provide improved estimates of general flow trajectories and water residence times within the Great Barrier Reef (GBR) shelf system. Model performance was checked against a limited set of current metre records obtained at Lark Reef (16°S) and the Ribbon Reefs (15.5°S). Estimates of water parcel trajectories are derived from a series of numerical tracer experiments, with daily releases of neutrally buoyant, un-reactive particles at 320 sites along the coast between Cape York (10.7°S) and Hervey Bay (25°S). Flow trajectories and residence times for tracer particles introduced to the GBR lagoon in the southern—ca. 22°S, central—19°S, and northern reef—14°S are emphasised. For purposes of the analysis, the year was divided into two seasons based on mean alongshore current direction. Most coastal sourced tracers entering the central GBR lagoon between 16° and 20°S during the northward-current season (January–August) primarily encounter the outer-shelf reef matrix after exiting the lagoon at its northern “head” (nominally 16°S), after 50–150 days. Up to 70% of tracer particles entering in the southward-current season (August–December) eventually crossed the lagoon to the outer-shelf reef matrix, with median crossing times between 20 and 330 days. During favourable wind conditions, tracers introduced at the coast may move rapidly across the lagoon into the reef matrix. The tracer experiments indicate that most coastal-sourced tracers entering the GBR lagoon remain near the coast for extended periods of time, moving north and south in a coastal band. Residence times for conservative tracer particles (and implied residence times for water-borne materials) within the GBR shelf system ranged from ca. 1 month to 1 year—time frames that are very long relative to development times of planktonic larvae and cycling times for nutrient materials in the water column, implying they are transformed long before reaching the outer reef matrix.","DOI":"10.1016/j.csr.2006.11.020","ISSN":"0278-4343","journalAbbreviation":"Continental Shelf Research","author":[{"family":"Luick","given":"John L."},{"family":"Mason","given":"Luciano"},{"family":"Hardy","given":"Thomas"},{"family":"Furnas","given":"Miles J."}],"issued":{"date-parts":[["2007",3,15]]}}}],"schema":"https://github.com/citation-style-language/schema/raw/master/csl-citation.json"} </w:instrText>
      </w:r>
      <w:r w:rsidRPr="00961331">
        <w:rPr>
          <w:rFonts w:cs="Arial"/>
          <w:szCs w:val="22"/>
        </w:rPr>
        <w:fldChar w:fldCharType="separate"/>
      </w:r>
      <w:r w:rsidRPr="00961331">
        <w:rPr>
          <w:rFonts w:cs="Arial"/>
          <w:szCs w:val="22"/>
        </w:rPr>
        <w:t>(Luick et al., 2007b)</w:t>
      </w:r>
      <w:r w:rsidRPr="00961331">
        <w:rPr>
          <w:rFonts w:cs="Arial"/>
          <w:szCs w:val="22"/>
        </w:rPr>
        <w:fldChar w:fldCharType="end"/>
      </w:r>
      <w:r w:rsidRPr="00961331">
        <w:rPr>
          <w:rFonts w:cs="Arial"/>
          <w:szCs w:val="22"/>
        </w:rPr>
        <w:t>. This potential long-distance transport of water constituents has not been considered in the current DIN dispersion model, which would require a complex biogeochemical model able to capture the process controlling variations in the DIN concentration. Nevertheless, this model represents the first attempt to map land-sourced contaminates dispersion over the GBR lagoon.</w:t>
      </w:r>
    </w:p>
    <w:p w14:paraId="0B2E9249" w14:textId="77777777" w:rsidR="00B66CC3" w:rsidRDefault="00B66CC3" w:rsidP="00B66CC3">
      <w:pPr>
        <w:rPr>
          <w:color w:val="0070C0"/>
          <w:lang w:val="en-AU"/>
        </w:rPr>
      </w:pPr>
    </w:p>
    <w:p w14:paraId="14AEB9B9" w14:textId="77777777" w:rsidR="00B66CC3" w:rsidRPr="00961331" w:rsidRDefault="00B66CC3" w:rsidP="00B66CC3">
      <w:pPr>
        <w:rPr>
          <w:rFonts w:cs="Arial"/>
          <w:b/>
          <w:szCs w:val="22"/>
        </w:rPr>
      </w:pPr>
      <w:r w:rsidRPr="00961331">
        <w:rPr>
          <w:rFonts w:cs="Arial"/>
          <w:b/>
          <w:szCs w:val="22"/>
        </w:rPr>
        <w:t>General in-situ PN and TSS behaviour in plume waters and a critical overview of their dispersion map modelling.</w:t>
      </w:r>
    </w:p>
    <w:p w14:paraId="0E17BD13" w14:textId="79ED98FB" w:rsidR="00B66CC3" w:rsidRPr="00961331" w:rsidRDefault="00B66CC3" w:rsidP="00B66CC3">
      <w:pPr>
        <w:rPr>
          <w:rFonts w:cs="Arial"/>
          <w:szCs w:val="22"/>
        </w:rPr>
      </w:pPr>
      <w:r w:rsidRPr="00961331">
        <w:rPr>
          <w:rFonts w:cs="Arial"/>
          <w:szCs w:val="22"/>
        </w:rPr>
        <w:t>The different behaviour exhibited by DIN compared to PN and TSS against six-colour class reflects the nature of these constituents: the dissolved form reduces from its source mainly due to dispersion and biological uptake, whereas the particulate form is more affected by dispersion and the settling processes. For the particulate phases, TSS and PN are deposited mainly within colour class 1 and then remain at similar values or even increase by colour class 6 (</w:t>
      </w:r>
      <w:r w:rsidRPr="00961331">
        <w:rPr>
          <w:rFonts w:cs="Arial"/>
          <w:szCs w:val="22"/>
        </w:rPr>
        <w:fldChar w:fldCharType="begin"/>
      </w:r>
      <w:r w:rsidRPr="00961331">
        <w:rPr>
          <w:rFonts w:cs="Arial"/>
          <w:szCs w:val="22"/>
        </w:rPr>
        <w:instrText xml:space="preserve"> REF _Ref450162981 \h  \* MERGEFORMAT </w:instrText>
      </w:r>
      <w:r w:rsidRPr="00961331">
        <w:rPr>
          <w:rFonts w:cs="Arial"/>
          <w:szCs w:val="22"/>
        </w:rPr>
      </w:r>
      <w:r w:rsidRPr="00961331">
        <w:rPr>
          <w:rFonts w:cs="Arial"/>
          <w:szCs w:val="22"/>
        </w:rPr>
        <w:fldChar w:fldCharType="separate"/>
      </w:r>
      <w:r w:rsidR="007F5336" w:rsidRPr="007F5336">
        <w:rPr>
          <w:rFonts w:cs="Arial"/>
          <w:szCs w:val="22"/>
        </w:rPr>
        <w:t xml:space="preserve">Figure </w:t>
      </w:r>
      <w:r w:rsidR="007F5336" w:rsidRPr="007F5336">
        <w:rPr>
          <w:rFonts w:cs="Arial"/>
          <w:noProof/>
          <w:szCs w:val="22"/>
        </w:rPr>
        <w:t>A1</w:t>
      </w:r>
      <w:r w:rsidR="007F5336">
        <w:t xml:space="preserve"> </w:t>
      </w:r>
      <w:r w:rsidR="007F5336">
        <w:rPr>
          <w:noProof/>
        </w:rPr>
        <w:t xml:space="preserve">14: </w:t>
      </w:r>
      <w:r w:rsidRPr="00961331">
        <w:rPr>
          <w:rFonts w:cs="Arial"/>
          <w:szCs w:val="22"/>
        </w:rPr>
        <w:fldChar w:fldCharType="end"/>
      </w:r>
      <w:r w:rsidRPr="00961331">
        <w:rPr>
          <w:rFonts w:cs="Arial"/>
          <w:szCs w:val="22"/>
        </w:rPr>
        <w:t xml:space="preserve">). The faster reduction in PN and TSS in colour class 1 is due to flocculation and sedimentation. Concentration reduction from 450 mg/L to 140 mg/L within 4 km from the river mouth has been observed for TSS, for instance </w:t>
      </w:r>
      <w:r w:rsidRPr="00961331">
        <w:rPr>
          <w:rFonts w:cs="Arial"/>
          <w:szCs w:val="22"/>
        </w:rPr>
        <w:fldChar w:fldCharType="begin"/>
      </w:r>
      <w:r w:rsidRPr="00961331">
        <w:rPr>
          <w:rFonts w:cs="Arial"/>
          <w:szCs w:val="22"/>
        </w:rPr>
        <w:instrText xml:space="preserve"> ADDIN ZOTERO_ITEM CSL_CITATION {"citationID":"2b58jen02f","properties":{"formattedCitation":"(Bainbridge et al., 2012)","plainCitation":"(Bainbridge et al., 2012)"},"citationItems":[{"id":4,"uris":["http://zotero.org/users/2324349/items/5SVF9VK9"],"uri":["http://zotero.org/users/2324349/items/5SVF9VK9"],"itemData":{"id":4,"type":"article-journal","title":"Fine sediment and nutrient dynamics related to particle size and floc formation in a Burdekin River flood plume, Australia","container-title":"Marine Pollution Bulletin","collection-title":"The Catchment to Reef Continuum: Case studies from the Great Barrier Reef","page":"236-248","volume":"65","issue":"4–9","source":"ScienceDirect","abstract":"The extreme 2010–2011 wet season resulted in highly elevated Burdekin River discharge into the Great Barrier Reef lagoon for a period of 200 days, resulting in a large flood plume extending &amp;gt;50 km offshore and &amp;gt;100 km north during peak conditions. Export of suspended sediment was dominated by clay and fine silt fractions and most sediment initially settled within </w:instrText>
      </w:r>
      <w:r w:rsidRPr="00961331">
        <w:rPr>
          <w:rFonts w:ascii="Cambria Math" w:hAnsi="Cambria Math" w:cs="Cambria Math"/>
          <w:szCs w:val="22"/>
        </w:rPr>
        <w:instrText>∼</w:instrText>
      </w:r>
      <w:r w:rsidRPr="00961331">
        <w:rPr>
          <w:rFonts w:cs="Arial"/>
          <w:szCs w:val="22"/>
        </w:rPr>
        <w:instrText xml:space="preserve">10 km of the river mouth. Biologically-mediated flocculation of these particles enhanced deposition in the initial low salinity zone. Fine silt and clay particles and nutrients remaining in suspension, were carried as far as 100 km northward from the mouth, binding with planktonic and transparent exopolymer particulate matter to form large floc aggregates (muddy marine snow). These aggregates, due to their sticky nature, likely pose a risk to benthic organisms e.g. coral and seagrass through smothering, and also by contributing to increased turbidity during wind-induced resuspension events.","DOI":"10.1016/j.marpolbul.2012.01.043","ISSN":"0025-326X","journalAbbreviation":"Marine Pollution Bulletin","author":[{"family":"Bainbridge","given":"Zoe T."},{"family":"Wolanski","given":"Eric"},{"family":"Álvarez-Romero","given":"Jorge G."},{"family":"Lewis","given":"Stephen E."},{"family":"Brodie","given":"Jon E."}],"issued":{"date-parts":[["2012"]]}}}],"schema":"https://github.com/citation-style-language/schema/raw/master/csl-citation.json"} </w:instrText>
      </w:r>
      <w:r w:rsidRPr="00961331">
        <w:rPr>
          <w:rFonts w:cs="Arial"/>
          <w:szCs w:val="22"/>
        </w:rPr>
        <w:fldChar w:fldCharType="separate"/>
      </w:r>
      <w:r w:rsidRPr="00961331">
        <w:rPr>
          <w:rFonts w:cs="Arial"/>
          <w:szCs w:val="22"/>
        </w:rPr>
        <w:t>(Bainbridge et al., 2012)</w:t>
      </w:r>
      <w:r w:rsidRPr="00961331">
        <w:rPr>
          <w:rFonts w:cs="Arial"/>
          <w:szCs w:val="22"/>
        </w:rPr>
        <w:fldChar w:fldCharType="end"/>
      </w:r>
      <w:r w:rsidRPr="00961331">
        <w:rPr>
          <w:rFonts w:cs="Arial"/>
          <w:szCs w:val="22"/>
        </w:rPr>
        <w:t xml:space="preserve">. However, finer sediments and associated PN can be transported further offshore in plume waters </w:t>
      </w:r>
      <w:r w:rsidRPr="00961331">
        <w:rPr>
          <w:rFonts w:cs="Arial"/>
          <w:szCs w:val="22"/>
        </w:rPr>
        <w:fldChar w:fldCharType="begin"/>
      </w:r>
      <w:r w:rsidRPr="00961331">
        <w:rPr>
          <w:rFonts w:cs="Arial"/>
          <w:szCs w:val="22"/>
        </w:rPr>
        <w:instrText xml:space="preserve"> ADDIN ZOTERO_ITEM CSL_CITATION {"citationID":"biXmSazi","properties":{"formattedCitation":"(Bainbridge et al., 2012)","plainCitation":"(Bainbridge et al., 2012)"},"citationItems":[{"id":4,"uris":["http://zotero.org/users/2324349/items/5SVF9VK9"],"uri":["http://zotero.org/users/2324349/items/5SVF9VK9"],"itemData":{"id":4,"type":"article-journal","title":"Fine sediment and nutrient dynamics related to particle size and floc formation in a Burdekin River flood plume, Australia","container-title":"Marine Pollution Bulletin","collection-title":"The Catchment to Reef Continuum: Case studies from the Great Barrier Reef","page":"236-248","volume":"65","issue":"4–9","source":"ScienceDirect","abstract":"The extreme 2010–2011 wet season resulted in highly elevated Burdekin River discharge into the Great Barrier Reef lagoon for a period of 200 days, resulting in a large flood plume extending &amp;gt;50 km offshore and &amp;gt;100 km north during peak conditions. Export of suspended sediment was dominated by clay and fine silt fractions and most sediment initially settled within </w:instrText>
      </w:r>
      <w:r w:rsidRPr="00961331">
        <w:rPr>
          <w:rFonts w:ascii="Cambria Math" w:hAnsi="Cambria Math" w:cs="Cambria Math"/>
          <w:szCs w:val="22"/>
        </w:rPr>
        <w:instrText>∼</w:instrText>
      </w:r>
      <w:r w:rsidRPr="00961331">
        <w:rPr>
          <w:rFonts w:cs="Arial"/>
          <w:szCs w:val="22"/>
        </w:rPr>
        <w:instrText xml:space="preserve">10 km of the river mouth. Biologically-mediated flocculation of these particles enhanced deposition in the initial low salinity zone. Fine silt and clay particles and nutrients remaining in suspension, were carried as far as 100 km northward from the mouth, binding with planktonic and transparent exopolymer particulate matter to form large floc aggregates (muddy marine snow). These aggregates, due to their sticky nature, likely pose a risk to benthic organisms e.g. coral and seagrass through smothering, and also by contributing to increased turbidity during wind-induced resuspension events.","DOI":"10.1016/j.marpolbul.2012.01.043","ISSN":"0025-326X","journalAbbreviation":"Marine Pollution Bulletin","author":[{"family":"Bainbridge","given":"Zoe T."},{"family":"Wolanski","given":"Eric"},{"family":"Álvarez-Romero","given":"Jorge G."},{"family":"Lewis","given":"Stephen E."},{"family":"Brodie","given":"Jon E."}],"issued":{"date-parts":[["2012"]]}}}],"schema":"https://github.com/citation-style-language/schema/raw/master/csl-citation.json"} </w:instrText>
      </w:r>
      <w:r w:rsidRPr="00961331">
        <w:rPr>
          <w:rFonts w:cs="Arial"/>
          <w:szCs w:val="22"/>
        </w:rPr>
        <w:fldChar w:fldCharType="separate"/>
      </w:r>
      <w:r w:rsidRPr="00961331">
        <w:rPr>
          <w:rFonts w:cs="Arial"/>
          <w:szCs w:val="22"/>
        </w:rPr>
        <w:t>(Bainbridge et al., 2012)</w:t>
      </w:r>
      <w:r w:rsidRPr="00961331">
        <w:rPr>
          <w:rFonts w:cs="Arial"/>
          <w:szCs w:val="22"/>
        </w:rPr>
        <w:fldChar w:fldCharType="end"/>
      </w:r>
      <w:r w:rsidRPr="00961331">
        <w:rPr>
          <w:rFonts w:cs="Arial"/>
          <w:szCs w:val="22"/>
        </w:rPr>
        <w:t xml:space="preserve">. There is also the additional source of PN from the remobilisation of inorganic nitrogen via phytoplankton uptake. Bainbridge et al. </w:t>
      </w:r>
      <w:r w:rsidRPr="00961331">
        <w:rPr>
          <w:rFonts w:cs="Arial"/>
          <w:szCs w:val="22"/>
        </w:rPr>
        <w:fldChar w:fldCharType="begin"/>
      </w:r>
      <w:r w:rsidRPr="00961331">
        <w:rPr>
          <w:rFonts w:cs="Arial"/>
          <w:szCs w:val="22"/>
        </w:rPr>
        <w:instrText xml:space="preserve"> ADDIN ZOTERO_ITEM CSL_CITATION {"citationID":"9VcG6E4T","properties":{"formattedCitation":"(2012)","plainCitation":"(2012)"},"citationItems":[{"id":4,"uris":["http://zotero.org/users/2324349/items/5SVF9VK9"],"uri":["http://zotero.org/users/2324349/items/5SVF9VK9"],"itemData":{"id":4,"type":"article-journal","title":"Fine sediment and nutrient dynamics related to particle size and floc formation in a Burdekin River flood plume, Australia","container-title":"Marine Pollution Bulletin","collection-title":"The Catchment to Reef Continuum: Case studies from the Great Barrier Reef","page":"236-248","volume":"65","issue":"4–9","source":"ScienceDirect","abstract":"The extreme 2010–2011 wet season resulted in highly elevated Burdekin River discharge into the Great Barrier Reef lagoon for a period of 200 days, resulting in a large flood plume extending &amp;gt;50 km offshore and &amp;gt;100 km north during peak conditions. Export of suspended sediment was dominated by clay and fine silt fractions and most sediment initially settled within </w:instrText>
      </w:r>
      <w:r w:rsidRPr="00961331">
        <w:rPr>
          <w:rFonts w:ascii="Cambria Math" w:hAnsi="Cambria Math" w:cs="Cambria Math"/>
          <w:szCs w:val="22"/>
        </w:rPr>
        <w:instrText>∼</w:instrText>
      </w:r>
      <w:r w:rsidRPr="00961331">
        <w:rPr>
          <w:rFonts w:cs="Arial"/>
          <w:szCs w:val="22"/>
        </w:rPr>
        <w:instrText xml:space="preserve">10 km of the river mouth. Biologically-mediated flocculation of these particles enhanced deposition in the initial low salinity zone. Fine silt and clay particles and nutrients remaining in suspension, were carried as far as 100 km northward from the mouth, binding with planktonic and transparent exopolymer particulate matter to form large floc aggregates (muddy marine snow). These aggregates, due to their sticky nature, likely pose a risk to benthic organisms e.g. coral and seagrass through smothering, and also by contributing to increased turbidity during wind-induced resuspension events.","DOI":"10.1016/j.marpolbul.2012.01.043","ISSN":"0025-326X","journalAbbreviation":"Marine Pollution Bulletin","author":[{"family":"Bainbridge","given":"Zoe T."},{"family":"Wolanski","given":"Eric"},{"family":"Álvarez-Romero","given":"Jorge G."},{"family":"Lewis","given":"Stephen E."},{"family":"Brodie","given":"Jon E."}],"issued":{"date-parts":[["2012"]]}},"suppress-author":true}],"schema":"https://github.com/citation-style-language/schema/raw/master/csl-citation.json"} </w:instrText>
      </w:r>
      <w:r w:rsidRPr="00961331">
        <w:rPr>
          <w:rFonts w:cs="Arial"/>
          <w:szCs w:val="22"/>
        </w:rPr>
        <w:fldChar w:fldCharType="separate"/>
      </w:r>
      <w:r w:rsidRPr="00961331">
        <w:rPr>
          <w:rFonts w:cs="Arial"/>
          <w:szCs w:val="22"/>
        </w:rPr>
        <w:t>(2012)</w:t>
      </w:r>
      <w:r w:rsidRPr="00961331">
        <w:rPr>
          <w:rFonts w:cs="Arial"/>
          <w:szCs w:val="22"/>
        </w:rPr>
        <w:fldChar w:fldCharType="end"/>
      </w:r>
      <w:r w:rsidRPr="00961331">
        <w:rPr>
          <w:rFonts w:cs="Arial"/>
          <w:szCs w:val="22"/>
        </w:rPr>
        <w:t xml:space="preserve"> postulated that at late stages of plume development the PN is mostly suspended organic particulate matter from organisms generated within the plume rather than PN input from the river.</w:t>
      </w:r>
    </w:p>
    <w:p w14:paraId="3FBD28FA" w14:textId="3EB3A6CB" w:rsidR="00B66CC3" w:rsidRPr="00961331" w:rsidRDefault="00B66CC3" w:rsidP="00B66CC3">
      <w:pPr>
        <w:pStyle w:val="Figure"/>
        <w:rPr>
          <w:rFonts w:ascii="Arial" w:hAnsi="Arial" w:cs="Arial"/>
          <w:szCs w:val="22"/>
        </w:rPr>
      </w:pPr>
      <w:r w:rsidRPr="00961331">
        <w:rPr>
          <w:rFonts w:ascii="Arial" w:hAnsi="Arial" w:cs="Arial"/>
          <w:szCs w:val="22"/>
        </w:rPr>
        <w:t>Although dispersion load maps were produced for particulate nitrogen (PN) and total suspended solids (TSS), it is important to note there is a higher uncertainty in these two maps compared to the DIN map. Two main sources of uncertainties are: (i) the modelled end of basin loads for TSS and PN are not as reliable as DIN loads because</w:t>
      </w:r>
      <w:r w:rsidR="000F3684">
        <w:rPr>
          <w:rFonts w:ascii="Arial" w:hAnsi="Arial" w:cs="Arial"/>
          <w:szCs w:val="22"/>
        </w:rPr>
        <w:t xml:space="preserve"> of the way hydrology is represented in the model, </w:t>
      </w:r>
      <w:r w:rsidRPr="00961331">
        <w:rPr>
          <w:rFonts w:ascii="Arial" w:hAnsi="Arial" w:cs="Arial"/>
          <w:szCs w:val="22"/>
        </w:rPr>
        <w:t>and (b) there is difference in scale between processes controlling TSS and PN variations and what is mapped in plume waters. For example, most of the particles fall out in the proximal zone of the river mouth, when salinity is normally &lt; 5 PSU within colour class 1. Colour class 1 is the smallest resolution for characterizing plume waters at their initial stage of development and encompasses salinity up to 20 PSU. Therefore by taking a median value to estimate TSS and PN concentrations in this water, we underestimate the sedimentation that particles suffer after discharged into the GBR lagoon. Further, the potential addition of PN and TSS to the plume water due to resuspension and potential biological production may result in overestimating the actual river contribution to areas further away from the river mouth.</w:t>
      </w:r>
    </w:p>
    <w:p w14:paraId="56D9E150" w14:textId="77777777" w:rsidR="00B66CC3" w:rsidRPr="00961331" w:rsidRDefault="00B66CC3" w:rsidP="00B66CC3">
      <w:pPr>
        <w:rPr>
          <w:rFonts w:cs="Arial"/>
          <w:szCs w:val="22"/>
        </w:rPr>
      </w:pPr>
    </w:p>
    <w:p w14:paraId="7FA59E2A" w14:textId="77777777" w:rsidR="00B66CC3" w:rsidRPr="00961331" w:rsidRDefault="00B66CC3" w:rsidP="00B66CC3">
      <w:pPr>
        <w:rPr>
          <w:rFonts w:cs="Arial"/>
          <w:b/>
          <w:szCs w:val="22"/>
        </w:rPr>
      </w:pPr>
      <w:r w:rsidRPr="00961331">
        <w:rPr>
          <w:rFonts w:cs="Arial"/>
          <w:b/>
          <w:szCs w:val="22"/>
        </w:rPr>
        <w:t>References</w:t>
      </w:r>
    </w:p>
    <w:p w14:paraId="0FB1A4E0" w14:textId="77777777" w:rsidR="00B66CC3" w:rsidRDefault="00B66CC3" w:rsidP="00B66CC3">
      <w:pPr>
        <w:pStyle w:val="Bibliography"/>
      </w:pPr>
      <w:r w:rsidRPr="00961331">
        <w:rPr>
          <w:rFonts w:cs="Arial"/>
          <w:b/>
          <w:szCs w:val="22"/>
        </w:rPr>
        <w:fldChar w:fldCharType="begin"/>
      </w:r>
      <w:r>
        <w:rPr>
          <w:rFonts w:cs="Arial"/>
          <w:b/>
          <w:szCs w:val="22"/>
        </w:rPr>
        <w:instrText xml:space="preserve"> ADDIN ZOTERO_BIBL {"custom":[]} CSL_BIBLIOGRAPHY </w:instrText>
      </w:r>
      <w:r w:rsidRPr="00961331">
        <w:rPr>
          <w:rFonts w:cs="Arial"/>
          <w:b/>
          <w:szCs w:val="22"/>
        </w:rPr>
        <w:fldChar w:fldCharType="separate"/>
      </w:r>
      <w:r>
        <w:t>Álvarez-Romero, J.G., Devlin, M., Teixeira da Silva, E., Petus, C., Ban, N.C., Pressey, R.L., Kool, J., Roberts, J.J., Cerdeira-Estrada, S., Wenger, A.S., Brodie, J., 2013. A novel approach to model exposure of coastal-marine ecosystems to riverine flood plumes based on remote sensing techniques. J. Environ. Manage. 119, 194–207. doi:10.1016/j.jenvman.2013.01.036</w:t>
      </w:r>
    </w:p>
    <w:p w14:paraId="2D0EE358" w14:textId="77777777" w:rsidR="00B66CC3" w:rsidRDefault="00B66CC3" w:rsidP="00B66CC3">
      <w:pPr>
        <w:pStyle w:val="Bibliography"/>
      </w:pPr>
      <w:r>
        <w:t>Bainbridge, Z.T., Wolanski, E., Álvarez-Romero, J.G., Lewis, S.E., Brodie, J.E., 2012. Fine sediment and nutrient dynamics related to particle size and floc formation in a Burdekin River flood plume, Australia. Mar. Pollut. Bull., The Catchment to Reef Continuum: Case studies from the Great Barrier Reef 65, 236–248. doi:10.1016/j.marpolbul.2012.01.043</w:t>
      </w:r>
    </w:p>
    <w:p w14:paraId="2F3462C3" w14:textId="77777777" w:rsidR="00B66CC3" w:rsidRDefault="00B66CC3" w:rsidP="00B66CC3">
      <w:pPr>
        <w:pStyle w:val="Bibliography"/>
      </w:pPr>
      <w:r>
        <w:t>Berkelmans, R., Weeks, S.J., Steinberg, C.R., 2010. Upwelling linked to warm summers and bleaching on the Great Barrier Reef. Limnol. Oceanogr. 55, 2634–2644. doi:10.4319/lo.2010.55.6.2634</w:t>
      </w:r>
    </w:p>
    <w:p w14:paraId="07BDAABC" w14:textId="77777777" w:rsidR="00B66CC3" w:rsidRDefault="00B66CC3" w:rsidP="00B66CC3">
      <w:pPr>
        <w:pStyle w:val="Bibliography"/>
      </w:pPr>
      <w:r>
        <w:t>Brinkman, R., Tonin, H., Furnas, M., Schaffelke, B., Fabricius, K., 2014. Targeted analysis of the linkages between river runoff and risks for crown-of-thorns starfish outbreaks in the Northern GBR, Australian Institute of marine Science. Townsville, AU.</w:t>
      </w:r>
    </w:p>
    <w:p w14:paraId="124BA440" w14:textId="77777777" w:rsidR="00B66CC3" w:rsidRDefault="00B66CC3" w:rsidP="00B66CC3">
      <w:pPr>
        <w:pStyle w:val="Bibliography"/>
      </w:pPr>
      <w:r>
        <w:t>Brodie, J., Fabricius, K., De’ath, G., Okaji, K., 2005. Are increased nutrient inputs responsible for more outbreaks of crown-of-thorns starfish? An appraisal of the evidence. Mar. Pollut. Bull., Catchment to Reef: Water Quality Issues in the Great Barrier Reef Region 51, 266–278. doi:10.1016/j.marpolbul.2004.10.035</w:t>
      </w:r>
    </w:p>
    <w:p w14:paraId="7AE8D655" w14:textId="77777777" w:rsidR="00B66CC3" w:rsidRDefault="00B66CC3" w:rsidP="00B66CC3">
      <w:pPr>
        <w:pStyle w:val="Bibliography"/>
      </w:pPr>
      <w:r>
        <w:t>Brodie, J.E., Kroon, F.J., Schaffelke, B., Wolanski, E.C., Lewis, S.E., Devlin, M.J., Bohnet, I.C., Bainbridge, Z.T., Waterhouse, J., Davis, A.M., 2012. Terrestrial pollutant runoff to the Great Barrier Reef: An update of issues, priorities and management responses. Mar. Pollut. Bull., The Catchment to Reef Continuum: Case studies from the Great Barrier Reef 65, 81–100. doi:10.1016/j.marpolbul.2011.12.012</w:t>
      </w:r>
    </w:p>
    <w:p w14:paraId="517365BA" w14:textId="77777777" w:rsidR="00B66CC3" w:rsidRDefault="00B66CC3" w:rsidP="00B66CC3">
      <w:pPr>
        <w:pStyle w:val="Bibliography"/>
      </w:pPr>
      <w:r>
        <w:t>da Silva, E.T., Mark, B., Dieter, T., Devlin, M., Wolff, N., Lewis, S., Petus, C., Brodie, J., in prep. Mapping the Superficial Dispersion of Land-sourced Nitrogen in the Great Barrier Reef Marine Park: an Ocean Color Based Approach.</w:t>
      </w:r>
    </w:p>
    <w:p w14:paraId="53126B4F" w14:textId="77777777" w:rsidR="00B66CC3" w:rsidRDefault="00B66CC3" w:rsidP="00B66CC3">
      <w:pPr>
        <w:pStyle w:val="Bibliography"/>
      </w:pPr>
      <w:r>
        <w:t>Devlin, M., McKinna, L., Álvarez-Romero, J.G., Petus, C., Abott, B., Harkness, P., Brodie, J., 2012a. Mapping the pollutants in surface riverine flood plume waters in the Great Barrier Reef, Australia. Mar. Pollut. Bull., The Catchment to Reef Continuum: Case studies from the Great Barrier Reef 65, 224–235. doi:10.1016/j.marpolbul.2012.03.001</w:t>
      </w:r>
    </w:p>
    <w:p w14:paraId="04AB8E45" w14:textId="77777777" w:rsidR="00B66CC3" w:rsidRDefault="00B66CC3" w:rsidP="00B66CC3">
      <w:pPr>
        <w:pStyle w:val="Bibliography"/>
      </w:pPr>
      <w:r>
        <w:t>Devlin, M., Schroeder, T., McKinna, L., Brodie, J., Brando, V., Dekker, A., 2012b. Monitoring and mapping of flood plumes in the Great Barrier Reef based on in-situ and remote sensing observations., in: Advances in Environmental Remote Sensing to Monitor Global Changes. CRC Press, Boca Raton.</w:t>
      </w:r>
    </w:p>
    <w:p w14:paraId="447D9501" w14:textId="77777777" w:rsidR="00B66CC3" w:rsidRDefault="00B66CC3" w:rsidP="00B66CC3">
      <w:pPr>
        <w:pStyle w:val="Bibliography"/>
      </w:pPr>
      <w:r>
        <w:t>Devlin, M.J., Brodie, J., 2005. Terrestrial discharge into the Great Barrier Reef Lagoon: nutrient behavior in coastal waters. Mar. Pollut. Bull., Catchment to Reef: Water Quality Issues in the Great Barrier Reef Region 51, 9–22. doi:10.1016/j.marpolbul.2004.10.037</w:t>
      </w:r>
    </w:p>
    <w:p w14:paraId="20CA1A16" w14:textId="77777777" w:rsidR="00B66CC3" w:rsidRDefault="00B66CC3" w:rsidP="00B66CC3">
      <w:pPr>
        <w:pStyle w:val="Bibliography"/>
      </w:pPr>
      <w:r w:rsidRPr="004A5BF7">
        <w:rPr>
          <w:lang w:val="da-DK"/>
        </w:rPr>
        <w:t xml:space="preserve">Devlin, M.J., Wenger, A., Petus, C., da Silva, E.T., DeBose, J., Álvarez-Romero, J., 2013. </w:t>
      </w:r>
      <w:r>
        <w:t>Reef Rescue Marine Monitoring Program. Final report of JCU activities 2011/12: flood plumes and extreme weather monitoring for the Great Barrier Reef Marine Park Authority (Report). James Cook University.</w:t>
      </w:r>
    </w:p>
    <w:p w14:paraId="045785DA" w14:textId="77777777" w:rsidR="00B66CC3" w:rsidRDefault="00B66CC3" w:rsidP="00B66CC3">
      <w:pPr>
        <w:pStyle w:val="Bibliography"/>
      </w:pPr>
      <w:r>
        <w:t>ESRI, 2010. ArcGIS 10.0. Environmental Systems Research Institute (ESRI). Redlands, CA.</w:t>
      </w:r>
    </w:p>
    <w:p w14:paraId="2CB6B717" w14:textId="77777777" w:rsidR="00B66CC3" w:rsidRDefault="00B66CC3" w:rsidP="00B66CC3">
      <w:pPr>
        <w:pStyle w:val="Bibliography"/>
      </w:pPr>
      <w:r>
        <w:t>Furnas, M., Alongi, D., McKinnon, D., Trott, L., Skuza, M., 2011. Regional-scale nitrogen and phosphorus budgets for the northern (14°S) and central (17°S) Great Barrier Reef shelf ecosystem. Cont. Shelf Res. 31, 1967–1990. doi:10.1016/j.csr.2011.09.007</w:t>
      </w:r>
    </w:p>
    <w:p w14:paraId="789ABE5A" w14:textId="77777777" w:rsidR="00B66CC3" w:rsidRDefault="00B66CC3" w:rsidP="00B66CC3">
      <w:pPr>
        <w:pStyle w:val="Bibliography"/>
      </w:pPr>
      <w:r>
        <w:t>Harding, B., Tremblay, C., Cousineau, D., 2014. Standard errors: A review and evaluation of standard error estimators using Monte Carlo simulations. Quant. Methods Phycol. 10, 107–123.</w:t>
      </w:r>
    </w:p>
    <w:p w14:paraId="63856A18" w14:textId="77777777" w:rsidR="00B66CC3" w:rsidRDefault="00B66CC3" w:rsidP="00B66CC3">
      <w:pPr>
        <w:pStyle w:val="Bibliography"/>
      </w:pPr>
      <w:r>
        <w:t>Hijmans, R.J., Etten, J. van, Mattiuzzi, M., Sumner, M., Greenberg, J.A., Lamigueiro, O.P., Bevan, A., Racine, E.B., Shortridge, A., 2015. raster: Geographic Data Analysis and Modeling.</w:t>
      </w:r>
    </w:p>
    <w:p w14:paraId="10440E09" w14:textId="77777777" w:rsidR="00B66CC3" w:rsidRDefault="00B66CC3" w:rsidP="00B66CC3">
      <w:pPr>
        <w:pStyle w:val="Bibliography"/>
      </w:pPr>
      <w:r>
        <w:t>Joo, M., Raymond, M.A.A., McNeil, V.H., Huggins, R., Turner, R.D.R., Choy, S., 2012. Estimates of sediment and nutrient loads in 10 major catchments draining to the Great Barrier Reef during 2006–2009. Mar. Pollut. Bull., The Catchment to Reef Continuum: Case studies from the Great Barrier Reef 65, 150–166. doi:10.1016/j.marpolbul.2012.01.002</w:t>
      </w:r>
    </w:p>
    <w:p w14:paraId="1DDB37A7" w14:textId="77777777" w:rsidR="00B66CC3" w:rsidRDefault="00B66CC3" w:rsidP="00B66CC3">
      <w:pPr>
        <w:pStyle w:val="Bibliography"/>
      </w:pPr>
      <w:r>
        <w:t>Lewis, S.E., Brodie, J.E., Endo, G., Lough, J., Furnas, M., Bainbridge, Z.T., 2014. Synthesizing historical land use change, fertiliser and pesticide usage and pollutant load data in the regulated catchments to quantify baseline and changing loads exported to the Great Barrier Reef. (No. 14/2014), TropWATER Report. James Cook University, Townsville, AU.</w:t>
      </w:r>
    </w:p>
    <w:p w14:paraId="7DF2C6F9" w14:textId="77777777" w:rsidR="00B66CC3" w:rsidRDefault="00B66CC3" w:rsidP="00B66CC3">
      <w:pPr>
        <w:pStyle w:val="Bibliography"/>
      </w:pPr>
      <w:r>
        <w:t>Luick, J.L., Mason, L., Hardy, T., Furnas, M.J., 2007a. Circulation in the Great Barrier Reef Lagoon using numerical tracers and in situ data. Cont. Shelf Res. 27, 757–778. doi:10.1016/j.csr.2006.11.020</w:t>
      </w:r>
    </w:p>
    <w:p w14:paraId="65C83F55" w14:textId="77777777" w:rsidR="00B66CC3" w:rsidRDefault="00B66CC3" w:rsidP="00B66CC3">
      <w:pPr>
        <w:pStyle w:val="Bibliography"/>
      </w:pPr>
      <w:r>
        <w:t>Luick, J.L., Mason, L., Hardy, T., Furnas, M.J., 2007b. Circulation in the Great Barrier Reef Lagoon using numerical tracers and in situ data. Cont. Shelf Res. 27, 757–778. doi:10.1016/j.csr.2006.11.020</w:t>
      </w:r>
    </w:p>
    <w:p w14:paraId="4E3289E7" w14:textId="77777777" w:rsidR="00B66CC3" w:rsidRDefault="00B66CC3" w:rsidP="00B66CC3">
      <w:pPr>
        <w:pStyle w:val="Bibliography"/>
      </w:pPr>
      <w:r>
        <w:t>Middelburg, J., Nieuwenhuize, J., 2001. Nitrogen Isotope Tracing of Dissolved Inorganic Nitrogen Behaviour in Tidal Estuaries. Estuar. Coast. Shelf Sci. 53, 385–391. doi:10.1006/ecss.2001.0805</w:t>
      </w:r>
    </w:p>
    <w:p w14:paraId="03E13D96" w14:textId="77777777" w:rsidR="00B66CC3" w:rsidRDefault="00B66CC3" w:rsidP="00B66CC3">
      <w:pPr>
        <w:pStyle w:val="Bibliography"/>
      </w:pPr>
      <w:r>
        <w:t>Packett, R., Dougall, C., Rohde, K., Noble, R., 2009. Agricultural lands are hot-spots for annual runoff polluting the southern Great Barrier Reef lagoon. Mar. Pollut. Bull. 58, 976–986. doi:10.1016/j.marpolbul.2009.02.017</w:t>
      </w:r>
    </w:p>
    <w:p w14:paraId="73044EB9" w14:textId="77777777" w:rsidR="00B66CC3" w:rsidRDefault="00B66CC3" w:rsidP="00B66CC3">
      <w:pPr>
        <w:pStyle w:val="Bibliography"/>
      </w:pPr>
      <w:r>
        <w:t>R Development Core Team, 2015. R: a language and environment for statistical computing [WWW Document]. GBIF.ORG. URL http://www.gbif.org/resource/81287 (accessed 5.20.15).</w:t>
      </w:r>
    </w:p>
    <w:p w14:paraId="074D07FF" w14:textId="77777777" w:rsidR="00B66CC3" w:rsidRDefault="00B66CC3" w:rsidP="00B66CC3">
      <w:pPr>
        <w:pStyle w:val="Bibliography"/>
      </w:pPr>
      <w:r>
        <w:t>Scott A Wooldridge, T.J.D., 2009. Improved water quality can ameliorate effects of climate change on corals. Ecol Appl 19: 1492-1499. Ecol. Appl. Publ. Ecol. Soc. Am. 19, 1492–9. doi:10.1890/08-0963.1</w:t>
      </w:r>
    </w:p>
    <w:p w14:paraId="31386D9F" w14:textId="043C8D62" w:rsidR="00B66CC3" w:rsidRDefault="00B66CC3" w:rsidP="00B66CC3">
      <w:pPr>
        <w:pStyle w:val="Bibliography"/>
      </w:pPr>
      <w:r>
        <w:t xml:space="preserve">Turner, R., Huggins, R., Wallace, R., Smith, R., Vardy, S., Warne, M.S.J., 2013. Total suspended solids, nutrient and pesticide loads (2010-2011) for rivers that discharge to the Great Barrier Reef Great Barrier Reef Catchment. Loads monitoring 2010-2011. (No. Volume 2013, Number 1), Water Sciences Technical Report. The State of Queensland (Science, Information Technology, Innovation and the Arts ), Brisbane, </w:t>
      </w:r>
      <w:r w:rsidR="009237E6">
        <w:t>Australia</w:t>
      </w:r>
      <w:r>
        <w:t>.</w:t>
      </w:r>
    </w:p>
    <w:p w14:paraId="5CD23823" w14:textId="77777777" w:rsidR="00B66CC3" w:rsidRDefault="00B66CC3" w:rsidP="00B66CC3">
      <w:pPr>
        <w:pStyle w:val="Bibliography"/>
      </w:pPr>
      <w:r>
        <w:t>Uthicke, S., Logan, M., Liddy, M., Francis, D., Hardy, N., Lamare, M., 2015. Climate change as an unexpected co-factor promoting coral eating seastar (Acanthaster planci) outbreaks. Sci. Rep. 5, 8402. doi:10.1038/srep08402</w:t>
      </w:r>
    </w:p>
    <w:p w14:paraId="07C08C95" w14:textId="22088EAB" w:rsidR="00B66CC3" w:rsidRDefault="00B66CC3" w:rsidP="00B66CC3">
      <w:pPr>
        <w:pStyle w:val="Bibliography"/>
      </w:pPr>
      <w:r>
        <w:t>Wallace, R., Huggins, R., Smith, R.A., Turner, R.D.R., Garzon-Garcia, A., Warne, M.S.J., 2015. Total suspended solids, nutrient and pesticide loads (2012–2013) for rivers that discharge to the Great Barrier Reef – Great Barrier Reef Catchment Loads Monitoring Program 2012–2013. Department of Science, Information Technology and Innovation, Brisbane.</w:t>
      </w:r>
    </w:p>
    <w:p w14:paraId="3F6E7044" w14:textId="01CD9729" w:rsidR="009237E6" w:rsidRPr="00654C99" w:rsidRDefault="009237E6" w:rsidP="00654C99">
      <w:pPr>
        <w:pStyle w:val="Bibliography"/>
      </w:pPr>
      <w:r w:rsidRPr="004A5BF7">
        <w:t>Wallace, R., Huggins, R., King, O., Gardiner, R., Thomson, B., Orr, D., Ferguson, B., Taylor, C., Severino, Z., Smith, R.A., Warne, M.St.J., Turner, R.D., Mann, R.M. (in review). Total suspended solids, nutrient and pesticide loads (2014–2015) for rivers that discharge to the Great Barrier Reef – Great Barrier Reef Catchment Loads Monitoring Program. Department of Science, Information Technology and Innovation, Brisbane.</w:t>
      </w:r>
    </w:p>
    <w:p w14:paraId="00DDD8E5" w14:textId="77777777" w:rsidR="00B66CC3" w:rsidRDefault="00B66CC3" w:rsidP="00B66CC3">
      <w:pPr>
        <w:pStyle w:val="Bibliography"/>
      </w:pPr>
      <w:r>
        <w:t>Waterhouse, J., Brodie, J., Tracey, D., Lewis, S., Hateley, L., Brinkman, R., Furnas, M., Wolff, N., da Silva, E., O’Brien, D., McKenzie, L., 2014. Assessment of the relative risk of water quality to ecosystems of the Wet Tropics Region, Great Barrier. A report to Terrain NRM, Innisfail. (No. 14/27), TropWATER Report. James Cook University, Townsville, AU.</w:t>
      </w:r>
    </w:p>
    <w:p w14:paraId="59D67579" w14:textId="77777777" w:rsidR="00B66CC3" w:rsidRDefault="00B66CC3" w:rsidP="00B66CC3">
      <w:pPr>
        <w:pStyle w:val="Bibliography"/>
      </w:pPr>
      <w:r>
        <w:t>Wolff, N., da Silva, E.T., Tonin, H., Brinkman, R., Lewis, S., Devlin, M., Anthony, K., Mumby, P., in prep. Exposure of the Great Barrier Reef to riverine dissolved inorganic nitrogen inputs.</w:t>
      </w:r>
    </w:p>
    <w:p w14:paraId="13658A36" w14:textId="77777777" w:rsidR="00B66CC3" w:rsidRDefault="00B66CC3" w:rsidP="00B66CC3">
      <w:pPr>
        <w:pStyle w:val="Bibliography"/>
      </w:pPr>
      <w:r>
        <w:t>Wolff, N., Devlin, M., da Silva, E.T., Brinkman, R., Petus, C., Tracey, D., Tonin, H., Stephen, L., Mumby, P., Anthony, K., 2014. Impacts of terrestrial runoff on the vulnerability of the Great Barrier Reef., in: The 22nd Ocean Optics Conference. Portland, ME.</w:t>
      </w:r>
    </w:p>
    <w:p w14:paraId="39740419" w14:textId="77777777" w:rsidR="00B66CC3" w:rsidRDefault="00B66CC3" w:rsidP="00B66CC3">
      <w:pPr>
        <w:pStyle w:val="Bibliography"/>
      </w:pPr>
      <w:r>
        <w:t>Wooldridge, S.A., 2009. Water quality and coral bleaching thresholds: Formalising the linkage for the inshore reefs of the Great Barrier Reef, Australia. Mar. Pollut. Bull. 58, 745–751. doi:10.1016/j.marpolbul.2008.12.013</w:t>
      </w:r>
    </w:p>
    <w:p w14:paraId="32CDFBB0" w14:textId="77777777" w:rsidR="00B66CC3" w:rsidRDefault="00B66CC3" w:rsidP="00B66CC3">
      <w:pPr>
        <w:pStyle w:val="Bibliography"/>
      </w:pPr>
      <w:r>
        <w:t>Wooldridge, S.A., Brodie, J.E., Kroon, F.J., Turner, R.D.R., 2015. Ecologically based targets for bioavailable (reactive) nitrogen discharge from the drainage basins of the Wet Tropics region, Great Barrier Reef. Mar. Pollut. Bull. 97, 262–272. doi:10.1016/j.marpolbul.2015.06.007</w:t>
      </w:r>
    </w:p>
    <w:p w14:paraId="008137F8" w14:textId="233D6927" w:rsidR="00B66CC3" w:rsidRDefault="00B66CC3" w:rsidP="00B66CC3">
      <w:pPr>
        <w:rPr>
          <w:lang w:val="en-AU"/>
        </w:rPr>
      </w:pPr>
      <w:r w:rsidRPr="00961331">
        <w:rPr>
          <w:rFonts w:cs="Arial"/>
          <w:b/>
          <w:szCs w:val="22"/>
        </w:rPr>
        <w:fldChar w:fldCharType="end"/>
      </w:r>
    </w:p>
    <w:p w14:paraId="784CDB44" w14:textId="77777777" w:rsidR="00B66CC3" w:rsidRDefault="00B66CC3" w:rsidP="00B66CC3">
      <w:pPr>
        <w:rPr>
          <w:lang w:val="en-AU"/>
        </w:rPr>
      </w:pPr>
    </w:p>
    <w:p w14:paraId="1A19C24E" w14:textId="57C13D78" w:rsidR="00B66CC3" w:rsidRDefault="00B66CC3" w:rsidP="008A37CB">
      <w:pPr>
        <w:rPr>
          <w:lang w:val="en-AU"/>
        </w:rPr>
      </w:pPr>
      <w:r>
        <w:rPr>
          <w:lang w:val="en-AU"/>
        </w:rPr>
        <w:br w:type="page"/>
      </w:r>
    </w:p>
    <w:p w14:paraId="2B6003C1" w14:textId="77777777" w:rsidR="00B66CC3" w:rsidRPr="00B7746B" w:rsidRDefault="00B66CC3" w:rsidP="008A37CB">
      <w:pPr>
        <w:rPr>
          <w:lang w:val="en-AU"/>
        </w:rPr>
      </w:pPr>
    </w:p>
    <w:p w14:paraId="5F22F92E" w14:textId="77777777" w:rsidR="00D33068" w:rsidRPr="00490807" w:rsidRDefault="00D33068" w:rsidP="00AF17DE">
      <w:pPr>
        <w:pStyle w:val="Heading7"/>
        <w:rPr>
          <w:lang w:val="en-AU"/>
        </w:rPr>
      </w:pPr>
      <w:bookmarkStart w:id="1610" w:name="_Ref452293704"/>
      <w:r w:rsidRPr="00490807">
        <w:rPr>
          <w:lang w:val="en-AU"/>
        </w:rPr>
        <w:t xml:space="preserve">Validation </w:t>
      </w:r>
      <w:r w:rsidR="005B29BE">
        <w:rPr>
          <w:lang w:val="en-AU"/>
        </w:rPr>
        <w:t>of n</w:t>
      </w:r>
      <w:r w:rsidRPr="00490807">
        <w:rPr>
          <w:lang w:val="en-AU"/>
        </w:rPr>
        <w:t>umerical hydrodynamics modelling of flood plumes</w:t>
      </w:r>
      <w:bookmarkEnd w:id="1610"/>
    </w:p>
    <w:p w14:paraId="5F22F92F" w14:textId="77777777" w:rsidR="00D33068" w:rsidRPr="00490807" w:rsidRDefault="00D33068" w:rsidP="00D33068">
      <w:pPr>
        <w:rPr>
          <w:bCs/>
          <w:lang w:val="en-AU"/>
        </w:rPr>
      </w:pPr>
      <w:r w:rsidRPr="00490807">
        <w:rPr>
          <w:bCs/>
          <w:lang w:val="en-AU"/>
        </w:rPr>
        <w:t>Hydrodynamic models provide a valuable tool for identifying, quantifying and communicating the spatial impact of discharges from various rivers into the GBR lagoon. Hydrodynamic models can simulate the three-dimensional transport and fate of material delivered to the marine environment, and deliver benefits over traditional static observations of river plume distributions. Whilst aerial and remote sensing can track the visual extent of river plumes, it is generally difficult to quantify the contribution of individual rivers to the overall observed spatial impact. The impact of the rivers is often confounded by a number of factors including: plumes from adjacent rivers which spatially overlap and mix; inputs of low salinity tropical water advected from the north and low surface salinity due to rainfall, which is rapidly mixed. Numerical models provide a number of solutions to this problem</w:t>
      </w:r>
      <w:r w:rsidR="00C951C9">
        <w:rPr>
          <w:bCs/>
          <w:lang w:val="en-AU"/>
        </w:rPr>
        <w:t xml:space="preserve">. </w:t>
      </w:r>
      <w:r w:rsidRPr="00490807">
        <w:rPr>
          <w:bCs/>
          <w:lang w:val="en-AU"/>
        </w:rPr>
        <w:t xml:space="preserve">During flood events, discharges of freshwater are resolved by </w:t>
      </w:r>
      <w:r w:rsidR="00C951C9">
        <w:rPr>
          <w:bCs/>
          <w:lang w:val="en-AU"/>
        </w:rPr>
        <w:t xml:space="preserve">the model’s salinity solution. </w:t>
      </w:r>
      <w:r w:rsidRPr="00490807">
        <w:rPr>
          <w:bCs/>
          <w:lang w:val="en-AU"/>
        </w:rPr>
        <w:t>Passive tracers overcome the problems of using salinity alone as a tracer, as they allow the freshwater from the individual rivers to be tagged and assessed. Passive tracers act as virtual markers, and are conservatively advected and diffused in an identical fashion to physical variables such as temperature and salinity, but play no dynamic role in physical or biogeochemical processes. Importantly, simulation of the transport of unique tracers ‘released’ from different rivers enables the identification of marine regions influenced by individual catchments, and provides insight into the mixing and retention of river water along various regions with in the GBR lagoon</w:t>
      </w:r>
    </w:p>
    <w:p w14:paraId="5F22F930" w14:textId="2133BF0E" w:rsidR="00D33068" w:rsidRPr="00490807" w:rsidRDefault="00D33068" w:rsidP="00D33068">
      <w:pPr>
        <w:rPr>
          <w:rFonts w:cs="Arial"/>
          <w:lang w:val="en-AU"/>
        </w:rPr>
      </w:pPr>
      <w:r w:rsidRPr="00490807">
        <w:rPr>
          <w:rFonts w:cs="Arial"/>
          <w:lang w:val="en-AU"/>
        </w:rPr>
        <w:t>As part of the eReefs project (</w:t>
      </w:r>
      <w:hyperlink r:id="rId401" w:history="1">
        <w:r w:rsidRPr="00490807">
          <w:rPr>
            <w:rStyle w:val="Hyperlink"/>
            <w:rFonts w:cs="Arial"/>
            <w:lang w:val="en-AU"/>
          </w:rPr>
          <w:t>http://ereefs.org.au/ereefs</w:t>
        </w:r>
      </w:hyperlink>
      <w:r w:rsidRPr="00490807">
        <w:rPr>
          <w:rFonts w:cs="Arial"/>
          <w:lang w:val="en-AU"/>
        </w:rPr>
        <w:t>) a regional implementation of a 3-dimensional, baroclinic hydrodynamic model has been developed for the GBR. Outputs from the model include three-dimensional distributions of velocity, temperature, salinity, density, passive tracer concentrations, mixing coefficients and sea-level. Inputs required by the model include forcing due to wind, atmospheric pressure gradients, surface heat and rainfall fluxes and open-boundary conditions such as tides, low frequency ocean currents and riverine inputs. The model is described in detail in Schiller et al., 2015, and for this study we used outputs from the regional ~4 km horizontal spatial resolution model.</w:t>
      </w:r>
    </w:p>
    <w:p w14:paraId="5F22F931" w14:textId="77777777" w:rsidR="00D33068" w:rsidRPr="00490807" w:rsidRDefault="00D33068" w:rsidP="00D33068">
      <w:pPr>
        <w:rPr>
          <w:bCs/>
          <w:lang w:val="en-AU"/>
        </w:rPr>
      </w:pPr>
      <w:r w:rsidRPr="00490807">
        <w:rPr>
          <w:bCs/>
          <w:lang w:val="en-AU"/>
        </w:rPr>
        <w:t>For this study, hindcast simulations were performed for the wet season, which we considered to be the period from 01 November 2014 until 31 March 2015 of the following year. River-tagged passive tracers were released from each of the major gauged rivers between discharging in to the GBR. For this study we examined the influence of the Baron, Russell-Mulgrave, Tully, Burdekin</w:t>
      </w:r>
      <w:r>
        <w:rPr>
          <w:bCs/>
          <w:lang w:val="en-AU"/>
        </w:rPr>
        <w:t xml:space="preserve"> and</w:t>
      </w:r>
      <w:r w:rsidRPr="00490807">
        <w:rPr>
          <w:bCs/>
          <w:lang w:val="en-AU"/>
        </w:rPr>
        <w:t xml:space="preserve"> </w:t>
      </w:r>
      <w:r w:rsidRPr="00E50FD9">
        <w:rPr>
          <w:bCs/>
          <w:lang w:val="en-AU"/>
        </w:rPr>
        <w:t>O’Connell</w:t>
      </w:r>
      <w:r w:rsidRPr="00490807">
        <w:rPr>
          <w:bCs/>
          <w:lang w:val="en-AU"/>
        </w:rPr>
        <w:t xml:space="preserve"> Rivers. The discharge concentration of each river’s unique tracer was set at 1.0 at the river mouth, while the starting tracer concentration in the GBR Lagoon (time = 0 for each wet season) was set to 0.0.</w:t>
      </w:r>
    </w:p>
    <w:p w14:paraId="5F22F932" w14:textId="77777777" w:rsidR="00D33068" w:rsidRPr="00490807" w:rsidRDefault="00D33068" w:rsidP="00D33068">
      <w:pPr>
        <w:rPr>
          <w:rStyle w:val="IntenseEmphasis"/>
          <w:rFonts w:cs="Arial"/>
          <w:color w:val="000000" w:themeColor="text1"/>
          <w:szCs w:val="22"/>
          <w:u w:val="single"/>
          <w:lang w:val="en-AU"/>
        </w:rPr>
      </w:pPr>
    </w:p>
    <w:p w14:paraId="5F22F933" w14:textId="77777777" w:rsidR="00D33068" w:rsidRPr="00490807" w:rsidRDefault="00D33068" w:rsidP="00D33068">
      <w:pPr>
        <w:rPr>
          <w:rStyle w:val="IntenseEmphasis"/>
          <w:rFonts w:cs="Arial"/>
          <w:b w:val="0"/>
          <w:color w:val="000000" w:themeColor="text1"/>
          <w:szCs w:val="22"/>
          <w:u w:val="single"/>
          <w:lang w:val="en-AU"/>
        </w:rPr>
      </w:pPr>
      <w:r w:rsidRPr="00490807">
        <w:rPr>
          <w:rStyle w:val="IntenseEmphasis"/>
          <w:rFonts w:cs="Arial"/>
          <w:color w:val="000000" w:themeColor="text1"/>
          <w:szCs w:val="22"/>
          <w:u w:val="single"/>
          <w:lang w:val="en-AU"/>
        </w:rPr>
        <w:t>River exposure index</w:t>
      </w:r>
    </w:p>
    <w:p w14:paraId="5F22F934" w14:textId="77777777" w:rsidR="00D33068" w:rsidRPr="00490807" w:rsidRDefault="00D33068" w:rsidP="00D33068">
      <w:pPr>
        <w:rPr>
          <w:bCs/>
          <w:lang w:val="en-AU"/>
        </w:rPr>
      </w:pPr>
      <w:r w:rsidRPr="00490807">
        <w:rPr>
          <w:bCs/>
          <w:lang w:val="en-AU"/>
        </w:rPr>
        <w:t>Model simulations of the 3-dimensional distributions of passive tracers were analy</w:t>
      </w:r>
      <w:r w:rsidR="00D21F8E">
        <w:rPr>
          <w:bCs/>
          <w:lang w:val="en-AU"/>
        </w:rPr>
        <w:t>s</w:t>
      </w:r>
      <w:r w:rsidRPr="00490807">
        <w:rPr>
          <w:bCs/>
          <w:lang w:val="en-AU"/>
        </w:rPr>
        <w:t xml:space="preserve">ed to produce weekly estimates of cumulative exposure to tracers above a threshold of 1% of the source concentration.  </w:t>
      </w:r>
    </w:p>
    <w:p w14:paraId="5F22F935" w14:textId="77777777" w:rsidR="00D33068" w:rsidRPr="00490807" w:rsidRDefault="00D33068" w:rsidP="00D33068">
      <w:pPr>
        <w:rPr>
          <w:bCs/>
          <w:lang w:val="en-AU"/>
        </w:rPr>
      </w:pPr>
      <w:r w:rsidRPr="00490807">
        <w:rPr>
          <w:bCs/>
          <w:lang w:val="en-AU"/>
        </w:rPr>
        <w:t>Here we define a cumulative exposure index that integrates the tracer concentration above a defined threshold. It is a cumulative measurement of the exposure concentration and duration of exposure to dissolved inputs from individual river sources. It is expressed as Concentration x Days (Conc.Days)</w:t>
      </w:r>
    </w:p>
    <w:p w14:paraId="5F22F936" w14:textId="77777777" w:rsidR="00D33068" w:rsidRPr="00490807" w:rsidRDefault="00D33068" w:rsidP="00D33068">
      <w:pPr>
        <w:rPr>
          <w:bCs/>
          <w:lang w:val="en-AU"/>
        </w:rPr>
      </w:pPr>
      <w:r w:rsidRPr="00490807">
        <w:rPr>
          <w:bCs/>
          <w:lang w:val="en-AU"/>
        </w:rPr>
        <w:t>For every location in the model domain cumulative exposure is calculated as follows:</w:t>
      </w:r>
    </w:p>
    <w:p w14:paraId="5F22F937" w14:textId="77777777" w:rsidR="00D33068" w:rsidRPr="004659B2" w:rsidRDefault="00D33068" w:rsidP="00D33068">
      <w:pPr>
        <w:pStyle w:val="normaltext"/>
        <w:spacing w:line="360" w:lineRule="auto"/>
        <w:rPr>
          <w:rFonts w:ascii="Arial" w:hAnsi="Arial" w:cs="Arial"/>
          <w:sz w:val="22"/>
          <w:szCs w:val="22"/>
          <w:lang w:val="fr-FR"/>
        </w:rPr>
      </w:pPr>
      <m:oMathPara>
        <m:oMath>
          <m:r>
            <m:rPr>
              <m:nor/>
            </m:rPr>
            <w:rPr>
              <w:rFonts w:ascii="Arial" w:hAnsi="Arial" w:cs="Arial"/>
              <w:sz w:val="22"/>
              <w:szCs w:val="22"/>
              <w:lang w:val="fr-FR"/>
            </w:rPr>
            <m:t>Conc.Days</m:t>
          </m:r>
          <m:r>
            <w:rPr>
              <w:rFonts w:ascii="Cambria Math" w:eastAsia="Cambria Math" w:hAnsi="Cambria Math" w:cs="Arial"/>
              <w:sz w:val="22"/>
              <w:szCs w:val="22"/>
              <w:lang w:val="fr-FR"/>
            </w:rPr>
            <m:t>=</m:t>
          </m:r>
          <m:nary>
            <m:naryPr>
              <m:chr m:val="∑"/>
              <m:grow m:val="1"/>
              <m:ctrlPr>
                <w:rPr>
                  <w:rFonts w:ascii="Cambria Math" w:hAnsi="Cambria Math" w:cs="Arial"/>
                  <w:sz w:val="22"/>
                  <w:szCs w:val="22"/>
                  <w:lang w:val="en-AU"/>
                </w:rPr>
              </m:ctrlPr>
            </m:naryPr>
            <m:sub>
              <m:r>
                <w:rPr>
                  <w:rFonts w:ascii="Cambria Math" w:eastAsia="Cambria Math" w:hAnsi="Cambria Math" w:cs="Arial"/>
                  <w:sz w:val="22"/>
                  <w:szCs w:val="22"/>
                  <w:lang w:val="en-AU"/>
                </w:rPr>
                <m:t>t</m:t>
              </m:r>
              <m:r>
                <w:rPr>
                  <w:rFonts w:ascii="Cambria Math" w:eastAsia="Cambria Math" w:hAnsi="Cambria Math" w:cs="Arial"/>
                  <w:sz w:val="22"/>
                  <w:szCs w:val="22"/>
                  <w:lang w:val="fr-FR"/>
                </w:rPr>
                <m:t>=0</m:t>
              </m:r>
            </m:sub>
            <m:sup>
              <m:r>
                <w:rPr>
                  <w:rFonts w:ascii="Cambria Math" w:eastAsia="Cambria Math" w:hAnsi="Cambria Math" w:cs="Arial"/>
                  <w:sz w:val="22"/>
                  <w:szCs w:val="22"/>
                  <w:lang w:val="en-AU"/>
                </w:rPr>
                <m:t>T</m:t>
              </m:r>
            </m:sup>
            <m:e>
              <m:sSub>
                <m:sSubPr>
                  <m:ctrlPr>
                    <w:rPr>
                      <w:rFonts w:ascii="Cambria Math" w:hAnsi="Cambria Math" w:cs="Arial"/>
                      <w:sz w:val="22"/>
                      <w:szCs w:val="22"/>
                      <w:lang w:val="en-AU"/>
                    </w:rPr>
                  </m:ctrlPr>
                </m:sSubPr>
                <m:e>
                  <m:r>
                    <m:rPr>
                      <m:nor/>
                    </m:rPr>
                    <w:rPr>
                      <w:rFonts w:ascii="Arial" w:hAnsi="Arial" w:cs="Arial"/>
                      <w:sz w:val="22"/>
                      <w:szCs w:val="22"/>
                      <w:lang w:val="fr-FR"/>
                    </w:rPr>
                    <m:t>Conc</m:t>
                  </m:r>
                </m:e>
                <m:sub>
                  <m:r>
                    <w:rPr>
                      <w:rFonts w:ascii="Cambria Math" w:hAnsi="Cambria Math" w:cs="Arial"/>
                      <w:sz w:val="22"/>
                      <w:szCs w:val="22"/>
                      <w:lang w:val="en-AU"/>
                    </w:rPr>
                    <m:t>exceedance</m:t>
                  </m:r>
                </m:sub>
              </m:sSub>
              <m:r>
                <m:rPr>
                  <m:sty m:val="p"/>
                </m:rPr>
                <w:rPr>
                  <w:rFonts w:ascii="Cambria Math" w:hAnsi="Cambria Math" w:cs="Arial"/>
                  <w:sz w:val="22"/>
                  <w:szCs w:val="22"/>
                  <w:lang w:val="fr-FR"/>
                </w:rPr>
                <m:t>*t</m:t>
              </m:r>
            </m:e>
          </m:nary>
        </m:oMath>
      </m:oMathPara>
    </w:p>
    <w:p w14:paraId="5F22F938" w14:textId="77777777" w:rsidR="00D33068" w:rsidRPr="004659B2" w:rsidRDefault="00D33068" w:rsidP="00D33068">
      <w:pPr>
        <w:pStyle w:val="normaltext"/>
        <w:spacing w:line="360" w:lineRule="auto"/>
        <w:rPr>
          <w:rFonts w:ascii="Arial" w:hAnsi="Arial" w:cs="Arial"/>
          <w:sz w:val="22"/>
          <w:szCs w:val="22"/>
          <w:lang w:val="fr-FR"/>
        </w:rPr>
      </w:pPr>
      <w:r w:rsidRPr="004659B2">
        <w:rPr>
          <w:rFonts w:ascii="Arial" w:hAnsi="Arial" w:cs="Arial"/>
          <w:sz w:val="22"/>
          <w:szCs w:val="22"/>
          <w:lang w:val="fr-FR"/>
        </w:rPr>
        <w:t xml:space="preserve">where </w:t>
      </w:r>
      <w:r w:rsidRPr="004659B2">
        <w:rPr>
          <w:rFonts w:ascii="Arial" w:hAnsi="Arial" w:cs="Arial"/>
          <w:sz w:val="22"/>
          <w:szCs w:val="22"/>
          <w:lang w:val="fr-FR"/>
        </w:rPr>
        <w:br/>
      </w:r>
      <m:oMathPara>
        <m:oMath>
          <m:sSub>
            <m:sSubPr>
              <m:ctrlPr>
                <w:rPr>
                  <w:rFonts w:ascii="Cambria Math" w:hAnsi="Cambria Math" w:cs="Arial"/>
                  <w:sz w:val="22"/>
                  <w:szCs w:val="22"/>
                  <w:lang w:val="en-AU"/>
                </w:rPr>
              </m:ctrlPr>
            </m:sSubPr>
            <m:e>
              <m:r>
                <m:rPr>
                  <m:nor/>
                </m:rPr>
                <w:rPr>
                  <w:rFonts w:ascii="Arial" w:hAnsi="Arial" w:cs="Arial"/>
                  <w:sz w:val="22"/>
                  <w:szCs w:val="22"/>
                  <w:lang w:val="fr-FR"/>
                </w:rPr>
                <m:t>Conc</m:t>
              </m:r>
            </m:e>
            <m:sub>
              <m:r>
                <w:rPr>
                  <w:rFonts w:ascii="Cambria Math" w:hAnsi="Cambria Math" w:cs="Arial"/>
                  <w:sz w:val="22"/>
                  <w:szCs w:val="22"/>
                  <w:lang w:val="en-AU"/>
                </w:rPr>
                <m:t>exceedance</m:t>
              </m:r>
            </m:sub>
          </m:sSub>
          <m:r>
            <w:rPr>
              <w:rFonts w:ascii="Cambria Math" w:eastAsia="Cambria Math" w:hAnsi="Cambria Math" w:cs="Arial"/>
              <w:sz w:val="22"/>
              <w:szCs w:val="22"/>
              <w:lang w:val="fr-FR"/>
            </w:rPr>
            <m:t>=</m:t>
          </m:r>
          <m:d>
            <m:dPr>
              <m:begChr m:val="{"/>
              <m:endChr m:val=""/>
              <m:ctrlPr>
                <w:rPr>
                  <w:rFonts w:ascii="Cambria Math" w:eastAsia="Cambria Math" w:hAnsi="Cambria Math" w:cs="Arial"/>
                  <w:i/>
                  <w:sz w:val="22"/>
                  <w:szCs w:val="22"/>
                  <w:lang w:val="en-AU"/>
                </w:rPr>
              </m:ctrlPr>
            </m:dPr>
            <m:e>
              <m:eqArr>
                <m:eqArrPr>
                  <m:ctrlPr>
                    <w:rPr>
                      <w:rFonts w:ascii="Cambria Math" w:eastAsia="Cambria Math" w:hAnsi="Cambria Math" w:cs="Arial"/>
                      <w:i/>
                      <w:sz w:val="22"/>
                      <w:szCs w:val="22"/>
                      <w:lang w:val="en-AU"/>
                    </w:rPr>
                  </m:ctrlPr>
                </m:eqArrPr>
                <m:e>
                  <m:sSub>
                    <m:sSubPr>
                      <m:ctrlPr>
                        <w:rPr>
                          <w:rFonts w:ascii="Cambria Math" w:hAnsi="Cambria Math" w:cs="Arial"/>
                          <w:sz w:val="22"/>
                          <w:szCs w:val="22"/>
                          <w:lang w:val="en-AU"/>
                        </w:rPr>
                      </m:ctrlPr>
                    </m:sSubPr>
                    <m:e>
                      <m:r>
                        <m:rPr>
                          <m:nor/>
                        </m:rPr>
                        <w:rPr>
                          <w:rFonts w:ascii="Arial" w:hAnsi="Arial" w:cs="Arial"/>
                          <w:sz w:val="22"/>
                          <w:szCs w:val="22"/>
                          <w:lang w:val="fr-FR"/>
                        </w:rPr>
                        <m:t>Conc(t) - Conc</m:t>
                      </m:r>
                    </m:e>
                    <m:sub>
                      <m:r>
                        <w:rPr>
                          <w:rFonts w:ascii="Cambria Math" w:hAnsi="Cambria Math" w:cs="Arial"/>
                          <w:sz w:val="22"/>
                          <w:szCs w:val="22"/>
                          <w:lang w:val="en-AU"/>
                        </w:rPr>
                        <m:t>t</m:t>
                      </m:r>
                      <m:r>
                        <w:rPr>
                          <w:rFonts w:ascii="Cambria Math" w:hAnsi="Cambria Math" w:cs="Arial"/>
                          <w:sz w:val="22"/>
                          <w:szCs w:val="22"/>
                          <w:lang w:val="fr-FR"/>
                        </w:rPr>
                        <m:t>h</m:t>
                      </m:r>
                      <m:r>
                        <w:rPr>
                          <w:rFonts w:ascii="Cambria Math" w:hAnsi="Cambria Math" w:cs="Arial"/>
                          <w:sz w:val="22"/>
                          <w:szCs w:val="22"/>
                          <w:lang w:val="en-AU"/>
                        </w:rPr>
                        <m:t>res</m:t>
                      </m:r>
                      <m:r>
                        <w:rPr>
                          <w:rFonts w:ascii="Cambria Math" w:hAnsi="Cambria Math" w:cs="Arial"/>
                          <w:sz w:val="22"/>
                          <w:szCs w:val="22"/>
                          <w:lang w:val="fr-FR"/>
                        </w:rPr>
                        <m:t>h</m:t>
                      </m:r>
                      <m:r>
                        <w:rPr>
                          <w:rFonts w:ascii="Cambria Math" w:hAnsi="Cambria Math" w:cs="Arial"/>
                          <w:sz w:val="22"/>
                          <w:szCs w:val="22"/>
                          <w:lang w:val="en-AU"/>
                        </w:rPr>
                        <m:t>old</m:t>
                      </m:r>
                    </m:sub>
                  </m:sSub>
                  <m:r>
                    <w:rPr>
                      <w:rFonts w:ascii="Cambria Math" w:eastAsia="Cambria Math" w:hAnsi="Cambria Math" w:cs="Arial"/>
                      <w:sz w:val="22"/>
                      <w:szCs w:val="22"/>
                      <w:lang w:val="fr-FR"/>
                    </w:rPr>
                    <m:t xml:space="preserve">,  </m:t>
                  </m:r>
                  <m:r>
                    <m:rPr>
                      <m:nor/>
                    </m:rPr>
                    <w:rPr>
                      <w:rFonts w:ascii="Arial" w:hAnsi="Arial" w:cs="Arial"/>
                      <w:sz w:val="22"/>
                      <w:szCs w:val="22"/>
                      <w:lang w:val="fr-FR"/>
                    </w:rPr>
                    <m:t>where Conc(t)</m:t>
                  </m:r>
                  <m:sSub>
                    <m:sSubPr>
                      <m:ctrlPr>
                        <w:rPr>
                          <w:rFonts w:ascii="Cambria Math" w:hAnsi="Cambria Math" w:cs="Arial"/>
                          <w:sz w:val="22"/>
                          <w:szCs w:val="22"/>
                          <w:lang w:val="en-AU"/>
                        </w:rPr>
                      </m:ctrlPr>
                    </m:sSubPr>
                    <m:e>
                      <m:r>
                        <w:rPr>
                          <w:rFonts w:ascii="Cambria Math" w:eastAsia="Cambria Math" w:hAnsi="Cambria Math" w:cs="Arial"/>
                          <w:sz w:val="22"/>
                          <w:szCs w:val="22"/>
                          <w:lang w:val="fr-FR"/>
                        </w:rPr>
                        <m:t>&gt;</m:t>
                      </m:r>
                      <m:r>
                        <m:rPr>
                          <m:nor/>
                        </m:rPr>
                        <w:rPr>
                          <w:rFonts w:ascii="Arial" w:hAnsi="Arial" w:cs="Arial"/>
                          <w:sz w:val="22"/>
                          <w:szCs w:val="22"/>
                          <w:lang w:val="fr-FR"/>
                        </w:rPr>
                        <m:t>Conc</m:t>
                      </m:r>
                    </m:e>
                    <m:sub>
                      <m:r>
                        <w:rPr>
                          <w:rFonts w:ascii="Cambria Math" w:hAnsi="Cambria Math" w:cs="Arial"/>
                          <w:sz w:val="22"/>
                          <w:szCs w:val="22"/>
                          <w:lang w:val="en-AU"/>
                        </w:rPr>
                        <m:t>t</m:t>
                      </m:r>
                      <m:r>
                        <w:rPr>
                          <w:rFonts w:ascii="Cambria Math" w:hAnsi="Cambria Math" w:cs="Arial"/>
                          <w:sz w:val="22"/>
                          <w:szCs w:val="22"/>
                          <w:lang w:val="fr-FR"/>
                        </w:rPr>
                        <m:t>h</m:t>
                      </m:r>
                      <m:r>
                        <w:rPr>
                          <w:rFonts w:ascii="Cambria Math" w:hAnsi="Cambria Math" w:cs="Arial"/>
                          <w:sz w:val="22"/>
                          <w:szCs w:val="22"/>
                          <w:lang w:val="en-AU"/>
                        </w:rPr>
                        <m:t>res</m:t>
                      </m:r>
                      <m:r>
                        <w:rPr>
                          <w:rFonts w:ascii="Cambria Math" w:hAnsi="Cambria Math" w:cs="Arial"/>
                          <w:sz w:val="22"/>
                          <w:szCs w:val="22"/>
                          <w:lang w:val="fr-FR"/>
                        </w:rPr>
                        <m:t>h</m:t>
                      </m:r>
                      <m:r>
                        <w:rPr>
                          <w:rFonts w:ascii="Cambria Math" w:hAnsi="Cambria Math" w:cs="Arial"/>
                          <w:sz w:val="22"/>
                          <w:szCs w:val="22"/>
                          <w:lang w:val="en-AU"/>
                        </w:rPr>
                        <m:t>old</m:t>
                      </m:r>
                    </m:sub>
                  </m:sSub>
                </m:e>
                <m:e>
                  <m:r>
                    <w:rPr>
                      <w:rFonts w:ascii="Cambria Math" w:eastAsia="Cambria Math" w:hAnsi="Cambria Math" w:cs="Arial"/>
                      <w:sz w:val="22"/>
                      <w:szCs w:val="22"/>
                      <w:lang w:val="fr-FR"/>
                    </w:rPr>
                    <m:t>&amp;</m:t>
                  </m:r>
                </m:e>
                <m:e>
                  <m:r>
                    <w:rPr>
                      <w:rFonts w:ascii="Cambria Math" w:eastAsia="Cambria Math" w:hAnsi="Cambria Math" w:cs="Arial"/>
                      <w:sz w:val="22"/>
                      <w:szCs w:val="22"/>
                      <w:lang w:val="fr-FR"/>
                    </w:rPr>
                    <m:t xml:space="preserve">0,  &amp;                                 </m:t>
                  </m:r>
                  <m:r>
                    <m:rPr>
                      <m:nor/>
                    </m:rPr>
                    <w:rPr>
                      <w:rFonts w:ascii="Arial" w:hAnsi="Arial" w:cs="Arial"/>
                      <w:sz w:val="22"/>
                      <w:szCs w:val="22"/>
                      <w:lang w:val="fr-FR"/>
                    </w:rPr>
                    <m:t>where Conc(t)</m:t>
                  </m:r>
                  <m:sSub>
                    <m:sSubPr>
                      <m:ctrlPr>
                        <w:rPr>
                          <w:rFonts w:ascii="Cambria Math" w:hAnsi="Cambria Math" w:cs="Arial"/>
                          <w:sz w:val="22"/>
                          <w:szCs w:val="22"/>
                          <w:lang w:val="en-AU"/>
                        </w:rPr>
                      </m:ctrlPr>
                    </m:sSubPr>
                    <m:e>
                      <m:r>
                        <w:rPr>
                          <w:rFonts w:ascii="Cambria Math" w:eastAsia="Cambria Math" w:hAnsi="Cambria Math" w:cs="Arial"/>
                          <w:sz w:val="22"/>
                          <w:szCs w:val="22"/>
                          <w:lang w:val="fr-FR"/>
                        </w:rPr>
                        <m:t>≤</m:t>
                      </m:r>
                      <m:r>
                        <m:rPr>
                          <m:nor/>
                        </m:rPr>
                        <w:rPr>
                          <w:rFonts w:ascii="Arial" w:hAnsi="Arial" w:cs="Arial"/>
                          <w:sz w:val="22"/>
                          <w:szCs w:val="22"/>
                          <w:lang w:val="fr-FR"/>
                        </w:rPr>
                        <m:t>Conc</m:t>
                      </m:r>
                    </m:e>
                    <m:sub>
                      <m:r>
                        <w:rPr>
                          <w:rFonts w:ascii="Cambria Math" w:hAnsi="Cambria Math" w:cs="Arial"/>
                          <w:sz w:val="22"/>
                          <w:szCs w:val="22"/>
                          <w:lang w:val="en-AU"/>
                        </w:rPr>
                        <m:t>t</m:t>
                      </m:r>
                      <m:r>
                        <w:rPr>
                          <w:rFonts w:ascii="Cambria Math" w:hAnsi="Cambria Math" w:cs="Arial"/>
                          <w:sz w:val="22"/>
                          <w:szCs w:val="22"/>
                          <w:lang w:val="fr-FR"/>
                        </w:rPr>
                        <m:t>h</m:t>
                      </m:r>
                      <m:r>
                        <w:rPr>
                          <w:rFonts w:ascii="Cambria Math" w:hAnsi="Cambria Math" w:cs="Arial"/>
                          <w:sz w:val="22"/>
                          <w:szCs w:val="22"/>
                          <w:lang w:val="en-AU"/>
                        </w:rPr>
                        <m:t>res</m:t>
                      </m:r>
                      <m:r>
                        <w:rPr>
                          <w:rFonts w:ascii="Cambria Math" w:hAnsi="Cambria Math" w:cs="Arial"/>
                          <w:sz w:val="22"/>
                          <w:szCs w:val="22"/>
                          <w:lang w:val="fr-FR"/>
                        </w:rPr>
                        <m:t>h</m:t>
                      </m:r>
                      <m:r>
                        <w:rPr>
                          <w:rFonts w:ascii="Cambria Math" w:hAnsi="Cambria Math" w:cs="Arial"/>
                          <w:sz w:val="22"/>
                          <w:szCs w:val="22"/>
                          <w:lang w:val="en-AU"/>
                        </w:rPr>
                        <m:t>old</m:t>
                      </m:r>
                    </m:sub>
                  </m:sSub>
                </m:e>
              </m:eqArr>
            </m:e>
          </m:d>
          <m:r>
            <m:rPr>
              <m:nor/>
            </m:rPr>
            <w:rPr>
              <w:rFonts w:ascii="Arial" w:hAnsi="Arial" w:cs="Arial"/>
              <w:sz w:val="22"/>
              <w:szCs w:val="22"/>
              <w:lang w:val="fr-FR"/>
            </w:rPr>
            <m:t xml:space="preserve"> </m:t>
          </m:r>
        </m:oMath>
      </m:oMathPara>
    </w:p>
    <w:p w14:paraId="5F22F939" w14:textId="77777777" w:rsidR="00D33068" w:rsidRPr="00490807" w:rsidRDefault="00D33068" w:rsidP="00C951C9">
      <w:pPr>
        <w:pStyle w:val="normaltext"/>
        <w:spacing w:before="120" w:beforeAutospacing="0" w:after="120" w:afterAutospacing="0"/>
        <w:rPr>
          <w:rFonts w:ascii="Arial" w:hAnsi="Arial" w:cs="Arial"/>
          <w:sz w:val="22"/>
          <w:szCs w:val="22"/>
          <w:lang w:val="en-AU"/>
        </w:rPr>
      </w:pPr>
      <w:r w:rsidRPr="00490807">
        <w:rPr>
          <w:rFonts w:ascii="Arial" w:hAnsi="Arial" w:cs="Arial"/>
          <w:sz w:val="22"/>
          <w:szCs w:val="22"/>
          <w:lang w:val="en-AU"/>
        </w:rPr>
        <w:t>and Conc</w:t>
      </w:r>
      <w:r w:rsidRPr="00490807">
        <w:rPr>
          <w:rFonts w:ascii="Arial" w:hAnsi="Arial" w:cs="Arial"/>
          <w:i/>
          <w:sz w:val="22"/>
          <w:szCs w:val="22"/>
          <w:vertAlign w:val="subscript"/>
          <w:lang w:val="en-AU"/>
        </w:rPr>
        <w:t>threshold</w:t>
      </w:r>
      <w:r w:rsidRPr="00490807">
        <w:rPr>
          <w:rFonts w:ascii="Arial" w:hAnsi="Arial" w:cs="Arial"/>
          <w:sz w:val="22"/>
          <w:szCs w:val="22"/>
          <w:lang w:val="en-AU"/>
        </w:rPr>
        <w:t xml:space="preserve"> is the defined here as 1% of the source concentration, Conc(t) represents the time-varying tracer concentration, and t is time in days from the beginning of the wet season (t</w:t>
      </w:r>
      <w:r w:rsidRPr="00490807">
        <w:rPr>
          <w:rFonts w:ascii="Arial" w:hAnsi="Arial" w:cs="Arial"/>
          <w:sz w:val="22"/>
          <w:szCs w:val="22"/>
          <w:vertAlign w:val="subscript"/>
          <w:lang w:val="en-AU"/>
        </w:rPr>
        <w:t>0</w:t>
      </w:r>
      <w:r w:rsidRPr="00490807">
        <w:rPr>
          <w:rFonts w:ascii="Arial" w:hAnsi="Arial" w:cs="Arial"/>
          <w:sz w:val="22"/>
          <w:szCs w:val="22"/>
          <w:lang w:val="en-AU"/>
        </w:rPr>
        <w:t xml:space="preserve"> = 01 November), and T</w:t>
      </w:r>
      <w:r w:rsidRPr="00490807">
        <w:rPr>
          <w:rFonts w:ascii="Arial" w:hAnsi="Arial" w:cs="Arial"/>
          <w:sz w:val="22"/>
          <w:szCs w:val="22"/>
          <w:vertAlign w:val="subscript"/>
          <w:lang w:val="en-AU"/>
        </w:rPr>
        <w:t xml:space="preserve">end of wet season </w:t>
      </w:r>
      <w:r w:rsidRPr="00490807">
        <w:rPr>
          <w:rFonts w:ascii="Arial" w:hAnsi="Arial" w:cs="Arial"/>
          <w:sz w:val="22"/>
          <w:szCs w:val="22"/>
          <w:lang w:val="en-AU"/>
        </w:rPr>
        <w:t>= 31 March. Cumulative exposure is calculated for each grid point in the model domain.</w:t>
      </w:r>
    </w:p>
    <w:p w14:paraId="5F22F93A" w14:textId="77777777" w:rsidR="00D33068" w:rsidRDefault="00D33068" w:rsidP="00C951C9">
      <w:pPr>
        <w:pStyle w:val="normaltext"/>
        <w:spacing w:before="120" w:beforeAutospacing="0" w:after="120" w:afterAutospacing="0"/>
        <w:rPr>
          <w:rFonts w:ascii="Arial" w:hAnsi="Arial" w:cs="Arial"/>
          <w:sz w:val="22"/>
          <w:szCs w:val="22"/>
          <w:lang w:val="en-AU"/>
        </w:rPr>
      </w:pPr>
      <w:r w:rsidRPr="00490807">
        <w:rPr>
          <w:rFonts w:ascii="Arial" w:hAnsi="Arial" w:cs="Arial"/>
          <w:sz w:val="22"/>
          <w:szCs w:val="22"/>
          <w:lang w:val="en-AU"/>
        </w:rPr>
        <w:t>Using this representation, the exposure index integrates both concentration above a defined threshold and the duration of exposure. For example, an exposure of 20 days at a concentration of 1% above the threshold would produce an index value of 0.2, which is equivalent to 10 days exposure at 2% above the concentration threshold. This index provides a consistent approach to assess relative differences in exposure of GBR shelf waters to inputs from various rivers. Spatial maps of river exposure indices were calculated for each of the target rivers simulated by the model.</w:t>
      </w:r>
    </w:p>
    <w:bookmarkEnd w:id="1520"/>
    <w:bookmarkEnd w:id="1521"/>
    <w:bookmarkEnd w:id="1522"/>
    <w:bookmarkEnd w:id="1523"/>
    <w:bookmarkEnd w:id="1524"/>
    <w:p w14:paraId="5F22F93B" w14:textId="77777777" w:rsidR="0065456C" w:rsidRPr="008467AA" w:rsidRDefault="0065456C" w:rsidP="00E662D3">
      <w:pPr>
        <w:rPr>
          <w:lang w:val="en-AU"/>
        </w:rPr>
      </w:pPr>
    </w:p>
    <w:p w14:paraId="5F22F94A" w14:textId="77777777" w:rsidR="00615EF2" w:rsidRDefault="006A00D6" w:rsidP="006A00D6">
      <w:pPr>
        <w:pStyle w:val="appendixheading"/>
        <w:numPr>
          <w:ilvl w:val="0"/>
          <w:numId w:val="0"/>
        </w:numPr>
        <w:ind w:left="360"/>
      </w:pPr>
      <w:bookmarkStart w:id="1611" w:name="_Toc436082069"/>
      <w:bookmarkStart w:id="1612" w:name="_Toc436082070"/>
      <w:bookmarkStart w:id="1613" w:name="_Toc374701392"/>
      <w:bookmarkStart w:id="1614" w:name="_Toc436082071"/>
      <w:bookmarkStart w:id="1615" w:name="_Toc462307475"/>
      <w:bookmarkEnd w:id="1611"/>
      <w:bookmarkEnd w:id="1612"/>
      <w:r>
        <w:t xml:space="preserve">Appendix 2: </w:t>
      </w:r>
      <w:r w:rsidR="00E94E33" w:rsidRPr="007C2FD8">
        <w:t>Additional Informatio</w:t>
      </w:r>
      <w:bookmarkEnd w:id="1613"/>
      <w:r w:rsidR="00BB4C78" w:rsidRPr="007C2FD8">
        <w:t>n</w:t>
      </w:r>
      <w:bookmarkEnd w:id="1614"/>
      <w:bookmarkEnd w:id="1615"/>
    </w:p>
    <w:p w14:paraId="724D33BE" w14:textId="77777777" w:rsidR="0072608D" w:rsidRDefault="0072608D" w:rsidP="004A5BF7">
      <w:pPr>
        <w:jc w:val="left"/>
      </w:pPr>
    </w:p>
    <w:p w14:paraId="0B017923" w14:textId="77777777" w:rsidR="0072608D" w:rsidRPr="003E6F68" w:rsidRDefault="0072608D" w:rsidP="004A5BF7">
      <w:pPr>
        <w:jc w:val="left"/>
        <w:rPr>
          <w:b/>
        </w:rPr>
        <w:sectPr w:rsidR="0072608D" w:rsidRPr="003E6F68" w:rsidSect="004B1EE6">
          <w:pgSz w:w="11907" w:h="16840" w:code="9"/>
          <w:pgMar w:top="1440" w:right="1134" w:bottom="1135" w:left="1134" w:header="709" w:footer="709" w:gutter="0"/>
          <w:cols w:space="708"/>
          <w:docGrid w:linePitch="360"/>
        </w:sectPr>
      </w:pPr>
    </w:p>
    <w:p w14:paraId="5F22F94B" w14:textId="02A072F9" w:rsidR="00AF17DE" w:rsidRPr="00053E65" w:rsidRDefault="006A00D6" w:rsidP="00164E5E">
      <w:pPr>
        <w:pStyle w:val="Caption"/>
        <w:rPr>
          <w:rFonts w:cs="Arial"/>
          <w:vanish/>
          <w:szCs w:val="18"/>
        </w:rPr>
      </w:pPr>
      <w:bookmarkStart w:id="1616" w:name="_Toc459332205"/>
      <w:bookmarkStart w:id="1617" w:name="_Toc405989125"/>
      <w:r>
        <w:t xml:space="preserve">Table A2 </w:t>
      </w:r>
      <w:r w:rsidR="00EB33A6">
        <w:fldChar w:fldCharType="begin"/>
      </w:r>
      <w:r w:rsidR="00D8225E">
        <w:instrText xml:space="preserve"> SEQ Table_A2 \* ARABIC </w:instrText>
      </w:r>
      <w:r w:rsidR="00EB33A6">
        <w:fldChar w:fldCharType="separate"/>
      </w:r>
      <w:r w:rsidR="007F5336">
        <w:rPr>
          <w:noProof/>
        </w:rPr>
        <w:t>1</w:t>
      </w:r>
      <w:r w:rsidR="00EB33A6">
        <w:rPr>
          <w:noProof/>
        </w:rPr>
        <w:fldChar w:fldCharType="end"/>
      </w:r>
      <w:r>
        <w:t xml:space="preserve">: </w:t>
      </w:r>
      <w:r w:rsidR="008645FA" w:rsidRPr="00053E65">
        <w:rPr>
          <w:rFonts w:cs="Arial"/>
          <w:szCs w:val="18"/>
        </w:rPr>
        <w:t>Relative annual freshwater discharge (fraction of long-term median) for the major GBR Catchment rivers influencing the sampling  sites of the MMP Inshore Water Quality Monitoring Program.</w:t>
      </w:r>
      <w:bookmarkEnd w:id="1616"/>
      <w:r w:rsidR="000F3684">
        <w:rPr>
          <w:rFonts w:cs="Arial"/>
          <w:szCs w:val="18"/>
        </w:rPr>
        <w:t xml:space="preserve"> </w:t>
      </w:r>
      <w:r w:rsidR="000F3684" w:rsidRPr="00053E65">
        <w:rPr>
          <w:rStyle w:val="IntenseReference"/>
          <w:rFonts w:cs="Arial"/>
          <w:szCs w:val="18"/>
        </w:rPr>
        <w:t>Shaded cells highlight years for which river flow exceeded the median annual flow as estimated from available long-term time series for each river (LT median; from October 1970 to September 2000): yellow= 1.5 to 2-times LT median, orange= 2 to 3-times LT median, red= &gt;3-times LT median. Records for the 2015 water year are incomplete (to August 2015). Discharge data were supplied by the Queensland</w:t>
      </w:r>
      <w:r w:rsidR="000F3684">
        <w:rPr>
          <w:rStyle w:val="IntenseReference"/>
          <w:rFonts w:cs="Arial"/>
          <w:szCs w:val="18"/>
        </w:rPr>
        <w:t xml:space="preserve"> </w:t>
      </w:r>
      <w:r w:rsidR="000F3684" w:rsidRPr="00053E65">
        <w:rPr>
          <w:rStyle w:val="IntenseReference"/>
          <w:rFonts w:cs="Arial"/>
          <w:szCs w:val="18"/>
        </w:rPr>
        <w:t xml:space="preserve">Department of Natural Resources and Mines (gauging station codes given after river names). </w:t>
      </w:r>
      <w:r w:rsidR="000F3684" w:rsidRPr="00492846">
        <w:rPr>
          <w:rFonts w:cs="Arial"/>
          <w:szCs w:val="18"/>
          <w:lang w:val="en-AU" w:eastAsia="en-AU"/>
        </w:rPr>
        <w:t>*** Indicates years for which &gt;15% of daily flow estimates were not available, ** similarly indicate years for which &gt;15% of daily flow was not available but these missing records are likely have been zero flow and so annual flow estimates are valid, whereas an * indicates that between 5% and 15% of daily observations were missing. Discharge data were supplied by the Queensland Department of Natural Resources and Mines (gauging station codes given after river names).</w:t>
      </w:r>
    </w:p>
    <w:tbl>
      <w:tblPr>
        <w:tblW w:w="15263" w:type="dxa"/>
        <w:tblLayout w:type="fixed"/>
        <w:tblLook w:val="04A0" w:firstRow="1" w:lastRow="0" w:firstColumn="1" w:lastColumn="0" w:noHBand="0" w:noVBand="1"/>
      </w:tblPr>
      <w:tblGrid>
        <w:gridCol w:w="1152"/>
        <w:gridCol w:w="1117"/>
        <w:gridCol w:w="1417"/>
        <w:gridCol w:w="757"/>
        <w:gridCol w:w="757"/>
        <w:gridCol w:w="757"/>
        <w:gridCol w:w="757"/>
        <w:gridCol w:w="813"/>
        <w:gridCol w:w="757"/>
        <w:gridCol w:w="812"/>
        <w:gridCol w:w="812"/>
        <w:gridCol w:w="757"/>
        <w:gridCol w:w="757"/>
        <w:gridCol w:w="757"/>
        <w:gridCol w:w="794"/>
        <w:gridCol w:w="720"/>
        <w:gridCol w:w="757"/>
        <w:gridCol w:w="813"/>
      </w:tblGrid>
      <w:tr w:rsidR="008645FA" w:rsidRPr="003A77F5" w14:paraId="5F22F95F" w14:textId="77777777" w:rsidTr="00211A02">
        <w:trPr>
          <w:tblHeader/>
        </w:trPr>
        <w:tc>
          <w:tcPr>
            <w:tcW w:w="1152"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bookmarkEnd w:id="1617"/>
          <w:p w14:paraId="5F22F94D" w14:textId="44A567AB" w:rsidR="008645FA" w:rsidRPr="007D7C41" w:rsidRDefault="008645FA" w:rsidP="008645FA">
            <w:pPr>
              <w:spacing w:before="20" w:after="20"/>
              <w:ind w:left="20" w:right="20"/>
              <w:rPr>
                <w:rFonts w:cs="Arial"/>
                <w:b/>
                <w:sz w:val="18"/>
                <w:szCs w:val="18"/>
                <w:lang w:val="en-AU"/>
              </w:rPr>
            </w:pPr>
            <w:r w:rsidRPr="007D7C41">
              <w:rPr>
                <w:rFonts w:cs="Arial"/>
                <w:b/>
                <w:color w:val="000000"/>
                <w:sz w:val="18"/>
                <w:szCs w:val="18"/>
                <w:lang w:val="en-AU"/>
              </w:rPr>
              <w:t>Region</w:t>
            </w:r>
          </w:p>
        </w:tc>
        <w:tc>
          <w:tcPr>
            <w:tcW w:w="111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94E" w14:textId="77777777" w:rsidR="008645FA" w:rsidRPr="007D7C41" w:rsidRDefault="008645FA" w:rsidP="008645FA">
            <w:pPr>
              <w:spacing w:before="20" w:after="20"/>
              <w:ind w:left="20" w:right="20"/>
              <w:rPr>
                <w:rFonts w:cs="Arial"/>
                <w:b/>
                <w:sz w:val="18"/>
                <w:szCs w:val="18"/>
                <w:lang w:val="en-AU"/>
              </w:rPr>
            </w:pPr>
            <w:r w:rsidRPr="007D7C41">
              <w:rPr>
                <w:rFonts w:cs="Arial"/>
                <w:b/>
                <w:color w:val="000000"/>
                <w:sz w:val="18"/>
                <w:szCs w:val="18"/>
                <w:lang w:val="en-AU"/>
              </w:rPr>
              <w:t>River</w:t>
            </w:r>
          </w:p>
        </w:tc>
        <w:tc>
          <w:tcPr>
            <w:tcW w:w="141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94F" w14:textId="77777777" w:rsidR="008645FA" w:rsidRPr="007D7C41" w:rsidRDefault="008645FA" w:rsidP="008645FA">
            <w:pPr>
              <w:spacing w:before="20" w:after="20"/>
              <w:ind w:left="20" w:right="20"/>
              <w:jc w:val="center"/>
              <w:rPr>
                <w:rFonts w:cs="Arial"/>
                <w:b/>
                <w:sz w:val="18"/>
                <w:szCs w:val="18"/>
                <w:lang w:val="en-AU"/>
              </w:rPr>
            </w:pPr>
            <w:r w:rsidRPr="007D7C41">
              <w:rPr>
                <w:rFonts w:cs="Arial"/>
                <w:b/>
                <w:color w:val="000000"/>
                <w:sz w:val="18"/>
                <w:szCs w:val="18"/>
                <w:lang w:val="en-AU"/>
              </w:rPr>
              <w:t>Median discharge (ML)</w:t>
            </w:r>
          </w:p>
        </w:tc>
        <w:tc>
          <w:tcPr>
            <w:tcW w:w="75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950" w14:textId="77777777" w:rsidR="008645FA" w:rsidRPr="007D7C41" w:rsidRDefault="008645FA" w:rsidP="008645FA">
            <w:pPr>
              <w:spacing w:before="20" w:after="20"/>
              <w:ind w:left="20" w:right="20"/>
              <w:jc w:val="center"/>
              <w:rPr>
                <w:rFonts w:cs="Arial"/>
                <w:b/>
                <w:sz w:val="18"/>
                <w:szCs w:val="18"/>
                <w:lang w:val="en-AU"/>
              </w:rPr>
            </w:pPr>
            <w:r w:rsidRPr="007D7C41">
              <w:rPr>
                <w:rFonts w:cs="Arial"/>
                <w:b/>
                <w:color w:val="000000"/>
                <w:sz w:val="18"/>
                <w:szCs w:val="18"/>
                <w:lang w:val="en-AU"/>
              </w:rPr>
              <w:t>2001</w:t>
            </w:r>
          </w:p>
        </w:tc>
        <w:tc>
          <w:tcPr>
            <w:tcW w:w="75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951" w14:textId="77777777" w:rsidR="008645FA" w:rsidRPr="007D7C41" w:rsidRDefault="008645FA" w:rsidP="008645FA">
            <w:pPr>
              <w:spacing w:before="20" w:after="20"/>
              <w:ind w:left="20" w:right="20"/>
              <w:jc w:val="center"/>
              <w:rPr>
                <w:rFonts w:cs="Arial"/>
                <w:b/>
                <w:sz w:val="18"/>
                <w:szCs w:val="18"/>
                <w:lang w:val="en-AU"/>
              </w:rPr>
            </w:pPr>
            <w:r w:rsidRPr="007D7C41">
              <w:rPr>
                <w:rFonts w:cs="Arial"/>
                <w:b/>
                <w:color w:val="000000"/>
                <w:sz w:val="18"/>
                <w:szCs w:val="18"/>
                <w:lang w:val="en-AU"/>
              </w:rPr>
              <w:t>2002</w:t>
            </w:r>
          </w:p>
        </w:tc>
        <w:tc>
          <w:tcPr>
            <w:tcW w:w="75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952" w14:textId="77777777" w:rsidR="008645FA" w:rsidRPr="007D7C41" w:rsidRDefault="008645FA" w:rsidP="008645FA">
            <w:pPr>
              <w:spacing w:before="20" w:after="20"/>
              <w:ind w:left="20" w:right="20"/>
              <w:jc w:val="center"/>
              <w:rPr>
                <w:rFonts w:cs="Arial"/>
                <w:b/>
                <w:sz w:val="18"/>
                <w:szCs w:val="18"/>
                <w:lang w:val="en-AU"/>
              </w:rPr>
            </w:pPr>
            <w:r w:rsidRPr="007D7C41">
              <w:rPr>
                <w:rFonts w:cs="Arial"/>
                <w:b/>
                <w:color w:val="000000"/>
                <w:sz w:val="18"/>
                <w:szCs w:val="18"/>
                <w:lang w:val="en-AU"/>
              </w:rPr>
              <w:t>2003</w:t>
            </w:r>
          </w:p>
        </w:tc>
        <w:tc>
          <w:tcPr>
            <w:tcW w:w="75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953" w14:textId="77777777" w:rsidR="008645FA" w:rsidRPr="007D7C41" w:rsidRDefault="008645FA" w:rsidP="008645FA">
            <w:pPr>
              <w:spacing w:before="20" w:after="20"/>
              <w:ind w:left="20" w:right="20"/>
              <w:jc w:val="center"/>
              <w:rPr>
                <w:rFonts w:cs="Arial"/>
                <w:b/>
                <w:sz w:val="18"/>
                <w:szCs w:val="18"/>
                <w:lang w:val="en-AU"/>
              </w:rPr>
            </w:pPr>
            <w:r w:rsidRPr="007D7C41">
              <w:rPr>
                <w:rFonts w:cs="Arial"/>
                <w:b/>
                <w:color w:val="000000"/>
                <w:sz w:val="18"/>
                <w:szCs w:val="18"/>
                <w:lang w:val="en-AU"/>
              </w:rPr>
              <w:t>2004</w:t>
            </w:r>
          </w:p>
        </w:tc>
        <w:tc>
          <w:tcPr>
            <w:tcW w:w="813"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954" w14:textId="77777777" w:rsidR="008645FA" w:rsidRPr="007D7C41" w:rsidRDefault="008645FA" w:rsidP="008645FA">
            <w:pPr>
              <w:spacing w:before="20" w:after="20"/>
              <w:ind w:left="20" w:right="20"/>
              <w:jc w:val="center"/>
              <w:rPr>
                <w:rFonts w:cs="Arial"/>
                <w:b/>
                <w:sz w:val="18"/>
                <w:szCs w:val="18"/>
                <w:lang w:val="en-AU"/>
              </w:rPr>
            </w:pPr>
            <w:r w:rsidRPr="007D7C41">
              <w:rPr>
                <w:rFonts w:cs="Arial"/>
                <w:b/>
                <w:color w:val="000000"/>
                <w:sz w:val="18"/>
                <w:szCs w:val="18"/>
                <w:lang w:val="en-AU"/>
              </w:rPr>
              <w:t>2005</w:t>
            </w:r>
          </w:p>
        </w:tc>
        <w:tc>
          <w:tcPr>
            <w:tcW w:w="75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955" w14:textId="77777777" w:rsidR="008645FA" w:rsidRPr="007D7C41" w:rsidRDefault="008645FA" w:rsidP="008645FA">
            <w:pPr>
              <w:spacing w:before="20" w:after="20"/>
              <w:ind w:left="20" w:right="20"/>
              <w:jc w:val="center"/>
              <w:rPr>
                <w:rFonts w:cs="Arial"/>
                <w:b/>
                <w:sz w:val="18"/>
                <w:szCs w:val="18"/>
                <w:lang w:val="en-AU"/>
              </w:rPr>
            </w:pPr>
            <w:r w:rsidRPr="007D7C41">
              <w:rPr>
                <w:rFonts w:cs="Arial"/>
                <w:b/>
                <w:color w:val="000000"/>
                <w:sz w:val="18"/>
                <w:szCs w:val="18"/>
                <w:lang w:val="en-AU"/>
              </w:rPr>
              <w:t>2006</w:t>
            </w:r>
          </w:p>
        </w:tc>
        <w:tc>
          <w:tcPr>
            <w:tcW w:w="812"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956" w14:textId="77777777" w:rsidR="008645FA" w:rsidRPr="007D7C41" w:rsidRDefault="008645FA" w:rsidP="008645FA">
            <w:pPr>
              <w:spacing w:before="20" w:after="20"/>
              <w:ind w:left="20" w:right="20"/>
              <w:jc w:val="center"/>
              <w:rPr>
                <w:rFonts w:cs="Arial"/>
                <w:b/>
                <w:sz w:val="18"/>
                <w:szCs w:val="18"/>
                <w:lang w:val="en-AU"/>
              </w:rPr>
            </w:pPr>
            <w:r w:rsidRPr="007D7C41">
              <w:rPr>
                <w:rFonts w:cs="Arial"/>
                <w:b/>
                <w:color w:val="000000"/>
                <w:sz w:val="18"/>
                <w:szCs w:val="18"/>
                <w:lang w:val="en-AU"/>
              </w:rPr>
              <w:t>2007</w:t>
            </w:r>
          </w:p>
        </w:tc>
        <w:tc>
          <w:tcPr>
            <w:tcW w:w="812"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957" w14:textId="77777777" w:rsidR="008645FA" w:rsidRPr="007D7C41" w:rsidRDefault="008645FA" w:rsidP="008645FA">
            <w:pPr>
              <w:spacing w:before="20" w:after="20"/>
              <w:ind w:left="20" w:right="20"/>
              <w:jc w:val="center"/>
              <w:rPr>
                <w:rFonts w:cs="Arial"/>
                <w:b/>
                <w:sz w:val="18"/>
                <w:szCs w:val="18"/>
                <w:lang w:val="en-AU"/>
              </w:rPr>
            </w:pPr>
            <w:r w:rsidRPr="007D7C41">
              <w:rPr>
                <w:rFonts w:cs="Arial"/>
                <w:b/>
                <w:color w:val="000000"/>
                <w:sz w:val="18"/>
                <w:szCs w:val="18"/>
                <w:lang w:val="en-AU"/>
              </w:rPr>
              <w:t>2008</w:t>
            </w:r>
          </w:p>
        </w:tc>
        <w:tc>
          <w:tcPr>
            <w:tcW w:w="75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958" w14:textId="77777777" w:rsidR="008645FA" w:rsidRPr="007D7C41" w:rsidRDefault="008645FA" w:rsidP="008645FA">
            <w:pPr>
              <w:spacing w:before="20" w:after="20"/>
              <w:ind w:left="20" w:right="20"/>
              <w:jc w:val="center"/>
              <w:rPr>
                <w:rFonts w:cs="Arial"/>
                <w:b/>
                <w:sz w:val="18"/>
                <w:szCs w:val="18"/>
                <w:lang w:val="en-AU"/>
              </w:rPr>
            </w:pPr>
            <w:r w:rsidRPr="007D7C41">
              <w:rPr>
                <w:rFonts w:cs="Arial"/>
                <w:b/>
                <w:color w:val="000000"/>
                <w:sz w:val="18"/>
                <w:szCs w:val="18"/>
                <w:lang w:val="en-AU"/>
              </w:rPr>
              <w:t>2009</w:t>
            </w:r>
          </w:p>
        </w:tc>
        <w:tc>
          <w:tcPr>
            <w:tcW w:w="75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959" w14:textId="77777777" w:rsidR="008645FA" w:rsidRPr="007D7C41" w:rsidRDefault="008645FA" w:rsidP="008645FA">
            <w:pPr>
              <w:spacing w:before="20" w:after="20"/>
              <w:ind w:left="20" w:right="20"/>
              <w:jc w:val="center"/>
              <w:rPr>
                <w:rFonts w:cs="Arial"/>
                <w:b/>
                <w:sz w:val="18"/>
                <w:szCs w:val="18"/>
                <w:lang w:val="en-AU"/>
              </w:rPr>
            </w:pPr>
            <w:r w:rsidRPr="007D7C41">
              <w:rPr>
                <w:rFonts w:cs="Arial"/>
                <w:b/>
                <w:color w:val="000000"/>
                <w:sz w:val="18"/>
                <w:szCs w:val="18"/>
                <w:lang w:val="en-AU"/>
              </w:rPr>
              <w:t>2010</w:t>
            </w:r>
          </w:p>
        </w:tc>
        <w:tc>
          <w:tcPr>
            <w:tcW w:w="75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95A" w14:textId="77777777" w:rsidR="008645FA" w:rsidRPr="007D7C41" w:rsidRDefault="008645FA" w:rsidP="008645FA">
            <w:pPr>
              <w:spacing w:before="20" w:after="20"/>
              <w:ind w:left="20" w:right="20"/>
              <w:jc w:val="center"/>
              <w:rPr>
                <w:rFonts w:cs="Arial"/>
                <w:b/>
                <w:sz w:val="18"/>
                <w:szCs w:val="18"/>
                <w:lang w:val="en-AU"/>
              </w:rPr>
            </w:pPr>
            <w:r w:rsidRPr="007D7C41">
              <w:rPr>
                <w:rFonts w:cs="Arial"/>
                <w:b/>
                <w:color w:val="000000"/>
                <w:sz w:val="18"/>
                <w:szCs w:val="18"/>
                <w:lang w:val="en-AU"/>
              </w:rPr>
              <w:t>2011</w:t>
            </w:r>
          </w:p>
        </w:tc>
        <w:tc>
          <w:tcPr>
            <w:tcW w:w="79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95B" w14:textId="77777777" w:rsidR="008645FA" w:rsidRPr="007D7C41" w:rsidRDefault="008645FA" w:rsidP="008645FA">
            <w:pPr>
              <w:spacing w:before="20" w:after="20"/>
              <w:ind w:left="20" w:right="20"/>
              <w:jc w:val="center"/>
              <w:rPr>
                <w:rFonts w:cs="Arial"/>
                <w:b/>
                <w:sz w:val="18"/>
                <w:szCs w:val="18"/>
                <w:lang w:val="en-AU"/>
              </w:rPr>
            </w:pPr>
            <w:r w:rsidRPr="007D7C41">
              <w:rPr>
                <w:rFonts w:cs="Arial"/>
                <w:b/>
                <w:color w:val="000000"/>
                <w:sz w:val="18"/>
                <w:szCs w:val="18"/>
                <w:lang w:val="en-AU"/>
              </w:rPr>
              <w:t>2012</w:t>
            </w:r>
          </w:p>
        </w:tc>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95C" w14:textId="77777777" w:rsidR="008645FA" w:rsidRPr="007D7C41" w:rsidRDefault="008645FA" w:rsidP="008645FA">
            <w:pPr>
              <w:spacing w:before="20" w:after="20"/>
              <w:ind w:left="20" w:right="20"/>
              <w:jc w:val="center"/>
              <w:rPr>
                <w:rFonts w:cs="Arial"/>
                <w:b/>
                <w:sz w:val="18"/>
                <w:szCs w:val="18"/>
                <w:lang w:val="en-AU"/>
              </w:rPr>
            </w:pPr>
            <w:r w:rsidRPr="007D7C41">
              <w:rPr>
                <w:rFonts w:cs="Arial"/>
                <w:b/>
                <w:color w:val="000000"/>
                <w:sz w:val="18"/>
                <w:szCs w:val="18"/>
                <w:lang w:val="en-AU"/>
              </w:rPr>
              <w:t>2013</w:t>
            </w:r>
          </w:p>
        </w:tc>
        <w:tc>
          <w:tcPr>
            <w:tcW w:w="75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95D" w14:textId="77777777" w:rsidR="008645FA" w:rsidRPr="007D7C41" w:rsidRDefault="008645FA" w:rsidP="008645FA">
            <w:pPr>
              <w:spacing w:before="20" w:after="20"/>
              <w:ind w:left="20" w:right="20"/>
              <w:jc w:val="center"/>
              <w:rPr>
                <w:rFonts w:cs="Arial"/>
                <w:b/>
                <w:sz w:val="18"/>
                <w:szCs w:val="18"/>
                <w:lang w:val="en-AU"/>
              </w:rPr>
            </w:pPr>
            <w:r w:rsidRPr="007D7C41">
              <w:rPr>
                <w:rFonts w:cs="Arial"/>
                <w:b/>
                <w:color w:val="000000"/>
                <w:sz w:val="18"/>
                <w:szCs w:val="18"/>
                <w:lang w:val="en-AU"/>
              </w:rPr>
              <w:t>2014</w:t>
            </w:r>
          </w:p>
        </w:tc>
        <w:tc>
          <w:tcPr>
            <w:tcW w:w="813"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95E" w14:textId="77777777" w:rsidR="008645FA" w:rsidRPr="007D7C41" w:rsidRDefault="008645FA" w:rsidP="008645FA">
            <w:pPr>
              <w:spacing w:before="20" w:after="20"/>
              <w:ind w:left="20" w:right="20"/>
              <w:jc w:val="center"/>
              <w:rPr>
                <w:rFonts w:cs="Arial"/>
                <w:b/>
                <w:sz w:val="18"/>
                <w:szCs w:val="18"/>
                <w:lang w:val="en-AU"/>
              </w:rPr>
            </w:pPr>
            <w:r w:rsidRPr="007D7C41">
              <w:rPr>
                <w:rFonts w:cs="Arial"/>
                <w:b/>
                <w:color w:val="000000"/>
                <w:sz w:val="18"/>
                <w:szCs w:val="18"/>
                <w:lang w:val="en-AU"/>
              </w:rPr>
              <w:t>2015</w:t>
            </w:r>
          </w:p>
        </w:tc>
      </w:tr>
      <w:tr w:rsidR="008645FA" w:rsidRPr="003A77F5" w14:paraId="5F22F972" w14:textId="77777777" w:rsidTr="00211A02">
        <w:tc>
          <w:tcPr>
            <w:tcW w:w="1152"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60" w14:textId="77777777" w:rsidR="008645FA" w:rsidRPr="007D7C41" w:rsidRDefault="008645FA" w:rsidP="008645FA">
            <w:pPr>
              <w:spacing w:before="20" w:after="20"/>
              <w:ind w:left="20" w:right="20"/>
              <w:rPr>
                <w:rFonts w:cs="Arial"/>
                <w:sz w:val="18"/>
                <w:szCs w:val="18"/>
                <w:lang w:val="en-AU"/>
              </w:rPr>
            </w:pPr>
            <w:r w:rsidRPr="007D7C41">
              <w:rPr>
                <w:rFonts w:cs="Arial"/>
                <w:color w:val="000000"/>
                <w:sz w:val="18"/>
                <w:szCs w:val="18"/>
                <w:lang w:val="en-AU"/>
              </w:rPr>
              <w:t>Wet Tropics</w:t>
            </w:r>
          </w:p>
        </w:tc>
        <w:tc>
          <w:tcPr>
            <w:tcW w:w="111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61" w14:textId="77777777" w:rsidR="008645FA" w:rsidRPr="007D7C41" w:rsidRDefault="008645FA" w:rsidP="008645FA">
            <w:pPr>
              <w:spacing w:before="20" w:after="20"/>
              <w:ind w:left="20" w:right="20"/>
              <w:rPr>
                <w:rFonts w:cs="Arial"/>
                <w:sz w:val="18"/>
                <w:szCs w:val="18"/>
                <w:lang w:val="en-AU"/>
              </w:rPr>
            </w:pPr>
            <w:r w:rsidRPr="007D7C41">
              <w:rPr>
                <w:rFonts w:cs="Arial"/>
                <w:color w:val="000000"/>
                <w:sz w:val="18"/>
                <w:szCs w:val="18"/>
                <w:lang w:val="en-AU"/>
              </w:rPr>
              <w:t>Daintree (108002A)</w:t>
            </w:r>
          </w:p>
        </w:tc>
        <w:tc>
          <w:tcPr>
            <w:tcW w:w="141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62"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727,872</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63"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1.4</w:t>
            </w:r>
            <w:r w:rsidRPr="007D7C41">
              <w:rPr>
                <w:rFonts w:cs="Arial"/>
                <w:color w:val="000000"/>
                <w:sz w:val="18"/>
                <w:szCs w:val="18"/>
                <w:vertAlign w:val="superscript"/>
                <w:lang w:val="en-AU"/>
              </w:rPr>
              <w:t>*</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64"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0.1</w:t>
            </w:r>
            <w:r w:rsidRPr="007D7C41">
              <w:rPr>
                <w:rFonts w:cs="Arial"/>
                <w:color w:val="000000"/>
                <w:sz w:val="18"/>
                <w:szCs w:val="18"/>
                <w:vertAlign w:val="superscript"/>
                <w:lang w:val="en-AU"/>
              </w:rPr>
              <w:t>***</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65"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0.2</w:t>
            </w:r>
          </w:p>
        </w:tc>
        <w:tc>
          <w:tcPr>
            <w:tcW w:w="757"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5F22F966"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2.0</w:t>
            </w:r>
          </w:p>
        </w:tc>
        <w:tc>
          <w:tcPr>
            <w:tcW w:w="8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67"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0.7</w:t>
            </w:r>
          </w:p>
        </w:tc>
        <w:tc>
          <w:tcPr>
            <w:tcW w:w="757"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5F22F968"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1.7</w:t>
            </w:r>
          </w:p>
        </w:tc>
        <w:tc>
          <w:tcPr>
            <w:tcW w:w="81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69"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1.0</w:t>
            </w:r>
          </w:p>
        </w:tc>
        <w:tc>
          <w:tcPr>
            <w:tcW w:w="81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6A"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1.2</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6B"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0.9</w:t>
            </w:r>
          </w:p>
        </w:tc>
        <w:tc>
          <w:tcPr>
            <w:tcW w:w="757"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5F22F96C"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1.7</w:t>
            </w:r>
          </w:p>
        </w:tc>
        <w:tc>
          <w:tcPr>
            <w:tcW w:w="757"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5F22F96D"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2.3</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6E"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1.3</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6F"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0.9</w:t>
            </w:r>
          </w:p>
        </w:tc>
        <w:tc>
          <w:tcPr>
            <w:tcW w:w="757"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2F970"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3.2</w:t>
            </w:r>
          </w:p>
        </w:tc>
        <w:tc>
          <w:tcPr>
            <w:tcW w:w="8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71"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1.1</w:t>
            </w:r>
          </w:p>
        </w:tc>
      </w:tr>
      <w:tr w:rsidR="008645FA" w:rsidRPr="003A77F5" w14:paraId="5F22F985" w14:textId="77777777" w:rsidTr="00211A02">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73" w14:textId="77777777" w:rsidR="008645FA" w:rsidRPr="007D7C41" w:rsidRDefault="008645FA" w:rsidP="008645FA">
            <w:pPr>
              <w:rPr>
                <w:rFonts w:cs="Arial"/>
                <w:sz w:val="18"/>
                <w:szCs w:val="18"/>
                <w:lang w:val="en-AU"/>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74" w14:textId="77777777" w:rsidR="008645FA" w:rsidRPr="007D7C41" w:rsidRDefault="008645FA" w:rsidP="008645FA">
            <w:pPr>
              <w:spacing w:before="20" w:after="20"/>
              <w:ind w:left="20" w:right="20"/>
              <w:rPr>
                <w:rFonts w:cs="Arial"/>
                <w:sz w:val="18"/>
                <w:szCs w:val="18"/>
                <w:lang w:val="en-AU"/>
              </w:rPr>
            </w:pPr>
            <w:r w:rsidRPr="007D7C41">
              <w:rPr>
                <w:rFonts w:cs="Arial"/>
                <w:color w:val="000000"/>
                <w:sz w:val="18"/>
                <w:szCs w:val="18"/>
                <w:lang w:val="en-AU"/>
              </w:rPr>
              <w:t>Barron (110001D)</w:t>
            </w:r>
          </w:p>
        </w:tc>
        <w:tc>
          <w:tcPr>
            <w:tcW w:w="141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75"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529,091</w:t>
            </w:r>
          </w:p>
        </w:tc>
        <w:tc>
          <w:tcPr>
            <w:tcW w:w="757"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5F22F976"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1.6</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77"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0.3</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78"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0.2</w:t>
            </w:r>
          </w:p>
        </w:tc>
        <w:tc>
          <w:tcPr>
            <w:tcW w:w="757"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5F22F979"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1.8</w:t>
            </w:r>
          </w:p>
        </w:tc>
        <w:tc>
          <w:tcPr>
            <w:tcW w:w="8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7A"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0.7</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7B"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1.4</w:t>
            </w:r>
          </w:p>
        </w:tc>
        <w:tc>
          <w:tcPr>
            <w:tcW w:w="81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7C"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0.8</w:t>
            </w:r>
          </w:p>
        </w:tc>
        <w:tc>
          <w:tcPr>
            <w:tcW w:w="812"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2F97D"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3.0</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7E"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1.5</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7F"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0.9</w:t>
            </w:r>
          </w:p>
        </w:tc>
        <w:tc>
          <w:tcPr>
            <w:tcW w:w="757"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2F980"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3.6</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81"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1.5</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82"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0.5</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83"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1.1</w:t>
            </w:r>
          </w:p>
        </w:tc>
        <w:tc>
          <w:tcPr>
            <w:tcW w:w="8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84"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0.7</w:t>
            </w:r>
          </w:p>
        </w:tc>
      </w:tr>
      <w:tr w:rsidR="008645FA" w:rsidRPr="003A77F5" w14:paraId="5F22F998" w14:textId="77777777" w:rsidTr="00211A02">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86" w14:textId="77777777" w:rsidR="008645FA" w:rsidRPr="007D7C41" w:rsidRDefault="008645FA" w:rsidP="008645FA">
            <w:pPr>
              <w:rPr>
                <w:rFonts w:cs="Arial"/>
                <w:sz w:val="18"/>
                <w:szCs w:val="18"/>
                <w:lang w:val="en-AU"/>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87" w14:textId="77777777" w:rsidR="008645FA" w:rsidRPr="007D7C41" w:rsidRDefault="008645FA" w:rsidP="008645FA">
            <w:pPr>
              <w:spacing w:before="20" w:after="20"/>
              <w:ind w:left="20" w:right="20"/>
              <w:rPr>
                <w:rFonts w:cs="Arial"/>
                <w:sz w:val="18"/>
                <w:szCs w:val="18"/>
                <w:lang w:val="en-AU"/>
              </w:rPr>
            </w:pPr>
            <w:r w:rsidRPr="007D7C41">
              <w:rPr>
                <w:rFonts w:cs="Arial"/>
                <w:color w:val="000000"/>
                <w:sz w:val="18"/>
                <w:szCs w:val="18"/>
                <w:lang w:val="en-AU"/>
              </w:rPr>
              <w:t>Mulgrave (111007A)</w:t>
            </w:r>
          </w:p>
        </w:tc>
        <w:tc>
          <w:tcPr>
            <w:tcW w:w="141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88"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728,917</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89"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1.1</w:t>
            </w:r>
            <w:r w:rsidRPr="007D7C41">
              <w:rPr>
                <w:rFonts w:cs="Arial"/>
                <w:color w:val="000000"/>
                <w:sz w:val="18"/>
                <w:szCs w:val="18"/>
                <w:vertAlign w:val="superscript"/>
                <w:lang w:val="en-AU"/>
              </w:rPr>
              <w:t>***</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8A"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0.3</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8B"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0.5</w:t>
            </w:r>
          </w:p>
        </w:tc>
        <w:tc>
          <w:tcPr>
            <w:tcW w:w="757"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5F22F98C"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1.6</w:t>
            </w:r>
          </w:p>
        </w:tc>
        <w:tc>
          <w:tcPr>
            <w:tcW w:w="8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8D"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0.6</w:t>
            </w:r>
            <w:r w:rsidRPr="007D7C41">
              <w:rPr>
                <w:rFonts w:cs="Arial"/>
                <w:color w:val="000000"/>
                <w:sz w:val="18"/>
                <w:szCs w:val="18"/>
                <w:vertAlign w:val="superscript"/>
                <w:lang w:val="en-AU"/>
              </w:rPr>
              <w:t>***</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8E"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1.3</w:t>
            </w:r>
          </w:p>
        </w:tc>
        <w:tc>
          <w:tcPr>
            <w:tcW w:w="81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8F"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1.0</w:t>
            </w:r>
          </w:p>
        </w:tc>
        <w:tc>
          <w:tcPr>
            <w:tcW w:w="81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90"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1.3</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91"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1.0</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92"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1.0</w:t>
            </w:r>
          </w:p>
        </w:tc>
        <w:tc>
          <w:tcPr>
            <w:tcW w:w="757"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5F22F993"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2.1</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94"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1.5</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95"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0.7</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96"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1.3</w:t>
            </w:r>
          </w:p>
        </w:tc>
        <w:tc>
          <w:tcPr>
            <w:tcW w:w="8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97"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0.8</w:t>
            </w:r>
          </w:p>
        </w:tc>
      </w:tr>
      <w:tr w:rsidR="008645FA" w:rsidRPr="003A77F5" w14:paraId="5F22F9AB" w14:textId="77777777" w:rsidTr="00211A02">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99" w14:textId="77777777" w:rsidR="008645FA" w:rsidRPr="007D7C41" w:rsidRDefault="008645FA" w:rsidP="008645FA">
            <w:pPr>
              <w:rPr>
                <w:rFonts w:cs="Arial"/>
                <w:sz w:val="18"/>
                <w:szCs w:val="18"/>
                <w:lang w:val="en-AU"/>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9A" w14:textId="77777777" w:rsidR="008645FA" w:rsidRPr="007D7C41" w:rsidRDefault="008645FA" w:rsidP="008645FA">
            <w:pPr>
              <w:spacing w:before="20" w:after="20"/>
              <w:ind w:left="20" w:right="20"/>
              <w:rPr>
                <w:rFonts w:cs="Arial"/>
                <w:sz w:val="18"/>
                <w:szCs w:val="18"/>
                <w:lang w:val="en-AU"/>
              </w:rPr>
            </w:pPr>
            <w:r w:rsidRPr="007D7C41">
              <w:rPr>
                <w:rFonts w:cs="Arial"/>
                <w:color w:val="000000"/>
                <w:sz w:val="18"/>
                <w:szCs w:val="18"/>
                <w:lang w:val="en-AU"/>
              </w:rPr>
              <w:t>Russell (111101D)</w:t>
            </w:r>
          </w:p>
        </w:tc>
        <w:tc>
          <w:tcPr>
            <w:tcW w:w="141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9B"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995,142</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9C"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1.2</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9D"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0.4</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9E"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0.6</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9F"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1.4</w:t>
            </w:r>
          </w:p>
        </w:tc>
        <w:tc>
          <w:tcPr>
            <w:tcW w:w="8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A0"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1.0</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A1"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1.3</w:t>
            </w:r>
          </w:p>
        </w:tc>
        <w:tc>
          <w:tcPr>
            <w:tcW w:w="81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A2"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1.3</w:t>
            </w:r>
          </w:p>
        </w:tc>
        <w:tc>
          <w:tcPr>
            <w:tcW w:w="81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A3"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1.1</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A4"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1.2</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A5"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1.3</w:t>
            </w:r>
          </w:p>
        </w:tc>
        <w:tc>
          <w:tcPr>
            <w:tcW w:w="757"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5F22F9A6"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1.7</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A7"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1.3</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A8"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0.8</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A9"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1.3</w:t>
            </w:r>
          </w:p>
        </w:tc>
        <w:tc>
          <w:tcPr>
            <w:tcW w:w="8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AA"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0.7</w:t>
            </w:r>
          </w:p>
        </w:tc>
      </w:tr>
      <w:tr w:rsidR="008645FA" w:rsidRPr="003A77F5" w14:paraId="5F22F9BE" w14:textId="77777777" w:rsidTr="00211A02">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AC" w14:textId="77777777" w:rsidR="008645FA" w:rsidRPr="007D7C41" w:rsidRDefault="008645FA" w:rsidP="008645FA">
            <w:pPr>
              <w:rPr>
                <w:rFonts w:cs="Arial"/>
                <w:sz w:val="18"/>
                <w:szCs w:val="18"/>
                <w:lang w:val="en-AU"/>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AD" w14:textId="77777777" w:rsidR="008645FA" w:rsidRPr="007D7C41" w:rsidRDefault="008645FA" w:rsidP="008645FA">
            <w:pPr>
              <w:spacing w:before="20" w:after="20"/>
              <w:ind w:left="20" w:right="20"/>
              <w:rPr>
                <w:rFonts w:cs="Arial"/>
                <w:sz w:val="18"/>
                <w:szCs w:val="18"/>
                <w:lang w:val="en-AU"/>
              </w:rPr>
            </w:pPr>
            <w:r w:rsidRPr="007D7C41">
              <w:rPr>
                <w:rFonts w:cs="Arial"/>
                <w:color w:val="000000"/>
                <w:sz w:val="18"/>
                <w:szCs w:val="18"/>
                <w:lang w:val="en-AU"/>
              </w:rPr>
              <w:t>North Johnstone (112004A)</w:t>
            </w:r>
          </w:p>
        </w:tc>
        <w:tc>
          <w:tcPr>
            <w:tcW w:w="141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AE"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1,764,742</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AF"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1.2</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B0"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0.4</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B1"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0.5</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B2"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1.3</w:t>
            </w:r>
          </w:p>
        </w:tc>
        <w:tc>
          <w:tcPr>
            <w:tcW w:w="8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B3"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0.8</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B4"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1.2</w:t>
            </w:r>
          </w:p>
        </w:tc>
        <w:tc>
          <w:tcPr>
            <w:tcW w:w="81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B5"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1.2</w:t>
            </w:r>
          </w:p>
        </w:tc>
        <w:tc>
          <w:tcPr>
            <w:tcW w:w="81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B6"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1.1</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B7"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1.1</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B8"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1.0</w:t>
            </w:r>
          </w:p>
        </w:tc>
        <w:tc>
          <w:tcPr>
            <w:tcW w:w="757"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5F22F9B9"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2.0</w:t>
            </w:r>
          </w:p>
        </w:tc>
        <w:tc>
          <w:tcPr>
            <w:tcW w:w="794"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5F22F9BA"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1.7</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BB"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0.8</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BC"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1.2</w:t>
            </w:r>
          </w:p>
        </w:tc>
        <w:tc>
          <w:tcPr>
            <w:tcW w:w="8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BD"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0.0</w:t>
            </w:r>
          </w:p>
        </w:tc>
      </w:tr>
      <w:tr w:rsidR="008645FA" w:rsidRPr="003A77F5" w14:paraId="5F22F9D1" w14:textId="77777777" w:rsidTr="00211A02">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BF" w14:textId="77777777" w:rsidR="008645FA" w:rsidRPr="007D7C41" w:rsidRDefault="008645FA" w:rsidP="008645FA">
            <w:pPr>
              <w:rPr>
                <w:rFonts w:cs="Arial"/>
                <w:sz w:val="18"/>
                <w:szCs w:val="18"/>
                <w:lang w:val="en-AU"/>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C0" w14:textId="77777777" w:rsidR="008645FA" w:rsidRPr="007D7C41" w:rsidRDefault="008645FA" w:rsidP="008645FA">
            <w:pPr>
              <w:spacing w:before="20" w:after="20"/>
              <w:ind w:left="20" w:right="20"/>
              <w:rPr>
                <w:rFonts w:cs="Arial"/>
                <w:sz w:val="18"/>
                <w:szCs w:val="18"/>
                <w:lang w:val="en-AU"/>
              </w:rPr>
            </w:pPr>
            <w:r w:rsidRPr="007D7C41">
              <w:rPr>
                <w:rFonts w:cs="Arial"/>
                <w:color w:val="000000"/>
                <w:sz w:val="18"/>
                <w:szCs w:val="18"/>
                <w:lang w:val="en-AU"/>
              </w:rPr>
              <w:t>South Johnstone (112101B)</w:t>
            </w:r>
          </w:p>
        </w:tc>
        <w:tc>
          <w:tcPr>
            <w:tcW w:w="141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C1"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850,463</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C2"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0.9</w:t>
            </w:r>
            <w:r w:rsidRPr="007D7C41">
              <w:rPr>
                <w:rFonts w:cs="Arial"/>
                <w:color w:val="000000"/>
                <w:sz w:val="18"/>
                <w:szCs w:val="18"/>
                <w:vertAlign w:val="superscript"/>
                <w:lang w:val="en-AU"/>
              </w:rPr>
              <w:t>*</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C3"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0.4</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C4"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0.4</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C5"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0.5</w:t>
            </w:r>
          </w:p>
        </w:tc>
        <w:tc>
          <w:tcPr>
            <w:tcW w:w="8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C6"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0.6</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C7"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1.2</w:t>
            </w:r>
          </w:p>
        </w:tc>
        <w:tc>
          <w:tcPr>
            <w:tcW w:w="81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C8"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1.0</w:t>
            </w:r>
          </w:p>
        </w:tc>
        <w:tc>
          <w:tcPr>
            <w:tcW w:w="81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C9"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0.9</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CA"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1.2</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CB"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0.8</w:t>
            </w:r>
          </w:p>
        </w:tc>
        <w:tc>
          <w:tcPr>
            <w:tcW w:w="757"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5F22F9CC"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1.8</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CD"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1.1</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CE"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0.6</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CF"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0.9</w:t>
            </w:r>
          </w:p>
        </w:tc>
        <w:tc>
          <w:tcPr>
            <w:tcW w:w="8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D0"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0.5</w:t>
            </w:r>
          </w:p>
        </w:tc>
      </w:tr>
      <w:tr w:rsidR="008645FA" w:rsidRPr="003A77F5" w14:paraId="5F22F9E4" w14:textId="77777777" w:rsidTr="00211A02">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D2" w14:textId="77777777" w:rsidR="008645FA" w:rsidRPr="007D7C41" w:rsidRDefault="008645FA" w:rsidP="008645FA">
            <w:pPr>
              <w:rPr>
                <w:rFonts w:cs="Arial"/>
                <w:sz w:val="18"/>
                <w:szCs w:val="18"/>
                <w:lang w:val="en-AU"/>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D3" w14:textId="77777777" w:rsidR="008645FA" w:rsidRPr="007D7C41" w:rsidRDefault="008645FA" w:rsidP="008645FA">
            <w:pPr>
              <w:spacing w:before="20" w:after="20"/>
              <w:ind w:left="20" w:right="20"/>
              <w:rPr>
                <w:rFonts w:cs="Arial"/>
                <w:sz w:val="18"/>
                <w:szCs w:val="18"/>
                <w:lang w:val="en-AU"/>
              </w:rPr>
            </w:pPr>
            <w:r w:rsidRPr="007D7C41">
              <w:rPr>
                <w:rFonts w:cs="Arial"/>
                <w:color w:val="000000"/>
                <w:sz w:val="18"/>
                <w:szCs w:val="18"/>
                <w:lang w:val="en-AU"/>
              </w:rPr>
              <w:t>Tully (113006A)</w:t>
            </w:r>
          </w:p>
        </w:tc>
        <w:tc>
          <w:tcPr>
            <w:tcW w:w="141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D4"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2,944,018</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D5"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1.2</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D6"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0.4</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D7"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0.5</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D8"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1.1</w:t>
            </w:r>
          </w:p>
        </w:tc>
        <w:tc>
          <w:tcPr>
            <w:tcW w:w="8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D9"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0.7</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DA"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1.2</w:t>
            </w:r>
          </w:p>
        </w:tc>
        <w:tc>
          <w:tcPr>
            <w:tcW w:w="81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DB"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1.3</w:t>
            </w:r>
          </w:p>
        </w:tc>
        <w:tc>
          <w:tcPr>
            <w:tcW w:w="81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DC"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1.1</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DD"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1.2</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DE"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1.0</w:t>
            </w:r>
          </w:p>
        </w:tc>
        <w:tc>
          <w:tcPr>
            <w:tcW w:w="757"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5F22F9DF"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2.1</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E0"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1.2</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E1"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1.0</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E2"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1.2</w:t>
            </w:r>
          </w:p>
        </w:tc>
        <w:tc>
          <w:tcPr>
            <w:tcW w:w="8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E3"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0.1</w:t>
            </w:r>
          </w:p>
        </w:tc>
      </w:tr>
      <w:tr w:rsidR="008645FA" w:rsidRPr="003A77F5" w14:paraId="5F22F9F7" w14:textId="77777777" w:rsidTr="00211A02">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E5" w14:textId="77777777" w:rsidR="008645FA" w:rsidRPr="007D7C41" w:rsidRDefault="008645FA" w:rsidP="008645FA">
            <w:pPr>
              <w:rPr>
                <w:rFonts w:cs="Arial"/>
                <w:sz w:val="18"/>
                <w:szCs w:val="18"/>
                <w:lang w:val="en-AU"/>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E6" w14:textId="77777777" w:rsidR="008645FA" w:rsidRPr="007D7C41" w:rsidRDefault="008645FA" w:rsidP="008645FA">
            <w:pPr>
              <w:spacing w:before="20" w:after="20"/>
              <w:ind w:left="20" w:right="20"/>
              <w:rPr>
                <w:rFonts w:cs="Arial"/>
                <w:sz w:val="18"/>
                <w:szCs w:val="18"/>
                <w:lang w:val="en-AU"/>
              </w:rPr>
            </w:pPr>
            <w:r w:rsidRPr="007D7C41">
              <w:rPr>
                <w:rFonts w:cs="Arial"/>
                <w:color w:val="000000"/>
                <w:sz w:val="18"/>
                <w:szCs w:val="18"/>
                <w:lang w:val="en-AU"/>
              </w:rPr>
              <w:t>Herbert (116001E/F)</w:t>
            </w:r>
          </w:p>
        </w:tc>
        <w:tc>
          <w:tcPr>
            <w:tcW w:w="141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E7"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3,041,440</w:t>
            </w:r>
          </w:p>
        </w:tc>
        <w:tc>
          <w:tcPr>
            <w:tcW w:w="757"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5F22F9E8"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1.5</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E9"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0.3</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EA"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0.2</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EB"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1.1</w:t>
            </w:r>
          </w:p>
        </w:tc>
        <w:tc>
          <w:tcPr>
            <w:tcW w:w="8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EC"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0.4</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ED"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1.3</w:t>
            </w:r>
          </w:p>
        </w:tc>
        <w:tc>
          <w:tcPr>
            <w:tcW w:w="81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EE"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1.3</w:t>
            </w:r>
          </w:p>
        </w:tc>
        <w:tc>
          <w:tcPr>
            <w:tcW w:w="81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EF"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1.1</w:t>
            </w:r>
          </w:p>
        </w:tc>
        <w:tc>
          <w:tcPr>
            <w:tcW w:w="757"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2F9F0"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3.1</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F1"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1.0</w:t>
            </w:r>
          </w:p>
        </w:tc>
        <w:tc>
          <w:tcPr>
            <w:tcW w:w="757"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2F9F2"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3.8</w:t>
            </w:r>
          </w:p>
        </w:tc>
        <w:tc>
          <w:tcPr>
            <w:tcW w:w="79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F3"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1.4</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F4"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1.0</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F5"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1.3</w:t>
            </w:r>
          </w:p>
        </w:tc>
        <w:tc>
          <w:tcPr>
            <w:tcW w:w="8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F6"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0.3</w:t>
            </w:r>
          </w:p>
        </w:tc>
      </w:tr>
      <w:tr w:rsidR="008645FA" w:rsidRPr="003A77F5" w14:paraId="5F22FA0A" w14:textId="77777777" w:rsidTr="00211A02">
        <w:tc>
          <w:tcPr>
            <w:tcW w:w="115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F8" w14:textId="77777777" w:rsidR="008645FA" w:rsidRPr="007D7C41" w:rsidRDefault="008645FA" w:rsidP="008645FA">
            <w:pPr>
              <w:spacing w:before="20" w:after="20"/>
              <w:ind w:left="20" w:right="20"/>
              <w:rPr>
                <w:rFonts w:cs="Arial"/>
                <w:sz w:val="18"/>
                <w:szCs w:val="18"/>
                <w:lang w:val="en-AU"/>
              </w:rPr>
            </w:pPr>
            <w:r w:rsidRPr="007D7C41">
              <w:rPr>
                <w:rFonts w:cs="Arial"/>
                <w:color w:val="000000"/>
                <w:sz w:val="18"/>
                <w:szCs w:val="18"/>
                <w:lang w:val="en-AU"/>
              </w:rPr>
              <w:t>Burdekin</w:t>
            </w:r>
          </w:p>
        </w:tc>
        <w:tc>
          <w:tcPr>
            <w:tcW w:w="111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F9" w14:textId="77777777" w:rsidR="008645FA" w:rsidRPr="007D7C41" w:rsidRDefault="008645FA" w:rsidP="008645FA">
            <w:pPr>
              <w:spacing w:before="20" w:after="20"/>
              <w:ind w:left="20" w:right="20"/>
              <w:rPr>
                <w:rFonts w:cs="Arial"/>
                <w:sz w:val="18"/>
                <w:szCs w:val="18"/>
                <w:lang w:val="en-AU"/>
              </w:rPr>
            </w:pPr>
            <w:r w:rsidRPr="007D7C41">
              <w:rPr>
                <w:rFonts w:cs="Arial"/>
                <w:color w:val="000000"/>
                <w:sz w:val="18"/>
                <w:szCs w:val="18"/>
                <w:lang w:val="en-AU"/>
              </w:rPr>
              <w:t>Burdekin (120006B)</w:t>
            </w:r>
          </w:p>
        </w:tc>
        <w:tc>
          <w:tcPr>
            <w:tcW w:w="141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FA"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5,312,986</w:t>
            </w:r>
          </w:p>
        </w:tc>
        <w:tc>
          <w:tcPr>
            <w:tcW w:w="757"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5F22F9FB"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1.6</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FC"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0.8</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FD"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0.4</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FE"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0.3</w:t>
            </w:r>
          </w:p>
        </w:tc>
        <w:tc>
          <w:tcPr>
            <w:tcW w:w="8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9FF"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0.8</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00"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0.4</w:t>
            </w:r>
          </w:p>
        </w:tc>
        <w:tc>
          <w:tcPr>
            <w:tcW w:w="812"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5F22FA01"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1.8</w:t>
            </w:r>
          </w:p>
        </w:tc>
        <w:tc>
          <w:tcPr>
            <w:tcW w:w="812"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2FA02"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5.2</w:t>
            </w:r>
          </w:p>
        </w:tc>
        <w:tc>
          <w:tcPr>
            <w:tcW w:w="757"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2FA03"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5.5</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04"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1.5</w:t>
            </w:r>
          </w:p>
        </w:tc>
        <w:tc>
          <w:tcPr>
            <w:tcW w:w="757"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2FA05"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6.6</w:t>
            </w:r>
          </w:p>
        </w:tc>
        <w:tc>
          <w:tcPr>
            <w:tcW w:w="794"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5F22FA06"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2.9</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07"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0.6</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08"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0.3</w:t>
            </w:r>
          </w:p>
        </w:tc>
        <w:tc>
          <w:tcPr>
            <w:tcW w:w="8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09"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0.2</w:t>
            </w:r>
          </w:p>
        </w:tc>
      </w:tr>
      <w:tr w:rsidR="008645FA" w:rsidRPr="003A77F5" w14:paraId="5F22FA1D" w14:textId="77777777" w:rsidTr="00211A02">
        <w:tc>
          <w:tcPr>
            <w:tcW w:w="1152"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0B" w14:textId="77777777" w:rsidR="008645FA" w:rsidRPr="007D7C41" w:rsidRDefault="008645FA" w:rsidP="008645FA">
            <w:pPr>
              <w:spacing w:before="20" w:after="20"/>
              <w:ind w:left="20" w:right="20"/>
              <w:rPr>
                <w:rFonts w:cs="Arial"/>
                <w:sz w:val="18"/>
                <w:szCs w:val="18"/>
                <w:lang w:val="en-AU"/>
              </w:rPr>
            </w:pPr>
            <w:r w:rsidRPr="007D7C41">
              <w:rPr>
                <w:rFonts w:cs="Arial"/>
                <w:color w:val="000000"/>
                <w:sz w:val="18"/>
                <w:szCs w:val="18"/>
                <w:lang w:val="en-AU"/>
              </w:rPr>
              <w:t>Mackay Whitsunday</w:t>
            </w:r>
          </w:p>
        </w:tc>
        <w:tc>
          <w:tcPr>
            <w:tcW w:w="111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0C" w14:textId="77777777" w:rsidR="008645FA" w:rsidRPr="007D7C41" w:rsidRDefault="008645FA" w:rsidP="008645FA">
            <w:pPr>
              <w:spacing w:before="20" w:after="20"/>
              <w:ind w:left="20" w:right="20"/>
              <w:rPr>
                <w:rFonts w:cs="Arial"/>
                <w:sz w:val="18"/>
                <w:szCs w:val="18"/>
                <w:lang w:val="en-AU"/>
              </w:rPr>
            </w:pPr>
            <w:r w:rsidRPr="007D7C41">
              <w:rPr>
                <w:rFonts w:cs="Arial"/>
                <w:color w:val="000000"/>
                <w:sz w:val="18"/>
                <w:szCs w:val="18"/>
                <w:lang w:val="en-AU"/>
              </w:rPr>
              <w:t>OConnell (124001B)</w:t>
            </w:r>
          </w:p>
        </w:tc>
        <w:tc>
          <w:tcPr>
            <w:tcW w:w="141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0D"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150,788</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0E"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1.0</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0F"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0.6</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10"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0.2</w:t>
            </w:r>
            <w:r w:rsidRPr="007D7C41">
              <w:rPr>
                <w:rFonts w:cs="Arial"/>
                <w:color w:val="000000"/>
                <w:sz w:val="18"/>
                <w:szCs w:val="18"/>
                <w:vertAlign w:val="superscript"/>
                <w:lang w:val="en-AU"/>
              </w:rPr>
              <w:t>*</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11"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0.2</w:t>
            </w:r>
            <w:r w:rsidRPr="007D7C41">
              <w:rPr>
                <w:rFonts w:cs="Arial"/>
                <w:color w:val="000000"/>
                <w:sz w:val="18"/>
                <w:szCs w:val="18"/>
                <w:vertAlign w:val="superscript"/>
                <w:lang w:val="en-AU"/>
              </w:rPr>
              <w:t>***</w:t>
            </w:r>
          </w:p>
        </w:tc>
        <w:tc>
          <w:tcPr>
            <w:tcW w:w="8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12"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0.5</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13"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0.6</w:t>
            </w:r>
          </w:p>
        </w:tc>
        <w:tc>
          <w:tcPr>
            <w:tcW w:w="81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14"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1.1</w:t>
            </w:r>
          </w:p>
        </w:tc>
        <w:tc>
          <w:tcPr>
            <w:tcW w:w="812"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5F22FA15"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1.7</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16"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1.3</w:t>
            </w:r>
          </w:p>
        </w:tc>
        <w:tc>
          <w:tcPr>
            <w:tcW w:w="757"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5F22FA17"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2.2</w:t>
            </w:r>
          </w:p>
        </w:tc>
        <w:tc>
          <w:tcPr>
            <w:tcW w:w="757"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2FA18"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3.9</w:t>
            </w:r>
          </w:p>
        </w:tc>
        <w:tc>
          <w:tcPr>
            <w:tcW w:w="794" w:type="dxa"/>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5F22FA19"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1.9</w:t>
            </w:r>
          </w:p>
        </w:tc>
        <w:tc>
          <w:tcPr>
            <w:tcW w:w="72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1A"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0.7</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1B"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0.6</w:t>
            </w:r>
          </w:p>
        </w:tc>
        <w:tc>
          <w:tcPr>
            <w:tcW w:w="8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1C"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0.1</w:t>
            </w:r>
          </w:p>
        </w:tc>
      </w:tr>
      <w:tr w:rsidR="008645FA" w:rsidRPr="003A77F5" w14:paraId="5F22FA30" w14:textId="77777777" w:rsidTr="00211A02">
        <w:tc>
          <w:tcPr>
            <w:tcW w:w="1152"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1E" w14:textId="77777777" w:rsidR="008645FA" w:rsidRPr="007D7C41" w:rsidRDefault="008645FA" w:rsidP="008645FA">
            <w:pPr>
              <w:rPr>
                <w:rFonts w:cs="Arial"/>
                <w:sz w:val="18"/>
                <w:szCs w:val="18"/>
                <w:lang w:val="en-AU"/>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1F" w14:textId="77777777" w:rsidR="008645FA" w:rsidRPr="007D7C41" w:rsidRDefault="008645FA" w:rsidP="008645FA">
            <w:pPr>
              <w:spacing w:before="20" w:after="20"/>
              <w:ind w:left="20" w:right="20"/>
              <w:rPr>
                <w:rFonts w:cs="Arial"/>
                <w:sz w:val="18"/>
                <w:szCs w:val="18"/>
                <w:lang w:val="en-AU"/>
              </w:rPr>
            </w:pPr>
            <w:r w:rsidRPr="007D7C41">
              <w:rPr>
                <w:rFonts w:cs="Arial"/>
                <w:color w:val="000000"/>
                <w:sz w:val="18"/>
                <w:szCs w:val="18"/>
                <w:lang w:val="en-AU"/>
              </w:rPr>
              <w:t>Pioneer (125007A)</w:t>
            </w:r>
          </w:p>
        </w:tc>
        <w:tc>
          <w:tcPr>
            <w:tcW w:w="141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20"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355,584</w:t>
            </w:r>
          </w:p>
        </w:tc>
        <w:tc>
          <w:tcPr>
            <w:tcW w:w="757"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5F22FA21"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2.1</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22"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0.6</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23"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0.3</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24"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0.1</w:t>
            </w:r>
          </w:p>
        </w:tc>
        <w:tc>
          <w:tcPr>
            <w:tcW w:w="8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25"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0.6</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26"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0.2</w:t>
            </w:r>
          </w:p>
        </w:tc>
        <w:tc>
          <w:tcPr>
            <w:tcW w:w="812"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5F22FA27"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2.0</w:t>
            </w:r>
          </w:p>
        </w:tc>
        <w:tc>
          <w:tcPr>
            <w:tcW w:w="812"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2FA28"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3.7</w:t>
            </w:r>
          </w:p>
        </w:tc>
        <w:tc>
          <w:tcPr>
            <w:tcW w:w="757"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5F22FA29"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2.3</w:t>
            </w:r>
          </w:p>
        </w:tc>
        <w:tc>
          <w:tcPr>
            <w:tcW w:w="757"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2FA2A"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3.3</w:t>
            </w:r>
          </w:p>
        </w:tc>
        <w:tc>
          <w:tcPr>
            <w:tcW w:w="757"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2FA2B"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9.2</w:t>
            </w:r>
          </w:p>
        </w:tc>
        <w:tc>
          <w:tcPr>
            <w:tcW w:w="794"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2FA2C"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3.7</w:t>
            </w:r>
          </w:p>
        </w:tc>
        <w:tc>
          <w:tcPr>
            <w:tcW w:w="720" w:type="dxa"/>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5F22FA2D"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2.6</w:t>
            </w:r>
          </w:p>
        </w:tc>
        <w:tc>
          <w:tcPr>
            <w:tcW w:w="75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2E"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1.4</w:t>
            </w:r>
          </w:p>
        </w:tc>
        <w:tc>
          <w:tcPr>
            <w:tcW w:w="8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A2F" w14:textId="77777777" w:rsidR="008645FA" w:rsidRPr="007D7C41" w:rsidRDefault="008645FA" w:rsidP="008645FA">
            <w:pPr>
              <w:jc w:val="center"/>
              <w:rPr>
                <w:rFonts w:cs="Arial"/>
                <w:sz w:val="18"/>
                <w:szCs w:val="18"/>
                <w:lang w:val="en-AU"/>
              </w:rPr>
            </w:pPr>
            <w:r w:rsidRPr="007D7C41">
              <w:rPr>
                <w:rFonts w:cs="Arial"/>
                <w:color w:val="000000"/>
                <w:sz w:val="18"/>
                <w:szCs w:val="18"/>
                <w:lang w:val="en-AU"/>
              </w:rPr>
              <w:t>0.3</w:t>
            </w:r>
          </w:p>
        </w:tc>
      </w:tr>
    </w:tbl>
    <w:p w14:paraId="5F22FA31" w14:textId="77777777" w:rsidR="0099448B" w:rsidRDefault="0099448B" w:rsidP="00E94E33">
      <w:pPr>
        <w:spacing w:after="200" w:line="276" w:lineRule="auto"/>
        <w:rPr>
          <w:color w:val="000000" w:themeColor="text1"/>
          <w:sz w:val="16"/>
          <w:szCs w:val="16"/>
          <w:lang w:val="en-AU"/>
        </w:rPr>
      </w:pPr>
    </w:p>
    <w:p w14:paraId="5F22FA32" w14:textId="77777777" w:rsidR="0099448B" w:rsidRDefault="0099448B" w:rsidP="00164E5E">
      <w:pPr>
        <w:pStyle w:val="Caption"/>
        <w:sectPr w:rsidR="0099448B" w:rsidSect="00211A02">
          <w:pgSz w:w="16839" w:h="11907" w:orient="landscape" w:code="9"/>
          <w:pgMar w:top="851" w:right="851" w:bottom="851" w:left="851" w:header="720" w:footer="720" w:gutter="0"/>
          <w:cols w:space="432"/>
          <w:docGrid w:linePitch="299"/>
        </w:sectPr>
      </w:pPr>
      <w:bookmarkStart w:id="1618" w:name="_Ref428871099"/>
      <w:bookmarkStart w:id="1619" w:name="_Toc434607186"/>
    </w:p>
    <w:p w14:paraId="5F22FA33" w14:textId="7C8B940D" w:rsidR="0099448B" w:rsidRPr="00AF17DE" w:rsidRDefault="006A00D6" w:rsidP="00164E5E">
      <w:pPr>
        <w:pStyle w:val="Caption"/>
        <w:rPr>
          <w:rStyle w:val="IntenseReference"/>
        </w:rPr>
      </w:pPr>
      <w:bookmarkStart w:id="1620" w:name="_Toc459332206"/>
      <w:bookmarkEnd w:id="1618"/>
      <w:r>
        <w:t xml:space="preserve">Table A2 </w:t>
      </w:r>
      <w:r w:rsidR="00EB33A6">
        <w:fldChar w:fldCharType="begin"/>
      </w:r>
      <w:r w:rsidR="00D8225E">
        <w:instrText xml:space="preserve"> SEQ Table_A2 \* ARABIC </w:instrText>
      </w:r>
      <w:r w:rsidR="00EB33A6">
        <w:fldChar w:fldCharType="separate"/>
      </w:r>
      <w:r w:rsidR="007F5336">
        <w:rPr>
          <w:noProof/>
        </w:rPr>
        <w:t>2</w:t>
      </w:r>
      <w:r w:rsidR="00EB33A6">
        <w:rPr>
          <w:noProof/>
        </w:rPr>
        <w:fldChar w:fldCharType="end"/>
      </w:r>
      <w:r w:rsidR="00AF17DE" w:rsidRPr="00AF17DE">
        <w:t>:</w:t>
      </w:r>
      <w:r w:rsidR="0099448B" w:rsidRPr="00AF17DE">
        <w:t xml:space="preserve"> The 75th and 95th percentile flow (ML/day) for the major GBR rivers</w:t>
      </w:r>
      <w:r w:rsidR="00C951C9">
        <w:t xml:space="preserve"> </w:t>
      </w:r>
      <w:r w:rsidR="0099448B" w:rsidRPr="00AF17DE">
        <w:rPr>
          <w:rStyle w:val="IntenseReference"/>
        </w:rPr>
        <w:t xml:space="preserve"> (Long-term flow calculated from daily discharges between 1970 to 2000 obtained from DNRM).</w:t>
      </w:r>
      <w:bookmarkEnd w:id="1619"/>
      <w:bookmarkEnd w:id="162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1"/>
        <w:gridCol w:w="1643"/>
        <w:gridCol w:w="1484"/>
        <w:gridCol w:w="1464"/>
        <w:gridCol w:w="1667"/>
        <w:gridCol w:w="1664"/>
      </w:tblGrid>
      <w:tr w:rsidR="0099448B" w:rsidRPr="005C54B4" w14:paraId="5F22FA3A" w14:textId="77777777" w:rsidTr="00F541AA">
        <w:trPr>
          <w:trHeight w:val="20"/>
        </w:trPr>
        <w:tc>
          <w:tcPr>
            <w:tcW w:w="714" w:type="pct"/>
            <w:shd w:val="clear" w:color="auto" w:fill="auto"/>
            <w:vAlign w:val="center"/>
            <w:hideMark/>
          </w:tcPr>
          <w:p w14:paraId="5F22FA34" w14:textId="77777777" w:rsidR="0099448B" w:rsidRPr="004A5BF7" w:rsidRDefault="0099448B" w:rsidP="00F541AA">
            <w:pPr>
              <w:spacing w:before="0" w:after="0"/>
              <w:rPr>
                <w:rFonts w:cs="Arial"/>
                <w:b/>
                <w:bCs/>
                <w:color w:val="000000"/>
                <w:sz w:val="18"/>
                <w:szCs w:val="18"/>
                <w:lang w:val="en-AU"/>
              </w:rPr>
            </w:pPr>
            <w:r w:rsidRPr="004A5BF7">
              <w:rPr>
                <w:rFonts w:cs="Arial"/>
                <w:b/>
                <w:bCs/>
                <w:color w:val="000000"/>
                <w:sz w:val="18"/>
                <w:szCs w:val="18"/>
                <w:lang w:val="en-AU"/>
              </w:rPr>
              <w:t>Region</w:t>
            </w:r>
          </w:p>
        </w:tc>
        <w:tc>
          <w:tcPr>
            <w:tcW w:w="889" w:type="pct"/>
            <w:shd w:val="clear" w:color="auto" w:fill="auto"/>
            <w:vAlign w:val="center"/>
            <w:hideMark/>
          </w:tcPr>
          <w:p w14:paraId="5F22FA35" w14:textId="77777777" w:rsidR="0099448B" w:rsidRPr="004A5BF7" w:rsidRDefault="0099448B" w:rsidP="00F541AA">
            <w:pPr>
              <w:spacing w:before="0" w:after="0"/>
              <w:rPr>
                <w:rFonts w:cs="Arial"/>
                <w:b/>
                <w:bCs/>
                <w:color w:val="000000"/>
                <w:sz w:val="18"/>
                <w:szCs w:val="18"/>
                <w:lang w:val="en-AU"/>
              </w:rPr>
            </w:pPr>
            <w:r w:rsidRPr="004A5BF7">
              <w:rPr>
                <w:rFonts w:cs="Arial"/>
                <w:b/>
                <w:bCs/>
                <w:color w:val="000000"/>
                <w:sz w:val="18"/>
                <w:szCs w:val="18"/>
                <w:lang w:val="en-AU"/>
              </w:rPr>
              <w:t>River</w:t>
            </w:r>
          </w:p>
        </w:tc>
        <w:tc>
          <w:tcPr>
            <w:tcW w:w="803" w:type="pct"/>
            <w:shd w:val="clear" w:color="auto" w:fill="auto"/>
            <w:vAlign w:val="center"/>
            <w:hideMark/>
          </w:tcPr>
          <w:p w14:paraId="5F22FA36" w14:textId="77777777" w:rsidR="0099448B" w:rsidRPr="004A5BF7" w:rsidRDefault="0099448B" w:rsidP="00F541AA">
            <w:pPr>
              <w:spacing w:before="0" w:after="0"/>
              <w:jc w:val="center"/>
              <w:rPr>
                <w:rFonts w:cs="Arial"/>
                <w:b/>
                <w:bCs/>
                <w:color w:val="000000"/>
                <w:sz w:val="18"/>
                <w:szCs w:val="18"/>
                <w:lang w:val="en-AU"/>
              </w:rPr>
            </w:pPr>
            <w:r w:rsidRPr="004A5BF7">
              <w:rPr>
                <w:rFonts w:cs="Arial"/>
                <w:b/>
                <w:bCs/>
                <w:color w:val="000000"/>
                <w:sz w:val="18"/>
                <w:szCs w:val="18"/>
                <w:lang w:val="en-AU"/>
              </w:rPr>
              <w:t>75th %ile (ML/day)</w:t>
            </w:r>
          </w:p>
        </w:tc>
        <w:tc>
          <w:tcPr>
            <w:tcW w:w="792" w:type="pct"/>
            <w:shd w:val="clear" w:color="auto" w:fill="auto"/>
            <w:vAlign w:val="center"/>
            <w:hideMark/>
          </w:tcPr>
          <w:p w14:paraId="5F22FA37" w14:textId="77777777" w:rsidR="0099448B" w:rsidRPr="004A5BF7" w:rsidRDefault="0099448B" w:rsidP="00F541AA">
            <w:pPr>
              <w:spacing w:before="0" w:after="0"/>
              <w:jc w:val="center"/>
              <w:rPr>
                <w:rFonts w:cs="Arial"/>
                <w:b/>
                <w:bCs/>
                <w:color w:val="000000"/>
                <w:sz w:val="18"/>
                <w:szCs w:val="18"/>
                <w:lang w:val="en-AU"/>
              </w:rPr>
            </w:pPr>
            <w:r w:rsidRPr="004A5BF7">
              <w:rPr>
                <w:rFonts w:cs="Arial"/>
                <w:b/>
                <w:bCs/>
                <w:color w:val="000000"/>
                <w:sz w:val="18"/>
                <w:szCs w:val="18"/>
                <w:lang w:val="en-AU"/>
              </w:rPr>
              <w:t>95th %ile (ML/day)</w:t>
            </w:r>
          </w:p>
        </w:tc>
        <w:tc>
          <w:tcPr>
            <w:tcW w:w="902" w:type="pct"/>
            <w:shd w:val="clear" w:color="auto" w:fill="auto"/>
            <w:vAlign w:val="center"/>
            <w:hideMark/>
          </w:tcPr>
          <w:p w14:paraId="5F22FA38" w14:textId="77777777" w:rsidR="0099448B" w:rsidRPr="004A5BF7" w:rsidRDefault="0099448B" w:rsidP="00F541AA">
            <w:pPr>
              <w:spacing w:before="0" w:after="0"/>
              <w:jc w:val="center"/>
              <w:rPr>
                <w:rFonts w:cs="Arial"/>
                <w:b/>
                <w:bCs/>
                <w:color w:val="000000"/>
                <w:sz w:val="18"/>
                <w:szCs w:val="18"/>
                <w:lang w:val="en-AU"/>
              </w:rPr>
            </w:pPr>
            <w:r w:rsidRPr="004A5BF7">
              <w:rPr>
                <w:rFonts w:cs="Arial"/>
                <w:b/>
                <w:bCs/>
                <w:color w:val="000000"/>
                <w:sz w:val="18"/>
                <w:szCs w:val="18"/>
                <w:lang w:val="en-AU"/>
              </w:rPr>
              <w:t>No days exceed 75th %ile</w:t>
            </w:r>
          </w:p>
        </w:tc>
        <w:tc>
          <w:tcPr>
            <w:tcW w:w="901" w:type="pct"/>
            <w:shd w:val="clear" w:color="auto" w:fill="auto"/>
            <w:vAlign w:val="center"/>
            <w:hideMark/>
          </w:tcPr>
          <w:p w14:paraId="5F22FA39" w14:textId="77777777" w:rsidR="0099448B" w:rsidRPr="004A5BF7" w:rsidRDefault="0099448B" w:rsidP="00F541AA">
            <w:pPr>
              <w:spacing w:before="0" w:after="0"/>
              <w:jc w:val="center"/>
              <w:rPr>
                <w:rFonts w:cs="Arial"/>
                <w:b/>
                <w:bCs/>
                <w:color w:val="000000"/>
                <w:sz w:val="18"/>
                <w:szCs w:val="18"/>
                <w:lang w:val="en-AU"/>
              </w:rPr>
            </w:pPr>
            <w:r w:rsidRPr="004A5BF7">
              <w:rPr>
                <w:rFonts w:cs="Arial"/>
                <w:b/>
                <w:bCs/>
                <w:color w:val="000000"/>
                <w:sz w:val="18"/>
                <w:szCs w:val="18"/>
                <w:lang w:val="en-AU"/>
              </w:rPr>
              <w:t>No days exceed 95th %ile</w:t>
            </w:r>
          </w:p>
        </w:tc>
      </w:tr>
      <w:tr w:rsidR="0099448B" w:rsidRPr="005C54B4" w14:paraId="5F22FA41" w14:textId="77777777" w:rsidTr="00F541AA">
        <w:trPr>
          <w:trHeight w:val="20"/>
        </w:trPr>
        <w:tc>
          <w:tcPr>
            <w:tcW w:w="714" w:type="pct"/>
            <w:vMerge w:val="restart"/>
            <w:shd w:val="clear" w:color="auto" w:fill="auto"/>
            <w:vAlign w:val="center"/>
            <w:hideMark/>
          </w:tcPr>
          <w:p w14:paraId="5F22FA3B" w14:textId="77777777" w:rsidR="0099448B" w:rsidRPr="004A5BF7" w:rsidRDefault="0099448B" w:rsidP="00F541AA">
            <w:pPr>
              <w:spacing w:before="0" w:after="0"/>
              <w:rPr>
                <w:rFonts w:cs="Arial"/>
                <w:b/>
                <w:bCs/>
                <w:color w:val="000000"/>
                <w:sz w:val="18"/>
                <w:szCs w:val="18"/>
                <w:lang w:val="en-AU"/>
              </w:rPr>
            </w:pPr>
            <w:r w:rsidRPr="004A5BF7">
              <w:rPr>
                <w:rFonts w:cs="Arial"/>
                <w:b/>
                <w:bCs/>
                <w:color w:val="000000"/>
                <w:sz w:val="18"/>
                <w:szCs w:val="18"/>
                <w:lang w:val="en-AU"/>
              </w:rPr>
              <w:t>Cape York</w:t>
            </w:r>
          </w:p>
        </w:tc>
        <w:tc>
          <w:tcPr>
            <w:tcW w:w="889" w:type="pct"/>
            <w:shd w:val="clear" w:color="auto" w:fill="auto"/>
            <w:noWrap/>
            <w:vAlign w:val="center"/>
            <w:hideMark/>
          </w:tcPr>
          <w:p w14:paraId="5F22FA3C"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Pascoe</w:t>
            </w:r>
          </w:p>
        </w:tc>
        <w:tc>
          <w:tcPr>
            <w:tcW w:w="803" w:type="pct"/>
            <w:shd w:val="clear" w:color="auto" w:fill="auto"/>
            <w:noWrap/>
            <w:vAlign w:val="bottom"/>
            <w:hideMark/>
          </w:tcPr>
          <w:p w14:paraId="5F22FA3D"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8,261</w:t>
            </w:r>
          </w:p>
        </w:tc>
        <w:tc>
          <w:tcPr>
            <w:tcW w:w="792" w:type="pct"/>
            <w:shd w:val="clear" w:color="auto" w:fill="auto"/>
            <w:noWrap/>
            <w:vAlign w:val="bottom"/>
            <w:hideMark/>
          </w:tcPr>
          <w:p w14:paraId="5F22FA3E"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29,619</w:t>
            </w:r>
          </w:p>
        </w:tc>
        <w:tc>
          <w:tcPr>
            <w:tcW w:w="902" w:type="pct"/>
            <w:shd w:val="clear" w:color="auto" w:fill="auto"/>
            <w:noWrap/>
            <w:vAlign w:val="bottom"/>
            <w:hideMark/>
          </w:tcPr>
          <w:p w14:paraId="5F22FA3F"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55 (in 173)</w:t>
            </w:r>
          </w:p>
        </w:tc>
        <w:tc>
          <w:tcPr>
            <w:tcW w:w="901" w:type="pct"/>
            <w:shd w:val="clear" w:color="auto" w:fill="auto"/>
            <w:noWrap/>
            <w:vAlign w:val="bottom"/>
            <w:hideMark/>
          </w:tcPr>
          <w:p w14:paraId="5F22FA40"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12 (in 173)</w:t>
            </w:r>
          </w:p>
        </w:tc>
      </w:tr>
      <w:tr w:rsidR="0099448B" w:rsidRPr="005C54B4" w14:paraId="5F22FA48" w14:textId="77777777" w:rsidTr="00F541AA">
        <w:trPr>
          <w:trHeight w:val="20"/>
        </w:trPr>
        <w:tc>
          <w:tcPr>
            <w:tcW w:w="714" w:type="pct"/>
            <w:vMerge/>
            <w:vAlign w:val="center"/>
            <w:hideMark/>
          </w:tcPr>
          <w:p w14:paraId="5F22FA42" w14:textId="77777777" w:rsidR="0099448B" w:rsidRPr="004A5BF7" w:rsidRDefault="0099448B" w:rsidP="00F541AA">
            <w:pPr>
              <w:spacing w:before="0" w:after="0"/>
              <w:rPr>
                <w:rFonts w:cs="Arial"/>
                <w:b/>
                <w:bCs/>
                <w:color w:val="000000"/>
                <w:sz w:val="18"/>
                <w:szCs w:val="18"/>
                <w:lang w:val="en-AU"/>
              </w:rPr>
            </w:pPr>
          </w:p>
        </w:tc>
        <w:tc>
          <w:tcPr>
            <w:tcW w:w="889" w:type="pct"/>
            <w:shd w:val="clear" w:color="auto" w:fill="auto"/>
            <w:noWrap/>
            <w:vAlign w:val="center"/>
            <w:hideMark/>
          </w:tcPr>
          <w:p w14:paraId="5F22FA43"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Stewart</w:t>
            </w:r>
          </w:p>
        </w:tc>
        <w:tc>
          <w:tcPr>
            <w:tcW w:w="803" w:type="pct"/>
            <w:shd w:val="clear" w:color="auto" w:fill="auto"/>
            <w:noWrap/>
            <w:vAlign w:val="bottom"/>
            <w:hideMark/>
          </w:tcPr>
          <w:p w14:paraId="5F22FA44"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1,185</w:t>
            </w:r>
          </w:p>
        </w:tc>
        <w:tc>
          <w:tcPr>
            <w:tcW w:w="792" w:type="pct"/>
            <w:shd w:val="clear" w:color="auto" w:fill="auto"/>
            <w:noWrap/>
            <w:vAlign w:val="bottom"/>
            <w:hideMark/>
          </w:tcPr>
          <w:p w14:paraId="5F22FA45"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5,909</w:t>
            </w:r>
          </w:p>
        </w:tc>
        <w:tc>
          <w:tcPr>
            <w:tcW w:w="902" w:type="pct"/>
            <w:shd w:val="clear" w:color="auto" w:fill="auto"/>
            <w:noWrap/>
            <w:vAlign w:val="bottom"/>
            <w:hideMark/>
          </w:tcPr>
          <w:p w14:paraId="5F22FA46"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41 (in 176)</w:t>
            </w:r>
          </w:p>
        </w:tc>
        <w:tc>
          <w:tcPr>
            <w:tcW w:w="901" w:type="pct"/>
            <w:shd w:val="clear" w:color="auto" w:fill="auto"/>
            <w:noWrap/>
            <w:vAlign w:val="bottom"/>
            <w:hideMark/>
          </w:tcPr>
          <w:p w14:paraId="5F22FA47"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9 (in 176)</w:t>
            </w:r>
          </w:p>
        </w:tc>
      </w:tr>
      <w:tr w:rsidR="0099448B" w:rsidRPr="005C54B4" w14:paraId="5F22FA4F" w14:textId="77777777" w:rsidTr="00F541AA">
        <w:trPr>
          <w:trHeight w:val="20"/>
        </w:trPr>
        <w:tc>
          <w:tcPr>
            <w:tcW w:w="714" w:type="pct"/>
            <w:vMerge/>
            <w:vAlign w:val="center"/>
            <w:hideMark/>
          </w:tcPr>
          <w:p w14:paraId="5F22FA49" w14:textId="77777777" w:rsidR="0099448B" w:rsidRPr="004A5BF7" w:rsidRDefault="0099448B" w:rsidP="00F541AA">
            <w:pPr>
              <w:spacing w:before="0" w:after="0"/>
              <w:rPr>
                <w:rFonts w:cs="Arial"/>
                <w:b/>
                <w:bCs/>
                <w:color w:val="000000"/>
                <w:sz w:val="18"/>
                <w:szCs w:val="18"/>
                <w:lang w:val="en-AU"/>
              </w:rPr>
            </w:pPr>
          </w:p>
        </w:tc>
        <w:tc>
          <w:tcPr>
            <w:tcW w:w="889" w:type="pct"/>
            <w:shd w:val="clear" w:color="auto" w:fill="auto"/>
            <w:noWrap/>
            <w:vAlign w:val="center"/>
            <w:hideMark/>
          </w:tcPr>
          <w:p w14:paraId="5F22FA4A"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Normanby*</w:t>
            </w:r>
          </w:p>
        </w:tc>
        <w:tc>
          <w:tcPr>
            <w:tcW w:w="803" w:type="pct"/>
            <w:shd w:val="clear" w:color="auto" w:fill="auto"/>
            <w:noWrap/>
            <w:vAlign w:val="bottom"/>
            <w:hideMark/>
          </w:tcPr>
          <w:p w14:paraId="5F22FA4B"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w:t>
            </w:r>
          </w:p>
        </w:tc>
        <w:tc>
          <w:tcPr>
            <w:tcW w:w="792" w:type="pct"/>
            <w:shd w:val="clear" w:color="auto" w:fill="auto"/>
            <w:noWrap/>
            <w:vAlign w:val="bottom"/>
            <w:hideMark/>
          </w:tcPr>
          <w:p w14:paraId="5F22FA4C"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w:t>
            </w:r>
          </w:p>
        </w:tc>
        <w:tc>
          <w:tcPr>
            <w:tcW w:w="902" w:type="pct"/>
            <w:shd w:val="clear" w:color="auto" w:fill="auto"/>
            <w:noWrap/>
            <w:vAlign w:val="bottom"/>
            <w:hideMark/>
          </w:tcPr>
          <w:p w14:paraId="5F22FA4D"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w:t>
            </w:r>
          </w:p>
        </w:tc>
        <w:tc>
          <w:tcPr>
            <w:tcW w:w="901" w:type="pct"/>
            <w:shd w:val="clear" w:color="auto" w:fill="auto"/>
            <w:noWrap/>
            <w:vAlign w:val="bottom"/>
            <w:hideMark/>
          </w:tcPr>
          <w:p w14:paraId="5F22FA4E"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w:t>
            </w:r>
          </w:p>
        </w:tc>
      </w:tr>
      <w:tr w:rsidR="0099448B" w:rsidRPr="005C54B4" w14:paraId="5F22FA56" w14:textId="77777777" w:rsidTr="00F541AA">
        <w:trPr>
          <w:trHeight w:val="20"/>
        </w:trPr>
        <w:tc>
          <w:tcPr>
            <w:tcW w:w="714" w:type="pct"/>
            <w:vMerge/>
            <w:vAlign w:val="center"/>
            <w:hideMark/>
          </w:tcPr>
          <w:p w14:paraId="5F22FA50" w14:textId="77777777" w:rsidR="0099448B" w:rsidRPr="004A5BF7" w:rsidRDefault="0099448B" w:rsidP="00F541AA">
            <w:pPr>
              <w:spacing w:before="0" w:after="0"/>
              <w:rPr>
                <w:rFonts w:cs="Arial"/>
                <w:b/>
                <w:bCs/>
                <w:color w:val="000000"/>
                <w:sz w:val="18"/>
                <w:szCs w:val="18"/>
                <w:lang w:val="en-AU"/>
              </w:rPr>
            </w:pPr>
          </w:p>
        </w:tc>
        <w:tc>
          <w:tcPr>
            <w:tcW w:w="889" w:type="pct"/>
            <w:shd w:val="clear" w:color="auto" w:fill="auto"/>
            <w:noWrap/>
            <w:vAlign w:val="center"/>
            <w:hideMark/>
          </w:tcPr>
          <w:p w14:paraId="5F22FA51"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Annan</w:t>
            </w:r>
          </w:p>
        </w:tc>
        <w:tc>
          <w:tcPr>
            <w:tcW w:w="803" w:type="pct"/>
            <w:shd w:val="clear" w:color="auto" w:fill="auto"/>
            <w:noWrap/>
            <w:vAlign w:val="bottom"/>
            <w:hideMark/>
          </w:tcPr>
          <w:p w14:paraId="5F22FA52"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1,298</w:t>
            </w:r>
          </w:p>
        </w:tc>
        <w:tc>
          <w:tcPr>
            <w:tcW w:w="792" w:type="pct"/>
            <w:shd w:val="clear" w:color="auto" w:fill="auto"/>
            <w:noWrap/>
            <w:vAlign w:val="bottom"/>
            <w:hideMark/>
          </w:tcPr>
          <w:p w14:paraId="5F22FA53"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5,435</w:t>
            </w:r>
          </w:p>
        </w:tc>
        <w:tc>
          <w:tcPr>
            <w:tcW w:w="902" w:type="pct"/>
            <w:shd w:val="clear" w:color="auto" w:fill="auto"/>
            <w:noWrap/>
            <w:vAlign w:val="bottom"/>
            <w:hideMark/>
          </w:tcPr>
          <w:p w14:paraId="5F22FA54"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60 (in 181)</w:t>
            </w:r>
          </w:p>
        </w:tc>
        <w:tc>
          <w:tcPr>
            <w:tcW w:w="901" w:type="pct"/>
            <w:shd w:val="clear" w:color="auto" w:fill="auto"/>
            <w:noWrap/>
            <w:vAlign w:val="bottom"/>
            <w:hideMark/>
          </w:tcPr>
          <w:p w14:paraId="5F22FA55"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4 (in 181)</w:t>
            </w:r>
          </w:p>
        </w:tc>
      </w:tr>
      <w:tr w:rsidR="0099448B" w:rsidRPr="005C54B4" w14:paraId="5F22FA5D" w14:textId="77777777" w:rsidTr="00F541AA">
        <w:trPr>
          <w:trHeight w:val="20"/>
        </w:trPr>
        <w:tc>
          <w:tcPr>
            <w:tcW w:w="714" w:type="pct"/>
            <w:vMerge w:val="restart"/>
            <w:shd w:val="clear" w:color="auto" w:fill="auto"/>
            <w:vAlign w:val="center"/>
            <w:hideMark/>
          </w:tcPr>
          <w:p w14:paraId="5F22FA57" w14:textId="77777777" w:rsidR="0099448B" w:rsidRPr="004A5BF7" w:rsidRDefault="0099448B" w:rsidP="00F541AA">
            <w:pPr>
              <w:spacing w:before="0" w:after="0"/>
              <w:rPr>
                <w:rFonts w:cs="Arial"/>
                <w:b/>
                <w:bCs/>
                <w:color w:val="000000"/>
                <w:sz w:val="18"/>
                <w:szCs w:val="18"/>
                <w:lang w:val="en-AU"/>
              </w:rPr>
            </w:pPr>
            <w:r w:rsidRPr="004A5BF7">
              <w:rPr>
                <w:rFonts w:cs="Arial"/>
                <w:b/>
                <w:bCs/>
                <w:color w:val="000000"/>
                <w:sz w:val="18"/>
                <w:szCs w:val="18"/>
                <w:lang w:val="en-AU"/>
              </w:rPr>
              <w:t>Wet Tropics</w:t>
            </w:r>
          </w:p>
        </w:tc>
        <w:tc>
          <w:tcPr>
            <w:tcW w:w="889" w:type="pct"/>
            <w:shd w:val="clear" w:color="auto" w:fill="auto"/>
            <w:noWrap/>
            <w:vAlign w:val="center"/>
            <w:hideMark/>
          </w:tcPr>
          <w:p w14:paraId="5F22FA58"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Daintree</w:t>
            </w:r>
          </w:p>
        </w:tc>
        <w:tc>
          <w:tcPr>
            <w:tcW w:w="803" w:type="pct"/>
            <w:shd w:val="clear" w:color="auto" w:fill="auto"/>
            <w:noWrap/>
            <w:vAlign w:val="bottom"/>
            <w:hideMark/>
          </w:tcPr>
          <w:p w14:paraId="5F22FA59"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3,920</w:t>
            </w:r>
          </w:p>
        </w:tc>
        <w:tc>
          <w:tcPr>
            <w:tcW w:w="792" w:type="pct"/>
            <w:shd w:val="clear" w:color="auto" w:fill="auto"/>
            <w:noWrap/>
            <w:vAlign w:val="bottom"/>
            <w:hideMark/>
          </w:tcPr>
          <w:p w14:paraId="5F22FA5A"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13,194</w:t>
            </w:r>
          </w:p>
        </w:tc>
        <w:tc>
          <w:tcPr>
            <w:tcW w:w="902" w:type="pct"/>
            <w:shd w:val="clear" w:color="auto" w:fill="auto"/>
            <w:noWrap/>
            <w:vAlign w:val="bottom"/>
            <w:hideMark/>
          </w:tcPr>
          <w:p w14:paraId="5F22FA5B"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69 (in 180)</w:t>
            </w:r>
          </w:p>
        </w:tc>
        <w:tc>
          <w:tcPr>
            <w:tcW w:w="901" w:type="pct"/>
            <w:shd w:val="clear" w:color="auto" w:fill="auto"/>
            <w:noWrap/>
            <w:vAlign w:val="bottom"/>
            <w:hideMark/>
          </w:tcPr>
          <w:p w14:paraId="5F22FA5C"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25 (in 180)</w:t>
            </w:r>
          </w:p>
        </w:tc>
      </w:tr>
      <w:tr w:rsidR="0099448B" w:rsidRPr="005C54B4" w14:paraId="5F22FA64" w14:textId="77777777" w:rsidTr="00F541AA">
        <w:trPr>
          <w:trHeight w:val="20"/>
        </w:trPr>
        <w:tc>
          <w:tcPr>
            <w:tcW w:w="714" w:type="pct"/>
            <w:vMerge/>
            <w:vAlign w:val="center"/>
            <w:hideMark/>
          </w:tcPr>
          <w:p w14:paraId="5F22FA5E" w14:textId="77777777" w:rsidR="0099448B" w:rsidRPr="004A5BF7" w:rsidRDefault="0099448B" w:rsidP="00F541AA">
            <w:pPr>
              <w:spacing w:before="0" w:after="0"/>
              <w:rPr>
                <w:rFonts w:cs="Arial"/>
                <w:b/>
                <w:bCs/>
                <w:color w:val="000000"/>
                <w:sz w:val="18"/>
                <w:szCs w:val="18"/>
                <w:lang w:val="en-AU"/>
              </w:rPr>
            </w:pPr>
          </w:p>
        </w:tc>
        <w:tc>
          <w:tcPr>
            <w:tcW w:w="889" w:type="pct"/>
            <w:shd w:val="clear" w:color="auto" w:fill="auto"/>
            <w:noWrap/>
            <w:vAlign w:val="center"/>
            <w:hideMark/>
          </w:tcPr>
          <w:p w14:paraId="5F22FA5F"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Barron</w:t>
            </w:r>
          </w:p>
        </w:tc>
        <w:tc>
          <w:tcPr>
            <w:tcW w:w="803" w:type="pct"/>
            <w:shd w:val="clear" w:color="auto" w:fill="auto"/>
            <w:noWrap/>
            <w:vAlign w:val="bottom"/>
            <w:hideMark/>
          </w:tcPr>
          <w:p w14:paraId="5F22FA60"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2,104</w:t>
            </w:r>
          </w:p>
        </w:tc>
        <w:tc>
          <w:tcPr>
            <w:tcW w:w="792" w:type="pct"/>
            <w:shd w:val="clear" w:color="auto" w:fill="auto"/>
            <w:noWrap/>
            <w:vAlign w:val="bottom"/>
            <w:hideMark/>
          </w:tcPr>
          <w:p w14:paraId="5F22FA61"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15,560</w:t>
            </w:r>
          </w:p>
        </w:tc>
        <w:tc>
          <w:tcPr>
            <w:tcW w:w="902" w:type="pct"/>
            <w:shd w:val="clear" w:color="auto" w:fill="auto"/>
            <w:noWrap/>
            <w:vAlign w:val="bottom"/>
            <w:hideMark/>
          </w:tcPr>
          <w:p w14:paraId="5F22FA62"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26 (in 181)</w:t>
            </w:r>
          </w:p>
        </w:tc>
        <w:tc>
          <w:tcPr>
            <w:tcW w:w="901" w:type="pct"/>
            <w:shd w:val="clear" w:color="auto" w:fill="auto"/>
            <w:noWrap/>
            <w:vAlign w:val="bottom"/>
            <w:hideMark/>
          </w:tcPr>
          <w:p w14:paraId="5F22FA63"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4 (in 181)</w:t>
            </w:r>
          </w:p>
        </w:tc>
      </w:tr>
      <w:tr w:rsidR="0099448B" w:rsidRPr="005C54B4" w14:paraId="5F22FA6B" w14:textId="77777777" w:rsidTr="00F541AA">
        <w:trPr>
          <w:trHeight w:val="20"/>
        </w:trPr>
        <w:tc>
          <w:tcPr>
            <w:tcW w:w="714" w:type="pct"/>
            <w:vMerge/>
            <w:vAlign w:val="center"/>
            <w:hideMark/>
          </w:tcPr>
          <w:p w14:paraId="5F22FA65" w14:textId="77777777" w:rsidR="0099448B" w:rsidRPr="004A5BF7" w:rsidRDefault="0099448B" w:rsidP="00F541AA">
            <w:pPr>
              <w:spacing w:before="0" w:after="0"/>
              <w:rPr>
                <w:rFonts w:cs="Arial"/>
                <w:b/>
                <w:bCs/>
                <w:color w:val="000000"/>
                <w:sz w:val="18"/>
                <w:szCs w:val="18"/>
                <w:lang w:val="en-AU"/>
              </w:rPr>
            </w:pPr>
          </w:p>
        </w:tc>
        <w:tc>
          <w:tcPr>
            <w:tcW w:w="889" w:type="pct"/>
            <w:shd w:val="clear" w:color="auto" w:fill="auto"/>
            <w:noWrap/>
            <w:vAlign w:val="center"/>
            <w:hideMark/>
          </w:tcPr>
          <w:p w14:paraId="5F22FA66"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Mulgrave</w:t>
            </w:r>
          </w:p>
        </w:tc>
        <w:tc>
          <w:tcPr>
            <w:tcW w:w="803" w:type="pct"/>
            <w:shd w:val="clear" w:color="auto" w:fill="auto"/>
            <w:noWrap/>
            <w:vAlign w:val="bottom"/>
            <w:hideMark/>
          </w:tcPr>
          <w:p w14:paraId="5F22FA67"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3,070</w:t>
            </w:r>
          </w:p>
        </w:tc>
        <w:tc>
          <w:tcPr>
            <w:tcW w:w="792" w:type="pct"/>
            <w:shd w:val="clear" w:color="auto" w:fill="auto"/>
            <w:noWrap/>
            <w:vAlign w:val="bottom"/>
            <w:hideMark/>
          </w:tcPr>
          <w:p w14:paraId="5F22FA68"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10,512</w:t>
            </w:r>
          </w:p>
        </w:tc>
        <w:tc>
          <w:tcPr>
            <w:tcW w:w="902" w:type="pct"/>
            <w:shd w:val="clear" w:color="auto" w:fill="auto"/>
            <w:noWrap/>
            <w:vAlign w:val="bottom"/>
            <w:hideMark/>
          </w:tcPr>
          <w:p w14:paraId="5F22FA69"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64 (in 181)</w:t>
            </w:r>
          </w:p>
        </w:tc>
        <w:tc>
          <w:tcPr>
            <w:tcW w:w="901" w:type="pct"/>
            <w:shd w:val="clear" w:color="auto" w:fill="auto"/>
            <w:noWrap/>
            <w:vAlign w:val="bottom"/>
            <w:hideMark/>
          </w:tcPr>
          <w:p w14:paraId="5F22FA6A"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9 (in 181)</w:t>
            </w:r>
          </w:p>
        </w:tc>
      </w:tr>
      <w:tr w:rsidR="0099448B" w:rsidRPr="005C54B4" w14:paraId="5F22FA72" w14:textId="77777777" w:rsidTr="00F541AA">
        <w:trPr>
          <w:trHeight w:val="20"/>
        </w:trPr>
        <w:tc>
          <w:tcPr>
            <w:tcW w:w="714" w:type="pct"/>
            <w:vMerge/>
            <w:vAlign w:val="center"/>
            <w:hideMark/>
          </w:tcPr>
          <w:p w14:paraId="5F22FA6C" w14:textId="77777777" w:rsidR="0099448B" w:rsidRPr="004A5BF7" w:rsidRDefault="0099448B" w:rsidP="00F541AA">
            <w:pPr>
              <w:spacing w:before="0" w:after="0"/>
              <w:rPr>
                <w:rFonts w:cs="Arial"/>
                <w:b/>
                <w:bCs/>
                <w:color w:val="000000"/>
                <w:sz w:val="18"/>
                <w:szCs w:val="18"/>
                <w:lang w:val="en-AU"/>
              </w:rPr>
            </w:pPr>
          </w:p>
        </w:tc>
        <w:tc>
          <w:tcPr>
            <w:tcW w:w="889" w:type="pct"/>
            <w:shd w:val="clear" w:color="auto" w:fill="auto"/>
            <w:noWrap/>
            <w:vAlign w:val="center"/>
            <w:hideMark/>
          </w:tcPr>
          <w:p w14:paraId="5F22FA6D"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Russell</w:t>
            </w:r>
          </w:p>
        </w:tc>
        <w:tc>
          <w:tcPr>
            <w:tcW w:w="803" w:type="pct"/>
            <w:shd w:val="clear" w:color="auto" w:fill="auto"/>
            <w:noWrap/>
            <w:vAlign w:val="bottom"/>
            <w:hideMark/>
          </w:tcPr>
          <w:p w14:paraId="5F22FA6E"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4,242</w:t>
            </w:r>
          </w:p>
        </w:tc>
        <w:tc>
          <w:tcPr>
            <w:tcW w:w="792" w:type="pct"/>
            <w:shd w:val="clear" w:color="auto" w:fill="auto"/>
            <w:noWrap/>
            <w:vAlign w:val="bottom"/>
            <w:hideMark/>
          </w:tcPr>
          <w:p w14:paraId="5F22FA6F"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17,238</w:t>
            </w:r>
          </w:p>
        </w:tc>
        <w:tc>
          <w:tcPr>
            <w:tcW w:w="902" w:type="pct"/>
            <w:shd w:val="clear" w:color="auto" w:fill="auto"/>
            <w:noWrap/>
            <w:vAlign w:val="bottom"/>
            <w:hideMark/>
          </w:tcPr>
          <w:p w14:paraId="5F22FA70"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71 (in 181)</w:t>
            </w:r>
          </w:p>
        </w:tc>
        <w:tc>
          <w:tcPr>
            <w:tcW w:w="901" w:type="pct"/>
            <w:shd w:val="clear" w:color="auto" w:fill="auto"/>
            <w:noWrap/>
            <w:vAlign w:val="bottom"/>
            <w:hideMark/>
          </w:tcPr>
          <w:p w14:paraId="5F22FA71"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9 (in 181)</w:t>
            </w:r>
          </w:p>
        </w:tc>
      </w:tr>
      <w:tr w:rsidR="0099448B" w:rsidRPr="005C54B4" w14:paraId="5F22FA79" w14:textId="77777777" w:rsidTr="00F541AA">
        <w:trPr>
          <w:trHeight w:val="20"/>
        </w:trPr>
        <w:tc>
          <w:tcPr>
            <w:tcW w:w="714" w:type="pct"/>
            <w:vMerge/>
            <w:vAlign w:val="center"/>
            <w:hideMark/>
          </w:tcPr>
          <w:p w14:paraId="5F22FA73" w14:textId="77777777" w:rsidR="0099448B" w:rsidRPr="004A5BF7" w:rsidRDefault="0099448B" w:rsidP="00F541AA">
            <w:pPr>
              <w:spacing w:before="0" w:after="0"/>
              <w:rPr>
                <w:rFonts w:cs="Arial"/>
                <w:b/>
                <w:bCs/>
                <w:color w:val="000000"/>
                <w:sz w:val="18"/>
                <w:szCs w:val="18"/>
                <w:lang w:val="en-AU"/>
              </w:rPr>
            </w:pPr>
          </w:p>
        </w:tc>
        <w:tc>
          <w:tcPr>
            <w:tcW w:w="889" w:type="pct"/>
            <w:shd w:val="clear" w:color="auto" w:fill="auto"/>
            <w:noWrap/>
            <w:vAlign w:val="center"/>
            <w:hideMark/>
          </w:tcPr>
          <w:p w14:paraId="5F22FA74"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N Johnstone</w:t>
            </w:r>
          </w:p>
        </w:tc>
        <w:tc>
          <w:tcPr>
            <w:tcW w:w="803" w:type="pct"/>
            <w:shd w:val="clear" w:color="auto" w:fill="auto"/>
            <w:noWrap/>
            <w:vAlign w:val="bottom"/>
            <w:hideMark/>
          </w:tcPr>
          <w:p w14:paraId="5F22FA75"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8,173</w:t>
            </w:r>
          </w:p>
        </w:tc>
        <w:tc>
          <w:tcPr>
            <w:tcW w:w="792" w:type="pct"/>
            <w:shd w:val="clear" w:color="auto" w:fill="auto"/>
            <w:noWrap/>
            <w:vAlign w:val="bottom"/>
            <w:hideMark/>
          </w:tcPr>
          <w:p w14:paraId="5F22FA76"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24,417</w:t>
            </w:r>
          </w:p>
        </w:tc>
        <w:tc>
          <w:tcPr>
            <w:tcW w:w="902" w:type="pct"/>
            <w:shd w:val="clear" w:color="auto" w:fill="auto"/>
            <w:noWrap/>
            <w:vAlign w:val="bottom"/>
            <w:hideMark/>
          </w:tcPr>
          <w:p w14:paraId="5F22FA77"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51 (in 181)</w:t>
            </w:r>
          </w:p>
        </w:tc>
        <w:tc>
          <w:tcPr>
            <w:tcW w:w="901" w:type="pct"/>
            <w:shd w:val="clear" w:color="auto" w:fill="auto"/>
            <w:noWrap/>
            <w:vAlign w:val="bottom"/>
            <w:hideMark/>
          </w:tcPr>
          <w:p w14:paraId="5F22FA78"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11 (in 181)</w:t>
            </w:r>
          </w:p>
        </w:tc>
      </w:tr>
      <w:tr w:rsidR="0099448B" w:rsidRPr="005C54B4" w14:paraId="5F22FA80" w14:textId="77777777" w:rsidTr="00F541AA">
        <w:trPr>
          <w:trHeight w:val="20"/>
        </w:trPr>
        <w:tc>
          <w:tcPr>
            <w:tcW w:w="714" w:type="pct"/>
            <w:vMerge/>
            <w:vAlign w:val="center"/>
            <w:hideMark/>
          </w:tcPr>
          <w:p w14:paraId="5F22FA7A" w14:textId="77777777" w:rsidR="0099448B" w:rsidRPr="004A5BF7" w:rsidRDefault="0099448B" w:rsidP="00F541AA">
            <w:pPr>
              <w:spacing w:before="0" w:after="0"/>
              <w:rPr>
                <w:rFonts w:cs="Arial"/>
                <w:b/>
                <w:bCs/>
                <w:color w:val="000000"/>
                <w:sz w:val="18"/>
                <w:szCs w:val="18"/>
                <w:lang w:val="en-AU"/>
              </w:rPr>
            </w:pPr>
          </w:p>
        </w:tc>
        <w:tc>
          <w:tcPr>
            <w:tcW w:w="889" w:type="pct"/>
            <w:shd w:val="clear" w:color="auto" w:fill="auto"/>
            <w:noWrap/>
            <w:vAlign w:val="center"/>
            <w:hideMark/>
          </w:tcPr>
          <w:p w14:paraId="5F22FA7B"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S Johnstone</w:t>
            </w:r>
          </w:p>
        </w:tc>
        <w:tc>
          <w:tcPr>
            <w:tcW w:w="803" w:type="pct"/>
            <w:shd w:val="clear" w:color="auto" w:fill="auto"/>
            <w:noWrap/>
            <w:vAlign w:val="bottom"/>
            <w:hideMark/>
          </w:tcPr>
          <w:p w14:paraId="5F22FA7C"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3,534</w:t>
            </w:r>
          </w:p>
        </w:tc>
        <w:tc>
          <w:tcPr>
            <w:tcW w:w="792" w:type="pct"/>
            <w:shd w:val="clear" w:color="auto" w:fill="auto"/>
            <w:noWrap/>
            <w:vAlign w:val="bottom"/>
            <w:hideMark/>
          </w:tcPr>
          <w:p w14:paraId="5F22FA7D"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10,589</w:t>
            </w:r>
          </w:p>
        </w:tc>
        <w:tc>
          <w:tcPr>
            <w:tcW w:w="902" w:type="pct"/>
            <w:shd w:val="clear" w:color="auto" w:fill="auto"/>
            <w:noWrap/>
            <w:vAlign w:val="bottom"/>
            <w:hideMark/>
          </w:tcPr>
          <w:p w14:paraId="5F22FA7E"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45 (in 181)</w:t>
            </w:r>
          </w:p>
        </w:tc>
        <w:tc>
          <w:tcPr>
            <w:tcW w:w="901" w:type="pct"/>
            <w:shd w:val="clear" w:color="auto" w:fill="auto"/>
            <w:noWrap/>
            <w:vAlign w:val="bottom"/>
            <w:hideMark/>
          </w:tcPr>
          <w:p w14:paraId="5F22FA7F"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6 (in 181)</w:t>
            </w:r>
          </w:p>
        </w:tc>
      </w:tr>
      <w:tr w:rsidR="0099448B" w:rsidRPr="005C54B4" w14:paraId="5F22FA87" w14:textId="77777777" w:rsidTr="00F541AA">
        <w:trPr>
          <w:trHeight w:val="20"/>
        </w:trPr>
        <w:tc>
          <w:tcPr>
            <w:tcW w:w="714" w:type="pct"/>
            <w:vMerge/>
            <w:vAlign w:val="center"/>
            <w:hideMark/>
          </w:tcPr>
          <w:p w14:paraId="5F22FA81" w14:textId="77777777" w:rsidR="0099448B" w:rsidRPr="004A5BF7" w:rsidRDefault="0099448B" w:rsidP="00F541AA">
            <w:pPr>
              <w:spacing w:before="0" w:after="0"/>
              <w:rPr>
                <w:rFonts w:cs="Arial"/>
                <w:b/>
                <w:bCs/>
                <w:color w:val="000000"/>
                <w:sz w:val="18"/>
                <w:szCs w:val="18"/>
                <w:lang w:val="en-AU"/>
              </w:rPr>
            </w:pPr>
          </w:p>
        </w:tc>
        <w:tc>
          <w:tcPr>
            <w:tcW w:w="889" w:type="pct"/>
            <w:shd w:val="clear" w:color="auto" w:fill="auto"/>
            <w:noWrap/>
            <w:vAlign w:val="center"/>
            <w:hideMark/>
          </w:tcPr>
          <w:p w14:paraId="5F22FA82"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Tully</w:t>
            </w:r>
          </w:p>
        </w:tc>
        <w:tc>
          <w:tcPr>
            <w:tcW w:w="803" w:type="pct"/>
            <w:shd w:val="clear" w:color="auto" w:fill="auto"/>
            <w:noWrap/>
            <w:vAlign w:val="bottom"/>
            <w:hideMark/>
          </w:tcPr>
          <w:p w14:paraId="5F22FA83"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13,560</w:t>
            </w:r>
          </w:p>
        </w:tc>
        <w:tc>
          <w:tcPr>
            <w:tcW w:w="792" w:type="pct"/>
            <w:shd w:val="clear" w:color="auto" w:fill="auto"/>
            <w:noWrap/>
            <w:vAlign w:val="bottom"/>
            <w:hideMark/>
          </w:tcPr>
          <w:p w14:paraId="5F22FA84"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44,087</w:t>
            </w:r>
          </w:p>
        </w:tc>
        <w:tc>
          <w:tcPr>
            <w:tcW w:w="902" w:type="pct"/>
            <w:shd w:val="clear" w:color="auto" w:fill="auto"/>
            <w:noWrap/>
            <w:vAlign w:val="bottom"/>
            <w:hideMark/>
          </w:tcPr>
          <w:p w14:paraId="5F22FA85"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57 (in 179)</w:t>
            </w:r>
          </w:p>
        </w:tc>
        <w:tc>
          <w:tcPr>
            <w:tcW w:w="901" w:type="pct"/>
            <w:shd w:val="clear" w:color="auto" w:fill="auto"/>
            <w:noWrap/>
            <w:vAlign w:val="bottom"/>
            <w:hideMark/>
          </w:tcPr>
          <w:p w14:paraId="5F22FA86"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13 (in 179)</w:t>
            </w:r>
          </w:p>
        </w:tc>
      </w:tr>
      <w:tr w:rsidR="0099448B" w:rsidRPr="005C54B4" w14:paraId="5F22FA8E" w14:textId="77777777" w:rsidTr="00F541AA">
        <w:trPr>
          <w:trHeight w:val="20"/>
        </w:trPr>
        <w:tc>
          <w:tcPr>
            <w:tcW w:w="714" w:type="pct"/>
            <w:vMerge/>
            <w:vAlign w:val="center"/>
            <w:hideMark/>
          </w:tcPr>
          <w:p w14:paraId="5F22FA88" w14:textId="77777777" w:rsidR="0099448B" w:rsidRPr="004A5BF7" w:rsidRDefault="0099448B" w:rsidP="00F541AA">
            <w:pPr>
              <w:spacing w:before="0" w:after="0"/>
              <w:rPr>
                <w:rFonts w:cs="Arial"/>
                <w:b/>
                <w:bCs/>
                <w:color w:val="000000"/>
                <w:sz w:val="18"/>
                <w:szCs w:val="18"/>
                <w:lang w:val="en-AU"/>
              </w:rPr>
            </w:pPr>
          </w:p>
        </w:tc>
        <w:tc>
          <w:tcPr>
            <w:tcW w:w="889" w:type="pct"/>
            <w:shd w:val="clear" w:color="auto" w:fill="auto"/>
            <w:noWrap/>
            <w:vAlign w:val="center"/>
            <w:hideMark/>
          </w:tcPr>
          <w:p w14:paraId="5F22FA89"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Herbert</w:t>
            </w:r>
          </w:p>
        </w:tc>
        <w:tc>
          <w:tcPr>
            <w:tcW w:w="803" w:type="pct"/>
            <w:shd w:val="clear" w:color="auto" w:fill="auto"/>
            <w:noWrap/>
            <w:vAlign w:val="bottom"/>
            <w:hideMark/>
          </w:tcPr>
          <w:p w14:paraId="5F22FA8A"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13,692</w:t>
            </w:r>
          </w:p>
        </w:tc>
        <w:tc>
          <w:tcPr>
            <w:tcW w:w="792" w:type="pct"/>
            <w:shd w:val="clear" w:color="auto" w:fill="auto"/>
            <w:noWrap/>
            <w:vAlign w:val="bottom"/>
            <w:hideMark/>
          </w:tcPr>
          <w:p w14:paraId="5F22FA8B"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82,704</w:t>
            </w:r>
          </w:p>
        </w:tc>
        <w:tc>
          <w:tcPr>
            <w:tcW w:w="902" w:type="pct"/>
            <w:shd w:val="clear" w:color="auto" w:fill="auto"/>
            <w:noWrap/>
            <w:vAlign w:val="bottom"/>
            <w:hideMark/>
          </w:tcPr>
          <w:p w14:paraId="5F22FA8C"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46 (in 181)</w:t>
            </w:r>
          </w:p>
        </w:tc>
        <w:tc>
          <w:tcPr>
            <w:tcW w:w="901" w:type="pct"/>
            <w:shd w:val="clear" w:color="auto" w:fill="auto"/>
            <w:noWrap/>
            <w:vAlign w:val="bottom"/>
            <w:hideMark/>
          </w:tcPr>
          <w:p w14:paraId="5F22FA8D"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7 (in 181)</w:t>
            </w:r>
          </w:p>
        </w:tc>
      </w:tr>
      <w:tr w:rsidR="0099448B" w:rsidRPr="005C54B4" w14:paraId="5F22FA95" w14:textId="77777777" w:rsidTr="00F541AA">
        <w:trPr>
          <w:trHeight w:val="20"/>
        </w:trPr>
        <w:tc>
          <w:tcPr>
            <w:tcW w:w="714" w:type="pct"/>
            <w:vMerge w:val="restart"/>
            <w:shd w:val="clear" w:color="auto" w:fill="auto"/>
            <w:vAlign w:val="center"/>
            <w:hideMark/>
          </w:tcPr>
          <w:p w14:paraId="5F22FA8F" w14:textId="77777777" w:rsidR="0099448B" w:rsidRPr="004A5BF7" w:rsidRDefault="0099448B" w:rsidP="00F541AA">
            <w:pPr>
              <w:spacing w:before="0" w:after="0"/>
              <w:rPr>
                <w:rFonts w:cs="Arial"/>
                <w:b/>
                <w:bCs/>
                <w:color w:val="000000"/>
                <w:sz w:val="18"/>
                <w:szCs w:val="18"/>
                <w:lang w:val="en-AU"/>
              </w:rPr>
            </w:pPr>
            <w:r w:rsidRPr="004A5BF7">
              <w:rPr>
                <w:rFonts w:cs="Arial"/>
                <w:b/>
                <w:bCs/>
                <w:color w:val="000000"/>
                <w:sz w:val="18"/>
                <w:szCs w:val="18"/>
                <w:lang w:val="en-AU"/>
              </w:rPr>
              <w:t>Burdekin</w:t>
            </w:r>
          </w:p>
        </w:tc>
        <w:tc>
          <w:tcPr>
            <w:tcW w:w="889" w:type="pct"/>
            <w:shd w:val="clear" w:color="auto" w:fill="auto"/>
            <w:noWrap/>
            <w:vAlign w:val="center"/>
            <w:hideMark/>
          </w:tcPr>
          <w:p w14:paraId="5F22FA90"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Burdekin</w:t>
            </w:r>
          </w:p>
        </w:tc>
        <w:tc>
          <w:tcPr>
            <w:tcW w:w="803" w:type="pct"/>
            <w:shd w:val="clear" w:color="auto" w:fill="auto"/>
            <w:noWrap/>
            <w:vAlign w:val="bottom"/>
            <w:hideMark/>
          </w:tcPr>
          <w:p w14:paraId="5F22FA91"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17,789</w:t>
            </w:r>
          </w:p>
        </w:tc>
        <w:tc>
          <w:tcPr>
            <w:tcW w:w="792" w:type="pct"/>
            <w:shd w:val="clear" w:color="auto" w:fill="auto"/>
            <w:noWrap/>
            <w:vAlign w:val="bottom"/>
            <w:hideMark/>
          </w:tcPr>
          <w:p w14:paraId="5F22FA92"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190,403</w:t>
            </w:r>
          </w:p>
        </w:tc>
        <w:tc>
          <w:tcPr>
            <w:tcW w:w="902" w:type="pct"/>
            <w:shd w:val="clear" w:color="auto" w:fill="auto"/>
            <w:noWrap/>
            <w:vAlign w:val="bottom"/>
            <w:hideMark/>
          </w:tcPr>
          <w:p w14:paraId="5F22FA93"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16 (in 181)</w:t>
            </w:r>
          </w:p>
        </w:tc>
        <w:tc>
          <w:tcPr>
            <w:tcW w:w="901" w:type="pct"/>
            <w:shd w:val="clear" w:color="auto" w:fill="auto"/>
            <w:noWrap/>
            <w:vAlign w:val="bottom"/>
            <w:hideMark/>
          </w:tcPr>
          <w:p w14:paraId="5F22FA94"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0 (in 181)</w:t>
            </w:r>
          </w:p>
        </w:tc>
      </w:tr>
      <w:tr w:rsidR="0099448B" w:rsidRPr="005C54B4" w14:paraId="5F22FA9C" w14:textId="77777777" w:rsidTr="00F541AA">
        <w:trPr>
          <w:trHeight w:val="20"/>
        </w:trPr>
        <w:tc>
          <w:tcPr>
            <w:tcW w:w="714" w:type="pct"/>
            <w:vMerge/>
            <w:vAlign w:val="center"/>
            <w:hideMark/>
          </w:tcPr>
          <w:p w14:paraId="5F22FA96" w14:textId="77777777" w:rsidR="0099448B" w:rsidRPr="004A5BF7" w:rsidRDefault="0099448B" w:rsidP="00F541AA">
            <w:pPr>
              <w:spacing w:before="0" w:after="0"/>
              <w:rPr>
                <w:rFonts w:cs="Arial"/>
                <w:b/>
                <w:bCs/>
                <w:color w:val="000000"/>
                <w:sz w:val="18"/>
                <w:szCs w:val="18"/>
                <w:lang w:val="en-AU"/>
              </w:rPr>
            </w:pPr>
          </w:p>
        </w:tc>
        <w:tc>
          <w:tcPr>
            <w:tcW w:w="889" w:type="pct"/>
            <w:shd w:val="clear" w:color="auto" w:fill="auto"/>
            <w:noWrap/>
            <w:vAlign w:val="center"/>
            <w:hideMark/>
          </w:tcPr>
          <w:p w14:paraId="5F22FA97"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Don</w:t>
            </w:r>
          </w:p>
        </w:tc>
        <w:tc>
          <w:tcPr>
            <w:tcW w:w="803" w:type="pct"/>
            <w:shd w:val="clear" w:color="auto" w:fill="auto"/>
            <w:noWrap/>
            <w:vAlign w:val="bottom"/>
            <w:hideMark/>
          </w:tcPr>
          <w:p w14:paraId="5F22FA98"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101</w:t>
            </w:r>
          </w:p>
        </w:tc>
        <w:tc>
          <w:tcPr>
            <w:tcW w:w="792" w:type="pct"/>
            <w:shd w:val="clear" w:color="auto" w:fill="auto"/>
            <w:noWrap/>
            <w:vAlign w:val="bottom"/>
            <w:hideMark/>
          </w:tcPr>
          <w:p w14:paraId="5F22FA99"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2,992</w:t>
            </w:r>
          </w:p>
        </w:tc>
        <w:tc>
          <w:tcPr>
            <w:tcW w:w="902" w:type="pct"/>
            <w:shd w:val="clear" w:color="auto" w:fill="auto"/>
            <w:noWrap/>
            <w:vAlign w:val="bottom"/>
            <w:hideMark/>
          </w:tcPr>
          <w:p w14:paraId="5F22FA9A"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48 (in 181)</w:t>
            </w:r>
          </w:p>
        </w:tc>
        <w:tc>
          <w:tcPr>
            <w:tcW w:w="901" w:type="pct"/>
            <w:shd w:val="clear" w:color="auto" w:fill="auto"/>
            <w:noWrap/>
            <w:vAlign w:val="bottom"/>
            <w:hideMark/>
          </w:tcPr>
          <w:p w14:paraId="5F22FA9B"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4 (in 181)</w:t>
            </w:r>
          </w:p>
        </w:tc>
      </w:tr>
      <w:tr w:rsidR="0099448B" w:rsidRPr="005C54B4" w14:paraId="5F22FAA3" w14:textId="77777777" w:rsidTr="00F541AA">
        <w:trPr>
          <w:trHeight w:val="20"/>
        </w:trPr>
        <w:tc>
          <w:tcPr>
            <w:tcW w:w="714" w:type="pct"/>
            <w:vMerge w:val="restart"/>
            <w:shd w:val="clear" w:color="auto" w:fill="auto"/>
            <w:vAlign w:val="center"/>
            <w:hideMark/>
          </w:tcPr>
          <w:p w14:paraId="5F22FA9D" w14:textId="07697826" w:rsidR="0099448B" w:rsidRPr="004A5BF7" w:rsidRDefault="0099448B" w:rsidP="00F541AA">
            <w:pPr>
              <w:spacing w:before="0" w:after="0"/>
              <w:rPr>
                <w:rFonts w:cs="Arial"/>
                <w:b/>
                <w:bCs/>
                <w:color w:val="000000"/>
                <w:sz w:val="18"/>
                <w:szCs w:val="18"/>
                <w:lang w:val="en-AU"/>
              </w:rPr>
            </w:pPr>
            <w:r w:rsidRPr="004A5BF7">
              <w:rPr>
                <w:rFonts w:cs="Arial"/>
                <w:b/>
                <w:bCs/>
                <w:color w:val="000000"/>
                <w:sz w:val="18"/>
                <w:szCs w:val="18"/>
                <w:lang w:val="en-AU"/>
              </w:rPr>
              <w:t>Mackay</w:t>
            </w:r>
            <w:r w:rsidR="005C54B4" w:rsidRPr="004A5BF7">
              <w:rPr>
                <w:rFonts w:cs="Arial"/>
                <w:b/>
                <w:bCs/>
                <w:color w:val="000000"/>
                <w:sz w:val="18"/>
                <w:szCs w:val="18"/>
                <w:lang w:val="en-AU"/>
              </w:rPr>
              <w:t xml:space="preserve"> </w:t>
            </w:r>
            <w:r w:rsidRPr="004A5BF7">
              <w:rPr>
                <w:rFonts w:cs="Arial"/>
                <w:b/>
                <w:bCs/>
                <w:color w:val="000000"/>
                <w:sz w:val="18"/>
                <w:szCs w:val="18"/>
                <w:lang w:val="en-AU"/>
              </w:rPr>
              <w:t>Whitsunday</w:t>
            </w:r>
          </w:p>
        </w:tc>
        <w:tc>
          <w:tcPr>
            <w:tcW w:w="889" w:type="pct"/>
            <w:shd w:val="clear" w:color="auto" w:fill="auto"/>
            <w:noWrap/>
            <w:vAlign w:val="center"/>
            <w:hideMark/>
          </w:tcPr>
          <w:p w14:paraId="5F22FA9E"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Proserpine*</w:t>
            </w:r>
          </w:p>
        </w:tc>
        <w:tc>
          <w:tcPr>
            <w:tcW w:w="803" w:type="pct"/>
            <w:shd w:val="clear" w:color="auto" w:fill="auto"/>
            <w:noWrap/>
            <w:vAlign w:val="bottom"/>
            <w:hideMark/>
          </w:tcPr>
          <w:p w14:paraId="5F22FA9F"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w:t>
            </w:r>
          </w:p>
        </w:tc>
        <w:tc>
          <w:tcPr>
            <w:tcW w:w="792" w:type="pct"/>
            <w:shd w:val="clear" w:color="auto" w:fill="auto"/>
            <w:noWrap/>
            <w:vAlign w:val="bottom"/>
            <w:hideMark/>
          </w:tcPr>
          <w:p w14:paraId="5F22FAA0"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w:t>
            </w:r>
          </w:p>
        </w:tc>
        <w:tc>
          <w:tcPr>
            <w:tcW w:w="902" w:type="pct"/>
            <w:shd w:val="clear" w:color="auto" w:fill="auto"/>
            <w:noWrap/>
            <w:vAlign w:val="bottom"/>
            <w:hideMark/>
          </w:tcPr>
          <w:p w14:paraId="5F22FAA1"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w:t>
            </w:r>
          </w:p>
        </w:tc>
        <w:tc>
          <w:tcPr>
            <w:tcW w:w="901" w:type="pct"/>
            <w:shd w:val="clear" w:color="auto" w:fill="auto"/>
            <w:noWrap/>
            <w:vAlign w:val="bottom"/>
            <w:hideMark/>
          </w:tcPr>
          <w:p w14:paraId="5F22FAA2"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w:t>
            </w:r>
          </w:p>
        </w:tc>
      </w:tr>
      <w:tr w:rsidR="0099448B" w:rsidRPr="005C54B4" w14:paraId="5F22FAAA" w14:textId="77777777" w:rsidTr="00F541AA">
        <w:trPr>
          <w:trHeight w:val="20"/>
        </w:trPr>
        <w:tc>
          <w:tcPr>
            <w:tcW w:w="714" w:type="pct"/>
            <w:vMerge/>
            <w:vAlign w:val="center"/>
            <w:hideMark/>
          </w:tcPr>
          <w:p w14:paraId="5F22FAA4" w14:textId="77777777" w:rsidR="0099448B" w:rsidRPr="004A5BF7" w:rsidRDefault="0099448B" w:rsidP="00F541AA">
            <w:pPr>
              <w:spacing w:before="0" w:after="0"/>
              <w:rPr>
                <w:rFonts w:cs="Arial"/>
                <w:b/>
                <w:bCs/>
                <w:color w:val="000000"/>
                <w:sz w:val="18"/>
                <w:szCs w:val="18"/>
                <w:lang w:val="en-AU"/>
              </w:rPr>
            </w:pPr>
          </w:p>
        </w:tc>
        <w:tc>
          <w:tcPr>
            <w:tcW w:w="889" w:type="pct"/>
            <w:shd w:val="clear" w:color="auto" w:fill="auto"/>
            <w:noWrap/>
            <w:vAlign w:val="center"/>
            <w:hideMark/>
          </w:tcPr>
          <w:p w14:paraId="5F22FAA5"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Oconnell</w:t>
            </w:r>
          </w:p>
        </w:tc>
        <w:tc>
          <w:tcPr>
            <w:tcW w:w="803" w:type="pct"/>
            <w:shd w:val="clear" w:color="auto" w:fill="auto"/>
            <w:noWrap/>
            <w:vAlign w:val="bottom"/>
            <w:hideMark/>
          </w:tcPr>
          <w:p w14:paraId="5F22FAA6"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428</w:t>
            </w:r>
          </w:p>
        </w:tc>
        <w:tc>
          <w:tcPr>
            <w:tcW w:w="792" w:type="pct"/>
            <w:shd w:val="clear" w:color="auto" w:fill="auto"/>
            <w:noWrap/>
            <w:vAlign w:val="bottom"/>
            <w:hideMark/>
          </w:tcPr>
          <w:p w14:paraId="5F22FAA7"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3,876</w:t>
            </w:r>
          </w:p>
        </w:tc>
        <w:tc>
          <w:tcPr>
            <w:tcW w:w="902" w:type="pct"/>
            <w:shd w:val="clear" w:color="auto" w:fill="auto"/>
            <w:noWrap/>
            <w:vAlign w:val="bottom"/>
            <w:hideMark/>
          </w:tcPr>
          <w:p w14:paraId="5F22FAA8"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29 (in 181)</w:t>
            </w:r>
          </w:p>
        </w:tc>
        <w:tc>
          <w:tcPr>
            <w:tcW w:w="901" w:type="pct"/>
            <w:shd w:val="clear" w:color="auto" w:fill="auto"/>
            <w:noWrap/>
            <w:vAlign w:val="bottom"/>
            <w:hideMark/>
          </w:tcPr>
          <w:p w14:paraId="5F22FAA9"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6 (in 181)</w:t>
            </w:r>
          </w:p>
        </w:tc>
      </w:tr>
      <w:tr w:rsidR="0099448B" w:rsidRPr="005C54B4" w14:paraId="5F22FAB1" w14:textId="77777777" w:rsidTr="00F541AA">
        <w:trPr>
          <w:trHeight w:val="20"/>
        </w:trPr>
        <w:tc>
          <w:tcPr>
            <w:tcW w:w="714" w:type="pct"/>
            <w:vMerge/>
            <w:vAlign w:val="center"/>
            <w:hideMark/>
          </w:tcPr>
          <w:p w14:paraId="5F22FAAB" w14:textId="77777777" w:rsidR="0099448B" w:rsidRPr="004A5BF7" w:rsidRDefault="0099448B" w:rsidP="00F541AA">
            <w:pPr>
              <w:spacing w:before="0" w:after="0"/>
              <w:rPr>
                <w:rFonts w:cs="Arial"/>
                <w:b/>
                <w:bCs/>
                <w:color w:val="000000"/>
                <w:sz w:val="18"/>
                <w:szCs w:val="18"/>
                <w:lang w:val="en-AU"/>
              </w:rPr>
            </w:pPr>
          </w:p>
        </w:tc>
        <w:tc>
          <w:tcPr>
            <w:tcW w:w="889" w:type="pct"/>
            <w:shd w:val="clear" w:color="auto" w:fill="auto"/>
            <w:noWrap/>
            <w:vAlign w:val="center"/>
            <w:hideMark/>
          </w:tcPr>
          <w:p w14:paraId="5F22FAAC"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Pioneer</w:t>
            </w:r>
          </w:p>
        </w:tc>
        <w:tc>
          <w:tcPr>
            <w:tcW w:w="803" w:type="pct"/>
            <w:shd w:val="clear" w:color="auto" w:fill="auto"/>
            <w:noWrap/>
            <w:vAlign w:val="bottom"/>
            <w:hideMark/>
          </w:tcPr>
          <w:p w14:paraId="5F22FAAD"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1,288</w:t>
            </w:r>
          </w:p>
        </w:tc>
        <w:tc>
          <w:tcPr>
            <w:tcW w:w="792" w:type="pct"/>
            <w:shd w:val="clear" w:color="auto" w:fill="auto"/>
            <w:noWrap/>
            <w:vAlign w:val="bottom"/>
            <w:hideMark/>
          </w:tcPr>
          <w:p w14:paraId="5F22FAAE"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11,393</w:t>
            </w:r>
          </w:p>
        </w:tc>
        <w:tc>
          <w:tcPr>
            <w:tcW w:w="902" w:type="pct"/>
            <w:shd w:val="clear" w:color="auto" w:fill="auto"/>
            <w:noWrap/>
            <w:vAlign w:val="bottom"/>
            <w:hideMark/>
          </w:tcPr>
          <w:p w14:paraId="5F22FAAF"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83 (in 181)</w:t>
            </w:r>
          </w:p>
        </w:tc>
        <w:tc>
          <w:tcPr>
            <w:tcW w:w="901" w:type="pct"/>
            <w:shd w:val="clear" w:color="auto" w:fill="auto"/>
            <w:noWrap/>
            <w:vAlign w:val="bottom"/>
            <w:hideMark/>
          </w:tcPr>
          <w:p w14:paraId="5F22FAB0"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10 (in 181)</w:t>
            </w:r>
          </w:p>
        </w:tc>
      </w:tr>
      <w:tr w:rsidR="0099448B" w:rsidRPr="005C54B4" w14:paraId="5F22FAB8" w14:textId="77777777" w:rsidTr="00F541AA">
        <w:trPr>
          <w:trHeight w:val="20"/>
        </w:trPr>
        <w:tc>
          <w:tcPr>
            <w:tcW w:w="714" w:type="pct"/>
            <w:vMerge/>
            <w:vAlign w:val="center"/>
            <w:hideMark/>
          </w:tcPr>
          <w:p w14:paraId="5F22FAB2" w14:textId="77777777" w:rsidR="0099448B" w:rsidRPr="004A5BF7" w:rsidRDefault="0099448B" w:rsidP="00F541AA">
            <w:pPr>
              <w:spacing w:before="0" w:after="0"/>
              <w:rPr>
                <w:rFonts w:cs="Arial"/>
                <w:b/>
                <w:bCs/>
                <w:color w:val="000000"/>
                <w:sz w:val="18"/>
                <w:szCs w:val="18"/>
                <w:lang w:val="en-AU"/>
              </w:rPr>
            </w:pPr>
          </w:p>
        </w:tc>
        <w:tc>
          <w:tcPr>
            <w:tcW w:w="889" w:type="pct"/>
            <w:shd w:val="clear" w:color="auto" w:fill="auto"/>
            <w:noWrap/>
            <w:vAlign w:val="center"/>
            <w:hideMark/>
          </w:tcPr>
          <w:p w14:paraId="5F22FAB3"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Sandy</w:t>
            </w:r>
          </w:p>
        </w:tc>
        <w:tc>
          <w:tcPr>
            <w:tcW w:w="803" w:type="pct"/>
            <w:shd w:val="clear" w:color="auto" w:fill="auto"/>
            <w:noWrap/>
            <w:vAlign w:val="bottom"/>
            <w:hideMark/>
          </w:tcPr>
          <w:p w14:paraId="5F22FAB4"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163</w:t>
            </w:r>
          </w:p>
        </w:tc>
        <w:tc>
          <w:tcPr>
            <w:tcW w:w="792" w:type="pct"/>
            <w:shd w:val="clear" w:color="auto" w:fill="auto"/>
            <w:noWrap/>
            <w:vAlign w:val="bottom"/>
            <w:hideMark/>
          </w:tcPr>
          <w:p w14:paraId="5F22FAB5"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3,526</w:t>
            </w:r>
          </w:p>
        </w:tc>
        <w:tc>
          <w:tcPr>
            <w:tcW w:w="902" w:type="pct"/>
            <w:shd w:val="clear" w:color="auto" w:fill="auto"/>
            <w:noWrap/>
            <w:vAlign w:val="bottom"/>
            <w:hideMark/>
          </w:tcPr>
          <w:p w14:paraId="5F22FAB6"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55 (in 181)</w:t>
            </w:r>
          </w:p>
        </w:tc>
        <w:tc>
          <w:tcPr>
            <w:tcW w:w="901" w:type="pct"/>
            <w:shd w:val="clear" w:color="auto" w:fill="auto"/>
            <w:noWrap/>
            <w:vAlign w:val="bottom"/>
            <w:hideMark/>
          </w:tcPr>
          <w:p w14:paraId="5F22FAB7"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6 (in 181)</w:t>
            </w:r>
          </w:p>
        </w:tc>
      </w:tr>
      <w:tr w:rsidR="0099448B" w:rsidRPr="005C54B4" w14:paraId="5F22FABF" w14:textId="77777777" w:rsidTr="00F541AA">
        <w:trPr>
          <w:trHeight w:val="20"/>
        </w:trPr>
        <w:tc>
          <w:tcPr>
            <w:tcW w:w="714" w:type="pct"/>
            <w:vMerge/>
            <w:vAlign w:val="center"/>
            <w:hideMark/>
          </w:tcPr>
          <w:p w14:paraId="5F22FAB9" w14:textId="77777777" w:rsidR="0099448B" w:rsidRPr="004A5BF7" w:rsidRDefault="0099448B" w:rsidP="00F541AA">
            <w:pPr>
              <w:spacing w:before="0" w:after="0"/>
              <w:rPr>
                <w:rFonts w:cs="Arial"/>
                <w:b/>
                <w:bCs/>
                <w:color w:val="000000"/>
                <w:sz w:val="18"/>
                <w:szCs w:val="18"/>
                <w:lang w:val="en-AU"/>
              </w:rPr>
            </w:pPr>
          </w:p>
        </w:tc>
        <w:tc>
          <w:tcPr>
            <w:tcW w:w="889" w:type="pct"/>
            <w:shd w:val="clear" w:color="auto" w:fill="auto"/>
            <w:noWrap/>
            <w:vAlign w:val="center"/>
            <w:hideMark/>
          </w:tcPr>
          <w:p w14:paraId="5F22FABA"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Carmila</w:t>
            </w:r>
          </w:p>
        </w:tc>
        <w:tc>
          <w:tcPr>
            <w:tcW w:w="803" w:type="pct"/>
            <w:shd w:val="clear" w:color="auto" w:fill="auto"/>
            <w:noWrap/>
            <w:vAlign w:val="bottom"/>
            <w:hideMark/>
          </w:tcPr>
          <w:p w14:paraId="5F22FABB"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84</w:t>
            </w:r>
          </w:p>
        </w:tc>
        <w:tc>
          <w:tcPr>
            <w:tcW w:w="792" w:type="pct"/>
            <w:shd w:val="clear" w:color="auto" w:fill="auto"/>
            <w:noWrap/>
            <w:vAlign w:val="bottom"/>
            <w:hideMark/>
          </w:tcPr>
          <w:p w14:paraId="5F22FABC"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857</w:t>
            </w:r>
          </w:p>
        </w:tc>
        <w:tc>
          <w:tcPr>
            <w:tcW w:w="902" w:type="pct"/>
            <w:shd w:val="clear" w:color="auto" w:fill="auto"/>
            <w:noWrap/>
            <w:vAlign w:val="bottom"/>
            <w:hideMark/>
          </w:tcPr>
          <w:p w14:paraId="5F22FABD"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31 (in 181)</w:t>
            </w:r>
          </w:p>
        </w:tc>
        <w:tc>
          <w:tcPr>
            <w:tcW w:w="901" w:type="pct"/>
            <w:shd w:val="clear" w:color="auto" w:fill="auto"/>
            <w:noWrap/>
            <w:vAlign w:val="bottom"/>
            <w:hideMark/>
          </w:tcPr>
          <w:p w14:paraId="5F22FABE"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4 (in 181)</w:t>
            </w:r>
          </w:p>
        </w:tc>
      </w:tr>
      <w:tr w:rsidR="0099448B" w:rsidRPr="005C54B4" w14:paraId="5F22FAC6" w14:textId="77777777" w:rsidTr="00F541AA">
        <w:trPr>
          <w:trHeight w:val="20"/>
        </w:trPr>
        <w:tc>
          <w:tcPr>
            <w:tcW w:w="714" w:type="pct"/>
            <w:shd w:val="clear" w:color="auto" w:fill="auto"/>
            <w:vAlign w:val="center"/>
            <w:hideMark/>
          </w:tcPr>
          <w:p w14:paraId="5F22FAC0" w14:textId="77777777" w:rsidR="0099448B" w:rsidRPr="004A5BF7" w:rsidRDefault="0099448B" w:rsidP="00F541AA">
            <w:pPr>
              <w:spacing w:before="0" w:after="0"/>
              <w:rPr>
                <w:rFonts w:cs="Arial"/>
                <w:b/>
                <w:bCs/>
                <w:color w:val="000000"/>
                <w:sz w:val="18"/>
                <w:szCs w:val="18"/>
                <w:lang w:val="en-AU"/>
              </w:rPr>
            </w:pPr>
            <w:r w:rsidRPr="004A5BF7">
              <w:rPr>
                <w:rFonts w:cs="Arial"/>
                <w:b/>
                <w:bCs/>
                <w:color w:val="000000"/>
                <w:sz w:val="18"/>
                <w:szCs w:val="18"/>
                <w:lang w:val="en-AU"/>
              </w:rPr>
              <w:t>Fitzroy</w:t>
            </w:r>
          </w:p>
        </w:tc>
        <w:tc>
          <w:tcPr>
            <w:tcW w:w="889" w:type="pct"/>
            <w:shd w:val="clear" w:color="auto" w:fill="auto"/>
            <w:noWrap/>
            <w:vAlign w:val="center"/>
            <w:hideMark/>
          </w:tcPr>
          <w:p w14:paraId="5F22FAC1"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Fitzroy</w:t>
            </w:r>
          </w:p>
        </w:tc>
        <w:tc>
          <w:tcPr>
            <w:tcW w:w="803" w:type="pct"/>
            <w:shd w:val="clear" w:color="auto" w:fill="auto"/>
            <w:noWrap/>
            <w:vAlign w:val="bottom"/>
            <w:hideMark/>
          </w:tcPr>
          <w:p w14:paraId="5F22FAC2"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9,219</w:t>
            </w:r>
          </w:p>
        </w:tc>
        <w:tc>
          <w:tcPr>
            <w:tcW w:w="792" w:type="pct"/>
            <w:shd w:val="clear" w:color="auto" w:fill="auto"/>
            <w:noWrap/>
            <w:vAlign w:val="bottom"/>
            <w:hideMark/>
          </w:tcPr>
          <w:p w14:paraId="5F22FAC3"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133,340</w:t>
            </w:r>
          </w:p>
        </w:tc>
        <w:tc>
          <w:tcPr>
            <w:tcW w:w="902" w:type="pct"/>
            <w:shd w:val="clear" w:color="auto" w:fill="auto"/>
            <w:noWrap/>
            <w:vAlign w:val="bottom"/>
            <w:hideMark/>
          </w:tcPr>
          <w:p w14:paraId="5F22FAC4"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41 (in 181)</w:t>
            </w:r>
          </w:p>
        </w:tc>
        <w:tc>
          <w:tcPr>
            <w:tcW w:w="901" w:type="pct"/>
            <w:shd w:val="clear" w:color="auto" w:fill="auto"/>
            <w:noWrap/>
            <w:vAlign w:val="bottom"/>
            <w:hideMark/>
          </w:tcPr>
          <w:p w14:paraId="5F22FAC5"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0 (in 181)</w:t>
            </w:r>
          </w:p>
        </w:tc>
      </w:tr>
      <w:tr w:rsidR="0099448B" w:rsidRPr="005C54B4" w14:paraId="5F22FACD" w14:textId="77777777" w:rsidTr="00F541AA">
        <w:trPr>
          <w:trHeight w:val="20"/>
        </w:trPr>
        <w:tc>
          <w:tcPr>
            <w:tcW w:w="714" w:type="pct"/>
            <w:vMerge w:val="restart"/>
            <w:shd w:val="clear" w:color="auto" w:fill="auto"/>
            <w:vAlign w:val="center"/>
            <w:hideMark/>
          </w:tcPr>
          <w:p w14:paraId="5F22FAC7" w14:textId="7432FFAD" w:rsidR="0099448B" w:rsidRPr="004A5BF7" w:rsidRDefault="0099448B" w:rsidP="00F541AA">
            <w:pPr>
              <w:spacing w:before="0" w:after="0"/>
              <w:rPr>
                <w:rFonts w:cs="Arial"/>
                <w:b/>
                <w:bCs/>
                <w:color w:val="000000"/>
                <w:sz w:val="18"/>
                <w:szCs w:val="18"/>
                <w:lang w:val="en-AU"/>
              </w:rPr>
            </w:pPr>
            <w:r w:rsidRPr="004A5BF7">
              <w:rPr>
                <w:rFonts w:cs="Arial"/>
                <w:b/>
                <w:bCs/>
                <w:color w:val="000000"/>
                <w:sz w:val="18"/>
                <w:szCs w:val="18"/>
                <w:lang w:val="en-AU"/>
              </w:rPr>
              <w:t>Burnett</w:t>
            </w:r>
            <w:r w:rsidR="005C54B4" w:rsidRPr="004A5BF7">
              <w:rPr>
                <w:rFonts w:cs="Arial"/>
                <w:b/>
                <w:bCs/>
                <w:color w:val="000000"/>
                <w:sz w:val="18"/>
                <w:szCs w:val="18"/>
                <w:lang w:val="en-AU"/>
              </w:rPr>
              <w:t xml:space="preserve"> </w:t>
            </w:r>
            <w:r w:rsidRPr="004A5BF7">
              <w:rPr>
                <w:rFonts w:cs="Arial"/>
                <w:b/>
                <w:bCs/>
                <w:color w:val="000000"/>
                <w:sz w:val="18"/>
                <w:szCs w:val="18"/>
                <w:lang w:val="en-AU"/>
              </w:rPr>
              <w:t>Mary</w:t>
            </w:r>
          </w:p>
        </w:tc>
        <w:tc>
          <w:tcPr>
            <w:tcW w:w="889" w:type="pct"/>
            <w:shd w:val="clear" w:color="auto" w:fill="auto"/>
            <w:noWrap/>
            <w:vAlign w:val="center"/>
            <w:hideMark/>
          </w:tcPr>
          <w:p w14:paraId="5F22FAC8"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Burnett</w:t>
            </w:r>
          </w:p>
        </w:tc>
        <w:tc>
          <w:tcPr>
            <w:tcW w:w="803" w:type="pct"/>
            <w:shd w:val="clear" w:color="auto" w:fill="auto"/>
            <w:noWrap/>
            <w:vAlign w:val="bottom"/>
            <w:hideMark/>
          </w:tcPr>
          <w:p w14:paraId="5F22FAC9"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786</w:t>
            </w:r>
          </w:p>
        </w:tc>
        <w:tc>
          <w:tcPr>
            <w:tcW w:w="792" w:type="pct"/>
            <w:shd w:val="clear" w:color="auto" w:fill="auto"/>
            <w:noWrap/>
            <w:vAlign w:val="bottom"/>
            <w:hideMark/>
          </w:tcPr>
          <w:p w14:paraId="5F22FACA"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5,326</w:t>
            </w:r>
          </w:p>
        </w:tc>
        <w:tc>
          <w:tcPr>
            <w:tcW w:w="902" w:type="pct"/>
            <w:shd w:val="clear" w:color="auto" w:fill="auto"/>
            <w:noWrap/>
            <w:vAlign w:val="bottom"/>
            <w:hideMark/>
          </w:tcPr>
          <w:p w14:paraId="5F22FACB"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81 (in 181)</w:t>
            </w:r>
          </w:p>
        </w:tc>
        <w:tc>
          <w:tcPr>
            <w:tcW w:w="901" w:type="pct"/>
            <w:shd w:val="clear" w:color="auto" w:fill="auto"/>
            <w:noWrap/>
            <w:vAlign w:val="bottom"/>
            <w:hideMark/>
          </w:tcPr>
          <w:p w14:paraId="5F22FACC"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0 (in 181)</w:t>
            </w:r>
          </w:p>
        </w:tc>
      </w:tr>
      <w:tr w:rsidR="0099448B" w:rsidRPr="005C54B4" w14:paraId="5F22FAD4" w14:textId="77777777" w:rsidTr="00F541AA">
        <w:trPr>
          <w:trHeight w:val="20"/>
        </w:trPr>
        <w:tc>
          <w:tcPr>
            <w:tcW w:w="714" w:type="pct"/>
            <w:vMerge/>
            <w:vAlign w:val="center"/>
            <w:hideMark/>
          </w:tcPr>
          <w:p w14:paraId="5F22FACE" w14:textId="77777777" w:rsidR="0099448B" w:rsidRPr="004A5BF7" w:rsidRDefault="0099448B" w:rsidP="00F541AA">
            <w:pPr>
              <w:spacing w:before="0" w:after="0"/>
              <w:rPr>
                <w:rFonts w:cs="Arial"/>
                <w:b/>
                <w:bCs/>
                <w:color w:val="000000"/>
                <w:sz w:val="18"/>
                <w:szCs w:val="18"/>
                <w:lang w:val="en-AU"/>
              </w:rPr>
            </w:pPr>
          </w:p>
        </w:tc>
        <w:tc>
          <w:tcPr>
            <w:tcW w:w="889" w:type="pct"/>
            <w:shd w:val="clear" w:color="auto" w:fill="auto"/>
            <w:noWrap/>
            <w:vAlign w:val="center"/>
            <w:hideMark/>
          </w:tcPr>
          <w:p w14:paraId="5F22FACF"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Mary</w:t>
            </w:r>
          </w:p>
        </w:tc>
        <w:tc>
          <w:tcPr>
            <w:tcW w:w="803" w:type="pct"/>
            <w:shd w:val="clear" w:color="auto" w:fill="auto"/>
            <w:noWrap/>
            <w:vAlign w:val="bottom"/>
            <w:hideMark/>
          </w:tcPr>
          <w:p w14:paraId="5F22FAD0"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1,746</w:t>
            </w:r>
          </w:p>
        </w:tc>
        <w:tc>
          <w:tcPr>
            <w:tcW w:w="792" w:type="pct"/>
            <w:shd w:val="clear" w:color="auto" w:fill="auto"/>
            <w:noWrap/>
            <w:vAlign w:val="bottom"/>
            <w:hideMark/>
          </w:tcPr>
          <w:p w14:paraId="5F22FAD1" w14:textId="77777777" w:rsidR="0099448B" w:rsidRPr="004A5BF7" w:rsidRDefault="0099448B" w:rsidP="00F541AA">
            <w:pPr>
              <w:spacing w:before="0" w:after="0"/>
              <w:jc w:val="right"/>
              <w:rPr>
                <w:rFonts w:cs="Arial"/>
                <w:color w:val="000000"/>
                <w:sz w:val="18"/>
                <w:szCs w:val="18"/>
                <w:lang w:val="en-AU"/>
              </w:rPr>
            </w:pPr>
            <w:r w:rsidRPr="004A5BF7">
              <w:rPr>
                <w:rFonts w:cs="Arial"/>
                <w:color w:val="000000"/>
                <w:sz w:val="18"/>
                <w:szCs w:val="18"/>
                <w:lang w:val="en-AU"/>
              </w:rPr>
              <w:t>14,284</w:t>
            </w:r>
          </w:p>
        </w:tc>
        <w:tc>
          <w:tcPr>
            <w:tcW w:w="902" w:type="pct"/>
            <w:shd w:val="clear" w:color="auto" w:fill="auto"/>
            <w:noWrap/>
            <w:vAlign w:val="bottom"/>
            <w:hideMark/>
          </w:tcPr>
          <w:p w14:paraId="5F22FAD2"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25 (in 181)</w:t>
            </w:r>
          </w:p>
        </w:tc>
        <w:tc>
          <w:tcPr>
            <w:tcW w:w="901" w:type="pct"/>
            <w:shd w:val="clear" w:color="auto" w:fill="auto"/>
            <w:noWrap/>
            <w:vAlign w:val="bottom"/>
            <w:hideMark/>
          </w:tcPr>
          <w:p w14:paraId="5F22FAD3" w14:textId="77777777" w:rsidR="0099448B" w:rsidRPr="004A5BF7" w:rsidRDefault="0099448B" w:rsidP="00F541AA">
            <w:pPr>
              <w:spacing w:before="0" w:after="0"/>
              <w:rPr>
                <w:rFonts w:cs="Arial"/>
                <w:color w:val="000000"/>
                <w:sz w:val="18"/>
                <w:szCs w:val="18"/>
                <w:lang w:val="en-AU"/>
              </w:rPr>
            </w:pPr>
            <w:r w:rsidRPr="004A5BF7">
              <w:rPr>
                <w:rFonts w:cs="Arial"/>
                <w:color w:val="000000"/>
                <w:sz w:val="18"/>
                <w:szCs w:val="18"/>
                <w:lang w:val="en-AU"/>
              </w:rPr>
              <w:t>7 (in 181)</w:t>
            </w:r>
          </w:p>
        </w:tc>
      </w:tr>
    </w:tbl>
    <w:p w14:paraId="5F22FAD5" w14:textId="77777777" w:rsidR="0099448B" w:rsidRPr="008467AA" w:rsidRDefault="0099448B" w:rsidP="0099448B">
      <w:pPr>
        <w:pBdr>
          <w:top w:val="single" w:sz="4" w:space="1" w:color="auto"/>
          <w:left w:val="single" w:sz="4" w:space="4" w:color="auto"/>
          <w:bottom w:val="single" w:sz="4" w:space="1" w:color="auto"/>
          <w:right w:val="single" w:sz="4" w:space="4" w:color="auto"/>
        </w:pBdr>
        <w:spacing w:before="0" w:after="0"/>
        <w:rPr>
          <w:b/>
          <w:sz w:val="16"/>
          <w:lang w:val="en-AU"/>
        </w:rPr>
      </w:pPr>
      <w:r w:rsidRPr="008467AA">
        <w:rPr>
          <w:sz w:val="18"/>
          <w:lang w:val="en-AU"/>
        </w:rPr>
        <w:t xml:space="preserve">* </w:t>
      </w:r>
      <w:r w:rsidRPr="008467AA">
        <w:rPr>
          <w:b/>
          <w:sz w:val="16"/>
          <w:lang w:val="en-AU"/>
        </w:rPr>
        <w:t xml:space="preserve">Notes about the river discharge data presented in </w:t>
      </w:r>
      <w:r>
        <w:rPr>
          <w:b/>
          <w:sz w:val="16"/>
          <w:lang w:val="en-AU"/>
        </w:rPr>
        <w:t xml:space="preserve">Table </w:t>
      </w:r>
      <w:r w:rsidR="00092A52">
        <w:rPr>
          <w:b/>
          <w:sz w:val="16"/>
          <w:lang w:val="en-AU"/>
        </w:rPr>
        <w:t>A2-2</w:t>
      </w:r>
    </w:p>
    <w:p w14:paraId="5F22FAD6" w14:textId="0E3C488F" w:rsidR="0099448B" w:rsidRDefault="0099448B" w:rsidP="0099448B">
      <w:pPr>
        <w:pBdr>
          <w:top w:val="single" w:sz="4" w:space="1" w:color="auto"/>
          <w:left w:val="single" w:sz="4" w:space="4" w:color="auto"/>
          <w:bottom w:val="single" w:sz="4" w:space="1" w:color="auto"/>
          <w:right w:val="single" w:sz="4" w:space="4" w:color="auto"/>
        </w:pBdr>
        <w:spacing w:before="0" w:after="0"/>
        <w:rPr>
          <w:sz w:val="16"/>
          <w:lang w:val="en-AU"/>
        </w:rPr>
      </w:pPr>
      <w:r w:rsidRPr="008467AA">
        <w:rPr>
          <w:sz w:val="16"/>
          <w:lang w:val="en-AU"/>
        </w:rPr>
        <w:t>Values were obtained from DNRM (</w:t>
      </w:r>
      <w:hyperlink r:id="rId402" w:history="1">
        <w:r w:rsidRPr="00CD6AAC">
          <w:rPr>
            <w:rStyle w:val="Hyperlink"/>
            <w:sz w:val="16"/>
            <w:lang w:val="en-AU"/>
          </w:rPr>
          <w:t>http://watermonitoring.dnrm.qld.gov.au/host.htm</w:t>
        </w:r>
      </w:hyperlink>
      <w:r w:rsidRPr="008467AA">
        <w:rPr>
          <w:sz w:val="16"/>
          <w:lang w:val="en-AU"/>
        </w:rPr>
        <w:t>)</w:t>
      </w:r>
      <w:r>
        <w:rPr>
          <w:sz w:val="16"/>
          <w:lang w:val="en-AU"/>
        </w:rPr>
        <w:t xml:space="preserve">; </w:t>
      </w:r>
    </w:p>
    <w:p w14:paraId="5F22FAD7" w14:textId="638780B0" w:rsidR="0099448B" w:rsidRPr="008467AA" w:rsidRDefault="0099448B" w:rsidP="0099448B">
      <w:pPr>
        <w:pBdr>
          <w:top w:val="single" w:sz="4" w:space="1" w:color="auto"/>
          <w:left w:val="single" w:sz="4" w:space="4" w:color="auto"/>
          <w:bottom w:val="single" w:sz="4" w:space="1" w:color="auto"/>
          <w:right w:val="single" w:sz="4" w:space="4" w:color="auto"/>
        </w:pBdr>
        <w:spacing w:before="0" w:after="0"/>
        <w:rPr>
          <w:sz w:val="16"/>
          <w:lang w:val="en-AU"/>
        </w:rPr>
      </w:pPr>
      <w:r w:rsidRPr="008467AA">
        <w:rPr>
          <w:sz w:val="16"/>
          <w:lang w:val="en-AU"/>
        </w:rPr>
        <w:t>Values are in Mega</w:t>
      </w:r>
      <w:r w:rsidR="00C951C9">
        <w:rPr>
          <w:sz w:val="16"/>
          <w:lang w:val="en-AU"/>
        </w:rPr>
        <w:t>lit</w:t>
      </w:r>
      <w:r w:rsidR="005C54B4">
        <w:rPr>
          <w:sz w:val="16"/>
          <w:lang w:val="en-AU"/>
        </w:rPr>
        <w:t>re</w:t>
      </w:r>
      <w:r w:rsidR="00C951C9">
        <w:rPr>
          <w:sz w:val="16"/>
          <w:lang w:val="en-AU"/>
        </w:rPr>
        <w:t xml:space="preserve">s per wet season (i.e., 1 </w:t>
      </w:r>
      <w:r w:rsidRPr="008467AA">
        <w:rPr>
          <w:sz w:val="16"/>
          <w:lang w:val="en-AU"/>
        </w:rPr>
        <w:t>Nov</w:t>
      </w:r>
      <w:r w:rsidR="00C951C9">
        <w:rPr>
          <w:sz w:val="16"/>
          <w:lang w:val="en-AU"/>
        </w:rPr>
        <w:t>ember</w:t>
      </w:r>
      <w:r w:rsidRPr="008467AA">
        <w:rPr>
          <w:sz w:val="16"/>
          <w:lang w:val="en-AU"/>
        </w:rPr>
        <w:t xml:space="preserve"> to 30</w:t>
      </w:r>
      <w:r w:rsidR="00C951C9">
        <w:rPr>
          <w:sz w:val="16"/>
          <w:lang w:val="en-AU"/>
        </w:rPr>
        <w:t xml:space="preserve"> </w:t>
      </w:r>
      <w:r w:rsidRPr="008467AA">
        <w:rPr>
          <w:sz w:val="16"/>
          <w:lang w:val="en-AU"/>
        </w:rPr>
        <w:t>Apr</w:t>
      </w:r>
      <w:r w:rsidR="00C951C9">
        <w:rPr>
          <w:sz w:val="16"/>
          <w:lang w:val="en-AU"/>
        </w:rPr>
        <w:t>il</w:t>
      </w:r>
      <w:r w:rsidRPr="008467AA">
        <w:rPr>
          <w:sz w:val="16"/>
          <w:lang w:val="en-AU"/>
        </w:rPr>
        <w:t>) for each river gauge station.</w:t>
      </w:r>
    </w:p>
    <w:p w14:paraId="5F22FAD8" w14:textId="77777777" w:rsidR="0099448B" w:rsidRPr="008467AA" w:rsidRDefault="0099448B" w:rsidP="0099448B">
      <w:pPr>
        <w:pBdr>
          <w:top w:val="single" w:sz="4" w:space="1" w:color="auto"/>
          <w:left w:val="single" w:sz="4" w:space="4" w:color="auto"/>
          <w:bottom w:val="single" w:sz="4" w:space="1" w:color="auto"/>
          <w:right w:val="single" w:sz="4" w:space="4" w:color="auto"/>
        </w:pBdr>
        <w:spacing w:before="0" w:after="0"/>
        <w:rPr>
          <w:sz w:val="16"/>
          <w:lang w:val="en-AU"/>
        </w:rPr>
      </w:pPr>
      <w:r w:rsidRPr="008467AA">
        <w:rPr>
          <w:sz w:val="16"/>
          <w:lang w:val="en-AU"/>
        </w:rPr>
        <w:t>Kalpower Crossing station (Normanby River) starts on the 9</w:t>
      </w:r>
      <w:r w:rsidRPr="008467AA">
        <w:rPr>
          <w:sz w:val="16"/>
          <w:vertAlign w:val="superscript"/>
          <w:lang w:val="en-AU"/>
        </w:rPr>
        <w:t>th</w:t>
      </w:r>
      <w:r w:rsidRPr="008467AA">
        <w:rPr>
          <w:sz w:val="16"/>
          <w:lang w:val="en-AU"/>
        </w:rPr>
        <w:t xml:space="preserve"> of December, 2005, so no LT median is presented for this river.</w:t>
      </w:r>
      <w:r>
        <w:rPr>
          <w:sz w:val="16"/>
          <w:lang w:val="en-AU"/>
        </w:rPr>
        <w:t xml:space="preserve"> </w:t>
      </w:r>
    </w:p>
    <w:p w14:paraId="5F22FAD9" w14:textId="77777777" w:rsidR="0099448B" w:rsidRDefault="0099448B" w:rsidP="0099448B">
      <w:pPr>
        <w:pBdr>
          <w:top w:val="single" w:sz="4" w:space="1" w:color="auto"/>
          <w:left w:val="single" w:sz="4" w:space="4" w:color="auto"/>
          <w:bottom w:val="single" w:sz="4" w:space="1" w:color="auto"/>
          <w:right w:val="single" w:sz="4" w:space="4" w:color="auto"/>
        </w:pBdr>
        <w:spacing w:before="0" w:after="0"/>
        <w:rPr>
          <w:sz w:val="16"/>
          <w:lang w:val="en-AU"/>
        </w:rPr>
      </w:pPr>
      <w:r w:rsidRPr="008467AA">
        <w:rPr>
          <w:sz w:val="16"/>
          <w:lang w:val="en-AU"/>
        </w:rPr>
        <w:t>Daily discharge for Euramo site (Tully River) from July, 2011 to November, 2012 and from October, 2014 to August, 2015 were estimated from Gorge station (Tully River) using: Euramo Disch = Gorge Disch * 3.5941</w:t>
      </w:r>
      <w:r>
        <w:rPr>
          <w:sz w:val="16"/>
          <w:lang w:val="en-AU"/>
        </w:rPr>
        <w:t xml:space="preserve">. </w:t>
      </w:r>
    </w:p>
    <w:p w14:paraId="5F22FADA" w14:textId="77777777" w:rsidR="0099448B" w:rsidRDefault="0099448B" w:rsidP="0099448B">
      <w:pPr>
        <w:pBdr>
          <w:top w:val="single" w:sz="4" w:space="1" w:color="auto"/>
          <w:left w:val="single" w:sz="4" w:space="4" w:color="auto"/>
          <w:bottom w:val="single" w:sz="4" w:space="1" w:color="auto"/>
          <w:right w:val="single" w:sz="4" w:space="4" w:color="auto"/>
        </w:pBdr>
        <w:spacing w:before="0" w:after="0"/>
        <w:rPr>
          <w:sz w:val="16"/>
          <w:lang w:val="en-AU"/>
        </w:rPr>
      </w:pPr>
      <w:r w:rsidRPr="008467AA">
        <w:rPr>
          <w:sz w:val="16"/>
          <w:lang w:val="en-AU"/>
        </w:rPr>
        <w:t xml:space="preserve">Daily discharge for Pioneer river now includes Miriani station, allowing flow record since 1977-11-09. </w:t>
      </w:r>
    </w:p>
    <w:p w14:paraId="5F22FADB" w14:textId="77777777" w:rsidR="0099448B" w:rsidRDefault="0099448B" w:rsidP="0099448B">
      <w:pPr>
        <w:pBdr>
          <w:top w:val="single" w:sz="4" w:space="1" w:color="auto"/>
          <w:left w:val="single" w:sz="4" w:space="4" w:color="auto"/>
          <w:bottom w:val="single" w:sz="4" w:space="1" w:color="auto"/>
          <w:right w:val="single" w:sz="4" w:space="4" w:color="auto"/>
        </w:pBdr>
        <w:spacing w:before="0" w:after="0"/>
        <w:rPr>
          <w:sz w:val="16"/>
          <w:lang w:val="en-AU"/>
        </w:rPr>
      </w:pPr>
      <w:r w:rsidRPr="008467AA">
        <w:rPr>
          <w:sz w:val="16"/>
          <w:lang w:val="en-AU"/>
        </w:rPr>
        <w:t>Dumbleton and Miriani stations are correlated by the following equation: Dumbleton Disch = Miriani Disch * 1.4276</w:t>
      </w:r>
      <w:r>
        <w:rPr>
          <w:sz w:val="16"/>
          <w:lang w:val="en-AU"/>
        </w:rPr>
        <w:t xml:space="preserve">. </w:t>
      </w:r>
    </w:p>
    <w:p w14:paraId="5F22FADC" w14:textId="77777777" w:rsidR="0099448B" w:rsidRDefault="0099448B" w:rsidP="0099448B">
      <w:pPr>
        <w:pBdr>
          <w:top w:val="single" w:sz="4" w:space="1" w:color="auto"/>
          <w:left w:val="single" w:sz="4" w:space="4" w:color="auto"/>
          <w:bottom w:val="single" w:sz="4" w:space="1" w:color="auto"/>
          <w:right w:val="single" w:sz="4" w:space="4" w:color="auto"/>
        </w:pBdr>
        <w:spacing w:before="0" w:after="0"/>
        <w:rPr>
          <w:sz w:val="16"/>
          <w:lang w:val="en-AU"/>
        </w:rPr>
      </w:pPr>
      <w:r w:rsidRPr="008467AA">
        <w:rPr>
          <w:sz w:val="16"/>
          <w:lang w:val="en-AU"/>
        </w:rPr>
        <w:t>All data from the Ross gauge station, which ceased in 2007-08-01 with no substitute in the same river, was replaced by Bohle gauge station.</w:t>
      </w:r>
    </w:p>
    <w:p w14:paraId="5F22FADD" w14:textId="77777777" w:rsidR="0099448B" w:rsidRDefault="0099448B" w:rsidP="0099448B">
      <w:pPr>
        <w:pBdr>
          <w:top w:val="single" w:sz="4" w:space="1" w:color="auto"/>
          <w:left w:val="single" w:sz="4" w:space="4" w:color="auto"/>
          <w:bottom w:val="single" w:sz="4" w:space="1" w:color="auto"/>
          <w:right w:val="single" w:sz="4" w:space="4" w:color="auto"/>
        </w:pBdr>
        <w:spacing w:before="0" w:after="0"/>
        <w:rPr>
          <w:sz w:val="16"/>
          <w:lang w:val="en-AU"/>
        </w:rPr>
      </w:pPr>
      <w:r w:rsidRPr="008467AA">
        <w:rPr>
          <w:sz w:val="16"/>
          <w:lang w:val="en-AU"/>
        </w:rPr>
        <w:t>Boyne gauge station was ceased in 2012-06-30 with no substitute in the vicinities of the closed station.</w:t>
      </w:r>
      <w:r>
        <w:rPr>
          <w:sz w:val="16"/>
          <w:lang w:val="en-AU"/>
        </w:rPr>
        <w:t xml:space="preserve"> </w:t>
      </w:r>
    </w:p>
    <w:p w14:paraId="5F22FADE" w14:textId="77777777" w:rsidR="0099448B" w:rsidRPr="008467AA" w:rsidRDefault="0099448B" w:rsidP="0099448B">
      <w:pPr>
        <w:pBdr>
          <w:top w:val="single" w:sz="4" w:space="1" w:color="auto"/>
          <w:left w:val="single" w:sz="4" w:space="4" w:color="auto"/>
          <w:bottom w:val="single" w:sz="4" w:space="1" w:color="auto"/>
          <w:right w:val="single" w:sz="4" w:space="4" w:color="auto"/>
        </w:pBdr>
        <w:spacing w:before="0" w:after="0"/>
        <w:rPr>
          <w:sz w:val="16"/>
          <w:lang w:val="en-AU"/>
        </w:rPr>
      </w:pPr>
      <w:r w:rsidRPr="008467AA">
        <w:rPr>
          <w:sz w:val="16"/>
          <w:lang w:val="en-AU"/>
        </w:rPr>
        <w:t>Prosepine gauge station was ceased in 2014-06-03  with no substitute in the vicinities of the closed station.</w:t>
      </w:r>
    </w:p>
    <w:p w14:paraId="5F22FADF" w14:textId="77777777" w:rsidR="0099448B" w:rsidRDefault="0099448B" w:rsidP="0099448B">
      <w:pPr>
        <w:pBdr>
          <w:top w:val="single" w:sz="4" w:space="1" w:color="auto"/>
          <w:left w:val="single" w:sz="4" w:space="4" w:color="auto"/>
          <w:bottom w:val="single" w:sz="4" w:space="1" w:color="auto"/>
          <w:right w:val="single" w:sz="4" w:space="4" w:color="auto"/>
        </w:pBdr>
        <w:spacing w:before="0" w:after="0"/>
        <w:rPr>
          <w:sz w:val="16"/>
          <w:lang w:val="en-AU"/>
        </w:rPr>
      </w:pPr>
      <w:r w:rsidRPr="008467AA">
        <w:rPr>
          <w:sz w:val="16"/>
          <w:lang w:val="en-AU"/>
        </w:rPr>
        <w:t>Rocky Cr gauge station was ceased in 2014-11-19  with no substitute in the vicinities of the closed station.</w:t>
      </w:r>
      <w:r>
        <w:rPr>
          <w:sz w:val="16"/>
          <w:lang w:val="en-AU"/>
        </w:rPr>
        <w:t xml:space="preserve"> </w:t>
      </w:r>
    </w:p>
    <w:p w14:paraId="5F22FAE0" w14:textId="77777777" w:rsidR="0099448B" w:rsidRPr="008467AA" w:rsidRDefault="0099448B" w:rsidP="0099448B">
      <w:pPr>
        <w:pBdr>
          <w:top w:val="single" w:sz="4" w:space="1" w:color="auto"/>
          <w:left w:val="single" w:sz="4" w:space="4" w:color="auto"/>
          <w:bottom w:val="single" w:sz="4" w:space="1" w:color="auto"/>
          <w:right w:val="single" w:sz="4" w:space="4" w:color="auto"/>
        </w:pBdr>
        <w:spacing w:before="0" w:after="0"/>
        <w:rPr>
          <w:lang w:val="en-AU"/>
        </w:rPr>
      </w:pPr>
      <w:r w:rsidRPr="008467AA">
        <w:rPr>
          <w:sz w:val="16"/>
          <w:lang w:val="en-AU"/>
        </w:rPr>
        <w:t xml:space="preserve">Endevour gauge station was ceased in </w:t>
      </w:r>
      <w:r>
        <w:rPr>
          <w:sz w:val="16"/>
          <w:lang w:val="en-AU"/>
        </w:rPr>
        <w:t xml:space="preserve">2015-05-10 </w:t>
      </w:r>
      <w:r w:rsidRPr="008467AA">
        <w:rPr>
          <w:sz w:val="16"/>
          <w:lang w:val="en-AU"/>
        </w:rPr>
        <w:t>with no substitute in the vicinities of the closed station.</w:t>
      </w:r>
    </w:p>
    <w:p w14:paraId="5F22FAE1" w14:textId="77777777" w:rsidR="0099448B" w:rsidRDefault="0099448B">
      <w:pPr>
        <w:spacing w:before="0" w:after="0"/>
        <w:jc w:val="left"/>
        <w:rPr>
          <w:sz w:val="18"/>
          <w:lang w:val="en-AU"/>
        </w:rPr>
      </w:pPr>
      <w:r>
        <w:rPr>
          <w:sz w:val="18"/>
          <w:lang w:val="en-AU"/>
        </w:rPr>
        <w:br w:type="page"/>
      </w:r>
    </w:p>
    <w:p w14:paraId="5F22FC37" w14:textId="77777777" w:rsidR="00F4213A" w:rsidRDefault="00F4213A" w:rsidP="00F4213A">
      <w:pPr>
        <w:rPr>
          <w:lang w:val="en-US"/>
        </w:rPr>
      </w:pPr>
    </w:p>
    <w:p w14:paraId="5F22FC38" w14:textId="77777777" w:rsidR="00F4213A" w:rsidRDefault="00F4213A" w:rsidP="00F4213A">
      <w:pPr>
        <w:rPr>
          <w:lang w:val="en-US"/>
        </w:rPr>
      </w:pPr>
    </w:p>
    <w:p w14:paraId="5F22FC39" w14:textId="77777777" w:rsidR="001C2569" w:rsidRDefault="001C2569">
      <w:pPr>
        <w:spacing w:before="0" w:after="0"/>
        <w:jc w:val="left"/>
        <w:rPr>
          <w:sz w:val="18"/>
          <w:lang w:val="en-AU"/>
        </w:rPr>
      </w:pPr>
    </w:p>
    <w:p w14:paraId="5F22FC3A" w14:textId="77777777" w:rsidR="001C2569" w:rsidRDefault="001C2569">
      <w:pPr>
        <w:spacing w:before="0" w:after="0"/>
        <w:jc w:val="left"/>
        <w:rPr>
          <w:sz w:val="18"/>
          <w:lang w:val="en-AU"/>
        </w:rPr>
      </w:pPr>
    </w:p>
    <w:p w14:paraId="5F22FC3B" w14:textId="77777777" w:rsidR="0099448B" w:rsidRPr="007B644C" w:rsidRDefault="0099448B" w:rsidP="0099448B">
      <w:pPr>
        <w:jc w:val="center"/>
        <w:rPr>
          <w:rFonts w:cs="Arial"/>
          <w:highlight w:val="yellow"/>
        </w:rPr>
      </w:pPr>
      <w:r w:rsidRPr="007B644C">
        <w:rPr>
          <w:rFonts w:cs="Arial"/>
          <w:noProof/>
          <w:highlight w:val="yellow"/>
          <w:lang w:val="en-AU" w:eastAsia="en-AU"/>
        </w:rPr>
        <w:drawing>
          <wp:inline distT="0" distB="0" distL="0" distR="0" wp14:anchorId="5F23241B" wp14:editId="17C38F61">
            <wp:extent cx="5388858" cy="2772000"/>
            <wp:effectExtent l="0" t="0" r="2540" b="9525"/>
            <wp:docPr id="7177" name="Picture 7177" descr="This figure shows the long-term total wet season discharge for the Russell-Mulgrave River are shown. " title="Long-term total wet season discharge or the Russell-Mulgrave Riv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403">
                      <a:extLst>
                        <a:ext uri="{28A0092B-C50C-407E-A947-70E740481C1C}">
                          <a14:useLocalDpi xmlns:a14="http://schemas.microsoft.com/office/drawing/2010/main" val="0"/>
                        </a:ext>
                      </a:extLst>
                    </a:blip>
                    <a:srcRect/>
                    <a:stretch/>
                  </pic:blipFill>
                  <pic:spPr bwMode="auto">
                    <a:xfrm>
                      <a:off x="0" y="0"/>
                      <a:ext cx="5400000" cy="2777732"/>
                    </a:xfrm>
                    <a:prstGeom prst="rect">
                      <a:avLst/>
                    </a:prstGeom>
                    <a:noFill/>
                    <a:ln>
                      <a:noFill/>
                    </a:ln>
                    <a:extLst>
                      <a:ext uri="{53640926-AAD7-44D8-BBD7-CCE9431645EC}">
                        <a14:shadowObscured xmlns:a14="http://schemas.microsoft.com/office/drawing/2010/main"/>
                      </a:ext>
                    </a:extLst>
                  </pic:spPr>
                </pic:pic>
              </a:graphicData>
            </a:graphic>
          </wp:inline>
        </w:drawing>
      </w:r>
    </w:p>
    <w:p w14:paraId="5F22FC3C" w14:textId="61E5D001" w:rsidR="0099448B" w:rsidRPr="007B644C" w:rsidRDefault="0099448B" w:rsidP="00164E5E">
      <w:pPr>
        <w:pStyle w:val="Caption"/>
      </w:pPr>
      <w:r w:rsidRPr="007B644C">
        <w:rPr>
          <w:noProof/>
          <w:lang w:val="en-AU" w:eastAsia="en-AU"/>
        </w:rPr>
        <w:drawing>
          <wp:inline distT="0" distB="0" distL="0" distR="0" wp14:anchorId="5F23241E" wp14:editId="48699A05">
            <wp:extent cx="4943475" cy="2860806"/>
            <wp:effectExtent l="0" t="0" r="0" b="0"/>
            <wp:docPr id="7170" name="Picture 7170" descr="This figure shows the long-term  flow rates (bottom figure) for the Russell-Mulgrave River.The timing associated with the wet season sampling over the 2006 to 2015 period is also indicated, with different colours representing each sampling event. " title="Long-term total wet season flow rates for the Russell-Mulgrave River are show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cuments\REPORT\MMPreport2015\discharge\River_discharge_plot FIG.jpg"/>
                    <pic:cNvPicPr>
                      <a:picLocks noChangeAspect="1" noChangeArrowheads="1"/>
                    </pic:cNvPicPr>
                  </pic:nvPicPr>
                  <pic:blipFill rotWithShape="1">
                    <a:blip r:embed="rId404">
                      <a:extLst>
                        <a:ext uri="{28A0092B-C50C-407E-A947-70E740481C1C}">
                          <a14:useLocalDpi xmlns:a14="http://schemas.microsoft.com/office/drawing/2010/main" val="0"/>
                        </a:ext>
                      </a:extLst>
                    </a:blip>
                    <a:srcRect/>
                    <a:stretch/>
                  </pic:blipFill>
                  <pic:spPr bwMode="auto">
                    <a:xfrm>
                      <a:off x="0" y="0"/>
                      <a:ext cx="4941203" cy="2859491"/>
                    </a:xfrm>
                    <a:prstGeom prst="rect">
                      <a:avLst/>
                    </a:prstGeom>
                    <a:noFill/>
                    <a:ln>
                      <a:noFill/>
                    </a:ln>
                    <a:extLst>
                      <a:ext uri="{53640926-AAD7-44D8-BBD7-CCE9431645EC}">
                        <a14:shadowObscured xmlns:a14="http://schemas.microsoft.com/office/drawing/2010/main"/>
                      </a:ext>
                    </a:extLst>
                  </pic:spPr>
                </pic:pic>
              </a:graphicData>
            </a:graphic>
          </wp:inline>
        </w:drawing>
      </w:r>
    </w:p>
    <w:p w14:paraId="5F22FC3D" w14:textId="2001C4D0" w:rsidR="00AF17DE" w:rsidRPr="00AF17DE" w:rsidRDefault="006A00D6" w:rsidP="00164E5E">
      <w:pPr>
        <w:pStyle w:val="Caption"/>
        <w:rPr>
          <w:vanish/>
        </w:rPr>
      </w:pPr>
      <w:bookmarkStart w:id="1621" w:name="_Toc459332212"/>
      <w:r>
        <w:t xml:space="preserve">Figure A2 </w:t>
      </w:r>
      <w:r w:rsidR="00EB33A6">
        <w:fldChar w:fldCharType="begin"/>
      </w:r>
      <w:r w:rsidR="00D8225E">
        <w:instrText xml:space="preserve"> SEQ Figure_A2 \* ARABIC </w:instrText>
      </w:r>
      <w:r w:rsidR="00EB33A6">
        <w:fldChar w:fldCharType="separate"/>
      </w:r>
      <w:r w:rsidR="007F5336">
        <w:rPr>
          <w:noProof/>
        </w:rPr>
        <w:t>2</w:t>
      </w:r>
      <w:r w:rsidR="00EB33A6">
        <w:rPr>
          <w:noProof/>
        </w:rPr>
        <w:fldChar w:fldCharType="end"/>
      </w:r>
      <w:r w:rsidR="00092A52" w:rsidRPr="00AF17DE">
        <w:t>:</w:t>
      </w:r>
      <w:r w:rsidR="0099448B" w:rsidRPr="00AF17DE">
        <w:t xml:space="preserve"> Long-term total wet season discharge (top figure) (</w:t>
      </w:r>
      <w:r w:rsidR="00C951C9">
        <w:t>1 October to 30 September</w:t>
      </w:r>
      <w:r w:rsidR="0099448B" w:rsidRPr="00AF17DE">
        <w:t>) and flow rates (bottom figure) for the Russell-Mulgrave River</w:t>
      </w:r>
      <w:bookmarkEnd w:id="1621"/>
      <w:r w:rsidR="0099448B">
        <w:t xml:space="preserve"> </w:t>
      </w:r>
    </w:p>
    <w:p w14:paraId="5F22FC3E" w14:textId="7485DABD" w:rsidR="0099448B" w:rsidRPr="00837114" w:rsidRDefault="0099448B" w:rsidP="00164E5E">
      <w:pPr>
        <w:pStyle w:val="Caption"/>
        <w:rPr>
          <w:rStyle w:val="IntenseReference"/>
          <w:lang w:val="fr-FR"/>
        </w:rPr>
      </w:pPr>
      <w:r w:rsidRPr="00AF17DE">
        <w:rPr>
          <w:rStyle w:val="IntenseReference"/>
        </w:rPr>
        <w:t>are shown. The timing associated with the wet season sampling over the 2006 to 2015 period is also indicated in the bottom figure</w:t>
      </w:r>
      <w:r w:rsidR="009B7E24">
        <w:rPr>
          <w:rStyle w:val="IntenseReference"/>
        </w:rPr>
        <w:t>, with different colours representing each sampling event</w:t>
      </w:r>
      <w:r w:rsidRPr="00AF17DE">
        <w:rPr>
          <w:rStyle w:val="IntenseReference"/>
        </w:rPr>
        <w:t xml:space="preserve">. </w:t>
      </w:r>
      <w:r w:rsidRPr="00837114">
        <w:rPr>
          <w:rStyle w:val="IntenseReference"/>
          <w:lang w:val="fr-FR"/>
        </w:rPr>
        <w:t xml:space="preserve">(Source: DNRM, </w:t>
      </w:r>
      <w:hyperlink r:id="rId405" w:history="1">
        <w:r w:rsidR="00C951C9" w:rsidRPr="007128C0">
          <w:rPr>
            <w:rStyle w:val="Hyperlink"/>
            <w:lang w:val="fr-FR"/>
          </w:rPr>
          <w:t>http://watermonitoring.dnrm.qld.gov.au/host.htm</w:t>
        </w:r>
      </w:hyperlink>
      <w:r w:rsidRPr="00837114">
        <w:rPr>
          <w:rStyle w:val="IntenseReference"/>
          <w:lang w:val="fr-FR"/>
        </w:rPr>
        <w:t>)</w:t>
      </w:r>
    </w:p>
    <w:p w14:paraId="5F22FC3F" w14:textId="77777777" w:rsidR="0099448B" w:rsidRPr="00837114" w:rsidRDefault="0099448B" w:rsidP="0099448B">
      <w:pPr>
        <w:rPr>
          <w:lang w:val="fr-FR"/>
        </w:rPr>
      </w:pPr>
    </w:p>
    <w:p w14:paraId="5F22FC40" w14:textId="77777777" w:rsidR="0099448B" w:rsidRPr="00837114" w:rsidRDefault="0099448B" w:rsidP="0099448B">
      <w:pPr>
        <w:jc w:val="center"/>
        <w:rPr>
          <w:rFonts w:cs="Arial"/>
          <w:color w:val="0070C0"/>
          <w:lang w:val="fr-FR"/>
        </w:rPr>
      </w:pPr>
    </w:p>
    <w:p w14:paraId="5F22FC41" w14:textId="77777777" w:rsidR="0099448B" w:rsidRPr="007B644C" w:rsidRDefault="0099448B" w:rsidP="0099448B">
      <w:pPr>
        <w:jc w:val="center"/>
        <w:rPr>
          <w:rFonts w:cs="Arial"/>
          <w:highlight w:val="yellow"/>
          <w:lang w:val="en-AU"/>
        </w:rPr>
      </w:pPr>
      <w:r w:rsidRPr="007B644C">
        <w:rPr>
          <w:rFonts w:cs="Arial"/>
          <w:noProof/>
          <w:highlight w:val="yellow"/>
          <w:lang w:val="en-AU" w:eastAsia="en-AU"/>
        </w:rPr>
        <w:drawing>
          <wp:inline distT="0" distB="0" distL="0" distR="0" wp14:anchorId="5F232420" wp14:editId="342F1685">
            <wp:extent cx="5400000" cy="2968601"/>
            <wp:effectExtent l="0" t="0" r="0" b="3810"/>
            <wp:docPr id="7169" name="Picture 7169" descr="This figure shows the long-term total wet season discharge  for the Tully River are shown. " title="Long-term total wet season discharge for the Tully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6">
                      <a:extLst>
                        <a:ext uri="{28A0092B-C50C-407E-A947-70E740481C1C}">
                          <a14:useLocalDpi xmlns:a14="http://schemas.microsoft.com/office/drawing/2010/main" val="0"/>
                        </a:ext>
                      </a:extLst>
                    </a:blip>
                    <a:srcRect/>
                    <a:stretch>
                      <a:fillRect/>
                    </a:stretch>
                  </pic:blipFill>
                  <pic:spPr bwMode="auto">
                    <a:xfrm>
                      <a:off x="0" y="0"/>
                      <a:ext cx="5400000" cy="2968601"/>
                    </a:xfrm>
                    <a:prstGeom prst="rect">
                      <a:avLst/>
                    </a:prstGeom>
                    <a:noFill/>
                  </pic:spPr>
                </pic:pic>
              </a:graphicData>
            </a:graphic>
          </wp:inline>
        </w:drawing>
      </w:r>
    </w:p>
    <w:p w14:paraId="5F22FC42" w14:textId="7001BBFE" w:rsidR="0099448B" w:rsidRDefault="0099448B" w:rsidP="00164E5E">
      <w:pPr>
        <w:pStyle w:val="Caption"/>
      </w:pPr>
      <w:r w:rsidRPr="007B644C">
        <w:rPr>
          <w:noProof/>
          <w:lang w:val="en-AU" w:eastAsia="en-AU"/>
        </w:rPr>
        <w:drawing>
          <wp:inline distT="0" distB="0" distL="0" distR="0" wp14:anchorId="5F232423" wp14:editId="0D95EE19">
            <wp:extent cx="4895850" cy="2857500"/>
            <wp:effectExtent l="0" t="0" r="0" b="0"/>
            <wp:docPr id="7172" name="Picture 7172" descr="This figure shows the long-term total wet season flow rates for the Tully River are shown. The timing associated with the wet season sampling over the 2006 to 2015 period is also indicated  with different colours representing each sampling event." title="Long-term total wet season flow rates for the Tully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cuments\REPORT\MMPreport2015\discharge\River_discharge_plot FIG.jpg"/>
                    <pic:cNvPicPr>
                      <a:picLocks noChangeAspect="1" noChangeArrowheads="1"/>
                    </pic:cNvPicPr>
                  </pic:nvPicPr>
                  <pic:blipFill rotWithShape="1">
                    <a:blip r:embed="rId407">
                      <a:extLst>
                        <a:ext uri="{28A0092B-C50C-407E-A947-70E740481C1C}">
                          <a14:useLocalDpi xmlns:a14="http://schemas.microsoft.com/office/drawing/2010/main" val="0"/>
                        </a:ext>
                      </a:extLst>
                    </a:blip>
                    <a:srcRect/>
                    <a:stretch/>
                  </pic:blipFill>
                  <pic:spPr bwMode="auto">
                    <a:xfrm>
                      <a:off x="0" y="0"/>
                      <a:ext cx="4899262" cy="2859491"/>
                    </a:xfrm>
                    <a:prstGeom prst="rect">
                      <a:avLst/>
                    </a:prstGeom>
                    <a:noFill/>
                    <a:ln>
                      <a:noFill/>
                    </a:ln>
                    <a:extLst>
                      <a:ext uri="{53640926-AAD7-44D8-BBD7-CCE9431645EC}">
                        <a14:shadowObscured xmlns:a14="http://schemas.microsoft.com/office/drawing/2010/main"/>
                      </a:ext>
                    </a:extLst>
                  </pic:spPr>
                </pic:pic>
              </a:graphicData>
            </a:graphic>
          </wp:inline>
        </w:drawing>
      </w:r>
    </w:p>
    <w:p w14:paraId="5F22FC43" w14:textId="1D27E797" w:rsidR="00874C5E" w:rsidRPr="00874C5E" w:rsidRDefault="006A00D6" w:rsidP="00164E5E">
      <w:pPr>
        <w:pStyle w:val="Caption"/>
        <w:rPr>
          <w:vanish/>
        </w:rPr>
      </w:pPr>
      <w:bookmarkStart w:id="1622" w:name="_Toc459332213"/>
      <w:r>
        <w:t xml:space="preserve">Figure A2 </w:t>
      </w:r>
      <w:r w:rsidR="00EB33A6">
        <w:fldChar w:fldCharType="begin"/>
      </w:r>
      <w:r w:rsidR="00D8225E">
        <w:instrText xml:space="preserve"> SEQ Figure_A2 \* ARABIC </w:instrText>
      </w:r>
      <w:r w:rsidR="00EB33A6">
        <w:fldChar w:fldCharType="separate"/>
      </w:r>
      <w:r w:rsidR="007F5336">
        <w:rPr>
          <w:noProof/>
        </w:rPr>
        <w:t>3</w:t>
      </w:r>
      <w:r w:rsidR="00EB33A6">
        <w:rPr>
          <w:noProof/>
        </w:rPr>
        <w:fldChar w:fldCharType="end"/>
      </w:r>
      <w:r w:rsidR="00092A52" w:rsidRPr="00874C5E">
        <w:t>:</w:t>
      </w:r>
      <w:r w:rsidR="0099448B" w:rsidRPr="00874C5E">
        <w:t xml:space="preserve"> Long-term total wet season discharge (top figure) (</w:t>
      </w:r>
      <w:r w:rsidR="00C951C9">
        <w:t>1 October to 30 September</w:t>
      </w:r>
      <w:r w:rsidR="0099448B" w:rsidRPr="00874C5E">
        <w:t xml:space="preserve">) and flow rates (bottom figure) for the Tully </w:t>
      </w:r>
      <w:r w:rsidR="009B7E24">
        <w:t>R</w:t>
      </w:r>
      <w:r w:rsidR="0099448B" w:rsidRPr="00874C5E">
        <w:t>iver</w:t>
      </w:r>
      <w:bookmarkEnd w:id="1622"/>
      <w:r w:rsidR="0099448B">
        <w:t xml:space="preserve"> </w:t>
      </w:r>
    </w:p>
    <w:p w14:paraId="5F22FC44" w14:textId="25978EA6" w:rsidR="0099448B" w:rsidRPr="00837114" w:rsidRDefault="0099448B" w:rsidP="00164E5E">
      <w:pPr>
        <w:pStyle w:val="Caption"/>
        <w:rPr>
          <w:rStyle w:val="IntenseReference"/>
          <w:lang w:val="fr-FR"/>
        </w:rPr>
      </w:pPr>
      <w:r w:rsidRPr="00874C5E">
        <w:rPr>
          <w:rStyle w:val="IntenseReference"/>
        </w:rPr>
        <w:t>are shown. The timing associated with the wet season sampling over the 2006 to 2015 period is also indicated in the bottom figure</w:t>
      </w:r>
      <w:r w:rsidR="009B7E24">
        <w:rPr>
          <w:rStyle w:val="IntenseReference"/>
        </w:rPr>
        <w:t xml:space="preserve"> with different colours representing each sampling event</w:t>
      </w:r>
      <w:r w:rsidRPr="00874C5E">
        <w:rPr>
          <w:rStyle w:val="IntenseReference"/>
        </w:rPr>
        <w:t xml:space="preserve">. </w:t>
      </w:r>
      <w:r w:rsidRPr="00837114">
        <w:rPr>
          <w:rStyle w:val="IntenseReference"/>
          <w:lang w:val="fr-FR"/>
        </w:rPr>
        <w:t xml:space="preserve">(Source: DNRM, </w:t>
      </w:r>
      <w:hyperlink r:id="rId408" w:history="1">
        <w:r w:rsidRPr="00837114">
          <w:rPr>
            <w:rStyle w:val="IntenseReference"/>
            <w:lang w:val="fr-FR"/>
          </w:rPr>
          <w:t>http://watermonitoring.dnrm.qld.gov.au/host.htm</w:t>
        </w:r>
      </w:hyperlink>
      <w:r w:rsidRPr="00837114">
        <w:rPr>
          <w:rStyle w:val="IntenseReference"/>
          <w:lang w:val="fr-FR"/>
        </w:rPr>
        <w:t>)</w:t>
      </w:r>
    </w:p>
    <w:p w14:paraId="5F22FC45" w14:textId="77777777" w:rsidR="0099448B" w:rsidRPr="007B644C" w:rsidRDefault="0099448B" w:rsidP="0099448B">
      <w:pPr>
        <w:rPr>
          <w:rFonts w:cs="Arial"/>
          <w:highlight w:val="yellow"/>
          <w:lang w:val="en-AU"/>
        </w:rPr>
      </w:pPr>
      <w:r w:rsidRPr="007B644C">
        <w:rPr>
          <w:rFonts w:cs="Arial"/>
          <w:noProof/>
          <w:highlight w:val="yellow"/>
          <w:lang w:val="en-AU" w:eastAsia="en-AU"/>
        </w:rPr>
        <w:drawing>
          <wp:inline distT="0" distB="0" distL="0" distR="0" wp14:anchorId="5F232425" wp14:editId="44602992">
            <wp:extent cx="5400000" cy="2817146"/>
            <wp:effectExtent l="0" t="0" r="0" b="2540"/>
            <wp:docPr id="233" name="Picture 233" descr="This figure shows the long-term total wet season discharge for the Burdekin River are shown." title="Long-term total wet season discharge or the Burdekin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09">
                      <a:extLst>
                        <a:ext uri="{28A0092B-C50C-407E-A947-70E740481C1C}">
                          <a14:useLocalDpi xmlns:a14="http://schemas.microsoft.com/office/drawing/2010/main" val="0"/>
                        </a:ext>
                      </a:extLst>
                    </a:blip>
                    <a:srcRect/>
                    <a:stretch>
                      <a:fillRect/>
                    </a:stretch>
                  </pic:blipFill>
                  <pic:spPr bwMode="auto">
                    <a:xfrm>
                      <a:off x="0" y="0"/>
                      <a:ext cx="5400000" cy="2817146"/>
                    </a:xfrm>
                    <a:prstGeom prst="rect">
                      <a:avLst/>
                    </a:prstGeom>
                    <a:noFill/>
                  </pic:spPr>
                </pic:pic>
              </a:graphicData>
            </a:graphic>
          </wp:inline>
        </w:drawing>
      </w:r>
    </w:p>
    <w:p w14:paraId="5F22FC46" w14:textId="77777777" w:rsidR="0099448B" w:rsidRPr="007B644C" w:rsidRDefault="0099448B" w:rsidP="00164E5E">
      <w:pPr>
        <w:pStyle w:val="Caption"/>
      </w:pPr>
      <w:r w:rsidRPr="007B644C">
        <w:rPr>
          <w:noProof/>
          <w:lang w:val="en-AU" w:eastAsia="en-AU"/>
        </w:rPr>
        <w:drawing>
          <wp:inline distT="0" distB="0" distL="0" distR="0" wp14:anchorId="5F232427" wp14:editId="38279BC2">
            <wp:extent cx="4886325" cy="2609849"/>
            <wp:effectExtent l="0" t="0" r="0" b="635"/>
            <wp:docPr id="231" name="Picture 231" descr="This figure shows the long-term flow rates for the Burdekin River are shown. The timing associated with the wet season sampling over the 2006 to 2015 period is also indicated, with different colours representing each sampling event. " title=" Long-term flow ratesfor the Burdekin River are show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cuments\REPORT\MMPreport2015\discharge\River_discharge_plot FIG.jpg"/>
                    <pic:cNvPicPr>
                      <a:picLocks noChangeAspect="1" noChangeArrowheads="1"/>
                    </pic:cNvPicPr>
                  </pic:nvPicPr>
                  <pic:blipFill rotWithShape="1">
                    <a:blip r:embed="rId410">
                      <a:extLst>
                        <a:ext uri="{28A0092B-C50C-407E-A947-70E740481C1C}">
                          <a14:useLocalDpi xmlns:a14="http://schemas.microsoft.com/office/drawing/2010/main" val="0"/>
                        </a:ext>
                      </a:extLst>
                    </a:blip>
                    <a:srcRect/>
                    <a:stretch/>
                  </pic:blipFill>
                  <pic:spPr bwMode="auto">
                    <a:xfrm>
                      <a:off x="0" y="0"/>
                      <a:ext cx="4889731" cy="2611668"/>
                    </a:xfrm>
                    <a:prstGeom prst="rect">
                      <a:avLst/>
                    </a:prstGeom>
                    <a:noFill/>
                    <a:ln>
                      <a:noFill/>
                    </a:ln>
                    <a:extLst>
                      <a:ext uri="{53640926-AAD7-44D8-BBD7-CCE9431645EC}">
                        <a14:shadowObscured xmlns:a14="http://schemas.microsoft.com/office/drawing/2010/main"/>
                      </a:ext>
                    </a:extLst>
                  </pic:spPr>
                </pic:pic>
              </a:graphicData>
            </a:graphic>
          </wp:inline>
        </w:drawing>
      </w:r>
    </w:p>
    <w:p w14:paraId="5F22FC47" w14:textId="228BBE62" w:rsidR="00874C5E" w:rsidRPr="00874C5E" w:rsidRDefault="006A00D6" w:rsidP="00164E5E">
      <w:pPr>
        <w:pStyle w:val="Caption"/>
        <w:rPr>
          <w:vanish/>
        </w:rPr>
      </w:pPr>
      <w:bookmarkStart w:id="1623" w:name="_Toc459332214"/>
      <w:r>
        <w:t xml:space="preserve">Figure A2 </w:t>
      </w:r>
      <w:r w:rsidR="00EB33A6">
        <w:fldChar w:fldCharType="begin"/>
      </w:r>
      <w:r w:rsidR="00D8225E">
        <w:instrText xml:space="preserve"> SEQ Figure_A2 \* ARABIC </w:instrText>
      </w:r>
      <w:r w:rsidR="00EB33A6">
        <w:fldChar w:fldCharType="separate"/>
      </w:r>
      <w:r w:rsidR="007F5336">
        <w:rPr>
          <w:noProof/>
        </w:rPr>
        <w:t>4</w:t>
      </w:r>
      <w:r w:rsidR="00EB33A6">
        <w:rPr>
          <w:noProof/>
        </w:rPr>
        <w:fldChar w:fldCharType="end"/>
      </w:r>
      <w:r w:rsidR="00092A52">
        <w:t>:</w:t>
      </w:r>
      <w:r w:rsidR="0099448B" w:rsidRPr="007B644C">
        <w:t xml:space="preserve"> </w:t>
      </w:r>
      <w:r w:rsidR="0099448B">
        <w:t>L</w:t>
      </w:r>
      <w:r w:rsidR="0099448B" w:rsidRPr="0099448B">
        <w:t>ong-term total wet season discharge</w:t>
      </w:r>
      <w:r w:rsidR="0099448B">
        <w:t xml:space="preserve"> (top figure)</w:t>
      </w:r>
      <w:r w:rsidR="0099448B" w:rsidRPr="0099448B">
        <w:t xml:space="preserve"> (</w:t>
      </w:r>
      <w:r w:rsidR="00C951C9">
        <w:t>1 October to 30 September</w:t>
      </w:r>
      <w:r w:rsidR="0099448B" w:rsidRPr="0099448B">
        <w:t xml:space="preserve">) </w:t>
      </w:r>
      <w:r w:rsidR="0099448B">
        <w:t>and fl</w:t>
      </w:r>
      <w:r w:rsidR="0099448B" w:rsidRPr="0099448B">
        <w:t>ow</w:t>
      </w:r>
      <w:r w:rsidR="0099448B" w:rsidRPr="007B644C">
        <w:t xml:space="preserve"> rates </w:t>
      </w:r>
      <w:r w:rsidR="0099448B">
        <w:t>(bottom figure)</w:t>
      </w:r>
      <w:r w:rsidR="0099448B" w:rsidRPr="0099448B">
        <w:t xml:space="preserve"> </w:t>
      </w:r>
      <w:r w:rsidR="0099448B" w:rsidRPr="007B644C">
        <w:t xml:space="preserve">for the </w:t>
      </w:r>
      <w:r w:rsidR="0099448B">
        <w:t xml:space="preserve">Burdekin </w:t>
      </w:r>
      <w:r w:rsidR="009B7E24">
        <w:t>R</w:t>
      </w:r>
      <w:r w:rsidR="0099448B">
        <w:t>iver</w:t>
      </w:r>
      <w:bookmarkEnd w:id="1623"/>
      <w:r w:rsidR="0099448B">
        <w:t xml:space="preserve"> </w:t>
      </w:r>
    </w:p>
    <w:p w14:paraId="5F22FC48" w14:textId="1FAD36AA" w:rsidR="0099448B" w:rsidRPr="00874C5E" w:rsidRDefault="0099448B" w:rsidP="00164E5E">
      <w:pPr>
        <w:pStyle w:val="Caption"/>
        <w:rPr>
          <w:rStyle w:val="IntenseReference"/>
        </w:rPr>
      </w:pPr>
      <w:r w:rsidRPr="00874C5E">
        <w:rPr>
          <w:rStyle w:val="IntenseReference"/>
        </w:rPr>
        <w:t>are shown. The timing associated with the wet season sampling over the 2006 to 2015 period is also indicated in the bottom figure</w:t>
      </w:r>
      <w:r w:rsidR="009B7E24">
        <w:rPr>
          <w:rStyle w:val="IntenseReference"/>
        </w:rPr>
        <w:t>, with different colours representing each sampling event</w:t>
      </w:r>
      <w:r w:rsidRPr="00874C5E">
        <w:rPr>
          <w:rStyle w:val="IntenseReference"/>
        </w:rPr>
        <w:t xml:space="preserve">. (Source: DNRM, </w:t>
      </w:r>
      <w:hyperlink r:id="rId411" w:history="1">
        <w:r w:rsidRPr="00874C5E">
          <w:rPr>
            <w:rStyle w:val="IntenseReference"/>
          </w:rPr>
          <w:t>http://watermonitoring.dnrm.qld.gov.au/host.htm</w:t>
        </w:r>
      </w:hyperlink>
    </w:p>
    <w:p w14:paraId="5F22FC49" w14:textId="77777777" w:rsidR="0099448B" w:rsidRPr="007B644C" w:rsidRDefault="0099448B" w:rsidP="0099448B">
      <w:pPr>
        <w:jc w:val="center"/>
        <w:rPr>
          <w:rFonts w:cs="Arial"/>
          <w:color w:val="0070C0"/>
          <w:lang w:val="en-AU"/>
        </w:rPr>
      </w:pPr>
    </w:p>
    <w:p w14:paraId="5F22FC4A" w14:textId="77777777" w:rsidR="00ED1198" w:rsidRDefault="00ED1198" w:rsidP="00ED1198">
      <w:pPr>
        <w:rPr>
          <w:lang w:val="en-AU"/>
        </w:rPr>
      </w:pPr>
    </w:p>
    <w:p w14:paraId="5F22FC4B" w14:textId="77777777" w:rsidR="00ED1198" w:rsidRPr="00ED1198" w:rsidRDefault="00ED1198" w:rsidP="00ED1198">
      <w:pPr>
        <w:rPr>
          <w:lang w:val="en-AU"/>
        </w:rPr>
        <w:sectPr w:rsidR="00ED1198" w:rsidRPr="00ED1198" w:rsidSect="0099448B">
          <w:pgSz w:w="11907" w:h="16839" w:code="9"/>
          <w:pgMar w:top="1440" w:right="1440" w:bottom="1440" w:left="1440" w:header="720" w:footer="720" w:gutter="0"/>
          <w:cols w:space="432"/>
          <w:docGrid w:linePitch="299"/>
        </w:sectPr>
      </w:pPr>
    </w:p>
    <w:p w14:paraId="7A254043" w14:textId="51BA2437" w:rsidR="00483399" w:rsidRPr="00874C5E" w:rsidRDefault="006A00D6" w:rsidP="00164E5E">
      <w:pPr>
        <w:pStyle w:val="Caption"/>
        <w:rPr>
          <w:rStyle w:val="IntenseReference"/>
          <w:vanish/>
          <w:lang w:val="en-AU"/>
        </w:rPr>
      </w:pPr>
      <w:bookmarkStart w:id="1624" w:name="_Toc459332207"/>
      <w:bookmarkStart w:id="1625" w:name="_Toc374701574"/>
      <w:bookmarkStart w:id="1626" w:name="_Toc405989126"/>
      <w:r>
        <w:t xml:space="preserve">Table A2 </w:t>
      </w:r>
      <w:r w:rsidR="00EB33A6">
        <w:fldChar w:fldCharType="begin"/>
      </w:r>
      <w:r w:rsidR="00D8225E">
        <w:instrText xml:space="preserve"> SEQ Table_A2 \* ARABIC </w:instrText>
      </w:r>
      <w:r w:rsidR="00EB33A6">
        <w:fldChar w:fldCharType="separate"/>
      </w:r>
      <w:r w:rsidR="007F5336">
        <w:rPr>
          <w:noProof/>
        </w:rPr>
        <w:t>3</w:t>
      </w:r>
      <w:r w:rsidR="00EB33A6">
        <w:rPr>
          <w:noProof/>
        </w:rPr>
        <w:fldChar w:fldCharType="end"/>
      </w:r>
      <w:r w:rsidR="00483399" w:rsidRPr="00874C5E">
        <w:t xml:space="preserve">:Summary statistics for direct water sampling data from inshore lagoon sites from </w:t>
      </w:r>
      <w:r w:rsidR="00483399">
        <w:t>June 2014</w:t>
      </w:r>
      <w:r w:rsidR="00483399" w:rsidRPr="00874C5E">
        <w:t>-June 2015</w:t>
      </w:r>
      <w:r w:rsidR="00483399" w:rsidRPr="007D7C41">
        <w:rPr>
          <w:rStyle w:val="IntenseReference"/>
          <w:lang w:val="en-AU"/>
        </w:rPr>
        <w:t>.</w:t>
      </w:r>
      <w:bookmarkEnd w:id="1624"/>
    </w:p>
    <w:p w14:paraId="021F31AC" w14:textId="386B038C" w:rsidR="00483399" w:rsidRPr="00874C5E" w:rsidRDefault="00483399" w:rsidP="00164E5E">
      <w:pPr>
        <w:pStyle w:val="Caption"/>
        <w:rPr>
          <w:rStyle w:val="IntenseReference"/>
        </w:rPr>
      </w:pPr>
      <w:r w:rsidRPr="00874C5E">
        <w:rPr>
          <w:rStyle w:val="IntenseReference"/>
        </w:rPr>
        <w:t xml:space="preserve"> N= number of sampling occasions. Data are in mg L</w:t>
      </w:r>
      <w:r w:rsidRPr="00C951C9">
        <w:rPr>
          <w:rStyle w:val="IntenseReference"/>
          <w:vertAlign w:val="superscript"/>
        </w:rPr>
        <w:t>-1</w:t>
      </w:r>
      <w:r w:rsidRPr="00874C5E">
        <w:rPr>
          <w:rStyle w:val="IntenseReference"/>
        </w:rPr>
        <w:t xml:space="preserve"> for total suspended solids (TSS) and m for Secchi depth. All other parameters are in µg L</w:t>
      </w:r>
      <w:r w:rsidRPr="00C951C9">
        <w:rPr>
          <w:rStyle w:val="IntenseReference"/>
          <w:vertAlign w:val="superscript"/>
        </w:rPr>
        <w:t>-1</w:t>
      </w:r>
      <w:r w:rsidRPr="00874C5E">
        <w:rPr>
          <w:rStyle w:val="IntenseReference"/>
        </w:rPr>
        <w:t xml:space="preserve"> (see main report for abbreviations</w:t>
      </w:r>
      <w:r>
        <w:rPr>
          <w:rStyle w:val="IntenseReference"/>
        </w:rPr>
        <w:t>. A</w:t>
      </w:r>
      <w:r w:rsidRPr="00874C5E">
        <w:rPr>
          <w:rStyle w:val="IntenseReference"/>
        </w:rPr>
        <w:t>verages that exceed available water quality guidelines (DERM 2009, GBRMPA 2010) are shaded in red.</w:t>
      </w:r>
    </w:p>
    <w:tbl>
      <w:tblPr>
        <w:tblW w:w="0" w:type="auto"/>
        <w:tblLayout w:type="fixed"/>
        <w:tblLook w:val="04A0" w:firstRow="1" w:lastRow="0" w:firstColumn="1" w:lastColumn="0" w:noHBand="0" w:noVBand="1"/>
      </w:tblPr>
      <w:tblGrid>
        <w:gridCol w:w="817"/>
        <w:gridCol w:w="851"/>
        <w:gridCol w:w="780"/>
        <w:gridCol w:w="864"/>
        <w:gridCol w:w="864"/>
        <w:gridCol w:w="864"/>
        <w:gridCol w:w="864"/>
        <w:gridCol w:w="864"/>
        <w:gridCol w:w="864"/>
        <w:gridCol w:w="864"/>
        <w:gridCol w:w="864"/>
        <w:gridCol w:w="864"/>
        <w:gridCol w:w="864"/>
        <w:gridCol w:w="864"/>
        <w:gridCol w:w="864"/>
      </w:tblGrid>
      <w:tr w:rsidR="00483399" w:rsidRPr="00211A02" w14:paraId="7541E47D" w14:textId="77777777" w:rsidTr="00211A02">
        <w:trPr>
          <w:tblHeader/>
        </w:trPr>
        <w:tc>
          <w:tcPr>
            <w:tcW w:w="81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BD11D0E" w14:textId="77777777" w:rsidR="00483399" w:rsidRPr="00211A02" w:rsidRDefault="00483399" w:rsidP="00211A02">
            <w:pPr>
              <w:spacing w:before="0" w:after="0"/>
              <w:ind w:left="20" w:right="20"/>
              <w:rPr>
                <w:sz w:val="18"/>
                <w:szCs w:val="18"/>
              </w:rPr>
            </w:pPr>
            <w:r w:rsidRPr="00211A02">
              <w:rPr>
                <w:rFonts w:ascii="Arial Narrow Bold" w:hAnsi="Arial Narrow Bold" w:cs="Arial Narrow Bold"/>
                <w:color w:val="000000"/>
                <w:sz w:val="18"/>
                <w:szCs w:val="18"/>
              </w:rPr>
              <w:t>Region</w:t>
            </w:r>
          </w:p>
        </w:tc>
        <w:tc>
          <w:tcPr>
            <w:tcW w:w="851"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05453D6" w14:textId="77777777" w:rsidR="00483399" w:rsidRPr="00211A02" w:rsidRDefault="00483399" w:rsidP="00211A02">
            <w:pPr>
              <w:spacing w:before="0" w:after="0"/>
              <w:ind w:left="20" w:right="20"/>
              <w:rPr>
                <w:sz w:val="18"/>
                <w:szCs w:val="18"/>
              </w:rPr>
            </w:pPr>
            <w:r w:rsidRPr="00211A02">
              <w:rPr>
                <w:rFonts w:ascii="Arial Narrow Bold" w:hAnsi="Arial Narrow Bold" w:cs="Arial Narrow Bold"/>
                <w:color w:val="000000"/>
                <w:sz w:val="18"/>
                <w:szCs w:val="18"/>
              </w:rPr>
              <w:t>Reef</w:t>
            </w:r>
          </w:p>
        </w:tc>
        <w:tc>
          <w:tcPr>
            <w:tcW w:w="78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E2129F5" w14:textId="77777777" w:rsidR="00483399" w:rsidRPr="00211A02" w:rsidRDefault="00483399" w:rsidP="00211A02">
            <w:pPr>
              <w:spacing w:before="0" w:after="0"/>
              <w:ind w:left="20" w:right="20"/>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9538788" w14:textId="77777777" w:rsidR="00483399" w:rsidRPr="00211A02" w:rsidRDefault="00483399" w:rsidP="00211A02">
            <w:pPr>
              <w:spacing w:before="0" w:after="0"/>
              <w:ind w:left="20" w:right="20"/>
              <w:jc w:val="center"/>
              <w:rPr>
                <w:sz w:val="18"/>
                <w:szCs w:val="18"/>
              </w:rPr>
            </w:pPr>
            <w:r w:rsidRPr="00211A02">
              <w:rPr>
                <w:rFonts w:ascii="Arial Narrow Bold" w:hAnsi="Arial Narrow Bold" w:cs="Arial Narrow Bold"/>
                <w:color w:val="000000"/>
                <w:sz w:val="18"/>
                <w:szCs w:val="18"/>
              </w:rPr>
              <w:t>Chla (µgL⁻¹)</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48312B1" w14:textId="77777777" w:rsidR="00483399" w:rsidRPr="00211A02" w:rsidRDefault="00483399" w:rsidP="00211A02">
            <w:pPr>
              <w:spacing w:before="0" w:after="0"/>
              <w:ind w:left="20" w:right="20"/>
              <w:jc w:val="center"/>
              <w:rPr>
                <w:sz w:val="18"/>
                <w:szCs w:val="18"/>
              </w:rPr>
            </w:pPr>
            <w:r w:rsidRPr="00211A02">
              <w:rPr>
                <w:rFonts w:ascii="Arial Narrow Bold" w:hAnsi="Arial Narrow Bold" w:cs="Arial Narrow Bold"/>
                <w:color w:val="000000"/>
                <w:sz w:val="18"/>
                <w:szCs w:val="18"/>
              </w:rPr>
              <w:t>DIN (µgL⁻¹)</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371098A" w14:textId="77777777" w:rsidR="00483399" w:rsidRPr="00211A02" w:rsidRDefault="00483399" w:rsidP="00211A02">
            <w:pPr>
              <w:spacing w:before="0" w:after="0"/>
              <w:ind w:left="20" w:right="20"/>
              <w:jc w:val="center"/>
              <w:rPr>
                <w:sz w:val="18"/>
                <w:szCs w:val="18"/>
              </w:rPr>
            </w:pPr>
            <w:r w:rsidRPr="00211A02">
              <w:rPr>
                <w:rFonts w:ascii="Arial Narrow Bold" w:hAnsi="Arial Narrow Bold" w:cs="Arial Narrow Bold"/>
                <w:color w:val="000000"/>
                <w:sz w:val="18"/>
                <w:szCs w:val="18"/>
              </w:rPr>
              <w:t>DOC (mgL⁻¹)</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287A28F" w14:textId="77777777" w:rsidR="00483399" w:rsidRPr="00211A02" w:rsidRDefault="00483399" w:rsidP="00211A02">
            <w:pPr>
              <w:spacing w:before="0" w:after="0"/>
              <w:ind w:left="20" w:right="20"/>
              <w:jc w:val="center"/>
              <w:rPr>
                <w:sz w:val="18"/>
                <w:szCs w:val="18"/>
              </w:rPr>
            </w:pPr>
            <w:r w:rsidRPr="00211A02">
              <w:rPr>
                <w:rFonts w:ascii="Arial Narrow Bold" w:hAnsi="Arial Narrow Bold" w:cs="Arial Narrow Bold"/>
                <w:color w:val="000000"/>
                <w:sz w:val="18"/>
                <w:szCs w:val="18"/>
              </w:rPr>
              <w:t>DON (µgL⁻¹)</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8744753" w14:textId="77777777" w:rsidR="00483399" w:rsidRPr="00211A02" w:rsidRDefault="00483399" w:rsidP="00211A02">
            <w:pPr>
              <w:spacing w:before="0" w:after="0"/>
              <w:ind w:left="20" w:right="20"/>
              <w:jc w:val="center"/>
              <w:rPr>
                <w:sz w:val="18"/>
                <w:szCs w:val="18"/>
              </w:rPr>
            </w:pPr>
            <w:r w:rsidRPr="00211A02">
              <w:rPr>
                <w:rFonts w:ascii="Arial Narrow Bold" w:hAnsi="Arial Narrow Bold" w:cs="Arial Narrow Bold"/>
                <w:color w:val="000000"/>
                <w:sz w:val="18"/>
                <w:szCs w:val="18"/>
              </w:rPr>
              <w:t>DOP (µgL⁻¹)</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FE13342" w14:textId="77777777" w:rsidR="00483399" w:rsidRPr="00211A02" w:rsidRDefault="00483399" w:rsidP="00211A02">
            <w:pPr>
              <w:spacing w:before="0" w:after="0"/>
              <w:ind w:left="20" w:right="20"/>
              <w:jc w:val="center"/>
              <w:rPr>
                <w:sz w:val="18"/>
                <w:szCs w:val="18"/>
              </w:rPr>
            </w:pPr>
            <w:r w:rsidRPr="00211A02">
              <w:rPr>
                <w:rFonts w:ascii="Arial Narrow Bold" w:hAnsi="Arial Narrow Bold" w:cs="Arial Narrow Bold"/>
                <w:color w:val="000000"/>
                <w:sz w:val="18"/>
                <w:szCs w:val="18"/>
              </w:rPr>
              <w:t>NOx (µgL⁻¹)</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D7871B2" w14:textId="77777777" w:rsidR="00483399" w:rsidRPr="00211A02" w:rsidRDefault="00483399" w:rsidP="00211A02">
            <w:pPr>
              <w:spacing w:before="0" w:after="0"/>
              <w:ind w:left="20" w:right="20"/>
              <w:jc w:val="center"/>
              <w:rPr>
                <w:sz w:val="18"/>
                <w:szCs w:val="18"/>
              </w:rPr>
            </w:pPr>
            <w:r w:rsidRPr="00211A02">
              <w:rPr>
                <w:rFonts w:ascii="Arial Narrow Bold" w:hAnsi="Arial Narrow Bold" w:cs="Arial Narrow Bold"/>
                <w:color w:val="000000"/>
                <w:sz w:val="18"/>
                <w:szCs w:val="18"/>
              </w:rPr>
              <w:t>PN (µgL⁻¹)</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0AEAA22" w14:textId="77777777" w:rsidR="00483399" w:rsidRPr="00211A02" w:rsidRDefault="00483399" w:rsidP="00211A02">
            <w:pPr>
              <w:spacing w:before="0" w:after="0"/>
              <w:ind w:left="20" w:right="20"/>
              <w:jc w:val="center"/>
              <w:rPr>
                <w:sz w:val="18"/>
                <w:szCs w:val="18"/>
              </w:rPr>
            </w:pPr>
            <w:r w:rsidRPr="00211A02">
              <w:rPr>
                <w:rFonts w:ascii="Arial Narrow Bold" w:hAnsi="Arial Narrow Bold" w:cs="Arial Narrow Bold"/>
                <w:color w:val="000000"/>
                <w:sz w:val="18"/>
                <w:szCs w:val="18"/>
              </w:rPr>
              <w:t>PO4 (µgL⁻¹)</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7C1A68E" w14:textId="77777777" w:rsidR="00483399" w:rsidRPr="00211A02" w:rsidRDefault="00483399" w:rsidP="00211A02">
            <w:pPr>
              <w:spacing w:before="0" w:after="0"/>
              <w:ind w:left="20" w:right="20"/>
              <w:jc w:val="center"/>
              <w:rPr>
                <w:sz w:val="18"/>
                <w:szCs w:val="18"/>
              </w:rPr>
            </w:pPr>
            <w:r w:rsidRPr="00211A02">
              <w:rPr>
                <w:rFonts w:ascii="Arial Narrow Bold" w:hAnsi="Arial Narrow Bold" w:cs="Arial Narrow Bold"/>
                <w:color w:val="000000"/>
                <w:sz w:val="18"/>
                <w:szCs w:val="18"/>
              </w:rPr>
              <w:t>POC (mgL⁻¹)</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B1F6502" w14:textId="77777777" w:rsidR="00483399" w:rsidRPr="00211A02" w:rsidRDefault="00483399" w:rsidP="00211A02">
            <w:pPr>
              <w:spacing w:before="0" w:after="0"/>
              <w:ind w:left="20" w:right="20"/>
              <w:jc w:val="center"/>
              <w:rPr>
                <w:sz w:val="18"/>
                <w:szCs w:val="18"/>
              </w:rPr>
            </w:pPr>
            <w:r w:rsidRPr="00211A02">
              <w:rPr>
                <w:rFonts w:ascii="Arial Narrow Bold" w:hAnsi="Arial Narrow Bold" w:cs="Arial Narrow Bold"/>
                <w:color w:val="000000"/>
                <w:sz w:val="18"/>
                <w:szCs w:val="18"/>
              </w:rPr>
              <w:t>PP (µgL⁻¹)</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E72EC3E" w14:textId="77777777" w:rsidR="00483399" w:rsidRPr="00211A02" w:rsidRDefault="00483399" w:rsidP="00211A02">
            <w:pPr>
              <w:spacing w:before="0" w:after="0"/>
              <w:ind w:left="20" w:right="20"/>
              <w:jc w:val="center"/>
              <w:rPr>
                <w:sz w:val="18"/>
                <w:szCs w:val="18"/>
              </w:rPr>
            </w:pPr>
            <w:r w:rsidRPr="00211A02">
              <w:rPr>
                <w:rFonts w:ascii="Arial Narrow Bold" w:hAnsi="Arial Narrow Bold" w:cs="Arial Narrow Bold"/>
                <w:color w:val="000000"/>
                <w:sz w:val="18"/>
                <w:szCs w:val="18"/>
              </w:rPr>
              <w:t>Secchi (m)</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9DE03BB" w14:textId="77777777" w:rsidR="00483399" w:rsidRPr="00211A02" w:rsidRDefault="00483399" w:rsidP="00211A02">
            <w:pPr>
              <w:spacing w:before="0" w:after="0"/>
              <w:ind w:left="20" w:right="20"/>
              <w:jc w:val="center"/>
              <w:rPr>
                <w:sz w:val="18"/>
                <w:szCs w:val="18"/>
              </w:rPr>
            </w:pPr>
            <w:r w:rsidRPr="00211A02">
              <w:rPr>
                <w:rFonts w:ascii="Arial Narrow Bold" w:hAnsi="Arial Narrow Bold" w:cs="Arial Narrow Bold"/>
                <w:color w:val="000000"/>
                <w:sz w:val="18"/>
                <w:szCs w:val="18"/>
              </w:rPr>
              <w:t>TSS (mgL⁻¹)</w:t>
            </w:r>
          </w:p>
        </w:tc>
      </w:tr>
      <w:tr w:rsidR="00483399" w:rsidRPr="00211A02" w14:paraId="43D687D4" w14:textId="77777777" w:rsidTr="00211A02">
        <w:tc>
          <w:tcPr>
            <w:tcW w:w="81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E77B27"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Wet Tropics</w:t>
            </w: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6C8F02"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Cape Tribulation</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B74C12"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EE0A4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0C56E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6E95F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7CDBF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101A8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D7827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B5EB8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184B2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0876E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C6644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0279B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03837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r>
      <w:tr w:rsidR="00483399" w:rsidRPr="00211A02" w14:paraId="7C5D1AB8"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259A92"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A7A29C"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163721"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E4DBB9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22581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9A21B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932.55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0CBF5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81.31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14BC6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8D834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F31BC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7D965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FD0A1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168.51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3787AF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3.95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011CCB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4.38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5E8504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2.85</w:t>
            </w:r>
          </w:p>
        </w:tc>
      </w:tr>
      <w:tr w:rsidR="00483399" w:rsidRPr="00211A02" w14:paraId="0861F284"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D70BA4"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E663BA"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8CA58C"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1B7B09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FD9A2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10484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937.31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B096E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78.02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9A7CC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B1D31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FC937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B2223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D72D4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155.33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4F02D4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3.96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D067AC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CA1DB2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2.41</w:t>
            </w:r>
          </w:p>
        </w:tc>
      </w:tr>
      <w:tr w:rsidR="00483399" w:rsidRPr="00211A02" w14:paraId="203BE986"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A16907"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46F86D"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B540FF"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8B307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CFC13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342F5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886.31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09576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6ADDB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C974E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96823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0DFF4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06057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138.82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0D014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F5A54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D1808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1.24</w:t>
            </w:r>
          </w:p>
        </w:tc>
      </w:tr>
      <w:tr w:rsidR="00483399" w:rsidRPr="00211A02" w14:paraId="791889B5"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7A7B8B"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E25060"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32344A"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20th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0CC45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D40B3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BE911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D04EC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6C2AF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BA63A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8D266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0619B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14C64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142.13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07CBB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1E11B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9AF0E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1.36</w:t>
            </w:r>
          </w:p>
        </w:tc>
      </w:tr>
      <w:tr w:rsidR="00483399" w:rsidRPr="00211A02" w14:paraId="6679A19C"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67E302"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7CA01D"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1750F4"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80th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89610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5B3E5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72E3A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956.01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93332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1DA08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A4519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DA264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FA8B3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BBA3B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189.62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8431B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7426F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07209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4.16</w:t>
            </w:r>
          </w:p>
        </w:tc>
      </w:tr>
      <w:tr w:rsidR="00483399" w:rsidRPr="00211A02" w14:paraId="3A4FB86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39C154"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BA9453"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D901B4"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95th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23302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FB393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CF904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972.13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DFF48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98.32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B5948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0EACB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04EDD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25AA5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03FBB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216.66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DD1D0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AED20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BC63D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5.07</w:t>
            </w:r>
          </w:p>
        </w:tc>
      </w:tr>
      <w:tr w:rsidR="00483399" w:rsidRPr="00211A02" w14:paraId="37E3DBE5"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630EB5"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37F8D1"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513335"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Guideline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26447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1D0BE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5F719F"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96912A"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4BDF23"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BC045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FED05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8BCB42"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019684"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F8233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6CBA7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3A693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r w:rsidR="00483399" w:rsidRPr="00211A02" w14:paraId="0E68E1C5"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77A367" w14:textId="77777777" w:rsidR="00483399" w:rsidRPr="00211A02" w:rsidRDefault="00483399" w:rsidP="00211A02">
            <w:pPr>
              <w:spacing w:before="0" w:after="0"/>
              <w:rPr>
                <w:sz w:val="18"/>
                <w:szCs w:val="18"/>
              </w:rPr>
            </w:pP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C47DA2"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Snapper North</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149A2D"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6B809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3135A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E48A8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A4549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4DC0A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E4AF6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2A732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90DD3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82467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D7114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BE07B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3BB3A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r>
      <w:tr w:rsidR="00483399" w:rsidRPr="00211A02" w14:paraId="20C658CB"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AA0806"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02B6A1"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252045"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053D27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BE833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BD8AB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888.18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80246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00DEE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7518C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43FBE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23D1E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38E7A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153.92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B1BF63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3.24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AC1822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CAC159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2.05</w:t>
            </w:r>
          </w:p>
        </w:tc>
      </w:tr>
      <w:tr w:rsidR="00483399" w:rsidRPr="00211A02" w14:paraId="31AA89E9"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492A1A"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E116CA"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341A14"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4D92AD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4C343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7C2D3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882.49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DEC3B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83.13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07E4B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DDAC5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28CB5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0C89C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0DE58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155.21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32BC7F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2.97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1A2E05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85376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1.89</w:t>
            </w:r>
          </w:p>
        </w:tc>
      </w:tr>
      <w:tr w:rsidR="00483399" w:rsidRPr="00211A02" w14:paraId="6E629F6C"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798B47"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E1289E"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DFF89B"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514FE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72A1C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B5928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855.68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C4391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CDEEB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4C668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0741A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6DBAD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A5C5E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139.55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A5720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13505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FE6B2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w:t>
            </w:r>
          </w:p>
        </w:tc>
      </w:tr>
      <w:tr w:rsidR="00483399" w:rsidRPr="00211A02" w14:paraId="7A33135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8AD8A9"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A6B0EC"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DE2C4B"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20th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561BE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7A356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5F963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864.62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13C30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68.58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2DE31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6D093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07A7D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BE148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25844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144.77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51B6A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D9B48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EEB8C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1.83</w:t>
            </w:r>
          </w:p>
        </w:tc>
      </w:tr>
      <w:tr w:rsidR="00483399" w:rsidRPr="00211A02" w14:paraId="3D926BFE"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7AC0A9"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3DE032"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CEBEF9"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80th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81240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4F3A7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83BE7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910.61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2F2BD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85.02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B1583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929EB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DF665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65D04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F30D6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163.33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550BD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B3390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9E9A4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2.24</w:t>
            </w:r>
          </w:p>
        </w:tc>
      </w:tr>
      <w:tr w:rsidR="00483399" w:rsidRPr="00211A02" w14:paraId="50D103AF"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45C36B"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66B909"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D56DF5"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95th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E801C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983A5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0293F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924.67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F3305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85.97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9249B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225EE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9F759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6F327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F005C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167.38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1B6C0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0B36B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3F920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2.41</w:t>
            </w:r>
          </w:p>
        </w:tc>
      </w:tr>
      <w:tr w:rsidR="00483399" w:rsidRPr="00211A02" w14:paraId="6CDCA75E"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8729CF"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5BF737"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27CCF9"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Guideline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EF5E0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F7DA4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7DF9E3"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E84B5C"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9FF6B8"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C8B2B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7C96A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AB8643"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4AA823"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20FA7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367AF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17D1E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r w:rsidR="00483399" w:rsidRPr="00211A02" w14:paraId="270CE3E1"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0DA52D" w14:textId="77777777" w:rsidR="00483399" w:rsidRPr="00211A02" w:rsidRDefault="00483399" w:rsidP="00211A02">
            <w:pPr>
              <w:spacing w:before="0" w:after="0"/>
              <w:rPr>
                <w:sz w:val="18"/>
                <w:szCs w:val="18"/>
              </w:rPr>
            </w:pP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869C11"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Port Douglas</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1E2785"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DEF00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AA5CA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B09FD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F212D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CA94D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BD76F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89C0A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B118E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15BD1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03433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3763F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0398E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r>
      <w:tr w:rsidR="00483399" w:rsidRPr="00211A02" w14:paraId="5B1F5242"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8EF70C"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A845B3"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86C2AA"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E6B71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0BDF0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78D7C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877.43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FBCAC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74.54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9E54E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3.78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62C3FC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981DB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B906E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4B2E8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137.95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843C92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3.08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B87CEB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12AA6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1.77</w:t>
            </w:r>
          </w:p>
        </w:tc>
      </w:tr>
      <w:tr w:rsidR="00483399" w:rsidRPr="00211A02" w14:paraId="4ED22D78"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A393F4"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6FD9A6"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FD7F43"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07EB8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E3911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42845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853.43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DBB4A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69.72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AF3E2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F0D20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B76C8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CA6FA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2A048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132.53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2FC84F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2.97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C869E8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7B5E0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1.84</w:t>
            </w:r>
          </w:p>
        </w:tc>
      </w:tr>
      <w:tr w:rsidR="00483399" w:rsidRPr="00211A02" w14:paraId="4E5FA15F"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273E04"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830F19"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E6FE49"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B605F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0EDD1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43D24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823.53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E7E13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64.87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B7BD8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EE562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6D0BC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6904A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E3E86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121.24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56EB8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9600B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A65D8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1.57</w:t>
            </w:r>
          </w:p>
        </w:tc>
      </w:tr>
      <w:tr w:rsidR="00483399" w:rsidRPr="00211A02" w14:paraId="3B1282BF"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BE875D"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5BCA0F"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638209"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20th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804BE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ED362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42A64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825.79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F2735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65.47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3EF61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73C05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A7EB8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0487C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D95A9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122.66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7564B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A6999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5F74D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w:t>
            </w:r>
          </w:p>
        </w:tc>
      </w:tr>
      <w:tr w:rsidR="00483399" w:rsidRPr="00211A02" w14:paraId="4AEF2040"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2EB207"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708BD0"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B0792A"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80th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25087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C3812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3E4B3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919.47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D7A67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81.68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18F86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FE0F2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97806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254B8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CF53A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151.08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C9372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56112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DCBA9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1.86</w:t>
            </w:r>
          </w:p>
        </w:tc>
      </w:tr>
      <w:tr w:rsidR="00483399" w:rsidRPr="00211A02" w14:paraId="0D37BDAC"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B51895"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7CE419"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475000"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95th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D4DD5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3BA45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1DCDF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964.94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7272F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90.96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B0399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9EAFA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C6347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D6E6E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64546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162.26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06C74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17390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F2587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1.86</w:t>
            </w:r>
          </w:p>
        </w:tc>
      </w:tr>
      <w:tr w:rsidR="00483399" w:rsidRPr="00211A02" w14:paraId="3BBD10F3"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742FB8"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576B06"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B189ED"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Guideline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0528E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00188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B94291"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3B7A96"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DA9208"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20DF9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2ECE3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AB1350"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10C865"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E4867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081AF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FE458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r w:rsidR="00483399" w:rsidRPr="00211A02" w14:paraId="5D02D763"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3FFEC3" w14:textId="77777777" w:rsidR="00483399" w:rsidRPr="00211A02" w:rsidRDefault="00483399" w:rsidP="00211A02">
            <w:pPr>
              <w:spacing w:before="0" w:after="0"/>
              <w:rPr>
                <w:sz w:val="18"/>
                <w:szCs w:val="18"/>
              </w:rPr>
            </w:pP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1D596E"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Double</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FC9B97"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E9C66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6D090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00207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E9732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F392C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52E6E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7153D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A9EE6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2B4E4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665BA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D7BA1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0A524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r>
      <w:tr w:rsidR="00483399" w:rsidRPr="00211A02" w14:paraId="52D67ACC"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0DE541"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20C4DC"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2CE206"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E7B93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B8BC2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163FB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856.59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962CE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81.91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44D42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8C159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25BB6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9349A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7E5F9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259E4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2.69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335BC1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7CD3C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1.47</w:t>
            </w:r>
          </w:p>
        </w:tc>
      </w:tr>
      <w:tr w:rsidR="00483399" w:rsidRPr="00211A02" w14:paraId="59A4F3F1"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31D2B5"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6D2120"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9CAB62"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567918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46304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B7A80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847.5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B6EFC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18DB0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97E85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B87BE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75951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E5B90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F7E5F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2.77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83DCC7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DA7AC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1.45</w:t>
            </w:r>
          </w:p>
        </w:tc>
      </w:tr>
      <w:tr w:rsidR="00483399" w:rsidRPr="00211A02" w14:paraId="2B6D2185"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2F41B0"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F7CE4F"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B29094"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615C7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257E9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75A77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796.42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A666C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71.26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C2E03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20EBE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061CA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85636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42ECC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89.52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82C5B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E7F07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020B0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1.17</w:t>
            </w:r>
          </w:p>
        </w:tc>
      </w:tr>
      <w:tr w:rsidR="00483399" w:rsidRPr="00211A02" w14:paraId="7B21C572"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ABC456"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97C2A1"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12547D"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20th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3FE32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FA1B4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F5FB1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809.87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AD877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71.92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32438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55A2C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538FF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C74D2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E88BA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104.84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41F9A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145FA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A6629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1.29</w:t>
            </w:r>
          </w:p>
        </w:tc>
      </w:tr>
      <w:tr w:rsidR="00483399" w:rsidRPr="00211A02" w14:paraId="4C2A0FCA"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A0B141"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BCFAC9"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EDA146"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80th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50D35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C9AE4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30315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899.67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E2868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88.82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4F459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2E021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12B10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1D47E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5B7EB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133.78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1A307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C21F3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3486F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1.64</w:t>
            </w:r>
          </w:p>
        </w:tc>
      </w:tr>
      <w:tr w:rsidR="00483399" w:rsidRPr="00211A02" w14:paraId="0CA5134C"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AC8770"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D47900"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32E060"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95th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D6818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33791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B98D4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929.47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6C899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103.36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E67E2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828F6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C38E0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2D655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952D3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143.57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F39D4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E6470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407A6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1.79</w:t>
            </w:r>
          </w:p>
        </w:tc>
      </w:tr>
      <w:tr w:rsidR="00483399" w:rsidRPr="00211A02" w14:paraId="06E5FA7C"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E1F578"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92D288"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A3B8B8"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Guideline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F25AB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8ED93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304922"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7266A2"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D8210E"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78E58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099AB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826828"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E2870B"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6399E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13CB6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6FB0F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r w:rsidR="00483399" w:rsidRPr="00211A02" w14:paraId="47F98E9E"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C7246A" w14:textId="77777777" w:rsidR="00483399" w:rsidRPr="00211A02" w:rsidRDefault="00483399" w:rsidP="00211A02">
            <w:pPr>
              <w:spacing w:before="0" w:after="0"/>
              <w:rPr>
                <w:sz w:val="18"/>
                <w:szCs w:val="18"/>
              </w:rPr>
            </w:pP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CCC748"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Green</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05E7A7"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94CAF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3BECC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F86AC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25739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D0482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6C673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C0968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5B81F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95171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A31EE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E5461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BE561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r>
      <w:tr w:rsidR="00483399" w:rsidRPr="00211A02" w14:paraId="2C190DD6"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E12135"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C3D7FB"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4176F9"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7E108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4D4F2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E18C6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844.28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D3A54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71.05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789A8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CD82B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1D680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2B8B9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96CD3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96.77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4A802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D23509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D713A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0.84</w:t>
            </w:r>
          </w:p>
        </w:tc>
      </w:tr>
      <w:tr w:rsidR="00483399" w:rsidRPr="00211A02" w14:paraId="12987E28"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34985E"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C62EE1"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015AAE"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00C97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3D7E4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22051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838.24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293B8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66.36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DCDE5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4B847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253AD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4F4F1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9A821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88.99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7DB0E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EF8741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8B99C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0.76</w:t>
            </w:r>
          </w:p>
        </w:tc>
      </w:tr>
      <w:tr w:rsidR="00483399" w:rsidRPr="00211A02" w14:paraId="7BC3DC18"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2C83D8"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CAE1F6"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4B9B2C"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8CA3A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7002A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21D21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817.3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84F8D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64.11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4B5D6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4BC1B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5450C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AB58A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73E1D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ABEEA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EED4E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69AAA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0.38</w:t>
            </w:r>
          </w:p>
        </w:tc>
      </w:tr>
      <w:tr w:rsidR="00483399" w:rsidRPr="00211A02" w14:paraId="4C6937CA"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DF7D5B"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D8D078"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C25F37"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20th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CB8FB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55CF1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F6EDF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817.66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12F3C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65.12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1E8F7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731D0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2D69F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47DD9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0C92B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75.09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6469F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42F91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5A833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0.55</w:t>
            </w:r>
          </w:p>
        </w:tc>
      </w:tr>
      <w:tr w:rsidR="00483399" w:rsidRPr="00211A02" w14:paraId="15B4DBD9"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8E138D"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90F9E4"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CF6870"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80th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E6448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E0304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A9254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868.49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08F16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75.11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230FD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23366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EB911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2B1B7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C98FD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115.33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9F8B9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B9DB1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17020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1.09</w:t>
            </w:r>
          </w:p>
        </w:tc>
      </w:tr>
      <w:tr w:rsidR="00483399" w:rsidRPr="00211A02" w14:paraId="50B6CBE6"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62D47E"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7EDC9D"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E229A9"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95th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64FBD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1DE02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2C7CC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879.72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BAAA1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84.56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1C141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3C7B9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5F497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93529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D479A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130.63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4C76E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7A575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75226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w:t>
            </w:r>
          </w:p>
        </w:tc>
      </w:tr>
      <w:tr w:rsidR="00483399" w:rsidRPr="00211A02" w14:paraId="2B2D7A64"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B90CA7"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270AD4"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D74EA3"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Guideline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F0CB6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B943B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673D2F"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A32A64"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9DEA9C"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3E49E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A6C81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57D128"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FFD673"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D301B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F4F68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A2BCB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r w:rsidR="00483399" w:rsidRPr="00211A02" w14:paraId="76C42661"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BD08A0" w14:textId="77777777" w:rsidR="00483399" w:rsidRPr="00211A02" w:rsidRDefault="00483399" w:rsidP="00211A02">
            <w:pPr>
              <w:spacing w:before="0" w:after="0"/>
              <w:rPr>
                <w:sz w:val="18"/>
                <w:szCs w:val="18"/>
              </w:rPr>
            </w:pP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00A1BE"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Yorkey's Knob</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49B1AA"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31B71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49387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07B13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25E36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925D4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12669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F6358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7035E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D0280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9B361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76924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D7898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r>
      <w:tr w:rsidR="00483399" w:rsidRPr="00211A02" w14:paraId="14229CD8"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0160BB"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E8CBC2"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DDCBE8"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DE47BD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6FCAF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CB044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946.52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6F223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61.51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810B8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A2EDB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86528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18149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DA32F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196.06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2E1958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5.56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332428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A2FBAE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4.79</w:t>
            </w:r>
          </w:p>
        </w:tc>
      </w:tr>
      <w:tr w:rsidR="00483399" w:rsidRPr="00211A02" w14:paraId="587DAD23"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E7CB49"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6E6790"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87FA6C"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E9EC57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0B5ED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41754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897.83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3D209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1783F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2D748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DCB09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70791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E30D9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186.76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F8D8C0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5.59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4420CD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4F43AB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4.52</w:t>
            </w:r>
          </w:p>
        </w:tc>
      </w:tr>
      <w:tr w:rsidR="00483399" w:rsidRPr="00211A02" w14:paraId="262021A2"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680123"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008B5B"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EF14A0"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F70DA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D2823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DBA3E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787.02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2B867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D19FB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E9740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14A84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896C8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169AF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116.33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42E61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81F8B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2E6D3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2.02</w:t>
            </w:r>
          </w:p>
        </w:tc>
      </w:tr>
      <w:tr w:rsidR="00483399" w:rsidRPr="00211A02" w14:paraId="64EDB8AC"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B7111A"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17F6B3"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600C38"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20th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C175F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D86D3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E2859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845.64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2BA49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55.58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55C0D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D3FAB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45BC3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53126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F5D3A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C4D30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DFAF7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5A795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2.75</w:t>
            </w:r>
          </w:p>
        </w:tc>
      </w:tr>
      <w:tr w:rsidR="00483399" w:rsidRPr="00211A02" w14:paraId="78879C80"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D29600"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D1269D"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C319BE"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80th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BF7D8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3F159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2BCCC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1027.92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5C758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67.12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1526C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7CFEF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4D90A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B2875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FE20E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238.03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419FD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9D545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BA778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6.73</w:t>
            </w:r>
          </w:p>
        </w:tc>
      </w:tr>
      <w:tr w:rsidR="00483399" w:rsidRPr="00211A02" w14:paraId="3BA97F10"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8BD862"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F8E112"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DF5597"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95th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E36AD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86333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67838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1174.17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2E6A8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68.86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B9F5B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154A0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C6964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23.68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7F8DE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7504D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48292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5F0CE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7F533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7.95</w:t>
            </w:r>
          </w:p>
        </w:tc>
      </w:tr>
      <w:tr w:rsidR="00483399" w:rsidRPr="00211A02" w14:paraId="04889E46"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7C674B"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93AA52"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F9F238"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Guideline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CE0D8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E912C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828BB3"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363468"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856694"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BD0BB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773E0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945901"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2764DD"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55428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E649D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ABFFF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r w:rsidR="00483399" w:rsidRPr="00211A02" w14:paraId="14BAB17F"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2CA598" w14:textId="77777777" w:rsidR="00483399" w:rsidRPr="00211A02" w:rsidRDefault="00483399" w:rsidP="00211A02">
            <w:pPr>
              <w:spacing w:before="0" w:after="0"/>
              <w:rPr>
                <w:sz w:val="18"/>
                <w:szCs w:val="18"/>
              </w:rPr>
            </w:pP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D97A9B"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Fairlead Buoy</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41639A"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96D5E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97BE6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71437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35632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2A8B5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315CB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BE512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3B8D3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A49D2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2D502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6905D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11035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r>
      <w:tr w:rsidR="00483399" w:rsidRPr="00211A02" w14:paraId="2D0D9386"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381D24"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C2DD45"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AF8F2F"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814E63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D104F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B8D6B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894.78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1219E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76.04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786A3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8F9BC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579B9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F91DE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FD71F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237.78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20A40B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7.13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E62600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F0C11A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8.22</w:t>
            </w:r>
          </w:p>
        </w:tc>
      </w:tr>
      <w:tr w:rsidR="00483399" w:rsidRPr="00211A02" w14:paraId="4327852A"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E15870"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0ABBF1"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D9051C"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AA5E70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9DBC8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55987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898.83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C649B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72.56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06FEC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69A19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69E53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8B5F7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D98AE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247.55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7B2AEB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7.14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CE654F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B55519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8.59</w:t>
            </w:r>
          </w:p>
        </w:tc>
      </w:tr>
      <w:tr w:rsidR="00483399" w:rsidRPr="00211A02" w14:paraId="59C2075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2C7366"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53F368"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ADD771"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2ECAC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267ED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DC3D9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822.23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33BAF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71.79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99AD1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9321B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80CD0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459EA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E4D0E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153.01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2EEC0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21DF0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74D2A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3.26</w:t>
            </w:r>
          </w:p>
        </w:tc>
      </w:tr>
      <w:tr w:rsidR="00483399" w:rsidRPr="00211A02" w14:paraId="46F3DBE1"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A16B8E"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A7E839"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84B10A"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20th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88C0C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58343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D8C68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841.19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43FB2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72.08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06310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92AB2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BE104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83445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E1A19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194.14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FFD0A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F376A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1AA33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4.86</w:t>
            </w:r>
          </w:p>
        </w:tc>
      </w:tr>
      <w:tr w:rsidR="00483399" w:rsidRPr="00211A02" w14:paraId="0FFD1E98"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47265A"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96F57C"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543EA9"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80th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F49E1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623AF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7BEDD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949.99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5F429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78.61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8A88A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A83FE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A99D8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21.46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0DE90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B0FA2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285.34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7A3AE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32B6B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985B8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11.72</w:t>
            </w:r>
          </w:p>
        </w:tc>
      </w:tr>
      <w:tr w:rsidR="00483399" w:rsidRPr="00211A02" w14:paraId="19528C6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8B760C"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3C997B"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D8C58B"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95th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1F58B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9C0C1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87FE5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961.67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34DD0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85.18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0FD00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AB58E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7E8C0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23.41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CDE66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0C76F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308.88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3D16D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A1C43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F06B5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12.65</w:t>
            </w:r>
          </w:p>
        </w:tc>
      </w:tr>
      <w:tr w:rsidR="00483399" w:rsidRPr="00211A02" w14:paraId="021F0B1C"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E1DE55"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1B2738"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BC35A2"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Guideline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625AB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3F410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AD7604"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954934"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2609E2"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56139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39943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F8DDF3"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677B6E"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F7281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C9E13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D27D5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r w:rsidR="00483399" w:rsidRPr="00211A02" w14:paraId="2B079196"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F9F3DB" w14:textId="77777777" w:rsidR="00483399" w:rsidRPr="00211A02" w:rsidRDefault="00483399" w:rsidP="00211A02">
            <w:pPr>
              <w:spacing w:before="0" w:after="0"/>
              <w:rPr>
                <w:sz w:val="18"/>
                <w:szCs w:val="18"/>
              </w:rPr>
            </w:pP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0D0BBA"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Fitzroy West</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87B004"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78744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12888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0DC6F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95E21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0F84B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62493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9F0DA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DACD1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FB42B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3AA83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5421F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A8E93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r>
      <w:tr w:rsidR="00483399" w:rsidRPr="00211A02" w14:paraId="6B935FEF"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690095"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482CD8"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ED36B5"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58883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6F2E6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53FFA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958.24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82B80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78.53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D9C32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2058E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FF766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6F0BA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1E567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E7DC6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2.39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80079E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52264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1.07</w:t>
            </w:r>
          </w:p>
        </w:tc>
      </w:tr>
      <w:tr w:rsidR="00483399" w:rsidRPr="00211A02" w14:paraId="3C6EA500"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D4547B"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B9A183"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760C95"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CDA2D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ED15E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6E2C2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901.76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A11AA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74.18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8858E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C66BE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2677A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C9096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797B3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99.03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78066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69A841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C97A8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1.01</w:t>
            </w:r>
          </w:p>
        </w:tc>
      </w:tr>
      <w:tr w:rsidR="00483399" w:rsidRPr="00211A02" w14:paraId="6B6178D1"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BCB28F"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1B15AF"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1B861B"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F4A81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E1D5A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CEF45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757.02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81553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52.19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AE4EF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17E72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0B3DA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47EC0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36BEA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71.78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3C0A8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6C569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4313F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0.72</w:t>
            </w:r>
          </w:p>
        </w:tc>
      </w:tr>
      <w:tr w:rsidR="00483399" w:rsidRPr="00211A02" w14:paraId="4699E2B7"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64C976"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917E1F"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A04554"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20th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9067B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E83DF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9DD5B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796.33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1CB50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59CEC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5F284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97E55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44DB2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98E7C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015B8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20D20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27740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0.78</w:t>
            </w:r>
          </w:p>
        </w:tc>
      </w:tr>
      <w:tr w:rsidR="00483399" w:rsidRPr="00211A02" w14:paraId="54E2AA70"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9B6199"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FBD944"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CABF66"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80th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1D80A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DD3CE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76CA5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1018.61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3CD2E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85.39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72DDD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B4CA9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CBA0C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E48B9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CB5B9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159.66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85C43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C53E5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F5203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1.41</w:t>
            </w:r>
          </w:p>
        </w:tc>
      </w:tr>
      <w:tr w:rsidR="00483399" w:rsidRPr="00211A02" w14:paraId="13830858"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B16235"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1144BA"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865342"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95th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34F3F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7F9D7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C90FE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1317.5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7344A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118.98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1D24D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1C11A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DEAFB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084DE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A1A73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204.43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99562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8A05B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09C2C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1.42</w:t>
            </w:r>
          </w:p>
        </w:tc>
      </w:tr>
      <w:tr w:rsidR="00483399" w:rsidRPr="00211A02" w14:paraId="0FBE3BC4"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E3D197"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EC5B7B"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7E5E6A"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Guideline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F8F57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ED410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E473DF"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3E130B"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6D6F74"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59828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F1DA5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51751A"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061CD8"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8D5F5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9044E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B0551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r w:rsidR="00483399" w:rsidRPr="00211A02" w14:paraId="1BCAC632"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0775D8" w14:textId="77777777" w:rsidR="00483399" w:rsidRPr="00211A02" w:rsidRDefault="00483399" w:rsidP="00211A02">
            <w:pPr>
              <w:spacing w:before="0" w:after="0"/>
              <w:rPr>
                <w:sz w:val="18"/>
                <w:szCs w:val="18"/>
              </w:rPr>
            </w:pP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409652"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High West</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D379C5"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F333F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1D437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B17FD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8379D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E5D44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0E1B0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2F0CC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0AA55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7582B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23D82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293DA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2FA49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r>
      <w:tr w:rsidR="00483399" w:rsidRPr="00211A02" w14:paraId="6C96F252"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22379E"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BC8A5E"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1511D7"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35A28D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DDA1B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929D2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972.54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A31A8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75.71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3CE26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4.31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AC6D9A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98605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B3C0F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FDBC4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143.17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2C209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2.71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7EB414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5.62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7344DB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2.09</w:t>
            </w:r>
          </w:p>
        </w:tc>
      </w:tr>
      <w:tr w:rsidR="00483399" w:rsidRPr="00211A02" w14:paraId="4DB7F581"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DB2980"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D3FB1F"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55DC8F"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FB1D0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94C55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6499B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952.89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69D0E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76.52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801C7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CFCB7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BD080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E96A5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A1E3E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B1BDC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2.51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4CA94D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BC1D2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w:t>
            </w:r>
          </w:p>
        </w:tc>
      </w:tr>
      <w:tr w:rsidR="00483399" w:rsidRPr="00211A02" w14:paraId="05C55F76"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522B82"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5BE54E"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78BB53"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B73EC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EF8FF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73ABE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858.18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95E82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68.48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F8CF7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3C5FF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39C4F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453F5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9B0A9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82.15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F2794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248A9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E49F7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1.04</w:t>
            </w:r>
          </w:p>
        </w:tc>
      </w:tr>
      <w:tr w:rsidR="00483399" w:rsidRPr="00211A02" w14:paraId="0886AB29"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EBE830"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376DBB"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794ED1"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20th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D15E0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10EB9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29D5E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902.67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0073B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71.12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63D0B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4A6B7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09D1E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C5852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92BA2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88.99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FB795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6A503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948A3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1.16</w:t>
            </w:r>
          </w:p>
        </w:tc>
      </w:tr>
      <w:tr w:rsidR="00483399" w:rsidRPr="00211A02" w14:paraId="6B22F280"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60F533"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AB6CEE"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7EEAA3"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80th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FC329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2D168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C727A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1034.56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499C0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F4326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3F770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C65C4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CED8A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593AE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190.73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34B1E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99493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9B7D4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2.91</w:t>
            </w:r>
          </w:p>
        </w:tc>
      </w:tr>
      <w:tr w:rsidR="00483399" w:rsidRPr="00211A02" w14:paraId="3B28653B"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BDF82F"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E6FB44"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423187"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95th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72C90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9617B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186D9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1114.41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3231B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81.79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A957B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96464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13840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BD307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F97EA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227.39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7DA23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C4087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86A9A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3.64</w:t>
            </w:r>
          </w:p>
        </w:tc>
      </w:tr>
      <w:tr w:rsidR="00483399" w:rsidRPr="00211A02" w14:paraId="18774939"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C06D4A"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2D7617"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1831C4"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Guideline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39E4C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0A5F1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EEC30E"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BDD7C9"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0C22D9"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A196B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204AB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E02774"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564B1B"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8C2CF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A5D79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4DCB2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r w:rsidR="00483399" w:rsidRPr="00211A02" w14:paraId="6EB49EFE"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40D012" w14:textId="77777777" w:rsidR="00483399" w:rsidRPr="00211A02" w:rsidRDefault="00483399" w:rsidP="00211A02">
            <w:pPr>
              <w:spacing w:before="0" w:after="0"/>
              <w:rPr>
                <w:sz w:val="18"/>
                <w:szCs w:val="18"/>
              </w:rPr>
            </w:pP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7B1D80"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Franklands West</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27A4F9"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F0A66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2C448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4E1F6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18626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83E00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36923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93EC6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E0C32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AC38C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0B740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6DFCF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8D745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w:t>
            </w:r>
          </w:p>
        </w:tc>
      </w:tr>
      <w:tr w:rsidR="00483399" w:rsidRPr="00211A02" w14:paraId="61EA0067"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44665E"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17F3CC"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F0B62B"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89806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0F3E0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CBEAF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887.76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00C2D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77.92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3FA12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160FF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7026F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92B0B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9202B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152.61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7E329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A66BE9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AA7F8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1.05</w:t>
            </w:r>
          </w:p>
        </w:tc>
      </w:tr>
      <w:tr w:rsidR="00483399" w:rsidRPr="00211A02" w14:paraId="535691A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1E6462"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FDE2D6"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F4006A"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C09FB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BC656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8B218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91C3F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75.89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17634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48430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40522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9BE67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E4AC8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105.32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BBC6A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2.13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CC1E2E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2B25D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0.93</w:t>
            </w:r>
          </w:p>
        </w:tc>
      </w:tr>
      <w:tr w:rsidR="00483399" w:rsidRPr="00211A02" w14:paraId="41E0105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1F7004"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191EF2"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C50D6C"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A0A41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C4584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7C808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808.66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5B8CD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37E19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D70A0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A82E5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05C4B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58CB3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60.17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79E1D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DABB0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46741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0.55</w:t>
            </w:r>
          </w:p>
        </w:tc>
      </w:tr>
      <w:tr w:rsidR="00483399" w:rsidRPr="00211A02" w14:paraId="30AEEB7C"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E0853E"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6483F8"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27C93D"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20th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6004A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9F25D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7B017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817.52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F42F1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BE43D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3C7BF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6BD6A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1648B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F066F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69.77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AB5E2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472BF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6EBF5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0.82</w:t>
            </w:r>
          </w:p>
        </w:tc>
      </w:tr>
      <w:tr w:rsidR="00483399" w:rsidRPr="00211A02" w14:paraId="1E46D482"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8CB216"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98DF1E"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B455AA"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80th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475DC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E69C3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032DB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862.57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FE840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91.26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1AD3C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3A989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FB930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23.22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44F8D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0A526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284.91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070EA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CA1E8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01A5E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1.22</w:t>
            </w:r>
          </w:p>
        </w:tc>
      </w:tr>
      <w:tr w:rsidR="00483399" w:rsidRPr="00211A02" w14:paraId="701CCAA2"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53322E"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B8D5F7"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F55AF7"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95th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AFA7B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C13C1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2A414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1060.72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17FAB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96.86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FB27B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2F3F0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925F3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27.54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5C83B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352A0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291.23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99B9E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7F07E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5EE8F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1.78</w:t>
            </w:r>
          </w:p>
        </w:tc>
      </w:tr>
      <w:tr w:rsidR="00483399" w:rsidRPr="00211A02" w14:paraId="43824ADF"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96A6CF"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8A13B6"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231605"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Guideline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107CA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8C084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25BF25"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22A8F6"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B8B9E4"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C00F1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10704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AF213E"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9B00C4"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7956B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00798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43222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r w:rsidR="00483399" w:rsidRPr="00211A02" w14:paraId="2A462DCC"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7F2DE4" w14:textId="77777777" w:rsidR="00483399" w:rsidRPr="00211A02" w:rsidRDefault="00483399" w:rsidP="00211A02">
            <w:pPr>
              <w:spacing w:before="0" w:after="0"/>
              <w:rPr>
                <w:sz w:val="18"/>
                <w:szCs w:val="18"/>
              </w:rPr>
            </w:pP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107EB6"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Dunk North</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D9E1C3"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B6C0E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13D15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53961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B261E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638BF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FCD4B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79A92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5C19B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541AD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965FE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EA0AC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ACDA7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r>
      <w:tr w:rsidR="00483399" w:rsidRPr="00211A02" w14:paraId="1414FD04"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57BCC8"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F21E0B"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778096"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F8CC63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9E2AD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DF412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951.2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D3E33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74.28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C0919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9E3B2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5107B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A1AD3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7E86C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168.05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60610F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3.24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1C5607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12B0C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1.75</w:t>
            </w:r>
          </w:p>
        </w:tc>
      </w:tr>
      <w:tr w:rsidR="00483399" w:rsidRPr="00211A02" w14:paraId="3EDEF557"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3B4ECF"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4B1232"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05EE71"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F993CA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B8466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70D92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919.32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482FF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73.07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6525C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66C6E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E8F64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3C55A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AF0EC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149.55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FD6049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3.01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079EB3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41943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1.81</w:t>
            </w:r>
          </w:p>
        </w:tc>
      </w:tr>
      <w:tr w:rsidR="00483399" w:rsidRPr="00211A02" w14:paraId="1BA9221B"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76E6C5"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7FD715"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6AE6FE"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2C781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08C23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0F44A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841.39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C93C2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16095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7273D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D3531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26FAC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6FD22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103.83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DCFF0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315F0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16759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1.07</w:t>
            </w:r>
          </w:p>
        </w:tc>
      </w:tr>
      <w:tr w:rsidR="00483399" w:rsidRPr="00211A02" w14:paraId="5A635846"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8E24F9"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2D4304"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70D321"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20th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60A1A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268FD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69BF1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867.35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D3C85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68.57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B9914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079C1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FB56B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3ADE8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77F3C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106.49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CEFF9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31155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0C3BE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1.23</w:t>
            </w:r>
          </w:p>
        </w:tc>
      </w:tr>
      <w:tr w:rsidR="00483399" w:rsidRPr="00211A02" w14:paraId="528395D4"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3E4E39"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4B9D8C"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E7F095"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80th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054D1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6C01D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905B3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1022.29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0753D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27842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0545A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4DD2B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996F0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4624F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222.21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049FA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6E6D1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5AE80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2.3</w:t>
            </w:r>
          </w:p>
        </w:tc>
      </w:tr>
      <w:tr w:rsidR="00483399" w:rsidRPr="00211A02" w14:paraId="4A65C36E"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17BEA9"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FA084D"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1D4093"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95th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430FA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BB979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B3384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1105.64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81B22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83.25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9CB09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2FD86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8D430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504C9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9609E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258.17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07AC3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6712D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49F5C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2.36</w:t>
            </w:r>
          </w:p>
        </w:tc>
      </w:tr>
      <w:tr w:rsidR="00483399" w:rsidRPr="00211A02" w14:paraId="5C3F8F82"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073664"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BE7597"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B204D7"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Guideline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705D8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C20C4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5E6ED0"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CE0C0A"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B09361"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12CF7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AE29A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7FC2B4"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5D5C97"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B5E79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828AC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130F5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r w:rsidR="00483399" w:rsidRPr="00211A02" w14:paraId="76E79DA0" w14:textId="77777777" w:rsidTr="00211A02">
        <w:tc>
          <w:tcPr>
            <w:tcW w:w="81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715C73"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Burdekin</w:t>
            </w: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F462AC"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Palms West</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7A317B"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C9231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53CFF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5D3F4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520BE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A010E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B4981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3CDE5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2B6E6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3820D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51B34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56667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A65A6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r>
      <w:tr w:rsidR="00483399" w:rsidRPr="00211A02" w14:paraId="29EAAFF2"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96EC67"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F7E6D5"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5F7B28"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04781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7FB39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1897C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865.68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832F2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B54CE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5504C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A60B1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04F47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230AB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5DE82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2.42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A9F7DA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A3471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0.99</w:t>
            </w:r>
          </w:p>
        </w:tc>
      </w:tr>
      <w:tr w:rsidR="00483399" w:rsidRPr="00211A02" w14:paraId="33F3754C"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6C9D0C"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D1AFCD"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52082B"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10120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910CB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A1D37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866.2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3AA0A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81.17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30E18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48FC3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00B3B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FAE59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47C77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124.98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BB539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2.19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98235A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50F5D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0.9</w:t>
            </w:r>
          </w:p>
        </w:tc>
      </w:tr>
      <w:tr w:rsidR="00483399" w:rsidRPr="00211A02" w14:paraId="42EB203B"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E7AFB1"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4BCCED"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017FB4"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8D13E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4153E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3C3CE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777.49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F9332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71.56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2B17D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3F267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B3915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DCEA2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10227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76.14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0683C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FA0F4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291A8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0.51</w:t>
            </w:r>
          </w:p>
        </w:tc>
      </w:tr>
      <w:tr w:rsidR="00483399" w:rsidRPr="00211A02" w14:paraId="7AA897E1"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404EF3"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21A01D"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083839"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20th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61CBA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CFBE6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C880B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807.21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FE934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74.09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65818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271DC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AEB0F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C8B54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DE1BD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79.06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DEB47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BD026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1221D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0.59</w:t>
            </w:r>
          </w:p>
        </w:tc>
      </w:tr>
      <w:tr w:rsidR="00483399" w:rsidRPr="00211A02" w14:paraId="46EF85A9"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D79916"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18AEB1"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F2A3FF"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80th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8A7CD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E388F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0B1FB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924.35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CB6B3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87.36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DE0E3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D4A5B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E5D41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0741C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72BEE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174.45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11FDA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3BEA4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98332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1.19</w:t>
            </w:r>
          </w:p>
        </w:tc>
      </w:tr>
      <w:tr w:rsidR="00483399" w:rsidRPr="00211A02" w14:paraId="7E77CE81"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E76F19"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9DFB0E"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B5345B"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95th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A672F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94EA0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E41F2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953.12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8D30D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88.89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971E4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71DE9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751B4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A527A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EEDA8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181.38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41607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1F0B7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07208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1.75</w:t>
            </w:r>
          </w:p>
        </w:tc>
      </w:tr>
      <w:tr w:rsidR="00483399" w:rsidRPr="00211A02" w14:paraId="281B0E70"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3A279E"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0EC2DF"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56C31F"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Guideline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885B8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2AEBC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A5216B"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FFC8C8"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C6825E"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83FE3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BCEC1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BABD5F"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FFBF33"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56F1A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8068C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3FA7F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r w:rsidR="00483399" w:rsidRPr="00211A02" w14:paraId="723A80B1"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05AD83" w14:textId="77777777" w:rsidR="00483399" w:rsidRPr="00211A02" w:rsidRDefault="00483399" w:rsidP="00211A02">
            <w:pPr>
              <w:spacing w:before="0" w:after="0"/>
              <w:rPr>
                <w:sz w:val="18"/>
                <w:szCs w:val="18"/>
              </w:rPr>
            </w:pP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DE57BA"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Pandora</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D84BF2"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E6406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429AA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3482B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8866B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D9ADC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ECC50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502CB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D0034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1BA23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2B4B4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F3FC9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2F361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w:t>
            </w:r>
          </w:p>
        </w:tc>
      </w:tr>
      <w:tr w:rsidR="00483399" w:rsidRPr="00211A02" w14:paraId="52ABA040"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6807ED"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04F214"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C7C115"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14717F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6F810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B5ADA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917.97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D3BDC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80.55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245A8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B1C1B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6146B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E203D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BB100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207.44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A628EB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3.59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20B03B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4.04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B9949A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2.21</w:t>
            </w:r>
          </w:p>
        </w:tc>
      </w:tr>
      <w:tr w:rsidR="00483399" w:rsidRPr="00211A02" w14:paraId="257FD2A7"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2F9882"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FA8439"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AF661C"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1ED0D2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1D4D0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200B0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950.51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5449C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79.72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9F84F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BD464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3F163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44542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5D7F5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199.28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3EBDDC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2.95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AA8616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AD902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1.65</w:t>
            </w:r>
          </w:p>
        </w:tc>
      </w:tr>
      <w:tr w:rsidR="00483399" w:rsidRPr="00211A02" w14:paraId="371B62AB"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C12A22"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7A2F8C"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7ED57E"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D10F2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3E1BF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C478D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805.53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5C0E2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73.93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98677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C5B34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7B27A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ACCD0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420EC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3D0F6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85B87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028E5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0.86</w:t>
            </w:r>
          </w:p>
        </w:tc>
      </w:tr>
      <w:tr w:rsidR="00483399" w:rsidRPr="00211A02" w14:paraId="4CE61163"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A50EE7"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3977CE"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B5E30C"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20th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D3E23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9AC4F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83AFF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856.07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028E5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74.46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1A8F5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FAF01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D9DEF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4AFCD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D2F23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152.29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A3ED1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CB90E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81D57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1.39</w:t>
            </w:r>
          </w:p>
        </w:tc>
      </w:tr>
      <w:tr w:rsidR="00483399" w:rsidRPr="00211A02" w14:paraId="534B6413"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35EBCA"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A382A4"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D7BAC0"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80th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24244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8F968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8F56E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966.54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05678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83.05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61AC2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16A65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F844B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7072D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F2D74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233.73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39C6E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91C09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969E7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2.49</w:t>
            </w:r>
          </w:p>
        </w:tc>
      </w:tr>
      <w:tr w:rsidR="00483399" w:rsidRPr="00211A02" w14:paraId="37B3A1C8"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4B0300"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BEBF29"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B86F86"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95th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9B234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A4113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36137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1011.18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95D94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91.61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BD6E3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39B2E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923FD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A7B36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998AB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316.99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6C9A8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71F2E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80867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4.64</w:t>
            </w:r>
          </w:p>
        </w:tc>
      </w:tr>
      <w:tr w:rsidR="00483399" w:rsidRPr="00211A02" w14:paraId="3B79A30E"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5236A0"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0637BF"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9566E3"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Guideline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99093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03CC2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BC35C8"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682147"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D1A904"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4DBA7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F77A6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1F1E48"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D95C5C"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B93C1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4241C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E139F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r w:rsidR="00483399" w:rsidRPr="00211A02" w14:paraId="1AF05FD9"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712042" w14:textId="77777777" w:rsidR="00483399" w:rsidRPr="00211A02" w:rsidRDefault="00483399" w:rsidP="00211A02">
            <w:pPr>
              <w:spacing w:before="0" w:after="0"/>
              <w:rPr>
                <w:sz w:val="18"/>
                <w:szCs w:val="18"/>
              </w:rPr>
            </w:pP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EF6B74"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Magnetic</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FA150F"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06CB1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A95DA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7AFA5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E3465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0EEDF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CC25E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D7BF0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C93A5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D0665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F3C53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E0C69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30386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w:t>
            </w:r>
          </w:p>
        </w:tc>
      </w:tr>
      <w:tr w:rsidR="00483399" w:rsidRPr="00211A02" w14:paraId="184AF5F5"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99C38E"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EFC926"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0470E0"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E6B127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AF8DC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DF20D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948.01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FC13F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73.73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96398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4.83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E28D6B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C2F86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C1AA3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AAFAF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156.36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76B5FA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3.59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D4155C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853B9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1.35</w:t>
            </w:r>
          </w:p>
        </w:tc>
      </w:tr>
      <w:tr w:rsidR="00483399" w:rsidRPr="00211A02" w14:paraId="5385D21B"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CA6809"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05E54F"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3AB87B"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6C403A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CDD82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E9C42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969.55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17F02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77.47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64E11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5.01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81CB9F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1683C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C9733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5587E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151.35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A4B85F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3.51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E5FB89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393A7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1.39</w:t>
            </w:r>
          </w:p>
        </w:tc>
      </w:tr>
      <w:tr w:rsidR="00483399" w:rsidRPr="00211A02" w14:paraId="2B2029E6"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DA49F2"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53B796"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B6B3D6"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1DD10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E849B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61B5D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8A05A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35.56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08680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8BDED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F1839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52711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C8E6B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476A8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CE561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C8BDA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0.98</w:t>
            </w:r>
          </w:p>
        </w:tc>
      </w:tr>
      <w:tr w:rsidR="00483399" w:rsidRPr="00211A02" w14:paraId="7B454DF4"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F436EC"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EBB176"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03B869"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20th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C664F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1D3DB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D650D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919.5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E8A93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56.97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AF892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2D7A8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C2735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CEE84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B2D82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112.23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1BCFA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FAE27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CE8EB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1.18</w:t>
            </w:r>
          </w:p>
        </w:tc>
      </w:tr>
      <w:tr w:rsidR="00483399" w:rsidRPr="00211A02" w14:paraId="4237F975"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CC7D2E"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EB2AFF"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DD57F2"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80th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83BA8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9892A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4006C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985.14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51243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91.98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E7FC1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C0017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03E6C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BA1A6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9358F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198.48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C84E5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719D2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A669D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w:t>
            </w:r>
          </w:p>
        </w:tc>
      </w:tr>
      <w:tr w:rsidR="00483399" w:rsidRPr="00211A02" w14:paraId="54CE19E4"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69E3DA"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57270C"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81ACC8"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95th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CE620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946E0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4EE70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987.87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02C10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106.67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B310B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941B2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E2CAF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911BC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E2938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218.51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4288C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85C88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6AD08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1.62</w:t>
            </w:r>
          </w:p>
        </w:tc>
      </w:tr>
      <w:tr w:rsidR="00483399" w:rsidRPr="00211A02" w14:paraId="4D80B061"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C413AD"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339123"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53DBE3"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Guideline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275AB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D03B1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77603A"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B39BEA"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7129D0"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5DE72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7AA8A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A4D973"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36CEE6"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ABF0E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46746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EB71F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r w:rsidR="00483399" w:rsidRPr="00211A02" w14:paraId="45873380" w14:textId="77777777" w:rsidTr="00211A02">
        <w:tc>
          <w:tcPr>
            <w:tcW w:w="81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FB5F5D"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Haughton</w:t>
            </w: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8662BB"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Haughton</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8661A5"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5CDC4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7A268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256B2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8D7E8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3BF18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ACFAB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1B2D4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A5AF4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4100A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C27DF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67B6F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E2DEB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w:t>
            </w:r>
          </w:p>
        </w:tc>
      </w:tr>
      <w:tr w:rsidR="00483399" w:rsidRPr="00211A02" w14:paraId="02F230CE"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CF9C99"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B79763"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3789E7"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B2541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4FA7E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EA1F3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1035.18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BB6A7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78.55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EF9AE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16D46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DE711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A66AA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578CC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226.84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7C1440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3.74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C5C8DA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5B3EF5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w:t>
            </w:r>
          </w:p>
        </w:tc>
      </w:tr>
      <w:tr w:rsidR="00483399" w:rsidRPr="00211A02" w14:paraId="0DD2744F"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4711E6"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866DD6"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308DF2"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C269A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5B5B46"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C943B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1035.18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38125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78.55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251A7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74B57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62BAE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A9D30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110DC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226.84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B4A768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3.74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2B17D0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E16053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w:t>
            </w:r>
          </w:p>
        </w:tc>
      </w:tr>
      <w:tr w:rsidR="00483399" w:rsidRPr="00211A02" w14:paraId="16CF9692"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C4BB10"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492FC6"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BAAC67"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74AD5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2B4FE7"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A5349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1035.18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DEB53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78.55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DA88D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C1ABF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EE7A7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DE1F3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60935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226.84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005A8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9DA73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23B47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w:t>
            </w:r>
          </w:p>
        </w:tc>
      </w:tr>
      <w:tr w:rsidR="00483399" w:rsidRPr="00211A02" w14:paraId="356FF31F"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D0283F"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A4BE1F"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1E7ECF"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20th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F392F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5A8178"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25D41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1035.18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45C3E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78.55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7A51E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A61AD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5F610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1902C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8BAA7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226.84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165BF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D3AF7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FEFE5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w:t>
            </w:r>
          </w:p>
        </w:tc>
      </w:tr>
      <w:tr w:rsidR="00483399" w:rsidRPr="00211A02" w14:paraId="7673F81A"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CEC9D9"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225EA6"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95F7D3"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80th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51145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85703F"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2FEE4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1035.18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D558B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78.55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B9110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D06F9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552F4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0448B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670AC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226.84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15036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3160F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619A9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w:t>
            </w:r>
          </w:p>
        </w:tc>
      </w:tr>
      <w:tr w:rsidR="00483399" w:rsidRPr="00211A02" w14:paraId="0F3961CB"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0203A4"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5290B5"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863955"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95th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5259F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51CB05"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E64F8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1035.18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85467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78.55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EDBA1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09FE2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67A4D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2B860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C17DA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226.84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FF4C7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25130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57A3F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w:t>
            </w:r>
          </w:p>
        </w:tc>
      </w:tr>
      <w:tr w:rsidR="00483399" w:rsidRPr="00211A02" w14:paraId="58CF3D55"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696B5C"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486E42"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BA988A"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Guideline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7AD9A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FD78C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0EFCE1"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07F904"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E8C78E"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3C467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6704D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3170E4"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C4AAEC"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DE269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7BE05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5AA09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r w:rsidR="00483399" w:rsidRPr="00211A02" w14:paraId="78D605F9" w14:textId="77777777" w:rsidTr="00211A02">
        <w:tc>
          <w:tcPr>
            <w:tcW w:w="81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70D17A"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Mackay Whitsunday</w:t>
            </w: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2108DF"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Double Cone</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5DF46F"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76FA4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6B4CB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6BB26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A7AE5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D77F2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34F67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E03F8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F0C62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EF7A6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3870E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4F33F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8873F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r>
      <w:tr w:rsidR="00483399" w:rsidRPr="00211A02" w14:paraId="74D18835"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B01E96"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92475F"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C8CA0C"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FC139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884A8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A0834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896.16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D9DB6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83.39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C3656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16BA0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EA5CB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F342E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5A65C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116.54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6FF05D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08FE9B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04F25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0.74</w:t>
            </w:r>
          </w:p>
        </w:tc>
      </w:tr>
      <w:tr w:rsidR="00483399" w:rsidRPr="00211A02" w14:paraId="6CA2FF37"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635796"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23D268"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4BD378"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FC8DD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D961F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9129A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814.01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F810C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73.92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A9BBE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9B4E1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0E82E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C159A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99EF5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98.92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7F4D3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AC33AA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AE37E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0.83</w:t>
            </w:r>
          </w:p>
        </w:tc>
      </w:tr>
      <w:tr w:rsidR="00483399" w:rsidRPr="00211A02" w14:paraId="1295047F"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25D592"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7F0DCA"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40F0B8"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5FCA1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D8A8F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D64EE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798.85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9D47C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71.45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D7C47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989FA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30EF9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64DA6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1BCFE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71.68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04928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75762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42391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0.46</w:t>
            </w:r>
          </w:p>
        </w:tc>
      </w:tr>
      <w:tr w:rsidR="00483399" w:rsidRPr="00211A02" w14:paraId="67C510A4"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DA2724"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1C9A52"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591A94"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20th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5D4AA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04B21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30289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9210B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72.27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97C02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B36E2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96EEF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5B721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34EB2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80.76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2EB26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7F0BD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F5763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0.65</w:t>
            </w:r>
          </w:p>
        </w:tc>
      </w:tr>
      <w:tr w:rsidR="00483399" w:rsidRPr="00211A02" w14:paraId="7090C10B"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1C5CAA"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1BAD9D"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E0414B"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80th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35AB3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F750E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E8610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971.98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DFF81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3DE91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25156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B3647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2204B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1BD85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148.79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48599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A2566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DA08C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0.87</w:t>
            </w:r>
          </w:p>
        </w:tc>
      </w:tr>
      <w:tr w:rsidR="00483399" w:rsidRPr="00211A02" w14:paraId="5BE0728B"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4AA6A6"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E81E79"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E5DEA7"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95th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9B663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AD12A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B0DC1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1050.97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F764B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101.95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E0D4C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504EA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E7487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D3122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6C731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173.73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87AB5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C52A1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EC3CA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0.89</w:t>
            </w:r>
          </w:p>
        </w:tc>
      </w:tr>
      <w:tr w:rsidR="00483399" w:rsidRPr="00211A02" w14:paraId="67E5B005"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971317"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C435F7"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57320D"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Guideline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27F71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3EE31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9A592C"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5BBDD4"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8E6DD8"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18CCA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705D6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BB91AE"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D09DA6"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3CB02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3FF4D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A06F9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r w:rsidR="00483399" w:rsidRPr="00211A02" w14:paraId="2C5E38A3"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9EAA8C" w14:textId="77777777" w:rsidR="00483399" w:rsidRPr="00211A02" w:rsidRDefault="00483399" w:rsidP="00211A02">
            <w:pPr>
              <w:spacing w:before="0" w:after="0"/>
              <w:rPr>
                <w:sz w:val="18"/>
                <w:szCs w:val="18"/>
              </w:rPr>
            </w:pP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01AAED"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Daydream</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073FDC"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2994D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3FE59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583B8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F1A50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54F3B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162B6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8B5D7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8E6D2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FE952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AE1D5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A96B3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826B6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r w:rsidR="00483399" w:rsidRPr="00211A02" w14:paraId="6979A094"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AF9B3C"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E3145B"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90AC72"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344C8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68E35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E528B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836.03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58A8B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67.88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4E187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0DD48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9F924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BB164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521E3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133.09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5D48C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6BE6B7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2E68D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1.33</w:t>
            </w:r>
          </w:p>
        </w:tc>
      </w:tr>
      <w:tr w:rsidR="00483399" w:rsidRPr="00211A02" w14:paraId="63E43791"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1233BD"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57E208"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8716DC"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84DA7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BE4B0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50CA5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836.03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6F6F6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67.88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11AFA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8CE02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80186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33FD6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8D532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133.09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BBC6E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0C952B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764FE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1.33</w:t>
            </w:r>
          </w:p>
        </w:tc>
      </w:tr>
      <w:tr w:rsidR="00483399" w:rsidRPr="00211A02" w14:paraId="1922D3FE"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34B009"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521480"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E93411"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7F212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28B39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7F2F9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824.23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520F2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1CD7D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91FAB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4B6E7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D958A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2A791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88.48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75898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29F63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D713E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0.7</w:t>
            </w:r>
          </w:p>
        </w:tc>
      </w:tr>
      <w:tr w:rsidR="00483399" w:rsidRPr="00211A02" w14:paraId="047B2698"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2B79A8"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E71FAF"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B76DDE"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20th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FEA9B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C11FE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F0CB2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828.16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ADD3B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67.76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A0B1D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D4013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40637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34B20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9FBD8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103.35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36698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7AAA7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EA9C4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0.91</w:t>
            </w:r>
          </w:p>
        </w:tc>
      </w:tr>
      <w:tr w:rsidR="00483399" w:rsidRPr="00211A02" w14:paraId="59ED4435"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8448EC"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EE45F4"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FE484E"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80th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28A7B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B5CC1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64C28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843.9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87022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68.01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6AF8A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D1C7A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E5393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D0F43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3661E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162.83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57FA3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28165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EE883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1.75</w:t>
            </w:r>
          </w:p>
        </w:tc>
      </w:tr>
      <w:tr w:rsidR="00483399" w:rsidRPr="00211A02" w14:paraId="0618846A"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5E79FF"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7B21A7"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C6BA71"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95th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EB526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C5DD1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C0803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847.84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04BB2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68.07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8C2E3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D5E18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39C0F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ABFA0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A2B60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2E173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3C74C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5A2A6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1.95</w:t>
            </w:r>
          </w:p>
        </w:tc>
      </w:tr>
      <w:tr w:rsidR="00483399" w:rsidRPr="00211A02" w14:paraId="37EA722B"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9C7A52"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0D9540"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237CAA"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Guideline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72330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1BEF3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B4740E"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D538F1"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F6700F"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35C89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5E0EB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6780F5"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CB2838"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D2D7C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AD4C5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570F1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r w:rsidR="00483399" w:rsidRPr="00211A02" w14:paraId="6E8CFDB9"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2AB7C9" w14:textId="77777777" w:rsidR="00483399" w:rsidRPr="00211A02" w:rsidRDefault="00483399" w:rsidP="00211A02">
            <w:pPr>
              <w:spacing w:before="0" w:after="0"/>
              <w:rPr>
                <w:sz w:val="18"/>
                <w:szCs w:val="18"/>
              </w:rPr>
            </w:pP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D95D87"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Pine</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E5F723"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46AD3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6F027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BECC5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B25DD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C7672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CC759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C9084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50BDB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8A77B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203CD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CBD4C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ADF49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w:t>
            </w:r>
          </w:p>
        </w:tc>
      </w:tr>
      <w:tr w:rsidR="00483399" w:rsidRPr="00211A02" w14:paraId="3D23781B"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EE9D3E"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1310BE"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760BDC"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3B1D1A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C518F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5B63A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927.99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0B69E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64.91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EB2B3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E4FA4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632D5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CF6CD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8F9F8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116.18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E861C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2.42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3FADCD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6.33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9F5FE2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2.35</w:t>
            </w:r>
          </w:p>
        </w:tc>
      </w:tr>
      <w:tr w:rsidR="00483399" w:rsidRPr="00211A02" w14:paraId="65CC3F42"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C37329"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25AD15"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6DD985"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23E837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45E59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8498C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833.52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E62ED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58.96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9F9D1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5A2A9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1F9A6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73FF5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17B23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1C499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2.47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D3ED68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B8E23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w:t>
            </w:r>
          </w:p>
        </w:tc>
      </w:tr>
      <w:tr w:rsidR="00483399" w:rsidRPr="00211A02" w14:paraId="7D8E0F1F"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A3C5E7"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EC2396"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1DDDD9"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D4BC0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3F1FF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BAB12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788.38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2C193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56.67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CF1A5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32FFA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87A24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6894F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27C38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79.93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84552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C292F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8D5F4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1.06</w:t>
            </w:r>
          </w:p>
        </w:tc>
      </w:tr>
      <w:tr w:rsidR="00483399" w:rsidRPr="00211A02" w14:paraId="3A5E39E1"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E705A8"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D0DF5D"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15CAC1"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20th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100B0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83FF3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E365A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803.43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BFB51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57.44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935C7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4F400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57737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F5042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AE26C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89.25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12D13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F065B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7C308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1.14</w:t>
            </w:r>
          </w:p>
        </w:tc>
      </w:tr>
      <w:tr w:rsidR="00483399" w:rsidRPr="00211A02" w14:paraId="096339BA"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DF453A"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6FAFC4"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B6C90C"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80th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4B98D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3354E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4C47B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1033.66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67A9E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71.19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EE7AE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EEDF2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F34A6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79776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E78B0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141.44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CD841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51BD3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D617F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3.27</w:t>
            </w:r>
          </w:p>
        </w:tc>
      </w:tr>
      <w:tr w:rsidR="00483399" w:rsidRPr="00211A02" w14:paraId="06D90A57"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AA4EDD"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A05A44"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B39E58"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95th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CE864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02832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6E207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1133.73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E0895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02929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BEBAF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1694B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539F7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19B5E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158.22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63592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60BE0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680D7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4.71</w:t>
            </w:r>
          </w:p>
        </w:tc>
      </w:tr>
      <w:tr w:rsidR="00483399" w:rsidRPr="00211A02" w14:paraId="713A8B6F"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6E4DFF"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B317C9"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A4664A"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Guideline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F510C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9191B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8FD0C6"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493E15"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DF72BC"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417E9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A2876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324441"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713B6C"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014E7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2CEA5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27497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r w:rsidR="00483399" w:rsidRPr="00211A02" w14:paraId="1F8873C4"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04116A" w14:textId="77777777" w:rsidR="00483399" w:rsidRPr="00211A02" w:rsidRDefault="00483399" w:rsidP="00211A02">
            <w:pPr>
              <w:spacing w:before="0" w:after="0"/>
              <w:rPr>
                <w:sz w:val="18"/>
                <w:szCs w:val="18"/>
              </w:rPr>
            </w:pP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1D0585"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Seaforth</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699C74"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A3DF8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C2887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FA424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CE749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5B9EE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EC83F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8ECE4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8D55A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1D022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E7608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6E681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9C26C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r w:rsidR="00483399" w:rsidRPr="00211A02" w14:paraId="3CC2C22B"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CDE704"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2462DE"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F18D08"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9BC301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8DC76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28C87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1003.43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9E45B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75.95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E5F6F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4142D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AF1B4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B5A04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D35DF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126.3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2C8F58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2.93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280B86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4.75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F2F184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2.23</w:t>
            </w:r>
          </w:p>
        </w:tc>
      </w:tr>
      <w:tr w:rsidR="00483399" w:rsidRPr="00211A02" w14:paraId="655FC7B3"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9FC0D1"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B4D990"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0B0F4C"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556DA5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02D528"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B8370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1003.43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24A73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75.95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2EE8D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A7DC2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B6554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F2881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5AE27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126.3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AEFDD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2.93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74C2E2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4.75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093E90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2.23</w:t>
            </w:r>
          </w:p>
        </w:tc>
      </w:tr>
      <w:tr w:rsidR="00483399" w:rsidRPr="00211A02" w14:paraId="636BA5E3"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7CF82B"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4950CE"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ADB7BE"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6EC3B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585A6B"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91813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928.69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177D6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33223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B3DE7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69355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3055D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5945D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93.61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D9EA5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FF777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9655F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1.78</w:t>
            </w:r>
          </w:p>
        </w:tc>
      </w:tr>
      <w:tr w:rsidR="00483399" w:rsidRPr="00211A02" w14:paraId="129BB9F4"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C7DD2B"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7C7D16"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D76CE3"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20th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792DA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D892A4"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7E81E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953.6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4A838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65.62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A4177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246EF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C1F1E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6A855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89FA3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514F9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667F6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32C42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1.93</w:t>
            </w:r>
          </w:p>
        </w:tc>
      </w:tr>
      <w:tr w:rsidR="00483399" w:rsidRPr="00211A02" w14:paraId="7E199893"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397870"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CE66BB"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48127E"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80th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FA173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5A19C3"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9B13D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1053.25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54522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86.28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E08D7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9FEC4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37C4F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8C36E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225F4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148.09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AF200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6DA86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E35AA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2.54</w:t>
            </w:r>
          </w:p>
        </w:tc>
      </w:tr>
      <w:tr w:rsidR="00483399" w:rsidRPr="00211A02" w14:paraId="77F4F850"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FF2C6D"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581029"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70E86F"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95th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91C79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A38AFB"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179AD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1078.17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9B49C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91.45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690DF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496D9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FDD77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3F4D5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85DD8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158.99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90CB0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CA9C5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DCC81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2.69</w:t>
            </w:r>
          </w:p>
        </w:tc>
      </w:tr>
      <w:tr w:rsidR="00483399" w:rsidRPr="00211A02" w14:paraId="62B67BAB"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E70CBA"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DFF232"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5B2B99"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Guideline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A478B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B76F5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37A0FF"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280D2F"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8EA6E8"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A5DC2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FBEE7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F8B995"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F434E4"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9DC54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A70DD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CAB60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r w:rsidR="00483399" w:rsidRPr="00211A02" w14:paraId="7DD856E7" w14:textId="77777777" w:rsidTr="00211A02">
        <w:tc>
          <w:tcPr>
            <w:tcW w:w="81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B32764"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Repulse</w:t>
            </w: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FAD9C2"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Repulse</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80A452"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2CA42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A20EC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1E0BB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B4250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FD443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2E3D6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F59ED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DA4C9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B9B53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6AEAC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BCE93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4BF3E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r>
      <w:tr w:rsidR="00483399" w:rsidRPr="00211A02" w14:paraId="1A927312"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8ADD77"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5F20AE"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759632"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B0FAD9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845BB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NaN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C05D9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1074.26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D3545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56F8A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8CF15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142B2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C8D4C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98DED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209.59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EA9CF8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3.91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38C07D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E15EF8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5.04</w:t>
            </w:r>
          </w:p>
        </w:tc>
      </w:tr>
      <w:tr w:rsidR="00483399" w:rsidRPr="00211A02" w14:paraId="49F0B06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554464"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2D9BC7"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BDE6E7"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D4FFBF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812616"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9F1C8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1074.26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15DDD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EBDAB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3384D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7CE3F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42076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227BE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209.59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AF8B22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3.91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1D641A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3A271B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3.5</w:t>
            </w:r>
          </w:p>
        </w:tc>
      </w:tr>
      <w:tr w:rsidR="00483399" w:rsidRPr="00211A02" w14:paraId="05B25D08"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AD1B9E"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0943F4"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80D363"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3A5E7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462151"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78FB7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959.41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53D24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57.95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B7DE8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E0422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57721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C1C47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9ABB5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181.73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127FD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BEC5D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B8196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1.94</w:t>
            </w:r>
          </w:p>
        </w:tc>
      </w:tr>
      <w:tr w:rsidR="00483399" w:rsidRPr="00211A02" w14:paraId="1DAE6981"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A7B7A0"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3C460D"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581ACB"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20th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08AED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27764B"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F20A7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997.69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8759C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8D1C0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7A5EB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8F6DB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70CEE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BE9AC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191.01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44D84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29EBB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45AA9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2.46</w:t>
            </w:r>
          </w:p>
        </w:tc>
      </w:tr>
      <w:tr w:rsidR="00483399" w:rsidRPr="00211A02" w14:paraId="5CF22871"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123D00"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BAF940"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F8D455"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80th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F690A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1927D8"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1A71F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1150.83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94060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B7EB7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D14BE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590F8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B522C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05093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228.16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4018D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04D17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E5476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7.32</w:t>
            </w:r>
          </w:p>
        </w:tc>
      </w:tr>
      <w:tr w:rsidR="00483399" w:rsidRPr="00211A02" w14:paraId="2AF336A5"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065CF4"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28D7AD"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E6FC49"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95th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6960B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AF873F"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E45C0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1189.11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AB076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87.05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46ECB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F4894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42CC8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ADDE5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37946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237.45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44593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1F056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1FB86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9.22</w:t>
            </w:r>
          </w:p>
        </w:tc>
      </w:tr>
      <w:tr w:rsidR="00483399" w:rsidRPr="00211A02" w14:paraId="1789CE9A"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8413E2"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FBAAEF"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D94089"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Guideline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8D739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98BEC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DAA37D"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BEE726"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B6767F"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ECA9E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3DB1A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D4D46A"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E5DFAB"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C271F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9A2E0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E57A1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r w:rsidR="00483399" w:rsidRPr="00211A02" w14:paraId="50AA21CE" w14:textId="77777777" w:rsidTr="00211A02">
        <w:tc>
          <w:tcPr>
            <w:tcW w:w="81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C7A25E"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Fitzroy</w:t>
            </w: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ACC15F"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Barren</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832F74"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C05C1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99CE3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8941D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AEC8F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61787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58207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E1380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F98D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068B2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1623D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6A284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97191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r w:rsidR="00483399" w:rsidRPr="00211A02" w14:paraId="20D78303"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DFBA3F"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F8D7A2"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75260A"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410C5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838D7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D6237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800.37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1B1F9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75.67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96ABE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4DBFE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C77B2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CC3B3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099C9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C8B88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5CCA7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9CF4D5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15.56</w:t>
            </w:r>
          </w:p>
        </w:tc>
      </w:tr>
      <w:tr w:rsidR="00483399" w:rsidRPr="00211A02" w14:paraId="38A4C4FB"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C9D399"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C74F54"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3B0C95"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5E530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A4BF9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55C6B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800.37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B608D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75.67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7D10B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F63D2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95D04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62E61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22CF9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827A4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9A700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8C996A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15.56</w:t>
            </w:r>
          </w:p>
        </w:tc>
      </w:tr>
      <w:tr w:rsidR="00483399" w:rsidRPr="00211A02" w14:paraId="4EC5EDB0"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259BE4"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DA30F9"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95B4AC"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40F9C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BA681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36E67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800.37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33FCA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75.67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6F9C6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D1100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610E9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78E70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44F32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301A2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68D40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9A629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1.59</w:t>
            </w:r>
          </w:p>
        </w:tc>
      </w:tr>
      <w:tr w:rsidR="00483399" w:rsidRPr="00211A02" w14:paraId="36D8AE18"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3C4BD0"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3519FF"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32FE4B"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20th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522EA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D3B6D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1A6CE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800.37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D1FF5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75.67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3C8EE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42406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AC9FA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74CDE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0B549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B9A1A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7BCB0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2998D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6.25</w:t>
            </w:r>
          </w:p>
        </w:tc>
      </w:tr>
      <w:tr w:rsidR="00483399" w:rsidRPr="00211A02" w14:paraId="7C68BCBB"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9BA796"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78E94E"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9B1793"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80th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E42BC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6F84A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409F9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800.37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37EC3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75.67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6D5A2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27C2F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70285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C7A56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217BE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9AE1D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D6293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F789A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24.87</w:t>
            </w:r>
          </w:p>
        </w:tc>
      </w:tr>
      <w:tr w:rsidR="00483399" w:rsidRPr="00211A02" w14:paraId="09E8900A"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1D55CE"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71B40C"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152600"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95th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5F883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F9AB5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2F81D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800.37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94453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75.67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30D08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BBF08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075B0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9.12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3D3D7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6CEBF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A4E00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337E6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860E8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29.52</w:t>
            </w:r>
          </w:p>
        </w:tc>
      </w:tr>
      <w:tr w:rsidR="00483399" w:rsidRPr="00211A02" w14:paraId="6E8E5597"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EA832F"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B77AB6"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EB93C0"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Guideline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8FFB5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AA73E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2E28D5"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E15622"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B23FA0"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3FBED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88C5D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19FE54"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3EABB7"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4E651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892CD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8A669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r w:rsidR="00483399" w:rsidRPr="00211A02" w14:paraId="6FBA07E9"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767E89" w14:textId="77777777" w:rsidR="00483399" w:rsidRPr="00211A02" w:rsidRDefault="00483399" w:rsidP="00211A02">
            <w:pPr>
              <w:spacing w:before="0" w:after="0"/>
              <w:rPr>
                <w:sz w:val="18"/>
                <w:szCs w:val="18"/>
              </w:rPr>
            </w:pP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E13134"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Keppels South</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294CCB"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73C45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40FB9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01184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0DA47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6ABA4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78075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BF33A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2D88B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E21E9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BD098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229AF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9FCE4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r w:rsidR="00483399" w:rsidRPr="00211A02" w14:paraId="27B5CC5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CE56C0"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E2ED2C"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B1A0A2"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6C0CB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2FB1B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C1F4B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790.54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D65A5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75.72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547C1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2A73C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A93E5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C9525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69B3E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106.73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281B0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A2DC6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ED251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0.55</w:t>
            </w:r>
          </w:p>
        </w:tc>
      </w:tr>
      <w:tr w:rsidR="00483399" w:rsidRPr="00211A02" w14:paraId="22F44A87"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6DD046"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DBC1A9"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A114A9"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A26DE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60622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A28DC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790.54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2688D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75.72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5CE07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1B59A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4BD04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83511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CA794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106.73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9B932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690A7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C38C9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0.55</w:t>
            </w:r>
          </w:p>
        </w:tc>
      </w:tr>
      <w:tr w:rsidR="00483399" w:rsidRPr="00211A02" w14:paraId="3F3455E5"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DBEB33"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DAB8F3"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F62FAC"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8FBAD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FEBBE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7AFD1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790.54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4CE88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75.72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803B5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720F7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C90AC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B00C9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E0375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106.73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B8558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B51F9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89A2B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0.2</w:t>
            </w:r>
          </w:p>
        </w:tc>
      </w:tr>
      <w:tr w:rsidR="00483399" w:rsidRPr="00211A02" w14:paraId="2D1A8831"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CFFEFE"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763715"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2BEE2D"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20th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5D347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B2F70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BB7EB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790.54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F81A2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75.72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10197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ACE4A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CBF9D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3D530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A7E34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106.73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C7E90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4456A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BD816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0.32</w:t>
            </w:r>
          </w:p>
        </w:tc>
      </w:tr>
      <w:tr w:rsidR="00483399" w:rsidRPr="00211A02" w14:paraId="5A4E8F85"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E77A9E"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57EFCA"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9703E8"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80th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7DA7D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9D6ED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B16E9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790.54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EB895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75.72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FFBDB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1D244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050CE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CE0A8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77F2B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106.73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A6CCA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06777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21E4A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0.79</w:t>
            </w:r>
          </w:p>
        </w:tc>
      </w:tr>
      <w:tr w:rsidR="00483399" w:rsidRPr="00211A02" w14:paraId="5B635949"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E4D6E2"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144F5A"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3512D3"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95th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200E7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D858C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D1B64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790.54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4BD88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75.72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BDA49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609CA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67BF4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21577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24455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106.73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84284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098B7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397C5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0.91</w:t>
            </w:r>
          </w:p>
        </w:tc>
      </w:tr>
      <w:tr w:rsidR="00483399" w:rsidRPr="00211A02" w14:paraId="7B52442E"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653D55"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EEAA5C"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0A8C61"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Guideline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B8099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54504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9898A6"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24DE84"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792900"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269D9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77C93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6E773B"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E0D3C5"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29156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267B9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6016A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r w:rsidR="00483399" w:rsidRPr="00211A02" w14:paraId="6D602B3C"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0EA368" w14:textId="77777777" w:rsidR="00483399" w:rsidRPr="00211A02" w:rsidRDefault="00483399" w:rsidP="00211A02">
            <w:pPr>
              <w:spacing w:before="0" w:after="0"/>
              <w:rPr>
                <w:sz w:val="18"/>
                <w:szCs w:val="18"/>
              </w:rPr>
            </w:pP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9F88A6"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Pelican</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4A272A"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CD4E7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47639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C4CBE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CF6FA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FA3FF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75B84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2B872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ED040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C0CCC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7D8DC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B57CD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83F52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r w:rsidR="00483399" w:rsidRPr="00211A02" w14:paraId="067A09F9"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678FD0"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04F183"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B1E4FD"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AA92C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CEBAF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E725D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883.3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A384F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85.82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30EC1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DE320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312FA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FEB52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7745C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162.25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4BD6D4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4.32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21682F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4AB9B8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2.42</w:t>
            </w:r>
          </w:p>
        </w:tc>
      </w:tr>
      <w:tr w:rsidR="00483399" w:rsidRPr="00211A02" w14:paraId="1F857160"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DD41F8"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387686"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27CBB3"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BE3D6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46C58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13AFF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883.3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52893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85.82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67182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16CF9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27710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28262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4DB09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162.25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77C70B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4.32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BFBF5F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C18D3E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2.42</w:t>
            </w:r>
          </w:p>
        </w:tc>
      </w:tr>
      <w:tr w:rsidR="00483399" w:rsidRPr="00211A02" w14:paraId="40029464"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5B3568"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1CC634"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EC7030"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98BD3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A0211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22C3C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883.3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BD814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85.82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14A44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EE454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E5863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5A033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3ACAD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162.25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83B2B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6B8A1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9E7BD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1.61</w:t>
            </w:r>
          </w:p>
        </w:tc>
      </w:tr>
      <w:tr w:rsidR="00483399" w:rsidRPr="00211A02" w14:paraId="63F3AFAB"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03A8A1"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68FC56"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A52C89"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20th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AA4D9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6ED70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3BB3C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883.3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6BE44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85.82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20761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5F407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384B6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B271A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BF2AC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162.25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D9BC1C"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125C8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73B50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1.88</w:t>
            </w:r>
          </w:p>
        </w:tc>
      </w:tr>
      <w:tr w:rsidR="00483399" w:rsidRPr="00211A02" w14:paraId="5A048DE8"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A717D4"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49D84A"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FB522B"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80th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8C19C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C6DA0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A7822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883.3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3A02AB"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85.82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85197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2DA3D2"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F289B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9A879F"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51E3E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162.25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A132F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2C247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7FA5B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2.96</w:t>
            </w:r>
          </w:p>
        </w:tc>
      </w:tr>
      <w:tr w:rsidR="00483399" w:rsidRPr="00211A02" w14:paraId="1573315B"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C4DADD"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0D4B78"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1505BE"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95th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8A5157"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5F7876"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9CF21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883.3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00A1D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85.82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4E93FE"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90690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198DF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6798C4"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5.67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5C69DA"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162.25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559C8D"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4.32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638438"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D43EA0"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3.23</w:t>
            </w:r>
          </w:p>
        </w:tc>
      </w:tr>
      <w:tr w:rsidR="00483399" w:rsidRPr="00211A02" w14:paraId="5ED3C014"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39307E" w14:textId="77777777" w:rsidR="00483399" w:rsidRPr="00211A02" w:rsidRDefault="00483399" w:rsidP="00211A02">
            <w:pPr>
              <w:spacing w:before="0" w:after="0"/>
              <w:rPr>
                <w:sz w:val="18"/>
                <w:szCs w:val="18"/>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065A11" w14:textId="77777777" w:rsidR="00483399" w:rsidRPr="00211A02" w:rsidRDefault="00483399" w:rsidP="00211A02">
            <w:pPr>
              <w:spacing w:before="0" w:after="0"/>
              <w:rPr>
                <w:sz w:val="18"/>
                <w:szCs w:val="18"/>
              </w:rPr>
            </w:pPr>
          </w:p>
        </w:tc>
        <w:tc>
          <w:tcPr>
            <w:tcW w:w="78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BA279A" w14:textId="77777777" w:rsidR="00483399" w:rsidRPr="00211A02" w:rsidRDefault="00483399" w:rsidP="00211A02">
            <w:pPr>
              <w:spacing w:before="0" w:after="0"/>
              <w:ind w:left="20" w:right="20"/>
              <w:rPr>
                <w:sz w:val="18"/>
                <w:szCs w:val="18"/>
              </w:rPr>
            </w:pPr>
            <w:r w:rsidRPr="00211A02">
              <w:rPr>
                <w:rFonts w:ascii="Arial Narrow" w:hAnsi="Arial Narrow" w:cs="Arial Narrow"/>
                <w:color w:val="000000"/>
                <w:sz w:val="18"/>
                <w:szCs w:val="18"/>
              </w:rPr>
              <w:t>Guideline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8E083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DE654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DFFDDA"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1A82B7"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157D53"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75A0A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A04BA1"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824517"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A168E2" w14:textId="77777777" w:rsidR="00483399" w:rsidRPr="00211A02" w:rsidRDefault="00483399" w:rsidP="00211A02">
            <w:pPr>
              <w:spacing w:before="0" w:after="0"/>
              <w:jc w:val="center"/>
              <w:rPr>
                <w:sz w:val="18"/>
                <w:szCs w:val="18"/>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4184A9"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8B2A13"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D9FD35" w14:textId="77777777" w:rsidR="00483399" w:rsidRPr="00211A02" w:rsidRDefault="00483399" w:rsidP="00211A02">
            <w:pPr>
              <w:spacing w:before="0" w:after="0"/>
              <w:jc w:val="center"/>
              <w:rPr>
                <w:sz w:val="18"/>
                <w:szCs w:val="18"/>
              </w:rPr>
            </w:pPr>
            <w:r w:rsidRPr="00211A02">
              <w:rPr>
                <w:rFonts w:ascii="Arial Narrow" w:hAnsi="Arial Narrow" w:cs="Arial Narrow"/>
                <w:color w:val="000000"/>
                <w:sz w:val="18"/>
                <w:szCs w:val="18"/>
              </w:rPr>
              <w:t>2</w:t>
            </w:r>
          </w:p>
        </w:tc>
      </w:tr>
    </w:tbl>
    <w:p w14:paraId="4E0A3F25" w14:textId="77777777" w:rsidR="00483399" w:rsidRPr="00164E5E" w:rsidRDefault="00483399" w:rsidP="00164E5E">
      <w:pPr>
        <w:pStyle w:val="Caption"/>
      </w:pPr>
    </w:p>
    <w:p w14:paraId="7885CFEA" w14:textId="77777777" w:rsidR="000F3684" w:rsidRDefault="000F3684" w:rsidP="00164E5E">
      <w:pPr>
        <w:pStyle w:val="Caption"/>
      </w:pPr>
      <w:r>
        <w:br w:type="page"/>
      </w:r>
    </w:p>
    <w:p w14:paraId="5F22FC4C" w14:textId="3B604D64" w:rsidR="00874C5E" w:rsidRPr="00874C5E" w:rsidRDefault="006A00D6" w:rsidP="00164E5E">
      <w:pPr>
        <w:pStyle w:val="Caption"/>
        <w:rPr>
          <w:rStyle w:val="IntenseReference"/>
          <w:vanish/>
          <w:lang w:val="en-AU"/>
        </w:rPr>
      </w:pPr>
      <w:r>
        <w:t xml:space="preserve">Table A2 </w:t>
      </w:r>
      <w:r w:rsidR="00874C5E" w:rsidRPr="00874C5E">
        <w:t>:</w:t>
      </w:r>
      <w:bookmarkEnd w:id="1625"/>
      <w:bookmarkEnd w:id="1626"/>
      <w:r w:rsidR="008645FA" w:rsidRPr="00874C5E">
        <w:t>Summary statistics for direct water sampling data from inshore lagoon sites from August 2005-June 2015</w:t>
      </w:r>
      <w:r w:rsidR="008645FA" w:rsidRPr="007D7C41">
        <w:rPr>
          <w:rStyle w:val="IntenseReference"/>
          <w:lang w:val="en-AU"/>
        </w:rPr>
        <w:t>.</w:t>
      </w:r>
    </w:p>
    <w:p w14:paraId="5F22FC4D" w14:textId="376E6CC7" w:rsidR="002819E0" w:rsidRPr="00874C5E" w:rsidRDefault="008645FA" w:rsidP="00164E5E">
      <w:pPr>
        <w:pStyle w:val="Caption"/>
        <w:rPr>
          <w:rStyle w:val="IntenseReference"/>
        </w:rPr>
      </w:pPr>
      <w:r w:rsidRPr="00874C5E">
        <w:rPr>
          <w:rStyle w:val="IntenseReference"/>
        </w:rPr>
        <w:t xml:space="preserve"> N= number of sampling occasions. Data are in mg L</w:t>
      </w:r>
      <w:r w:rsidRPr="00C951C9">
        <w:rPr>
          <w:rStyle w:val="IntenseReference"/>
          <w:vertAlign w:val="superscript"/>
        </w:rPr>
        <w:t>-1</w:t>
      </w:r>
      <w:r w:rsidRPr="00874C5E">
        <w:rPr>
          <w:rStyle w:val="IntenseReference"/>
        </w:rPr>
        <w:t xml:space="preserve"> for total suspended solids (TSS) and m</w:t>
      </w:r>
      <w:r w:rsidR="00313CEC">
        <w:rPr>
          <w:rStyle w:val="IntenseReference"/>
        </w:rPr>
        <w:t>etres</w:t>
      </w:r>
      <w:r w:rsidRPr="00874C5E">
        <w:rPr>
          <w:rStyle w:val="IntenseReference"/>
        </w:rPr>
        <w:t xml:space="preserve"> for Secchi depth. All other parameters are in µg L</w:t>
      </w:r>
      <w:r w:rsidRPr="00C951C9">
        <w:rPr>
          <w:rStyle w:val="IntenseReference"/>
          <w:vertAlign w:val="superscript"/>
        </w:rPr>
        <w:t>-1</w:t>
      </w:r>
      <w:r w:rsidRPr="00874C5E">
        <w:rPr>
          <w:rStyle w:val="IntenseReference"/>
        </w:rPr>
        <w:t xml:space="preserve"> (see main report for abbreviations). Long-term averages that exceed available water quality guidelines (DERM 2009, GBRMPA 2010) are shaded in red.</w:t>
      </w:r>
    </w:p>
    <w:tbl>
      <w:tblPr>
        <w:tblW w:w="0" w:type="auto"/>
        <w:tblLayout w:type="fixed"/>
        <w:tblLook w:val="04A0" w:firstRow="1" w:lastRow="0" w:firstColumn="1" w:lastColumn="0" w:noHBand="0" w:noVBand="1"/>
      </w:tblPr>
      <w:tblGrid>
        <w:gridCol w:w="817"/>
        <w:gridCol w:w="864"/>
        <w:gridCol w:w="864"/>
        <w:gridCol w:w="1027"/>
        <w:gridCol w:w="864"/>
        <w:gridCol w:w="1055"/>
        <w:gridCol w:w="1033"/>
        <w:gridCol w:w="1027"/>
        <w:gridCol w:w="1014"/>
        <w:gridCol w:w="864"/>
        <w:gridCol w:w="1008"/>
        <w:gridCol w:w="954"/>
        <w:gridCol w:w="931"/>
        <w:gridCol w:w="864"/>
        <w:gridCol w:w="914"/>
      </w:tblGrid>
      <w:tr w:rsidR="008645FA" w:rsidRPr="00211A02" w14:paraId="5F22FC5D" w14:textId="77777777" w:rsidTr="00211A02">
        <w:trPr>
          <w:tblHeader/>
        </w:trPr>
        <w:tc>
          <w:tcPr>
            <w:tcW w:w="81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C4E" w14:textId="77777777" w:rsidR="008645FA" w:rsidRPr="00211A02" w:rsidRDefault="008645FA" w:rsidP="000F3684">
            <w:pPr>
              <w:spacing w:before="0" w:after="0"/>
              <w:ind w:left="20" w:right="20"/>
              <w:rPr>
                <w:sz w:val="18"/>
                <w:szCs w:val="18"/>
                <w:lang w:val="en-AU"/>
              </w:rPr>
            </w:pPr>
            <w:r w:rsidRPr="00211A02">
              <w:rPr>
                <w:rFonts w:ascii="Arial Narrow Bold" w:hAnsi="Arial Narrow Bold" w:cs="Arial Narrow Bold"/>
                <w:color w:val="000000"/>
                <w:sz w:val="18"/>
                <w:szCs w:val="18"/>
                <w:lang w:val="en-AU"/>
              </w:rPr>
              <w:t>Region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C4F" w14:textId="77777777" w:rsidR="008645FA" w:rsidRPr="00211A02" w:rsidRDefault="008645FA" w:rsidP="000F3684">
            <w:pPr>
              <w:spacing w:before="0" w:after="0"/>
              <w:ind w:left="20" w:right="20"/>
              <w:rPr>
                <w:sz w:val="18"/>
                <w:szCs w:val="18"/>
                <w:lang w:val="en-AU"/>
              </w:rPr>
            </w:pPr>
            <w:r w:rsidRPr="00211A02">
              <w:rPr>
                <w:rFonts w:ascii="Arial Narrow Bold" w:hAnsi="Arial Narrow Bold" w:cs="Arial Narrow Bold"/>
                <w:color w:val="000000"/>
                <w:sz w:val="18"/>
                <w:szCs w:val="18"/>
                <w:lang w:val="en-AU"/>
              </w:rPr>
              <w:t>Reef</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C50" w14:textId="77777777" w:rsidR="008645FA" w:rsidRPr="00211A02" w:rsidRDefault="008645FA" w:rsidP="000F3684">
            <w:pPr>
              <w:spacing w:before="0" w:after="0"/>
              <w:ind w:left="20" w:right="20"/>
              <w:rPr>
                <w:sz w:val="18"/>
                <w:szCs w:val="18"/>
                <w:lang w:val="en-AU"/>
              </w:rPr>
            </w:pPr>
          </w:p>
        </w:tc>
        <w:tc>
          <w:tcPr>
            <w:tcW w:w="102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C51" w14:textId="77777777" w:rsidR="008645FA" w:rsidRPr="00211A02" w:rsidRDefault="008645FA" w:rsidP="000F3684">
            <w:pPr>
              <w:spacing w:before="0" w:after="0"/>
              <w:ind w:left="20" w:right="20"/>
              <w:jc w:val="center"/>
              <w:rPr>
                <w:sz w:val="18"/>
                <w:szCs w:val="18"/>
                <w:lang w:val="en-AU"/>
              </w:rPr>
            </w:pPr>
            <w:r w:rsidRPr="00211A02">
              <w:rPr>
                <w:rFonts w:ascii="Arial Narrow Bold" w:hAnsi="Arial Narrow Bold" w:cs="Arial Narrow Bold"/>
                <w:color w:val="000000"/>
                <w:sz w:val="18"/>
                <w:szCs w:val="18"/>
                <w:lang w:val="en-AU"/>
              </w:rPr>
              <w:t>Chla (µgL⁻¹)</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C52" w14:textId="77777777" w:rsidR="008645FA" w:rsidRPr="00211A02" w:rsidRDefault="008645FA" w:rsidP="000F3684">
            <w:pPr>
              <w:spacing w:before="0" w:after="0"/>
              <w:ind w:left="20" w:right="20"/>
              <w:jc w:val="center"/>
              <w:rPr>
                <w:sz w:val="18"/>
                <w:szCs w:val="18"/>
                <w:lang w:val="en-AU"/>
              </w:rPr>
            </w:pPr>
            <w:r w:rsidRPr="00211A02">
              <w:rPr>
                <w:rFonts w:ascii="Arial Narrow Bold" w:hAnsi="Arial Narrow Bold" w:cs="Arial Narrow Bold"/>
                <w:color w:val="000000"/>
                <w:sz w:val="18"/>
                <w:szCs w:val="18"/>
                <w:lang w:val="en-AU"/>
              </w:rPr>
              <w:t>DIN (µgL⁻¹)</w:t>
            </w:r>
          </w:p>
        </w:tc>
        <w:tc>
          <w:tcPr>
            <w:tcW w:w="1055"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C53" w14:textId="77777777" w:rsidR="008645FA" w:rsidRPr="00211A02" w:rsidRDefault="008645FA" w:rsidP="000F3684">
            <w:pPr>
              <w:spacing w:before="0" w:after="0"/>
              <w:ind w:left="20" w:right="20"/>
              <w:jc w:val="center"/>
              <w:rPr>
                <w:sz w:val="18"/>
                <w:szCs w:val="18"/>
                <w:lang w:val="en-AU"/>
              </w:rPr>
            </w:pPr>
            <w:r w:rsidRPr="00211A02">
              <w:rPr>
                <w:rFonts w:ascii="Arial Narrow Bold" w:hAnsi="Arial Narrow Bold" w:cs="Arial Narrow Bold"/>
                <w:color w:val="000000"/>
                <w:sz w:val="18"/>
                <w:szCs w:val="18"/>
                <w:lang w:val="en-AU"/>
              </w:rPr>
              <w:t>DOC (mgL⁻¹)</w:t>
            </w:r>
          </w:p>
        </w:tc>
        <w:tc>
          <w:tcPr>
            <w:tcW w:w="1033"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C54" w14:textId="77777777" w:rsidR="008645FA" w:rsidRPr="00211A02" w:rsidRDefault="008645FA" w:rsidP="000F3684">
            <w:pPr>
              <w:spacing w:before="0" w:after="0"/>
              <w:ind w:left="20" w:right="20"/>
              <w:jc w:val="center"/>
              <w:rPr>
                <w:sz w:val="18"/>
                <w:szCs w:val="18"/>
                <w:lang w:val="en-AU"/>
              </w:rPr>
            </w:pPr>
            <w:r w:rsidRPr="00211A02">
              <w:rPr>
                <w:rFonts w:ascii="Arial Narrow Bold" w:hAnsi="Arial Narrow Bold" w:cs="Arial Narrow Bold"/>
                <w:color w:val="000000"/>
                <w:sz w:val="18"/>
                <w:szCs w:val="18"/>
                <w:lang w:val="en-AU"/>
              </w:rPr>
              <w:t>DON (µgL⁻¹)</w:t>
            </w:r>
          </w:p>
        </w:tc>
        <w:tc>
          <w:tcPr>
            <w:tcW w:w="102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C55" w14:textId="77777777" w:rsidR="008645FA" w:rsidRPr="00211A02" w:rsidRDefault="008645FA" w:rsidP="000F3684">
            <w:pPr>
              <w:spacing w:before="0" w:after="0"/>
              <w:ind w:left="20" w:right="20"/>
              <w:jc w:val="center"/>
              <w:rPr>
                <w:sz w:val="18"/>
                <w:szCs w:val="18"/>
                <w:lang w:val="en-AU"/>
              </w:rPr>
            </w:pPr>
            <w:r w:rsidRPr="00211A02">
              <w:rPr>
                <w:rFonts w:ascii="Arial Narrow Bold" w:hAnsi="Arial Narrow Bold" w:cs="Arial Narrow Bold"/>
                <w:color w:val="000000"/>
                <w:sz w:val="18"/>
                <w:szCs w:val="18"/>
                <w:lang w:val="en-AU"/>
              </w:rPr>
              <w:t>DOP (µgL⁻¹)</w:t>
            </w:r>
          </w:p>
        </w:tc>
        <w:tc>
          <w:tcPr>
            <w:tcW w:w="101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C56" w14:textId="77777777" w:rsidR="008645FA" w:rsidRPr="00211A02" w:rsidRDefault="008645FA" w:rsidP="000F3684">
            <w:pPr>
              <w:spacing w:before="0" w:after="0"/>
              <w:ind w:left="20" w:right="20"/>
              <w:jc w:val="center"/>
              <w:rPr>
                <w:sz w:val="18"/>
                <w:szCs w:val="18"/>
                <w:lang w:val="en-AU"/>
              </w:rPr>
            </w:pPr>
            <w:r w:rsidRPr="00211A02">
              <w:rPr>
                <w:rFonts w:ascii="Arial Narrow Bold" w:hAnsi="Arial Narrow Bold" w:cs="Arial Narrow Bold"/>
                <w:color w:val="000000"/>
                <w:sz w:val="18"/>
                <w:szCs w:val="18"/>
                <w:lang w:val="en-AU"/>
              </w:rPr>
              <w:t>NOx (µgL⁻¹)</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C57" w14:textId="77777777" w:rsidR="008645FA" w:rsidRPr="00211A02" w:rsidRDefault="008645FA" w:rsidP="000F3684">
            <w:pPr>
              <w:spacing w:before="0" w:after="0"/>
              <w:ind w:left="20" w:right="20"/>
              <w:jc w:val="center"/>
              <w:rPr>
                <w:sz w:val="18"/>
                <w:szCs w:val="18"/>
                <w:lang w:val="en-AU"/>
              </w:rPr>
            </w:pPr>
            <w:r w:rsidRPr="00211A02">
              <w:rPr>
                <w:rFonts w:ascii="Arial Narrow Bold" w:hAnsi="Arial Narrow Bold" w:cs="Arial Narrow Bold"/>
                <w:color w:val="000000"/>
                <w:sz w:val="18"/>
                <w:szCs w:val="18"/>
                <w:lang w:val="en-AU"/>
              </w:rPr>
              <w:t>PN (µgL⁻¹)</w:t>
            </w:r>
          </w:p>
        </w:tc>
        <w:tc>
          <w:tcPr>
            <w:tcW w:w="1008"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C58" w14:textId="77777777" w:rsidR="008645FA" w:rsidRPr="00211A02" w:rsidRDefault="008645FA" w:rsidP="000F3684">
            <w:pPr>
              <w:spacing w:before="0" w:after="0"/>
              <w:ind w:left="20" w:right="20"/>
              <w:jc w:val="center"/>
              <w:rPr>
                <w:sz w:val="18"/>
                <w:szCs w:val="18"/>
                <w:lang w:val="en-AU"/>
              </w:rPr>
            </w:pPr>
            <w:r w:rsidRPr="00211A02">
              <w:rPr>
                <w:rFonts w:ascii="Arial Narrow Bold" w:hAnsi="Arial Narrow Bold" w:cs="Arial Narrow Bold"/>
                <w:color w:val="000000"/>
                <w:sz w:val="18"/>
                <w:szCs w:val="18"/>
                <w:lang w:val="en-AU"/>
              </w:rPr>
              <w:t>PO4 (µgL⁻¹)</w:t>
            </w:r>
          </w:p>
        </w:tc>
        <w:tc>
          <w:tcPr>
            <w:tcW w:w="95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C59" w14:textId="77777777" w:rsidR="008645FA" w:rsidRPr="00211A02" w:rsidRDefault="008645FA" w:rsidP="000F3684">
            <w:pPr>
              <w:spacing w:before="0" w:after="0"/>
              <w:ind w:left="20" w:right="20"/>
              <w:jc w:val="center"/>
              <w:rPr>
                <w:sz w:val="18"/>
                <w:szCs w:val="18"/>
                <w:lang w:val="en-AU"/>
              </w:rPr>
            </w:pPr>
            <w:r w:rsidRPr="00211A02">
              <w:rPr>
                <w:rFonts w:ascii="Arial Narrow Bold" w:hAnsi="Arial Narrow Bold" w:cs="Arial Narrow Bold"/>
                <w:color w:val="000000"/>
                <w:sz w:val="18"/>
                <w:szCs w:val="18"/>
                <w:lang w:val="en-AU"/>
              </w:rPr>
              <w:t>POC (mgL⁻¹)</w:t>
            </w:r>
          </w:p>
        </w:tc>
        <w:tc>
          <w:tcPr>
            <w:tcW w:w="931"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C5A" w14:textId="77777777" w:rsidR="008645FA" w:rsidRPr="00211A02" w:rsidRDefault="008645FA" w:rsidP="000F3684">
            <w:pPr>
              <w:spacing w:before="0" w:after="0"/>
              <w:ind w:left="20" w:right="20"/>
              <w:jc w:val="center"/>
              <w:rPr>
                <w:sz w:val="18"/>
                <w:szCs w:val="18"/>
                <w:lang w:val="en-AU"/>
              </w:rPr>
            </w:pPr>
            <w:r w:rsidRPr="00211A02">
              <w:rPr>
                <w:rFonts w:ascii="Arial Narrow Bold" w:hAnsi="Arial Narrow Bold" w:cs="Arial Narrow Bold"/>
                <w:color w:val="000000"/>
                <w:sz w:val="18"/>
                <w:szCs w:val="18"/>
                <w:lang w:val="en-AU"/>
              </w:rPr>
              <w:t>PP (µgL⁻¹)</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C5B" w14:textId="77777777" w:rsidR="008645FA" w:rsidRPr="00211A02" w:rsidRDefault="008645FA" w:rsidP="000F3684">
            <w:pPr>
              <w:spacing w:before="0" w:after="0"/>
              <w:ind w:left="20" w:right="20"/>
              <w:jc w:val="center"/>
              <w:rPr>
                <w:sz w:val="18"/>
                <w:szCs w:val="18"/>
                <w:lang w:val="en-AU"/>
              </w:rPr>
            </w:pPr>
            <w:r w:rsidRPr="00211A02">
              <w:rPr>
                <w:rFonts w:ascii="Arial Narrow Bold" w:hAnsi="Arial Narrow Bold" w:cs="Arial Narrow Bold"/>
                <w:color w:val="000000"/>
                <w:sz w:val="18"/>
                <w:szCs w:val="18"/>
                <w:lang w:val="en-AU"/>
              </w:rPr>
              <w:t>Secchi (m)</w:t>
            </w:r>
          </w:p>
        </w:tc>
        <w:tc>
          <w:tcPr>
            <w:tcW w:w="91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2FC5C" w14:textId="77777777" w:rsidR="008645FA" w:rsidRPr="00211A02" w:rsidRDefault="008645FA" w:rsidP="000F3684">
            <w:pPr>
              <w:spacing w:before="0" w:after="0"/>
              <w:ind w:left="20" w:right="20"/>
              <w:jc w:val="center"/>
              <w:rPr>
                <w:sz w:val="18"/>
                <w:szCs w:val="18"/>
                <w:lang w:val="en-AU"/>
              </w:rPr>
            </w:pPr>
            <w:r w:rsidRPr="00211A02">
              <w:rPr>
                <w:rFonts w:ascii="Arial Narrow Bold" w:hAnsi="Arial Narrow Bold" w:cs="Arial Narrow Bold"/>
                <w:color w:val="000000"/>
                <w:sz w:val="18"/>
                <w:szCs w:val="18"/>
                <w:lang w:val="en-AU"/>
              </w:rPr>
              <w:t>TSS (mgL⁻¹)</w:t>
            </w:r>
          </w:p>
        </w:tc>
      </w:tr>
      <w:tr w:rsidR="008645FA" w:rsidRPr="00211A02" w14:paraId="5F22FC6D" w14:textId="77777777" w:rsidTr="00211A02">
        <w:tc>
          <w:tcPr>
            <w:tcW w:w="81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5E"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Wet Tropics</w:t>
            </w: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5F"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Cape Tribulation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6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6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6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6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6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6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6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6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6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6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6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6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6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r>
      <w:tr w:rsidR="008645FA" w:rsidRPr="00211A02" w14:paraId="5F22FC7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6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6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7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Mean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7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7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1.56</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7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831.02</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7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76.72</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7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4.76</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7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7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12.72</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7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2.5</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7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117.64</w:t>
            </w:r>
          </w:p>
        </w:tc>
        <w:tc>
          <w:tcPr>
            <w:tcW w:w="931"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2FC7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2FC7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6.75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7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1.57</w:t>
            </w:r>
          </w:p>
        </w:tc>
      </w:tr>
      <w:tr w:rsidR="008645FA" w:rsidRPr="00211A02" w14:paraId="5F22FC8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7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7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8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Median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8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8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1.51</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8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869.7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8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80.71</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8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4.31</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8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8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12.28</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8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2.46</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8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107.12</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8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2.56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2FC8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8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1.27</w:t>
            </w:r>
          </w:p>
        </w:tc>
      </w:tr>
      <w:tr w:rsidR="008645FA" w:rsidRPr="00211A02" w14:paraId="5F22FC9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8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8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9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9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9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9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619.3</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9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45.37</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9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1.53</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9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9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9.4</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9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0.43</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9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77.4</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9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9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9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0.61</w:t>
            </w:r>
          </w:p>
        </w:tc>
      </w:tr>
      <w:tr w:rsidR="008645FA" w:rsidRPr="00211A02" w14:paraId="5F22FCA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9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9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A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20th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A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A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0.75</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A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719.4</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A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60.04</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A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2.38</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A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A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10.36</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A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1.64</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A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91</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A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A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4.8</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A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0.78</w:t>
            </w:r>
          </w:p>
        </w:tc>
      </w:tr>
      <w:tr w:rsidR="008645FA" w:rsidRPr="00211A02" w14:paraId="5F22FCB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A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A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B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80th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B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B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1.79</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B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927.73</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B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93.25</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B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6.09</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B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B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14.75</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B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3.29</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B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143.63</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B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B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9.6</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B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1.87</w:t>
            </w:r>
          </w:p>
        </w:tc>
      </w:tr>
      <w:tr w:rsidR="008645FA" w:rsidRPr="00211A02" w14:paraId="5F22FCC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B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B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C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95th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C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C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2.58</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C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990.08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C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105.4</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C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8.03</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C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C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18.55</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C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3.64</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C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181.67</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C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C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C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3.28</w:t>
            </w:r>
          </w:p>
        </w:tc>
      </w:tr>
      <w:tr w:rsidR="008645FA" w:rsidRPr="00211A02" w14:paraId="5F22FCD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C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C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D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Guideline</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D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D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D3" w14:textId="77777777" w:rsidR="008645FA" w:rsidRPr="00211A02" w:rsidRDefault="008645FA" w:rsidP="000F3684">
            <w:pPr>
              <w:spacing w:before="0" w:after="0"/>
              <w:jc w:val="center"/>
              <w:rPr>
                <w:sz w:val="18"/>
                <w:szCs w:val="18"/>
                <w:lang w:val="en-AU"/>
              </w:rPr>
            </w:pP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D4" w14:textId="77777777" w:rsidR="008645FA" w:rsidRPr="00211A02" w:rsidRDefault="008645FA" w:rsidP="000F3684">
            <w:pPr>
              <w:spacing w:before="0" w:after="0"/>
              <w:jc w:val="center"/>
              <w:rPr>
                <w:sz w:val="18"/>
                <w:szCs w:val="18"/>
                <w:lang w:val="en-AU"/>
              </w:rPr>
            </w:pP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D5" w14:textId="77777777" w:rsidR="008645FA" w:rsidRPr="00211A02" w:rsidRDefault="008645FA" w:rsidP="000F3684">
            <w:pPr>
              <w:spacing w:before="0" w:after="0"/>
              <w:jc w:val="center"/>
              <w:rPr>
                <w:sz w:val="18"/>
                <w:szCs w:val="18"/>
                <w:lang w:val="en-AU"/>
              </w:rPr>
            </w:pP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D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D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D8" w14:textId="77777777" w:rsidR="008645FA" w:rsidRPr="00211A02" w:rsidRDefault="008645FA" w:rsidP="000F3684">
            <w:pPr>
              <w:spacing w:before="0" w:after="0"/>
              <w:jc w:val="center"/>
              <w:rPr>
                <w:sz w:val="18"/>
                <w:szCs w:val="18"/>
                <w:lang w:val="en-AU"/>
              </w:rPr>
            </w:pP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D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D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D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D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r>
      <w:tr w:rsidR="008645FA" w:rsidRPr="00211A02" w14:paraId="5F22FCE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DE" w14:textId="77777777" w:rsidR="008645FA" w:rsidRPr="00211A02" w:rsidRDefault="008645FA" w:rsidP="000F3684">
            <w:pPr>
              <w:spacing w:before="0" w:after="0"/>
              <w:rPr>
                <w:sz w:val="18"/>
                <w:szCs w:val="18"/>
                <w:lang w:val="en-AU"/>
              </w:rPr>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DF"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Snapper North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E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E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E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25</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E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25</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E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25</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E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25</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E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E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25</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E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25</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E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25</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E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E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E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25</w:t>
            </w:r>
          </w:p>
        </w:tc>
      </w:tr>
      <w:tr w:rsidR="008645FA" w:rsidRPr="00211A02" w14:paraId="5F22FCF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E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E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F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Mean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F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F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F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848.02</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F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79.58</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F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3.72</w:t>
            </w:r>
          </w:p>
        </w:tc>
        <w:tc>
          <w:tcPr>
            <w:tcW w:w="101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2FCF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F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11.94</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F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2.87</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F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110.28</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F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2FCF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5.58</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F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1.35</w:t>
            </w:r>
          </w:p>
        </w:tc>
      </w:tr>
      <w:tr w:rsidR="008645FA" w:rsidRPr="00211A02" w14:paraId="5F22FD0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F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CF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0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Median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0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0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2.84</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0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825.44</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0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83.13</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0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3.36</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0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0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12.05</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0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2.98</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0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100.96</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0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2FD0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0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1.29</w:t>
            </w:r>
          </w:p>
        </w:tc>
      </w:tr>
      <w:tr w:rsidR="008645FA" w:rsidRPr="00211A02" w14:paraId="5F22FD1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0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0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1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1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1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1.03</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1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680.25</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1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45.71</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1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1.74</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1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1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7.79</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1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0.98</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1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58.62</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1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1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3.08</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1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0.47</w:t>
            </w:r>
          </w:p>
        </w:tc>
      </w:tr>
      <w:tr w:rsidR="008645FA" w:rsidRPr="00211A02" w14:paraId="5F22FD2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1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1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2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20th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2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2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1.65</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2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769.48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2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61.69</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2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2.34</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2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2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9.87</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2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1.98</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2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77.29</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2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2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2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0.85</w:t>
            </w:r>
          </w:p>
        </w:tc>
      </w:tr>
      <w:tr w:rsidR="008645FA" w:rsidRPr="00211A02" w14:paraId="5F22FD3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2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2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3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80th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3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3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4.86</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3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934.69</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3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92.36</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3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3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3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13.95</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3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3.5</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3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145.9</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3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3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7.2</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3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1.7</w:t>
            </w:r>
          </w:p>
        </w:tc>
      </w:tr>
      <w:tr w:rsidR="008645FA" w:rsidRPr="00211A02" w14:paraId="5F22FD4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3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3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4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95th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4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4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6.87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4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1066.09</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4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113.69</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4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6.67</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4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4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18.19</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4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4.81</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4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174.51</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4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4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4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w:t>
            </w:r>
          </w:p>
        </w:tc>
      </w:tr>
      <w:tr w:rsidR="008645FA" w:rsidRPr="00211A02" w14:paraId="5F22FD5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4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4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5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Guideline</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5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5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53" w14:textId="77777777" w:rsidR="008645FA" w:rsidRPr="00211A02" w:rsidRDefault="008645FA" w:rsidP="000F3684">
            <w:pPr>
              <w:spacing w:before="0" w:after="0"/>
              <w:jc w:val="center"/>
              <w:rPr>
                <w:sz w:val="18"/>
                <w:szCs w:val="18"/>
                <w:lang w:val="en-AU"/>
              </w:rPr>
            </w:pP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54" w14:textId="77777777" w:rsidR="008645FA" w:rsidRPr="00211A02" w:rsidRDefault="008645FA" w:rsidP="000F3684">
            <w:pPr>
              <w:spacing w:before="0" w:after="0"/>
              <w:jc w:val="center"/>
              <w:rPr>
                <w:sz w:val="18"/>
                <w:szCs w:val="18"/>
                <w:lang w:val="en-AU"/>
              </w:rPr>
            </w:pP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55" w14:textId="77777777" w:rsidR="008645FA" w:rsidRPr="00211A02" w:rsidRDefault="008645FA" w:rsidP="000F3684">
            <w:pPr>
              <w:spacing w:before="0" w:after="0"/>
              <w:jc w:val="center"/>
              <w:rPr>
                <w:sz w:val="18"/>
                <w:szCs w:val="18"/>
                <w:lang w:val="en-AU"/>
              </w:rPr>
            </w:pP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5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5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58" w14:textId="77777777" w:rsidR="008645FA" w:rsidRPr="00211A02" w:rsidRDefault="008645FA" w:rsidP="000F3684">
            <w:pPr>
              <w:spacing w:before="0" w:after="0"/>
              <w:jc w:val="center"/>
              <w:rPr>
                <w:sz w:val="18"/>
                <w:szCs w:val="18"/>
                <w:lang w:val="en-AU"/>
              </w:rPr>
            </w:pP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5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5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5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5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r>
      <w:tr w:rsidR="008645FA" w:rsidRPr="00211A02" w14:paraId="5F22FD6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5E" w14:textId="77777777" w:rsidR="008645FA" w:rsidRPr="00211A02" w:rsidRDefault="008645FA" w:rsidP="000F3684">
            <w:pPr>
              <w:spacing w:before="0" w:after="0"/>
              <w:rPr>
                <w:sz w:val="18"/>
                <w:szCs w:val="18"/>
                <w:lang w:val="en-AU"/>
              </w:rPr>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5F"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Port Douglas</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6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6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6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6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6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6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6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6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6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6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6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6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6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r>
      <w:tr w:rsidR="008645FA" w:rsidRPr="00211A02" w14:paraId="5F22FD7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6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6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7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Mean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7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7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1.24</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7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809.77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7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73.01</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7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4.15</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7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7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12.61</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7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2.35</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7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106.37</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7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2.54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2FD7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6.34</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7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1.42</w:t>
            </w:r>
          </w:p>
        </w:tc>
      </w:tr>
      <w:tr w:rsidR="008645FA" w:rsidRPr="00211A02" w14:paraId="5F22FD8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7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7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8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Median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8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8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0.9</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8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800.94</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8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72.15</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8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3.45</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8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8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12.59</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8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2.26</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8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99.51</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8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2FD8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5.75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8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1.44</w:t>
            </w:r>
          </w:p>
        </w:tc>
      </w:tr>
      <w:tr w:rsidR="008645FA" w:rsidRPr="00211A02" w14:paraId="5F22FD9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8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8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9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9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9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0.18</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9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633.49</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9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36.72</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9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1.81</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9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9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9.24</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9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0.62</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9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67.61</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9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9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3.17</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9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0.65</w:t>
            </w:r>
          </w:p>
        </w:tc>
      </w:tr>
      <w:tr w:rsidR="008645FA" w:rsidRPr="00211A02" w14:paraId="5F22FDA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9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9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A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20th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A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A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0.62</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A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730.1</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A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54.19</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A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2.18</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A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A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10.62</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A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1.73</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A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83.74</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A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A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4.2</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A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0.94</w:t>
            </w:r>
          </w:p>
        </w:tc>
      </w:tr>
      <w:tr w:rsidR="008645FA" w:rsidRPr="00211A02" w14:paraId="5F22FDB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A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A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B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80th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B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B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1.62</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B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888.62</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B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94.76</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B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4.74</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B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B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14.2</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B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3.18</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B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123.75</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B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B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8.6</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B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1.86</w:t>
            </w:r>
          </w:p>
        </w:tc>
      </w:tr>
      <w:tr w:rsidR="008645FA" w:rsidRPr="00211A02" w14:paraId="5F22FDC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B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B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C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95th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C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C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3.4</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C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985.01</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C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115.62</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C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7.14</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C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C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17.14</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C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3.7</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C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161.62</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C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C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10.65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C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2.21</w:t>
            </w:r>
          </w:p>
        </w:tc>
      </w:tr>
      <w:tr w:rsidR="008645FA" w:rsidRPr="00211A02" w14:paraId="5F22FDD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C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C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D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Guideline</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D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D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D3" w14:textId="77777777" w:rsidR="008645FA" w:rsidRPr="00211A02" w:rsidRDefault="008645FA" w:rsidP="000F3684">
            <w:pPr>
              <w:spacing w:before="0" w:after="0"/>
              <w:jc w:val="center"/>
              <w:rPr>
                <w:sz w:val="18"/>
                <w:szCs w:val="18"/>
                <w:lang w:val="en-AU"/>
              </w:rPr>
            </w:pP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D4" w14:textId="77777777" w:rsidR="008645FA" w:rsidRPr="00211A02" w:rsidRDefault="008645FA" w:rsidP="000F3684">
            <w:pPr>
              <w:spacing w:before="0" w:after="0"/>
              <w:jc w:val="center"/>
              <w:rPr>
                <w:sz w:val="18"/>
                <w:szCs w:val="18"/>
                <w:lang w:val="en-AU"/>
              </w:rPr>
            </w:pP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D5" w14:textId="77777777" w:rsidR="008645FA" w:rsidRPr="00211A02" w:rsidRDefault="008645FA" w:rsidP="000F3684">
            <w:pPr>
              <w:spacing w:before="0" w:after="0"/>
              <w:jc w:val="center"/>
              <w:rPr>
                <w:sz w:val="18"/>
                <w:szCs w:val="18"/>
                <w:lang w:val="en-AU"/>
              </w:rPr>
            </w:pP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D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D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D8" w14:textId="77777777" w:rsidR="008645FA" w:rsidRPr="00211A02" w:rsidRDefault="008645FA" w:rsidP="000F3684">
            <w:pPr>
              <w:spacing w:before="0" w:after="0"/>
              <w:jc w:val="center"/>
              <w:rPr>
                <w:sz w:val="18"/>
                <w:szCs w:val="18"/>
                <w:lang w:val="en-AU"/>
              </w:rPr>
            </w:pP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D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D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D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D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r>
      <w:tr w:rsidR="008645FA" w:rsidRPr="00211A02" w14:paraId="5F22FDE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DE" w14:textId="77777777" w:rsidR="008645FA" w:rsidRPr="00211A02" w:rsidRDefault="008645FA" w:rsidP="000F3684">
            <w:pPr>
              <w:spacing w:before="0" w:after="0"/>
              <w:rPr>
                <w:sz w:val="18"/>
                <w:szCs w:val="18"/>
                <w:lang w:val="en-AU"/>
              </w:rPr>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DF"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Double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E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E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E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E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E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E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E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E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E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E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E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E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E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r>
      <w:tr w:rsidR="008645FA" w:rsidRPr="00211A02" w14:paraId="5F22FDF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E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E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F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Mean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F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F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1.16</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F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810.8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F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75.95</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F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4.83</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F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F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11.62</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F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2.12</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F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103.52</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F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2.37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2FDF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7.35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F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1.24</w:t>
            </w:r>
          </w:p>
        </w:tc>
      </w:tr>
      <w:tr w:rsidR="008645FA" w:rsidRPr="00211A02" w14:paraId="5F22FE0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F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DF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0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Median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0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0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1.19</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0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787.06</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0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75.11</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0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0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0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11.86</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0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2.06</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0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100.29</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0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2FE0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6.75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0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1.15</w:t>
            </w:r>
          </w:p>
        </w:tc>
      </w:tr>
      <w:tr w:rsidR="008645FA" w:rsidRPr="00211A02" w14:paraId="5F22FE1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0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0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1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1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1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0.07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1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673.16</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1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39.46</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1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1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1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8.09</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1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0.42</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1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63.35</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1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1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3.12</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1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0.52</w:t>
            </w:r>
          </w:p>
        </w:tc>
      </w:tr>
      <w:tr w:rsidR="008645FA" w:rsidRPr="00211A02" w14:paraId="5F22FE2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1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1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2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20th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2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2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0.34</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2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721.22</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2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62.02</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2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2.96</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2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2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9.8</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2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1.19</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2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76.45</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2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2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2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0.94</w:t>
            </w:r>
          </w:p>
        </w:tc>
      </w:tr>
      <w:tr w:rsidR="008645FA" w:rsidRPr="00211A02" w14:paraId="5F22FE3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2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2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3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80th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3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3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1.77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3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911.06</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3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92.28</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3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5.46</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3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3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13.15</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3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3.13</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3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117.89</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3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3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3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1.41</w:t>
            </w:r>
          </w:p>
        </w:tc>
      </w:tr>
      <w:tr w:rsidR="008645FA" w:rsidRPr="00211A02" w14:paraId="5F22FE4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3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3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4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95th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4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4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2.75</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4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991.94</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4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107.52</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4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8.16</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4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4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13.93</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4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4.04</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4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157.67</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4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4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13.88</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4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2.06</w:t>
            </w:r>
          </w:p>
        </w:tc>
      </w:tr>
      <w:tr w:rsidR="008645FA" w:rsidRPr="00211A02" w14:paraId="5F22FE5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4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4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5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Guideline</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5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5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53" w14:textId="77777777" w:rsidR="008645FA" w:rsidRPr="00211A02" w:rsidRDefault="008645FA" w:rsidP="000F3684">
            <w:pPr>
              <w:spacing w:before="0" w:after="0"/>
              <w:jc w:val="center"/>
              <w:rPr>
                <w:sz w:val="18"/>
                <w:szCs w:val="18"/>
                <w:lang w:val="en-AU"/>
              </w:rPr>
            </w:pP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54" w14:textId="77777777" w:rsidR="008645FA" w:rsidRPr="00211A02" w:rsidRDefault="008645FA" w:rsidP="000F3684">
            <w:pPr>
              <w:spacing w:before="0" w:after="0"/>
              <w:jc w:val="center"/>
              <w:rPr>
                <w:sz w:val="18"/>
                <w:szCs w:val="18"/>
                <w:lang w:val="en-AU"/>
              </w:rPr>
            </w:pP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55" w14:textId="77777777" w:rsidR="008645FA" w:rsidRPr="00211A02" w:rsidRDefault="008645FA" w:rsidP="000F3684">
            <w:pPr>
              <w:spacing w:before="0" w:after="0"/>
              <w:jc w:val="center"/>
              <w:rPr>
                <w:sz w:val="18"/>
                <w:szCs w:val="18"/>
                <w:lang w:val="en-AU"/>
              </w:rPr>
            </w:pP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5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5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58" w14:textId="77777777" w:rsidR="008645FA" w:rsidRPr="00211A02" w:rsidRDefault="008645FA" w:rsidP="000F3684">
            <w:pPr>
              <w:spacing w:before="0" w:after="0"/>
              <w:jc w:val="center"/>
              <w:rPr>
                <w:sz w:val="18"/>
                <w:szCs w:val="18"/>
                <w:lang w:val="en-AU"/>
              </w:rPr>
            </w:pP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5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5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5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5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r>
      <w:tr w:rsidR="008645FA" w:rsidRPr="00211A02" w14:paraId="5F22FE6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5E" w14:textId="77777777" w:rsidR="008645FA" w:rsidRPr="00211A02" w:rsidRDefault="008645FA" w:rsidP="000F3684">
            <w:pPr>
              <w:spacing w:before="0" w:after="0"/>
              <w:rPr>
                <w:sz w:val="18"/>
                <w:szCs w:val="18"/>
                <w:lang w:val="en-AU"/>
              </w:rPr>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5F"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Green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6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6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6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6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6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6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6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6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6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6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6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6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6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r>
      <w:tr w:rsidR="008645FA" w:rsidRPr="00211A02" w14:paraId="5F22FE7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6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6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7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Mean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7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7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1.6</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7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790.76</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7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74.76</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7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5.14</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7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7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9.91</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7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2.17</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7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78.39</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7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7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12.11</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7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0.49</w:t>
            </w:r>
          </w:p>
        </w:tc>
      </w:tr>
      <w:tr w:rsidR="008645FA" w:rsidRPr="00211A02" w14:paraId="5F22FE8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7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7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8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Median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8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8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1.45</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8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807.17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8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79.88</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8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4.42</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8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8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9.75</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8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2.04</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8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73.54</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8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8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12.25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8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0.39</w:t>
            </w:r>
          </w:p>
        </w:tc>
      </w:tr>
      <w:tr w:rsidR="008645FA" w:rsidRPr="00211A02" w14:paraId="5F22FE9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8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8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9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9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9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9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595.5</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9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43.29</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9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2.24</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9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9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7.37</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9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1.17</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9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46.61</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9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9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4.85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9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0.1</w:t>
            </w:r>
          </w:p>
        </w:tc>
      </w:tr>
      <w:tr w:rsidR="008645FA" w:rsidRPr="00211A02" w14:paraId="5F22FEA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9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9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A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20th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A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A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0.62</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A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701.67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A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58.76</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A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2.6</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A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A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8.16</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A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1.57</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A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56.05</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A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A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A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0.17</w:t>
            </w:r>
          </w:p>
        </w:tc>
      </w:tr>
      <w:tr w:rsidR="008645FA" w:rsidRPr="00211A02" w14:paraId="5F22FEB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A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A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B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80th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B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B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2.18</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B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875.51</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B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92.61</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B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7.2</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B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B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11.37</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B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B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92.19</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B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B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15.6</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B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0.79</w:t>
            </w:r>
          </w:p>
        </w:tc>
      </w:tr>
      <w:tr w:rsidR="008645FA" w:rsidRPr="00211A02" w14:paraId="5F22FEC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B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B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C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95th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C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C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3.84</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C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926.55</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C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104.41</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C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9.2</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C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C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12.78</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C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3.49</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C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130</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C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C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18.65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C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1.14</w:t>
            </w:r>
          </w:p>
        </w:tc>
      </w:tr>
      <w:tr w:rsidR="008645FA" w:rsidRPr="00211A02" w14:paraId="5F22FED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C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C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D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Guideline</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D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D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D3" w14:textId="77777777" w:rsidR="008645FA" w:rsidRPr="00211A02" w:rsidRDefault="008645FA" w:rsidP="000F3684">
            <w:pPr>
              <w:spacing w:before="0" w:after="0"/>
              <w:jc w:val="center"/>
              <w:rPr>
                <w:sz w:val="18"/>
                <w:szCs w:val="18"/>
                <w:lang w:val="en-AU"/>
              </w:rPr>
            </w:pP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D4" w14:textId="77777777" w:rsidR="008645FA" w:rsidRPr="00211A02" w:rsidRDefault="008645FA" w:rsidP="000F3684">
            <w:pPr>
              <w:spacing w:before="0" w:after="0"/>
              <w:jc w:val="center"/>
              <w:rPr>
                <w:sz w:val="18"/>
                <w:szCs w:val="18"/>
                <w:lang w:val="en-AU"/>
              </w:rPr>
            </w:pP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D5" w14:textId="77777777" w:rsidR="008645FA" w:rsidRPr="00211A02" w:rsidRDefault="008645FA" w:rsidP="000F3684">
            <w:pPr>
              <w:spacing w:before="0" w:after="0"/>
              <w:jc w:val="center"/>
              <w:rPr>
                <w:sz w:val="18"/>
                <w:szCs w:val="18"/>
                <w:lang w:val="en-AU"/>
              </w:rPr>
            </w:pP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D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D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D8" w14:textId="77777777" w:rsidR="008645FA" w:rsidRPr="00211A02" w:rsidRDefault="008645FA" w:rsidP="000F3684">
            <w:pPr>
              <w:spacing w:before="0" w:after="0"/>
              <w:jc w:val="center"/>
              <w:rPr>
                <w:sz w:val="18"/>
                <w:szCs w:val="18"/>
                <w:lang w:val="en-AU"/>
              </w:rPr>
            </w:pP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D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D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D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D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r>
      <w:tr w:rsidR="008645FA" w:rsidRPr="00211A02" w14:paraId="5F22FEE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DE" w14:textId="77777777" w:rsidR="008645FA" w:rsidRPr="00211A02" w:rsidRDefault="008645FA" w:rsidP="000F3684">
            <w:pPr>
              <w:spacing w:before="0" w:after="0"/>
              <w:rPr>
                <w:sz w:val="18"/>
                <w:szCs w:val="18"/>
                <w:lang w:val="en-AU"/>
              </w:rPr>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DF"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Yorkey's Knob</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E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E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E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E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E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E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E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E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E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E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E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E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E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r>
      <w:tr w:rsidR="008645FA" w:rsidRPr="00211A02" w14:paraId="5F22FEF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E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E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F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Mean</w:t>
            </w:r>
          </w:p>
        </w:tc>
        <w:tc>
          <w:tcPr>
            <w:tcW w:w="1027"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2FEF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F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1.43</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F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839.54</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F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73.62</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F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5.2</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F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F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16.3</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F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2.15</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F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152.73</w:t>
            </w:r>
          </w:p>
        </w:tc>
        <w:tc>
          <w:tcPr>
            <w:tcW w:w="931"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2FEF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4.08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2FEF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3.68</w:t>
            </w:r>
          </w:p>
        </w:tc>
        <w:tc>
          <w:tcPr>
            <w:tcW w:w="91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2FEF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3.12</w:t>
            </w:r>
          </w:p>
        </w:tc>
      </w:tr>
      <w:tr w:rsidR="008645FA" w:rsidRPr="00211A02" w14:paraId="5F22FF0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F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EF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0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Median</w:t>
            </w:r>
          </w:p>
        </w:tc>
        <w:tc>
          <w:tcPr>
            <w:tcW w:w="1027"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2FF0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0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1.08</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0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791.65</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0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72.35</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0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4.53</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0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0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15.84</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0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1.99</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0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147.48</w:t>
            </w:r>
          </w:p>
        </w:tc>
        <w:tc>
          <w:tcPr>
            <w:tcW w:w="931"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2FF0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3.84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2FF0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c>
          <w:tcPr>
            <w:tcW w:w="91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2FF0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2.48</w:t>
            </w:r>
          </w:p>
        </w:tc>
      </w:tr>
      <w:tr w:rsidR="008645FA" w:rsidRPr="00211A02" w14:paraId="5F22FF1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0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0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1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1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1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0.25</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1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627.37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1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37.52</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1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1.92</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1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1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12.02</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1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0.64</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1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106.05</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1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1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1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1.33</w:t>
            </w:r>
          </w:p>
        </w:tc>
      </w:tr>
      <w:tr w:rsidR="008645FA" w:rsidRPr="00211A02" w14:paraId="5F22FF2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1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1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2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20th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2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2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0.62</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2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742.73</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2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55.46</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2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2.81</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2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2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13.1</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2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1.24</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2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111.36</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2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2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2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1.9</w:t>
            </w:r>
          </w:p>
        </w:tc>
      </w:tr>
      <w:tr w:rsidR="008645FA" w:rsidRPr="00211A02" w14:paraId="5F22FF3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2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2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3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80th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3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3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3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943.73</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3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93.36</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3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6.57</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3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3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18.38</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3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3.16</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3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177.09</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3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3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3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4.89</w:t>
            </w:r>
          </w:p>
        </w:tc>
      </w:tr>
      <w:tr w:rsidR="008645FA" w:rsidRPr="00211A02" w14:paraId="5F22FF4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3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3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4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95th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4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4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2.91</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4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1095.8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4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105.36</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4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10.74</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4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4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23.6</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4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3.98</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4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244.38</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4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4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6.82</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4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6.75</w:t>
            </w:r>
          </w:p>
        </w:tc>
      </w:tr>
      <w:tr w:rsidR="008645FA" w:rsidRPr="00211A02" w14:paraId="5F22FF5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4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4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5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Guideline</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5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5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53" w14:textId="77777777" w:rsidR="008645FA" w:rsidRPr="00211A02" w:rsidRDefault="008645FA" w:rsidP="000F3684">
            <w:pPr>
              <w:spacing w:before="0" w:after="0"/>
              <w:jc w:val="center"/>
              <w:rPr>
                <w:sz w:val="18"/>
                <w:szCs w:val="18"/>
                <w:lang w:val="en-AU"/>
              </w:rPr>
            </w:pP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54" w14:textId="77777777" w:rsidR="008645FA" w:rsidRPr="00211A02" w:rsidRDefault="008645FA" w:rsidP="000F3684">
            <w:pPr>
              <w:spacing w:before="0" w:after="0"/>
              <w:jc w:val="center"/>
              <w:rPr>
                <w:sz w:val="18"/>
                <w:szCs w:val="18"/>
                <w:lang w:val="en-AU"/>
              </w:rPr>
            </w:pP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55" w14:textId="77777777" w:rsidR="008645FA" w:rsidRPr="00211A02" w:rsidRDefault="008645FA" w:rsidP="000F3684">
            <w:pPr>
              <w:spacing w:before="0" w:after="0"/>
              <w:jc w:val="center"/>
              <w:rPr>
                <w:sz w:val="18"/>
                <w:szCs w:val="18"/>
                <w:lang w:val="en-AU"/>
              </w:rPr>
            </w:pP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5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5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58" w14:textId="77777777" w:rsidR="008645FA" w:rsidRPr="00211A02" w:rsidRDefault="008645FA" w:rsidP="000F3684">
            <w:pPr>
              <w:spacing w:before="0" w:after="0"/>
              <w:jc w:val="center"/>
              <w:rPr>
                <w:sz w:val="18"/>
                <w:szCs w:val="18"/>
                <w:lang w:val="en-AU"/>
              </w:rPr>
            </w:pP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5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5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5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5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r>
      <w:tr w:rsidR="008645FA" w:rsidRPr="00211A02" w14:paraId="5F22FF6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5E" w14:textId="77777777" w:rsidR="008645FA" w:rsidRPr="00211A02" w:rsidRDefault="008645FA" w:rsidP="000F3684">
            <w:pPr>
              <w:spacing w:before="0" w:after="0"/>
              <w:rPr>
                <w:sz w:val="18"/>
                <w:szCs w:val="18"/>
                <w:lang w:val="en-AU"/>
              </w:rPr>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5F"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Fairlead Buoy</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6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6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6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6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6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6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6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6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6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6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6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6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6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r>
      <w:tr w:rsidR="008645FA" w:rsidRPr="00211A02" w14:paraId="5F22FF7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6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6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7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Mean</w:t>
            </w:r>
          </w:p>
        </w:tc>
        <w:tc>
          <w:tcPr>
            <w:tcW w:w="1027"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2FF7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7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7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842.07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7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76.45</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7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5.04</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7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7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16.54</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7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2.18</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7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174.14</w:t>
            </w:r>
          </w:p>
        </w:tc>
        <w:tc>
          <w:tcPr>
            <w:tcW w:w="931"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2FF7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2FF7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3.35</w:t>
            </w:r>
          </w:p>
        </w:tc>
        <w:tc>
          <w:tcPr>
            <w:tcW w:w="91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2FF7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4.27</w:t>
            </w:r>
          </w:p>
        </w:tc>
      </w:tr>
      <w:tr w:rsidR="008645FA" w:rsidRPr="00211A02" w14:paraId="5F22FF8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7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7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8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Median</w:t>
            </w:r>
          </w:p>
        </w:tc>
        <w:tc>
          <w:tcPr>
            <w:tcW w:w="1027"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2FF8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8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1.29</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8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865.47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8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75.33</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8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4.25</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8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8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16.68</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8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2.28</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8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158.6</w:t>
            </w:r>
          </w:p>
        </w:tc>
        <w:tc>
          <w:tcPr>
            <w:tcW w:w="931"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2FF8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2FF8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c>
          <w:tcPr>
            <w:tcW w:w="91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2FF8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2.88</w:t>
            </w:r>
          </w:p>
        </w:tc>
      </w:tr>
      <w:tr w:rsidR="008645FA" w:rsidRPr="00211A02" w14:paraId="5F22FF9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8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8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9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9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9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9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644.48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9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37.22</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9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1.51</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9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9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11.17</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9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0.54</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9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102.38</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9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9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9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0.73</w:t>
            </w:r>
          </w:p>
        </w:tc>
      </w:tr>
      <w:tr w:rsidR="008645FA" w:rsidRPr="00211A02" w14:paraId="5F22FFA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9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9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A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20th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A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A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0.58</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A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744.29</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A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59.1</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A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A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A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14.01</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A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1.19</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A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124.19</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A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A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A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1.83</w:t>
            </w:r>
          </w:p>
        </w:tc>
      </w:tr>
      <w:tr w:rsidR="008645FA" w:rsidRPr="00211A02" w14:paraId="5F22FFB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A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A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B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80th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B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B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2.49</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B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936.89</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B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91.62</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B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5.94</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B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B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19.33</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B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2.85</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B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232.5</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B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B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4.4</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B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6.25</w:t>
            </w:r>
          </w:p>
        </w:tc>
      </w:tr>
      <w:tr w:rsidR="008645FA" w:rsidRPr="00211A02" w14:paraId="5F22FFC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B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B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C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95th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C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C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2.93</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C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1011.4</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C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105.46</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C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9.78</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C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C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22.29</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C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3.97</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C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277.34</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C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C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7.25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C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10.9</w:t>
            </w:r>
          </w:p>
        </w:tc>
      </w:tr>
      <w:tr w:rsidR="008645FA" w:rsidRPr="00211A02" w14:paraId="5F22FFD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C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C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D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Guideline</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D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D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D3" w14:textId="77777777" w:rsidR="008645FA" w:rsidRPr="00211A02" w:rsidRDefault="008645FA" w:rsidP="000F3684">
            <w:pPr>
              <w:spacing w:before="0" w:after="0"/>
              <w:jc w:val="center"/>
              <w:rPr>
                <w:sz w:val="18"/>
                <w:szCs w:val="18"/>
                <w:lang w:val="en-AU"/>
              </w:rPr>
            </w:pP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D4" w14:textId="77777777" w:rsidR="008645FA" w:rsidRPr="00211A02" w:rsidRDefault="008645FA" w:rsidP="000F3684">
            <w:pPr>
              <w:spacing w:before="0" w:after="0"/>
              <w:jc w:val="center"/>
              <w:rPr>
                <w:sz w:val="18"/>
                <w:szCs w:val="18"/>
                <w:lang w:val="en-AU"/>
              </w:rPr>
            </w:pP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D5" w14:textId="77777777" w:rsidR="008645FA" w:rsidRPr="00211A02" w:rsidRDefault="008645FA" w:rsidP="000F3684">
            <w:pPr>
              <w:spacing w:before="0" w:after="0"/>
              <w:jc w:val="center"/>
              <w:rPr>
                <w:sz w:val="18"/>
                <w:szCs w:val="18"/>
                <w:lang w:val="en-AU"/>
              </w:rPr>
            </w:pP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D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D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D8" w14:textId="77777777" w:rsidR="008645FA" w:rsidRPr="00211A02" w:rsidRDefault="008645FA" w:rsidP="000F3684">
            <w:pPr>
              <w:spacing w:before="0" w:after="0"/>
              <w:jc w:val="center"/>
              <w:rPr>
                <w:sz w:val="18"/>
                <w:szCs w:val="18"/>
                <w:lang w:val="en-AU"/>
              </w:rPr>
            </w:pP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D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D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D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D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r>
      <w:tr w:rsidR="008645FA" w:rsidRPr="00211A02" w14:paraId="5F22FFE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DE" w14:textId="77777777" w:rsidR="008645FA" w:rsidRPr="00211A02" w:rsidRDefault="008645FA" w:rsidP="000F3684">
            <w:pPr>
              <w:spacing w:before="0" w:after="0"/>
              <w:rPr>
                <w:sz w:val="18"/>
                <w:szCs w:val="18"/>
                <w:lang w:val="en-AU"/>
              </w:rPr>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DF"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Fitzroy West</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E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E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E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E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E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E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E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E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E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E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E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E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E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r>
      <w:tr w:rsidR="008645FA" w:rsidRPr="00211A02" w14:paraId="5F22FFF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E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E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F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Mean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F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F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F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817.74</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F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74.37</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F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4.93</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F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F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11.26</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F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2.49</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F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97.57</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F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2FFF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8.82</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F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0.93</w:t>
            </w:r>
          </w:p>
        </w:tc>
      </w:tr>
      <w:tr w:rsidR="008645FA" w:rsidRPr="00211A02" w14:paraId="5F23000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F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FFF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0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Median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0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0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2.46</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0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819.08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0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72.36</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0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4.53</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0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0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10.79</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0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2.5</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0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88.12</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0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00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0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0.9</w:t>
            </w:r>
          </w:p>
        </w:tc>
      </w:tr>
      <w:tr w:rsidR="008645FA" w:rsidRPr="00211A02" w14:paraId="5F23001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0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0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1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1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1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0.68</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1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610.98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1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39.51</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1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0.77</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1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1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7.22</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1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0.87</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1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58.29</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1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1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5.03</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1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0.27</w:t>
            </w:r>
          </w:p>
        </w:tc>
      </w:tr>
      <w:tr w:rsidR="008645FA" w:rsidRPr="00211A02" w14:paraId="5F23002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1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1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2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20th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2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2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1.26</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2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684.8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2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54.59</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2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2.07</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2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2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9.47</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2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1.47</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2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66.27</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2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2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7.1</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2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0.56</w:t>
            </w:r>
          </w:p>
        </w:tc>
      </w:tr>
      <w:tr w:rsidR="008645FA" w:rsidRPr="00211A02" w14:paraId="5F23003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2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2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3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80th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3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3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3.93</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3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897.16</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3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91.52</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3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5.91</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3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3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12.54</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3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3.35</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3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110.55</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3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3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3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1.32</w:t>
            </w:r>
          </w:p>
        </w:tc>
      </w:tr>
      <w:tr w:rsidR="008645FA" w:rsidRPr="00211A02" w14:paraId="5F23004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3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3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4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95th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4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4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8.4</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4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988.5</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4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110.41</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4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7.95</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4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4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15.84</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4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4.42</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4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190.06</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4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4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12.7</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4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1.77</w:t>
            </w:r>
          </w:p>
        </w:tc>
      </w:tr>
      <w:tr w:rsidR="008645FA" w:rsidRPr="00211A02" w14:paraId="5F23005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4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4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5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Guideline</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5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5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53" w14:textId="77777777" w:rsidR="008645FA" w:rsidRPr="00211A02" w:rsidRDefault="008645FA" w:rsidP="000F3684">
            <w:pPr>
              <w:spacing w:before="0" w:after="0"/>
              <w:jc w:val="center"/>
              <w:rPr>
                <w:sz w:val="18"/>
                <w:szCs w:val="18"/>
                <w:lang w:val="en-AU"/>
              </w:rPr>
            </w:pP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54" w14:textId="77777777" w:rsidR="008645FA" w:rsidRPr="00211A02" w:rsidRDefault="008645FA" w:rsidP="000F3684">
            <w:pPr>
              <w:spacing w:before="0" w:after="0"/>
              <w:jc w:val="center"/>
              <w:rPr>
                <w:sz w:val="18"/>
                <w:szCs w:val="18"/>
                <w:lang w:val="en-AU"/>
              </w:rPr>
            </w:pP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55" w14:textId="77777777" w:rsidR="008645FA" w:rsidRPr="00211A02" w:rsidRDefault="008645FA" w:rsidP="000F3684">
            <w:pPr>
              <w:spacing w:before="0" w:after="0"/>
              <w:jc w:val="center"/>
              <w:rPr>
                <w:sz w:val="18"/>
                <w:szCs w:val="18"/>
                <w:lang w:val="en-AU"/>
              </w:rPr>
            </w:pP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5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5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58" w14:textId="77777777" w:rsidR="008645FA" w:rsidRPr="00211A02" w:rsidRDefault="008645FA" w:rsidP="000F3684">
            <w:pPr>
              <w:spacing w:before="0" w:after="0"/>
              <w:jc w:val="center"/>
              <w:rPr>
                <w:sz w:val="18"/>
                <w:szCs w:val="18"/>
                <w:lang w:val="en-AU"/>
              </w:rPr>
            </w:pP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5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5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5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5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r>
      <w:tr w:rsidR="008645FA" w:rsidRPr="00211A02" w14:paraId="5F23006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5E" w14:textId="77777777" w:rsidR="008645FA" w:rsidRPr="00211A02" w:rsidRDefault="008645FA" w:rsidP="000F3684">
            <w:pPr>
              <w:spacing w:before="0" w:after="0"/>
              <w:rPr>
                <w:sz w:val="18"/>
                <w:szCs w:val="18"/>
                <w:lang w:val="en-AU"/>
              </w:rPr>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5F"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High West</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6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6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6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6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6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6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6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6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6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6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6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6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6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r>
      <w:tr w:rsidR="008645FA" w:rsidRPr="00211A02" w14:paraId="5F23007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6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6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7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Mean</w:t>
            </w:r>
          </w:p>
        </w:tc>
        <w:tc>
          <w:tcPr>
            <w:tcW w:w="1027"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07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7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2.95</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7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852.46</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7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76.27</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7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4.83</w:t>
            </w:r>
          </w:p>
        </w:tc>
        <w:tc>
          <w:tcPr>
            <w:tcW w:w="101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07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7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12.9</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7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2.31</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7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115.59</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7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2.64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07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6.44</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7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1.37</w:t>
            </w:r>
          </w:p>
        </w:tc>
      </w:tr>
      <w:tr w:rsidR="008645FA" w:rsidRPr="00211A02" w14:paraId="5F23008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7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7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8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Median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8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8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2.25</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8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852.98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8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78.96</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8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4.56</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8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8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12.19</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8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2.18</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8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103.02</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8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08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8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1.09</w:t>
            </w:r>
          </w:p>
        </w:tc>
      </w:tr>
      <w:tr w:rsidR="008645FA" w:rsidRPr="00211A02" w14:paraId="5F23009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8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8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9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9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9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0.74</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9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641.39</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9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46.58</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9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1.87</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9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9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8.62</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9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1.07</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9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68.71</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9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9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2.3</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9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0.37</w:t>
            </w:r>
          </w:p>
        </w:tc>
      </w:tr>
      <w:tr w:rsidR="008645FA" w:rsidRPr="00211A02" w14:paraId="5F2300A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9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9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A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20th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A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A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A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727.04</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A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59.82</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A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2.41</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A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A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10.61</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A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1.38</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A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79.9</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A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A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A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0.71</w:t>
            </w:r>
          </w:p>
        </w:tc>
      </w:tr>
      <w:tr w:rsidR="008645FA" w:rsidRPr="00211A02" w14:paraId="5F2300B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A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A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B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80th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B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B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3.9</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B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955.22</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B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91.45</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B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6.65</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B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B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15.61</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B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3.05</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B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143.64</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B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B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8.9</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B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2.17</w:t>
            </w:r>
          </w:p>
        </w:tc>
      </w:tr>
      <w:tr w:rsidR="008645FA" w:rsidRPr="00211A02" w14:paraId="5F2300C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B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B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C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95th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C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C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5.87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C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1095.5</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C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103.99</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C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7.42</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C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C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18.96</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C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4.46</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C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207.68</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C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C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11.7</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C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2.89</w:t>
            </w:r>
          </w:p>
        </w:tc>
      </w:tr>
      <w:tr w:rsidR="008645FA" w:rsidRPr="00211A02" w14:paraId="5F2300D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C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C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D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Guideline</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D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D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D3" w14:textId="77777777" w:rsidR="008645FA" w:rsidRPr="00211A02" w:rsidRDefault="008645FA" w:rsidP="000F3684">
            <w:pPr>
              <w:spacing w:before="0" w:after="0"/>
              <w:jc w:val="center"/>
              <w:rPr>
                <w:sz w:val="18"/>
                <w:szCs w:val="18"/>
                <w:lang w:val="en-AU"/>
              </w:rPr>
            </w:pP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D4" w14:textId="77777777" w:rsidR="008645FA" w:rsidRPr="00211A02" w:rsidRDefault="008645FA" w:rsidP="000F3684">
            <w:pPr>
              <w:spacing w:before="0" w:after="0"/>
              <w:jc w:val="center"/>
              <w:rPr>
                <w:sz w:val="18"/>
                <w:szCs w:val="18"/>
                <w:lang w:val="en-AU"/>
              </w:rPr>
            </w:pP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D5" w14:textId="77777777" w:rsidR="008645FA" w:rsidRPr="00211A02" w:rsidRDefault="008645FA" w:rsidP="000F3684">
            <w:pPr>
              <w:spacing w:before="0" w:after="0"/>
              <w:jc w:val="center"/>
              <w:rPr>
                <w:sz w:val="18"/>
                <w:szCs w:val="18"/>
                <w:lang w:val="en-AU"/>
              </w:rPr>
            </w:pP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D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D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D8" w14:textId="77777777" w:rsidR="008645FA" w:rsidRPr="00211A02" w:rsidRDefault="008645FA" w:rsidP="000F3684">
            <w:pPr>
              <w:spacing w:before="0" w:after="0"/>
              <w:jc w:val="center"/>
              <w:rPr>
                <w:sz w:val="18"/>
                <w:szCs w:val="18"/>
                <w:lang w:val="en-AU"/>
              </w:rPr>
            </w:pP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D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D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D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D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r>
      <w:tr w:rsidR="008645FA" w:rsidRPr="00211A02" w14:paraId="5F2300E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DE" w14:textId="77777777" w:rsidR="008645FA" w:rsidRPr="00211A02" w:rsidRDefault="008645FA" w:rsidP="000F3684">
            <w:pPr>
              <w:spacing w:before="0" w:after="0"/>
              <w:rPr>
                <w:sz w:val="18"/>
                <w:szCs w:val="18"/>
                <w:lang w:val="en-AU"/>
              </w:rPr>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DF"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Franklands West</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E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E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E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E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E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E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E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E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E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E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E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E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E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r>
      <w:tr w:rsidR="008645FA" w:rsidRPr="00211A02" w14:paraId="5F2300F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E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E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F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Mean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F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F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1.88</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F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806.83</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F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75.43</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F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4.75</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F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F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12.09</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F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2.31</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F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100.46</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F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0F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9.33</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F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0.75</w:t>
            </w:r>
          </w:p>
        </w:tc>
      </w:tr>
      <w:tr w:rsidR="008645FA" w:rsidRPr="00211A02" w14:paraId="5F23010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F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0F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0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Median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0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0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1.84</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0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838.65</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0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76.33</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0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4.29</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0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0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10.76</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0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2.41</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0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84.08</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0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1.99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10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0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0.72</w:t>
            </w:r>
          </w:p>
        </w:tc>
      </w:tr>
      <w:tr w:rsidR="008645FA" w:rsidRPr="00211A02" w14:paraId="5F23011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0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0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1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1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1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0.87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1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648.66</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1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46.59</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1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1.21</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1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1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7.98</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1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0.86</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1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56.22</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1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1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1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0.17</w:t>
            </w:r>
          </w:p>
        </w:tc>
      </w:tr>
      <w:tr w:rsidR="008645FA" w:rsidRPr="00211A02" w14:paraId="5F23012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1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1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2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20th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2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2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1.06</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2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712.93</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2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63.49</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2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2.85</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2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2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9.54</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2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1.38</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2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68.16</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2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2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2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0.37</w:t>
            </w:r>
          </w:p>
        </w:tc>
      </w:tr>
      <w:tr w:rsidR="008645FA" w:rsidRPr="00211A02" w14:paraId="5F23013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2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2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3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80th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3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3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2.55</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3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866.11</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3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89.8</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3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6.65</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3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3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13.78</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3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3.04</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3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107.35</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3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3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12.8</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3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1.06</w:t>
            </w:r>
          </w:p>
        </w:tc>
      </w:tr>
      <w:tr w:rsidR="008645FA" w:rsidRPr="00211A02" w14:paraId="5F23014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3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3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4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95th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4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4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2.91</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4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893.73</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4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106.67</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4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8.51</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4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4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19.75</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4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3.32</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4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235.58</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4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4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4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1.63</w:t>
            </w:r>
          </w:p>
        </w:tc>
      </w:tr>
      <w:tr w:rsidR="008645FA" w:rsidRPr="00211A02" w14:paraId="5F23015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4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4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5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Guideline</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5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5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53" w14:textId="77777777" w:rsidR="008645FA" w:rsidRPr="00211A02" w:rsidRDefault="008645FA" w:rsidP="000F3684">
            <w:pPr>
              <w:spacing w:before="0" w:after="0"/>
              <w:jc w:val="center"/>
              <w:rPr>
                <w:sz w:val="18"/>
                <w:szCs w:val="18"/>
                <w:lang w:val="en-AU"/>
              </w:rPr>
            </w:pP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54" w14:textId="77777777" w:rsidR="008645FA" w:rsidRPr="00211A02" w:rsidRDefault="008645FA" w:rsidP="000F3684">
            <w:pPr>
              <w:spacing w:before="0" w:after="0"/>
              <w:jc w:val="center"/>
              <w:rPr>
                <w:sz w:val="18"/>
                <w:szCs w:val="18"/>
                <w:lang w:val="en-AU"/>
              </w:rPr>
            </w:pP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55" w14:textId="77777777" w:rsidR="008645FA" w:rsidRPr="00211A02" w:rsidRDefault="008645FA" w:rsidP="000F3684">
            <w:pPr>
              <w:spacing w:before="0" w:after="0"/>
              <w:jc w:val="center"/>
              <w:rPr>
                <w:sz w:val="18"/>
                <w:szCs w:val="18"/>
                <w:lang w:val="en-AU"/>
              </w:rPr>
            </w:pP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5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5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58" w14:textId="77777777" w:rsidR="008645FA" w:rsidRPr="00211A02" w:rsidRDefault="008645FA" w:rsidP="000F3684">
            <w:pPr>
              <w:spacing w:before="0" w:after="0"/>
              <w:jc w:val="center"/>
              <w:rPr>
                <w:sz w:val="18"/>
                <w:szCs w:val="18"/>
                <w:lang w:val="en-AU"/>
              </w:rPr>
            </w:pP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5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5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5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5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r>
      <w:tr w:rsidR="008645FA" w:rsidRPr="00211A02" w14:paraId="5F23016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5E" w14:textId="77777777" w:rsidR="008645FA" w:rsidRPr="00211A02" w:rsidRDefault="008645FA" w:rsidP="000F3684">
            <w:pPr>
              <w:spacing w:before="0" w:after="0"/>
              <w:rPr>
                <w:sz w:val="18"/>
                <w:szCs w:val="18"/>
                <w:lang w:val="en-AU"/>
              </w:rPr>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5F"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Dunk North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6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6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6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6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6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6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6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6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6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6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6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6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6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w:t>
            </w:r>
          </w:p>
        </w:tc>
      </w:tr>
      <w:tr w:rsidR="008645FA" w:rsidRPr="00211A02" w14:paraId="5F23017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6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6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7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Mean</w:t>
            </w:r>
          </w:p>
        </w:tc>
        <w:tc>
          <w:tcPr>
            <w:tcW w:w="1027"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17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7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2.65</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7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896.81</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7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79</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7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4.94</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7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7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15.44</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7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2.15</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7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149.37</w:t>
            </w:r>
          </w:p>
        </w:tc>
        <w:tc>
          <w:tcPr>
            <w:tcW w:w="931"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17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3.38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17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4.92</w:t>
            </w:r>
          </w:p>
        </w:tc>
        <w:tc>
          <w:tcPr>
            <w:tcW w:w="91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17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2.3</w:t>
            </w:r>
          </w:p>
        </w:tc>
      </w:tr>
      <w:tr w:rsidR="008645FA" w:rsidRPr="00211A02" w14:paraId="5F23018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7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7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8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Median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8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8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2.02</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8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878.06</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8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75.86</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8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4.48</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8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8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13.98</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8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2.28</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8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116.28</w:t>
            </w:r>
          </w:p>
        </w:tc>
        <w:tc>
          <w:tcPr>
            <w:tcW w:w="931"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18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18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4.75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8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1.36</w:t>
            </w:r>
          </w:p>
        </w:tc>
      </w:tr>
      <w:tr w:rsidR="008645FA" w:rsidRPr="00211A02" w14:paraId="5F23019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8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8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9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9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9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0.36</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9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711.37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9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47.66</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9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2.11</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9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9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9.61</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9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0.67</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9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73.15</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9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9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2.35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9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0.61</w:t>
            </w:r>
          </w:p>
        </w:tc>
      </w:tr>
      <w:tr w:rsidR="008645FA" w:rsidRPr="00211A02" w14:paraId="5F2301A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9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9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A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20th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A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A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1.19</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A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771.47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A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66.2</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A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2.38</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A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A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11.6</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A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1.33</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A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92.21</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A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A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3.08</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A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1.11</w:t>
            </w:r>
          </w:p>
        </w:tc>
      </w:tr>
      <w:tr w:rsidR="008645FA" w:rsidRPr="00211A02" w14:paraId="5F2301B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A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A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B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80th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B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B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B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998.2</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B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96.12</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B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6.36</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B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B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19.96</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B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2.86</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B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192.23</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B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B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6.3</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B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2.38</w:t>
            </w:r>
          </w:p>
        </w:tc>
      </w:tr>
      <w:tr w:rsidR="008645FA" w:rsidRPr="00211A02" w14:paraId="5F2301C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B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B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C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95th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C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C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7.54</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C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1180.09</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C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109.76</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C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8.66</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C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C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24.42</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C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3.28</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C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278.89</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C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C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8.3</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C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7.3</w:t>
            </w:r>
          </w:p>
        </w:tc>
      </w:tr>
      <w:tr w:rsidR="008645FA" w:rsidRPr="00211A02" w14:paraId="5F2301D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C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C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D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Guideline</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D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D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D3" w14:textId="77777777" w:rsidR="008645FA" w:rsidRPr="00211A02" w:rsidRDefault="008645FA" w:rsidP="000F3684">
            <w:pPr>
              <w:spacing w:before="0" w:after="0"/>
              <w:jc w:val="center"/>
              <w:rPr>
                <w:sz w:val="18"/>
                <w:szCs w:val="18"/>
                <w:lang w:val="en-AU"/>
              </w:rPr>
            </w:pP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D4" w14:textId="77777777" w:rsidR="008645FA" w:rsidRPr="00211A02" w:rsidRDefault="008645FA" w:rsidP="000F3684">
            <w:pPr>
              <w:spacing w:before="0" w:after="0"/>
              <w:jc w:val="center"/>
              <w:rPr>
                <w:sz w:val="18"/>
                <w:szCs w:val="18"/>
                <w:lang w:val="en-AU"/>
              </w:rPr>
            </w:pP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D5" w14:textId="77777777" w:rsidR="008645FA" w:rsidRPr="00211A02" w:rsidRDefault="008645FA" w:rsidP="000F3684">
            <w:pPr>
              <w:spacing w:before="0" w:after="0"/>
              <w:jc w:val="center"/>
              <w:rPr>
                <w:sz w:val="18"/>
                <w:szCs w:val="18"/>
                <w:lang w:val="en-AU"/>
              </w:rPr>
            </w:pP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D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D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D8" w14:textId="77777777" w:rsidR="008645FA" w:rsidRPr="00211A02" w:rsidRDefault="008645FA" w:rsidP="000F3684">
            <w:pPr>
              <w:spacing w:before="0" w:after="0"/>
              <w:jc w:val="center"/>
              <w:rPr>
                <w:sz w:val="18"/>
                <w:szCs w:val="18"/>
                <w:lang w:val="en-AU"/>
              </w:rPr>
            </w:pP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D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D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D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D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r>
      <w:tr w:rsidR="008645FA" w:rsidRPr="00211A02" w14:paraId="5F2301ED" w14:textId="77777777" w:rsidTr="00211A02">
        <w:tc>
          <w:tcPr>
            <w:tcW w:w="81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DE"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Burdekin</w:t>
            </w: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DF"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Palms West</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E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E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E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E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E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E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E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E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E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E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E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E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E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w:t>
            </w:r>
          </w:p>
        </w:tc>
      </w:tr>
      <w:tr w:rsidR="008645FA" w:rsidRPr="00211A02" w14:paraId="5F2301F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E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E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F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Mean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F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F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2.66</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F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814.24</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F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76.15</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F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5.36</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F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F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11.63</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F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2.44</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F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90.57</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F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2.15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1F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8.35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F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0.86</w:t>
            </w:r>
          </w:p>
        </w:tc>
      </w:tr>
      <w:tr w:rsidR="008645FA" w:rsidRPr="00211A02" w14:paraId="5F23020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F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1F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0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Median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0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0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0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833.62</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0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76.35</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0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5.19</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0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0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10.96</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0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2.44</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0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91.82</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0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20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0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0.68</w:t>
            </w:r>
          </w:p>
        </w:tc>
      </w:tr>
      <w:tr w:rsidR="008645FA" w:rsidRPr="00211A02" w14:paraId="5F23021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0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0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1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1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1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0.65</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1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652.05</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1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37</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1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1.81</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1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1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7.58</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1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0.82</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1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52.29</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1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1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1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0.21</w:t>
            </w:r>
          </w:p>
        </w:tc>
      </w:tr>
      <w:tr w:rsidR="008645FA" w:rsidRPr="00211A02" w14:paraId="5F23022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1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1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2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20th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2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2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2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722.56</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2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59.98</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2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2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2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9.12</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2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1.51</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2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61.28</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2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2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6.1</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2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w:t>
            </w:r>
          </w:p>
        </w:tc>
      </w:tr>
      <w:tr w:rsidR="008645FA" w:rsidRPr="00211A02" w14:paraId="5F23023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2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2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3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80th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3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3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3.02</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3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898.9</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3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91.94</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3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6.24</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3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3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14.83</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3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3.07</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3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118.49</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3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3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9.4</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3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w:t>
            </w:r>
          </w:p>
        </w:tc>
      </w:tr>
      <w:tr w:rsidR="008645FA" w:rsidRPr="00211A02" w14:paraId="5F23024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3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3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4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95th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4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4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8.38</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4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958.72</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4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100.77</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4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7.07</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4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4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17.34</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4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3.85</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4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132.29</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4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4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14.1</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4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2.01</w:t>
            </w:r>
          </w:p>
        </w:tc>
      </w:tr>
      <w:tr w:rsidR="008645FA" w:rsidRPr="00211A02" w14:paraId="5F23025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4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4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5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Guideline</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5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5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53" w14:textId="77777777" w:rsidR="008645FA" w:rsidRPr="00211A02" w:rsidRDefault="008645FA" w:rsidP="000F3684">
            <w:pPr>
              <w:spacing w:before="0" w:after="0"/>
              <w:jc w:val="center"/>
              <w:rPr>
                <w:sz w:val="18"/>
                <w:szCs w:val="18"/>
                <w:lang w:val="en-AU"/>
              </w:rPr>
            </w:pP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54" w14:textId="77777777" w:rsidR="008645FA" w:rsidRPr="00211A02" w:rsidRDefault="008645FA" w:rsidP="000F3684">
            <w:pPr>
              <w:spacing w:before="0" w:after="0"/>
              <w:jc w:val="center"/>
              <w:rPr>
                <w:sz w:val="18"/>
                <w:szCs w:val="18"/>
                <w:lang w:val="en-AU"/>
              </w:rPr>
            </w:pP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55" w14:textId="77777777" w:rsidR="008645FA" w:rsidRPr="00211A02" w:rsidRDefault="008645FA" w:rsidP="000F3684">
            <w:pPr>
              <w:spacing w:before="0" w:after="0"/>
              <w:jc w:val="center"/>
              <w:rPr>
                <w:sz w:val="18"/>
                <w:szCs w:val="18"/>
                <w:lang w:val="en-AU"/>
              </w:rPr>
            </w:pP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5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5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58" w14:textId="77777777" w:rsidR="008645FA" w:rsidRPr="00211A02" w:rsidRDefault="008645FA" w:rsidP="000F3684">
            <w:pPr>
              <w:spacing w:before="0" w:after="0"/>
              <w:jc w:val="center"/>
              <w:rPr>
                <w:sz w:val="18"/>
                <w:szCs w:val="18"/>
                <w:lang w:val="en-AU"/>
              </w:rPr>
            </w:pP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5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5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5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5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r>
      <w:tr w:rsidR="008645FA" w:rsidRPr="00211A02" w14:paraId="5F23026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5E" w14:textId="77777777" w:rsidR="008645FA" w:rsidRPr="00211A02" w:rsidRDefault="008645FA" w:rsidP="000F3684">
            <w:pPr>
              <w:spacing w:before="0" w:after="0"/>
              <w:rPr>
                <w:sz w:val="18"/>
                <w:szCs w:val="18"/>
                <w:lang w:val="en-AU"/>
              </w:rPr>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5F"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Pandora</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6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6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6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6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6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6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6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6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6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6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6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6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6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w:t>
            </w:r>
          </w:p>
        </w:tc>
      </w:tr>
      <w:tr w:rsidR="008645FA" w:rsidRPr="00211A02" w14:paraId="5F23027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6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6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7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Mean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7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7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3.12</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7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857.23</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7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80.27</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7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4.9</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7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7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12.55</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7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2.69</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7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105.04</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7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2.61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27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6.9</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7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1.32</w:t>
            </w:r>
          </w:p>
        </w:tc>
      </w:tr>
      <w:tr w:rsidR="008645FA" w:rsidRPr="00211A02" w14:paraId="5F23028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7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7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8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Median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8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8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2.62</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8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859.09</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8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79.96</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8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4.61</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8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8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11.28</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8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2.57</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8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95.85</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8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2.27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28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6.25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8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0.95</w:t>
            </w:r>
          </w:p>
        </w:tc>
      </w:tr>
      <w:tr w:rsidR="008645FA" w:rsidRPr="00211A02" w14:paraId="5F23029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8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8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9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9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9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0.61</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9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666.82</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9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46.47</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9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1.09</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9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9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9.33</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9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1.11</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9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68.1</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9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9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3.03</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9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0.21</w:t>
            </w:r>
          </w:p>
        </w:tc>
      </w:tr>
      <w:tr w:rsidR="008645FA" w:rsidRPr="00211A02" w14:paraId="5F2302A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9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9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A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20th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A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A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1.52</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A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750.74</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A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71.33</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A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2.17</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A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A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10.31</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A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1.74</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A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80.68</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A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A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A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0.61</w:t>
            </w:r>
          </w:p>
        </w:tc>
      </w:tr>
      <w:tr w:rsidR="008645FA" w:rsidRPr="00211A02" w14:paraId="5F2302B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A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A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B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80th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B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B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5.31</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B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952.49</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B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94.51</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B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6.72</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B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B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16.52</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B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3.31</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B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135.97</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B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B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9.3</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B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1.53</w:t>
            </w:r>
          </w:p>
        </w:tc>
      </w:tr>
      <w:tr w:rsidR="008645FA" w:rsidRPr="00211A02" w14:paraId="5F2302C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B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B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C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95th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C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C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C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1030.37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C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103.84</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C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8.02</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C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C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18.44</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C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3.99</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C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158.03</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C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C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11.65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C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3.47</w:t>
            </w:r>
          </w:p>
        </w:tc>
      </w:tr>
      <w:tr w:rsidR="008645FA" w:rsidRPr="00211A02" w14:paraId="5F2302D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C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C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D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Guideline</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D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D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D3" w14:textId="77777777" w:rsidR="008645FA" w:rsidRPr="00211A02" w:rsidRDefault="008645FA" w:rsidP="000F3684">
            <w:pPr>
              <w:spacing w:before="0" w:after="0"/>
              <w:jc w:val="center"/>
              <w:rPr>
                <w:sz w:val="18"/>
                <w:szCs w:val="18"/>
                <w:lang w:val="en-AU"/>
              </w:rPr>
            </w:pP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D4" w14:textId="77777777" w:rsidR="008645FA" w:rsidRPr="00211A02" w:rsidRDefault="008645FA" w:rsidP="000F3684">
            <w:pPr>
              <w:spacing w:before="0" w:after="0"/>
              <w:jc w:val="center"/>
              <w:rPr>
                <w:sz w:val="18"/>
                <w:szCs w:val="18"/>
                <w:lang w:val="en-AU"/>
              </w:rPr>
            </w:pP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D5" w14:textId="77777777" w:rsidR="008645FA" w:rsidRPr="00211A02" w:rsidRDefault="008645FA" w:rsidP="000F3684">
            <w:pPr>
              <w:spacing w:before="0" w:after="0"/>
              <w:jc w:val="center"/>
              <w:rPr>
                <w:sz w:val="18"/>
                <w:szCs w:val="18"/>
                <w:lang w:val="en-AU"/>
              </w:rPr>
            </w:pP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D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D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D8" w14:textId="77777777" w:rsidR="008645FA" w:rsidRPr="00211A02" w:rsidRDefault="008645FA" w:rsidP="000F3684">
            <w:pPr>
              <w:spacing w:before="0" w:after="0"/>
              <w:jc w:val="center"/>
              <w:rPr>
                <w:sz w:val="18"/>
                <w:szCs w:val="18"/>
                <w:lang w:val="en-AU"/>
              </w:rPr>
            </w:pP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D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D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D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D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r>
      <w:tr w:rsidR="008645FA" w:rsidRPr="00211A02" w14:paraId="5F2302E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DE" w14:textId="77777777" w:rsidR="008645FA" w:rsidRPr="00211A02" w:rsidRDefault="008645FA" w:rsidP="000F3684">
            <w:pPr>
              <w:spacing w:before="0" w:after="0"/>
              <w:rPr>
                <w:sz w:val="18"/>
                <w:szCs w:val="18"/>
                <w:lang w:val="en-AU"/>
              </w:rPr>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DF"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Magnetic</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E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E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E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33</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E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33</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E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33</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E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33</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E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E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33</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E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33</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E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33</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E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E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33</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E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33</w:t>
            </w:r>
          </w:p>
        </w:tc>
      </w:tr>
      <w:tr w:rsidR="008645FA" w:rsidRPr="00211A02" w14:paraId="5F2302F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E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E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F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Mean</w:t>
            </w:r>
          </w:p>
        </w:tc>
        <w:tc>
          <w:tcPr>
            <w:tcW w:w="1027"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2F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F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4.97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F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920.73</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F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82.28</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F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5.08</w:t>
            </w:r>
          </w:p>
        </w:tc>
        <w:tc>
          <w:tcPr>
            <w:tcW w:w="101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2F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F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16.89</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F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3.35</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F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155.19</w:t>
            </w:r>
          </w:p>
        </w:tc>
        <w:tc>
          <w:tcPr>
            <w:tcW w:w="931"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2F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3.66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2F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4.4</w:t>
            </w:r>
          </w:p>
        </w:tc>
        <w:tc>
          <w:tcPr>
            <w:tcW w:w="91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2F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2.23</w:t>
            </w:r>
          </w:p>
        </w:tc>
      </w:tr>
      <w:tr w:rsidR="008645FA" w:rsidRPr="00211A02" w14:paraId="5F23030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F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2F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0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Median</w:t>
            </w:r>
          </w:p>
        </w:tc>
        <w:tc>
          <w:tcPr>
            <w:tcW w:w="1027"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30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0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3.18</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0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903.02</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0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87.84</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0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4.73</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0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0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16.41</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0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3.25</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0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147.94</w:t>
            </w:r>
          </w:p>
        </w:tc>
        <w:tc>
          <w:tcPr>
            <w:tcW w:w="931"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30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3.49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30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0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1.58</w:t>
            </w:r>
          </w:p>
        </w:tc>
      </w:tr>
      <w:tr w:rsidR="008645FA" w:rsidRPr="00211A02" w14:paraId="5F23031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0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0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1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1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1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0.82</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1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706.97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1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39.04</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1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1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1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11.12</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1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1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73.31</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1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1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1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0.54</w:t>
            </w:r>
          </w:p>
        </w:tc>
      </w:tr>
      <w:tr w:rsidR="008645FA" w:rsidRPr="00211A02" w14:paraId="5F23032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1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1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2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20th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2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2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1.41</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2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782.07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2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67.51</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2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3.16</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2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2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13.06</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2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2.44</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2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102.02</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2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2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2.6</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2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0.92</w:t>
            </w:r>
          </w:p>
        </w:tc>
      </w:tr>
      <w:tr w:rsidR="008645FA" w:rsidRPr="00211A02" w14:paraId="5F23033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2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2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3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80th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3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3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8.93</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3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991.13</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3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102.35</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3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7.05</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3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3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18.93</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3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4.26</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3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195.63</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3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3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5.8</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3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3.19</w:t>
            </w:r>
          </w:p>
        </w:tc>
      </w:tr>
      <w:tr w:rsidR="008645FA" w:rsidRPr="00211A02" w14:paraId="5F23034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3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3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4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95th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4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4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11.4</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4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1228.7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4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108.66</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4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8.83</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4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4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25.25</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4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5.25</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4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283.84</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4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4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7.97</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4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4.66</w:t>
            </w:r>
          </w:p>
        </w:tc>
      </w:tr>
      <w:tr w:rsidR="008645FA" w:rsidRPr="00211A02" w14:paraId="5F23035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4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4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5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Guideline</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5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5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53" w14:textId="77777777" w:rsidR="008645FA" w:rsidRPr="00211A02" w:rsidRDefault="008645FA" w:rsidP="000F3684">
            <w:pPr>
              <w:spacing w:before="0" w:after="0"/>
              <w:jc w:val="center"/>
              <w:rPr>
                <w:sz w:val="18"/>
                <w:szCs w:val="18"/>
                <w:lang w:val="en-AU"/>
              </w:rPr>
            </w:pP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54" w14:textId="77777777" w:rsidR="008645FA" w:rsidRPr="00211A02" w:rsidRDefault="008645FA" w:rsidP="000F3684">
            <w:pPr>
              <w:spacing w:before="0" w:after="0"/>
              <w:jc w:val="center"/>
              <w:rPr>
                <w:sz w:val="18"/>
                <w:szCs w:val="18"/>
                <w:lang w:val="en-AU"/>
              </w:rPr>
            </w:pP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55" w14:textId="77777777" w:rsidR="008645FA" w:rsidRPr="00211A02" w:rsidRDefault="008645FA" w:rsidP="000F3684">
            <w:pPr>
              <w:spacing w:before="0" w:after="0"/>
              <w:jc w:val="center"/>
              <w:rPr>
                <w:sz w:val="18"/>
                <w:szCs w:val="18"/>
                <w:lang w:val="en-AU"/>
              </w:rPr>
            </w:pP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5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5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58" w14:textId="77777777" w:rsidR="008645FA" w:rsidRPr="00211A02" w:rsidRDefault="008645FA" w:rsidP="000F3684">
            <w:pPr>
              <w:spacing w:before="0" w:after="0"/>
              <w:jc w:val="center"/>
              <w:rPr>
                <w:sz w:val="18"/>
                <w:szCs w:val="18"/>
                <w:lang w:val="en-AU"/>
              </w:rPr>
            </w:pP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5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5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5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5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r>
      <w:tr w:rsidR="008645FA" w:rsidRPr="00211A02" w14:paraId="5F23036D" w14:textId="77777777" w:rsidTr="00211A02">
        <w:tc>
          <w:tcPr>
            <w:tcW w:w="81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5E"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Haughton</w:t>
            </w: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5F"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Haughton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6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6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6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6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6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6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6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6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6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6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6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6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6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w:t>
            </w:r>
          </w:p>
        </w:tc>
      </w:tr>
      <w:tr w:rsidR="008645FA" w:rsidRPr="00211A02" w14:paraId="5F23037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6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6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7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Mean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7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7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NaN</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7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1035.18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7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78.55</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7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4.21</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7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7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NaN</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7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1.86</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7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NaN</w:t>
            </w:r>
          </w:p>
        </w:tc>
        <w:tc>
          <w:tcPr>
            <w:tcW w:w="931"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37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3.74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37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4.5</w:t>
            </w:r>
          </w:p>
        </w:tc>
        <w:tc>
          <w:tcPr>
            <w:tcW w:w="91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37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2.2</w:t>
            </w:r>
          </w:p>
        </w:tc>
      </w:tr>
      <w:tr w:rsidR="008645FA" w:rsidRPr="00211A02" w14:paraId="5F23038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7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7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8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Median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8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82" w14:textId="77777777" w:rsidR="008645FA" w:rsidRPr="00211A02" w:rsidRDefault="008645FA" w:rsidP="000F3684">
            <w:pPr>
              <w:spacing w:before="0" w:after="0"/>
              <w:jc w:val="center"/>
              <w:rPr>
                <w:sz w:val="18"/>
                <w:szCs w:val="18"/>
                <w:lang w:val="en-AU"/>
              </w:rPr>
            </w:pP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8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1035.18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8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78.55</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8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4.21</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8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87" w14:textId="77777777" w:rsidR="008645FA" w:rsidRPr="00211A02" w:rsidRDefault="008645FA" w:rsidP="000F3684">
            <w:pPr>
              <w:spacing w:before="0" w:after="0"/>
              <w:jc w:val="center"/>
              <w:rPr>
                <w:sz w:val="18"/>
                <w:szCs w:val="18"/>
                <w:lang w:val="en-AU"/>
              </w:rPr>
            </w:pP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8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1.86</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8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38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3.74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38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4.5</w:t>
            </w:r>
          </w:p>
        </w:tc>
        <w:tc>
          <w:tcPr>
            <w:tcW w:w="91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38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2.2</w:t>
            </w:r>
          </w:p>
        </w:tc>
      </w:tr>
      <w:tr w:rsidR="008645FA" w:rsidRPr="00211A02" w14:paraId="5F23039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8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8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9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9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92" w14:textId="77777777" w:rsidR="008645FA" w:rsidRPr="00211A02" w:rsidRDefault="008645FA" w:rsidP="000F3684">
            <w:pPr>
              <w:spacing w:before="0" w:after="0"/>
              <w:jc w:val="center"/>
              <w:rPr>
                <w:sz w:val="18"/>
                <w:szCs w:val="18"/>
                <w:lang w:val="en-AU"/>
              </w:rPr>
            </w:pP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9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1035.18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9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78.55</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9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4.21</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9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97" w14:textId="77777777" w:rsidR="008645FA" w:rsidRPr="00211A02" w:rsidRDefault="008645FA" w:rsidP="000F3684">
            <w:pPr>
              <w:spacing w:before="0" w:after="0"/>
              <w:jc w:val="center"/>
              <w:rPr>
                <w:sz w:val="18"/>
                <w:szCs w:val="18"/>
                <w:lang w:val="en-AU"/>
              </w:rPr>
            </w:pP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9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1.86</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9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9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9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9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2.2</w:t>
            </w:r>
          </w:p>
        </w:tc>
      </w:tr>
      <w:tr w:rsidR="008645FA" w:rsidRPr="00211A02" w14:paraId="5F2303A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9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9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A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20th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A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A2" w14:textId="77777777" w:rsidR="008645FA" w:rsidRPr="00211A02" w:rsidRDefault="008645FA" w:rsidP="000F3684">
            <w:pPr>
              <w:spacing w:before="0" w:after="0"/>
              <w:jc w:val="center"/>
              <w:rPr>
                <w:sz w:val="18"/>
                <w:szCs w:val="18"/>
                <w:lang w:val="en-AU"/>
              </w:rPr>
            </w:pP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A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1035.18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A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78.55</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A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4.21</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A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A7" w14:textId="77777777" w:rsidR="008645FA" w:rsidRPr="00211A02" w:rsidRDefault="008645FA" w:rsidP="000F3684">
            <w:pPr>
              <w:spacing w:before="0" w:after="0"/>
              <w:jc w:val="center"/>
              <w:rPr>
                <w:sz w:val="18"/>
                <w:szCs w:val="18"/>
                <w:lang w:val="en-AU"/>
              </w:rPr>
            </w:pP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A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1.86</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A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A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A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A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2.2</w:t>
            </w:r>
          </w:p>
        </w:tc>
      </w:tr>
      <w:tr w:rsidR="008645FA" w:rsidRPr="00211A02" w14:paraId="5F2303B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A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A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B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80th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B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B2" w14:textId="77777777" w:rsidR="008645FA" w:rsidRPr="00211A02" w:rsidRDefault="008645FA" w:rsidP="000F3684">
            <w:pPr>
              <w:spacing w:before="0" w:after="0"/>
              <w:jc w:val="center"/>
              <w:rPr>
                <w:sz w:val="18"/>
                <w:szCs w:val="18"/>
                <w:lang w:val="en-AU"/>
              </w:rPr>
            </w:pP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B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1035.18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B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78.55</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B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4.21</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B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B7" w14:textId="77777777" w:rsidR="008645FA" w:rsidRPr="00211A02" w:rsidRDefault="008645FA" w:rsidP="000F3684">
            <w:pPr>
              <w:spacing w:before="0" w:after="0"/>
              <w:jc w:val="center"/>
              <w:rPr>
                <w:sz w:val="18"/>
                <w:szCs w:val="18"/>
                <w:lang w:val="en-AU"/>
              </w:rPr>
            </w:pP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B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1.86</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B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B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B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B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2.2</w:t>
            </w:r>
          </w:p>
        </w:tc>
      </w:tr>
      <w:tr w:rsidR="008645FA" w:rsidRPr="00211A02" w14:paraId="5F2303C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B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B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C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95th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C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C2" w14:textId="77777777" w:rsidR="008645FA" w:rsidRPr="00211A02" w:rsidRDefault="008645FA" w:rsidP="000F3684">
            <w:pPr>
              <w:spacing w:before="0" w:after="0"/>
              <w:jc w:val="center"/>
              <w:rPr>
                <w:sz w:val="18"/>
                <w:szCs w:val="18"/>
                <w:lang w:val="en-AU"/>
              </w:rPr>
            </w:pP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C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1035.18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C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78.55</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C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4.21</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C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C7" w14:textId="77777777" w:rsidR="008645FA" w:rsidRPr="00211A02" w:rsidRDefault="008645FA" w:rsidP="000F3684">
            <w:pPr>
              <w:spacing w:before="0" w:after="0"/>
              <w:jc w:val="center"/>
              <w:rPr>
                <w:sz w:val="18"/>
                <w:szCs w:val="18"/>
                <w:lang w:val="en-AU"/>
              </w:rPr>
            </w:pP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C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1.86</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C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C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C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C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2.2</w:t>
            </w:r>
          </w:p>
        </w:tc>
      </w:tr>
      <w:tr w:rsidR="008645FA" w:rsidRPr="00211A02" w14:paraId="5F2303D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C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C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D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Guideline</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D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D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D3" w14:textId="77777777" w:rsidR="008645FA" w:rsidRPr="00211A02" w:rsidRDefault="008645FA" w:rsidP="000F3684">
            <w:pPr>
              <w:spacing w:before="0" w:after="0"/>
              <w:jc w:val="center"/>
              <w:rPr>
                <w:sz w:val="18"/>
                <w:szCs w:val="18"/>
                <w:lang w:val="en-AU"/>
              </w:rPr>
            </w:pP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D4" w14:textId="77777777" w:rsidR="008645FA" w:rsidRPr="00211A02" w:rsidRDefault="008645FA" w:rsidP="000F3684">
            <w:pPr>
              <w:spacing w:before="0" w:after="0"/>
              <w:jc w:val="center"/>
              <w:rPr>
                <w:sz w:val="18"/>
                <w:szCs w:val="18"/>
                <w:lang w:val="en-AU"/>
              </w:rPr>
            </w:pP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D5" w14:textId="77777777" w:rsidR="008645FA" w:rsidRPr="00211A02" w:rsidRDefault="008645FA" w:rsidP="000F3684">
            <w:pPr>
              <w:spacing w:before="0" w:after="0"/>
              <w:jc w:val="center"/>
              <w:rPr>
                <w:sz w:val="18"/>
                <w:szCs w:val="18"/>
                <w:lang w:val="en-AU"/>
              </w:rPr>
            </w:pP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D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D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D8" w14:textId="77777777" w:rsidR="008645FA" w:rsidRPr="00211A02" w:rsidRDefault="008645FA" w:rsidP="000F3684">
            <w:pPr>
              <w:spacing w:before="0" w:after="0"/>
              <w:jc w:val="center"/>
              <w:rPr>
                <w:sz w:val="18"/>
                <w:szCs w:val="18"/>
                <w:lang w:val="en-AU"/>
              </w:rPr>
            </w:pP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D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D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D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D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r>
      <w:tr w:rsidR="008645FA" w:rsidRPr="00211A02" w14:paraId="5F2303ED" w14:textId="77777777" w:rsidTr="00211A02">
        <w:tc>
          <w:tcPr>
            <w:tcW w:w="81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DE"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Mackay Whitsunday</w:t>
            </w: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DF"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Double Cone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E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E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E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E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E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E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E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E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E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E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E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E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E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w:t>
            </w:r>
          </w:p>
        </w:tc>
      </w:tr>
      <w:tr w:rsidR="008645FA" w:rsidRPr="00211A02" w14:paraId="5F2303F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E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E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F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Mean</w:t>
            </w:r>
          </w:p>
        </w:tc>
        <w:tc>
          <w:tcPr>
            <w:tcW w:w="1027"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3F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F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2.75</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F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811.78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F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76.02</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F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4.92</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F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F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12.49</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F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3.18</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F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114.74</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F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2.64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3F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6.42</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F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1.57</w:t>
            </w:r>
          </w:p>
        </w:tc>
      </w:tr>
      <w:tr w:rsidR="008645FA" w:rsidRPr="00211A02" w14:paraId="5F23040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F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3F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0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Median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0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0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1.73</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0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823.8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0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73.92</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0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4.09</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0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0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12.23</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0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3.23</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0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112.57</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0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40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0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1.26</w:t>
            </w:r>
          </w:p>
        </w:tc>
      </w:tr>
      <w:tr w:rsidR="008645FA" w:rsidRPr="00211A02" w14:paraId="5F23041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0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0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1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1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1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0.85</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1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603.23</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1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45.45</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1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1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1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8.61</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1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1.83</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1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76.71</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1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1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1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0.49</w:t>
            </w:r>
          </w:p>
        </w:tc>
      </w:tr>
      <w:tr w:rsidR="008645FA" w:rsidRPr="00211A02" w14:paraId="5F23042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1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1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2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20th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2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2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1.05</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2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682.54</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2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59.55</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2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3.15</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2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2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10.45</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2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2.2</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2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85.45</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2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2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2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0.84</w:t>
            </w:r>
          </w:p>
        </w:tc>
      </w:tr>
      <w:tr w:rsidR="008645FA" w:rsidRPr="00211A02" w14:paraId="5F23043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2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2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3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80th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3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3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3.25</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3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938.74</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3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82.86</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3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5.43</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3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3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14.74</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3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4.03</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3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133.34</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3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3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3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2.22</w:t>
            </w:r>
          </w:p>
        </w:tc>
      </w:tr>
      <w:tr w:rsidR="008645FA" w:rsidRPr="00211A02" w14:paraId="5F23044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3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3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4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95th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4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4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8.78</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4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1018.91</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4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118.22</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4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10.29</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4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4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16.31</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4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4.95</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4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164.85</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4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4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10.88</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4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3.68</w:t>
            </w:r>
          </w:p>
        </w:tc>
      </w:tr>
      <w:tr w:rsidR="008645FA" w:rsidRPr="00211A02" w14:paraId="5F23045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4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4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5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Guideline</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5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5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53" w14:textId="77777777" w:rsidR="008645FA" w:rsidRPr="00211A02" w:rsidRDefault="008645FA" w:rsidP="000F3684">
            <w:pPr>
              <w:spacing w:before="0" w:after="0"/>
              <w:jc w:val="center"/>
              <w:rPr>
                <w:sz w:val="18"/>
                <w:szCs w:val="18"/>
                <w:lang w:val="en-AU"/>
              </w:rPr>
            </w:pP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54" w14:textId="77777777" w:rsidR="008645FA" w:rsidRPr="00211A02" w:rsidRDefault="008645FA" w:rsidP="000F3684">
            <w:pPr>
              <w:spacing w:before="0" w:after="0"/>
              <w:jc w:val="center"/>
              <w:rPr>
                <w:sz w:val="18"/>
                <w:szCs w:val="18"/>
                <w:lang w:val="en-AU"/>
              </w:rPr>
            </w:pP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55" w14:textId="77777777" w:rsidR="008645FA" w:rsidRPr="00211A02" w:rsidRDefault="008645FA" w:rsidP="000F3684">
            <w:pPr>
              <w:spacing w:before="0" w:after="0"/>
              <w:jc w:val="center"/>
              <w:rPr>
                <w:sz w:val="18"/>
                <w:szCs w:val="18"/>
                <w:lang w:val="en-AU"/>
              </w:rPr>
            </w:pP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5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5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58" w14:textId="77777777" w:rsidR="008645FA" w:rsidRPr="00211A02" w:rsidRDefault="008645FA" w:rsidP="000F3684">
            <w:pPr>
              <w:spacing w:before="0" w:after="0"/>
              <w:jc w:val="center"/>
              <w:rPr>
                <w:sz w:val="18"/>
                <w:szCs w:val="18"/>
                <w:lang w:val="en-AU"/>
              </w:rPr>
            </w:pP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5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5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5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5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r>
      <w:tr w:rsidR="008645FA" w:rsidRPr="00211A02" w14:paraId="5F23046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5E" w14:textId="77777777" w:rsidR="008645FA" w:rsidRPr="00211A02" w:rsidRDefault="008645FA" w:rsidP="000F3684">
            <w:pPr>
              <w:spacing w:before="0" w:after="0"/>
              <w:rPr>
                <w:sz w:val="18"/>
                <w:szCs w:val="18"/>
                <w:lang w:val="en-AU"/>
              </w:rPr>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5F"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Daydream</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6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6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6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6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6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6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6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6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6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6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6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6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6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r>
      <w:tr w:rsidR="008645FA" w:rsidRPr="00211A02" w14:paraId="5F23047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6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6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7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Mean</w:t>
            </w:r>
          </w:p>
        </w:tc>
        <w:tc>
          <w:tcPr>
            <w:tcW w:w="1027"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47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7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4.08</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7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803.48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7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79.67</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7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5.39</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7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7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13.13</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7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3.51</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7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120.32</w:t>
            </w:r>
          </w:p>
        </w:tc>
        <w:tc>
          <w:tcPr>
            <w:tcW w:w="931"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47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2.93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47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5.77</w:t>
            </w:r>
          </w:p>
        </w:tc>
        <w:tc>
          <w:tcPr>
            <w:tcW w:w="91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47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2.62</w:t>
            </w:r>
          </w:p>
        </w:tc>
      </w:tr>
      <w:tr w:rsidR="008645FA" w:rsidRPr="00211A02" w14:paraId="5F23048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7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7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8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Median</w:t>
            </w:r>
          </w:p>
        </w:tc>
        <w:tc>
          <w:tcPr>
            <w:tcW w:w="1027"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48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8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8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841.09</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8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82.21</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8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4.03</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8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8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13.68</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8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3.5</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8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101.28</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8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48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4.75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8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1.84</w:t>
            </w:r>
          </w:p>
        </w:tc>
      </w:tr>
      <w:tr w:rsidR="008645FA" w:rsidRPr="00211A02" w14:paraId="5F23049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8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8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9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9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9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0.99</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9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586.88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9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51.26</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9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1.88</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9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9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9.21</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9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1.61</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9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75.24</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9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9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9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0.65</w:t>
            </w:r>
          </w:p>
        </w:tc>
      </w:tr>
      <w:tr w:rsidR="008645FA" w:rsidRPr="00211A02" w14:paraId="5F2304A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9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9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A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20th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A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A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1.38</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A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706.28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A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67.68</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A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3.37</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A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A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10.95</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A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2.51</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A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83.67</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A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A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A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1.43</w:t>
            </w:r>
          </w:p>
        </w:tc>
      </w:tr>
      <w:tr w:rsidR="008645FA" w:rsidRPr="00211A02" w14:paraId="5F2304B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A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A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B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80th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B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B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3.96</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B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905.23</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B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91.94</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B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6.42</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B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B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14.47</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B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4.63</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B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142.28</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B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B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B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3.14</w:t>
            </w:r>
          </w:p>
        </w:tc>
      </w:tr>
      <w:tr w:rsidR="008645FA" w:rsidRPr="00211A02" w14:paraId="5F2304C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B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B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C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95th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C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C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11.51</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C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938.51</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C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106.76</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C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11.12</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C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C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17.56</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C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5.56</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C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255.04</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C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C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9.88</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C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7.18</w:t>
            </w:r>
          </w:p>
        </w:tc>
      </w:tr>
      <w:tr w:rsidR="008645FA" w:rsidRPr="00211A02" w14:paraId="5F2304D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C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C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D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Guideline</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D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D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D3" w14:textId="77777777" w:rsidR="008645FA" w:rsidRPr="00211A02" w:rsidRDefault="008645FA" w:rsidP="000F3684">
            <w:pPr>
              <w:spacing w:before="0" w:after="0"/>
              <w:jc w:val="center"/>
              <w:rPr>
                <w:sz w:val="18"/>
                <w:szCs w:val="18"/>
                <w:lang w:val="en-AU"/>
              </w:rPr>
            </w:pP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D4" w14:textId="77777777" w:rsidR="008645FA" w:rsidRPr="00211A02" w:rsidRDefault="008645FA" w:rsidP="000F3684">
            <w:pPr>
              <w:spacing w:before="0" w:after="0"/>
              <w:jc w:val="center"/>
              <w:rPr>
                <w:sz w:val="18"/>
                <w:szCs w:val="18"/>
                <w:lang w:val="en-AU"/>
              </w:rPr>
            </w:pP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D5" w14:textId="77777777" w:rsidR="008645FA" w:rsidRPr="00211A02" w:rsidRDefault="008645FA" w:rsidP="000F3684">
            <w:pPr>
              <w:spacing w:before="0" w:after="0"/>
              <w:jc w:val="center"/>
              <w:rPr>
                <w:sz w:val="18"/>
                <w:szCs w:val="18"/>
                <w:lang w:val="en-AU"/>
              </w:rPr>
            </w:pP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D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D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D8" w14:textId="77777777" w:rsidR="008645FA" w:rsidRPr="00211A02" w:rsidRDefault="008645FA" w:rsidP="000F3684">
            <w:pPr>
              <w:spacing w:before="0" w:after="0"/>
              <w:jc w:val="center"/>
              <w:rPr>
                <w:sz w:val="18"/>
                <w:szCs w:val="18"/>
                <w:lang w:val="en-AU"/>
              </w:rPr>
            </w:pP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D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D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D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D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r>
      <w:tr w:rsidR="008645FA" w:rsidRPr="00211A02" w14:paraId="5F2304E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DE" w14:textId="77777777" w:rsidR="008645FA" w:rsidRPr="00211A02" w:rsidRDefault="008645FA" w:rsidP="000F3684">
            <w:pPr>
              <w:spacing w:before="0" w:after="0"/>
              <w:rPr>
                <w:sz w:val="18"/>
                <w:szCs w:val="18"/>
                <w:lang w:val="en-AU"/>
              </w:rPr>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DF"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Pine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E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E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E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29</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E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29</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E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29</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E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29</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E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E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29</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E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29</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E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29</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E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E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29</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E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29</w:t>
            </w:r>
          </w:p>
        </w:tc>
      </w:tr>
      <w:tr w:rsidR="008645FA" w:rsidRPr="00211A02" w14:paraId="5F2304F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E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E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F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Mean</w:t>
            </w:r>
          </w:p>
        </w:tc>
        <w:tc>
          <w:tcPr>
            <w:tcW w:w="1027"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4F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F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6.17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F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826.54</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F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82.99</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F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4.84</w:t>
            </w:r>
          </w:p>
        </w:tc>
        <w:tc>
          <w:tcPr>
            <w:tcW w:w="101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4F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F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13.53</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F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3.97</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F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119.22</w:t>
            </w:r>
          </w:p>
        </w:tc>
        <w:tc>
          <w:tcPr>
            <w:tcW w:w="931"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4F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3.19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4F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5.11</w:t>
            </w:r>
          </w:p>
        </w:tc>
        <w:tc>
          <w:tcPr>
            <w:tcW w:w="91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4F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3.42</w:t>
            </w:r>
          </w:p>
        </w:tc>
      </w:tr>
      <w:tr w:rsidR="008645FA" w:rsidRPr="00211A02" w14:paraId="5F23050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F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4F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0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Median</w:t>
            </w:r>
          </w:p>
        </w:tc>
        <w:tc>
          <w:tcPr>
            <w:tcW w:w="1027"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50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0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3.31</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0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809.02</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0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79.36</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0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4.02</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0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0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13.34</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0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3.81</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0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109.28</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0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50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w:t>
            </w:r>
          </w:p>
        </w:tc>
        <w:tc>
          <w:tcPr>
            <w:tcW w:w="91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50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2.34</w:t>
            </w:r>
          </w:p>
        </w:tc>
      </w:tr>
      <w:tr w:rsidR="008645FA" w:rsidRPr="00211A02" w14:paraId="5F23051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0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0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1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1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1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0.8</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1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609.69</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1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56.66</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1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1.6</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1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1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9.64</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1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2.27</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1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69.47</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1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1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1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1.09</w:t>
            </w:r>
          </w:p>
        </w:tc>
      </w:tr>
      <w:tr w:rsidR="008645FA" w:rsidRPr="00211A02" w14:paraId="5F23052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1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1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2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20th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2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2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2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735.83</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2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61.5</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2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3.41</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2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2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11.88</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2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2.73</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2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88.43</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2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2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2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1.48</w:t>
            </w:r>
          </w:p>
        </w:tc>
      </w:tr>
      <w:tr w:rsidR="008645FA" w:rsidRPr="00211A02" w14:paraId="5F23053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2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2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3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80th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3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3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8.34</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3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922.07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3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97.88</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3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6.38</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3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3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15.46</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3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5.35</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3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145.81</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3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3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3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4.61</w:t>
            </w:r>
          </w:p>
        </w:tc>
      </w:tr>
      <w:tr w:rsidR="008645FA" w:rsidRPr="00211A02" w14:paraId="5F23054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3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3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4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95th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4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4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24.46</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4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1013.74</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4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116.13</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4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8.44</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4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4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17.97</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4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6.61</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4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189.12</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4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4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8.75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4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9.76</w:t>
            </w:r>
          </w:p>
        </w:tc>
      </w:tr>
      <w:tr w:rsidR="008645FA" w:rsidRPr="00211A02" w14:paraId="5F23055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4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4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5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Guideline</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5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5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53" w14:textId="77777777" w:rsidR="008645FA" w:rsidRPr="00211A02" w:rsidRDefault="008645FA" w:rsidP="000F3684">
            <w:pPr>
              <w:spacing w:before="0" w:after="0"/>
              <w:jc w:val="center"/>
              <w:rPr>
                <w:sz w:val="18"/>
                <w:szCs w:val="18"/>
                <w:lang w:val="en-AU"/>
              </w:rPr>
            </w:pP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54" w14:textId="77777777" w:rsidR="008645FA" w:rsidRPr="00211A02" w:rsidRDefault="008645FA" w:rsidP="000F3684">
            <w:pPr>
              <w:spacing w:before="0" w:after="0"/>
              <w:jc w:val="center"/>
              <w:rPr>
                <w:sz w:val="18"/>
                <w:szCs w:val="18"/>
                <w:lang w:val="en-AU"/>
              </w:rPr>
            </w:pP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55" w14:textId="77777777" w:rsidR="008645FA" w:rsidRPr="00211A02" w:rsidRDefault="008645FA" w:rsidP="000F3684">
            <w:pPr>
              <w:spacing w:before="0" w:after="0"/>
              <w:jc w:val="center"/>
              <w:rPr>
                <w:sz w:val="18"/>
                <w:szCs w:val="18"/>
                <w:lang w:val="en-AU"/>
              </w:rPr>
            </w:pP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5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5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58" w14:textId="77777777" w:rsidR="008645FA" w:rsidRPr="00211A02" w:rsidRDefault="008645FA" w:rsidP="000F3684">
            <w:pPr>
              <w:spacing w:before="0" w:after="0"/>
              <w:jc w:val="center"/>
              <w:rPr>
                <w:sz w:val="18"/>
                <w:szCs w:val="18"/>
                <w:lang w:val="en-AU"/>
              </w:rPr>
            </w:pP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5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5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5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5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r>
      <w:tr w:rsidR="008645FA" w:rsidRPr="00211A02" w14:paraId="5F23056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5E" w14:textId="77777777" w:rsidR="008645FA" w:rsidRPr="00211A02" w:rsidRDefault="008645FA" w:rsidP="000F3684">
            <w:pPr>
              <w:spacing w:before="0" w:after="0"/>
              <w:rPr>
                <w:sz w:val="18"/>
                <w:szCs w:val="18"/>
                <w:lang w:val="en-AU"/>
              </w:rPr>
            </w:pP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5F"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Seaforth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6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6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6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6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6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6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6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6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6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6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6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6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6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r>
      <w:tr w:rsidR="008645FA" w:rsidRPr="00211A02" w14:paraId="5F23057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6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6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7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Mean</w:t>
            </w:r>
          </w:p>
        </w:tc>
        <w:tc>
          <w:tcPr>
            <w:tcW w:w="1027"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57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7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NaN</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7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1003.43</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7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75.95</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7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5.21</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7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7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NaN</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7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3.33</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7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NaN</w:t>
            </w:r>
          </w:p>
        </w:tc>
        <w:tc>
          <w:tcPr>
            <w:tcW w:w="931"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57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2.93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57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4.75</w:t>
            </w:r>
          </w:p>
        </w:tc>
        <w:tc>
          <w:tcPr>
            <w:tcW w:w="91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57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2.23</w:t>
            </w:r>
          </w:p>
        </w:tc>
      </w:tr>
      <w:tr w:rsidR="008645FA" w:rsidRPr="00211A02" w14:paraId="5F23058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7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7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8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Median</w:t>
            </w:r>
          </w:p>
        </w:tc>
        <w:tc>
          <w:tcPr>
            <w:tcW w:w="1027"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58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82" w14:textId="77777777" w:rsidR="008645FA" w:rsidRPr="00211A02" w:rsidRDefault="008645FA" w:rsidP="000F3684">
            <w:pPr>
              <w:spacing w:before="0" w:after="0"/>
              <w:jc w:val="center"/>
              <w:rPr>
                <w:sz w:val="18"/>
                <w:szCs w:val="18"/>
                <w:lang w:val="en-AU"/>
              </w:rPr>
            </w:pP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8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1003.43</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8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75.95</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8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5.21</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8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87" w14:textId="77777777" w:rsidR="008645FA" w:rsidRPr="00211A02" w:rsidRDefault="008645FA" w:rsidP="000F3684">
            <w:pPr>
              <w:spacing w:before="0" w:after="0"/>
              <w:jc w:val="center"/>
              <w:rPr>
                <w:sz w:val="18"/>
                <w:szCs w:val="18"/>
                <w:lang w:val="en-AU"/>
              </w:rPr>
            </w:pP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8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3.33</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8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58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2.93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58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4.75</w:t>
            </w:r>
          </w:p>
        </w:tc>
        <w:tc>
          <w:tcPr>
            <w:tcW w:w="91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58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2.23</w:t>
            </w:r>
          </w:p>
        </w:tc>
      </w:tr>
      <w:tr w:rsidR="008645FA" w:rsidRPr="00211A02" w14:paraId="5F23059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8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8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9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9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92" w14:textId="77777777" w:rsidR="008645FA" w:rsidRPr="00211A02" w:rsidRDefault="008645FA" w:rsidP="000F3684">
            <w:pPr>
              <w:spacing w:before="0" w:after="0"/>
              <w:jc w:val="center"/>
              <w:rPr>
                <w:sz w:val="18"/>
                <w:szCs w:val="18"/>
                <w:lang w:val="en-AU"/>
              </w:rPr>
            </w:pP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9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928.69</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9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60.46</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9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4.38</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9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97" w14:textId="77777777" w:rsidR="008645FA" w:rsidRPr="00211A02" w:rsidRDefault="008645FA" w:rsidP="000F3684">
            <w:pPr>
              <w:spacing w:before="0" w:after="0"/>
              <w:jc w:val="center"/>
              <w:rPr>
                <w:sz w:val="18"/>
                <w:szCs w:val="18"/>
                <w:lang w:val="en-AU"/>
              </w:rPr>
            </w:pP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9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3.22</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9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9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9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4.52</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9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1.78</w:t>
            </w:r>
          </w:p>
        </w:tc>
      </w:tr>
      <w:tr w:rsidR="008645FA" w:rsidRPr="00211A02" w14:paraId="5F2305A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9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9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A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20th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A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A2" w14:textId="77777777" w:rsidR="008645FA" w:rsidRPr="00211A02" w:rsidRDefault="008645FA" w:rsidP="000F3684">
            <w:pPr>
              <w:spacing w:before="0" w:after="0"/>
              <w:jc w:val="center"/>
              <w:rPr>
                <w:sz w:val="18"/>
                <w:szCs w:val="18"/>
                <w:lang w:val="en-AU"/>
              </w:rPr>
            </w:pP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A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953.6</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A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65.62</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A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4.66</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A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A7" w14:textId="77777777" w:rsidR="008645FA" w:rsidRPr="00211A02" w:rsidRDefault="008645FA" w:rsidP="000F3684">
            <w:pPr>
              <w:spacing w:before="0" w:after="0"/>
              <w:jc w:val="center"/>
              <w:rPr>
                <w:sz w:val="18"/>
                <w:szCs w:val="18"/>
                <w:lang w:val="en-AU"/>
              </w:rPr>
            </w:pP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A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3.25</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A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A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A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4.6</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A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1.93</w:t>
            </w:r>
          </w:p>
        </w:tc>
      </w:tr>
      <w:tr w:rsidR="008645FA" w:rsidRPr="00211A02" w14:paraId="5F2305B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A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A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B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80th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B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B2" w14:textId="77777777" w:rsidR="008645FA" w:rsidRPr="00211A02" w:rsidRDefault="008645FA" w:rsidP="000F3684">
            <w:pPr>
              <w:spacing w:before="0" w:after="0"/>
              <w:jc w:val="center"/>
              <w:rPr>
                <w:sz w:val="18"/>
                <w:szCs w:val="18"/>
                <w:lang w:val="en-AU"/>
              </w:rPr>
            </w:pP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B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1053.25</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B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86.28</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B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5.77</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B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B7" w14:textId="77777777" w:rsidR="008645FA" w:rsidRPr="00211A02" w:rsidRDefault="008645FA" w:rsidP="000F3684">
            <w:pPr>
              <w:spacing w:before="0" w:after="0"/>
              <w:jc w:val="center"/>
              <w:rPr>
                <w:sz w:val="18"/>
                <w:szCs w:val="18"/>
                <w:lang w:val="en-AU"/>
              </w:rPr>
            </w:pP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B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3.4</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B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B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B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4.9</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B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2.54</w:t>
            </w:r>
          </w:p>
        </w:tc>
      </w:tr>
      <w:tr w:rsidR="008645FA" w:rsidRPr="00211A02" w14:paraId="5F2305C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B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B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C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95th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C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C2" w14:textId="77777777" w:rsidR="008645FA" w:rsidRPr="00211A02" w:rsidRDefault="008645FA" w:rsidP="000F3684">
            <w:pPr>
              <w:spacing w:before="0" w:after="0"/>
              <w:jc w:val="center"/>
              <w:rPr>
                <w:sz w:val="18"/>
                <w:szCs w:val="18"/>
                <w:lang w:val="en-AU"/>
              </w:rPr>
            </w:pP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C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1078.17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C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91.45</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C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6.05</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C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C7" w14:textId="77777777" w:rsidR="008645FA" w:rsidRPr="00211A02" w:rsidRDefault="008645FA" w:rsidP="000F3684">
            <w:pPr>
              <w:spacing w:before="0" w:after="0"/>
              <w:jc w:val="center"/>
              <w:rPr>
                <w:sz w:val="18"/>
                <w:szCs w:val="18"/>
                <w:lang w:val="en-AU"/>
              </w:rPr>
            </w:pP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C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3.44</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C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C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C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4.98</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C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2.69</w:t>
            </w:r>
          </w:p>
        </w:tc>
      </w:tr>
      <w:tr w:rsidR="008645FA" w:rsidRPr="00211A02" w14:paraId="5F2305D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C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C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D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Guideline</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D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D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D3" w14:textId="77777777" w:rsidR="008645FA" w:rsidRPr="00211A02" w:rsidRDefault="008645FA" w:rsidP="000F3684">
            <w:pPr>
              <w:spacing w:before="0" w:after="0"/>
              <w:jc w:val="center"/>
              <w:rPr>
                <w:sz w:val="18"/>
                <w:szCs w:val="18"/>
                <w:lang w:val="en-AU"/>
              </w:rPr>
            </w:pP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D4" w14:textId="77777777" w:rsidR="008645FA" w:rsidRPr="00211A02" w:rsidRDefault="008645FA" w:rsidP="000F3684">
            <w:pPr>
              <w:spacing w:before="0" w:after="0"/>
              <w:jc w:val="center"/>
              <w:rPr>
                <w:sz w:val="18"/>
                <w:szCs w:val="18"/>
                <w:lang w:val="en-AU"/>
              </w:rPr>
            </w:pP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D5" w14:textId="77777777" w:rsidR="008645FA" w:rsidRPr="00211A02" w:rsidRDefault="008645FA" w:rsidP="000F3684">
            <w:pPr>
              <w:spacing w:before="0" w:after="0"/>
              <w:jc w:val="center"/>
              <w:rPr>
                <w:sz w:val="18"/>
                <w:szCs w:val="18"/>
                <w:lang w:val="en-AU"/>
              </w:rPr>
            </w:pP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D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D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D8" w14:textId="77777777" w:rsidR="008645FA" w:rsidRPr="00211A02" w:rsidRDefault="008645FA" w:rsidP="000F3684">
            <w:pPr>
              <w:spacing w:before="0" w:after="0"/>
              <w:jc w:val="center"/>
              <w:rPr>
                <w:sz w:val="18"/>
                <w:szCs w:val="18"/>
                <w:lang w:val="en-AU"/>
              </w:rPr>
            </w:pP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D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D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D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D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r>
      <w:tr w:rsidR="008645FA" w:rsidRPr="00211A02" w14:paraId="5F2305ED" w14:textId="77777777" w:rsidTr="00211A02">
        <w:tc>
          <w:tcPr>
            <w:tcW w:w="81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DE"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Repulse</w:t>
            </w:r>
          </w:p>
        </w:tc>
        <w:tc>
          <w:tcPr>
            <w:tcW w:w="864"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DF"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Repulse</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E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N</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E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E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E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E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E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E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E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E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E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E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E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E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r>
      <w:tr w:rsidR="008645FA" w:rsidRPr="00211A02" w14:paraId="5F2305F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E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E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F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Mean</w:t>
            </w:r>
          </w:p>
        </w:tc>
        <w:tc>
          <w:tcPr>
            <w:tcW w:w="1027"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5F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F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NaN</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F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1074.26</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F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72.5</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F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5.41</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F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F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NaN</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F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4.01</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F9"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NaN</w:t>
            </w:r>
          </w:p>
        </w:tc>
        <w:tc>
          <w:tcPr>
            <w:tcW w:w="931"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5F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3.91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5F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91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5F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5.04</w:t>
            </w:r>
          </w:p>
        </w:tc>
      </w:tr>
      <w:tr w:rsidR="008645FA" w:rsidRPr="00211A02" w14:paraId="5F23060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F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5F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0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Median</w:t>
            </w:r>
          </w:p>
        </w:tc>
        <w:tc>
          <w:tcPr>
            <w:tcW w:w="1027"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60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02" w14:textId="77777777" w:rsidR="008645FA" w:rsidRPr="00211A02" w:rsidRDefault="008645FA" w:rsidP="000F3684">
            <w:pPr>
              <w:spacing w:before="0" w:after="0"/>
              <w:jc w:val="center"/>
              <w:rPr>
                <w:sz w:val="18"/>
                <w:szCs w:val="18"/>
                <w:lang w:val="en-AU"/>
              </w:rPr>
            </w:pP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0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1074.26</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0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72.5</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0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5.41</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0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07" w14:textId="77777777" w:rsidR="008645FA" w:rsidRPr="00211A02" w:rsidRDefault="008645FA" w:rsidP="000F3684">
            <w:pPr>
              <w:spacing w:before="0" w:after="0"/>
              <w:jc w:val="center"/>
              <w:rPr>
                <w:sz w:val="18"/>
                <w:szCs w:val="18"/>
                <w:lang w:val="en-AU"/>
              </w:rPr>
            </w:pP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0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4.01</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0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60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3.91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60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c>
          <w:tcPr>
            <w:tcW w:w="91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060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3.5</w:t>
            </w:r>
          </w:p>
        </w:tc>
      </w:tr>
      <w:tr w:rsidR="008645FA" w:rsidRPr="00211A02" w14:paraId="5F23061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0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0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1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1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12" w14:textId="77777777" w:rsidR="008645FA" w:rsidRPr="00211A02" w:rsidRDefault="008645FA" w:rsidP="000F3684">
            <w:pPr>
              <w:spacing w:before="0" w:after="0"/>
              <w:jc w:val="center"/>
              <w:rPr>
                <w:sz w:val="18"/>
                <w:szCs w:val="18"/>
                <w:lang w:val="en-AU"/>
              </w:rPr>
            </w:pP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1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959.41</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1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57.95</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1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4.13</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1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17" w14:textId="77777777" w:rsidR="008645FA" w:rsidRPr="00211A02" w:rsidRDefault="008645FA" w:rsidP="000F3684">
            <w:pPr>
              <w:spacing w:before="0" w:after="0"/>
              <w:jc w:val="center"/>
              <w:rPr>
                <w:sz w:val="18"/>
                <w:szCs w:val="18"/>
                <w:lang w:val="en-AU"/>
              </w:rPr>
            </w:pP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1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3.76</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1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1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1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1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1.94</w:t>
            </w:r>
          </w:p>
        </w:tc>
      </w:tr>
      <w:tr w:rsidR="008645FA" w:rsidRPr="00211A02" w14:paraId="5F23062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1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1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2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20th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2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22" w14:textId="77777777" w:rsidR="008645FA" w:rsidRPr="00211A02" w:rsidRDefault="008645FA" w:rsidP="000F3684">
            <w:pPr>
              <w:spacing w:before="0" w:after="0"/>
              <w:jc w:val="center"/>
              <w:rPr>
                <w:sz w:val="18"/>
                <w:szCs w:val="18"/>
                <w:lang w:val="en-AU"/>
              </w:rPr>
            </w:pP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2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997.69</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2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62.8</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2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4.56</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2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27" w14:textId="77777777" w:rsidR="008645FA" w:rsidRPr="00211A02" w:rsidRDefault="008645FA" w:rsidP="000F3684">
            <w:pPr>
              <w:spacing w:before="0" w:after="0"/>
              <w:jc w:val="center"/>
              <w:rPr>
                <w:sz w:val="18"/>
                <w:szCs w:val="18"/>
                <w:lang w:val="en-AU"/>
              </w:rPr>
            </w:pP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2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3.84</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2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2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2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1.7</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2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2.46</w:t>
            </w:r>
          </w:p>
        </w:tc>
      </w:tr>
      <w:tr w:rsidR="008645FA" w:rsidRPr="00211A02" w14:paraId="5F23063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2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2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3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80th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3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32" w14:textId="77777777" w:rsidR="008645FA" w:rsidRPr="00211A02" w:rsidRDefault="008645FA" w:rsidP="000F3684">
            <w:pPr>
              <w:spacing w:before="0" w:after="0"/>
              <w:jc w:val="center"/>
              <w:rPr>
                <w:sz w:val="18"/>
                <w:szCs w:val="18"/>
                <w:lang w:val="en-AU"/>
              </w:rPr>
            </w:pP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3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1150.83</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3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82.2</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3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6.26</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3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37" w14:textId="77777777" w:rsidR="008645FA" w:rsidRPr="00211A02" w:rsidRDefault="008645FA" w:rsidP="000F3684">
            <w:pPr>
              <w:spacing w:before="0" w:after="0"/>
              <w:jc w:val="center"/>
              <w:rPr>
                <w:sz w:val="18"/>
                <w:szCs w:val="18"/>
                <w:lang w:val="en-AU"/>
              </w:rPr>
            </w:pP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3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4.17</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3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3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3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2.3</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3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7.32</w:t>
            </w:r>
          </w:p>
        </w:tc>
      </w:tr>
      <w:tr w:rsidR="008645FA" w:rsidRPr="00211A02" w14:paraId="5F23064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3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3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4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95th</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4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42" w14:textId="77777777" w:rsidR="008645FA" w:rsidRPr="00211A02" w:rsidRDefault="008645FA" w:rsidP="000F3684">
            <w:pPr>
              <w:spacing w:before="0" w:after="0"/>
              <w:jc w:val="center"/>
              <w:rPr>
                <w:sz w:val="18"/>
                <w:szCs w:val="18"/>
                <w:lang w:val="en-AU"/>
              </w:rPr>
            </w:pP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43"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1189.11</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44"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87.05</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45"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6.68</w:t>
            </w: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4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47" w14:textId="77777777" w:rsidR="008645FA" w:rsidRPr="00211A02" w:rsidRDefault="008645FA" w:rsidP="000F3684">
            <w:pPr>
              <w:spacing w:before="0" w:after="0"/>
              <w:jc w:val="center"/>
              <w:rPr>
                <w:sz w:val="18"/>
                <w:szCs w:val="18"/>
                <w:lang w:val="en-AU"/>
              </w:rPr>
            </w:pP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48"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4.25</w:t>
            </w: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4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4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4.37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4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2.45</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4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9.22</w:t>
            </w:r>
          </w:p>
        </w:tc>
      </w:tr>
      <w:tr w:rsidR="008645FA" w:rsidRPr="00211A02" w14:paraId="5F23065D" w14:textId="77777777" w:rsidTr="00211A02">
        <w:tc>
          <w:tcPr>
            <w:tcW w:w="81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4E" w14:textId="77777777" w:rsidR="008645FA" w:rsidRPr="00211A02" w:rsidRDefault="008645FA" w:rsidP="000F3684">
            <w:pPr>
              <w:spacing w:before="0" w:after="0"/>
              <w:rPr>
                <w:sz w:val="18"/>
                <w:szCs w:val="18"/>
                <w:lang w:val="en-AU"/>
              </w:rPr>
            </w:pPr>
          </w:p>
        </w:tc>
        <w:tc>
          <w:tcPr>
            <w:tcW w:w="864"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4F" w14:textId="77777777" w:rsidR="008645FA" w:rsidRPr="00211A02" w:rsidRDefault="008645FA" w:rsidP="000F3684">
            <w:pPr>
              <w:spacing w:before="0" w:after="0"/>
              <w:rPr>
                <w:sz w:val="18"/>
                <w:szCs w:val="18"/>
                <w:lang w:val="en-AU"/>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50" w14:textId="77777777" w:rsidR="008645FA" w:rsidRPr="00211A02" w:rsidRDefault="008645FA" w:rsidP="000F3684">
            <w:pPr>
              <w:spacing w:before="0" w:after="0"/>
              <w:ind w:left="20" w:right="20"/>
              <w:rPr>
                <w:sz w:val="18"/>
                <w:szCs w:val="18"/>
                <w:lang w:val="en-AU"/>
              </w:rPr>
            </w:pPr>
            <w:r w:rsidRPr="00211A02">
              <w:rPr>
                <w:rFonts w:ascii="Arial Narrow" w:hAnsi="Arial Narrow" w:cs="Arial Narrow"/>
                <w:color w:val="000000"/>
                <w:sz w:val="18"/>
                <w:szCs w:val="18"/>
                <w:lang w:val="en-AU"/>
              </w:rPr>
              <w:t>Guideline</w:t>
            </w: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51"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52"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7</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53" w14:textId="77777777" w:rsidR="008645FA" w:rsidRPr="00211A02" w:rsidRDefault="008645FA" w:rsidP="000F3684">
            <w:pPr>
              <w:spacing w:before="0" w:after="0"/>
              <w:jc w:val="center"/>
              <w:rPr>
                <w:sz w:val="18"/>
                <w:szCs w:val="18"/>
                <w:lang w:val="en-AU"/>
              </w:rPr>
            </w:pPr>
          </w:p>
        </w:tc>
        <w:tc>
          <w:tcPr>
            <w:tcW w:w="10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54" w14:textId="77777777" w:rsidR="008645FA" w:rsidRPr="00211A02" w:rsidRDefault="008645FA" w:rsidP="000F3684">
            <w:pPr>
              <w:spacing w:before="0" w:after="0"/>
              <w:jc w:val="center"/>
              <w:rPr>
                <w:sz w:val="18"/>
                <w:szCs w:val="18"/>
                <w:lang w:val="en-AU"/>
              </w:rPr>
            </w:pPr>
          </w:p>
        </w:tc>
        <w:tc>
          <w:tcPr>
            <w:tcW w:w="1027"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55" w14:textId="77777777" w:rsidR="008645FA" w:rsidRPr="00211A02" w:rsidRDefault="008645FA" w:rsidP="000F3684">
            <w:pPr>
              <w:spacing w:before="0" w:after="0"/>
              <w:jc w:val="center"/>
              <w:rPr>
                <w:sz w:val="18"/>
                <w:szCs w:val="18"/>
                <w:lang w:val="en-AU"/>
              </w:rPr>
            </w:pPr>
          </w:p>
        </w:tc>
        <w:tc>
          <w:tcPr>
            <w:tcW w:w="10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56"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57"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20</w:t>
            </w:r>
          </w:p>
        </w:tc>
        <w:tc>
          <w:tcPr>
            <w:tcW w:w="10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58" w14:textId="77777777" w:rsidR="008645FA" w:rsidRPr="00211A02" w:rsidRDefault="008645FA" w:rsidP="000F3684">
            <w:pPr>
              <w:spacing w:before="0" w:after="0"/>
              <w:jc w:val="center"/>
              <w:rPr>
                <w:sz w:val="18"/>
                <w:szCs w:val="18"/>
                <w:lang w:val="en-AU"/>
              </w:rPr>
            </w:pPr>
          </w:p>
        </w:tc>
        <w:tc>
          <w:tcPr>
            <w:tcW w:w="95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59" w14:textId="77777777" w:rsidR="008645FA" w:rsidRPr="00211A02" w:rsidRDefault="008645FA" w:rsidP="000F3684">
            <w:pPr>
              <w:spacing w:before="0" w:after="0"/>
              <w:jc w:val="center"/>
              <w:rPr>
                <w:sz w:val="18"/>
                <w:szCs w:val="18"/>
                <w:lang w:val="en-AU"/>
              </w:rPr>
            </w:pPr>
          </w:p>
        </w:tc>
        <w:tc>
          <w:tcPr>
            <w:tcW w:w="93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5A"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5B"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10</w:t>
            </w:r>
          </w:p>
        </w:tc>
        <w:tc>
          <w:tcPr>
            <w:tcW w:w="91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3065C" w14:textId="77777777" w:rsidR="008645FA" w:rsidRPr="00211A02" w:rsidRDefault="008645FA" w:rsidP="000F3684">
            <w:pPr>
              <w:spacing w:before="0" w:after="0"/>
              <w:jc w:val="center"/>
              <w:rPr>
                <w:sz w:val="18"/>
                <w:szCs w:val="18"/>
                <w:lang w:val="en-AU"/>
              </w:rPr>
            </w:pPr>
            <w:r w:rsidRPr="00211A02">
              <w:rPr>
                <w:rFonts w:ascii="Arial Narrow" w:hAnsi="Arial Narrow" w:cs="Arial Narrow"/>
                <w:color w:val="000000"/>
                <w:sz w:val="18"/>
                <w:szCs w:val="18"/>
                <w:lang w:val="en-AU"/>
              </w:rPr>
              <w:t>2</w:t>
            </w:r>
          </w:p>
        </w:tc>
      </w:tr>
    </w:tbl>
    <w:p w14:paraId="5F23065E" w14:textId="77777777" w:rsidR="002819E0" w:rsidRPr="007D7C41" w:rsidRDefault="002819E0" w:rsidP="002819E0">
      <w:pPr>
        <w:rPr>
          <w:lang w:val="en-AU"/>
        </w:rPr>
      </w:pPr>
    </w:p>
    <w:p w14:paraId="5F23065F" w14:textId="77777777" w:rsidR="008645FA" w:rsidRPr="007D7C41" w:rsidRDefault="008645FA">
      <w:pPr>
        <w:spacing w:before="0" w:after="0"/>
        <w:jc w:val="left"/>
        <w:rPr>
          <w:b/>
          <w:sz w:val="16"/>
          <w:szCs w:val="24"/>
          <w:lang w:val="en-AU"/>
        </w:rPr>
      </w:pPr>
      <w:bookmarkStart w:id="1627" w:name="_Toc374701575"/>
      <w:bookmarkStart w:id="1628" w:name="_Toc405989127"/>
      <w:r w:rsidRPr="007D7C41">
        <w:rPr>
          <w:lang w:val="en-AU"/>
        </w:rPr>
        <w:br w:type="page"/>
      </w:r>
    </w:p>
    <w:p w14:paraId="5F230660" w14:textId="3CAF7264" w:rsidR="00874C5E" w:rsidRPr="00874C5E" w:rsidRDefault="006A00D6" w:rsidP="00164E5E">
      <w:pPr>
        <w:pStyle w:val="Caption"/>
        <w:rPr>
          <w:vanish/>
        </w:rPr>
      </w:pPr>
      <w:bookmarkStart w:id="1629" w:name="_Toc459332208"/>
      <w:r>
        <w:t xml:space="preserve">Table A2 </w:t>
      </w:r>
      <w:r w:rsidR="00EB33A6">
        <w:fldChar w:fldCharType="begin"/>
      </w:r>
      <w:r w:rsidR="00D8225E">
        <w:instrText xml:space="preserve"> SEQ Table_A2 \* ARABIC </w:instrText>
      </w:r>
      <w:r w:rsidR="00EB33A6">
        <w:fldChar w:fldCharType="separate"/>
      </w:r>
      <w:r w:rsidR="007F5336">
        <w:rPr>
          <w:noProof/>
        </w:rPr>
        <w:t>4</w:t>
      </w:r>
      <w:r w:rsidR="00EB33A6">
        <w:rPr>
          <w:noProof/>
        </w:rPr>
        <w:fldChar w:fldCharType="end"/>
      </w:r>
      <w:r w:rsidR="00ED1198">
        <w:t>:</w:t>
      </w:r>
      <w:r w:rsidR="00B26910" w:rsidRPr="00874C5E">
        <w:t xml:space="preserve"> </w:t>
      </w:r>
      <w:bookmarkEnd w:id="1627"/>
      <w:bookmarkEnd w:id="1628"/>
      <w:r w:rsidR="008645FA" w:rsidRPr="00874C5E">
        <w:t>Summary of turbidity (NTU) data from ECO FLNTUSB instruments</w:t>
      </w:r>
      <w:bookmarkEnd w:id="1629"/>
    </w:p>
    <w:p w14:paraId="5F230661" w14:textId="77777777" w:rsidR="00E94E33" w:rsidRPr="00874C5E" w:rsidRDefault="008645FA" w:rsidP="00164E5E">
      <w:pPr>
        <w:pStyle w:val="Caption"/>
        <w:rPr>
          <w:rStyle w:val="IntenseReference"/>
        </w:rPr>
      </w:pPr>
      <w:r w:rsidRPr="00874C5E">
        <w:rPr>
          <w:rStyle w:val="IntenseReference"/>
        </w:rPr>
        <w:t xml:space="preserve">  N= number of daily means in the annual time series (October to September); SE= standard error; “% d&gt; trigger” refers to the percentage of days within the annual record with mean values above the trigger values in the GBRMPA Water Quality Guidelines for the Great Barrier Reef Marine Park (GBRMPA 2010). Red shading highlights the annual means that are above the trigger value. The turbidity trigger value (1.5 NTU) was derived by transforming the suspended solids trigger value in the Guidelines (2 mg L</w:t>
      </w:r>
      <w:r w:rsidRPr="00C951C9">
        <w:rPr>
          <w:rStyle w:val="IntenseReference"/>
          <w:vertAlign w:val="superscript"/>
        </w:rPr>
        <w:t>-1</w:t>
      </w:r>
      <w:r w:rsidRPr="00874C5E">
        <w:rPr>
          <w:rStyle w:val="IntenseReference"/>
        </w:rPr>
        <w:t>) using an equation based on a comparison between direct water samples and instrumental turbidity readings (see Appendix 2). “% d&gt; 5 NTU” refers to the percentage of days above 5 NTU, a threshold suggested by Cooper et al. (2007, 2008) above which hard corals are likely to experience photo-physiological stress</w:t>
      </w:r>
    </w:p>
    <w:tbl>
      <w:tblPr>
        <w:tblW w:w="0" w:type="auto"/>
        <w:tblLayout w:type="fixed"/>
        <w:tblLook w:val="04A0" w:firstRow="1" w:lastRow="0" w:firstColumn="1" w:lastColumn="0" w:noHBand="0" w:noVBand="1"/>
      </w:tblPr>
      <w:tblGrid>
        <w:gridCol w:w="1004"/>
        <w:gridCol w:w="958"/>
        <w:gridCol w:w="463"/>
        <w:gridCol w:w="769"/>
        <w:gridCol w:w="504"/>
        <w:gridCol w:w="780"/>
        <w:gridCol w:w="776"/>
        <w:gridCol w:w="779"/>
        <w:gridCol w:w="463"/>
        <w:gridCol w:w="769"/>
        <w:gridCol w:w="504"/>
        <w:gridCol w:w="780"/>
        <w:gridCol w:w="776"/>
        <w:gridCol w:w="779"/>
        <w:gridCol w:w="463"/>
        <w:gridCol w:w="769"/>
        <w:gridCol w:w="504"/>
        <w:gridCol w:w="780"/>
        <w:gridCol w:w="776"/>
        <w:gridCol w:w="779"/>
      </w:tblGrid>
      <w:tr w:rsidR="008645FA" w:rsidRPr="003A77F5" w14:paraId="5F230667" w14:textId="77777777" w:rsidTr="004A5BF7">
        <w:trPr>
          <w:tblHeader/>
        </w:trPr>
        <w:tc>
          <w:tcPr>
            <w:tcW w:w="100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662" w14:textId="77777777" w:rsidR="008645FA" w:rsidRPr="007D7C41" w:rsidRDefault="008645FA" w:rsidP="00101B90">
            <w:pPr>
              <w:spacing w:before="0" w:after="0"/>
              <w:ind w:left="20" w:right="20"/>
              <w:jc w:val="center"/>
              <w:rPr>
                <w:sz w:val="18"/>
                <w:szCs w:val="18"/>
                <w:lang w:val="en-AU"/>
              </w:rPr>
            </w:pPr>
          </w:p>
        </w:tc>
        <w:tc>
          <w:tcPr>
            <w:tcW w:w="958"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663" w14:textId="77777777" w:rsidR="008645FA" w:rsidRPr="007D7C41" w:rsidRDefault="008645FA" w:rsidP="00101B90">
            <w:pPr>
              <w:spacing w:before="0" w:after="0"/>
              <w:ind w:left="20" w:right="20"/>
              <w:jc w:val="center"/>
              <w:rPr>
                <w:sz w:val="18"/>
                <w:szCs w:val="18"/>
                <w:lang w:val="en-AU"/>
              </w:rPr>
            </w:pPr>
          </w:p>
        </w:tc>
        <w:tc>
          <w:tcPr>
            <w:tcW w:w="4071" w:type="dxa"/>
            <w:gridSpan w:val="6"/>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664"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Oct2007 - Sept2008</w:t>
            </w:r>
          </w:p>
        </w:tc>
        <w:tc>
          <w:tcPr>
            <w:tcW w:w="4071" w:type="dxa"/>
            <w:gridSpan w:val="6"/>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665"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Oct2008 - Sept2009</w:t>
            </w:r>
          </w:p>
        </w:tc>
        <w:tc>
          <w:tcPr>
            <w:tcW w:w="4071" w:type="dxa"/>
            <w:gridSpan w:val="6"/>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666"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Oct2009 - Sept2010</w:t>
            </w:r>
          </w:p>
        </w:tc>
      </w:tr>
      <w:tr w:rsidR="00E0414B" w:rsidRPr="003A77F5" w14:paraId="5F23067C" w14:textId="77777777" w:rsidTr="0052751F">
        <w:trPr>
          <w:tblHeader/>
        </w:trPr>
        <w:tc>
          <w:tcPr>
            <w:tcW w:w="100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668"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Region</w:t>
            </w:r>
          </w:p>
        </w:tc>
        <w:tc>
          <w:tcPr>
            <w:tcW w:w="958"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669"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Reef</w:t>
            </w:r>
          </w:p>
        </w:tc>
        <w:tc>
          <w:tcPr>
            <w:tcW w:w="463"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66A"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N</w:t>
            </w:r>
          </w:p>
        </w:tc>
        <w:tc>
          <w:tcPr>
            <w:tcW w:w="769"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66B"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Annual Mean</w:t>
            </w:r>
          </w:p>
        </w:tc>
        <w:tc>
          <w:tcPr>
            <w:tcW w:w="50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66C"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SE</w:t>
            </w:r>
          </w:p>
        </w:tc>
        <w:tc>
          <w:tcPr>
            <w:tcW w:w="78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66D"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Annual Median</w:t>
            </w:r>
          </w:p>
        </w:tc>
        <w:tc>
          <w:tcPr>
            <w:tcW w:w="7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66E"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%d &gt; Trigger</w:t>
            </w:r>
          </w:p>
        </w:tc>
        <w:tc>
          <w:tcPr>
            <w:tcW w:w="779"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66F"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%d &gt; 5 Trigger</w:t>
            </w:r>
          </w:p>
        </w:tc>
        <w:tc>
          <w:tcPr>
            <w:tcW w:w="463"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670"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N</w:t>
            </w:r>
          </w:p>
        </w:tc>
        <w:tc>
          <w:tcPr>
            <w:tcW w:w="769"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671"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Annual Mean</w:t>
            </w:r>
          </w:p>
        </w:tc>
        <w:tc>
          <w:tcPr>
            <w:tcW w:w="50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672"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SE</w:t>
            </w:r>
          </w:p>
        </w:tc>
        <w:tc>
          <w:tcPr>
            <w:tcW w:w="78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673"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Annual Median</w:t>
            </w:r>
          </w:p>
        </w:tc>
        <w:tc>
          <w:tcPr>
            <w:tcW w:w="7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674"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%d &gt; Trigger</w:t>
            </w:r>
          </w:p>
        </w:tc>
        <w:tc>
          <w:tcPr>
            <w:tcW w:w="779"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675"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%d &gt; 5 Trigger</w:t>
            </w:r>
          </w:p>
        </w:tc>
        <w:tc>
          <w:tcPr>
            <w:tcW w:w="463"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676"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N</w:t>
            </w:r>
          </w:p>
        </w:tc>
        <w:tc>
          <w:tcPr>
            <w:tcW w:w="769"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677"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Annual Mean</w:t>
            </w:r>
          </w:p>
        </w:tc>
        <w:tc>
          <w:tcPr>
            <w:tcW w:w="50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678"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SE</w:t>
            </w:r>
          </w:p>
        </w:tc>
        <w:tc>
          <w:tcPr>
            <w:tcW w:w="78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679"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Annual Median</w:t>
            </w:r>
          </w:p>
        </w:tc>
        <w:tc>
          <w:tcPr>
            <w:tcW w:w="7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67A"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%d &gt; Trigger</w:t>
            </w:r>
          </w:p>
        </w:tc>
        <w:tc>
          <w:tcPr>
            <w:tcW w:w="779"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67B"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%d &gt; 5 Trigger</w:t>
            </w:r>
          </w:p>
        </w:tc>
      </w:tr>
      <w:tr w:rsidR="00E0414B" w:rsidRPr="003A77F5" w14:paraId="5F230691" w14:textId="77777777" w:rsidTr="0052751F">
        <w:tc>
          <w:tcPr>
            <w:tcW w:w="100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067D"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Wet Tropics</w:t>
            </w: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7E"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Snapper North</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7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353</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68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2.20</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8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0.12</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8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1.38</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8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46</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8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8</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8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365</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68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1.87</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8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0.12</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8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1.26</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8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37</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8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6</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8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197</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68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3.21</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8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0.23</w:t>
            </w:r>
          </w:p>
        </w:tc>
        <w:tc>
          <w:tcPr>
            <w:tcW w:w="78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68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1.90</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8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59</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9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21</w:t>
            </w:r>
          </w:p>
        </w:tc>
      </w:tr>
      <w:tr w:rsidR="00E0414B" w:rsidRPr="003A77F5" w14:paraId="5F2306A6" w14:textId="77777777" w:rsidTr="0052751F">
        <w:tc>
          <w:tcPr>
            <w:tcW w:w="10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692" w14:textId="77777777" w:rsidR="008645FA" w:rsidRPr="007D7C41" w:rsidRDefault="008645FA" w:rsidP="00101B90">
            <w:pPr>
              <w:spacing w:before="0" w:after="0"/>
              <w:rPr>
                <w:sz w:val="18"/>
                <w:szCs w:val="18"/>
                <w:lang w:val="en-AU"/>
              </w:rPr>
            </w:pP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93"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Fitzroy West</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9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249</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9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0.85</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9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0.05</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9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0.70</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9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6</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9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1</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9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173</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9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0.89</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9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0.10</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9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0.70</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9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6</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9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1</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A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356</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A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0.88</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A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0.05</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A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0.67</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A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9</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A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1</w:t>
            </w:r>
          </w:p>
        </w:tc>
      </w:tr>
      <w:tr w:rsidR="00E0414B" w:rsidRPr="003A77F5" w14:paraId="5F2306BB" w14:textId="77777777" w:rsidTr="0052751F">
        <w:tc>
          <w:tcPr>
            <w:tcW w:w="10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6A7" w14:textId="77777777" w:rsidR="008645FA" w:rsidRPr="007D7C41" w:rsidRDefault="008645FA" w:rsidP="00101B90">
            <w:pPr>
              <w:spacing w:before="0" w:after="0"/>
              <w:rPr>
                <w:sz w:val="18"/>
                <w:szCs w:val="18"/>
                <w:lang w:val="en-AU"/>
              </w:rPr>
            </w:pP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A8"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High West</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A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356</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A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0.81</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A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0.03</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A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0.67</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A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6</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A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1</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A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365</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B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0.84</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B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0.03</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B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0.69</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B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8</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B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0</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B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365</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B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1.20</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B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0.07</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B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0.78</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B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18</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B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3</w:t>
            </w:r>
          </w:p>
        </w:tc>
      </w:tr>
      <w:tr w:rsidR="00E0414B" w:rsidRPr="003A77F5" w14:paraId="5F2306D0" w14:textId="77777777" w:rsidTr="0052751F">
        <w:tc>
          <w:tcPr>
            <w:tcW w:w="10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6BC" w14:textId="77777777" w:rsidR="008645FA" w:rsidRPr="007D7C41" w:rsidRDefault="008645FA" w:rsidP="00101B90">
            <w:pPr>
              <w:spacing w:before="0" w:after="0"/>
              <w:rPr>
                <w:sz w:val="18"/>
                <w:szCs w:val="18"/>
                <w:lang w:val="en-AU"/>
              </w:rPr>
            </w:pP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BD"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Franklands West</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B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357</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B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0.49</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C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0.01</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C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0.42</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C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2</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C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0</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C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365</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C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0.63</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C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0.02</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C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0.54</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C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4</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C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0</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C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352</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C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0.71</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C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0.03</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C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0.52</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C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6</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C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1</w:t>
            </w:r>
          </w:p>
        </w:tc>
      </w:tr>
      <w:tr w:rsidR="00E0414B" w:rsidRPr="003A77F5" w14:paraId="5F2306E5" w14:textId="77777777" w:rsidTr="0052751F">
        <w:tc>
          <w:tcPr>
            <w:tcW w:w="10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6D1" w14:textId="77777777" w:rsidR="008645FA" w:rsidRPr="007D7C41" w:rsidRDefault="008645FA" w:rsidP="00101B90">
            <w:pPr>
              <w:spacing w:before="0" w:after="0"/>
              <w:rPr>
                <w:sz w:val="18"/>
                <w:szCs w:val="18"/>
                <w:lang w:val="en-AU"/>
              </w:rPr>
            </w:pP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D2"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Dunk North</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D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277</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6D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2.17</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D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0.16</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D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1.06</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D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D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13</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D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244</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6D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2.34</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D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0.20</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D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1.19</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D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38</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D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9</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D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130</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6E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3.09</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E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0.31</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E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1.39</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E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47</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E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18</w:t>
            </w:r>
          </w:p>
        </w:tc>
      </w:tr>
      <w:tr w:rsidR="00E0414B" w:rsidRPr="003A77F5" w14:paraId="5F2306FA" w14:textId="77777777" w:rsidTr="0052751F">
        <w:tc>
          <w:tcPr>
            <w:tcW w:w="100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06E6"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Burdekin</w:t>
            </w: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E7"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Palms West</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E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258</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E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0.50</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E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0.01</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E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0.48</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E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0</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E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0</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E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365</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E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0.74</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F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0.04</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F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0.56</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F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7</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F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1</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F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363</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F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0.60</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F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0.03</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F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0.52</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F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2</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F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1</w:t>
            </w:r>
          </w:p>
        </w:tc>
      </w:tr>
      <w:tr w:rsidR="00E0414B" w:rsidRPr="003A77F5" w14:paraId="5F23070F" w14:textId="77777777" w:rsidTr="0052751F">
        <w:tc>
          <w:tcPr>
            <w:tcW w:w="10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6FB" w14:textId="77777777" w:rsidR="008645FA" w:rsidRPr="007D7C41" w:rsidRDefault="008645FA" w:rsidP="00101B90">
            <w:pPr>
              <w:spacing w:before="0" w:after="0"/>
              <w:rPr>
                <w:sz w:val="18"/>
                <w:szCs w:val="18"/>
                <w:lang w:val="en-AU"/>
              </w:rPr>
            </w:pP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FC"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Pandora</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F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358</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F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0.96</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6F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0.04</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0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0.71</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0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13</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0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1</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0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365</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0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1.17</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0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0.14</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0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0.74</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0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10</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0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2</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0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365</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0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1.10</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0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0.05</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0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0.85</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0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17</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0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1</w:t>
            </w:r>
          </w:p>
        </w:tc>
      </w:tr>
      <w:tr w:rsidR="00E0414B" w:rsidRPr="003A77F5" w14:paraId="5F230724" w14:textId="77777777" w:rsidTr="0052751F">
        <w:tc>
          <w:tcPr>
            <w:tcW w:w="10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710" w14:textId="77777777" w:rsidR="008645FA" w:rsidRPr="007D7C41" w:rsidRDefault="008645FA" w:rsidP="00101B90">
            <w:pPr>
              <w:spacing w:before="0" w:after="0"/>
              <w:rPr>
                <w:sz w:val="18"/>
                <w:szCs w:val="18"/>
                <w:lang w:val="en-AU"/>
              </w:rPr>
            </w:pP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11"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Magnetic</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1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266</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71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2.07</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1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0.17</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1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1.09</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1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35</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1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9</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1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365</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71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2.33</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1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0.24</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1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1.31</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1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42</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1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8</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1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291</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71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1.79</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2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0.09</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2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1.26</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2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41</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2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5</w:t>
            </w:r>
          </w:p>
        </w:tc>
      </w:tr>
      <w:tr w:rsidR="00E0414B" w:rsidRPr="003A77F5" w14:paraId="5F230739" w14:textId="77777777" w:rsidTr="0052751F">
        <w:tc>
          <w:tcPr>
            <w:tcW w:w="100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0725"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Mackay Whitsunday</w:t>
            </w: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26"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Double Cone</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2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199</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2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1.15</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2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0.07</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2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0.84</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2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17</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2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2</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2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273</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2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1.42</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2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0.07</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3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0.99</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3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30</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3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2</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3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360</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73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1.74</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3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0.09</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3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1.19</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3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40</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3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2</w:t>
            </w:r>
          </w:p>
        </w:tc>
      </w:tr>
      <w:tr w:rsidR="00E0414B" w:rsidRPr="003A77F5" w14:paraId="5F23074E" w14:textId="77777777" w:rsidTr="0052751F">
        <w:tc>
          <w:tcPr>
            <w:tcW w:w="10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73A" w14:textId="77777777" w:rsidR="008645FA" w:rsidRPr="007D7C41" w:rsidRDefault="008645FA" w:rsidP="00101B90">
            <w:pPr>
              <w:spacing w:before="0" w:after="0"/>
              <w:rPr>
                <w:sz w:val="18"/>
                <w:szCs w:val="18"/>
                <w:lang w:val="en-AU"/>
              </w:rPr>
            </w:pP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3B"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Daydream</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3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359</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73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2.01</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3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0.10</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3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1.40</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4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45</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4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8</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4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365</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74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1.99</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4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0.08</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4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1.48</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4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49</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4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7</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4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365</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74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2.42</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4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0.11</w:t>
            </w:r>
          </w:p>
        </w:tc>
        <w:tc>
          <w:tcPr>
            <w:tcW w:w="78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74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1.82</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4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59</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4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9</w:t>
            </w:r>
          </w:p>
        </w:tc>
      </w:tr>
      <w:tr w:rsidR="00E0414B" w:rsidRPr="003A77F5" w14:paraId="5F230763" w14:textId="77777777" w:rsidTr="0052751F">
        <w:tc>
          <w:tcPr>
            <w:tcW w:w="10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74F" w14:textId="77777777" w:rsidR="008645FA" w:rsidRPr="007D7C41" w:rsidRDefault="008645FA" w:rsidP="00101B90">
            <w:pPr>
              <w:spacing w:before="0" w:after="0"/>
              <w:rPr>
                <w:sz w:val="18"/>
                <w:szCs w:val="18"/>
                <w:lang w:val="en-AU"/>
              </w:rPr>
            </w:pP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50"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Seaforth</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5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5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5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5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5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5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5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5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5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5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5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5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5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5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5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6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6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6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r>
      <w:tr w:rsidR="00E0414B" w:rsidRPr="003A77F5" w14:paraId="5F230778" w14:textId="77777777" w:rsidTr="0052751F">
        <w:tc>
          <w:tcPr>
            <w:tcW w:w="10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764" w14:textId="77777777" w:rsidR="008645FA" w:rsidRPr="007D7C41" w:rsidRDefault="008645FA" w:rsidP="00101B90">
            <w:pPr>
              <w:spacing w:before="0" w:after="0"/>
              <w:rPr>
                <w:sz w:val="18"/>
                <w:szCs w:val="18"/>
                <w:lang w:val="en-AU"/>
              </w:rPr>
            </w:pP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65"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Pine</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6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296</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76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3.12</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6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0.18</w:t>
            </w:r>
          </w:p>
        </w:tc>
        <w:tc>
          <w:tcPr>
            <w:tcW w:w="78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76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2.20</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6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68</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6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15</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6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289</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76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3.12</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6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0.17</w:t>
            </w:r>
          </w:p>
        </w:tc>
        <w:tc>
          <w:tcPr>
            <w:tcW w:w="78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76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2.18</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7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66</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7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18</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7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258</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77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3.50</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7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0.28</w:t>
            </w:r>
          </w:p>
        </w:tc>
        <w:tc>
          <w:tcPr>
            <w:tcW w:w="78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77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1.80</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7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62</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7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17</w:t>
            </w:r>
          </w:p>
        </w:tc>
      </w:tr>
      <w:tr w:rsidR="00E0414B" w:rsidRPr="003A77F5" w14:paraId="5F23078D" w14:textId="77777777" w:rsidTr="0052751F">
        <w:tc>
          <w:tcPr>
            <w:tcW w:w="10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779" w14:textId="77777777" w:rsidR="008645FA" w:rsidRPr="007D7C41" w:rsidRDefault="008645FA" w:rsidP="00101B90">
            <w:pPr>
              <w:spacing w:before="0" w:after="0"/>
              <w:rPr>
                <w:sz w:val="18"/>
                <w:szCs w:val="18"/>
                <w:lang w:val="en-AU"/>
              </w:rPr>
            </w:pP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7A"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Repulse</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7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7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7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7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7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8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8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8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8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8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8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8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8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8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8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8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8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8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r>
      <w:tr w:rsidR="00E0414B" w:rsidRPr="003A77F5" w14:paraId="5F2307A2" w14:textId="77777777" w:rsidTr="0052751F">
        <w:tc>
          <w:tcPr>
            <w:tcW w:w="100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078E"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Fitzroy</w:t>
            </w: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8F"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Barren</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9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364</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9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0.37</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9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0.02</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9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0.25</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9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2</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9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0</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9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333</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9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0.46</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9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0.03</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9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0.25</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9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6</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9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0</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9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221</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9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0.47</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9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0.05</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9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0.27</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A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4</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A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1</w:t>
            </w:r>
          </w:p>
        </w:tc>
      </w:tr>
      <w:tr w:rsidR="00E0414B" w:rsidRPr="003A77F5" w14:paraId="5F2307B7" w14:textId="77777777" w:rsidTr="0052751F">
        <w:tc>
          <w:tcPr>
            <w:tcW w:w="10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7A3" w14:textId="77777777" w:rsidR="008645FA" w:rsidRPr="007D7C41" w:rsidRDefault="008645FA" w:rsidP="00101B90">
            <w:pPr>
              <w:spacing w:before="0" w:after="0"/>
              <w:rPr>
                <w:sz w:val="18"/>
                <w:szCs w:val="18"/>
                <w:lang w:val="en-AU"/>
              </w:rPr>
            </w:pP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A4"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Keppels South</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A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362</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A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0.88</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A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0.06</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A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0.41</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A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17</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A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1</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A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142</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A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0.89</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A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0.09</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A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0.46</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A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11</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B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1</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B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365</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B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1.26</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B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0.15</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B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0.53</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B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17</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B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4</w:t>
            </w:r>
          </w:p>
        </w:tc>
      </w:tr>
      <w:tr w:rsidR="00E0414B" w:rsidRPr="003A77F5" w14:paraId="5F2307CC" w14:textId="77777777" w:rsidTr="0052751F">
        <w:tc>
          <w:tcPr>
            <w:tcW w:w="10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7B8" w14:textId="77777777" w:rsidR="008645FA" w:rsidRPr="007D7C41" w:rsidRDefault="008645FA" w:rsidP="00101B90">
            <w:pPr>
              <w:spacing w:before="0" w:after="0"/>
              <w:rPr>
                <w:sz w:val="18"/>
                <w:szCs w:val="18"/>
                <w:lang w:val="en-AU"/>
              </w:rPr>
            </w:pP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B9"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Pelican</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B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363</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7B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5.08</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B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0.36</w:t>
            </w:r>
          </w:p>
        </w:tc>
        <w:tc>
          <w:tcPr>
            <w:tcW w:w="78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7B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2.15</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B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55</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B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33</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C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363</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7C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3.42</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C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0.24</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C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1.21</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C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44</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C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22</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C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365</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7C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5.50</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C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0.50</w:t>
            </w:r>
          </w:p>
        </w:tc>
        <w:tc>
          <w:tcPr>
            <w:tcW w:w="78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7C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1.60</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C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52</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C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28</w:t>
            </w:r>
          </w:p>
        </w:tc>
      </w:tr>
    </w:tbl>
    <w:p w14:paraId="5F2307CD" w14:textId="77777777" w:rsidR="008645FA" w:rsidRDefault="008645FA" w:rsidP="008645FA">
      <w:pPr>
        <w:rPr>
          <w:rStyle w:val="IntenseReference"/>
          <w:color w:val="auto"/>
          <w:lang w:val="en-AU"/>
        </w:rPr>
      </w:pPr>
    </w:p>
    <w:p w14:paraId="5F2307CE" w14:textId="77777777" w:rsidR="00101B90" w:rsidRDefault="00101B90" w:rsidP="008645FA">
      <w:pPr>
        <w:rPr>
          <w:rStyle w:val="IntenseReference"/>
          <w:color w:val="auto"/>
          <w:lang w:val="en-AU"/>
        </w:rPr>
      </w:pPr>
    </w:p>
    <w:p w14:paraId="5F2307CF" w14:textId="77777777" w:rsidR="00101B90" w:rsidRDefault="00101B90" w:rsidP="008645FA">
      <w:pPr>
        <w:rPr>
          <w:rStyle w:val="IntenseReference"/>
          <w:color w:val="auto"/>
          <w:lang w:val="en-AU"/>
        </w:rPr>
      </w:pPr>
    </w:p>
    <w:p w14:paraId="5F2307D0" w14:textId="77777777" w:rsidR="00101B90" w:rsidRDefault="00101B90" w:rsidP="008645FA">
      <w:pPr>
        <w:rPr>
          <w:rStyle w:val="IntenseReference"/>
          <w:color w:val="auto"/>
          <w:lang w:val="en-AU"/>
        </w:rPr>
      </w:pPr>
    </w:p>
    <w:p w14:paraId="5F2307D1" w14:textId="77777777" w:rsidR="00101B90" w:rsidRDefault="00101B90" w:rsidP="008645FA">
      <w:pPr>
        <w:rPr>
          <w:rStyle w:val="IntenseReference"/>
          <w:color w:val="auto"/>
          <w:lang w:val="en-AU"/>
        </w:rPr>
      </w:pPr>
    </w:p>
    <w:p w14:paraId="5F2307D2" w14:textId="77777777" w:rsidR="00101B90" w:rsidRDefault="00101B90" w:rsidP="008645FA">
      <w:pPr>
        <w:rPr>
          <w:rStyle w:val="IntenseReference"/>
          <w:color w:val="auto"/>
          <w:lang w:val="en-AU"/>
        </w:rPr>
      </w:pPr>
    </w:p>
    <w:p w14:paraId="5F2307D3" w14:textId="77777777" w:rsidR="00101B90" w:rsidRDefault="00101B90" w:rsidP="008645FA">
      <w:pPr>
        <w:rPr>
          <w:rStyle w:val="IntenseReference"/>
          <w:color w:val="auto"/>
          <w:lang w:val="en-AU"/>
        </w:rPr>
      </w:pPr>
    </w:p>
    <w:p w14:paraId="5F2307D4" w14:textId="77777777" w:rsidR="008645FA" w:rsidRPr="007D7C41" w:rsidRDefault="003A01A2" w:rsidP="008645FA">
      <w:pPr>
        <w:rPr>
          <w:rStyle w:val="IntenseReference"/>
          <w:color w:val="auto"/>
          <w:lang w:val="en-AU"/>
        </w:rPr>
      </w:pPr>
      <w:r>
        <w:rPr>
          <w:rStyle w:val="IntenseReference"/>
          <w:color w:val="auto"/>
          <w:lang w:val="en-AU"/>
        </w:rPr>
        <w:t>Table A2-</w:t>
      </w:r>
      <w:r w:rsidR="004D206D">
        <w:rPr>
          <w:rStyle w:val="IntenseReference"/>
          <w:color w:val="auto"/>
          <w:lang w:val="en-AU"/>
        </w:rPr>
        <w:t>5</w:t>
      </w:r>
      <w:r w:rsidR="008645FA" w:rsidRPr="007D7C41">
        <w:rPr>
          <w:rStyle w:val="IntenseReference"/>
          <w:color w:val="auto"/>
          <w:lang w:val="en-AU"/>
        </w:rPr>
        <w:t xml:space="preserve"> Continued</w:t>
      </w:r>
    </w:p>
    <w:tbl>
      <w:tblPr>
        <w:tblW w:w="0" w:type="auto"/>
        <w:tblLayout w:type="fixed"/>
        <w:tblLook w:val="04A0" w:firstRow="1" w:lastRow="0" w:firstColumn="1" w:lastColumn="0" w:noHBand="0" w:noVBand="1"/>
      </w:tblPr>
      <w:tblGrid>
        <w:gridCol w:w="1004"/>
        <w:gridCol w:w="958"/>
        <w:gridCol w:w="463"/>
        <w:gridCol w:w="769"/>
        <w:gridCol w:w="504"/>
        <w:gridCol w:w="780"/>
        <w:gridCol w:w="776"/>
        <w:gridCol w:w="779"/>
        <w:gridCol w:w="463"/>
        <w:gridCol w:w="769"/>
        <w:gridCol w:w="504"/>
        <w:gridCol w:w="780"/>
        <w:gridCol w:w="776"/>
        <w:gridCol w:w="779"/>
        <w:gridCol w:w="463"/>
        <w:gridCol w:w="769"/>
        <w:gridCol w:w="504"/>
        <w:gridCol w:w="780"/>
        <w:gridCol w:w="776"/>
        <w:gridCol w:w="779"/>
      </w:tblGrid>
      <w:tr w:rsidR="008645FA" w:rsidRPr="003A77F5" w14:paraId="5F2307DA" w14:textId="77777777" w:rsidTr="004A5BF7">
        <w:trPr>
          <w:tblHeader/>
        </w:trPr>
        <w:tc>
          <w:tcPr>
            <w:tcW w:w="100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7D5" w14:textId="77777777" w:rsidR="008645FA" w:rsidRPr="007D7C41" w:rsidRDefault="008645FA" w:rsidP="00101B90">
            <w:pPr>
              <w:spacing w:before="0" w:after="0"/>
              <w:ind w:left="20" w:right="20"/>
              <w:jc w:val="center"/>
              <w:rPr>
                <w:sz w:val="18"/>
                <w:szCs w:val="18"/>
                <w:lang w:val="en-AU"/>
              </w:rPr>
            </w:pPr>
          </w:p>
        </w:tc>
        <w:tc>
          <w:tcPr>
            <w:tcW w:w="958"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7D6" w14:textId="77777777" w:rsidR="008645FA" w:rsidRPr="007D7C41" w:rsidRDefault="008645FA" w:rsidP="00101B90">
            <w:pPr>
              <w:spacing w:before="0" w:after="0"/>
              <w:ind w:left="20" w:right="20"/>
              <w:jc w:val="center"/>
              <w:rPr>
                <w:sz w:val="18"/>
                <w:szCs w:val="18"/>
                <w:lang w:val="en-AU"/>
              </w:rPr>
            </w:pPr>
          </w:p>
        </w:tc>
        <w:tc>
          <w:tcPr>
            <w:tcW w:w="4071" w:type="dxa"/>
            <w:gridSpan w:val="6"/>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7D7"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Oct2010 - Sept2011</w:t>
            </w:r>
          </w:p>
        </w:tc>
        <w:tc>
          <w:tcPr>
            <w:tcW w:w="4071" w:type="dxa"/>
            <w:gridSpan w:val="6"/>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7D8"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Oct2011 - Sept2012</w:t>
            </w:r>
          </w:p>
        </w:tc>
        <w:tc>
          <w:tcPr>
            <w:tcW w:w="4071" w:type="dxa"/>
            <w:gridSpan w:val="6"/>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7D9"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Oct2012 - Sept2013</w:t>
            </w:r>
          </w:p>
        </w:tc>
      </w:tr>
      <w:tr w:rsidR="00E0414B" w:rsidRPr="003A77F5" w14:paraId="5F2307EF" w14:textId="77777777" w:rsidTr="0052751F">
        <w:trPr>
          <w:tblHeader/>
        </w:trPr>
        <w:tc>
          <w:tcPr>
            <w:tcW w:w="100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7DB"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Region</w:t>
            </w:r>
          </w:p>
        </w:tc>
        <w:tc>
          <w:tcPr>
            <w:tcW w:w="958"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7DC"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Reef</w:t>
            </w:r>
          </w:p>
        </w:tc>
        <w:tc>
          <w:tcPr>
            <w:tcW w:w="463"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7DD"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N</w:t>
            </w:r>
          </w:p>
        </w:tc>
        <w:tc>
          <w:tcPr>
            <w:tcW w:w="769"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7DE"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Annual Mean</w:t>
            </w:r>
          </w:p>
        </w:tc>
        <w:tc>
          <w:tcPr>
            <w:tcW w:w="50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7DF"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SE</w:t>
            </w:r>
          </w:p>
        </w:tc>
        <w:tc>
          <w:tcPr>
            <w:tcW w:w="78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7E0"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Annual Median</w:t>
            </w:r>
          </w:p>
        </w:tc>
        <w:tc>
          <w:tcPr>
            <w:tcW w:w="7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7E1"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%d &gt; Trigger</w:t>
            </w:r>
          </w:p>
        </w:tc>
        <w:tc>
          <w:tcPr>
            <w:tcW w:w="779"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7E2"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%d &gt; 5 Trigger</w:t>
            </w:r>
          </w:p>
        </w:tc>
        <w:tc>
          <w:tcPr>
            <w:tcW w:w="463"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7E3"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N</w:t>
            </w:r>
          </w:p>
        </w:tc>
        <w:tc>
          <w:tcPr>
            <w:tcW w:w="769"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7E4"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Annual Mean</w:t>
            </w:r>
          </w:p>
        </w:tc>
        <w:tc>
          <w:tcPr>
            <w:tcW w:w="50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7E5"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SE</w:t>
            </w:r>
          </w:p>
        </w:tc>
        <w:tc>
          <w:tcPr>
            <w:tcW w:w="78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7E6"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Annual Median</w:t>
            </w:r>
          </w:p>
        </w:tc>
        <w:tc>
          <w:tcPr>
            <w:tcW w:w="7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7E7"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%d &gt; Trigger</w:t>
            </w:r>
          </w:p>
        </w:tc>
        <w:tc>
          <w:tcPr>
            <w:tcW w:w="779"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7E8"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%d &gt; 5 Trigger</w:t>
            </w:r>
          </w:p>
        </w:tc>
        <w:tc>
          <w:tcPr>
            <w:tcW w:w="463"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7E9"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N</w:t>
            </w:r>
          </w:p>
        </w:tc>
        <w:tc>
          <w:tcPr>
            <w:tcW w:w="769"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7EA"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Annual Mean</w:t>
            </w:r>
          </w:p>
        </w:tc>
        <w:tc>
          <w:tcPr>
            <w:tcW w:w="50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7EB"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SE</w:t>
            </w:r>
          </w:p>
        </w:tc>
        <w:tc>
          <w:tcPr>
            <w:tcW w:w="78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7EC"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Annual Median</w:t>
            </w:r>
          </w:p>
        </w:tc>
        <w:tc>
          <w:tcPr>
            <w:tcW w:w="77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7ED"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%d &gt; Trigger</w:t>
            </w:r>
          </w:p>
        </w:tc>
        <w:tc>
          <w:tcPr>
            <w:tcW w:w="779"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7EE" w14:textId="77777777" w:rsidR="008645FA" w:rsidRPr="007D7C41" w:rsidRDefault="008645FA" w:rsidP="00101B90">
            <w:pPr>
              <w:spacing w:before="0" w:after="0"/>
              <w:ind w:left="20" w:right="20"/>
              <w:jc w:val="center"/>
              <w:rPr>
                <w:sz w:val="18"/>
                <w:szCs w:val="18"/>
                <w:lang w:val="en-AU"/>
              </w:rPr>
            </w:pPr>
            <w:r w:rsidRPr="007D7C41">
              <w:rPr>
                <w:rFonts w:ascii="Arial Narrow Bold" w:hAnsi="Arial Narrow Bold" w:cs="Arial Narrow Bold"/>
                <w:color w:val="000000"/>
                <w:sz w:val="18"/>
                <w:szCs w:val="18"/>
                <w:lang w:val="en-AU"/>
              </w:rPr>
              <w:t>%d &gt; 5 Trigger</w:t>
            </w:r>
          </w:p>
        </w:tc>
      </w:tr>
      <w:tr w:rsidR="00E0414B" w:rsidRPr="003A77F5" w14:paraId="5F230804" w14:textId="77777777" w:rsidTr="0052751F">
        <w:tc>
          <w:tcPr>
            <w:tcW w:w="100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07F0"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Wet Tropics</w:t>
            </w: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F1"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Snapper North</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F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365</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7F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2.46</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F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0.18</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F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1.40</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F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44</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F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10</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F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366</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7F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2.40</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F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0.17</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F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1.24</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F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38</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F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10</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7F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365</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7F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2.98</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0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0.22</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0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1.33</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0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44</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0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15</w:t>
            </w:r>
          </w:p>
        </w:tc>
      </w:tr>
      <w:tr w:rsidR="00E0414B" w:rsidRPr="003A77F5" w14:paraId="5F230819" w14:textId="77777777" w:rsidTr="0052751F">
        <w:tc>
          <w:tcPr>
            <w:tcW w:w="10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805" w14:textId="77777777" w:rsidR="008645FA" w:rsidRPr="007D7C41" w:rsidRDefault="008645FA" w:rsidP="00101B90">
            <w:pPr>
              <w:spacing w:before="0" w:after="0"/>
              <w:rPr>
                <w:sz w:val="18"/>
                <w:szCs w:val="18"/>
                <w:lang w:val="en-AU"/>
              </w:rPr>
            </w:pP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06"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Fitzroy West</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0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365</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0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1.26</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0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0.12</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0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0.74</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0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16</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0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4</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0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274</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0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1.21</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0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0.08</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1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0.78</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1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17</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1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3</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1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267</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1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1.08</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1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0.12</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1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0.76</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1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8</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1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1</w:t>
            </w:r>
          </w:p>
        </w:tc>
      </w:tr>
      <w:tr w:rsidR="00E0414B" w:rsidRPr="003A77F5" w14:paraId="5F23082E" w14:textId="77777777" w:rsidTr="0052751F">
        <w:tc>
          <w:tcPr>
            <w:tcW w:w="10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81A" w14:textId="77777777" w:rsidR="008645FA" w:rsidRPr="007D7C41" w:rsidRDefault="008645FA" w:rsidP="00101B90">
            <w:pPr>
              <w:spacing w:before="0" w:after="0"/>
              <w:rPr>
                <w:sz w:val="18"/>
                <w:szCs w:val="18"/>
                <w:lang w:val="en-AU"/>
              </w:rPr>
            </w:pP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1B"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High West</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1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365</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81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1.56</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1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0.15</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1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0.82</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2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21</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2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5</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2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366</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2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1.08</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2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0.08</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2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0.64</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2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14</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2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2</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2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365</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82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1.55</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2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0.10</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2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0.93</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2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24</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2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5</w:t>
            </w:r>
          </w:p>
        </w:tc>
      </w:tr>
      <w:tr w:rsidR="00E0414B" w:rsidRPr="003A77F5" w14:paraId="5F230843" w14:textId="77777777" w:rsidTr="0052751F">
        <w:tc>
          <w:tcPr>
            <w:tcW w:w="10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82F" w14:textId="77777777" w:rsidR="008645FA" w:rsidRPr="007D7C41" w:rsidRDefault="008645FA" w:rsidP="00101B90">
            <w:pPr>
              <w:spacing w:before="0" w:after="0"/>
              <w:rPr>
                <w:sz w:val="18"/>
                <w:szCs w:val="18"/>
                <w:lang w:val="en-AU"/>
              </w:rPr>
            </w:pP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30"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Franklands West</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3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365</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3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1.14</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3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0.15</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3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0.54</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3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13</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3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4</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3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366</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3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0.88</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3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0.07</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3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0.54</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3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9</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3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2</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3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365</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3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0.96</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3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0.06</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4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0.67</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4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12</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4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1</w:t>
            </w:r>
          </w:p>
        </w:tc>
      </w:tr>
      <w:tr w:rsidR="00E0414B" w:rsidRPr="003A77F5" w14:paraId="5F230858" w14:textId="77777777" w:rsidTr="0052751F">
        <w:tc>
          <w:tcPr>
            <w:tcW w:w="10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844" w14:textId="77777777" w:rsidR="008645FA" w:rsidRPr="007D7C41" w:rsidRDefault="008645FA" w:rsidP="00101B90">
            <w:pPr>
              <w:spacing w:before="0" w:after="0"/>
              <w:rPr>
                <w:sz w:val="18"/>
                <w:szCs w:val="18"/>
                <w:lang w:val="en-AU"/>
              </w:rPr>
            </w:pP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45"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Dunk North</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4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229</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84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3.32</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4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0.39</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4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1.36</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4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44</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4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17</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4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220</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84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2.91</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4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0.26</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4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1.17</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5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40</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5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17</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5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285</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85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3.67</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5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0.29</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5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1.26</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5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41</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5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23</w:t>
            </w:r>
          </w:p>
        </w:tc>
      </w:tr>
      <w:tr w:rsidR="00E0414B" w:rsidRPr="003A77F5" w14:paraId="5F23086D" w14:textId="77777777" w:rsidTr="0052751F">
        <w:tc>
          <w:tcPr>
            <w:tcW w:w="100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0859"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Burdekin</w:t>
            </w: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5A"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Palms West</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5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263</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5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1.17</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5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0.21</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5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0.68</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5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17</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6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1</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6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366</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6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0.69</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6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0.03</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6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0.60</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6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4</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6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0</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6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365</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6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0.90</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6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0.06</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6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0.60</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6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7</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6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2</w:t>
            </w:r>
          </w:p>
        </w:tc>
      </w:tr>
      <w:tr w:rsidR="00E0414B" w:rsidRPr="003A77F5" w14:paraId="5F230882" w14:textId="77777777" w:rsidTr="0052751F">
        <w:tc>
          <w:tcPr>
            <w:tcW w:w="10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86E" w14:textId="77777777" w:rsidR="008645FA" w:rsidRPr="007D7C41" w:rsidRDefault="008645FA" w:rsidP="00101B90">
            <w:pPr>
              <w:spacing w:before="0" w:after="0"/>
              <w:rPr>
                <w:sz w:val="18"/>
                <w:szCs w:val="18"/>
                <w:lang w:val="en-AU"/>
              </w:rPr>
            </w:pP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6F"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Pandora</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7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365</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87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1.70</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7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0.23</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7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0.89</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7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25</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7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6</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7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366</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7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1.31</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7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0.10</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7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0.88</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7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17</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7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3</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7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365</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87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1.60</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7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0.09</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7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1.07</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8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24</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8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7</w:t>
            </w:r>
          </w:p>
        </w:tc>
      </w:tr>
      <w:tr w:rsidR="00E0414B" w:rsidRPr="003A77F5" w14:paraId="5F230897" w14:textId="77777777" w:rsidTr="0052751F">
        <w:tc>
          <w:tcPr>
            <w:tcW w:w="10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883" w14:textId="77777777" w:rsidR="008645FA" w:rsidRPr="007D7C41" w:rsidRDefault="008645FA" w:rsidP="00101B90">
            <w:pPr>
              <w:spacing w:before="0" w:after="0"/>
              <w:rPr>
                <w:sz w:val="18"/>
                <w:szCs w:val="18"/>
                <w:lang w:val="en-AU"/>
              </w:rPr>
            </w:pP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84"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Magnetic</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8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365</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88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2.79</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8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0.30</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8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1.48</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8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49</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8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11</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8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366</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88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2.30</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8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0.15</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8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1.37</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8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44</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9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9</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9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365</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89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4.00</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9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0.42</w:t>
            </w:r>
          </w:p>
        </w:tc>
        <w:tc>
          <w:tcPr>
            <w:tcW w:w="78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89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1.92</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9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65</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9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15</w:t>
            </w:r>
          </w:p>
        </w:tc>
      </w:tr>
      <w:tr w:rsidR="00E0414B" w:rsidRPr="003A77F5" w14:paraId="5F2308AC" w14:textId="77777777" w:rsidTr="0052751F">
        <w:tc>
          <w:tcPr>
            <w:tcW w:w="100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0898"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Mackay Whitsunday</w:t>
            </w: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99"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Double Cone</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9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332</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9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1.47</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9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0.05</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9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1.27</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9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39</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9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1</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A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366</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A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1.31</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A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0.04</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A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1.05</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A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28</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A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0</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A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365</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8A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1.75</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A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0.07</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A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1.31</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A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41</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A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2</w:t>
            </w:r>
          </w:p>
        </w:tc>
      </w:tr>
      <w:tr w:rsidR="00E0414B" w:rsidRPr="003A77F5" w14:paraId="5F2308C1" w14:textId="77777777" w:rsidTr="0052751F">
        <w:tc>
          <w:tcPr>
            <w:tcW w:w="10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8AD" w14:textId="77777777" w:rsidR="008645FA" w:rsidRPr="007D7C41" w:rsidRDefault="008645FA" w:rsidP="00101B90">
            <w:pPr>
              <w:spacing w:before="0" w:after="0"/>
              <w:rPr>
                <w:sz w:val="18"/>
                <w:szCs w:val="18"/>
                <w:lang w:val="en-AU"/>
              </w:rPr>
            </w:pP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AE"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Daydream</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A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365</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8B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2.56</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B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0.10</w:t>
            </w:r>
          </w:p>
        </w:tc>
        <w:tc>
          <w:tcPr>
            <w:tcW w:w="78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8B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2.04</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B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67</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B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8</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B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366</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8B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1.73</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B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0.06</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B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1.43</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B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46</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B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2</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B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314</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8B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2.75</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B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0.11</w:t>
            </w:r>
          </w:p>
        </w:tc>
        <w:tc>
          <w:tcPr>
            <w:tcW w:w="78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8B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2.19</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B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65</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C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13</w:t>
            </w:r>
          </w:p>
        </w:tc>
      </w:tr>
      <w:tr w:rsidR="00E0414B" w:rsidRPr="003A77F5" w14:paraId="5F2308D6" w14:textId="77777777" w:rsidTr="0052751F">
        <w:tc>
          <w:tcPr>
            <w:tcW w:w="10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8C2" w14:textId="77777777" w:rsidR="008645FA" w:rsidRPr="007D7C41" w:rsidRDefault="008645FA" w:rsidP="00101B90">
            <w:pPr>
              <w:spacing w:before="0" w:after="0"/>
              <w:rPr>
                <w:sz w:val="18"/>
                <w:szCs w:val="18"/>
                <w:lang w:val="en-AU"/>
              </w:rPr>
            </w:pP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C3"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Seaforth</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C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C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C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C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C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C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C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C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C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C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C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C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D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D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D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D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D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D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r>
      <w:tr w:rsidR="00E0414B" w:rsidRPr="003A77F5" w14:paraId="5F2308EB" w14:textId="77777777" w:rsidTr="0052751F">
        <w:tc>
          <w:tcPr>
            <w:tcW w:w="10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8D7" w14:textId="77777777" w:rsidR="008645FA" w:rsidRPr="007D7C41" w:rsidRDefault="008645FA" w:rsidP="00101B90">
            <w:pPr>
              <w:spacing w:before="0" w:after="0"/>
              <w:rPr>
                <w:sz w:val="18"/>
                <w:szCs w:val="18"/>
                <w:lang w:val="en-AU"/>
              </w:rPr>
            </w:pP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D8"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Pine</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D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336</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8D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3.34</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D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0.13</w:t>
            </w:r>
          </w:p>
        </w:tc>
        <w:tc>
          <w:tcPr>
            <w:tcW w:w="78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8D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2.72</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D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82</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D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18</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D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231</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8E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2.20</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E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0.08</w:t>
            </w:r>
          </w:p>
        </w:tc>
        <w:tc>
          <w:tcPr>
            <w:tcW w:w="78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8E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1.92</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E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66</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E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4</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E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365</w:t>
            </w:r>
          </w:p>
        </w:tc>
        <w:tc>
          <w:tcPr>
            <w:tcW w:w="76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8E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3.21</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E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0.13</w:t>
            </w:r>
          </w:p>
        </w:tc>
        <w:tc>
          <w:tcPr>
            <w:tcW w:w="78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8E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2.42</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E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71</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E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18</w:t>
            </w:r>
          </w:p>
        </w:tc>
      </w:tr>
      <w:tr w:rsidR="00E0414B" w:rsidRPr="003A77F5" w14:paraId="5F230900" w14:textId="77777777" w:rsidTr="0052751F">
        <w:tc>
          <w:tcPr>
            <w:tcW w:w="10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8EC" w14:textId="77777777" w:rsidR="008645FA" w:rsidRPr="007D7C41" w:rsidRDefault="008645FA" w:rsidP="00101B90">
            <w:pPr>
              <w:spacing w:before="0" w:after="0"/>
              <w:rPr>
                <w:sz w:val="18"/>
                <w:szCs w:val="18"/>
                <w:lang w:val="en-AU"/>
              </w:rPr>
            </w:pPr>
          </w:p>
        </w:tc>
        <w:tc>
          <w:tcPr>
            <w:tcW w:w="9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ED"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Repulse</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E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E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F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F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F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F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F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F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F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F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F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F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F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F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F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F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7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F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8F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r>
    </w:tbl>
    <w:p w14:paraId="5F230901" w14:textId="23D078A1" w:rsidR="008645FA" w:rsidRPr="007D7C41" w:rsidRDefault="008645FA" w:rsidP="008645FA">
      <w:pPr>
        <w:rPr>
          <w:rStyle w:val="IntenseReference"/>
          <w:color w:val="auto"/>
          <w:lang w:val="en-AU"/>
        </w:rPr>
      </w:pPr>
    </w:p>
    <w:p w14:paraId="5F230902" w14:textId="77777777" w:rsidR="001114E0" w:rsidRDefault="001114E0">
      <w:pPr>
        <w:spacing w:before="0" w:after="0"/>
        <w:jc w:val="left"/>
        <w:rPr>
          <w:rStyle w:val="IntenseReference"/>
          <w:color w:val="auto"/>
          <w:lang w:val="en-AU"/>
        </w:rPr>
      </w:pPr>
      <w:r>
        <w:rPr>
          <w:rStyle w:val="IntenseReference"/>
          <w:color w:val="auto"/>
          <w:lang w:val="en-AU"/>
        </w:rPr>
        <w:br w:type="page"/>
      </w:r>
    </w:p>
    <w:p w14:paraId="5F230903" w14:textId="77777777" w:rsidR="008645FA" w:rsidRPr="007D7C41" w:rsidRDefault="003A01A2" w:rsidP="008645FA">
      <w:pPr>
        <w:rPr>
          <w:rStyle w:val="IntenseReference"/>
          <w:color w:val="auto"/>
          <w:lang w:val="en-AU"/>
        </w:rPr>
      </w:pPr>
      <w:r>
        <w:rPr>
          <w:rStyle w:val="IntenseReference"/>
          <w:color w:val="auto"/>
          <w:lang w:val="en-AU"/>
        </w:rPr>
        <w:t>Table A2-</w:t>
      </w:r>
      <w:r w:rsidR="004D206D">
        <w:rPr>
          <w:rStyle w:val="IntenseReference"/>
          <w:color w:val="auto"/>
          <w:lang w:val="en-AU"/>
        </w:rPr>
        <w:t>5</w:t>
      </w:r>
      <w:r w:rsidR="008645FA" w:rsidRPr="007D7C41">
        <w:rPr>
          <w:rStyle w:val="IntenseReference"/>
          <w:color w:val="auto"/>
          <w:lang w:val="en-AU"/>
        </w:rPr>
        <w:t xml:space="preserve"> Continued</w:t>
      </w:r>
    </w:p>
    <w:tbl>
      <w:tblPr>
        <w:tblW w:w="0" w:type="auto"/>
        <w:tblLayout w:type="fixed"/>
        <w:tblLook w:val="04A0" w:firstRow="1" w:lastRow="0" w:firstColumn="1" w:lastColumn="0" w:noHBand="0" w:noVBand="1"/>
      </w:tblPr>
      <w:tblGrid>
        <w:gridCol w:w="1504"/>
        <w:gridCol w:w="1301"/>
        <w:gridCol w:w="463"/>
        <w:gridCol w:w="1129"/>
        <w:gridCol w:w="504"/>
        <w:gridCol w:w="1252"/>
        <w:gridCol w:w="1111"/>
        <w:gridCol w:w="1226"/>
        <w:gridCol w:w="463"/>
        <w:gridCol w:w="1129"/>
        <w:gridCol w:w="504"/>
        <w:gridCol w:w="1252"/>
        <w:gridCol w:w="1111"/>
        <w:gridCol w:w="1226"/>
      </w:tblGrid>
      <w:tr w:rsidR="008645FA" w:rsidRPr="003A77F5" w14:paraId="5F230908" w14:textId="77777777" w:rsidTr="004A5BF7">
        <w:trPr>
          <w:tblHeader/>
        </w:trPr>
        <w:tc>
          <w:tcPr>
            <w:tcW w:w="150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904" w14:textId="77777777" w:rsidR="008645FA" w:rsidRPr="007D7C41" w:rsidRDefault="008645FA" w:rsidP="00101B90">
            <w:pPr>
              <w:spacing w:before="0" w:after="0"/>
              <w:ind w:right="20"/>
              <w:jc w:val="center"/>
              <w:rPr>
                <w:sz w:val="18"/>
                <w:szCs w:val="18"/>
                <w:lang w:val="en-AU"/>
              </w:rPr>
            </w:pPr>
          </w:p>
        </w:tc>
        <w:tc>
          <w:tcPr>
            <w:tcW w:w="1301"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905" w14:textId="77777777" w:rsidR="008645FA" w:rsidRPr="007D7C41" w:rsidRDefault="008645FA" w:rsidP="00101B90">
            <w:pPr>
              <w:spacing w:before="0" w:after="0"/>
              <w:ind w:right="20"/>
              <w:jc w:val="center"/>
              <w:rPr>
                <w:sz w:val="18"/>
                <w:szCs w:val="18"/>
                <w:lang w:val="en-AU"/>
              </w:rPr>
            </w:pPr>
          </w:p>
        </w:tc>
        <w:tc>
          <w:tcPr>
            <w:tcW w:w="5685" w:type="dxa"/>
            <w:gridSpan w:val="6"/>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906" w14:textId="77777777" w:rsidR="008645FA" w:rsidRPr="007D7C41" w:rsidRDefault="008645FA" w:rsidP="00101B90">
            <w:pPr>
              <w:spacing w:before="0" w:after="0"/>
              <w:ind w:right="20"/>
              <w:jc w:val="center"/>
              <w:rPr>
                <w:sz w:val="18"/>
                <w:szCs w:val="18"/>
                <w:lang w:val="en-AU"/>
              </w:rPr>
            </w:pPr>
            <w:r w:rsidRPr="007D7C41">
              <w:rPr>
                <w:rFonts w:ascii="Arial Narrow Bold" w:hAnsi="Arial Narrow Bold" w:cs="Arial Narrow Bold"/>
                <w:color w:val="000000"/>
                <w:sz w:val="18"/>
                <w:szCs w:val="18"/>
                <w:lang w:val="en-AU"/>
              </w:rPr>
              <w:t>Oct2013 - Sept2014</w:t>
            </w:r>
          </w:p>
        </w:tc>
        <w:tc>
          <w:tcPr>
            <w:tcW w:w="5685" w:type="dxa"/>
            <w:gridSpan w:val="6"/>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907" w14:textId="77777777" w:rsidR="008645FA" w:rsidRPr="007D7C41" w:rsidRDefault="008645FA" w:rsidP="00101B90">
            <w:pPr>
              <w:spacing w:before="0" w:after="0"/>
              <w:ind w:right="20"/>
              <w:jc w:val="center"/>
              <w:rPr>
                <w:sz w:val="18"/>
                <w:szCs w:val="18"/>
                <w:lang w:val="en-AU"/>
              </w:rPr>
            </w:pPr>
            <w:r w:rsidRPr="007D7C41">
              <w:rPr>
                <w:rFonts w:ascii="Arial Narrow Bold" w:hAnsi="Arial Narrow Bold" w:cs="Arial Narrow Bold"/>
                <w:color w:val="000000"/>
                <w:sz w:val="18"/>
                <w:szCs w:val="18"/>
                <w:lang w:val="en-AU"/>
              </w:rPr>
              <w:t>Oct2014 - Sept2015</w:t>
            </w:r>
          </w:p>
        </w:tc>
      </w:tr>
      <w:tr w:rsidR="00E0414B" w:rsidRPr="003A77F5" w14:paraId="5F230917" w14:textId="77777777" w:rsidTr="0052751F">
        <w:trPr>
          <w:tblHeader/>
        </w:trPr>
        <w:tc>
          <w:tcPr>
            <w:tcW w:w="150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909" w14:textId="77777777" w:rsidR="008645FA" w:rsidRPr="007D7C41" w:rsidRDefault="008645FA" w:rsidP="00101B90">
            <w:pPr>
              <w:spacing w:before="0" w:after="0"/>
              <w:ind w:right="20"/>
              <w:jc w:val="center"/>
              <w:rPr>
                <w:sz w:val="18"/>
                <w:szCs w:val="18"/>
                <w:lang w:val="en-AU"/>
              </w:rPr>
            </w:pPr>
            <w:r w:rsidRPr="007D7C41">
              <w:rPr>
                <w:rFonts w:ascii="Arial Narrow Bold" w:hAnsi="Arial Narrow Bold" w:cs="Arial Narrow Bold"/>
                <w:color w:val="000000"/>
                <w:sz w:val="18"/>
                <w:szCs w:val="18"/>
                <w:lang w:val="en-AU"/>
              </w:rPr>
              <w:t>Region</w:t>
            </w:r>
          </w:p>
        </w:tc>
        <w:tc>
          <w:tcPr>
            <w:tcW w:w="1301"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90A" w14:textId="77777777" w:rsidR="008645FA" w:rsidRPr="007D7C41" w:rsidRDefault="008645FA" w:rsidP="00101B90">
            <w:pPr>
              <w:spacing w:before="0" w:after="0"/>
              <w:ind w:right="20"/>
              <w:jc w:val="center"/>
              <w:rPr>
                <w:sz w:val="18"/>
                <w:szCs w:val="18"/>
                <w:lang w:val="en-AU"/>
              </w:rPr>
            </w:pPr>
            <w:r w:rsidRPr="007D7C41">
              <w:rPr>
                <w:rFonts w:ascii="Arial Narrow Bold" w:hAnsi="Arial Narrow Bold" w:cs="Arial Narrow Bold"/>
                <w:color w:val="000000"/>
                <w:sz w:val="18"/>
                <w:szCs w:val="18"/>
                <w:lang w:val="en-AU"/>
              </w:rPr>
              <w:t>Reef</w:t>
            </w:r>
          </w:p>
        </w:tc>
        <w:tc>
          <w:tcPr>
            <w:tcW w:w="463"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90B" w14:textId="77777777" w:rsidR="008645FA" w:rsidRPr="007D7C41" w:rsidRDefault="008645FA" w:rsidP="00101B90">
            <w:pPr>
              <w:spacing w:before="0" w:after="0"/>
              <w:ind w:right="20"/>
              <w:jc w:val="center"/>
              <w:rPr>
                <w:sz w:val="18"/>
                <w:szCs w:val="18"/>
                <w:lang w:val="en-AU"/>
              </w:rPr>
            </w:pPr>
            <w:r w:rsidRPr="007D7C41">
              <w:rPr>
                <w:rFonts w:ascii="Arial Narrow Bold" w:hAnsi="Arial Narrow Bold" w:cs="Arial Narrow Bold"/>
                <w:color w:val="000000"/>
                <w:sz w:val="18"/>
                <w:szCs w:val="18"/>
                <w:lang w:val="en-AU"/>
              </w:rPr>
              <w:t>N</w:t>
            </w:r>
          </w:p>
        </w:tc>
        <w:tc>
          <w:tcPr>
            <w:tcW w:w="1129"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90C" w14:textId="77777777" w:rsidR="008645FA" w:rsidRPr="007D7C41" w:rsidRDefault="008645FA" w:rsidP="00101B90">
            <w:pPr>
              <w:spacing w:before="0" w:after="0"/>
              <w:ind w:right="20"/>
              <w:jc w:val="center"/>
              <w:rPr>
                <w:sz w:val="18"/>
                <w:szCs w:val="18"/>
                <w:lang w:val="en-AU"/>
              </w:rPr>
            </w:pPr>
            <w:r w:rsidRPr="007D7C41">
              <w:rPr>
                <w:rFonts w:ascii="Arial Narrow Bold" w:hAnsi="Arial Narrow Bold" w:cs="Arial Narrow Bold"/>
                <w:color w:val="000000"/>
                <w:sz w:val="18"/>
                <w:szCs w:val="18"/>
                <w:lang w:val="en-AU"/>
              </w:rPr>
              <w:t>Annual Mean</w:t>
            </w:r>
          </w:p>
        </w:tc>
        <w:tc>
          <w:tcPr>
            <w:tcW w:w="50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90D" w14:textId="77777777" w:rsidR="008645FA" w:rsidRPr="007D7C41" w:rsidRDefault="008645FA" w:rsidP="00101B90">
            <w:pPr>
              <w:spacing w:before="0" w:after="0"/>
              <w:ind w:right="20"/>
              <w:jc w:val="center"/>
              <w:rPr>
                <w:sz w:val="18"/>
                <w:szCs w:val="18"/>
                <w:lang w:val="en-AU"/>
              </w:rPr>
            </w:pPr>
            <w:r w:rsidRPr="007D7C41">
              <w:rPr>
                <w:rFonts w:ascii="Arial Narrow Bold" w:hAnsi="Arial Narrow Bold" w:cs="Arial Narrow Bold"/>
                <w:color w:val="000000"/>
                <w:sz w:val="18"/>
                <w:szCs w:val="18"/>
                <w:lang w:val="en-AU"/>
              </w:rPr>
              <w:t>SE</w:t>
            </w:r>
          </w:p>
        </w:tc>
        <w:tc>
          <w:tcPr>
            <w:tcW w:w="1252"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90E" w14:textId="77777777" w:rsidR="008645FA" w:rsidRPr="007D7C41" w:rsidRDefault="008645FA" w:rsidP="00101B90">
            <w:pPr>
              <w:spacing w:before="0" w:after="0"/>
              <w:ind w:right="20"/>
              <w:jc w:val="center"/>
              <w:rPr>
                <w:sz w:val="18"/>
                <w:szCs w:val="18"/>
                <w:lang w:val="en-AU"/>
              </w:rPr>
            </w:pPr>
            <w:r w:rsidRPr="007D7C41">
              <w:rPr>
                <w:rFonts w:ascii="Arial Narrow Bold" w:hAnsi="Arial Narrow Bold" w:cs="Arial Narrow Bold"/>
                <w:color w:val="000000"/>
                <w:sz w:val="18"/>
                <w:szCs w:val="18"/>
                <w:lang w:val="en-AU"/>
              </w:rPr>
              <w:t>Annual Median</w:t>
            </w:r>
          </w:p>
        </w:tc>
        <w:tc>
          <w:tcPr>
            <w:tcW w:w="1111"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90F" w14:textId="77777777" w:rsidR="008645FA" w:rsidRPr="007D7C41" w:rsidRDefault="008645FA" w:rsidP="00101B90">
            <w:pPr>
              <w:spacing w:before="0" w:after="0"/>
              <w:ind w:right="20"/>
              <w:jc w:val="center"/>
              <w:rPr>
                <w:sz w:val="18"/>
                <w:szCs w:val="18"/>
                <w:lang w:val="en-AU"/>
              </w:rPr>
            </w:pPr>
            <w:r w:rsidRPr="007D7C41">
              <w:rPr>
                <w:rFonts w:ascii="Arial Narrow Bold" w:hAnsi="Arial Narrow Bold" w:cs="Arial Narrow Bold"/>
                <w:color w:val="000000"/>
                <w:sz w:val="18"/>
                <w:szCs w:val="18"/>
                <w:lang w:val="en-AU"/>
              </w:rPr>
              <w:t>%d &gt; Trigger</w:t>
            </w:r>
          </w:p>
        </w:tc>
        <w:tc>
          <w:tcPr>
            <w:tcW w:w="122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910" w14:textId="77777777" w:rsidR="008645FA" w:rsidRPr="007D7C41" w:rsidRDefault="008645FA" w:rsidP="00101B90">
            <w:pPr>
              <w:spacing w:before="0" w:after="0"/>
              <w:ind w:right="20"/>
              <w:jc w:val="center"/>
              <w:rPr>
                <w:sz w:val="18"/>
                <w:szCs w:val="18"/>
                <w:lang w:val="en-AU"/>
              </w:rPr>
            </w:pPr>
            <w:r w:rsidRPr="007D7C41">
              <w:rPr>
                <w:rFonts w:ascii="Arial Narrow Bold" w:hAnsi="Arial Narrow Bold" w:cs="Arial Narrow Bold"/>
                <w:color w:val="000000"/>
                <w:sz w:val="18"/>
                <w:szCs w:val="18"/>
                <w:lang w:val="en-AU"/>
              </w:rPr>
              <w:t>%d &gt; 5 Trigger</w:t>
            </w:r>
          </w:p>
        </w:tc>
        <w:tc>
          <w:tcPr>
            <w:tcW w:w="463"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911" w14:textId="77777777" w:rsidR="008645FA" w:rsidRPr="007D7C41" w:rsidRDefault="008645FA" w:rsidP="00101B90">
            <w:pPr>
              <w:spacing w:before="0" w:after="0"/>
              <w:ind w:right="20"/>
              <w:jc w:val="center"/>
              <w:rPr>
                <w:sz w:val="18"/>
                <w:szCs w:val="18"/>
                <w:lang w:val="en-AU"/>
              </w:rPr>
            </w:pPr>
            <w:r w:rsidRPr="007D7C41">
              <w:rPr>
                <w:rFonts w:ascii="Arial Narrow Bold" w:hAnsi="Arial Narrow Bold" w:cs="Arial Narrow Bold"/>
                <w:color w:val="000000"/>
                <w:sz w:val="18"/>
                <w:szCs w:val="18"/>
                <w:lang w:val="en-AU"/>
              </w:rPr>
              <w:t>N</w:t>
            </w:r>
          </w:p>
        </w:tc>
        <w:tc>
          <w:tcPr>
            <w:tcW w:w="1129"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912" w14:textId="77777777" w:rsidR="008645FA" w:rsidRPr="007D7C41" w:rsidRDefault="008645FA" w:rsidP="00101B90">
            <w:pPr>
              <w:spacing w:before="0" w:after="0"/>
              <w:ind w:right="20"/>
              <w:jc w:val="center"/>
              <w:rPr>
                <w:sz w:val="18"/>
                <w:szCs w:val="18"/>
                <w:lang w:val="en-AU"/>
              </w:rPr>
            </w:pPr>
            <w:r w:rsidRPr="007D7C41">
              <w:rPr>
                <w:rFonts w:ascii="Arial Narrow Bold" w:hAnsi="Arial Narrow Bold" w:cs="Arial Narrow Bold"/>
                <w:color w:val="000000"/>
                <w:sz w:val="18"/>
                <w:szCs w:val="18"/>
                <w:lang w:val="en-AU"/>
              </w:rPr>
              <w:t>Annual Mean</w:t>
            </w:r>
          </w:p>
        </w:tc>
        <w:tc>
          <w:tcPr>
            <w:tcW w:w="50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913" w14:textId="77777777" w:rsidR="008645FA" w:rsidRPr="007D7C41" w:rsidRDefault="008645FA" w:rsidP="00101B90">
            <w:pPr>
              <w:spacing w:before="0" w:after="0"/>
              <w:ind w:right="20"/>
              <w:jc w:val="center"/>
              <w:rPr>
                <w:sz w:val="18"/>
                <w:szCs w:val="18"/>
                <w:lang w:val="en-AU"/>
              </w:rPr>
            </w:pPr>
            <w:r w:rsidRPr="007D7C41">
              <w:rPr>
                <w:rFonts w:ascii="Arial Narrow Bold" w:hAnsi="Arial Narrow Bold" w:cs="Arial Narrow Bold"/>
                <w:color w:val="000000"/>
                <w:sz w:val="18"/>
                <w:szCs w:val="18"/>
                <w:lang w:val="en-AU"/>
              </w:rPr>
              <w:t>SE</w:t>
            </w:r>
          </w:p>
        </w:tc>
        <w:tc>
          <w:tcPr>
            <w:tcW w:w="1252"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914" w14:textId="77777777" w:rsidR="008645FA" w:rsidRPr="007D7C41" w:rsidRDefault="008645FA" w:rsidP="00101B90">
            <w:pPr>
              <w:spacing w:before="0" w:after="0"/>
              <w:ind w:right="20"/>
              <w:jc w:val="center"/>
              <w:rPr>
                <w:sz w:val="18"/>
                <w:szCs w:val="18"/>
                <w:lang w:val="en-AU"/>
              </w:rPr>
            </w:pPr>
            <w:r w:rsidRPr="007D7C41">
              <w:rPr>
                <w:rFonts w:ascii="Arial Narrow Bold" w:hAnsi="Arial Narrow Bold" w:cs="Arial Narrow Bold"/>
                <w:color w:val="000000"/>
                <w:sz w:val="18"/>
                <w:szCs w:val="18"/>
                <w:lang w:val="en-AU"/>
              </w:rPr>
              <w:t>Annual Median</w:t>
            </w:r>
          </w:p>
        </w:tc>
        <w:tc>
          <w:tcPr>
            <w:tcW w:w="1111"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915" w14:textId="77777777" w:rsidR="008645FA" w:rsidRPr="007D7C41" w:rsidRDefault="008645FA" w:rsidP="00101B90">
            <w:pPr>
              <w:spacing w:before="0" w:after="0"/>
              <w:ind w:right="20"/>
              <w:jc w:val="center"/>
              <w:rPr>
                <w:sz w:val="18"/>
                <w:szCs w:val="18"/>
                <w:lang w:val="en-AU"/>
              </w:rPr>
            </w:pPr>
            <w:r w:rsidRPr="007D7C41">
              <w:rPr>
                <w:rFonts w:ascii="Arial Narrow Bold" w:hAnsi="Arial Narrow Bold" w:cs="Arial Narrow Bold"/>
                <w:color w:val="000000"/>
                <w:sz w:val="18"/>
                <w:szCs w:val="18"/>
                <w:lang w:val="en-AU"/>
              </w:rPr>
              <w:t>%d &gt; Trigger</w:t>
            </w:r>
          </w:p>
        </w:tc>
        <w:tc>
          <w:tcPr>
            <w:tcW w:w="1226"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0916" w14:textId="77777777" w:rsidR="008645FA" w:rsidRPr="007D7C41" w:rsidRDefault="008645FA" w:rsidP="00101B90">
            <w:pPr>
              <w:spacing w:before="0" w:after="0"/>
              <w:ind w:right="20"/>
              <w:jc w:val="center"/>
              <w:rPr>
                <w:sz w:val="18"/>
                <w:szCs w:val="18"/>
                <w:lang w:val="en-AU"/>
              </w:rPr>
            </w:pPr>
            <w:r w:rsidRPr="007D7C41">
              <w:rPr>
                <w:rFonts w:ascii="Arial Narrow Bold" w:hAnsi="Arial Narrow Bold" w:cs="Arial Narrow Bold"/>
                <w:color w:val="000000"/>
                <w:sz w:val="18"/>
                <w:szCs w:val="18"/>
                <w:lang w:val="en-AU"/>
              </w:rPr>
              <w:t>%d &gt; 5 Trigger</w:t>
            </w:r>
          </w:p>
        </w:tc>
      </w:tr>
      <w:tr w:rsidR="00E0414B" w:rsidRPr="003A77F5" w14:paraId="5F230926" w14:textId="77777777" w:rsidTr="0052751F">
        <w:tc>
          <w:tcPr>
            <w:tcW w:w="150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0918"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Wet Tropics</w:t>
            </w:r>
          </w:p>
        </w:tc>
        <w:tc>
          <w:tcPr>
            <w:tcW w:w="13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19"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Snapper North</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1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127</w:t>
            </w:r>
          </w:p>
        </w:tc>
        <w:tc>
          <w:tcPr>
            <w:tcW w:w="112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91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1.98</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1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0.28</w:t>
            </w:r>
          </w:p>
        </w:tc>
        <w:tc>
          <w:tcPr>
            <w:tcW w:w="1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1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1.11</w:t>
            </w:r>
          </w:p>
        </w:tc>
        <w:tc>
          <w:tcPr>
            <w:tcW w:w="11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1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29</w:t>
            </w:r>
          </w:p>
        </w:tc>
        <w:tc>
          <w:tcPr>
            <w:tcW w:w="12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1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6</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2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0</w:t>
            </w:r>
          </w:p>
        </w:tc>
        <w:tc>
          <w:tcPr>
            <w:tcW w:w="11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2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NaN</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2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1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2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11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2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NaN</w:t>
            </w:r>
          </w:p>
        </w:tc>
        <w:tc>
          <w:tcPr>
            <w:tcW w:w="12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2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NaN</w:t>
            </w:r>
          </w:p>
        </w:tc>
      </w:tr>
      <w:tr w:rsidR="00E0414B" w:rsidRPr="003A77F5" w14:paraId="5F230935" w14:textId="77777777" w:rsidTr="0052751F">
        <w:tc>
          <w:tcPr>
            <w:tcW w:w="15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927" w14:textId="77777777" w:rsidR="008645FA" w:rsidRPr="007D7C41" w:rsidRDefault="008645FA" w:rsidP="00101B90">
            <w:pPr>
              <w:spacing w:before="0" w:after="0"/>
              <w:rPr>
                <w:sz w:val="18"/>
                <w:szCs w:val="18"/>
                <w:lang w:val="en-AU"/>
              </w:rPr>
            </w:pPr>
          </w:p>
        </w:tc>
        <w:tc>
          <w:tcPr>
            <w:tcW w:w="13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28"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Fitzroy West</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2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348</w:t>
            </w:r>
          </w:p>
        </w:tc>
        <w:tc>
          <w:tcPr>
            <w:tcW w:w="11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2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1.13</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2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0.09</w:t>
            </w:r>
          </w:p>
        </w:tc>
        <w:tc>
          <w:tcPr>
            <w:tcW w:w="1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2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0.74</w:t>
            </w:r>
          </w:p>
        </w:tc>
        <w:tc>
          <w:tcPr>
            <w:tcW w:w="11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2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13</w:t>
            </w:r>
          </w:p>
        </w:tc>
        <w:tc>
          <w:tcPr>
            <w:tcW w:w="12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2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2</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2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11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3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3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1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3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11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3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12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3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r>
      <w:tr w:rsidR="00E0414B" w:rsidRPr="003A77F5" w14:paraId="5F230944" w14:textId="77777777" w:rsidTr="0052751F">
        <w:tc>
          <w:tcPr>
            <w:tcW w:w="15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936" w14:textId="77777777" w:rsidR="008645FA" w:rsidRPr="007D7C41" w:rsidRDefault="008645FA" w:rsidP="00101B90">
            <w:pPr>
              <w:spacing w:before="0" w:after="0"/>
              <w:rPr>
                <w:sz w:val="18"/>
                <w:szCs w:val="18"/>
                <w:lang w:val="en-AU"/>
              </w:rPr>
            </w:pPr>
          </w:p>
        </w:tc>
        <w:tc>
          <w:tcPr>
            <w:tcW w:w="13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37"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High West</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3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213</w:t>
            </w:r>
          </w:p>
        </w:tc>
        <w:tc>
          <w:tcPr>
            <w:tcW w:w="11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3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1.27</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3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0.14</w:t>
            </w:r>
          </w:p>
        </w:tc>
        <w:tc>
          <w:tcPr>
            <w:tcW w:w="1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3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0.77</w:t>
            </w:r>
          </w:p>
        </w:tc>
        <w:tc>
          <w:tcPr>
            <w:tcW w:w="11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3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16</w:t>
            </w:r>
          </w:p>
        </w:tc>
        <w:tc>
          <w:tcPr>
            <w:tcW w:w="12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3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3</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3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169</w:t>
            </w:r>
          </w:p>
        </w:tc>
        <w:tc>
          <w:tcPr>
            <w:tcW w:w="112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93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1.74</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4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0.12</w:t>
            </w:r>
          </w:p>
        </w:tc>
        <w:tc>
          <w:tcPr>
            <w:tcW w:w="1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4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1.16</w:t>
            </w:r>
          </w:p>
        </w:tc>
        <w:tc>
          <w:tcPr>
            <w:tcW w:w="11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4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34</w:t>
            </w:r>
          </w:p>
        </w:tc>
        <w:tc>
          <w:tcPr>
            <w:tcW w:w="12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4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6</w:t>
            </w:r>
          </w:p>
        </w:tc>
      </w:tr>
      <w:tr w:rsidR="00E0414B" w:rsidRPr="003A77F5" w14:paraId="5F230953" w14:textId="77777777" w:rsidTr="0052751F">
        <w:tc>
          <w:tcPr>
            <w:tcW w:w="15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945" w14:textId="77777777" w:rsidR="008645FA" w:rsidRPr="007D7C41" w:rsidRDefault="008645FA" w:rsidP="00101B90">
            <w:pPr>
              <w:spacing w:before="0" w:after="0"/>
              <w:rPr>
                <w:sz w:val="18"/>
                <w:szCs w:val="18"/>
                <w:lang w:val="en-AU"/>
              </w:rPr>
            </w:pPr>
          </w:p>
        </w:tc>
        <w:tc>
          <w:tcPr>
            <w:tcW w:w="13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46"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Franklands West</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4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358</w:t>
            </w:r>
          </w:p>
        </w:tc>
        <w:tc>
          <w:tcPr>
            <w:tcW w:w="11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4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0.97</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4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0.07</w:t>
            </w:r>
          </w:p>
        </w:tc>
        <w:tc>
          <w:tcPr>
            <w:tcW w:w="1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4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0.61</w:t>
            </w:r>
          </w:p>
        </w:tc>
        <w:tc>
          <w:tcPr>
            <w:tcW w:w="11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4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10</w:t>
            </w:r>
          </w:p>
        </w:tc>
        <w:tc>
          <w:tcPr>
            <w:tcW w:w="12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4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1</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4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11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4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4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1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5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11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5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12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5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r>
      <w:tr w:rsidR="00E0414B" w:rsidRPr="003A77F5" w14:paraId="5F230962" w14:textId="77777777" w:rsidTr="0052751F">
        <w:tc>
          <w:tcPr>
            <w:tcW w:w="15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954" w14:textId="77777777" w:rsidR="008645FA" w:rsidRPr="007D7C41" w:rsidRDefault="008645FA" w:rsidP="00101B90">
            <w:pPr>
              <w:spacing w:before="0" w:after="0"/>
              <w:rPr>
                <w:sz w:val="18"/>
                <w:szCs w:val="18"/>
                <w:lang w:val="en-AU"/>
              </w:rPr>
            </w:pPr>
          </w:p>
        </w:tc>
        <w:tc>
          <w:tcPr>
            <w:tcW w:w="13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55"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Dunk North</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5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357</w:t>
            </w:r>
          </w:p>
        </w:tc>
        <w:tc>
          <w:tcPr>
            <w:tcW w:w="112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95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3.94</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5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0.26</w:t>
            </w:r>
          </w:p>
        </w:tc>
        <w:tc>
          <w:tcPr>
            <w:tcW w:w="1252"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95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1.76</w:t>
            </w:r>
          </w:p>
        </w:tc>
        <w:tc>
          <w:tcPr>
            <w:tcW w:w="11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5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56</w:t>
            </w:r>
          </w:p>
        </w:tc>
        <w:tc>
          <w:tcPr>
            <w:tcW w:w="12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5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23</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5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210</w:t>
            </w:r>
          </w:p>
        </w:tc>
        <w:tc>
          <w:tcPr>
            <w:tcW w:w="112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95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2.93</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5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0.26</w:t>
            </w:r>
          </w:p>
        </w:tc>
        <w:tc>
          <w:tcPr>
            <w:tcW w:w="1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5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1.24</w:t>
            </w:r>
          </w:p>
        </w:tc>
        <w:tc>
          <w:tcPr>
            <w:tcW w:w="11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6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44</w:t>
            </w:r>
          </w:p>
        </w:tc>
        <w:tc>
          <w:tcPr>
            <w:tcW w:w="12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6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18</w:t>
            </w:r>
          </w:p>
        </w:tc>
      </w:tr>
      <w:tr w:rsidR="00E0414B" w:rsidRPr="003A77F5" w14:paraId="5F230971" w14:textId="77777777" w:rsidTr="0052751F">
        <w:tc>
          <w:tcPr>
            <w:tcW w:w="150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0963"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Burdekin</w:t>
            </w:r>
          </w:p>
        </w:tc>
        <w:tc>
          <w:tcPr>
            <w:tcW w:w="13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64"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Palms West</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6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356</w:t>
            </w:r>
          </w:p>
        </w:tc>
        <w:tc>
          <w:tcPr>
            <w:tcW w:w="11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6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0.73</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6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0.04</w:t>
            </w:r>
          </w:p>
        </w:tc>
        <w:tc>
          <w:tcPr>
            <w:tcW w:w="1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6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0.59</w:t>
            </w:r>
          </w:p>
        </w:tc>
        <w:tc>
          <w:tcPr>
            <w:tcW w:w="11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6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4</w:t>
            </w:r>
          </w:p>
        </w:tc>
        <w:tc>
          <w:tcPr>
            <w:tcW w:w="12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6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1</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6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220</w:t>
            </w:r>
          </w:p>
        </w:tc>
        <w:tc>
          <w:tcPr>
            <w:tcW w:w="11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6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0.78</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6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0.02</w:t>
            </w:r>
          </w:p>
        </w:tc>
        <w:tc>
          <w:tcPr>
            <w:tcW w:w="1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6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0.72</w:t>
            </w:r>
          </w:p>
        </w:tc>
        <w:tc>
          <w:tcPr>
            <w:tcW w:w="11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6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2</w:t>
            </w:r>
          </w:p>
        </w:tc>
        <w:tc>
          <w:tcPr>
            <w:tcW w:w="12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7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0</w:t>
            </w:r>
          </w:p>
        </w:tc>
      </w:tr>
      <w:tr w:rsidR="00E0414B" w:rsidRPr="003A77F5" w14:paraId="5F230980" w14:textId="77777777" w:rsidTr="0052751F">
        <w:tc>
          <w:tcPr>
            <w:tcW w:w="15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972" w14:textId="77777777" w:rsidR="008645FA" w:rsidRPr="007D7C41" w:rsidRDefault="008645FA" w:rsidP="00101B90">
            <w:pPr>
              <w:spacing w:before="0" w:after="0"/>
              <w:rPr>
                <w:sz w:val="18"/>
                <w:szCs w:val="18"/>
                <w:lang w:val="en-AU"/>
              </w:rPr>
            </w:pPr>
          </w:p>
        </w:tc>
        <w:tc>
          <w:tcPr>
            <w:tcW w:w="13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73"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Pandora</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7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278</w:t>
            </w:r>
          </w:p>
        </w:tc>
        <w:tc>
          <w:tcPr>
            <w:tcW w:w="112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97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1.72</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7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0.10</w:t>
            </w:r>
          </w:p>
        </w:tc>
        <w:tc>
          <w:tcPr>
            <w:tcW w:w="1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7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1.14</w:t>
            </w:r>
          </w:p>
        </w:tc>
        <w:tc>
          <w:tcPr>
            <w:tcW w:w="11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7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31</w:t>
            </w:r>
          </w:p>
        </w:tc>
        <w:tc>
          <w:tcPr>
            <w:tcW w:w="12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7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6</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7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226</w:t>
            </w:r>
          </w:p>
        </w:tc>
        <w:tc>
          <w:tcPr>
            <w:tcW w:w="11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7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1.44</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7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0.08</w:t>
            </w:r>
          </w:p>
        </w:tc>
        <w:tc>
          <w:tcPr>
            <w:tcW w:w="1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7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1.08</w:t>
            </w:r>
          </w:p>
        </w:tc>
        <w:tc>
          <w:tcPr>
            <w:tcW w:w="11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7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25</w:t>
            </w:r>
          </w:p>
        </w:tc>
        <w:tc>
          <w:tcPr>
            <w:tcW w:w="12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7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2</w:t>
            </w:r>
          </w:p>
        </w:tc>
      </w:tr>
      <w:tr w:rsidR="00E0414B" w:rsidRPr="003A77F5" w14:paraId="5F23098F" w14:textId="77777777" w:rsidTr="0052751F">
        <w:tc>
          <w:tcPr>
            <w:tcW w:w="15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981" w14:textId="77777777" w:rsidR="008645FA" w:rsidRPr="007D7C41" w:rsidRDefault="008645FA" w:rsidP="00101B90">
            <w:pPr>
              <w:spacing w:before="0" w:after="0"/>
              <w:rPr>
                <w:sz w:val="18"/>
                <w:szCs w:val="18"/>
                <w:lang w:val="en-AU"/>
              </w:rPr>
            </w:pPr>
          </w:p>
        </w:tc>
        <w:tc>
          <w:tcPr>
            <w:tcW w:w="13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82"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Magnetic</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8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355</w:t>
            </w:r>
          </w:p>
        </w:tc>
        <w:tc>
          <w:tcPr>
            <w:tcW w:w="112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98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2.88</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8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0.13</w:t>
            </w:r>
          </w:p>
        </w:tc>
        <w:tc>
          <w:tcPr>
            <w:tcW w:w="1252"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98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2.05</w:t>
            </w:r>
          </w:p>
        </w:tc>
        <w:tc>
          <w:tcPr>
            <w:tcW w:w="11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8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68</w:t>
            </w:r>
          </w:p>
        </w:tc>
        <w:tc>
          <w:tcPr>
            <w:tcW w:w="12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8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14</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8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219</w:t>
            </w:r>
          </w:p>
        </w:tc>
        <w:tc>
          <w:tcPr>
            <w:tcW w:w="112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98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2.13</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8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0.12</w:t>
            </w:r>
          </w:p>
        </w:tc>
        <w:tc>
          <w:tcPr>
            <w:tcW w:w="1252"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98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1.56</w:t>
            </w:r>
          </w:p>
        </w:tc>
        <w:tc>
          <w:tcPr>
            <w:tcW w:w="11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8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55</w:t>
            </w:r>
          </w:p>
        </w:tc>
        <w:tc>
          <w:tcPr>
            <w:tcW w:w="12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8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7</w:t>
            </w:r>
          </w:p>
        </w:tc>
      </w:tr>
      <w:tr w:rsidR="00E0414B" w:rsidRPr="003A77F5" w14:paraId="5F23099E" w14:textId="77777777" w:rsidTr="0052751F">
        <w:tc>
          <w:tcPr>
            <w:tcW w:w="150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0990"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Mackay Whitsunday</w:t>
            </w:r>
          </w:p>
        </w:tc>
        <w:tc>
          <w:tcPr>
            <w:tcW w:w="13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91"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Double Cone</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9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281</w:t>
            </w:r>
          </w:p>
        </w:tc>
        <w:tc>
          <w:tcPr>
            <w:tcW w:w="112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99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1.96</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9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0.11</w:t>
            </w:r>
          </w:p>
        </w:tc>
        <w:tc>
          <w:tcPr>
            <w:tcW w:w="1252"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99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1.51</w:t>
            </w:r>
          </w:p>
        </w:tc>
        <w:tc>
          <w:tcPr>
            <w:tcW w:w="11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9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50</w:t>
            </w:r>
          </w:p>
        </w:tc>
        <w:tc>
          <w:tcPr>
            <w:tcW w:w="12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9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4</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9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252</w:t>
            </w:r>
          </w:p>
        </w:tc>
        <w:tc>
          <w:tcPr>
            <w:tcW w:w="112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99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1.52</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9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0.14</w:t>
            </w:r>
          </w:p>
        </w:tc>
        <w:tc>
          <w:tcPr>
            <w:tcW w:w="1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9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1.08</w:t>
            </w:r>
          </w:p>
        </w:tc>
        <w:tc>
          <w:tcPr>
            <w:tcW w:w="11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9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24</w:t>
            </w:r>
          </w:p>
        </w:tc>
        <w:tc>
          <w:tcPr>
            <w:tcW w:w="12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9D"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2</w:t>
            </w:r>
          </w:p>
        </w:tc>
      </w:tr>
      <w:tr w:rsidR="00E0414B" w:rsidRPr="003A77F5" w14:paraId="5F2309AD" w14:textId="77777777" w:rsidTr="0052751F">
        <w:tc>
          <w:tcPr>
            <w:tcW w:w="15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99F" w14:textId="77777777" w:rsidR="008645FA" w:rsidRPr="007D7C41" w:rsidRDefault="008645FA" w:rsidP="00101B90">
            <w:pPr>
              <w:spacing w:before="0" w:after="0"/>
              <w:rPr>
                <w:sz w:val="18"/>
                <w:szCs w:val="18"/>
                <w:lang w:val="en-AU"/>
              </w:rPr>
            </w:pPr>
          </w:p>
        </w:tc>
        <w:tc>
          <w:tcPr>
            <w:tcW w:w="13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A0"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Daydream</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A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353</w:t>
            </w:r>
          </w:p>
        </w:tc>
        <w:tc>
          <w:tcPr>
            <w:tcW w:w="112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9A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2.57</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A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0.14</w:t>
            </w:r>
          </w:p>
        </w:tc>
        <w:tc>
          <w:tcPr>
            <w:tcW w:w="1252"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9A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1.81</w:t>
            </w:r>
          </w:p>
        </w:tc>
        <w:tc>
          <w:tcPr>
            <w:tcW w:w="11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A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60</w:t>
            </w:r>
          </w:p>
        </w:tc>
        <w:tc>
          <w:tcPr>
            <w:tcW w:w="12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A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8</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A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11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A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A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1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A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11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A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12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AC"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r>
      <w:tr w:rsidR="00E0414B" w:rsidRPr="003A77F5" w14:paraId="5F2309BC" w14:textId="77777777" w:rsidTr="0052751F">
        <w:tc>
          <w:tcPr>
            <w:tcW w:w="15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9AE" w14:textId="77777777" w:rsidR="008645FA" w:rsidRPr="007D7C41" w:rsidRDefault="008645FA" w:rsidP="00101B90">
            <w:pPr>
              <w:spacing w:before="0" w:after="0"/>
              <w:rPr>
                <w:sz w:val="18"/>
                <w:szCs w:val="18"/>
                <w:lang w:val="en-AU"/>
              </w:rPr>
            </w:pPr>
          </w:p>
        </w:tc>
        <w:tc>
          <w:tcPr>
            <w:tcW w:w="13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AF"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Seaforth</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B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11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B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B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1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B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11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B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c>
          <w:tcPr>
            <w:tcW w:w="12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B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B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126</w:t>
            </w:r>
          </w:p>
        </w:tc>
        <w:tc>
          <w:tcPr>
            <w:tcW w:w="112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9B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1.94</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B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0.08</w:t>
            </w:r>
          </w:p>
        </w:tc>
        <w:tc>
          <w:tcPr>
            <w:tcW w:w="1252"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9B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1.67</w:t>
            </w:r>
          </w:p>
        </w:tc>
        <w:tc>
          <w:tcPr>
            <w:tcW w:w="11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B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58</w:t>
            </w:r>
          </w:p>
        </w:tc>
        <w:tc>
          <w:tcPr>
            <w:tcW w:w="12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BB"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0</w:t>
            </w:r>
          </w:p>
        </w:tc>
      </w:tr>
      <w:tr w:rsidR="00E0414B" w:rsidRPr="003A77F5" w14:paraId="5F2309CB" w14:textId="77777777" w:rsidTr="0052751F">
        <w:tc>
          <w:tcPr>
            <w:tcW w:w="15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9BD" w14:textId="77777777" w:rsidR="008645FA" w:rsidRPr="007D7C41" w:rsidRDefault="008645FA" w:rsidP="00101B90">
            <w:pPr>
              <w:spacing w:before="0" w:after="0"/>
              <w:rPr>
                <w:sz w:val="18"/>
                <w:szCs w:val="18"/>
                <w:lang w:val="en-AU"/>
              </w:rPr>
            </w:pPr>
          </w:p>
        </w:tc>
        <w:tc>
          <w:tcPr>
            <w:tcW w:w="13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BE"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Pine</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B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353</w:t>
            </w:r>
          </w:p>
        </w:tc>
        <w:tc>
          <w:tcPr>
            <w:tcW w:w="112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9C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3.84</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C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0.25</w:t>
            </w:r>
          </w:p>
        </w:tc>
        <w:tc>
          <w:tcPr>
            <w:tcW w:w="1252"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9C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2.61</w:t>
            </w:r>
          </w:p>
        </w:tc>
        <w:tc>
          <w:tcPr>
            <w:tcW w:w="11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C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76</w:t>
            </w:r>
          </w:p>
        </w:tc>
        <w:tc>
          <w:tcPr>
            <w:tcW w:w="12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C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23</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C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127</w:t>
            </w:r>
          </w:p>
        </w:tc>
        <w:tc>
          <w:tcPr>
            <w:tcW w:w="112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9C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2.38</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C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0.10</w:t>
            </w:r>
          </w:p>
        </w:tc>
        <w:tc>
          <w:tcPr>
            <w:tcW w:w="1252"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9C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2.11</w:t>
            </w:r>
          </w:p>
        </w:tc>
        <w:tc>
          <w:tcPr>
            <w:tcW w:w="11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C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76</w:t>
            </w:r>
          </w:p>
        </w:tc>
        <w:tc>
          <w:tcPr>
            <w:tcW w:w="12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CA"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2</w:t>
            </w:r>
          </w:p>
        </w:tc>
      </w:tr>
      <w:tr w:rsidR="00E0414B" w:rsidRPr="003A77F5" w14:paraId="5F2309DA" w14:textId="77777777" w:rsidTr="0052751F">
        <w:tc>
          <w:tcPr>
            <w:tcW w:w="150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09CC" w14:textId="77777777" w:rsidR="008645FA" w:rsidRPr="007D7C41" w:rsidRDefault="008645FA" w:rsidP="00101B90">
            <w:pPr>
              <w:spacing w:before="0" w:after="0"/>
              <w:rPr>
                <w:sz w:val="18"/>
                <w:szCs w:val="18"/>
                <w:lang w:val="en-AU"/>
              </w:rPr>
            </w:pPr>
          </w:p>
        </w:tc>
        <w:tc>
          <w:tcPr>
            <w:tcW w:w="13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CD" w14:textId="77777777" w:rsidR="008645FA" w:rsidRPr="007D7C41" w:rsidRDefault="008645FA" w:rsidP="00101B90">
            <w:pPr>
              <w:spacing w:before="0" w:after="0"/>
              <w:rPr>
                <w:sz w:val="18"/>
                <w:szCs w:val="18"/>
                <w:lang w:val="en-AU"/>
              </w:rPr>
            </w:pPr>
            <w:r w:rsidRPr="007D7C41">
              <w:rPr>
                <w:rFonts w:ascii="Arial Narrow" w:hAnsi="Arial Narrow" w:cs="Arial Narrow"/>
                <w:color w:val="000000"/>
                <w:sz w:val="18"/>
                <w:szCs w:val="18"/>
                <w:lang w:val="en-AU"/>
              </w:rPr>
              <w:t>Repulse</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CE"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11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CF"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D0"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1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D1"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NA</w:t>
            </w:r>
          </w:p>
        </w:tc>
        <w:tc>
          <w:tcPr>
            <w:tcW w:w="11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D2"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c>
          <w:tcPr>
            <w:tcW w:w="12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D3"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NA</w:t>
            </w:r>
          </w:p>
        </w:tc>
        <w:tc>
          <w:tcPr>
            <w:tcW w:w="46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D4"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128</w:t>
            </w:r>
          </w:p>
        </w:tc>
        <w:tc>
          <w:tcPr>
            <w:tcW w:w="1129"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9D5"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4.60</w:t>
            </w:r>
          </w:p>
        </w:tc>
        <w:tc>
          <w:tcPr>
            <w:tcW w:w="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D6"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0.27</w:t>
            </w:r>
          </w:p>
        </w:tc>
        <w:tc>
          <w:tcPr>
            <w:tcW w:w="1252"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2309D7"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3.83</w:t>
            </w:r>
          </w:p>
        </w:tc>
        <w:tc>
          <w:tcPr>
            <w:tcW w:w="11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D8"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91</w:t>
            </w:r>
          </w:p>
        </w:tc>
        <w:tc>
          <w:tcPr>
            <w:tcW w:w="12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2309D9" w14:textId="77777777" w:rsidR="008645FA" w:rsidRPr="007D7C41" w:rsidRDefault="008645FA" w:rsidP="00101B90">
            <w:pPr>
              <w:spacing w:before="0" w:after="0"/>
              <w:jc w:val="center"/>
              <w:rPr>
                <w:sz w:val="18"/>
                <w:szCs w:val="18"/>
                <w:lang w:val="en-AU"/>
              </w:rPr>
            </w:pPr>
            <w:r w:rsidRPr="007D7C41">
              <w:rPr>
                <w:rFonts w:ascii="Arial Narrow" w:hAnsi="Arial Narrow" w:cs="Arial Narrow"/>
                <w:color w:val="000000"/>
                <w:sz w:val="18"/>
                <w:szCs w:val="18"/>
                <w:lang w:val="en-AU"/>
              </w:rPr>
              <w:t xml:space="preserve"> 34</w:t>
            </w:r>
          </w:p>
        </w:tc>
      </w:tr>
    </w:tbl>
    <w:p w14:paraId="5F2309DB" w14:textId="77777777" w:rsidR="008645FA" w:rsidRPr="007D7C41" w:rsidRDefault="008645FA" w:rsidP="008645FA">
      <w:pPr>
        <w:rPr>
          <w:lang w:val="en-AU"/>
        </w:rPr>
        <w:sectPr w:rsidR="008645FA" w:rsidRPr="007D7C41" w:rsidSect="002819E0">
          <w:pgSz w:w="16839" w:h="11907" w:orient="landscape" w:code="9"/>
          <w:pgMar w:top="1440" w:right="1440" w:bottom="1440" w:left="1440" w:header="720" w:footer="720" w:gutter="0"/>
          <w:cols w:space="432"/>
          <w:docGrid w:linePitch="299"/>
        </w:sectPr>
      </w:pPr>
    </w:p>
    <w:p w14:paraId="5F2309DC" w14:textId="77777777" w:rsidR="008645FA" w:rsidRPr="00C51DE2" w:rsidRDefault="008645FA" w:rsidP="008645FA">
      <w:pPr>
        <w:rPr>
          <w:color w:val="0070C0"/>
          <w:lang w:val="en-AU" w:eastAsia="en-AU"/>
        </w:rPr>
      </w:pPr>
      <w:r w:rsidRPr="0026385A">
        <w:rPr>
          <w:noProof/>
          <w:lang w:val="en-AU" w:eastAsia="en-AU"/>
        </w:rPr>
        <w:drawing>
          <wp:inline distT="0" distB="0" distL="0" distR="0" wp14:anchorId="5F232429" wp14:editId="5F23242A">
            <wp:extent cx="5943600" cy="2598948"/>
            <wp:effectExtent l="0" t="0" r="0" b="0"/>
            <wp:docPr id="124" name="figures/FLNTU/timeSeriesPlots.SnpN.png"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figures/FLNTU/timeSeriesPlots.SnpN.png"/>
                    <pic:cNvPicPr/>
                  </pic:nvPicPr>
                  <pic:blipFill>
                    <a:blip r:embed="rId412"/>
                    <a:stretch>
                      <a:fillRect/>
                    </a:stretch>
                  </pic:blipFill>
                  <pic:spPr>
                    <a:xfrm>
                      <a:off x="0" y="0"/>
                      <a:ext cx="5943600" cy="2598948"/>
                    </a:xfrm>
                    <a:prstGeom prst="rect">
                      <a:avLst/>
                    </a:prstGeom>
                  </pic:spPr>
                </pic:pic>
              </a:graphicData>
            </a:graphic>
          </wp:inline>
        </w:drawing>
      </w:r>
    </w:p>
    <w:p w14:paraId="5F2309DD" w14:textId="77777777" w:rsidR="008645FA" w:rsidRPr="007D7C41" w:rsidRDefault="008645FA" w:rsidP="00164E5E">
      <w:pPr>
        <w:pStyle w:val="Caption"/>
      </w:pPr>
      <w:r w:rsidRPr="0026385A">
        <w:rPr>
          <w:noProof/>
          <w:lang w:val="en-AU" w:eastAsia="en-AU"/>
        </w:rPr>
        <w:drawing>
          <wp:inline distT="0" distB="0" distL="0" distR="0" wp14:anchorId="5F23242B" wp14:editId="5F23242C">
            <wp:extent cx="5943600" cy="2598948"/>
            <wp:effectExtent l="0" t="0" r="0" b="0"/>
            <wp:docPr id="127" name="figures/FLNTU/timeSeriesPlots.FtzW.png"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figures/FLNTU/timeSeriesPlots.FtzW.png"/>
                    <pic:cNvPicPr/>
                  </pic:nvPicPr>
                  <pic:blipFill>
                    <a:blip r:embed="rId413"/>
                    <a:stretch>
                      <a:fillRect/>
                    </a:stretch>
                  </pic:blipFill>
                  <pic:spPr>
                    <a:xfrm>
                      <a:off x="0" y="0"/>
                      <a:ext cx="5943600" cy="2598948"/>
                    </a:xfrm>
                    <a:prstGeom prst="rect">
                      <a:avLst/>
                    </a:prstGeom>
                  </pic:spPr>
                </pic:pic>
              </a:graphicData>
            </a:graphic>
          </wp:inline>
        </w:drawing>
      </w:r>
    </w:p>
    <w:p w14:paraId="5F2309DE" w14:textId="5FEC1ADA" w:rsidR="00874C5E" w:rsidRPr="00C951C9" w:rsidRDefault="006A00D6" w:rsidP="00164E5E">
      <w:pPr>
        <w:pStyle w:val="Caption"/>
        <w:rPr>
          <w:vanish/>
        </w:rPr>
      </w:pPr>
      <w:bookmarkStart w:id="1630" w:name="_Toc374701406"/>
      <w:bookmarkStart w:id="1631" w:name="_Toc392929574"/>
      <w:bookmarkStart w:id="1632" w:name="_Toc459332215"/>
      <w:r w:rsidRPr="00C951C9">
        <w:t xml:space="preserve">Figure A2 </w:t>
      </w:r>
      <w:r w:rsidR="00EB33A6">
        <w:fldChar w:fldCharType="begin"/>
      </w:r>
      <w:r w:rsidR="00D8225E">
        <w:instrText xml:space="preserve"> SEQ Figure_A2 \* ARABIC </w:instrText>
      </w:r>
      <w:r w:rsidR="00EB33A6">
        <w:fldChar w:fldCharType="separate"/>
      </w:r>
      <w:r w:rsidR="007F5336">
        <w:rPr>
          <w:noProof/>
        </w:rPr>
        <w:t>5</w:t>
      </w:r>
      <w:r w:rsidR="00EB33A6">
        <w:rPr>
          <w:noProof/>
        </w:rPr>
        <w:fldChar w:fldCharType="end"/>
      </w:r>
      <w:r w:rsidR="00092A52" w:rsidRPr="00C951C9">
        <w:t>:</w:t>
      </w:r>
      <w:r w:rsidR="00744DD2" w:rsidRPr="00C951C9">
        <w:t xml:space="preserve"> </w:t>
      </w:r>
      <w:r w:rsidR="008645FA" w:rsidRPr="00C951C9">
        <w:t>Time series of daily means of chlorophyll (green line) and turbidity (red line) collected by ECO FLNTUSB instruments.</w:t>
      </w:r>
      <w:bookmarkEnd w:id="1630"/>
      <w:bookmarkEnd w:id="1631"/>
      <w:bookmarkEnd w:id="1632"/>
    </w:p>
    <w:p w14:paraId="5F2309DF" w14:textId="77777777" w:rsidR="008645FA" w:rsidRPr="00C951C9" w:rsidRDefault="008645FA" w:rsidP="00164E5E">
      <w:pPr>
        <w:pStyle w:val="Caption"/>
        <w:rPr>
          <w:rStyle w:val="IntenseReference"/>
          <w:color w:val="auto"/>
        </w:rPr>
      </w:pPr>
      <w:r w:rsidRPr="00C951C9">
        <w:rPr>
          <w:rStyle w:val="IntenseReference"/>
          <w:color w:val="auto"/>
        </w:rPr>
        <w:t xml:space="preserve">  Additional panels represent daily discharge from nearest rivers (blue line) and daily wind speeds (grey line,) from the nearest weather stations. Horizontal green and red lines are the GBR Water Quality Guidelines values (GBRMPA 2010). Turbidity trigger value (red line, 1.5 NTU) was derived by transforming the suspended solids trigger value (see Schaffelke et al.</w:t>
      </w:r>
      <w:r w:rsidR="00C951C9" w:rsidRPr="00C951C9">
        <w:rPr>
          <w:rStyle w:val="IntenseReference"/>
          <w:color w:val="auto"/>
        </w:rPr>
        <w:t>,</w:t>
      </w:r>
      <w:r w:rsidRPr="00C951C9">
        <w:rPr>
          <w:rStyle w:val="IntenseReference"/>
          <w:color w:val="auto"/>
        </w:rPr>
        <w:t xml:space="preserve"> 2009). Plots a-n represent locations of FLNTUUSB instruments; a) Snapper North, b) Fitzroy West, c) High West, d) Franklands West, e) Dunk North, f) Palms West, g) Pandora, h) Magnetic, i) Double Cone, j) Daydream, k) Pine, l) Barren, m) Keppels South, n) Pelican. </w:t>
      </w:r>
    </w:p>
    <w:p w14:paraId="5F2309E0" w14:textId="77777777" w:rsidR="008645FA" w:rsidRPr="007D7C41" w:rsidRDefault="008645FA" w:rsidP="008645FA">
      <w:pPr>
        <w:spacing w:after="200" w:line="276" w:lineRule="auto"/>
        <w:rPr>
          <w:rStyle w:val="IntenseReference"/>
          <w:lang w:val="en-AU"/>
        </w:rPr>
      </w:pPr>
    </w:p>
    <w:p w14:paraId="5F2309E1" w14:textId="77777777" w:rsidR="008645FA" w:rsidRPr="007D7C41" w:rsidRDefault="008645FA" w:rsidP="008645FA">
      <w:pPr>
        <w:spacing w:after="200" w:line="276" w:lineRule="auto"/>
        <w:rPr>
          <w:lang w:val="en-AU"/>
        </w:rPr>
      </w:pPr>
    </w:p>
    <w:p w14:paraId="5F2309E2" w14:textId="77777777" w:rsidR="008645FA" w:rsidRPr="007D7C41" w:rsidRDefault="008645FA" w:rsidP="00164E5E">
      <w:pPr>
        <w:pStyle w:val="Caption"/>
      </w:pPr>
    </w:p>
    <w:p w14:paraId="5F2309E3" w14:textId="77777777" w:rsidR="008645FA" w:rsidRPr="007D7C41" w:rsidRDefault="008645FA" w:rsidP="008645FA">
      <w:pPr>
        <w:spacing w:after="200" w:line="276" w:lineRule="auto"/>
        <w:rPr>
          <w:rFonts w:ascii="Arial Narrow" w:eastAsia="SimSun" w:hAnsi="Arial Narrow"/>
          <w:sz w:val="20"/>
          <w:szCs w:val="24"/>
          <w:lang w:val="en-AU"/>
        </w:rPr>
      </w:pPr>
    </w:p>
    <w:p w14:paraId="5F2309E4" w14:textId="77777777" w:rsidR="008645FA" w:rsidRPr="007D7C41" w:rsidRDefault="008645FA" w:rsidP="008645FA">
      <w:pPr>
        <w:spacing w:after="200" w:line="276" w:lineRule="auto"/>
        <w:rPr>
          <w:b/>
          <w:lang w:val="en-AU"/>
        </w:rPr>
      </w:pPr>
      <w:r w:rsidRPr="007D7C41">
        <w:rPr>
          <w:noProof/>
          <w:lang w:val="en-AU" w:eastAsia="en-AU"/>
        </w:rPr>
        <w:drawing>
          <wp:inline distT="0" distB="0" distL="0" distR="0" wp14:anchorId="5F23242D" wp14:editId="5F23242E">
            <wp:extent cx="5943600" cy="2598948"/>
            <wp:effectExtent l="0" t="0" r="0" b="0"/>
            <wp:docPr id="130" name="figures/FLNTU/timeSeriesPlots.HghW.png"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figures/FLNTU/timeSeriesPlots.HghW.png"/>
                    <pic:cNvPicPr/>
                  </pic:nvPicPr>
                  <pic:blipFill>
                    <a:blip r:embed="rId414"/>
                    <a:stretch>
                      <a:fillRect/>
                    </a:stretch>
                  </pic:blipFill>
                  <pic:spPr>
                    <a:xfrm>
                      <a:off x="0" y="0"/>
                      <a:ext cx="5943600" cy="2598948"/>
                    </a:xfrm>
                    <a:prstGeom prst="rect">
                      <a:avLst/>
                    </a:prstGeom>
                  </pic:spPr>
                </pic:pic>
              </a:graphicData>
            </a:graphic>
          </wp:inline>
        </w:drawing>
      </w:r>
      <w:r w:rsidRPr="0026385A">
        <w:rPr>
          <w:noProof/>
          <w:lang w:val="en-AU" w:eastAsia="en-AU"/>
        </w:rPr>
        <w:drawing>
          <wp:inline distT="0" distB="0" distL="0" distR="0" wp14:anchorId="5F23242F" wp14:editId="5F232430">
            <wp:extent cx="5943600" cy="2598948"/>
            <wp:effectExtent l="0" t="0" r="0" b="0"/>
            <wp:docPr id="133" name="figures/FLNTU/timeSeriesPlots.FrnW.png"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figures/FLNTU/timeSeriesPlots.FrnW.png"/>
                    <pic:cNvPicPr/>
                  </pic:nvPicPr>
                  <pic:blipFill>
                    <a:blip r:embed="rId415"/>
                    <a:stretch>
                      <a:fillRect/>
                    </a:stretch>
                  </pic:blipFill>
                  <pic:spPr>
                    <a:xfrm>
                      <a:off x="0" y="0"/>
                      <a:ext cx="5943600" cy="2598948"/>
                    </a:xfrm>
                    <a:prstGeom prst="rect">
                      <a:avLst/>
                    </a:prstGeom>
                  </pic:spPr>
                </pic:pic>
              </a:graphicData>
            </a:graphic>
          </wp:inline>
        </w:drawing>
      </w:r>
      <w:r w:rsidRPr="0026385A">
        <w:rPr>
          <w:noProof/>
          <w:lang w:val="en-AU" w:eastAsia="en-AU"/>
        </w:rPr>
        <w:drawing>
          <wp:inline distT="0" distB="0" distL="0" distR="0" wp14:anchorId="5F232431" wp14:editId="5F232432">
            <wp:extent cx="5943600" cy="2598948"/>
            <wp:effectExtent l="0" t="0" r="0" b="0"/>
            <wp:docPr id="136" name="figures/FLNTU/timeSeriesPlots.DnkN.png"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figures/FLNTU/timeSeriesPlots.DnkN.png"/>
                    <pic:cNvPicPr/>
                  </pic:nvPicPr>
                  <pic:blipFill>
                    <a:blip r:embed="rId416"/>
                    <a:stretch>
                      <a:fillRect/>
                    </a:stretch>
                  </pic:blipFill>
                  <pic:spPr>
                    <a:xfrm>
                      <a:off x="0" y="0"/>
                      <a:ext cx="5943600" cy="2598948"/>
                    </a:xfrm>
                    <a:prstGeom prst="rect">
                      <a:avLst/>
                    </a:prstGeom>
                  </pic:spPr>
                </pic:pic>
              </a:graphicData>
            </a:graphic>
          </wp:inline>
        </w:drawing>
      </w:r>
    </w:p>
    <w:p w14:paraId="5F2309E5" w14:textId="77777777" w:rsidR="008645FA" w:rsidRPr="007D7C41" w:rsidRDefault="00744DD2" w:rsidP="00164E5E">
      <w:pPr>
        <w:pStyle w:val="Caption"/>
        <w:rPr>
          <w:rStyle w:val="IntenseReference"/>
          <w:b/>
          <w:color w:val="auto"/>
          <w:lang w:val="en-AU"/>
        </w:rPr>
      </w:pPr>
      <w:r>
        <w:rPr>
          <w:rStyle w:val="IntenseReference"/>
          <w:color w:val="auto"/>
          <w:lang w:val="en-AU"/>
        </w:rPr>
        <w:t>Figure A2-</w:t>
      </w:r>
      <w:r w:rsidR="006A00D6">
        <w:rPr>
          <w:rStyle w:val="IntenseReference"/>
          <w:color w:val="auto"/>
          <w:lang w:val="en-AU"/>
        </w:rPr>
        <w:t>4</w:t>
      </w:r>
      <w:r w:rsidR="00092A52">
        <w:rPr>
          <w:rStyle w:val="IntenseReference"/>
          <w:color w:val="auto"/>
          <w:lang w:val="en-AU"/>
        </w:rPr>
        <w:t>:</w:t>
      </w:r>
      <w:r w:rsidR="008645FA" w:rsidRPr="007D7C41">
        <w:rPr>
          <w:rStyle w:val="IntenseReference"/>
          <w:color w:val="auto"/>
          <w:lang w:val="en-AU"/>
        </w:rPr>
        <w:t xml:space="preserve"> Continued - c) High West, d) Franklands West, e) Dunk North</w:t>
      </w:r>
    </w:p>
    <w:p w14:paraId="5F2309E6" w14:textId="77777777" w:rsidR="008645FA" w:rsidRPr="007D7C41" w:rsidRDefault="008645FA" w:rsidP="008645FA">
      <w:pPr>
        <w:tabs>
          <w:tab w:val="left" w:pos="5970"/>
        </w:tabs>
        <w:rPr>
          <w:lang w:val="en-AU"/>
        </w:rPr>
      </w:pPr>
    </w:p>
    <w:p w14:paraId="5F2309E7" w14:textId="77777777" w:rsidR="008645FA" w:rsidRPr="007D7C41" w:rsidRDefault="008645FA" w:rsidP="008645FA">
      <w:pPr>
        <w:rPr>
          <w:lang w:val="en-AU"/>
        </w:rPr>
      </w:pPr>
    </w:p>
    <w:p w14:paraId="5F2309E8" w14:textId="77777777" w:rsidR="008645FA" w:rsidRPr="007D7C41" w:rsidRDefault="008645FA" w:rsidP="008645FA">
      <w:pPr>
        <w:rPr>
          <w:lang w:val="en-AU"/>
        </w:rPr>
      </w:pPr>
      <w:r w:rsidRPr="0026385A">
        <w:rPr>
          <w:noProof/>
          <w:lang w:val="en-AU" w:eastAsia="en-AU"/>
        </w:rPr>
        <w:drawing>
          <wp:inline distT="0" distB="0" distL="0" distR="0" wp14:anchorId="5F232433" wp14:editId="5F232434">
            <wp:extent cx="5943600" cy="2598948"/>
            <wp:effectExtent l="0" t="0" r="0" b="0"/>
            <wp:docPr id="139" name="figures/FLNTU/timeSeriesPlots.PlmW.png"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figures/FLNTU/timeSeriesPlots.PlmW.png"/>
                    <pic:cNvPicPr/>
                  </pic:nvPicPr>
                  <pic:blipFill>
                    <a:blip r:embed="rId417"/>
                    <a:stretch>
                      <a:fillRect/>
                    </a:stretch>
                  </pic:blipFill>
                  <pic:spPr>
                    <a:xfrm>
                      <a:off x="0" y="0"/>
                      <a:ext cx="5943600" cy="2598948"/>
                    </a:xfrm>
                    <a:prstGeom prst="rect">
                      <a:avLst/>
                    </a:prstGeom>
                  </pic:spPr>
                </pic:pic>
              </a:graphicData>
            </a:graphic>
          </wp:inline>
        </w:drawing>
      </w:r>
      <w:r w:rsidRPr="0026385A">
        <w:rPr>
          <w:noProof/>
          <w:lang w:val="en-AU" w:eastAsia="en-AU"/>
        </w:rPr>
        <w:drawing>
          <wp:inline distT="0" distB="0" distL="0" distR="0" wp14:anchorId="5F232435" wp14:editId="5F232436">
            <wp:extent cx="5943600" cy="2598948"/>
            <wp:effectExtent l="0" t="0" r="0" b="0"/>
            <wp:docPr id="142" name="figures/FLNTU/timeSeriesPlots.Pndr.png"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figures/FLNTU/timeSeriesPlots.Pndr.png"/>
                    <pic:cNvPicPr/>
                  </pic:nvPicPr>
                  <pic:blipFill>
                    <a:blip r:embed="rId418"/>
                    <a:stretch>
                      <a:fillRect/>
                    </a:stretch>
                  </pic:blipFill>
                  <pic:spPr>
                    <a:xfrm>
                      <a:off x="0" y="0"/>
                      <a:ext cx="5943600" cy="2598948"/>
                    </a:xfrm>
                    <a:prstGeom prst="rect">
                      <a:avLst/>
                    </a:prstGeom>
                  </pic:spPr>
                </pic:pic>
              </a:graphicData>
            </a:graphic>
          </wp:inline>
        </w:drawing>
      </w:r>
      <w:r w:rsidRPr="0026385A">
        <w:rPr>
          <w:noProof/>
          <w:lang w:val="en-AU" w:eastAsia="en-AU"/>
        </w:rPr>
        <w:drawing>
          <wp:inline distT="0" distB="0" distL="0" distR="0" wp14:anchorId="5F232437" wp14:editId="5F232438">
            <wp:extent cx="5943600" cy="2598948"/>
            <wp:effectExtent l="0" t="0" r="0" b="0"/>
            <wp:docPr id="145" name="figures/FLNTU/timeSeriesPlots.Mgnt.png"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figures/FLNTU/timeSeriesPlots.Mgnt.png"/>
                    <pic:cNvPicPr/>
                  </pic:nvPicPr>
                  <pic:blipFill>
                    <a:blip r:embed="rId419"/>
                    <a:stretch>
                      <a:fillRect/>
                    </a:stretch>
                  </pic:blipFill>
                  <pic:spPr>
                    <a:xfrm>
                      <a:off x="0" y="0"/>
                      <a:ext cx="5943600" cy="2598948"/>
                    </a:xfrm>
                    <a:prstGeom prst="rect">
                      <a:avLst/>
                    </a:prstGeom>
                  </pic:spPr>
                </pic:pic>
              </a:graphicData>
            </a:graphic>
          </wp:inline>
        </w:drawing>
      </w:r>
    </w:p>
    <w:p w14:paraId="5F2309E9" w14:textId="77777777" w:rsidR="008645FA" w:rsidRPr="007D7C41" w:rsidRDefault="008645FA" w:rsidP="008645FA">
      <w:pPr>
        <w:rPr>
          <w:rFonts w:ascii="Arial Narrow" w:hAnsi="Arial Narrow"/>
          <w:sz w:val="20"/>
          <w:lang w:val="en-AU"/>
        </w:rPr>
      </w:pPr>
    </w:p>
    <w:p w14:paraId="5F2309EA" w14:textId="77777777" w:rsidR="008645FA" w:rsidRPr="00874C5E" w:rsidRDefault="00744DD2" w:rsidP="00874C5E">
      <w:pPr>
        <w:rPr>
          <w:rStyle w:val="IntenseReference"/>
          <w:b/>
        </w:rPr>
      </w:pPr>
      <w:r w:rsidRPr="00874C5E">
        <w:rPr>
          <w:rStyle w:val="IntenseReference"/>
        </w:rPr>
        <w:t>Figure A2-</w:t>
      </w:r>
      <w:r w:rsidR="006A00D6">
        <w:rPr>
          <w:rStyle w:val="IntenseReference"/>
        </w:rPr>
        <w:t>4</w:t>
      </w:r>
      <w:r w:rsidR="00092A52" w:rsidRPr="00874C5E">
        <w:rPr>
          <w:rStyle w:val="IntenseReference"/>
        </w:rPr>
        <w:t>:</w:t>
      </w:r>
      <w:r w:rsidR="008645FA" w:rsidRPr="00874C5E">
        <w:rPr>
          <w:rStyle w:val="IntenseReference"/>
        </w:rPr>
        <w:t xml:space="preserve"> Continued - f) Palms West, g) Pandora, h) Magnetic</w:t>
      </w:r>
    </w:p>
    <w:p w14:paraId="5F2309EB" w14:textId="77777777" w:rsidR="008645FA" w:rsidRPr="007D7C41" w:rsidRDefault="008645FA" w:rsidP="008645FA">
      <w:pPr>
        <w:rPr>
          <w:lang w:val="en-AU"/>
        </w:rPr>
      </w:pPr>
    </w:p>
    <w:p w14:paraId="5F2309EC" w14:textId="77777777" w:rsidR="008645FA" w:rsidRPr="007D7C41" w:rsidRDefault="008645FA" w:rsidP="008645FA">
      <w:pPr>
        <w:rPr>
          <w:lang w:val="en-AU"/>
        </w:rPr>
      </w:pPr>
    </w:p>
    <w:p w14:paraId="5F2309ED" w14:textId="77777777" w:rsidR="008645FA" w:rsidRPr="007D7C41" w:rsidRDefault="008645FA" w:rsidP="008645FA">
      <w:pPr>
        <w:rPr>
          <w:lang w:val="en-AU"/>
        </w:rPr>
      </w:pPr>
      <w:r w:rsidRPr="0026385A">
        <w:rPr>
          <w:noProof/>
          <w:lang w:val="en-AU" w:eastAsia="en-AU"/>
        </w:rPr>
        <w:drawing>
          <wp:inline distT="0" distB="0" distL="0" distR="0" wp14:anchorId="5F232439" wp14:editId="5F23243A">
            <wp:extent cx="5943600" cy="2598948"/>
            <wp:effectExtent l="0" t="0" r="0" b="0"/>
            <wp:docPr id="148" name="figures/FLNTU/timeSeriesPlots.DblC.png"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figures/FLNTU/timeSeriesPlots.DblC.png"/>
                    <pic:cNvPicPr/>
                  </pic:nvPicPr>
                  <pic:blipFill>
                    <a:blip r:embed="rId420"/>
                    <a:stretch>
                      <a:fillRect/>
                    </a:stretch>
                  </pic:blipFill>
                  <pic:spPr>
                    <a:xfrm>
                      <a:off x="0" y="0"/>
                      <a:ext cx="5943600" cy="2598948"/>
                    </a:xfrm>
                    <a:prstGeom prst="rect">
                      <a:avLst/>
                    </a:prstGeom>
                  </pic:spPr>
                </pic:pic>
              </a:graphicData>
            </a:graphic>
          </wp:inline>
        </w:drawing>
      </w:r>
      <w:r w:rsidRPr="0026385A">
        <w:rPr>
          <w:noProof/>
          <w:lang w:val="en-AU" w:eastAsia="en-AU"/>
        </w:rPr>
        <w:drawing>
          <wp:inline distT="0" distB="0" distL="0" distR="0" wp14:anchorId="5F23243B" wp14:editId="5F23243C">
            <wp:extent cx="5943600" cy="2598948"/>
            <wp:effectExtent l="0" t="0" r="0" b="0"/>
            <wp:docPr id="151" name="figures/FLNTU/timeSeriesPlots.Dydr.png"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figures/FLNTU/timeSeriesPlots.Dydr.png"/>
                    <pic:cNvPicPr/>
                  </pic:nvPicPr>
                  <pic:blipFill>
                    <a:blip r:embed="rId421"/>
                    <a:stretch>
                      <a:fillRect/>
                    </a:stretch>
                  </pic:blipFill>
                  <pic:spPr>
                    <a:xfrm>
                      <a:off x="0" y="0"/>
                      <a:ext cx="5943600" cy="2598948"/>
                    </a:xfrm>
                    <a:prstGeom prst="rect">
                      <a:avLst/>
                    </a:prstGeom>
                  </pic:spPr>
                </pic:pic>
              </a:graphicData>
            </a:graphic>
          </wp:inline>
        </w:drawing>
      </w:r>
      <w:r w:rsidRPr="0026385A">
        <w:rPr>
          <w:noProof/>
          <w:lang w:val="en-AU" w:eastAsia="en-AU"/>
        </w:rPr>
        <w:drawing>
          <wp:inline distT="0" distB="0" distL="0" distR="0" wp14:anchorId="5F23243D" wp14:editId="5F23243E">
            <wp:extent cx="5943600" cy="2598948"/>
            <wp:effectExtent l="0" t="0" r="0" b="0"/>
            <wp:docPr id="154" name="figures/FLNTU/timeSeriesPlots.Seaforth.png"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figures/FLNTU/timeSeriesPlots.Seaforth.png"/>
                    <pic:cNvPicPr/>
                  </pic:nvPicPr>
                  <pic:blipFill>
                    <a:blip r:embed="rId422"/>
                    <a:stretch>
                      <a:fillRect/>
                    </a:stretch>
                  </pic:blipFill>
                  <pic:spPr>
                    <a:xfrm>
                      <a:off x="0" y="0"/>
                      <a:ext cx="5943600" cy="2598948"/>
                    </a:xfrm>
                    <a:prstGeom prst="rect">
                      <a:avLst/>
                    </a:prstGeom>
                  </pic:spPr>
                </pic:pic>
              </a:graphicData>
            </a:graphic>
          </wp:inline>
        </w:drawing>
      </w:r>
    </w:p>
    <w:p w14:paraId="5F2309EE" w14:textId="77777777" w:rsidR="008645FA" w:rsidRPr="00874C5E" w:rsidRDefault="00744DD2" w:rsidP="008645FA">
      <w:pPr>
        <w:rPr>
          <w:rStyle w:val="IntenseReference"/>
          <w:b/>
          <w:color w:val="auto"/>
          <w:lang w:val="en-AU"/>
        </w:rPr>
      </w:pPr>
      <w:r w:rsidRPr="00874C5E">
        <w:rPr>
          <w:rStyle w:val="IntenseReference"/>
          <w:color w:val="auto"/>
          <w:lang w:val="en-AU"/>
        </w:rPr>
        <w:t>Figure A2-</w:t>
      </w:r>
      <w:r w:rsidR="006A00D6">
        <w:rPr>
          <w:rStyle w:val="IntenseReference"/>
          <w:color w:val="auto"/>
          <w:lang w:val="en-AU"/>
        </w:rPr>
        <w:t>4</w:t>
      </w:r>
      <w:r w:rsidR="00092A52" w:rsidRPr="00874C5E">
        <w:rPr>
          <w:rStyle w:val="IntenseReference"/>
          <w:color w:val="auto"/>
          <w:lang w:val="en-AU"/>
        </w:rPr>
        <w:t>:</w:t>
      </w:r>
      <w:r w:rsidR="008645FA" w:rsidRPr="00874C5E">
        <w:rPr>
          <w:rStyle w:val="IntenseReference"/>
          <w:color w:val="auto"/>
          <w:lang w:val="en-AU"/>
        </w:rPr>
        <w:t xml:space="preserve"> Continued - i) Double Cone, j) Daydream Is, k) Seaforth </w:t>
      </w:r>
    </w:p>
    <w:p w14:paraId="5F2309EF" w14:textId="77777777" w:rsidR="008645FA" w:rsidRPr="007D7C41" w:rsidRDefault="008645FA" w:rsidP="008645FA">
      <w:pPr>
        <w:rPr>
          <w:rStyle w:val="IntenseReference"/>
          <w:color w:val="auto"/>
          <w:lang w:val="en-AU"/>
        </w:rPr>
      </w:pPr>
      <w:r w:rsidRPr="007D7C41">
        <w:rPr>
          <w:rStyle w:val="IntenseReference"/>
          <w:color w:val="auto"/>
          <w:lang w:val="en-AU"/>
        </w:rPr>
        <w:br w:type="page"/>
      </w:r>
    </w:p>
    <w:p w14:paraId="5F2309F0" w14:textId="77777777" w:rsidR="008645FA" w:rsidRPr="007D7C41" w:rsidRDefault="008645FA" w:rsidP="008645FA">
      <w:pPr>
        <w:rPr>
          <w:rStyle w:val="IntenseReference"/>
          <w:color w:val="auto"/>
          <w:lang w:val="en-AU"/>
        </w:rPr>
      </w:pPr>
      <w:r w:rsidRPr="007D7C41">
        <w:rPr>
          <w:noProof/>
          <w:lang w:val="en-AU" w:eastAsia="en-AU"/>
        </w:rPr>
        <w:drawing>
          <wp:inline distT="0" distB="0" distL="0" distR="0" wp14:anchorId="5F23243F" wp14:editId="5F232440">
            <wp:extent cx="5943600" cy="2598948"/>
            <wp:effectExtent l="0" t="0" r="0" b="0"/>
            <wp:docPr id="157" name="figures/FLNTU/timeSeriesPlots.Pine.png"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figures/FLNTU/timeSeriesPlots.Pine.png"/>
                    <pic:cNvPicPr/>
                  </pic:nvPicPr>
                  <pic:blipFill>
                    <a:blip r:embed="rId423"/>
                    <a:stretch>
                      <a:fillRect/>
                    </a:stretch>
                  </pic:blipFill>
                  <pic:spPr>
                    <a:xfrm>
                      <a:off x="0" y="0"/>
                      <a:ext cx="5943600" cy="2598948"/>
                    </a:xfrm>
                    <a:prstGeom prst="rect">
                      <a:avLst/>
                    </a:prstGeom>
                  </pic:spPr>
                </pic:pic>
              </a:graphicData>
            </a:graphic>
          </wp:inline>
        </w:drawing>
      </w:r>
      <w:r w:rsidRPr="0026385A">
        <w:rPr>
          <w:noProof/>
          <w:lang w:val="en-AU" w:eastAsia="en-AU"/>
        </w:rPr>
        <w:drawing>
          <wp:inline distT="0" distB="0" distL="0" distR="0" wp14:anchorId="5F232441" wp14:editId="5F232442">
            <wp:extent cx="5943600" cy="2598948"/>
            <wp:effectExtent l="0" t="0" r="0" b="0"/>
            <wp:docPr id="160" name="figures/FLNTU/timeSeriesPlots.Repulse.png"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 name="figures/FLNTU/timeSeriesPlots.Repulse.png"/>
                    <pic:cNvPicPr/>
                  </pic:nvPicPr>
                  <pic:blipFill>
                    <a:blip r:embed="rId424"/>
                    <a:stretch>
                      <a:fillRect/>
                    </a:stretch>
                  </pic:blipFill>
                  <pic:spPr>
                    <a:xfrm>
                      <a:off x="0" y="0"/>
                      <a:ext cx="5943600" cy="2598948"/>
                    </a:xfrm>
                    <a:prstGeom prst="rect">
                      <a:avLst/>
                    </a:prstGeom>
                  </pic:spPr>
                </pic:pic>
              </a:graphicData>
            </a:graphic>
          </wp:inline>
        </w:drawing>
      </w:r>
      <w:r w:rsidRPr="0026385A">
        <w:rPr>
          <w:noProof/>
          <w:lang w:val="en-AU" w:eastAsia="en-AU"/>
        </w:rPr>
        <w:drawing>
          <wp:inline distT="0" distB="0" distL="0" distR="0" wp14:anchorId="5F232443" wp14:editId="5F232444">
            <wp:extent cx="5943600" cy="2598948"/>
            <wp:effectExtent l="0" t="0" r="0" b="0"/>
            <wp:docPr id="163" name="figures/FLNTU/timeSeriesPlots.Brrn.png"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figures/FLNTU/timeSeriesPlots.Brrn.png"/>
                    <pic:cNvPicPr/>
                  </pic:nvPicPr>
                  <pic:blipFill>
                    <a:blip r:embed="rId425"/>
                    <a:stretch>
                      <a:fillRect/>
                    </a:stretch>
                  </pic:blipFill>
                  <pic:spPr>
                    <a:xfrm>
                      <a:off x="0" y="0"/>
                      <a:ext cx="5943600" cy="2598948"/>
                    </a:xfrm>
                    <a:prstGeom prst="rect">
                      <a:avLst/>
                    </a:prstGeom>
                  </pic:spPr>
                </pic:pic>
              </a:graphicData>
            </a:graphic>
          </wp:inline>
        </w:drawing>
      </w:r>
    </w:p>
    <w:p w14:paraId="5F2309F1" w14:textId="77777777" w:rsidR="008645FA" w:rsidRPr="00874C5E" w:rsidRDefault="00744DD2" w:rsidP="008645FA">
      <w:pPr>
        <w:rPr>
          <w:rStyle w:val="IntenseReference"/>
          <w:b/>
        </w:rPr>
      </w:pPr>
      <w:r w:rsidRPr="00874C5E">
        <w:rPr>
          <w:rStyle w:val="IntenseReference"/>
        </w:rPr>
        <w:t>Figure A2-</w:t>
      </w:r>
      <w:r w:rsidR="006A00D6">
        <w:rPr>
          <w:rStyle w:val="IntenseReference"/>
        </w:rPr>
        <w:t>4</w:t>
      </w:r>
      <w:r w:rsidR="00092A52" w:rsidRPr="00874C5E">
        <w:rPr>
          <w:rStyle w:val="IntenseReference"/>
        </w:rPr>
        <w:t>:</w:t>
      </w:r>
      <w:r w:rsidR="008645FA" w:rsidRPr="00874C5E">
        <w:rPr>
          <w:rStyle w:val="IntenseReference"/>
        </w:rPr>
        <w:t xml:space="preserve"> Continued - L) Pine, j) Repulse,  k) Barren </w:t>
      </w:r>
    </w:p>
    <w:p w14:paraId="5F2309F2" w14:textId="77777777" w:rsidR="008645FA" w:rsidRPr="007D7C41" w:rsidRDefault="008645FA" w:rsidP="008645FA">
      <w:pPr>
        <w:rPr>
          <w:rStyle w:val="IntenseReference"/>
          <w:color w:val="auto"/>
          <w:lang w:val="en-AU"/>
        </w:rPr>
      </w:pPr>
      <w:r w:rsidRPr="007D7C41">
        <w:rPr>
          <w:rStyle w:val="IntenseReference"/>
          <w:color w:val="auto"/>
          <w:lang w:val="en-AU"/>
        </w:rPr>
        <w:br w:type="page"/>
      </w:r>
    </w:p>
    <w:p w14:paraId="5F2309F3" w14:textId="77777777" w:rsidR="008645FA" w:rsidRPr="007D7C41" w:rsidRDefault="008645FA" w:rsidP="008645FA">
      <w:pPr>
        <w:rPr>
          <w:rStyle w:val="IntenseReference"/>
          <w:color w:val="auto"/>
          <w:lang w:val="en-AU"/>
        </w:rPr>
      </w:pPr>
      <w:r w:rsidRPr="007D7C41">
        <w:rPr>
          <w:noProof/>
          <w:lang w:val="en-AU" w:eastAsia="en-AU"/>
        </w:rPr>
        <w:drawing>
          <wp:inline distT="0" distB="0" distL="0" distR="0" wp14:anchorId="5F232445" wp14:editId="5F232446">
            <wp:extent cx="5943600" cy="2598948"/>
            <wp:effectExtent l="0" t="0" r="0" b="0"/>
            <wp:docPr id="166" name="figures/FLNTU/timeSeriesPlots.KppS.png"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 name="figures/FLNTU/timeSeriesPlots.KppS.png"/>
                    <pic:cNvPicPr/>
                  </pic:nvPicPr>
                  <pic:blipFill>
                    <a:blip r:embed="rId426"/>
                    <a:stretch>
                      <a:fillRect/>
                    </a:stretch>
                  </pic:blipFill>
                  <pic:spPr>
                    <a:xfrm>
                      <a:off x="0" y="0"/>
                      <a:ext cx="5943600" cy="2598948"/>
                    </a:xfrm>
                    <a:prstGeom prst="rect">
                      <a:avLst/>
                    </a:prstGeom>
                  </pic:spPr>
                </pic:pic>
              </a:graphicData>
            </a:graphic>
          </wp:inline>
        </w:drawing>
      </w:r>
      <w:r w:rsidRPr="0026385A">
        <w:rPr>
          <w:noProof/>
          <w:lang w:val="en-AU" w:eastAsia="en-AU"/>
        </w:rPr>
        <w:drawing>
          <wp:inline distT="0" distB="0" distL="0" distR="0" wp14:anchorId="5F232447" wp14:editId="5F232448">
            <wp:extent cx="5943600" cy="2598948"/>
            <wp:effectExtent l="0" t="0" r="0" b="0"/>
            <wp:docPr id="169" name="figures/FLNTU/timeSeriesPlots.Plcn.png"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figures/FLNTU/timeSeriesPlots.Plcn.png"/>
                    <pic:cNvPicPr/>
                  </pic:nvPicPr>
                  <pic:blipFill>
                    <a:blip r:embed="rId427"/>
                    <a:stretch>
                      <a:fillRect/>
                    </a:stretch>
                  </pic:blipFill>
                  <pic:spPr>
                    <a:xfrm>
                      <a:off x="0" y="0"/>
                      <a:ext cx="5943600" cy="2598948"/>
                    </a:xfrm>
                    <a:prstGeom prst="rect">
                      <a:avLst/>
                    </a:prstGeom>
                  </pic:spPr>
                </pic:pic>
              </a:graphicData>
            </a:graphic>
          </wp:inline>
        </w:drawing>
      </w:r>
      <w:r w:rsidRPr="007D7C41">
        <w:rPr>
          <w:rStyle w:val="IntenseReference"/>
          <w:color w:val="auto"/>
          <w:lang w:val="en-AU"/>
        </w:rPr>
        <w:t xml:space="preserve"> </w:t>
      </w:r>
    </w:p>
    <w:p w14:paraId="5F2309F4" w14:textId="77777777" w:rsidR="008645FA" w:rsidRPr="00874C5E" w:rsidRDefault="00744DD2" w:rsidP="008645FA">
      <w:pPr>
        <w:rPr>
          <w:rStyle w:val="IntenseReference"/>
          <w:b/>
        </w:rPr>
      </w:pPr>
      <w:r w:rsidRPr="00874C5E">
        <w:rPr>
          <w:rStyle w:val="IntenseReference"/>
        </w:rPr>
        <w:t>Figure A2-</w:t>
      </w:r>
      <w:r w:rsidR="006A00D6">
        <w:rPr>
          <w:rStyle w:val="IntenseReference"/>
        </w:rPr>
        <w:t>4</w:t>
      </w:r>
      <w:r w:rsidR="00092A52" w:rsidRPr="00874C5E">
        <w:rPr>
          <w:rStyle w:val="IntenseReference"/>
        </w:rPr>
        <w:t>:</w:t>
      </w:r>
      <w:r w:rsidR="008645FA" w:rsidRPr="00874C5E">
        <w:rPr>
          <w:rStyle w:val="IntenseReference"/>
        </w:rPr>
        <w:t xml:space="preserve"> Continued - o) Keppels south,  p) Peilcan. </w:t>
      </w:r>
    </w:p>
    <w:p w14:paraId="5F2309F5" w14:textId="77777777" w:rsidR="00E94E33" w:rsidRPr="007D7C41" w:rsidRDefault="008645FA" w:rsidP="008645FA">
      <w:pPr>
        <w:rPr>
          <w:color w:val="0070C0"/>
          <w:lang w:val="en-AU"/>
        </w:rPr>
      </w:pPr>
      <w:r w:rsidRPr="007D7C41">
        <w:rPr>
          <w:rStyle w:val="IntenseReference"/>
          <w:color w:val="auto"/>
          <w:lang w:val="en-AU"/>
        </w:rPr>
        <w:br w:type="page"/>
      </w:r>
      <w:bookmarkStart w:id="1633" w:name="_Toc373742671"/>
      <w:bookmarkStart w:id="1634" w:name="_Toc373742733"/>
    </w:p>
    <w:p w14:paraId="5F2309F6" w14:textId="74F6F792" w:rsidR="008645FA" w:rsidRPr="007D7C41" w:rsidRDefault="00B33887" w:rsidP="00E57B3F">
      <w:pPr>
        <w:spacing w:before="0" w:after="0"/>
        <w:jc w:val="center"/>
        <w:rPr>
          <w:color w:val="0070C0"/>
          <w:lang w:val="en-AU"/>
        </w:rPr>
      </w:pPr>
      <w:r w:rsidRPr="0026385A">
        <w:rPr>
          <w:lang w:val="en-AU"/>
        </w:rPr>
        <w:object w:dxaOrig="7065" w:dyaOrig="10667" w14:anchorId="5F232449">
          <v:shape id="_x0000_i1029" type="#_x0000_t75" alt="This figure shows the time series of daily means of temperature (red line) and salinity (blue line) derived from the Sea-Bird Electronics (SBE) CTD profilers.  Plots a-f represent locations of SBE CTD profilers; a)  Russell-Mulgrave River mouth,  b) High Island, c) Tully River mouth, d) Dunk Island, e) Burdekin River mouth. The arrow in b) and e) indicates when the position of the instrument was moved to the shallower location. " style="width:354.75pt;height:529.5pt" o:ole="">
            <v:imagedata r:id="rId428" o:title=""/>
          </v:shape>
          <o:OLEObject Type="Embed" ProgID="SigmaPlotGraphicObject.10" ShapeID="_x0000_i1029" DrawAspect="Content" ObjectID="_1536648846" r:id="rId429"/>
        </w:object>
      </w:r>
    </w:p>
    <w:p w14:paraId="5F2309F7" w14:textId="31F89F84" w:rsidR="00874C5E" w:rsidRPr="00874C5E" w:rsidRDefault="00725F21" w:rsidP="00164E5E">
      <w:pPr>
        <w:pStyle w:val="Caption"/>
        <w:rPr>
          <w:vanish/>
        </w:rPr>
      </w:pPr>
      <w:bookmarkStart w:id="1635" w:name="_Toc459332216"/>
      <w:r>
        <w:t xml:space="preserve">Figure A2 </w:t>
      </w:r>
      <w:r w:rsidR="00EB33A6">
        <w:fldChar w:fldCharType="begin"/>
      </w:r>
      <w:r w:rsidR="00D8225E">
        <w:instrText xml:space="preserve"> SEQ Figure_A2 \* ARABIC </w:instrText>
      </w:r>
      <w:r w:rsidR="00EB33A6">
        <w:fldChar w:fldCharType="separate"/>
      </w:r>
      <w:r w:rsidR="007F5336">
        <w:rPr>
          <w:noProof/>
        </w:rPr>
        <w:t>6</w:t>
      </w:r>
      <w:r w:rsidR="00EB33A6">
        <w:rPr>
          <w:noProof/>
        </w:rPr>
        <w:fldChar w:fldCharType="end"/>
      </w:r>
      <w:r w:rsidR="00092A52" w:rsidRPr="00874C5E">
        <w:t>:</w:t>
      </w:r>
      <w:r w:rsidR="00C532B4" w:rsidRPr="00874C5E">
        <w:t xml:space="preserve"> Time series of daily </w:t>
      </w:r>
      <w:r w:rsidR="00C951C9">
        <w:t xml:space="preserve">means of temperature (red line) </w:t>
      </w:r>
      <w:r w:rsidR="00C532B4" w:rsidRPr="00874C5E">
        <w:t xml:space="preserve">and </w:t>
      </w:r>
      <w:r w:rsidR="00AB49F8">
        <w:t>salinity</w:t>
      </w:r>
      <w:r w:rsidR="00C532B4" w:rsidRPr="00874C5E">
        <w:t xml:space="preserve"> (blue line) derived from the Sea-Bird Electronics (SBE) CTD profilers.</w:t>
      </w:r>
      <w:bookmarkEnd w:id="1635"/>
      <w:r w:rsidR="00C532B4" w:rsidRPr="007D7C41">
        <w:t xml:space="preserve"> </w:t>
      </w:r>
    </w:p>
    <w:p w14:paraId="5F2309F8" w14:textId="77777777" w:rsidR="00C532B4" w:rsidRPr="00874C5E" w:rsidRDefault="00C532B4" w:rsidP="00164E5E">
      <w:pPr>
        <w:pStyle w:val="Caption"/>
        <w:rPr>
          <w:rStyle w:val="IntenseReference"/>
        </w:rPr>
      </w:pPr>
      <w:r w:rsidRPr="00874C5E">
        <w:rPr>
          <w:rStyle w:val="IntenseReference"/>
        </w:rPr>
        <w:t xml:space="preserve"> Plots a-f represent locations of SBE CTD profilers; a)  Russell-Mulgrave River mouth,  b) High Island, c) Tully River mouth, d) Dunk Island, e) Burdekin River mouth, f) Repulse Island and g) Pine Island. The arrow in b), e) and f) indicates when the position of the instrument was moved to the shallower location. </w:t>
      </w:r>
    </w:p>
    <w:p w14:paraId="5F2309F9" w14:textId="524E0EF2" w:rsidR="00875F86" w:rsidRPr="007D7C41" w:rsidRDefault="00C532B4" w:rsidP="00D33068">
      <w:pPr>
        <w:spacing w:before="0" w:after="0"/>
        <w:jc w:val="center"/>
        <w:rPr>
          <w:lang w:val="en-AU"/>
        </w:rPr>
      </w:pPr>
      <w:r w:rsidRPr="007D7C41">
        <w:rPr>
          <w:color w:val="0070C0"/>
          <w:lang w:val="en-AU"/>
        </w:rPr>
        <w:br w:type="page"/>
      </w:r>
      <w:r w:rsidR="00B33887" w:rsidRPr="0026385A">
        <w:rPr>
          <w:lang w:val="en-AU"/>
        </w:rPr>
        <w:object w:dxaOrig="7093" w:dyaOrig="4423" w14:anchorId="5F23244A">
          <v:shape id="_x0000_i1030" type="#_x0000_t75" alt="Time series of daily means of temperature (red line) and salinity (blue line) derived from the Sea-Bird Electronics (SBE) CTD profilers.  Plots for  f) Repulse Island and g) Pine Island. " style="width:354.75pt;height:221.25pt" o:ole="">
            <v:imagedata r:id="rId430" o:title=""/>
          </v:shape>
          <o:OLEObject Type="Embed" ProgID="SigmaPlotGraphicObject.10" ShapeID="_x0000_i1030" DrawAspect="Content" ObjectID="_1536648847" r:id="rId431"/>
        </w:object>
      </w:r>
    </w:p>
    <w:p w14:paraId="5F2309FA" w14:textId="77777777" w:rsidR="00C532B4" w:rsidRPr="00874C5E" w:rsidRDefault="00744DD2" w:rsidP="00C532B4">
      <w:pPr>
        <w:rPr>
          <w:rStyle w:val="IntenseReference"/>
          <w:b/>
        </w:rPr>
      </w:pPr>
      <w:r w:rsidRPr="00874C5E">
        <w:rPr>
          <w:rStyle w:val="IntenseReference"/>
        </w:rPr>
        <w:t>Figure A2-</w:t>
      </w:r>
      <w:r w:rsidR="00725F21">
        <w:rPr>
          <w:rStyle w:val="IntenseReference"/>
        </w:rPr>
        <w:t>5</w:t>
      </w:r>
      <w:r w:rsidR="00C532B4" w:rsidRPr="00874C5E">
        <w:rPr>
          <w:rStyle w:val="IntenseReference"/>
        </w:rPr>
        <w:t xml:space="preserve"> Continued - f) Repulse Island and g) Pine Island.</w:t>
      </w:r>
    </w:p>
    <w:p w14:paraId="5F2309FB" w14:textId="77777777" w:rsidR="00072C7B" w:rsidRDefault="00072C7B">
      <w:pPr>
        <w:spacing w:before="0" w:after="0"/>
        <w:jc w:val="left"/>
        <w:rPr>
          <w:rFonts w:eastAsia="SimSun"/>
          <w:b/>
          <w:sz w:val="18"/>
          <w:szCs w:val="24"/>
          <w:lang w:val="en-AU"/>
        </w:rPr>
      </w:pPr>
      <w:r>
        <w:br w:type="page"/>
      </w:r>
    </w:p>
    <w:p w14:paraId="5F2309FC" w14:textId="487DEA46" w:rsidR="00874C5E" w:rsidRPr="00874C5E" w:rsidRDefault="00725F21" w:rsidP="00164E5E">
      <w:pPr>
        <w:pStyle w:val="Caption"/>
        <w:rPr>
          <w:vanish/>
        </w:rPr>
      </w:pPr>
      <w:bookmarkStart w:id="1636" w:name="_Toc459332209"/>
      <w:r>
        <w:t xml:space="preserve">Table A2 </w:t>
      </w:r>
      <w:r w:rsidR="00EB33A6">
        <w:fldChar w:fldCharType="begin"/>
      </w:r>
      <w:r w:rsidR="00D8225E">
        <w:instrText xml:space="preserve"> SEQ Table_A2 \* ARABIC </w:instrText>
      </w:r>
      <w:r w:rsidR="00EB33A6">
        <w:fldChar w:fldCharType="separate"/>
      </w:r>
      <w:r w:rsidR="007F5336">
        <w:rPr>
          <w:noProof/>
        </w:rPr>
        <w:t>5</w:t>
      </w:r>
      <w:r w:rsidR="00EB33A6">
        <w:rPr>
          <w:noProof/>
        </w:rPr>
        <w:fldChar w:fldCharType="end"/>
      </w:r>
      <w:r w:rsidR="004F7AEA">
        <w:t>:</w:t>
      </w:r>
      <w:r w:rsidR="003A01A2" w:rsidRPr="00874C5E">
        <w:t xml:space="preserve"> </w:t>
      </w:r>
      <w:r w:rsidR="00F541AA" w:rsidRPr="00874C5E">
        <w:t>Summary of data collected during the 2014-2015 wet season under the MMP program</w:t>
      </w:r>
      <w:r w:rsidR="00F541AA" w:rsidRPr="008467AA">
        <w:t>.</w:t>
      </w:r>
      <w:bookmarkEnd w:id="1636"/>
      <w:r w:rsidR="00F541AA" w:rsidRPr="008467AA">
        <w:t xml:space="preserve"> </w:t>
      </w:r>
    </w:p>
    <w:p w14:paraId="7FE15744" w14:textId="30938A22" w:rsidR="00E9409C" w:rsidRDefault="00F541AA" w:rsidP="00E9409C">
      <w:pPr>
        <w:pStyle w:val="Caption"/>
        <w:rPr>
          <w:rStyle w:val="IntenseReference"/>
          <w:lang w:val="en-AU"/>
        </w:rPr>
      </w:pPr>
      <w:r w:rsidRPr="00874C5E">
        <w:rPr>
          <w:rStyle w:val="IntenseReference"/>
        </w:rPr>
        <w:t xml:space="preserve">Minimum (min), maximum (max), mean, </w:t>
      </w:r>
      <w:r w:rsidR="00E9409C">
        <w:rPr>
          <w:rStyle w:val="IntenseReference"/>
        </w:rPr>
        <w:t xml:space="preserve">median, </w:t>
      </w:r>
      <w:r w:rsidRPr="00874C5E">
        <w:rPr>
          <w:rStyle w:val="IntenseReference"/>
        </w:rPr>
        <w:t>standard deviation (SD) and the number of samples are calculated over multiple sites and multiple dates within each river plume water surface and are provided as a guidance of the range of values within each sampling transect. Samples taken at the bottom at some Burdekin sites are also presented.</w:t>
      </w:r>
      <w:r w:rsidR="00E9409C">
        <w:rPr>
          <w:rStyle w:val="IntenseReference"/>
        </w:rPr>
        <w:t xml:space="preserve"> </w:t>
      </w:r>
      <w:r w:rsidR="00E9409C">
        <w:rPr>
          <w:rStyle w:val="IntenseReference"/>
          <w:lang w:val="en-AU"/>
        </w:rPr>
        <w:t>Highlighted values are for above guideline thresholds.</w:t>
      </w:r>
    </w:p>
    <w:p w14:paraId="33199E0A" w14:textId="77777777" w:rsidR="00E9409C" w:rsidRPr="004A5BF7" w:rsidRDefault="00E9409C" w:rsidP="00124249"/>
    <w:tbl>
      <w:tblPr>
        <w:tblW w:w="8340" w:type="dxa"/>
        <w:jc w:val="center"/>
        <w:tblLook w:val="04A0" w:firstRow="1" w:lastRow="0" w:firstColumn="1" w:lastColumn="0" w:noHBand="0" w:noVBand="1"/>
      </w:tblPr>
      <w:tblGrid>
        <w:gridCol w:w="1840"/>
        <w:gridCol w:w="820"/>
        <w:gridCol w:w="1420"/>
        <w:gridCol w:w="1420"/>
        <w:gridCol w:w="1420"/>
        <w:gridCol w:w="1420"/>
      </w:tblGrid>
      <w:tr w:rsidR="00E9409C" w:rsidRPr="005C54B4" w14:paraId="45A4F8FF" w14:textId="77777777" w:rsidTr="004A5BF7">
        <w:trPr>
          <w:trHeight w:val="600"/>
          <w:tblHeader/>
          <w:jc w:val="center"/>
        </w:trPr>
        <w:tc>
          <w:tcPr>
            <w:tcW w:w="1840" w:type="dxa"/>
            <w:tcBorders>
              <w:top w:val="single" w:sz="4" w:space="0" w:color="auto"/>
              <w:left w:val="nil"/>
              <w:bottom w:val="single" w:sz="4" w:space="0" w:color="auto"/>
              <w:right w:val="nil"/>
            </w:tcBorders>
            <w:shd w:val="clear" w:color="auto" w:fill="auto"/>
            <w:vAlign w:val="center"/>
            <w:hideMark/>
          </w:tcPr>
          <w:p w14:paraId="1626386F"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Parameters</w:t>
            </w:r>
          </w:p>
        </w:tc>
        <w:tc>
          <w:tcPr>
            <w:tcW w:w="820" w:type="dxa"/>
            <w:tcBorders>
              <w:top w:val="single" w:sz="4" w:space="0" w:color="auto"/>
              <w:left w:val="nil"/>
              <w:bottom w:val="single" w:sz="4" w:space="0" w:color="auto"/>
              <w:right w:val="nil"/>
            </w:tcBorders>
            <w:shd w:val="clear" w:color="auto" w:fill="auto"/>
            <w:vAlign w:val="center"/>
            <w:hideMark/>
          </w:tcPr>
          <w:p w14:paraId="534FB4D8"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Stats</w:t>
            </w:r>
          </w:p>
        </w:tc>
        <w:tc>
          <w:tcPr>
            <w:tcW w:w="1420" w:type="dxa"/>
            <w:tcBorders>
              <w:top w:val="single" w:sz="4" w:space="0" w:color="auto"/>
              <w:left w:val="nil"/>
              <w:bottom w:val="single" w:sz="4" w:space="0" w:color="auto"/>
              <w:right w:val="nil"/>
            </w:tcBorders>
            <w:shd w:val="clear" w:color="auto" w:fill="auto"/>
            <w:vAlign w:val="center"/>
            <w:hideMark/>
          </w:tcPr>
          <w:p w14:paraId="33D996FD" w14:textId="77777777" w:rsidR="00E9409C" w:rsidRPr="004A5BF7" w:rsidRDefault="00E9409C" w:rsidP="005C54B4">
            <w:pPr>
              <w:spacing w:before="0" w:after="0"/>
              <w:jc w:val="center"/>
              <w:rPr>
                <w:rFonts w:cs="Arial"/>
                <w:color w:val="000000"/>
                <w:sz w:val="18"/>
                <w:szCs w:val="18"/>
                <w:lang w:val="en-AU" w:eastAsia="en-AU"/>
              </w:rPr>
            </w:pPr>
            <w:r w:rsidRPr="004A5BF7">
              <w:rPr>
                <w:rFonts w:cs="Arial"/>
                <w:color w:val="000000"/>
                <w:sz w:val="18"/>
                <w:szCs w:val="18"/>
                <w:lang w:val="en-AU" w:eastAsia="en-AU"/>
              </w:rPr>
              <w:t>Russell-Mulgrave</w:t>
            </w:r>
          </w:p>
        </w:tc>
        <w:tc>
          <w:tcPr>
            <w:tcW w:w="1420" w:type="dxa"/>
            <w:tcBorders>
              <w:top w:val="single" w:sz="4" w:space="0" w:color="auto"/>
              <w:left w:val="nil"/>
              <w:bottom w:val="single" w:sz="4" w:space="0" w:color="auto"/>
              <w:right w:val="nil"/>
            </w:tcBorders>
            <w:shd w:val="clear" w:color="auto" w:fill="auto"/>
            <w:vAlign w:val="center"/>
            <w:hideMark/>
          </w:tcPr>
          <w:p w14:paraId="3D823D8E" w14:textId="77777777" w:rsidR="00E9409C" w:rsidRPr="004A5BF7" w:rsidRDefault="00E9409C" w:rsidP="005C54B4">
            <w:pPr>
              <w:spacing w:before="0" w:after="0"/>
              <w:jc w:val="center"/>
              <w:rPr>
                <w:rFonts w:cs="Arial"/>
                <w:color w:val="000000"/>
                <w:sz w:val="18"/>
                <w:szCs w:val="18"/>
                <w:lang w:val="en-AU" w:eastAsia="en-AU"/>
              </w:rPr>
            </w:pPr>
            <w:r w:rsidRPr="004A5BF7">
              <w:rPr>
                <w:rFonts w:cs="Arial"/>
                <w:color w:val="000000"/>
                <w:sz w:val="18"/>
                <w:szCs w:val="18"/>
                <w:lang w:val="en-AU" w:eastAsia="en-AU"/>
              </w:rPr>
              <w:t>Tully</w:t>
            </w:r>
          </w:p>
        </w:tc>
        <w:tc>
          <w:tcPr>
            <w:tcW w:w="1420" w:type="dxa"/>
            <w:tcBorders>
              <w:top w:val="single" w:sz="4" w:space="0" w:color="auto"/>
              <w:left w:val="nil"/>
              <w:bottom w:val="single" w:sz="4" w:space="0" w:color="auto"/>
              <w:right w:val="nil"/>
            </w:tcBorders>
            <w:shd w:val="clear" w:color="auto" w:fill="auto"/>
            <w:vAlign w:val="center"/>
            <w:hideMark/>
          </w:tcPr>
          <w:p w14:paraId="48803BAA" w14:textId="77777777" w:rsidR="00E9409C" w:rsidRPr="004A5BF7" w:rsidRDefault="00E9409C" w:rsidP="005C54B4">
            <w:pPr>
              <w:spacing w:before="0" w:after="0"/>
              <w:jc w:val="center"/>
              <w:rPr>
                <w:rFonts w:cs="Arial"/>
                <w:color w:val="000000"/>
                <w:sz w:val="18"/>
                <w:szCs w:val="18"/>
                <w:lang w:val="en-AU" w:eastAsia="en-AU"/>
              </w:rPr>
            </w:pPr>
            <w:r w:rsidRPr="004A5BF7">
              <w:rPr>
                <w:rFonts w:cs="Arial"/>
                <w:color w:val="000000"/>
                <w:sz w:val="18"/>
                <w:szCs w:val="18"/>
                <w:lang w:val="en-AU" w:eastAsia="en-AU"/>
              </w:rPr>
              <w:t>Burdekin (surface)</w:t>
            </w:r>
          </w:p>
        </w:tc>
        <w:tc>
          <w:tcPr>
            <w:tcW w:w="1420" w:type="dxa"/>
            <w:tcBorders>
              <w:top w:val="single" w:sz="4" w:space="0" w:color="auto"/>
              <w:left w:val="nil"/>
              <w:bottom w:val="single" w:sz="4" w:space="0" w:color="auto"/>
              <w:right w:val="nil"/>
            </w:tcBorders>
            <w:shd w:val="clear" w:color="auto" w:fill="auto"/>
            <w:vAlign w:val="center"/>
            <w:hideMark/>
          </w:tcPr>
          <w:p w14:paraId="7A7DC2BE" w14:textId="77777777" w:rsidR="00E9409C" w:rsidRPr="004A5BF7" w:rsidRDefault="00E9409C" w:rsidP="005C54B4">
            <w:pPr>
              <w:spacing w:before="0" w:after="0"/>
              <w:jc w:val="center"/>
              <w:rPr>
                <w:rFonts w:cs="Arial"/>
                <w:color w:val="000000"/>
                <w:sz w:val="18"/>
                <w:szCs w:val="18"/>
                <w:lang w:val="en-AU" w:eastAsia="en-AU"/>
              </w:rPr>
            </w:pPr>
            <w:r w:rsidRPr="004A5BF7">
              <w:rPr>
                <w:rFonts w:cs="Arial"/>
                <w:color w:val="000000"/>
                <w:sz w:val="18"/>
                <w:szCs w:val="18"/>
                <w:lang w:val="en-AU" w:eastAsia="en-AU"/>
              </w:rPr>
              <w:t>Burdekin (bottom)</w:t>
            </w:r>
          </w:p>
        </w:tc>
      </w:tr>
      <w:tr w:rsidR="00E9409C" w:rsidRPr="005C54B4" w14:paraId="723E0A3D" w14:textId="77777777" w:rsidTr="004A5BF7">
        <w:trPr>
          <w:trHeight w:val="300"/>
          <w:jc w:val="center"/>
        </w:trPr>
        <w:tc>
          <w:tcPr>
            <w:tcW w:w="1840" w:type="dxa"/>
            <w:vMerge w:val="restart"/>
            <w:tcBorders>
              <w:top w:val="nil"/>
              <w:left w:val="nil"/>
              <w:bottom w:val="single" w:sz="4" w:space="0" w:color="000000"/>
              <w:right w:val="nil"/>
            </w:tcBorders>
            <w:shd w:val="clear" w:color="auto" w:fill="auto"/>
            <w:vAlign w:val="center"/>
            <w:hideMark/>
          </w:tcPr>
          <w:p w14:paraId="64F11FC8"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Temperature (˚C)</w:t>
            </w:r>
          </w:p>
        </w:tc>
        <w:tc>
          <w:tcPr>
            <w:tcW w:w="820" w:type="dxa"/>
            <w:tcBorders>
              <w:top w:val="nil"/>
              <w:left w:val="nil"/>
              <w:bottom w:val="nil"/>
              <w:right w:val="nil"/>
            </w:tcBorders>
            <w:shd w:val="clear" w:color="auto" w:fill="auto"/>
            <w:vAlign w:val="center"/>
            <w:hideMark/>
          </w:tcPr>
          <w:p w14:paraId="115D30FF"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Min.</w:t>
            </w:r>
          </w:p>
        </w:tc>
        <w:tc>
          <w:tcPr>
            <w:tcW w:w="1420" w:type="dxa"/>
            <w:tcBorders>
              <w:top w:val="nil"/>
              <w:left w:val="nil"/>
              <w:bottom w:val="nil"/>
              <w:right w:val="nil"/>
            </w:tcBorders>
            <w:shd w:val="clear" w:color="auto" w:fill="auto"/>
            <w:vAlign w:val="center"/>
            <w:hideMark/>
          </w:tcPr>
          <w:p w14:paraId="3F2D6B59"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26.10</w:t>
            </w:r>
          </w:p>
        </w:tc>
        <w:tc>
          <w:tcPr>
            <w:tcW w:w="1420" w:type="dxa"/>
            <w:tcBorders>
              <w:top w:val="nil"/>
              <w:left w:val="nil"/>
              <w:bottom w:val="nil"/>
              <w:right w:val="nil"/>
            </w:tcBorders>
            <w:shd w:val="clear" w:color="auto" w:fill="auto"/>
            <w:vAlign w:val="center"/>
            <w:hideMark/>
          </w:tcPr>
          <w:p w14:paraId="4C7BFE76"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27.60</w:t>
            </w:r>
          </w:p>
        </w:tc>
        <w:tc>
          <w:tcPr>
            <w:tcW w:w="1420" w:type="dxa"/>
            <w:tcBorders>
              <w:top w:val="nil"/>
              <w:left w:val="nil"/>
              <w:bottom w:val="nil"/>
              <w:right w:val="nil"/>
            </w:tcBorders>
            <w:shd w:val="clear" w:color="auto" w:fill="auto"/>
            <w:vAlign w:val="center"/>
            <w:hideMark/>
          </w:tcPr>
          <w:p w14:paraId="4BDDD97F" w14:textId="77777777" w:rsidR="00E9409C" w:rsidRPr="004A5BF7" w:rsidRDefault="00E9409C" w:rsidP="004A5BF7">
            <w:pPr>
              <w:spacing w:before="0" w:after="0"/>
              <w:jc w:val="center"/>
              <w:rPr>
                <w:rFonts w:cs="Arial"/>
                <w:color w:val="000000"/>
                <w:sz w:val="18"/>
                <w:szCs w:val="18"/>
                <w:lang w:val="en-AU" w:eastAsia="en-AU"/>
              </w:rPr>
            </w:pPr>
          </w:p>
        </w:tc>
        <w:tc>
          <w:tcPr>
            <w:tcW w:w="1420" w:type="dxa"/>
            <w:tcBorders>
              <w:top w:val="nil"/>
              <w:left w:val="nil"/>
              <w:bottom w:val="nil"/>
              <w:right w:val="nil"/>
            </w:tcBorders>
            <w:shd w:val="clear" w:color="auto" w:fill="auto"/>
            <w:vAlign w:val="center"/>
            <w:hideMark/>
          </w:tcPr>
          <w:p w14:paraId="18EDB4CE" w14:textId="77777777" w:rsidR="00E9409C" w:rsidRPr="004A5BF7" w:rsidRDefault="00E9409C" w:rsidP="004A5BF7">
            <w:pPr>
              <w:spacing w:before="0" w:after="0"/>
              <w:jc w:val="center"/>
              <w:rPr>
                <w:rFonts w:cs="Arial"/>
                <w:color w:val="000000"/>
                <w:sz w:val="18"/>
                <w:szCs w:val="18"/>
                <w:lang w:val="en-AU" w:eastAsia="en-AU"/>
              </w:rPr>
            </w:pPr>
          </w:p>
        </w:tc>
      </w:tr>
      <w:tr w:rsidR="00E9409C" w:rsidRPr="005C54B4" w14:paraId="4E51BF83" w14:textId="77777777" w:rsidTr="004A5BF7">
        <w:trPr>
          <w:trHeight w:val="300"/>
          <w:jc w:val="center"/>
        </w:trPr>
        <w:tc>
          <w:tcPr>
            <w:tcW w:w="1840" w:type="dxa"/>
            <w:vMerge/>
            <w:tcBorders>
              <w:top w:val="nil"/>
              <w:left w:val="nil"/>
              <w:bottom w:val="single" w:sz="4" w:space="0" w:color="000000"/>
              <w:right w:val="nil"/>
            </w:tcBorders>
            <w:vAlign w:val="center"/>
            <w:hideMark/>
          </w:tcPr>
          <w:p w14:paraId="511BCA55"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322E089B"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Max.</w:t>
            </w:r>
          </w:p>
        </w:tc>
        <w:tc>
          <w:tcPr>
            <w:tcW w:w="1420" w:type="dxa"/>
            <w:tcBorders>
              <w:top w:val="nil"/>
              <w:left w:val="nil"/>
              <w:bottom w:val="nil"/>
              <w:right w:val="nil"/>
            </w:tcBorders>
            <w:shd w:val="clear" w:color="auto" w:fill="auto"/>
            <w:vAlign w:val="center"/>
            <w:hideMark/>
          </w:tcPr>
          <w:p w14:paraId="2B0CE11A"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29.80</w:t>
            </w:r>
          </w:p>
        </w:tc>
        <w:tc>
          <w:tcPr>
            <w:tcW w:w="1420" w:type="dxa"/>
            <w:tcBorders>
              <w:top w:val="nil"/>
              <w:left w:val="nil"/>
              <w:bottom w:val="nil"/>
              <w:right w:val="nil"/>
            </w:tcBorders>
            <w:shd w:val="clear" w:color="auto" w:fill="auto"/>
            <w:vAlign w:val="center"/>
            <w:hideMark/>
          </w:tcPr>
          <w:p w14:paraId="28245E2A"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30.40</w:t>
            </w:r>
          </w:p>
        </w:tc>
        <w:tc>
          <w:tcPr>
            <w:tcW w:w="1420" w:type="dxa"/>
            <w:tcBorders>
              <w:top w:val="nil"/>
              <w:left w:val="nil"/>
              <w:bottom w:val="nil"/>
              <w:right w:val="nil"/>
            </w:tcBorders>
            <w:shd w:val="clear" w:color="auto" w:fill="auto"/>
            <w:vAlign w:val="center"/>
            <w:hideMark/>
          </w:tcPr>
          <w:p w14:paraId="163D422F" w14:textId="77777777" w:rsidR="00E9409C" w:rsidRPr="004A5BF7" w:rsidRDefault="00E9409C" w:rsidP="004A5BF7">
            <w:pPr>
              <w:spacing w:before="0" w:after="0"/>
              <w:jc w:val="center"/>
              <w:rPr>
                <w:rFonts w:cs="Arial"/>
                <w:color w:val="000000"/>
                <w:sz w:val="18"/>
                <w:szCs w:val="18"/>
                <w:lang w:val="en-AU" w:eastAsia="en-AU"/>
              </w:rPr>
            </w:pPr>
          </w:p>
        </w:tc>
        <w:tc>
          <w:tcPr>
            <w:tcW w:w="1420" w:type="dxa"/>
            <w:tcBorders>
              <w:top w:val="nil"/>
              <w:left w:val="nil"/>
              <w:bottom w:val="nil"/>
              <w:right w:val="nil"/>
            </w:tcBorders>
            <w:shd w:val="clear" w:color="auto" w:fill="auto"/>
            <w:vAlign w:val="center"/>
            <w:hideMark/>
          </w:tcPr>
          <w:p w14:paraId="4720BF25" w14:textId="77777777" w:rsidR="00E9409C" w:rsidRPr="004A5BF7" w:rsidRDefault="00E9409C" w:rsidP="004A5BF7">
            <w:pPr>
              <w:spacing w:before="0" w:after="0"/>
              <w:jc w:val="center"/>
              <w:rPr>
                <w:rFonts w:cs="Arial"/>
                <w:color w:val="000000"/>
                <w:sz w:val="18"/>
                <w:szCs w:val="18"/>
                <w:lang w:val="en-AU" w:eastAsia="en-AU"/>
              </w:rPr>
            </w:pPr>
          </w:p>
        </w:tc>
      </w:tr>
      <w:tr w:rsidR="00E9409C" w:rsidRPr="005C54B4" w14:paraId="6149CB4F" w14:textId="77777777" w:rsidTr="004A5BF7">
        <w:trPr>
          <w:trHeight w:val="300"/>
          <w:jc w:val="center"/>
        </w:trPr>
        <w:tc>
          <w:tcPr>
            <w:tcW w:w="1840" w:type="dxa"/>
            <w:vMerge/>
            <w:tcBorders>
              <w:top w:val="nil"/>
              <w:left w:val="nil"/>
              <w:bottom w:val="single" w:sz="4" w:space="0" w:color="000000"/>
              <w:right w:val="nil"/>
            </w:tcBorders>
            <w:vAlign w:val="center"/>
            <w:hideMark/>
          </w:tcPr>
          <w:p w14:paraId="312CF2F6"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24719033"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Mean</w:t>
            </w:r>
          </w:p>
        </w:tc>
        <w:tc>
          <w:tcPr>
            <w:tcW w:w="1420" w:type="dxa"/>
            <w:tcBorders>
              <w:top w:val="nil"/>
              <w:left w:val="nil"/>
              <w:bottom w:val="nil"/>
              <w:right w:val="nil"/>
            </w:tcBorders>
            <w:shd w:val="clear" w:color="auto" w:fill="auto"/>
            <w:vAlign w:val="center"/>
            <w:hideMark/>
          </w:tcPr>
          <w:p w14:paraId="33B5BD49"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28.56</w:t>
            </w:r>
          </w:p>
        </w:tc>
        <w:tc>
          <w:tcPr>
            <w:tcW w:w="1420" w:type="dxa"/>
            <w:tcBorders>
              <w:top w:val="nil"/>
              <w:left w:val="nil"/>
              <w:bottom w:val="nil"/>
              <w:right w:val="nil"/>
            </w:tcBorders>
            <w:shd w:val="clear" w:color="auto" w:fill="auto"/>
            <w:vAlign w:val="center"/>
            <w:hideMark/>
          </w:tcPr>
          <w:p w14:paraId="5E2B5B4E"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29.19</w:t>
            </w:r>
          </w:p>
        </w:tc>
        <w:tc>
          <w:tcPr>
            <w:tcW w:w="1420" w:type="dxa"/>
            <w:tcBorders>
              <w:top w:val="nil"/>
              <w:left w:val="nil"/>
              <w:bottom w:val="nil"/>
              <w:right w:val="nil"/>
            </w:tcBorders>
            <w:shd w:val="clear" w:color="auto" w:fill="auto"/>
            <w:vAlign w:val="center"/>
            <w:hideMark/>
          </w:tcPr>
          <w:p w14:paraId="405AAB9C" w14:textId="77777777" w:rsidR="00E9409C" w:rsidRPr="004A5BF7" w:rsidRDefault="00E9409C" w:rsidP="004A5BF7">
            <w:pPr>
              <w:spacing w:before="0" w:after="0"/>
              <w:jc w:val="center"/>
              <w:rPr>
                <w:rFonts w:cs="Arial"/>
                <w:color w:val="000000"/>
                <w:sz w:val="18"/>
                <w:szCs w:val="18"/>
                <w:lang w:val="en-AU" w:eastAsia="en-AU"/>
              </w:rPr>
            </w:pPr>
          </w:p>
        </w:tc>
        <w:tc>
          <w:tcPr>
            <w:tcW w:w="1420" w:type="dxa"/>
            <w:tcBorders>
              <w:top w:val="nil"/>
              <w:left w:val="nil"/>
              <w:bottom w:val="nil"/>
              <w:right w:val="nil"/>
            </w:tcBorders>
            <w:shd w:val="clear" w:color="auto" w:fill="auto"/>
            <w:vAlign w:val="center"/>
            <w:hideMark/>
          </w:tcPr>
          <w:p w14:paraId="71764534" w14:textId="77777777" w:rsidR="00E9409C" w:rsidRPr="004A5BF7" w:rsidRDefault="00E9409C" w:rsidP="004A5BF7">
            <w:pPr>
              <w:spacing w:before="0" w:after="0"/>
              <w:jc w:val="center"/>
              <w:rPr>
                <w:rFonts w:cs="Arial"/>
                <w:color w:val="000000"/>
                <w:sz w:val="18"/>
                <w:szCs w:val="18"/>
                <w:lang w:val="en-AU" w:eastAsia="en-AU"/>
              </w:rPr>
            </w:pPr>
          </w:p>
        </w:tc>
      </w:tr>
      <w:tr w:rsidR="00E9409C" w:rsidRPr="005C54B4" w14:paraId="549464F5" w14:textId="77777777" w:rsidTr="004A5BF7">
        <w:trPr>
          <w:trHeight w:val="300"/>
          <w:jc w:val="center"/>
        </w:trPr>
        <w:tc>
          <w:tcPr>
            <w:tcW w:w="1840" w:type="dxa"/>
            <w:vMerge/>
            <w:tcBorders>
              <w:top w:val="nil"/>
              <w:left w:val="nil"/>
              <w:bottom w:val="single" w:sz="4" w:space="0" w:color="000000"/>
              <w:right w:val="nil"/>
            </w:tcBorders>
            <w:vAlign w:val="center"/>
            <w:hideMark/>
          </w:tcPr>
          <w:p w14:paraId="6709736F"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709E4C14"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Median</w:t>
            </w:r>
          </w:p>
        </w:tc>
        <w:tc>
          <w:tcPr>
            <w:tcW w:w="1420" w:type="dxa"/>
            <w:tcBorders>
              <w:top w:val="nil"/>
              <w:left w:val="nil"/>
              <w:bottom w:val="nil"/>
              <w:right w:val="nil"/>
            </w:tcBorders>
            <w:shd w:val="clear" w:color="auto" w:fill="auto"/>
            <w:vAlign w:val="center"/>
            <w:hideMark/>
          </w:tcPr>
          <w:p w14:paraId="03D9848B"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28.90</w:t>
            </w:r>
          </w:p>
        </w:tc>
        <w:tc>
          <w:tcPr>
            <w:tcW w:w="1420" w:type="dxa"/>
            <w:tcBorders>
              <w:top w:val="nil"/>
              <w:left w:val="nil"/>
              <w:bottom w:val="nil"/>
              <w:right w:val="nil"/>
            </w:tcBorders>
            <w:shd w:val="clear" w:color="auto" w:fill="auto"/>
            <w:vAlign w:val="center"/>
            <w:hideMark/>
          </w:tcPr>
          <w:p w14:paraId="4ABE83EA"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29.20</w:t>
            </w:r>
          </w:p>
        </w:tc>
        <w:tc>
          <w:tcPr>
            <w:tcW w:w="1420" w:type="dxa"/>
            <w:tcBorders>
              <w:top w:val="nil"/>
              <w:left w:val="nil"/>
              <w:bottom w:val="nil"/>
              <w:right w:val="nil"/>
            </w:tcBorders>
            <w:shd w:val="clear" w:color="auto" w:fill="auto"/>
            <w:vAlign w:val="center"/>
            <w:hideMark/>
          </w:tcPr>
          <w:p w14:paraId="09D7836D" w14:textId="77777777" w:rsidR="00E9409C" w:rsidRPr="004A5BF7" w:rsidRDefault="00E9409C" w:rsidP="004A5BF7">
            <w:pPr>
              <w:spacing w:before="0" w:after="0"/>
              <w:jc w:val="center"/>
              <w:rPr>
                <w:rFonts w:cs="Arial"/>
                <w:color w:val="000000"/>
                <w:sz w:val="18"/>
                <w:szCs w:val="18"/>
                <w:lang w:val="en-AU" w:eastAsia="en-AU"/>
              </w:rPr>
            </w:pPr>
          </w:p>
        </w:tc>
        <w:tc>
          <w:tcPr>
            <w:tcW w:w="1420" w:type="dxa"/>
            <w:tcBorders>
              <w:top w:val="nil"/>
              <w:left w:val="nil"/>
              <w:bottom w:val="nil"/>
              <w:right w:val="nil"/>
            </w:tcBorders>
            <w:shd w:val="clear" w:color="auto" w:fill="auto"/>
            <w:vAlign w:val="center"/>
            <w:hideMark/>
          </w:tcPr>
          <w:p w14:paraId="2BD990CA" w14:textId="77777777" w:rsidR="00E9409C" w:rsidRPr="004A5BF7" w:rsidRDefault="00E9409C" w:rsidP="004A5BF7">
            <w:pPr>
              <w:spacing w:before="0" w:after="0"/>
              <w:jc w:val="center"/>
              <w:rPr>
                <w:rFonts w:cs="Arial"/>
                <w:color w:val="000000"/>
                <w:sz w:val="18"/>
                <w:szCs w:val="18"/>
                <w:lang w:val="en-AU" w:eastAsia="en-AU"/>
              </w:rPr>
            </w:pPr>
          </w:p>
        </w:tc>
      </w:tr>
      <w:tr w:rsidR="00E9409C" w:rsidRPr="005C54B4" w14:paraId="2A8C599E" w14:textId="77777777" w:rsidTr="004A5BF7">
        <w:trPr>
          <w:trHeight w:val="300"/>
          <w:jc w:val="center"/>
        </w:trPr>
        <w:tc>
          <w:tcPr>
            <w:tcW w:w="1840" w:type="dxa"/>
            <w:vMerge/>
            <w:tcBorders>
              <w:top w:val="nil"/>
              <w:left w:val="nil"/>
              <w:bottom w:val="single" w:sz="4" w:space="0" w:color="000000"/>
              <w:right w:val="nil"/>
            </w:tcBorders>
            <w:vAlign w:val="center"/>
            <w:hideMark/>
          </w:tcPr>
          <w:p w14:paraId="5BF1E118"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69554A9B"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SD</w:t>
            </w:r>
          </w:p>
        </w:tc>
        <w:tc>
          <w:tcPr>
            <w:tcW w:w="1420" w:type="dxa"/>
            <w:tcBorders>
              <w:top w:val="nil"/>
              <w:left w:val="nil"/>
              <w:bottom w:val="nil"/>
              <w:right w:val="nil"/>
            </w:tcBorders>
            <w:shd w:val="clear" w:color="auto" w:fill="auto"/>
            <w:vAlign w:val="center"/>
            <w:hideMark/>
          </w:tcPr>
          <w:p w14:paraId="081C03F0"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0.96</w:t>
            </w:r>
          </w:p>
        </w:tc>
        <w:tc>
          <w:tcPr>
            <w:tcW w:w="1420" w:type="dxa"/>
            <w:tcBorders>
              <w:top w:val="nil"/>
              <w:left w:val="nil"/>
              <w:bottom w:val="nil"/>
              <w:right w:val="nil"/>
            </w:tcBorders>
            <w:shd w:val="clear" w:color="auto" w:fill="auto"/>
            <w:vAlign w:val="center"/>
            <w:hideMark/>
          </w:tcPr>
          <w:p w14:paraId="35CFC9AE"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0.61</w:t>
            </w:r>
          </w:p>
        </w:tc>
        <w:tc>
          <w:tcPr>
            <w:tcW w:w="1420" w:type="dxa"/>
            <w:tcBorders>
              <w:top w:val="nil"/>
              <w:left w:val="nil"/>
              <w:bottom w:val="nil"/>
              <w:right w:val="nil"/>
            </w:tcBorders>
            <w:shd w:val="clear" w:color="auto" w:fill="auto"/>
            <w:vAlign w:val="center"/>
            <w:hideMark/>
          </w:tcPr>
          <w:p w14:paraId="7F78FA97" w14:textId="77777777" w:rsidR="00E9409C" w:rsidRPr="004A5BF7" w:rsidRDefault="00E9409C" w:rsidP="004A5BF7">
            <w:pPr>
              <w:spacing w:before="0" w:after="0"/>
              <w:jc w:val="center"/>
              <w:rPr>
                <w:rFonts w:cs="Arial"/>
                <w:color w:val="000000"/>
                <w:sz w:val="18"/>
                <w:szCs w:val="18"/>
                <w:lang w:val="en-AU" w:eastAsia="en-AU"/>
              </w:rPr>
            </w:pPr>
          </w:p>
        </w:tc>
        <w:tc>
          <w:tcPr>
            <w:tcW w:w="1420" w:type="dxa"/>
            <w:tcBorders>
              <w:top w:val="nil"/>
              <w:left w:val="nil"/>
              <w:bottom w:val="nil"/>
              <w:right w:val="nil"/>
            </w:tcBorders>
            <w:shd w:val="clear" w:color="auto" w:fill="auto"/>
            <w:vAlign w:val="center"/>
            <w:hideMark/>
          </w:tcPr>
          <w:p w14:paraId="5F325FA6" w14:textId="77777777" w:rsidR="00E9409C" w:rsidRPr="004A5BF7" w:rsidRDefault="00E9409C" w:rsidP="004A5BF7">
            <w:pPr>
              <w:spacing w:before="0" w:after="0"/>
              <w:jc w:val="center"/>
              <w:rPr>
                <w:rFonts w:cs="Arial"/>
                <w:color w:val="000000"/>
                <w:sz w:val="18"/>
                <w:szCs w:val="18"/>
                <w:lang w:val="en-AU" w:eastAsia="en-AU"/>
              </w:rPr>
            </w:pPr>
          </w:p>
        </w:tc>
      </w:tr>
      <w:tr w:rsidR="00E9409C" w:rsidRPr="005C54B4" w14:paraId="09144B39" w14:textId="77777777" w:rsidTr="004A5BF7">
        <w:trPr>
          <w:trHeight w:val="300"/>
          <w:jc w:val="center"/>
        </w:trPr>
        <w:tc>
          <w:tcPr>
            <w:tcW w:w="1840" w:type="dxa"/>
            <w:vMerge/>
            <w:tcBorders>
              <w:top w:val="nil"/>
              <w:left w:val="nil"/>
              <w:bottom w:val="single" w:sz="4" w:space="0" w:color="000000"/>
              <w:right w:val="nil"/>
            </w:tcBorders>
            <w:vAlign w:val="center"/>
            <w:hideMark/>
          </w:tcPr>
          <w:p w14:paraId="6556D4F8"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single" w:sz="4" w:space="0" w:color="auto"/>
              <w:right w:val="nil"/>
            </w:tcBorders>
            <w:shd w:val="clear" w:color="auto" w:fill="auto"/>
            <w:vAlign w:val="center"/>
            <w:hideMark/>
          </w:tcPr>
          <w:p w14:paraId="4F350E60"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Count</w:t>
            </w:r>
          </w:p>
        </w:tc>
        <w:tc>
          <w:tcPr>
            <w:tcW w:w="1420" w:type="dxa"/>
            <w:tcBorders>
              <w:top w:val="nil"/>
              <w:left w:val="nil"/>
              <w:bottom w:val="single" w:sz="4" w:space="0" w:color="auto"/>
              <w:right w:val="nil"/>
            </w:tcBorders>
            <w:shd w:val="clear" w:color="auto" w:fill="auto"/>
            <w:vAlign w:val="center"/>
            <w:hideMark/>
          </w:tcPr>
          <w:p w14:paraId="41756260"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20</w:t>
            </w:r>
          </w:p>
        </w:tc>
        <w:tc>
          <w:tcPr>
            <w:tcW w:w="1420" w:type="dxa"/>
            <w:tcBorders>
              <w:top w:val="nil"/>
              <w:left w:val="nil"/>
              <w:bottom w:val="single" w:sz="4" w:space="0" w:color="auto"/>
              <w:right w:val="nil"/>
            </w:tcBorders>
            <w:shd w:val="clear" w:color="auto" w:fill="auto"/>
            <w:vAlign w:val="center"/>
            <w:hideMark/>
          </w:tcPr>
          <w:p w14:paraId="4F4BCD1F"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29</w:t>
            </w:r>
          </w:p>
        </w:tc>
        <w:tc>
          <w:tcPr>
            <w:tcW w:w="1420" w:type="dxa"/>
            <w:tcBorders>
              <w:top w:val="nil"/>
              <w:left w:val="nil"/>
              <w:bottom w:val="single" w:sz="4" w:space="0" w:color="auto"/>
              <w:right w:val="nil"/>
            </w:tcBorders>
            <w:shd w:val="clear" w:color="auto" w:fill="auto"/>
            <w:vAlign w:val="center"/>
            <w:hideMark/>
          </w:tcPr>
          <w:p w14:paraId="2A090CB5"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w:t>
            </w:r>
          </w:p>
        </w:tc>
        <w:tc>
          <w:tcPr>
            <w:tcW w:w="1420" w:type="dxa"/>
            <w:tcBorders>
              <w:top w:val="nil"/>
              <w:left w:val="nil"/>
              <w:bottom w:val="single" w:sz="4" w:space="0" w:color="auto"/>
              <w:right w:val="nil"/>
            </w:tcBorders>
            <w:shd w:val="clear" w:color="auto" w:fill="auto"/>
            <w:vAlign w:val="center"/>
            <w:hideMark/>
          </w:tcPr>
          <w:p w14:paraId="38394B8E"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w:t>
            </w:r>
          </w:p>
        </w:tc>
      </w:tr>
      <w:tr w:rsidR="00E9409C" w:rsidRPr="005C54B4" w14:paraId="1389901D" w14:textId="77777777" w:rsidTr="004A5BF7">
        <w:trPr>
          <w:trHeight w:val="300"/>
          <w:jc w:val="center"/>
        </w:trPr>
        <w:tc>
          <w:tcPr>
            <w:tcW w:w="1840" w:type="dxa"/>
            <w:vMerge w:val="restart"/>
            <w:tcBorders>
              <w:top w:val="nil"/>
              <w:left w:val="nil"/>
              <w:bottom w:val="single" w:sz="4" w:space="0" w:color="000000"/>
              <w:right w:val="nil"/>
            </w:tcBorders>
            <w:shd w:val="clear" w:color="auto" w:fill="auto"/>
            <w:vAlign w:val="center"/>
            <w:hideMark/>
          </w:tcPr>
          <w:p w14:paraId="6A968BDE"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Salinity (PSU)</w:t>
            </w:r>
          </w:p>
        </w:tc>
        <w:tc>
          <w:tcPr>
            <w:tcW w:w="820" w:type="dxa"/>
            <w:tcBorders>
              <w:top w:val="nil"/>
              <w:left w:val="nil"/>
              <w:bottom w:val="nil"/>
              <w:right w:val="nil"/>
            </w:tcBorders>
            <w:shd w:val="clear" w:color="auto" w:fill="auto"/>
            <w:vAlign w:val="center"/>
            <w:hideMark/>
          </w:tcPr>
          <w:p w14:paraId="2C80AC66"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Min.</w:t>
            </w:r>
          </w:p>
        </w:tc>
        <w:tc>
          <w:tcPr>
            <w:tcW w:w="1420" w:type="dxa"/>
            <w:tcBorders>
              <w:top w:val="nil"/>
              <w:left w:val="nil"/>
              <w:bottom w:val="nil"/>
              <w:right w:val="nil"/>
            </w:tcBorders>
            <w:shd w:val="clear" w:color="auto" w:fill="auto"/>
            <w:vAlign w:val="center"/>
            <w:hideMark/>
          </w:tcPr>
          <w:p w14:paraId="5F629C58"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0.20</w:t>
            </w:r>
          </w:p>
        </w:tc>
        <w:tc>
          <w:tcPr>
            <w:tcW w:w="1420" w:type="dxa"/>
            <w:tcBorders>
              <w:top w:val="nil"/>
              <w:left w:val="nil"/>
              <w:bottom w:val="nil"/>
              <w:right w:val="nil"/>
            </w:tcBorders>
            <w:shd w:val="clear" w:color="auto" w:fill="auto"/>
            <w:vAlign w:val="center"/>
            <w:hideMark/>
          </w:tcPr>
          <w:p w14:paraId="6514CD42"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1.20</w:t>
            </w:r>
          </w:p>
        </w:tc>
        <w:tc>
          <w:tcPr>
            <w:tcW w:w="1420" w:type="dxa"/>
            <w:tcBorders>
              <w:top w:val="nil"/>
              <w:left w:val="nil"/>
              <w:bottom w:val="nil"/>
              <w:right w:val="nil"/>
            </w:tcBorders>
            <w:shd w:val="clear" w:color="auto" w:fill="auto"/>
            <w:vAlign w:val="center"/>
            <w:hideMark/>
          </w:tcPr>
          <w:p w14:paraId="6A134F64"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35.80</w:t>
            </w:r>
          </w:p>
        </w:tc>
        <w:tc>
          <w:tcPr>
            <w:tcW w:w="1420" w:type="dxa"/>
            <w:tcBorders>
              <w:top w:val="nil"/>
              <w:left w:val="nil"/>
              <w:bottom w:val="nil"/>
              <w:right w:val="nil"/>
            </w:tcBorders>
            <w:shd w:val="clear" w:color="auto" w:fill="auto"/>
            <w:vAlign w:val="center"/>
            <w:hideMark/>
          </w:tcPr>
          <w:p w14:paraId="01D9972F"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36.30</w:t>
            </w:r>
          </w:p>
        </w:tc>
      </w:tr>
      <w:tr w:rsidR="00E9409C" w:rsidRPr="005C54B4" w14:paraId="27076917" w14:textId="77777777" w:rsidTr="004A5BF7">
        <w:trPr>
          <w:trHeight w:val="300"/>
          <w:jc w:val="center"/>
        </w:trPr>
        <w:tc>
          <w:tcPr>
            <w:tcW w:w="1840" w:type="dxa"/>
            <w:vMerge/>
            <w:tcBorders>
              <w:top w:val="nil"/>
              <w:left w:val="nil"/>
              <w:bottom w:val="single" w:sz="4" w:space="0" w:color="000000"/>
              <w:right w:val="nil"/>
            </w:tcBorders>
            <w:vAlign w:val="center"/>
            <w:hideMark/>
          </w:tcPr>
          <w:p w14:paraId="1F6A5832"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4DC62E5C"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Max.</w:t>
            </w:r>
          </w:p>
        </w:tc>
        <w:tc>
          <w:tcPr>
            <w:tcW w:w="1420" w:type="dxa"/>
            <w:tcBorders>
              <w:top w:val="nil"/>
              <w:left w:val="nil"/>
              <w:bottom w:val="nil"/>
              <w:right w:val="nil"/>
            </w:tcBorders>
            <w:shd w:val="clear" w:color="auto" w:fill="auto"/>
            <w:vAlign w:val="center"/>
            <w:hideMark/>
          </w:tcPr>
          <w:p w14:paraId="46ED621A"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36.60</w:t>
            </w:r>
          </w:p>
        </w:tc>
        <w:tc>
          <w:tcPr>
            <w:tcW w:w="1420" w:type="dxa"/>
            <w:tcBorders>
              <w:top w:val="nil"/>
              <w:left w:val="nil"/>
              <w:bottom w:val="nil"/>
              <w:right w:val="nil"/>
            </w:tcBorders>
            <w:shd w:val="clear" w:color="auto" w:fill="auto"/>
            <w:vAlign w:val="center"/>
            <w:hideMark/>
          </w:tcPr>
          <w:p w14:paraId="1BD961C1"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36.20</w:t>
            </w:r>
          </w:p>
        </w:tc>
        <w:tc>
          <w:tcPr>
            <w:tcW w:w="1420" w:type="dxa"/>
            <w:tcBorders>
              <w:top w:val="nil"/>
              <w:left w:val="nil"/>
              <w:bottom w:val="nil"/>
              <w:right w:val="nil"/>
            </w:tcBorders>
            <w:shd w:val="clear" w:color="auto" w:fill="auto"/>
            <w:vAlign w:val="center"/>
            <w:hideMark/>
          </w:tcPr>
          <w:p w14:paraId="7D87E893"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37.50</w:t>
            </w:r>
          </w:p>
        </w:tc>
        <w:tc>
          <w:tcPr>
            <w:tcW w:w="1420" w:type="dxa"/>
            <w:tcBorders>
              <w:top w:val="nil"/>
              <w:left w:val="nil"/>
              <w:bottom w:val="nil"/>
              <w:right w:val="nil"/>
            </w:tcBorders>
            <w:shd w:val="clear" w:color="auto" w:fill="auto"/>
            <w:vAlign w:val="center"/>
            <w:hideMark/>
          </w:tcPr>
          <w:p w14:paraId="61F249D5"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37.10</w:t>
            </w:r>
          </w:p>
        </w:tc>
      </w:tr>
      <w:tr w:rsidR="00E9409C" w:rsidRPr="005C54B4" w14:paraId="2EAAD852" w14:textId="77777777" w:rsidTr="004A5BF7">
        <w:trPr>
          <w:trHeight w:val="300"/>
          <w:jc w:val="center"/>
        </w:trPr>
        <w:tc>
          <w:tcPr>
            <w:tcW w:w="1840" w:type="dxa"/>
            <w:vMerge/>
            <w:tcBorders>
              <w:top w:val="nil"/>
              <w:left w:val="nil"/>
              <w:bottom w:val="single" w:sz="4" w:space="0" w:color="000000"/>
              <w:right w:val="nil"/>
            </w:tcBorders>
            <w:vAlign w:val="center"/>
            <w:hideMark/>
          </w:tcPr>
          <w:p w14:paraId="625762BB"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4D7395CC"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Mean</w:t>
            </w:r>
          </w:p>
        </w:tc>
        <w:tc>
          <w:tcPr>
            <w:tcW w:w="1420" w:type="dxa"/>
            <w:tcBorders>
              <w:top w:val="nil"/>
              <w:left w:val="nil"/>
              <w:bottom w:val="nil"/>
              <w:right w:val="nil"/>
            </w:tcBorders>
            <w:shd w:val="clear" w:color="auto" w:fill="auto"/>
            <w:vAlign w:val="center"/>
            <w:hideMark/>
          </w:tcPr>
          <w:p w14:paraId="6646823B"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27.51</w:t>
            </w:r>
          </w:p>
        </w:tc>
        <w:tc>
          <w:tcPr>
            <w:tcW w:w="1420" w:type="dxa"/>
            <w:tcBorders>
              <w:top w:val="nil"/>
              <w:left w:val="nil"/>
              <w:bottom w:val="nil"/>
              <w:right w:val="nil"/>
            </w:tcBorders>
            <w:shd w:val="clear" w:color="auto" w:fill="auto"/>
            <w:vAlign w:val="center"/>
            <w:hideMark/>
          </w:tcPr>
          <w:p w14:paraId="39FF0A72"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32.63</w:t>
            </w:r>
          </w:p>
        </w:tc>
        <w:tc>
          <w:tcPr>
            <w:tcW w:w="1420" w:type="dxa"/>
            <w:tcBorders>
              <w:top w:val="nil"/>
              <w:left w:val="nil"/>
              <w:bottom w:val="nil"/>
              <w:right w:val="nil"/>
            </w:tcBorders>
            <w:shd w:val="clear" w:color="auto" w:fill="auto"/>
            <w:vAlign w:val="center"/>
            <w:hideMark/>
          </w:tcPr>
          <w:p w14:paraId="0840784E"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36.65</w:t>
            </w:r>
          </w:p>
        </w:tc>
        <w:tc>
          <w:tcPr>
            <w:tcW w:w="1420" w:type="dxa"/>
            <w:tcBorders>
              <w:top w:val="nil"/>
              <w:left w:val="nil"/>
              <w:bottom w:val="nil"/>
              <w:right w:val="nil"/>
            </w:tcBorders>
            <w:shd w:val="clear" w:color="auto" w:fill="auto"/>
            <w:vAlign w:val="center"/>
            <w:hideMark/>
          </w:tcPr>
          <w:p w14:paraId="2C54075A"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36.67</w:t>
            </w:r>
          </w:p>
        </w:tc>
      </w:tr>
      <w:tr w:rsidR="00E9409C" w:rsidRPr="005C54B4" w14:paraId="7854619E" w14:textId="77777777" w:rsidTr="004A5BF7">
        <w:trPr>
          <w:trHeight w:val="300"/>
          <w:jc w:val="center"/>
        </w:trPr>
        <w:tc>
          <w:tcPr>
            <w:tcW w:w="1840" w:type="dxa"/>
            <w:vMerge/>
            <w:tcBorders>
              <w:top w:val="nil"/>
              <w:left w:val="nil"/>
              <w:bottom w:val="single" w:sz="4" w:space="0" w:color="000000"/>
              <w:right w:val="nil"/>
            </w:tcBorders>
            <w:vAlign w:val="center"/>
            <w:hideMark/>
          </w:tcPr>
          <w:p w14:paraId="6B398659"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18E3E5E4"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Median</w:t>
            </w:r>
          </w:p>
        </w:tc>
        <w:tc>
          <w:tcPr>
            <w:tcW w:w="1420" w:type="dxa"/>
            <w:tcBorders>
              <w:top w:val="nil"/>
              <w:left w:val="nil"/>
              <w:bottom w:val="nil"/>
              <w:right w:val="nil"/>
            </w:tcBorders>
            <w:shd w:val="clear" w:color="auto" w:fill="auto"/>
            <w:vAlign w:val="center"/>
            <w:hideMark/>
          </w:tcPr>
          <w:p w14:paraId="79F7227B"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35.20</w:t>
            </w:r>
          </w:p>
        </w:tc>
        <w:tc>
          <w:tcPr>
            <w:tcW w:w="1420" w:type="dxa"/>
            <w:tcBorders>
              <w:top w:val="nil"/>
              <w:left w:val="nil"/>
              <w:bottom w:val="nil"/>
              <w:right w:val="nil"/>
            </w:tcBorders>
            <w:shd w:val="clear" w:color="auto" w:fill="auto"/>
            <w:vAlign w:val="center"/>
            <w:hideMark/>
          </w:tcPr>
          <w:p w14:paraId="18F2D3E7"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35.50</w:t>
            </w:r>
          </w:p>
        </w:tc>
        <w:tc>
          <w:tcPr>
            <w:tcW w:w="1420" w:type="dxa"/>
            <w:tcBorders>
              <w:top w:val="nil"/>
              <w:left w:val="nil"/>
              <w:bottom w:val="nil"/>
              <w:right w:val="nil"/>
            </w:tcBorders>
            <w:shd w:val="clear" w:color="auto" w:fill="auto"/>
            <w:vAlign w:val="center"/>
            <w:hideMark/>
          </w:tcPr>
          <w:p w14:paraId="36B80B47"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36.60</w:t>
            </w:r>
          </w:p>
        </w:tc>
        <w:tc>
          <w:tcPr>
            <w:tcW w:w="1420" w:type="dxa"/>
            <w:tcBorders>
              <w:top w:val="nil"/>
              <w:left w:val="nil"/>
              <w:bottom w:val="nil"/>
              <w:right w:val="nil"/>
            </w:tcBorders>
            <w:shd w:val="clear" w:color="auto" w:fill="auto"/>
            <w:vAlign w:val="center"/>
            <w:hideMark/>
          </w:tcPr>
          <w:p w14:paraId="4D956BC6"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36.60</w:t>
            </w:r>
          </w:p>
        </w:tc>
      </w:tr>
      <w:tr w:rsidR="00E9409C" w:rsidRPr="005C54B4" w14:paraId="62E2DDCB" w14:textId="77777777" w:rsidTr="004A5BF7">
        <w:trPr>
          <w:trHeight w:val="300"/>
          <w:jc w:val="center"/>
        </w:trPr>
        <w:tc>
          <w:tcPr>
            <w:tcW w:w="1840" w:type="dxa"/>
            <w:vMerge/>
            <w:tcBorders>
              <w:top w:val="nil"/>
              <w:left w:val="nil"/>
              <w:bottom w:val="single" w:sz="4" w:space="0" w:color="000000"/>
              <w:right w:val="nil"/>
            </w:tcBorders>
            <w:vAlign w:val="center"/>
            <w:hideMark/>
          </w:tcPr>
          <w:p w14:paraId="5831F0AB"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0EEABD25"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SD</w:t>
            </w:r>
          </w:p>
        </w:tc>
        <w:tc>
          <w:tcPr>
            <w:tcW w:w="1420" w:type="dxa"/>
            <w:tcBorders>
              <w:top w:val="nil"/>
              <w:left w:val="nil"/>
              <w:bottom w:val="nil"/>
              <w:right w:val="nil"/>
            </w:tcBorders>
            <w:shd w:val="clear" w:color="auto" w:fill="auto"/>
            <w:vAlign w:val="center"/>
            <w:hideMark/>
          </w:tcPr>
          <w:p w14:paraId="5E66F2EE"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13.02</w:t>
            </w:r>
          </w:p>
        </w:tc>
        <w:tc>
          <w:tcPr>
            <w:tcW w:w="1420" w:type="dxa"/>
            <w:tcBorders>
              <w:top w:val="nil"/>
              <w:left w:val="nil"/>
              <w:bottom w:val="nil"/>
              <w:right w:val="nil"/>
            </w:tcBorders>
            <w:shd w:val="clear" w:color="auto" w:fill="auto"/>
            <w:vAlign w:val="center"/>
            <w:hideMark/>
          </w:tcPr>
          <w:p w14:paraId="2E828109"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8.29</w:t>
            </w:r>
          </w:p>
        </w:tc>
        <w:tc>
          <w:tcPr>
            <w:tcW w:w="1420" w:type="dxa"/>
            <w:tcBorders>
              <w:top w:val="nil"/>
              <w:left w:val="nil"/>
              <w:bottom w:val="nil"/>
              <w:right w:val="nil"/>
            </w:tcBorders>
            <w:shd w:val="clear" w:color="auto" w:fill="auto"/>
            <w:vAlign w:val="center"/>
            <w:hideMark/>
          </w:tcPr>
          <w:p w14:paraId="5F9CF150"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0.46</w:t>
            </w:r>
          </w:p>
        </w:tc>
        <w:tc>
          <w:tcPr>
            <w:tcW w:w="1420" w:type="dxa"/>
            <w:tcBorders>
              <w:top w:val="nil"/>
              <w:left w:val="nil"/>
              <w:bottom w:val="nil"/>
              <w:right w:val="nil"/>
            </w:tcBorders>
            <w:shd w:val="clear" w:color="auto" w:fill="auto"/>
            <w:vAlign w:val="center"/>
            <w:hideMark/>
          </w:tcPr>
          <w:p w14:paraId="22E26900"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0.27</w:t>
            </w:r>
          </w:p>
        </w:tc>
      </w:tr>
      <w:tr w:rsidR="00E9409C" w:rsidRPr="005C54B4" w14:paraId="12FEDB29" w14:textId="77777777" w:rsidTr="004A5BF7">
        <w:trPr>
          <w:trHeight w:val="300"/>
          <w:jc w:val="center"/>
        </w:trPr>
        <w:tc>
          <w:tcPr>
            <w:tcW w:w="1840" w:type="dxa"/>
            <w:vMerge/>
            <w:tcBorders>
              <w:top w:val="nil"/>
              <w:left w:val="nil"/>
              <w:bottom w:val="single" w:sz="4" w:space="0" w:color="000000"/>
              <w:right w:val="nil"/>
            </w:tcBorders>
            <w:vAlign w:val="center"/>
            <w:hideMark/>
          </w:tcPr>
          <w:p w14:paraId="3463A8D0"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single" w:sz="4" w:space="0" w:color="auto"/>
              <w:right w:val="nil"/>
            </w:tcBorders>
            <w:shd w:val="clear" w:color="auto" w:fill="auto"/>
            <w:vAlign w:val="center"/>
            <w:hideMark/>
          </w:tcPr>
          <w:p w14:paraId="6E4FF4E6"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Count</w:t>
            </w:r>
          </w:p>
        </w:tc>
        <w:tc>
          <w:tcPr>
            <w:tcW w:w="1420" w:type="dxa"/>
            <w:tcBorders>
              <w:top w:val="nil"/>
              <w:left w:val="nil"/>
              <w:bottom w:val="single" w:sz="4" w:space="0" w:color="auto"/>
              <w:right w:val="nil"/>
            </w:tcBorders>
            <w:shd w:val="clear" w:color="auto" w:fill="auto"/>
            <w:vAlign w:val="center"/>
            <w:hideMark/>
          </w:tcPr>
          <w:p w14:paraId="0C730462"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23</w:t>
            </w:r>
          </w:p>
        </w:tc>
        <w:tc>
          <w:tcPr>
            <w:tcW w:w="1420" w:type="dxa"/>
            <w:tcBorders>
              <w:top w:val="nil"/>
              <w:left w:val="nil"/>
              <w:bottom w:val="single" w:sz="4" w:space="0" w:color="auto"/>
              <w:right w:val="nil"/>
            </w:tcBorders>
            <w:shd w:val="clear" w:color="auto" w:fill="auto"/>
            <w:vAlign w:val="center"/>
            <w:hideMark/>
          </w:tcPr>
          <w:p w14:paraId="337BDB93"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29</w:t>
            </w:r>
          </w:p>
        </w:tc>
        <w:tc>
          <w:tcPr>
            <w:tcW w:w="1420" w:type="dxa"/>
            <w:tcBorders>
              <w:top w:val="nil"/>
              <w:left w:val="nil"/>
              <w:bottom w:val="single" w:sz="4" w:space="0" w:color="auto"/>
              <w:right w:val="nil"/>
            </w:tcBorders>
            <w:shd w:val="clear" w:color="auto" w:fill="auto"/>
            <w:vAlign w:val="center"/>
            <w:hideMark/>
          </w:tcPr>
          <w:p w14:paraId="31A3642E"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27</w:t>
            </w:r>
          </w:p>
        </w:tc>
        <w:tc>
          <w:tcPr>
            <w:tcW w:w="1420" w:type="dxa"/>
            <w:tcBorders>
              <w:top w:val="nil"/>
              <w:left w:val="nil"/>
              <w:bottom w:val="single" w:sz="4" w:space="0" w:color="auto"/>
              <w:right w:val="nil"/>
            </w:tcBorders>
            <w:shd w:val="clear" w:color="auto" w:fill="auto"/>
            <w:vAlign w:val="center"/>
            <w:hideMark/>
          </w:tcPr>
          <w:p w14:paraId="64470104"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9</w:t>
            </w:r>
          </w:p>
        </w:tc>
      </w:tr>
      <w:tr w:rsidR="00E9409C" w:rsidRPr="005C54B4" w14:paraId="377F5A69" w14:textId="77777777" w:rsidTr="004A5BF7">
        <w:trPr>
          <w:trHeight w:val="300"/>
          <w:jc w:val="center"/>
        </w:trPr>
        <w:tc>
          <w:tcPr>
            <w:tcW w:w="1840" w:type="dxa"/>
            <w:vMerge w:val="restart"/>
            <w:tcBorders>
              <w:top w:val="nil"/>
              <w:left w:val="nil"/>
              <w:bottom w:val="single" w:sz="4" w:space="0" w:color="000000"/>
              <w:right w:val="nil"/>
            </w:tcBorders>
            <w:shd w:val="clear" w:color="auto" w:fill="auto"/>
            <w:vAlign w:val="center"/>
            <w:hideMark/>
          </w:tcPr>
          <w:p w14:paraId="562A6C2A"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Underwater Light Extinction Coefficient (/m)</w:t>
            </w:r>
          </w:p>
        </w:tc>
        <w:tc>
          <w:tcPr>
            <w:tcW w:w="820" w:type="dxa"/>
            <w:tcBorders>
              <w:top w:val="nil"/>
              <w:left w:val="nil"/>
              <w:bottom w:val="nil"/>
              <w:right w:val="nil"/>
            </w:tcBorders>
            <w:shd w:val="clear" w:color="auto" w:fill="auto"/>
            <w:vAlign w:val="center"/>
            <w:hideMark/>
          </w:tcPr>
          <w:p w14:paraId="348470E8"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Min.</w:t>
            </w:r>
          </w:p>
        </w:tc>
        <w:tc>
          <w:tcPr>
            <w:tcW w:w="1420" w:type="dxa"/>
            <w:tcBorders>
              <w:top w:val="nil"/>
              <w:left w:val="nil"/>
              <w:bottom w:val="nil"/>
              <w:right w:val="nil"/>
            </w:tcBorders>
            <w:shd w:val="clear" w:color="auto" w:fill="auto"/>
            <w:vAlign w:val="center"/>
            <w:hideMark/>
          </w:tcPr>
          <w:p w14:paraId="57EC5277"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0.13</w:t>
            </w:r>
          </w:p>
        </w:tc>
        <w:tc>
          <w:tcPr>
            <w:tcW w:w="1420" w:type="dxa"/>
            <w:tcBorders>
              <w:top w:val="nil"/>
              <w:left w:val="nil"/>
              <w:bottom w:val="nil"/>
              <w:right w:val="nil"/>
            </w:tcBorders>
            <w:shd w:val="clear" w:color="auto" w:fill="auto"/>
            <w:vAlign w:val="center"/>
            <w:hideMark/>
          </w:tcPr>
          <w:p w14:paraId="2024856F"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0.10</w:t>
            </w:r>
          </w:p>
        </w:tc>
        <w:tc>
          <w:tcPr>
            <w:tcW w:w="1420" w:type="dxa"/>
            <w:tcBorders>
              <w:top w:val="nil"/>
              <w:left w:val="nil"/>
              <w:bottom w:val="nil"/>
              <w:right w:val="nil"/>
            </w:tcBorders>
            <w:shd w:val="clear" w:color="auto" w:fill="auto"/>
            <w:vAlign w:val="center"/>
            <w:hideMark/>
          </w:tcPr>
          <w:p w14:paraId="341FC3E0"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0.08</w:t>
            </w:r>
          </w:p>
        </w:tc>
        <w:tc>
          <w:tcPr>
            <w:tcW w:w="1420" w:type="dxa"/>
            <w:tcBorders>
              <w:top w:val="nil"/>
              <w:left w:val="nil"/>
              <w:bottom w:val="nil"/>
              <w:right w:val="nil"/>
            </w:tcBorders>
            <w:shd w:val="clear" w:color="auto" w:fill="auto"/>
            <w:vAlign w:val="center"/>
            <w:hideMark/>
          </w:tcPr>
          <w:p w14:paraId="41AA25F7" w14:textId="77777777" w:rsidR="00E9409C" w:rsidRPr="004A5BF7" w:rsidRDefault="00E9409C" w:rsidP="004A5BF7">
            <w:pPr>
              <w:spacing w:before="0" w:after="0"/>
              <w:jc w:val="center"/>
              <w:rPr>
                <w:rFonts w:cs="Arial"/>
                <w:color w:val="000000"/>
                <w:sz w:val="18"/>
                <w:szCs w:val="18"/>
                <w:lang w:val="en-AU" w:eastAsia="en-AU"/>
              </w:rPr>
            </w:pPr>
          </w:p>
        </w:tc>
      </w:tr>
      <w:tr w:rsidR="00E9409C" w:rsidRPr="005C54B4" w14:paraId="35E607A4" w14:textId="77777777" w:rsidTr="004A5BF7">
        <w:trPr>
          <w:trHeight w:val="300"/>
          <w:jc w:val="center"/>
        </w:trPr>
        <w:tc>
          <w:tcPr>
            <w:tcW w:w="1840" w:type="dxa"/>
            <w:vMerge/>
            <w:tcBorders>
              <w:top w:val="nil"/>
              <w:left w:val="nil"/>
              <w:bottom w:val="single" w:sz="4" w:space="0" w:color="000000"/>
              <w:right w:val="nil"/>
            </w:tcBorders>
            <w:vAlign w:val="center"/>
            <w:hideMark/>
          </w:tcPr>
          <w:p w14:paraId="2BBC3447"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6E2E623B"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Max.</w:t>
            </w:r>
          </w:p>
        </w:tc>
        <w:tc>
          <w:tcPr>
            <w:tcW w:w="1420" w:type="dxa"/>
            <w:tcBorders>
              <w:top w:val="nil"/>
              <w:left w:val="nil"/>
              <w:bottom w:val="nil"/>
              <w:right w:val="nil"/>
            </w:tcBorders>
            <w:shd w:val="clear" w:color="auto" w:fill="auto"/>
            <w:vAlign w:val="center"/>
            <w:hideMark/>
          </w:tcPr>
          <w:p w14:paraId="047B547E"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1.70</w:t>
            </w:r>
          </w:p>
        </w:tc>
        <w:tc>
          <w:tcPr>
            <w:tcW w:w="1420" w:type="dxa"/>
            <w:tcBorders>
              <w:top w:val="nil"/>
              <w:left w:val="nil"/>
              <w:bottom w:val="nil"/>
              <w:right w:val="nil"/>
            </w:tcBorders>
            <w:shd w:val="clear" w:color="auto" w:fill="auto"/>
            <w:vAlign w:val="center"/>
            <w:hideMark/>
          </w:tcPr>
          <w:p w14:paraId="0A651E59"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1.44</w:t>
            </w:r>
          </w:p>
        </w:tc>
        <w:tc>
          <w:tcPr>
            <w:tcW w:w="1420" w:type="dxa"/>
            <w:tcBorders>
              <w:top w:val="nil"/>
              <w:left w:val="nil"/>
              <w:bottom w:val="nil"/>
              <w:right w:val="nil"/>
            </w:tcBorders>
            <w:shd w:val="clear" w:color="auto" w:fill="auto"/>
            <w:vAlign w:val="center"/>
            <w:hideMark/>
          </w:tcPr>
          <w:p w14:paraId="6449F520"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1.98</w:t>
            </w:r>
          </w:p>
        </w:tc>
        <w:tc>
          <w:tcPr>
            <w:tcW w:w="1420" w:type="dxa"/>
            <w:tcBorders>
              <w:top w:val="nil"/>
              <w:left w:val="nil"/>
              <w:bottom w:val="nil"/>
              <w:right w:val="nil"/>
            </w:tcBorders>
            <w:shd w:val="clear" w:color="auto" w:fill="auto"/>
            <w:vAlign w:val="center"/>
            <w:hideMark/>
          </w:tcPr>
          <w:p w14:paraId="044DC0B1" w14:textId="77777777" w:rsidR="00E9409C" w:rsidRPr="004A5BF7" w:rsidRDefault="00E9409C" w:rsidP="004A5BF7">
            <w:pPr>
              <w:spacing w:before="0" w:after="0"/>
              <w:jc w:val="center"/>
              <w:rPr>
                <w:rFonts w:cs="Arial"/>
                <w:color w:val="000000"/>
                <w:sz w:val="18"/>
                <w:szCs w:val="18"/>
                <w:lang w:val="en-AU" w:eastAsia="en-AU"/>
              </w:rPr>
            </w:pPr>
          </w:p>
        </w:tc>
      </w:tr>
      <w:tr w:rsidR="00E9409C" w:rsidRPr="005C54B4" w14:paraId="3EB60A81" w14:textId="77777777" w:rsidTr="004A5BF7">
        <w:trPr>
          <w:trHeight w:val="300"/>
          <w:jc w:val="center"/>
        </w:trPr>
        <w:tc>
          <w:tcPr>
            <w:tcW w:w="1840" w:type="dxa"/>
            <w:vMerge/>
            <w:tcBorders>
              <w:top w:val="nil"/>
              <w:left w:val="nil"/>
              <w:bottom w:val="single" w:sz="4" w:space="0" w:color="000000"/>
              <w:right w:val="nil"/>
            </w:tcBorders>
            <w:vAlign w:val="center"/>
            <w:hideMark/>
          </w:tcPr>
          <w:p w14:paraId="54BFE10A"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60291AE4"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Mean</w:t>
            </w:r>
          </w:p>
        </w:tc>
        <w:tc>
          <w:tcPr>
            <w:tcW w:w="1420" w:type="dxa"/>
            <w:tcBorders>
              <w:top w:val="nil"/>
              <w:left w:val="nil"/>
              <w:bottom w:val="nil"/>
              <w:right w:val="nil"/>
            </w:tcBorders>
            <w:shd w:val="clear" w:color="auto" w:fill="auto"/>
            <w:vAlign w:val="center"/>
            <w:hideMark/>
          </w:tcPr>
          <w:p w14:paraId="23F98A00"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0.57</w:t>
            </w:r>
          </w:p>
        </w:tc>
        <w:tc>
          <w:tcPr>
            <w:tcW w:w="1420" w:type="dxa"/>
            <w:tcBorders>
              <w:top w:val="nil"/>
              <w:left w:val="nil"/>
              <w:bottom w:val="nil"/>
              <w:right w:val="nil"/>
            </w:tcBorders>
            <w:shd w:val="clear" w:color="auto" w:fill="auto"/>
            <w:vAlign w:val="center"/>
            <w:hideMark/>
          </w:tcPr>
          <w:p w14:paraId="372FEE6D"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0.54</w:t>
            </w:r>
          </w:p>
        </w:tc>
        <w:tc>
          <w:tcPr>
            <w:tcW w:w="1420" w:type="dxa"/>
            <w:tcBorders>
              <w:top w:val="nil"/>
              <w:left w:val="nil"/>
              <w:bottom w:val="nil"/>
              <w:right w:val="nil"/>
            </w:tcBorders>
            <w:shd w:val="clear" w:color="auto" w:fill="auto"/>
            <w:vAlign w:val="center"/>
            <w:hideMark/>
          </w:tcPr>
          <w:p w14:paraId="44DAAFED"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0.61</w:t>
            </w:r>
          </w:p>
        </w:tc>
        <w:tc>
          <w:tcPr>
            <w:tcW w:w="1420" w:type="dxa"/>
            <w:tcBorders>
              <w:top w:val="nil"/>
              <w:left w:val="nil"/>
              <w:bottom w:val="nil"/>
              <w:right w:val="nil"/>
            </w:tcBorders>
            <w:shd w:val="clear" w:color="auto" w:fill="auto"/>
            <w:vAlign w:val="center"/>
            <w:hideMark/>
          </w:tcPr>
          <w:p w14:paraId="149BF942" w14:textId="77777777" w:rsidR="00E9409C" w:rsidRPr="004A5BF7" w:rsidRDefault="00E9409C" w:rsidP="004A5BF7">
            <w:pPr>
              <w:spacing w:before="0" w:after="0"/>
              <w:jc w:val="center"/>
              <w:rPr>
                <w:rFonts w:cs="Arial"/>
                <w:color w:val="000000"/>
                <w:sz w:val="18"/>
                <w:szCs w:val="18"/>
                <w:lang w:val="en-AU" w:eastAsia="en-AU"/>
              </w:rPr>
            </w:pPr>
          </w:p>
        </w:tc>
      </w:tr>
      <w:tr w:rsidR="00E9409C" w:rsidRPr="005C54B4" w14:paraId="5B1F6EEB" w14:textId="77777777" w:rsidTr="004A5BF7">
        <w:trPr>
          <w:trHeight w:val="300"/>
          <w:jc w:val="center"/>
        </w:trPr>
        <w:tc>
          <w:tcPr>
            <w:tcW w:w="1840" w:type="dxa"/>
            <w:vMerge/>
            <w:tcBorders>
              <w:top w:val="nil"/>
              <w:left w:val="nil"/>
              <w:bottom w:val="single" w:sz="4" w:space="0" w:color="000000"/>
              <w:right w:val="nil"/>
            </w:tcBorders>
            <w:vAlign w:val="center"/>
            <w:hideMark/>
          </w:tcPr>
          <w:p w14:paraId="68BDD32C"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555B36CB"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Median</w:t>
            </w:r>
          </w:p>
        </w:tc>
        <w:tc>
          <w:tcPr>
            <w:tcW w:w="1420" w:type="dxa"/>
            <w:tcBorders>
              <w:top w:val="nil"/>
              <w:left w:val="nil"/>
              <w:bottom w:val="nil"/>
              <w:right w:val="nil"/>
            </w:tcBorders>
            <w:shd w:val="clear" w:color="auto" w:fill="auto"/>
            <w:vAlign w:val="center"/>
            <w:hideMark/>
          </w:tcPr>
          <w:p w14:paraId="2751F498"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0.45</w:t>
            </w:r>
          </w:p>
        </w:tc>
        <w:tc>
          <w:tcPr>
            <w:tcW w:w="1420" w:type="dxa"/>
            <w:tcBorders>
              <w:top w:val="nil"/>
              <w:left w:val="nil"/>
              <w:bottom w:val="nil"/>
              <w:right w:val="nil"/>
            </w:tcBorders>
            <w:shd w:val="clear" w:color="auto" w:fill="auto"/>
            <w:vAlign w:val="center"/>
            <w:hideMark/>
          </w:tcPr>
          <w:p w14:paraId="0E2145CF"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0.39</w:t>
            </w:r>
          </w:p>
        </w:tc>
        <w:tc>
          <w:tcPr>
            <w:tcW w:w="1420" w:type="dxa"/>
            <w:tcBorders>
              <w:top w:val="nil"/>
              <w:left w:val="nil"/>
              <w:bottom w:val="nil"/>
              <w:right w:val="nil"/>
            </w:tcBorders>
            <w:shd w:val="clear" w:color="auto" w:fill="auto"/>
            <w:vAlign w:val="center"/>
            <w:hideMark/>
          </w:tcPr>
          <w:p w14:paraId="2D7FE0D4"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0.36</w:t>
            </w:r>
          </w:p>
        </w:tc>
        <w:tc>
          <w:tcPr>
            <w:tcW w:w="1420" w:type="dxa"/>
            <w:tcBorders>
              <w:top w:val="nil"/>
              <w:left w:val="nil"/>
              <w:bottom w:val="nil"/>
              <w:right w:val="nil"/>
            </w:tcBorders>
            <w:shd w:val="clear" w:color="auto" w:fill="auto"/>
            <w:vAlign w:val="center"/>
            <w:hideMark/>
          </w:tcPr>
          <w:p w14:paraId="1DE0FB8F" w14:textId="77777777" w:rsidR="00E9409C" w:rsidRPr="004A5BF7" w:rsidRDefault="00E9409C" w:rsidP="004A5BF7">
            <w:pPr>
              <w:spacing w:before="0" w:after="0"/>
              <w:jc w:val="center"/>
              <w:rPr>
                <w:rFonts w:cs="Arial"/>
                <w:color w:val="000000"/>
                <w:sz w:val="18"/>
                <w:szCs w:val="18"/>
                <w:lang w:val="en-AU" w:eastAsia="en-AU"/>
              </w:rPr>
            </w:pPr>
          </w:p>
        </w:tc>
      </w:tr>
      <w:tr w:rsidR="00E9409C" w:rsidRPr="005C54B4" w14:paraId="020BA542" w14:textId="77777777" w:rsidTr="004A5BF7">
        <w:trPr>
          <w:trHeight w:val="300"/>
          <w:jc w:val="center"/>
        </w:trPr>
        <w:tc>
          <w:tcPr>
            <w:tcW w:w="1840" w:type="dxa"/>
            <w:vMerge/>
            <w:tcBorders>
              <w:top w:val="nil"/>
              <w:left w:val="nil"/>
              <w:bottom w:val="single" w:sz="4" w:space="0" w:color="000000"/>
              <w:right w:val="nil"/>
            </w:tcBorders>
            <w:vAlign w:val="center"/>
            <w:hideMark/>
          </w:tcPr>
          <w:p w14:paraId="5FEF22A2"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741084F4"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SD</w:t>
            </w:r>
          </w:p>
        </w:tc>
        <w:tc>
          <w:tcPr>
            <w:tcW w:w="1420" w:type="dxa"/>
            <w:tcBorders>
              <w:top w:val="nil"/>
              <w:left w:val="nil"/>
              <w:bottom w:val="nil"/>
              <w:right w:val="nil"/>
            </w:tcBorders>
            <w:shd w:val="clear" w:color="auto" w:fill="auto"/>
            <w:vAlign w:val="center"/>
            <w:hideMark/>
          </w:tcPr>
          <w:p w14:paraId="38C97841"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0.47</w:t>
            </w:r>
          </w:p>
        </w:tc>
        <w:tc>
          <w:tcPr>
            <w:tcW w:w="1420" w:type="dxa"/>
            <w:tcBorders>
              <w:top w:val="nil"/>
              <w:left w:val="nil"/>
              <w:bottom w:val="nil"/>
              <w:right w:val="nil"/>
            </w:tcBorders>
            <w:shd w:val="clear" w:color="auto" w:fill="auto"/>
            <w:vAlign w:val="center"/>
            <w:hideMark/>
          </w:tcPr>
          <w:p w14:paraId="241739F2"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0.40</w:t>
            </w:r>
          </w:p>
        </w:tc>
        <w:tc>
          <w:tcPr>
            <w:tcW w:w="1420" w:type="dxa"/>
            <w:tcBorders>
              <w:top w:val="nil"/>
              <w:left w:val="nil"/>
              <w:bottom w:val="nil"/>
              <w:right w:val="nil"/>
            </w:tcBorders>
            <w:shd w:val="clear" w:color="auto" w:fill="auto"/>
            <w:vAlign w:val="center"/>
            <w:hideMark/>
          </w:tcPr>
          <w:p w14:paraId="2A16B4B5"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0.53</w:t>
            </w:r>
          </w:p>
        </w:tc>
        <w:tc>
          <w:tcPr>
            <w:tcW w:w="1420" w:type="dxa"/>
            <w:tcBorders>
              <w:top w:val="nil"/>
              <w:left w:val="nil"/>
              <w:bottom w:val="nil"/>
              <w:right w:val="nil"/>
            </w:tcBorders>
            <w:shd w:val="clear" w:color="auto" w:fill="auto"/>
            <w:vAlign w:val="center"/>
            <w:hideMark/>
          </w:tcPr>
          <w:p w14:paraId="441F5BA5" w14:textId="77777777" w:rsidR="00E9409C" w:rsidRPr="004A5BF7" w:rsidRDefault="00E9409C" w:rsidP="004A5BF7">
            <w:pPr>
              <w:spacing w:before="0" w:after="0"/>
              <w:jc w:val="center"/>
              <w:rPr>
                <w:rFonts w:cs="Arial"/>
                <w:color w:val="000000"/>
                <w:sz w:val="18"/>
                <w:szCs w:val="18"/>
                <w:lang w:val="en-AU" w:eastAsia="en-AU"/>
              </w:rPr>
            </w:pPr>
          </w:p>
        </w:tc>
      </w:tr>
      <w:tr w:rsidR="00E9409C" w:rsidRPr="005C54B4" w14:paraId="164E3A73" w14:textId="77777777" w:rsidTr="004A5BF7">
        <w:trPr>
          <w:trHeight w:val="300"/>
          <w:jc w:val="center"/>
        </w:trPr>
        <w:tc>
          <w:tcPr>
            <w:tcW w:w="1840" w:type="dxa"/>
            <w:vMerge/>
            <w:tcBorders>
              <w:top w:val="nil"/>
              <w:left w:val="nil"/>
              <w:bottom w:val="single" w:sz="4" w:space="0" w:color="000000"/>
              <w:right w:val="nil"/>
            </w:tcBorders>
            <w:vAlign w:val="center"/>
            <w:hideMark/>
          </w:tcPr>
          <w:p w14:paraId="13CF8010"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single" w:sz="4" w:space="0" w:color="auto"/>
              <w:right w:val="nil"/>
            </w:tcBorders>
            <w:shd w:val="clear" w:color="auto" w:fill="auto"/>
            <w:vAlign w:val="center"/>
            <w:hideMark/>
          </w:tcPr>
          <w:p w14:paraId="1A70AA4D"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Count</w:t>
            </w:r>
          </w:p>
        </w:tc>
        <w:tc>
          <w:tcPr>
            <w:tcW w:w="1420" w:type="dxa"/>
            <w:tcBorders>
              <w:top w:val="nil"/>
              <w:left w:val="nil"/>
              <w:bottom w:val="single" w:sz="4" w:space="0" w:color="auto"/>
              <w:right w:val="nil"/>
            </w:tcBorders>
            <w:shd w:val="clear" w:color="auto" w:fill="auto"/>
            <w:vAlign w:val="center"/>
            <w:hideMark/>
          </w:tcPr>
          <w:p w14:paraId="6F421733"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20</w:t>
            </w:r>
          </w:p>
        </w:tc>
        <w:tc>
          <w:tcPr>
            <w:tcW w:w="1420" w:type="dxa"/>
            <w:tcBorders>
              <w:top w:val="nil"/>
              <w:left w:val="nil"/>
              <w:bottom w:val="single" w:sz="4" w:space="0" w:color="auto"/>
              <w:right w:val="nil"/>
            </w:tcBorders>
            <w:shd w:val="clear" w:color="auto" w:fill="auto"/>
            <w:vAlign w:val="center"/>
            <w:hideMark/>
          </w:tcPr>
          <w:p w14:paraId="5580E774"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29</w:t>
            </w:r>
          </w:p>
        </w:tc>
        <w:tc>
          <w:tcPr>
            <w:tcW w:w="1420" w:type="dxa"/>
            <w:tcBorders>
              <w:top w:val="nil"/>
              <w:left w:val="nil"/>
              <w:bottom w:val="single" w:sz="4" w:space="0" w:color="auto"/>
              <w:right w:val="nil"/>
            </w:tcBorders>
            <w:shd w:val="clear" w:color="auto" w:fill="auto"/>
            <w:vAlign w:val="center"/>
            <w:hideMark/>
          </w:tcPr>
          <w:p w14:paraId="4D3C2495"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15</w:t>
            </w:r>
          </w:p>
        </w:tc>
        <w:tc>
          <w:tcPr>
            <w:tcW w:w="1420" w:type="dxa"/>
            <w:tcBorders>
              <w:top w:val="nil"/>
              <w:left w:val="nil"/>
              <w:bottom w:val="single" w:sz="4" w:space="0" w:color="auto"/>
              <w:right w:val="nil"/>
            </w:tcBorders>
            <w:shd w:val="clear" w:color="auto" w:fill="auto"/>
            <w:vAlign w:val="center"/>
            <w:hideMark/>
          </w:tcPr>
          <w:p w14:paraId="175440FF"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w:t>
            </w:r>
          </w:p>
        </w:tc>
      </w:tr>
      <w:tr w:rsidR="00E9409C" w:rsidRPr="005C54B4" w14:paraId="72D0362A" w14:textId="77777777" w:rsidTr="004A5BF7">
        <w:trPr>
          <w:trHeight w:val="300"/>
          <w:jc w:val="center"/>
        </w:trPr>
        <w:tc>
          <w:tcPr>
            <w:tcW w:w="1840" w:type="dxa"/>
            <w:vMerge w:val="restart"/>
            <w:tcBorders>
              <w:top w:val="nil"/>
              <w:left w:val="nil"/>
              <w:bottom w:val="single" w:sz="4" w:space="0" w:color="000000"/>
              <w:right w:val="nil"/>
            </w:tcBorders>
            <w:shd w:val="clear" w:color="auto" w:fill="auto"/>
            <w:vAlign w:val="center"/>
            <w:hideMark/>
          </w:tcPr>
          <w:p w14:paraId="52251003"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Coloured Dissolved Organic Matter (/m)</w:t>
            </w:r>
          </w:p>
        </w:tc>
        <w:tc>
          <w:tcPr>
            <w:tcW w:w="820" w:type="dxa"/>
            <w:tcBorders>
              <w:top w:val="nil"/>
              <w:left w:val="nil"/>
              <w:bottom w:val="nil"/>
              <w:right w:val="nil"/>
            </w:tcBorders>
            <w:shd w:val="clear" w:color="auto" w:fill="auto"/>
            <w:vAlign w:val="center"/>
            <w:hideMark/>
          </w:tcPr>
          <w:p w14:paraId="72E432CE"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Min.</w:t>
            </w:r>
          </w:p>
        </w:tc>
        <w:tc>
          <w:tcPr>
            <w:tcW w:w="1420" w:type="dxa"/>
            <w:tcBorders>
              <w:top w:val="nil"/>
              <w:left w:val="nil"/>
              <w:bottom w:val="nil"/>
              <w:right w:val="nil"/>
            </w:tcBorders>
            <w:shd w:val="clear" w:color="auto" w:fill="auto"/>
            <w:vAlign w:val="center"/>
            <w:hideMark/>
          </w:tcPr>
          <w:p w14:paraId="377E025F"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0.04</w:t>
            </w:r>
          </w:p>
        </w:tc>
        <w:tc>
          <w:tcPr>
            <w:tcW w:w="1420" w:type="dxa"/>
            <w:tcBorders>
              <w:top w:val="nil"/>
              <w:left w:val="nil"/>
              <w:bottom w:val="nil"/>
              <w:right w:val="nil"/>
            </w:tcBorders>
            <w:shd w:val="clear" w:color="auto" w:fill="auto"/>
            <w:vAlign w:val="center"/>
            <w:hideMark/>
          </w:tcPr>
          <w:p w14:paraId="782DC1F6"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0.03</w:t>
            </w:r>
          </w:p>
        </w:tc>
        <w:tc>
          <w:tcPr>
            <w:tcW w:w="1420" w:type="dxa"/>
            <w:tcBorders>
              <w:top w:val="nil"/>
              <w:left w:val="nil"/>
              <w:bottom w:val="nil"/>
              <w:right w:val="nil"/>
            </w:tcBorders>
            <w:shd w:val="clear" w:color="auto" w:fill="auto"/>
            <w:vAlign w:val="center"/>
            <w:hideMark/>
          </w:tcPr>
          <w:p w14:paraId="0E76F733"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0.03</w:t>
            </w:r>
          </w:p>
        </w:tc>
        <w:tc>
          <w:tcPr>
            <w:tcW w:w="1420" w:type="dxa"/>
            <w:tcBorders>
              <w:top w:val="nil"/>
              <w:left w:val="nil"/>
              <w:bottom w:val="nil"/>
              <w:right w:val="nil"/>
            </w:tcBorders>
            <w:shd w:val="clear" w:color="auto" w:fill="auto"/>
            <w:vAlign w:val="center"/>
            <w:hideMark/>
          </w:tcPr>
          <w:p w14:paraId="04F62AAF"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0.05</w:t>
            </w:r>
          </w:p>
        </w:tc>
      </w:tr>
      <w:tr w:rsidR="00E9409C" w:rsidRPr="005C54B4" w14:paraId="42407B13" w14:textId="77777777" w:rsidTr="004A5BF7">
        <w:trPr>
          <w:trHeight w:val="300"/>
          <w:jc w:val="center"/>
        </w:trPr>
        <w:tc>
          <w:tcPr>
            <w:tcW w:w="1840" w:type="dxa"/>
            <w:vMerge/>
            <w:tcBorders>
              <w:top w:val="nil"/>
              <w:left w:val="nil"/>
              <w:bottom w:val="single" w:sz="4" w:space="0" w:color="000000"/>
              <w:right w:val="nil"/>
            </w:tcBorders>
            <w:vAlign w:val="center"/>
            <w:hideMark/>
          </w:tcPr>
          <w:p w14:paraId="38BAEB1C"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75DA62C4"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Max.</w:t>
            </w:r>
          </w:p>
        </w:tc>
        <w:tc>
          <w:tcPr>
            <w:tcW w:w="1420" w:type="dxa"/>
            <w:tcBorders>
              <w:top w:val="nil"/>
              <w:left w:val="nil"/>
              <w:bottom w:val="nil"/>
              <w:right w:val="nil"/>
            </w:tcBorders>
            <w:shd w:val="clear" w:color="auto" w:fill="auto"/>
            <w:vAlign w:val="center"/>
            <w:hideMark/>
          </w:tcPr>
          <w:p w14:paraId="560BF1FD"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1.20</w:t>
            </w:r>
          </w:p>
        </w:tc>
        <w:tc>
          <w:tcPr>
            <w:tcW w:w="1420" w:type="dxa"/>
            <w:tcBorders>
              <w:top w:val="nil"/>
              <w:left w:val="nil"/>
              <w:bottom w:val="nil"/>
              <w:right w:val="nil"/>
            </w:tcBorders>
            <w:shd w:val="clear" w:color="auto" w:fill="auto"/>
            <w:vAlign w:val="center"/>
            <w:hideMark/>
          </w:tcPr>
          <w:p w14:paraId="234F4942"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1.84</w:t>
            </w:r>
          </w:p>
        </w:tc>
        <w:tc>
          <w:tcPr>
            <w:tcW w:w="1420" w:type="dxa"/>
            <w:tcBorders>
              <w:top w:val="nil"/>
              <w:left w:val="nil"/>
              <w:bottom w:val="nil"/>
              <w:right w:val="nil"/>
            </w:tcBorders>
            <w:shd w:val="clear" w:color="auto" w:fill="auto"/>
            <w:vAlign w:val="center"/>
            <w:hideMark/>
          </w:tcPr>
          <w:p w14:paraId="33BA345B"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0.22</w:t>
            </w:r>
          </w:p>
        </w:tc>
        <w:tc>
          <w:tcPr>
            <w:tcW w:w="1420" w:type="dxa"/>
            <w:tcBorders>
              <w:top w:val="nil"/>
              <w:left w:val="nil"/>
              <w:bottom w:val="nil"/>
              <w:right w:val="nil"/>
            </w:tcBorders>
            <w:shd w:val="clear" w:color="auto" w:fill="auto"/>
            <w:vAlign w:val="center"/>
            <w:hideMark/>
          </w:tcPr>
          <w:p w14:paraId="09775690"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0.13</w:t>
            </w:r>
          </w:p>
        </w:tc>
      </w:tr>
      <w:tr w:rsidR="00E9409C" w:rsidRPr="005C54B4" w14:paraId="03C2E4FA" w14:textId="77777777" w:rsidTr="004A5BF7">
        <w:trPr>
          <w:trHeight w:val="300"/>
          <w:jc w:val="center"/>
        </w:trPr>
        <w:tc>
          <w:tcPr>
            <w:tcW w:w="1840" w:type="dxa"/>
            <w:vMerge/>
            <w:tcBorders>
              <w:top w:val="nil"/>
              <w:left w:val="nil"/>
              <w:bottom w:val="single" w:sz="4" w:space="0" w:color="000000"/>
              <w:right w:val="nil"/>
            </w:tcBorders>
            <w:vAlign w:val="center"/>
            <w:hideMark/>
          </w:tcPr>
          <w:p w14:paraId="3EBE5A8C"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27A4941D"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Mean</w:t>
            </w:r>
          </w:p>
        </w:tc>
        <w:tc>
          <w:tcPr>
            <w:tcW w:w="1420" w:type="dxa"/>
            <w:tcBorders>
              <w:top w:val="nil"/>
              <w:left w:val="nil"/>
              <w:bottom w:val="nil"/>
              <w:right w:val="nil"/>
            </w:tcBorders>
            <w:shd w:val="clear" w:color="auto" w:fill="auto"/>
            <w:vAlign w:val="center"/>
            <w:hideMark/>
          </w:tcPr>
          <w:p w14:paraId="6FD2DB8C"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0.29</w:t>
            </w:r>
          </w:p>
        </w:tc>
        <w:tc>
          <w:tcPr>
            <w:tcW w:w="1420" w:type="dxa"/>
            <w:tcBorders>
              <w:top w:val="nil"/>
              <w:left w:val="nil"/>
              <w:bottom w:val="nil"/>
              <w:right w:val="nil"/>
            </w:tcBorders>
            <w:shd w:val="clear" w:color="auto" w:fill="auto"/>
            <w:vAlign w:val="center"/>
            <w:hideMark/>
          </w:tcPr>
          <w:p w14:paraId="073D80D9"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0.20</w:t>
            </w:r>
          </w:p>
        </w:tc>
        <w:tc>
          <w:tcPr>
            <w:tcW w:w="1420" w:type="dxa"/>
            <w:tcBorders>
              <w:top w:val="nil"/>
              <w:left w:val="nil"/>
              <w:bottom w:val="nil"/>
              <w:right w:val="nil"/>
            </w:tcBorders>
            <w:shd w:val="clear" w:color="auto" w:fill="auto"/>
            <w:vAlign w:val="center"/>
            <w:hideMark/>
          </w:tcPr>
          <w:p w14:paraId="5D84C964"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0.09</w:t>
            </w:r>
          </w:p>
        </w:tc>
        <w:tc>
          <w:tcPr>
            <w:tcW w:w="1420" w:type="dxa"/>
            <w:tcBorders>
              <w:top w:val="nil"/>
              <w:left w:val="nil"/>
              <w:bottom w:val="nil"/>
              <w:right w:val="nil"/>
            </w:tcBorders>
            <w:shd w:val="clear" w:color="auto" w:fill="auto"/>
            <w:vAlign w:val="center"/>
            <w:hideMark/>
          </w:tcPr>
          <w:p w14:paraId="4A2EE2E2"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0.08</w:t>
            </w:r>
          </w:p>
        </w:tc>
      </w:tr>
      <w:tr w:rsidR="00E9409C" w:rsidRPr="005C54B4" w14:paraId="52C257A5" w14:textId="77777777" w:rsidTr="004A5BF7">
        <w:trPr>
          <w:trHeight w:val="300"/>
          <w:jc w:val="center"/>
        </w:trPr>
        <w:tc>
          <w:tcPr>
            <w:tcW w:w="1840" w:type="dxa"/>
            <w:vMerge/>
            <w:tcBorders>
              <w:top w:val="nil"/>
              <w:left w:val="nil"/>
              <w:bottom w:val="single" w:sz="4" w:space="0" w:color="000000"/>
              <w:right w:val="nil"/>
            </w:tcBorders>
            <w:vAlign w:val="center"/>
            <w:hideMark/>
          </w:tcPr>
          <w:p w14:paraId="66D6FB5F"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60766053"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Median</w:t>
            </w:r>
          </w:p>
        </w:tc>
        <w:tc>
          <w:tcPr>
            <w:tcW w:w="1420" w:type="dxa"/>
            <w:tcBorders>
              <w:top w:val="nil"/>
              <w:left w:val="nil"/>
              <w:bottom w:val="nil"/>
              <w:right w:val="nil"/>
            </w:tcBorders>
            <w:shd w:val="clear" w:color="auto" w:fill="auto"/>
            <w:vAlign w:val="center"/>
            <w:hideMark/>
          </w:tcPr>
          <w:p w14:paraId="385A30D0"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0.09</w:t>
            </w:r>
          </w:p>
        </w:tc>
        <w:tc>
          <w:tcPr>
            <w:tcW w:w="1420" w:type="dxa"/>
            <w:tcBorders>
              <w:top w:val="nil"/>
              <w:left w:val="nil"/>
              <w:bottom w:val="nil"/>
              <w:right w:val="nil"/>
            </w:tcBorders>
            <w:shd w:val="clear" w:color="auto" w:fill="auto"/>
            <w:vAlign w:val="center"/>
            <w:hideMark/>
          </w:tcPr>
          <w:p w14:paraId="770F5B2C"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0.11</w:t>
            </w:r>
          </w:p>
        </w:tc>
        <w:tc>
          <w:tcPr>
            <w:tcW w:w="1420" w:type="dxa"/>
            <w:tcBorders>
              <w:top w:val="nil"/>
              <w:left w:val="nil"/>
              <w:bottom w:val="nil"/>
              <w:right w:val="nil"/>
            </w:tcBorders>
            <w:shd w:val="clear" w:color="auto" w:fill="auto"/>
            <w:vAlign w:val="center"/>
            <w:hideMark/>
          </w:tcPr>
          <w:p w14:paraId="2329AF5B"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0.08</w:t>
            </w:r>
          </w:p>
        </w:tc>
        <w:tc>
          <w:tcPr>
            <w:tcW w:w="1420" w:type="dxa"/>
            <w:tcBorders>
              <w:top w:val="nil"/>
              <w:left w:val="nil"/>
              <w:bottom w:val="nil"/>
              <w:right w:val="nil"/>
            </w:tcBorders>
            <w:shd w:val="clear" w:color="auto" w:fill="auto"/>
            <w:vAlign w:val="center"/>
            <w:hideMark/>
          </w:tcPr>
          <w:p w14:paraId="11390004"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0.07</w:t>
            </w:r>
          </w:p>
        </w:tc>
      </w:tr>
      <w:tr w:rsidR="00E9409C" w:rsidRPr="005C54B4" w14:paraId="1C6266CE" w14:textId="77777777" w:rsidTr="004A5BF7">
        <w:trPr>
          <w:trHeight w:val="300"/>
          <w:jc w:val="center"/>
        </w:trPr>
        <w:tc>
          <w:tcPr>
            <w:tcW w:w="1840" w:type="dxa"/>
            <w:vMerge/>
            <w:tcBorders>
              <w:top w:val="nil"/>
              <w:left w:val="nil"/>
              <w:bottom w:val="single" w:sz="4" w:space="0" w:color="000000"/>
              <w:right w:val="nil"/>
            </w:tcBorders>
            <w:vAlign w:val="center"/>
            <w:hideMark/>
          </w:tcPr>
          <w:p w14:paraId="04A925A5"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6815D01B"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SD</w:t>
            </w:r>
          </w:p>
        </w:tc>
        <w:tc>
          <w:tcPr>
            <w:tcW w:w="1420" w:type="dxa"/>
            <w:tcBorders>
              <w:top w:val="nil"/>
              <w:left w:val="nil"/>
              <w:bottom w:val="nil"/>
              <w:right w:val="nil"/>
            </w:tcBorders>
            <w:shd w:val="clear" w:color="auto" w:fill="auto"/>
            <w:vAlign w:val="center"/>
            <w:hideMark/>
          </w:tcPr>
          <w:p w14:paraId="27DD793F"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0.37</w:t>
            </w:r>
          </w:p>
        </w:tc>
        <w:tc>
          <w:tcPr>
            <w:tcW w:w="1420" w:type="dxa"/>
            <w:tcBorders>
              <w:top w:val="nil"/>
              <w:left w:val="nil"/>
              <w:bottom w:val="nil"/>
              <w:right w:val="nil"/>
            </w:tcBorders>
            <w:shd w:val="clear" w:color="auto" w:fill="auto"/>
            <w:vAlign w:val="center"/>
            <w:hideMark/>
          </w:tcPr>
          <w:p w14:paraId="76812CC4"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0.33</w:t>
            </w:r>
          </w:p>
        </w:tc>
        <w:tc>
          <w:tcPr>
            <w:tcW w:w="1420" w:type="dxa"/>
            <w:tcBorders>
              <w:top w:val="nil"/>
              <w:left w:val="nil"/>
              <w:bottom w:val="nil"/>
              <w:right w:val="nil"/>
            </w:tcBorders>
            <w:shd w:val="clear" w:color="auto" w:fill="auto"/>
            <w:vAlign w:val="center"/>
            <w:hideMark/>
          </w:tcPr>
          <w:p w14:paraId="549F54F6"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0.05</w:t>
            </w:r>
          </w:p>
        </w:tc>
        <w:tc>
          <w:tcPr>
            <w:tcW w:w="1420" w:type="dxa"/>
            <w:tcBorders>
              <w:top w:val="nil"/>
              <w:left w:val="nil"/>
              <w:bottom w:val="nil"/>
              <w:right w:val="nil"/>
            </w:tcBorders>
            <w:shd w:val="clear" w:color="auto" w:fill="auto"/>
            <w:vAlign w:val="center"/>
            <w:hideMark/>
          </w:tcPr>
          <w:p w14:paraId="7F8B41A6"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0.03</w:t>
            </w:r>
          </w:p>
        </w:tc>
      </w:tr>
      <w:tr w:rsidR="00E9409C" w:rsidRPr="005C54B4" w14:paraId="3FC4A577" w14:textId="77777777" w:rsidTr="004A5BF7">
        <w:trPr>
          <w:trHeight w:val="300"/>
          <w:jc w:val="center"/>
        </w:trPr>
        <w:tc>
          <w:tcPr>
            <w:tcW w:w="1840" w:type="dxa"/>
            <w:vMerge/>
            <w:tcBorders>
              <w:top w:val="nil"/>
              <w:left w:val="nil"/>
              <w:bottom w:val="single" w:sz="4" w:space="0" w:color="000000"/>
              <w:right w:val="nil"/>
            </w:tcBorders>
            <w:vAlign w:val="center"/>
            <w:hideMark/>
          </w:tcPr>
          <w:p w14:paraId="060EBD17"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single" w:sz="4" w:space="0" w:color="auto"/>
              <w:right w:val="nil"/>
            </w:tcBorders>
            <w:shd w:val="clear" w:color="auto" w:fill="auto"/>
            <w:vAlign w:val="center"/>
            <w:hideMark/>
          </w:tcPr>
          <w:p w14:paraId="7E78BD12"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Count</w:t>
            </w:r>
          </w:p>
        </w:tc>
        <w:tc>
          <w:tcPr>
            <w:tcW w:w="1420" w:type="dxa"/>
            <w:tcBorders>
              <w:top w:val="nil"/>
              <w:left w:val="nil"/>
              <w:bottom w:val="single" w:sz="4" w:space="0" w:color="auto"/>
              <w:right w:val="nil"/>
            </w:tcBorders>
            <w:shd w:val="clear" w:color="auto" w:fill="auto"/>
            <w:vAlign w:val="center"/>
            <w:hideMark/>
          </w:tcPr>
          <w:p w14:paraId="78FA51B3"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21</w:t>
            </w:r>
          </w:p>
        </w:tc>
        <w:tc>
          <w:tcPr>
            <w:tcW w:w="1420" w:type="dxa"/>
            <w:tcBorders>
              <w:top w:val="nil"/>
              <w:left w:val="nil"/>
              <w:bottom w:val="single" w:sz="4" w:space="0" w:color="auto"/>
              <w:right w:val="nil"/>
            </w:tcBorders>
            <w:shd w:val="clear" w:color="auto" w:fill="auto"/>
            <w:vAlign w:val="center"/>
            <w:hideMark/>
          </w:tcPr>
          <w:p w14:paraId="361D2B1A"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28</w:t>
            </w:r>
          </w:p>
        </w:tc>
        <w:tc>
          <w:tcPr>
            <w:tcW w:w="1420" w:type="dxa"/>
            <w:tcBorders>
              <w:top w:val="nil"/>
              <w:left w:val="nil"/>
              <w:bottom w:val="single" w:sz="4" w:space="0" w:color="auto"/>
              <w:right w:val="nil"/>
            </w:tcBorders>
            <w:shd w:val="clear" w:color="auto" w:fill="auto"/>
            <w:vAlign w:val="center"/>
            <w:hideMark/>
          </w:tcPr>
          <w:p w14:paraId="180B4DA7"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22</w:t>
            </w:r>
          </w:p>
        </w:tc>
        <w:tc>
          <w:tcPr>
            <w:tcW w:w="1420" w:type="dxa"/>
            <w:tcBorders>
              <w:top w:val="nil"/>
              <w:left w:val="nil"/>
              <w:bottom w:val="single" w:sz="4" w:space="0" w:color="auto"/>
              <w:right w:val="nil"/>
            </w:tcBorders>
            <w:shd w:val="clear" w:color="auto" w:fill="auto"/>
            <w:vAlign w:val="center"/>
            <w:hideMark/>
          </w:tcPr>
          <w:p w14:paraId="04AEC4E8"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7</w:t>
            </w:r>
          </w:p>
        </w:tc>
      </w:tr>
      <w:tr w:rsidR="00E9409C" w:rsidRPr="005C54B4" w14:paraId="1E8F3C27" w14:textId="77777777" w:rsidTr="004A5BF7">
        <w:trPr>
          <w:trHeight w:val="300"/>
          <w:jc w:val="center"/>
        </w:trPr>
        <w:tc>
          <w:tcPr>
            <w:tcW w:w="1840" w:type="dxa"/>
            <w:vMerge w:val="restart"/>
            <w:tcBorders>
              <w:top w:val="nil"/>
              <w:left w:val="nil"/>
              <w:bottom w:val="single" w:sz="4" w:space="0" w:color="000000"/>
              <w:right w:val="nil"/>
            </w:tcBorders>
            <w:shd w:val="clear" w:color="auto" w:fill="auto"/>
            <w:vAlign w:val="center"/>
            <w:hideMark/>
          </w:tcPr>
          <w:p w14:paraId="760C8E02"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Total Suspended Solids (mg/L)</w:t>
            </w:r>
          </w:p>
        </w:tc>
        <w:tc>
          <w:tcPr>
            <w:tcW w:w="820" w:type="dxa"/>
            <w:tcBorders>
              <w:top w:val="nil"/>
              <w:left w:val="nil"/>
              <w:bottom w:val="nil"/>
              <w:right w:val="nil"/>
            </w:tcBorders>
            <w:shd w:val="clear" w:color="auto" w:fill="auto"/>
            <w:vAlign w:val="center"/>
            <w:hideMark/>
          </w:tcPr>
          <w:p w14:paraId="5AB0E361"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Min.</w:t>
            </w:r>
          </w:p>
        </w:tc>
        <w:tc>
          <w:tcPr>
            <w:tcW w:w="1420" w:type="dxa"/>
            <w:tcBorders>
              <w:top w:val="nil"/>
              <w:left w:val="nil"/>
              <w:bottom w:val="nil"/>
              <w:right w:val="nil"/>
            </w:tcBorders>
            <w:shd w:val="clear" w:color="auto" w:fill="auto"/>
            <w:vAlign w:val="center"/>
            <w:hideMark/>
          </w:tcPr>
          <w:p w14:paraId="4F0FD56E"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0.00</w:t>
            </w:r>
          </w:p>
        </w:tc>
        <w:tc>
          <w:tcPr>
            <w:tcW w:w="1420" w:type="dxa"/>
            <w:tcBorders>
              <w:top w:val="nil"/>
              <w:left w:val="nil"/>
              <w:bottom w:val="nil"/>
              <w:right w:val="nil"/>
            </w:tcBorders>
            <w:shd w:val="clear" w:color="auto" w:fill="auto"/>
            <w:vAlign w:val="center"/>
            <w:hideMark/>
          </w:tcPr>
          <w:p w14:paraId="2D7BCAF5"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1.90</w:t>
            </w:r>
          </w:p>
        </w:tc>
        <w:tc>
          <w:tcPr>
            <w:tcW w:w="1420" w:type="dxa"/>
            <w:tcBorders>
              <w:top w:val="nil"/>
              <w:left w:val="nil"/>
              <w:bottom w:val="nil"/>
              <w:right w:val="nil"/>
            </w:tcBorders>
            <w:shd w:val="clear" w:color="auto" w:fill="auto"/>
            <w:vAlign w:val="center"/>
            <w:hideMark/>
          </w:tcPr>
          <w:p w14:paraId="0125E55C"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1.10</w:t>
            </w:r>
          </w:p>
        </w:tc>
        <w:tc>
          <w:tcPr>
            <w:tcW w:w="1420" w:type="dxa"/>
            <w:tcBorders>
              <w:top w:val="nil"/>
              <w:left w:val="nil"/>
              <w:bottom w:val="nil"/>
              <w:right w:val="nil"/>
            </w:tcBorders>
            <w:shd w:val="clear" w:color="auto" w:fill="auto"/>
            <w:vAlign w:val="center"/>
            <w:hideMark/>
          </w:tcPr>
          <w:p w14:paraId="25DCB16C"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0.70</w:t>
            </w:r>
          </w:p>
        </w:tc>
      </w:tr>
      <w:tr w:rsidR="00E9409C" w:rsidRPr="005C54B4" w14:paraId="0F74DD56" w14:textId="77777777" w:rsidTr="004A5BF7">
        <w:trPr>
          <w:trHeight w:val="300"/>
          <w:jc w:val="center"/>
        </w:trPr>
        <w:tc>
          <w:tcPr>
            <w:tcW w:w="1840" w:type="dxa"/>
            <w:vMerge/>
            <w:tcBorders>
              <w:top w:val="nil"/>
              <w:left w:val="nil"/>
              <w:bottom w:val="single" w:sz="4" w:space="0" w:color="000000"/>
              <w:right w:val="nil"/>
            </w:tcBorders>
            <w:vAlign w:val="center"/>
            <w:hideMark/>
          </w:tcPr>
          <w:p w14:paraId="780360D2"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34A646C6"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Max.</w:t>
            </w:r>
          </w:p>
        </w:tc>
        <w:tc>
          <w:tcPr>
            <w:tcW w:w="1420" w:type="dxa"/>
            <w:tcBorders>
              <w:top w:val="nil"/>
              <w:left w:val="nil"/>
              <w:bottom w:val="nil"/>
              <w:right w:val="nil"/>
            </w:tcBorders>
            <w:shd w:val="clear" w:color="auto" w:fill="auto"/>
            <w:vAlign w:val="center"/>
            <w:hideMark/>
          </w:tcPr>
          <w:p w14:paraId="69F5DA24"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11.00</w:t>
            </w:r>
          </w:p>
        </w:tc>
        <w:tc>
          <w:tcPr>
            <w:tcW w:w="1420" w:type="dxa"/>
            <w:tcBorders>
              <w:top w:val="nil"/>
              <w:left w:val="nil"/>
              <w:bottom w:val="nil"/>
              <w:right w:val="nil"/>
            </w:tcBorders>
            <w:shd w:val="clear" w:color="auto" w:fill="auto"/>
            <w:vAlign w:val="center"/>
            <w:hideMark/>
          </w:tcPr>
          <w:p w14:paraId="17BE8A78"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12.00</w:t>
            </w:r>
          </w:p>
        </w:tc>
        <w:tc>
          <w:tcPr>
            <w:tcW w:w="1420" w:type="dxa"/>
            <w:tcBorders>
              <w:top w:val="nil"/>
              <w:left w:val="nil"/>
              <w:bottom w:val="nil"/>
              <w:right w:val="nil"/>
            </w:tcBorders>
            <w:shd w:val="clear" w:color="auto" w:fill="auto"/>
            <w:vAlign w:val="center"/>
            <w:hideMark/>
          </w:tcPr>
          <w:p w14:paraId="03D2ECF2"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21.00</w:t>
            </w:r>
          </w:p>
        </w:tc>
        <w:tc>
          <w:tcPr>
            <w:tcW w:w="1420" w:type="dxa"/>
            <w:tcBorders>
              <w:top w:val="nil"/>
              <w:left w:val="nil"/>
              <w:bottom w:val="nil"/>
              <w:right w:val="nil"/>
            </w:tcBorders>
            <w:shd w:val="clear" w:color="auto" w:fill="auto"/>
            <w:vAlign w:val="center"/>
            <w:hideMark/>
          </w:tcPr>
          <w:p w14:paraId="4DD8C11A"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7.90</w:t>
            </w:r>
          </w:p>
        </w:tc>
      </w:tr>
      <w:tr w:rsidR="00E9409C" w:rsidRPr="005C54B4" w14:paraId="1EDC3B52" w14:textId="77777777" w:rsidTr="004A5BF7">
        <w:trPr>
          <w:trHeight w:val="300"/>
          <w:jc w:val="center"/>
        </w:trPr>
        <w:tc>
          <w:tcPr>
            <w:tcW w:w="1840" w:type="dxa"/>
            <w:vMerge/>
            <w:tcBorders>
              <w:top w:val="nil"/>
              <w:left w:val="nil"/>
              <w:bottom w:val="single" w:sz="4" w:space="0" w:color="000000"/>
              <w:right w:val="nil"/>
            </w:tcBorders>
            <w:vAlign w:val="center"/>
            <w:hideMark/>
          </w:tcPr>
          <w:p w14:paraId="115BEC62"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0E8831AA"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Mean</w:t>
            </w:r>
          </w:p>
        </w:tc>
        <w:tc>
          <w:tcPr>
            <w:tcW w:w="1420" w:type="dxa"/>
            <w:tcBorders>
              <w:top w:val="nil"/>
              <w:left w:val="nil"/>
              <w:bottom w:val="nil"/>
              <w:right w:val="nil"/>
            </w:tcBorders>
            <w:shd w:val="clear" w:color="auto" w:fill="auto"/>
            <w:vAlign w:val="center"/>
            <w:hideMark/>
          </w:tcPr>
          <w:p w14:paraId="19E5F3DE"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4.13</w:t>
            </w:r>
          </w:p>
        </w:tc>
        <w:tc>
          <w:tcPr>
            <w:tcW w:w="1420" w:type="dxa"/>
            <w:tcBorders>
              <w:top w:val="nil"/>
              <w:left w:val="nil"/>
              <w:bottom w:val="nil"/>
              <w:right w:val="nil"/>
            </w:tcBorders>
            <w:shd w:val="clear" w:color="auto" w:fill="auto"/>
            <w:vAlign w:val="center"/>
            <w:hideMark/>
          </w:tcPr>
          <w:p w14:paraId="25C94C77"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4.77</w:t>
            </w:r>
          </w:p>
        </w:tc>
        <w:tc>
          <w:tcPr>
            <w:tcW w:w="1420" w:type="dxa"/>
            <w:tcBorders>
              <w:top w:val="nil"/>
              <w:left w:val="nil"/>
              <w:bottom w:val="nil"/>
              <w:right w:val="nil"/>
            </w:tcBorders>
            <w:shd w:val="clear" w:color="auto" w:fill="auto"/>
            <w:vAlign w:val="center"/>
            <w:hideMark/>
          </w:tcPr>
          <w:p w14:paraId="36872947"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7.02</w:t>
            </w:r>
          </w:p>
        </w:tc>
        <w:tc>
          <w:tcPr>
            <w:tcW w:w="1420" w:type="dxa"/>
            <w:tcBorders>
              <w:top w:val="nil"/>
              <w:left w:val="nil"/>
              <w:bottom w:val="nil"/>
              <w:right w:val="nil"/>
            </w:tcBorders>
            <w:shd w:val="clear" w:color="auto" w:fill="auto"/>
            <w:vAlign w:val="center"/>
            <w:hideMark/>
          </w:tcPr>
          <w:p w14:paraId="7A475D89"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3.89</w:t>
            </w:r>
          </w:p>
        </w:tc>
      </w:tr>
      <w:tr w:rsidR="00E9409C" w:rsidRPr="005C54B4" w14:paraId="6D9927BE" w14:textId="77777777" w:rsidTr="004A5BF7">
        <w:trPr>
          <w:trHeight w:val="300"/>
          <w:jc w:val="center"/>
        </w:trPr>
        <w:tc>
          <w:tcPr>
            <w:tcW w:w="1840" w:type="dxa"/>
            <w:vMerge/>
            <w:tcBorders>
              <w:top w:val="nil"/>
              <w:left w:val="nil"/>
              <w:bottom w:val="single" w:sz="4" w:space="0" w:color="000000"/>
              <w:right w:val="nil"/>
            </w:tcBorders>
            <w:vAlign w:val="center"/>
            <w:hideMark/>
          </w:tcPr>
          <w:p w14:paraId="01DC77A8"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01E72AB9"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Median</w:t>
            </w:r>
          </w:p>
        </w:tc>
        <w:tc>
          <w:tcPr>
            <w:tcW w:w="1420" w:type="dxa"/>
            <w:tcBorders>
              <w:top w:val="nil"/>
              <w:left w:val="nil"/>
              <w:bottom w:val="nil"/>
              <w:right w:val="nil"/>
            </w:tcBorders>
            <w:shd w:val="clear" w:color="000000" w:fill="FFC7CE"/>
            <w:vAlign w:val="center"/>
            <w:hideMark/>
          </w:tcPr>
          <w:p w14:paraId="1C5EA1A6" w14:textId="77777777" w:rsidR="00E9409C" w:rsidRPr="004A5BF7" w:rsidRDefault="00E9409C" w:rsidP="004A5BF7">
            <w:pPr>
              <w:spacing w:before="0" w:after="0"/>
              <w:jc w:val="center"/>
              <w:rPr>
                <w:rFonts w:cs="Arial"/>
                <w:color w:val="9C0006"/>
                <w:sz w:val="18"/>
                <w:szCs w:val="18"/>
                <w:lang w:val="en-AU" w:eastAsia="en-AU"/>
              </w:rPr>
            </w:pPr>
            <w:r w:rsidRPr="004A5BF7">
              <w:rPr>
                <w:rFonts w:cs="Arial"/>
                <w:color w:val="9C0006"/>
                <w:sz w:val="18"/>
                <w:szCs w:val="18"/>
                <w:lang w:val="en-AU" w:eastAsia="en-AU"/>
              </w:rPr>
              <w:t>3.30</w:t>
            </w:r>
          </w:p>
        </w:tc>
        <w:tc>
          <w:tcPr>
            <w:tcW w:w="1420" w:type="dxa"/>
            <w:tcBorders>
              <w:top w:val="nil"/>
              <w:left w:val="nil"/>
              <w:bottom w:val="nil"/>
              <w:right w:val="nil"/>
            </w:tcBorders>
            <w:shd w:val="clear" w:color="000000" w:fill="FFC7CE"/>
            <w:vAlign w:val="center"/>
            <w:hideMark/>
          </w:tcPr>
          <w:p w14:paraId="756C2EBE" w14:textId="77777777" w:rsidR="00E9409C" w:rsidRPr="004A5BF7" w:rsidRDefault="00E9409C" w:rsidP="004A5BF7">
            <w:pPr>
              <w:spacing w:before="0" w:after="0"/>
              <w:jc w:val="center"/>
              <w:rPr>
                <w:rFonts w:cs="Arial"/>
                <w:color w:val="9C0006"/>
                <w:sz w:val="18"/>
                <w:szCs w:val="18"/>
                <w:lang w:val="en-AU" w:eastAsia="en-AU"/>
              </w:rPr>
            </w:pPr>
            <w:r w:rsidRPr="004A5BF7">
              <w:rPr>
                <w:rFonts w:cs="Arial"/>
                <w:color w:val="9C0006"/>
                <w:sz w:val="18"/>
                <w:szCs w:val="18"/>
                <w:lang w:val="en-AU" w:eastAsia="en-AU"/>
              </w:rPr>
              <w:t>3.60</w:t>
            </w:r>
          </w:p>
        </w:tc>
        <w:tc>
          <w:tcPr>
            <w:tcW w:w="1420" w:type="dxa"/>
            <w:tcBorders>
              <w:top w:val="nil"/>
              <w:left w:val="nil"/>
              <w:bottom w:val="nil"/>
              <w:right w:val="nil"/>
            </w:tcBorders>
            <w:shd w:val="clear" w:color="000000" w:fill="FFC7CE"/>
            <w:vAlign w:val="center"/>
            <w:hideMark/>
          </w:tcPr>
          <w:p w14:paraId="524A3897" w14:textId="77777777" w:rsidR="00E9409C" w:rsidRPr="004A5BF7" w:rsidRDefault="00E9409C" w:rsidP="004A5BF7">
            <w:pPr>
              <w:spacing w:before="0" w:after="0"/>
              <w:jc w:val="center"/>
              <w:rPr>
                <w:rFonts w:cs="Arial"/>
                <w:color w:val="9C0006"/>
                <w:sz w:val="18"/>
                <w:szCs w:val="18"/>
                <w:lang w:val="en-AU" w:eastAsia="en-AU"/>
              </w:rPr>
            </w:pPr>
            <w:r w:rsidRPr="004A5BF7">
              <w:rPr>
                <w:rFonts w:cs="Arial"/>
                <w:color w:val="9C0006"/>
                <w:sz w:val="18"/>
                <w:szCs w:val="18"/>
                <w:lang w:val="en-AU" w:eastAsia="en-AU"/>
              </w:rPr>
              <w:t>4.35</w:t>
            </w:r>
          </w:p>
        </w:tc>
        <w:tc>
          <w:tcPr>
            <w:tcW w:w="1420" w:type="dxa"/>
            <w:tcBorders>
              <w:top w:val="nil"/>
              <w:left w:val="nil"/>
              <w:bottom w:val="nil"/>
              <w:right w:val="nil"/>
            </w:tcBorders>
            <w:shd w:val="clear" w:color="000000" w:fill="FFC7CE"/>
            <w:vAlign w:val="center"/>
            <w:hideMark/>
          </w:tcPr>
          <w:p w14:paraId="0469E595" w14:textId="77777777" w:rsidR="00E9409C" w:rsidRPr="004A5BF7" w:rsidRDefault="00E9409C" w:rsidP="004A5BF7">
            <w:pPr>
              <w:spacing w:before="0" w:after="0"/>
              <w:jc w:val="center"/>
              <w:rPr>
                <w:rFonts w:cs="Arial"/>
                <w:color w:val="9C0006"/>
                <w:sz w:val="18"/>
                <w:szCs w:val="18"/>
                <w:lang w:val="en-AU" w:eastAsia="en-AU"/>
              </w:rPr>
            </w:pPr>
            <w:r w:rsidRPr="004A5BF7">
              <w:rPr>
                <w:rFonts w:cs="Arial"/>
                <w:color w:val="9C0006"/>
                <w:sz w:val="18"/>
                <w:szCs w:val="18"/>
                <w:lang w:val="en-AU" w:eastAsia="en-AU"/>
              </w:rPr>
              <w:t>3.60</w:t>
            </w:r>
          </w:p>
        </w:tc>
      </w:tr>
      <w:tr w:rsidR="00E9409C" w:rsidRPr="005C54B4" w14:paraId="1018EE55" w14:textId="77777777" w:rsidTr="004A5BF7">
        <w:trPr>
          <w:trHeight w:val="300"/>
          <w:jc w:val="center"/>
        </w:trPr>
        <w:tc>
          <w:tcPr>
            <w:tcW w:w="1840" w:type="dxa"/>
            <w:vMerge/>
            <w:tcBorders>
              <w:top w:val="nil"/>
              <w:left w:val="nil"/>
              <w:bottom w:val="single" w:sz="4" w:space="0" w:color="000000"/>
              <w:right w:val="nil"/>
            </w:tcBorders>
            <w:vAlign w:val="center"/>
            <w:hideMark/>
          </w:tcPr>
          <w:p w14:paraId="2796A115"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58AE5C3F"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SD</w:t>
            </w:r>
          </w:p>
        </w:tc>
        <w:tc>
          <w:tcPr>
            <w:tcW w:w="1420" w:type="dxa"/>
            <w:tcBorders>
              <w:top w:val="nil"/>
              <w:left w:val="nil"/>
              <w:bottom w:val="nil"/>
              <w:right w:val="nil"/>
            </w:tcBorders>
            <w:shd w:val="clear" w:color="auto" w:fill="auto"/>
            <w:vAlign w:val="center"/>
            <w:hideMark/>
          </w:tcPr>
          <w:p w14:paraId="3415D0E0"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2.86</w:t>
            </w:r>
          </w:p>
        </w:tc>
        <w:tc>
          <w:tcPr>
            <w:tcW w:w="1420" w:type="dxa"/>
            <w:tcBorders>
              <w:top w:val="nil"/>
              <w:left w:val="nil"/>
              <w:bottom w:val="nil"/>
              <w:right w:val="nil"/>
            </w:tcBorders>
            <w:shd w:val="clear" w:color="auto" w:fill="auto"/>
            <w:vAlign w:val="center"/>
            <w:hideMark/>
          </w:tcPr>
          <w:p w14:paraId="43FB021C"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2.84</w:t>
            </w:r>
          </w:p>
        </w:tc>
        <w:tc>
          <w:tcPr>
            <w:tcW w:w="1420" w:type="dxa"/>
            <w:tcBorders>
              <w:top w:val="nil"/>
              <w:left w:val="nil"/>
              <w:bottom w:val="nil"/>
              <w:right w:val="nil"/>
            </w:tcBorders>
            <w:shd w:val="clear" w:color="auto" w:fill="auto"/>
            <w:vAlign w:val="center"/>
            <w:hideMark/>
          </w:tcPr>
          <w:p w14:paraId="0F8CB2C2"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5.05</w:t>
            </w:r>
          </w:p>
        </w:tc>
        <w:tc>
          <w:tcPr>
            <w:tcW w:w="1420" w:type="dxa"/>
            <w:tcBorders>
              <w:top w:val="nil"/>
              <w:left w:val="nil"/>
              <w:bottom w:val="nil"/>
              <w:right w:val="nil"/>
            </w:tcBorders>
            <w:shd w:val="clear" w:color="auto" w:fill="auto"/>
            <w:vAlign w:val="center"/>
            <w:hideMark/>
          </w:tcPr>
          <w:p w14:paraId="23B27400"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1.98</w:t>
            </w:r>
          </w:p>
        </w:tc>
      </w:tr>
      <w:tr w:rsidR="00E9409C" w:rsidRPr="005C54B4" w14:paraId="0B2585F7" w14:textId="77777777" w:rsidTr="004A5BF7">
        <w:trPr>
          <w:trHeight w:val="300"/>
          <w:jc w:val="center"/>
        </w:trPr>
        <w:tc>
          <w:tcPr>
            <w:tcW w:w="1840" w:type="dxa"/>
            <w:vMerge/>
            <w:tcBorders>
              <w:top w:val="nil"/>
              <w:left w:val="nil"/>
              <w:bottom w:val="single" w:sz="4" w:space="0" w:color="000000"/>
              <w:right w:val="nil"/>
            </w:tcBorders>
            <w:vAlign w:val="center"/>
            <w:hideMark/>
          </w:tcPr>
          <w:p w14:paraId="277BED8D"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single" w:sz="4" w:space="0" w:color="auto"/>
              <w:right w:val="nil"/>
            </w:tcBorders>
            <w:shd w:val="clear" w:color="auto" w:fill="auto"/>
            <w:vAlign w:val="center"/>
            <w:hideMark/>
          </w:tcPr>
          <w:p w14:paraId="5854F650"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Count</w:t>
            </w:r>
          </w:p>
        </w:tc>
        <w:tc>
          <w:tcPr>
            <w:tcW w:w="1420" w:type="dxa"/>
            <w:tcBorders>
              <w:top w:val="nil"/>
              <w:left w:val="nil"/>
              <w:bottom w:val="single" w:sz="4" w:space="0" w:color="auto"/>
              <w:right w:val="nil"/>
            </w:tcBorders>
            <w:shd w:val="clear" w:color="auto" w:fill="auto"/>
            <w:vAlign w:val="center"/>
            <w:hideMark/>
          </w:tcPr>
          <w:p w14:paraId="4E7A4ED3"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23</w:t>
            </w:r>
          </w:p>
        </w:tc>
        <w:tc>
          <w:tcPr>
            <w:tcW w:w="1420" w:type="dxa"/>
            <w:tcBorders>
              <w:top w:val="nil"/>
              <w:left w:val="nil"/>
              <w:bottom w:val="single" w:sz="4" w:space="0" w:color="auto"/>
              <w:right w:val="nil"/>
            </w:tcBorders>
            <w:shd w:val="clear" w:color="auto" w:fill="auto"/>
            <w:vAlign w:val="center"/>
            <w:hideMark/>
          </w:tcPr>
          <w:p w14:paraId="452EE6D8"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29</w:t>
            </w:r>
          </w:p>
        </w:tc>
        <w:tc>
          <w:tcPr>
            <w:tcW w:w="1420" w:type="dxa"/>
            <w:tcBorders>
              <w:top w:val="nil"/>
              <w:left w:val="nil"/>
              <w:bottom w:val="single" w:sz="4" w:space="0" w:color="auto"/>
              <w:right w:val="nil"/>
            </w:tcBorders>
            <w:shd w:val="clear" w:color="auto" w:fill="auto"/>
            <w:vAlign w:val="center"/>
            <w:hideMark/>
          </w:tcPr>
          <w:p w14:paraId="335ABF6A"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26</w:t>
            </w:r>
          </w:p>
        </w:tc>
        <w:tc>
          <w:tcPr>
            <w:tcW w:w="1420" w:type="dxa"/>
            <w:tcBorders>
              <w:top w:val="nil"/>
              <w:left w:val="nil"/>
              <w:bottom w:val="single" w:sz="4" w:space="0" w:color="auto"/>
              <w:right w:val="nil"/>
            </w:tcBorders>
            <w:shd w:val="clear" w:color="auto" w:fill="auto"/>
            <w:vAlign w:val="center"/>
            <w:hideMark/>
          </w:tcPr>
          <w:p w14:paraId="3B6E2245"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9</w:t>
            </w:r>
          </w:p>
        </w:tc>
      </w:tr>
      <w:tr w:rsidR="00E9409C" w:rsidRPr="005C54B4" w14:paraId="1BD79584" w14:textId="77777777" w:rsidTr="004A5BF7">
        <w:trPr>
          <w:trHeight w:val="300"/>
          <w:jc w:val="center"/>
        </w:trPr>
        <w:tc>
          <w:tcPr>
            <w:tcW w:w="1840" w:type="dxa"/>
            <w:vMerge w:val="restart"/>
            <w:tcBorders>
              <w:top w:val="nil"/>
              <w:left w:val="nil"/>
              <w:bottom w:val="single" w:sz="4" w:space="0" w:color="000000"/>
              <w:right w:val="nil"/>
            </w:tcBorders>
            <w:shd w:val="clear" w:color="auto" w:fill="auto"/>
            <w:vAlign w:val="center"/>
            <w:hideMark/>
          </w:tcPr>
          <w:p w14:paraId="3991007D"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Chlorophyll-a (µg/L)</w:t>
            </w:r>
          </w:p>
        </w:tc>
        <w:tc>
          <w:tcPr>
            <w:tcW w:w="820" w:type="dxa"/>
            <w:tcBorders>
              <w:top w:val="nil"/>
              <w:left w:val="nil"/>
              <w:bottom w:val="nil"/>
              <w:right w:val="nil"/>
            </w:tcBorders>
            <w:shd w:val="clear" w:color="auto" w:fill="auto"/>
            <w:vAlign w:val="center"/>
            <w:hideMark/>
          </w:tcPr>
          <w:p w14:paraId="0ACC9840"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Min.</w:t>
            </w:r>
          </w:p>
        </w:tc>
        <w:tc>
          <w:tcPr>
            <w:tcW w:w="1420" w:type="dxa"/>
            <w:tcBorders>
              <w:top w:val="nil"/>
              <w:left w:val="nil"/>
              <w:bottom w:val="nil"/>
              <w:right w:val="nil"/>
            </w:tcBorders>
            <w:shd w:val="clear" w:color="auto" w:fill="auto"/>
            <w:vAlign w:val="center"/>
            <w:hideMark/>
          </w:tcPr>
          <w:p w14:paraId="65F984BF"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0.23</w:t>
            </w:r>
          </w:p>
        </w:tc>
        <w:tc>
          <w:tcPr>
            <w:tcW w:w="1420" w:type="dxa"/>
            <w:tcBorders>
              <w:top w:val="nil"/>
              <w:left w:val="nil"/>
              <w:bottom w:val="nil"/>
              <w:right w:val="nil"/>
            </w:tcBorders>
            <w:shd w:val="clear" w:color="auto" w:fill="auto"/>
            <w:vAlign w:val="center"/>
            <w:hideMark/>
          </w:tcPr>
          <w:p w14:paraId="306687C0"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0.20</w:t>
            </w:r>
          </w:p>
        </w:tc>
        <w:tc>
          <w:tcPr>
            <w:tcW w:w="1420" w:type="dxa"/>
            <w:tcBorders>
              <w:top w:val="nil"/>
              <w:left w:val="nil"/>
              <w:bottom w:val="nil"/>
              <w:right w:val="nil"/>
            </w:tcBorders>
            <w:shd w:val="clear" w:color="auto" w:fill="auto"/>
            <w:vAlign w:val="center"/>
            <w:hideMark/>
          </w:tcPr>
          <w:p w14:paraId="6872ADF5"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0.20</w:t>
            </w:r>
          </w:p>
        </w:tc>
        <w:tc>
          <w:tcPr>
            <w:tcW w:w="1420" w:type="dxa"/>
            <w:tcBorders>
              <w:top w:val="nil"/>
              <w:left w:val="nil"/>
              <w:bottom w:val="nil"/>
              <w:right w:val="nil"/>
            </w:tcBorders>
            <w:shd w:val="clear" w:color="auto" w:fill="auto"/>
            <w:vAlign w:val="center"/>
            <w:hideMark/>
          </w:tcPr>
          <w:p w14:paraId="12888EB6"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0.20</w:t>
            </w:r>
          </w:p>
        </w:tc>
      </w:tr>
      <w:tr w:rsidR="00E9409C" w:rsidRPr="005C54B4" w14:paraId="79118A13" w14:textId="77777777" w:rsidTr="004A5BF7">
        <w:trPr>
          <w:trHeight w:val="300"/>
          <w:jc w:val="center"/>
        </w:trPr>
        <w:tc>
          <w:tcPr>
            <w:tcW w:w="1840" w:type="dxa"/>
            <w:vMerge/>
            <w:tcBorders>
              <w:top w:val="nil"/>
              <w:left w:val="nil"/>
              <w:bottom w:val="single" w:sz="4" w:space="0" w:color="000000"/>
              <w:right w:val="nil"/>
            </w:tcBorders>
            <w:vAlign w:val="center"/>
            <w:hideMark/>
          </w:tcPr>
          <w:p w14:paraId="388FA1AD"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793A3094"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Max.</w:t>
            </w:r>
          </w:p>
        </w:tc>
        <w:tc>
          <w:tcPr>
            <w:tcW w:w="1420" w:type="dxa"/>
            <w:tcBorders>
              <w:top w:val="nil"/>
              <w:left w:val="nil"/>
              <w:bottom w:val="nil"/>
              <w:right w:val="nil"/>
            </w:tcBorders>
            <w:shd w:val="clear" w:color="auto" w:fill="auto"/>
            <w:vAlign w:val="center"/>
            <w:hideMark/>
          </w:tcPr>
          <w:p w14:paraId="48668996"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2.28</w:t>
            </w:r>
          </w:p>
        </w:tc>
        <w:tc>
          <w:tcPr>
            <w:tcW w:w="1420" w:type="dxa"/>
            <w:tcBorders>
              <w:top w:val="nil"/>
              <w:left w:val="nil"/>
              <w:bottom w:val="nil"/>
              <w:right w:val="nil"/>
            </w:tcBorders>
            <w:shd w:val="clear" w:color="auto" w:fill="auto"/>
            <w:vAlign w:val="center"/>
            <w:hideMark/>
          </w:tcPr>
          <w:p w14:paraId="20B92805"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3.62</w:t>
            </w:r>
          </w:p>
        </w:tc>
        <w:tc>
          <w:tcPr>
            <w:tcW w:w="1420" w:type="dxa"/>
            <w:tcBorders>
              <w:top w:val="nil"/>
              <w:left w:val="nil"/>
              <w:bottom w:val="nil"/>
              <w:right w:val="nil"/>
            </w:tcBorders>
            <w:shd w:val="clear" w:color="auto" w:fill="auto"/>
            <w:vAlign w:val="center"/>
            <w:hideMark/>
          </w:tcPr>
          <w:p w14:paraId="7A410A33"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1.31</w:t>
            </w:r>
          </w:p>
        </w:tc>
        <w:tc>
          <w:tcPr>
            <w:tcW w:w="1420" w:type="dxa"/>
            <w:tcBorders>
              <w:top w:val="nil"/>
              <w:left w:val="nil"/>
              <w:bottom w:val="nil"/>
              <w:right w:val="nil"/>
            </w:tcBorders>
            <w:shd w:val="clear" w:color="auto" w:fill="auto"/>
            <w:vAlign w:val="center"/>
            <w:hideMark/>
          </w:tcPr>
          <w:p w14:paraId="2C31442F"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0.98</w:t>
            </w:r>
          </w:p>
        </w:tc>
      </w:tr>
      <w:tr w:rsidR="00E9409C" w:rsidRPr="005C54B4" w14:paraId="17722FD4" w14:textId="77777777" w:rsidTr="004A5BF7">
        <w:trPr>
          <w:trHeight w:val="300"/>
          <w:jc w:val="center"/>
        </w:trPr>
        <w:tc>
          <w:tcPr>
            <w:tcW w:w="1840" w:type="dxa"/>
            <w:vMerge/>
            <w:tcBorders>
              <w:top w:val="nil"/>
              <w:left w:val="nil"/>
              <w:bottom w:val="single" w:sz="4" w:space="0" w:color="000000"/>
              <w:right w:val="nil"/>
            </w:tcBorders>
            <w:vAlign w:val="center"/>
            <w:hideMark/>
          </w:tcPr>
          <w:p w14:paraId="30EAF44A"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40AA7840"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Mean</w:t>
            </w:r>
          </w:p>
        </w:tc>
        <w:tc>
          <w:tcPr>
            <w:tcW w:w="1420" w:type="dxa"/>
            <w:tcBorders>
              <w:top w:val="nil"/>
              <w:left w:val="nil"/>
              <w:bottom w:val="nil"/>
              <w:right w:val="nil"/>
            </w:tcBorders>
            <w:shd w:val="clear" w:color="auto" w:fill="auto"/>
            <w:vAlign w:val="center"/>
            <w:hideMark/>
          </w:tcPr>
          <w:p w14:paraId="66D40005"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0.73</w:t>
            </w:r>
          </w:p>
        </w:tc>
        <w:tc>
          <w:tcPr>
            <w:tcW w:w="1420" w:type="dxa"/>
            <w:tcBorders>
              <w:top w:val="nil"/>
              <w:left w:val="nil"/>
              <w:bottom w:val="nil"/>
              <w:right w:val="nil"/>
            </w:tcBorders>
            <w:shd w:val="clear" w:color="auto" w:fill="auto"/>
            <w:vAlign w:val="center"/>
            <w:hideMark/>
          </w:tcPr>
          <w:p w14:paraId="6E11B8AC"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0.92</w:t>
            </w:r>
          </w:p>
        </w:tc>
        <w:tc>
          <w:tcPr>
            <w:tcW w:w="1420" w:type="dxa"/>
            <w:tcBorders>
              <w:top w:val="nil"/>
              <w:left w:val="nil"/>
              <w:bottom w:val="nil"/>
              <w:right w:val="nil"/>
            </w:tcBorders>
            <w:shd w:val="clear" w:color="auto" w:fill="auto"/>
            <w:vAlign w:val="center"/>
            <w:hideMark/>
          </w:tcPr>
          <w:p w14:paraId="38E69E2A"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0.70</w:t>
            </w:r>
          </w:p>
        </w:tc>
        <w:tc>
          <w:tcPr>
            <w:tcW w:w="1420" w:type="dxa"/>
            <w:tcBorders>
              <w:top w:val="nil"/>
              <w:left w:val="nil"/>
              <w:bottom w:val="nil"/>
              <w:right w:val="nil"/>
            </w:tcBorders>
            <w:shd w:val="clear" w:color="auto" w:fill="auto"/>
            <w:vAlign w:val="center"/>
            <w:hideMark/>
          </w:tcPr>
          <w:p w14:paraId="024E7885"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0.55</w:t>
            </w:r>
          </w:p>
        </w:tc>
      </w:tr>
      <w:tr w:rsidR="00E9409C" w:rsidRPr="005C54B4" w14:paraId="30685F74" w14:textId="77777777" w:rsidTr="004A5BF7">
        <w:trPr>
          <w:trHeight w:val="300"/>
          <w:jc w:val="center"/>
        </w:trPr>
        <w:tc>
          <w:tcPr>
            <w:tcW w:w="1840" w:type="dxa"/>
            <w:vMerge/>
            <w:tcBorders>
              <w:top w:val="nil"/>
              <w:left w:val="nil"/>
              <w:bottom w:val="single" w:sz="4" w:space="0" w:color="000000"/>
              <w:right w:val="nil"/>
            </w:tcBorders>
            <w:vAlign w:val="center"/>
            <w:hideMark/>
          </w:tcPr>
          <w:p w14:paraId="12A1A3A0"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5E0EDFCE"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Median</w:t>
            </w:r>
          </w:p>
        </w:tc>
        <w:tc>
          <w:tcPr>
            <w:tcW w:w="1420" w:type="dxa"/>
            <w:tcBorders>
              <w:top w:val="nil"/>
              <w:left w:val="nil"/>
              <w:bottom w:val="nil"/>
              <w:right w:val="nil"/>
            </w:tcBorders>
            <w:shd w:val="clear" w:color="000000" w:fill="FFC7CE"/>
            <w:vAlign w:val="center"/>
            <w:hideMark/>
          </w:tcPr>
          <w:p w14:paraId="7BACC1E4" w14:textId="77777777" w:rsidR="00E9409C" w:rsidRPr="004A5BF7" w:rsidRDefault="00E9409C" w:rsidP="004A5BF7">
            <w:pPr>
              <w:spacing w:before="0" w:after="0"/>
              <w:jc w:val="center"/>
              <w:rPr>
                <w:rFonts w:cs="Arial"/>
                <w:color w:val="9C0006"/>
                <w:sz w:val="18"/>
                <w:szCs w:val="18"/>
                <w:lang w:val="en-AU" w:eastAsia="en-AU"/>
              </w:rPr>
            </w:pPr>
            <w:r w:rsidRPr="004A5BF7">
              <w:rPr>
                <w:rFonts w:cs="Arial"/>
                <w:color w:val="9C0006"/>
                <w:sz w:val="18"/>
                <w:szCs w:val="18"/>
                <w:lang w:val="en-AU" w:eastAsia="en-AU"/>
              </w:rPr>
              <w:t>0.55</w:t>
            </w:r>
          </w:p>
        </w:tc>
        <w:tc>
          <w:tcPr>
            <w:tcW w:w="1420" w:type="dxa"/>
            <w:tcBorders>
              <w:top w:val="nil"/>
              <w:left w:val="nil"/>
              <w:bottom w:val="nil"/>
              <w:right w:val="nil"/>
            </w:tcBorders>
            <w:shd w:val="clear" w:color="000000" w:fill="FFC7CE"/>
            <w:vAlign w:val="center"/>
            <w:hideMark/>
          </w:tcPr>
          <w:p w14:paraId="2D9742C9" w14:textId="77777777" w:rsidR="00E9409C" w:rsidRPr="004A5BF7" w:rsidRDefault="00E9409C" w:rsidP="004A5BF7">
            <w:pPr>
              <w:spacing w:before="0" w:after="0"/>
              <w:jc w:val="center"/>
              <w:rPr>
                <w:rFonts w:cs="Arial"/>
                <w:color w:val="9C0006"/>
                <w:sz w:val="18"/>
                <w:szCs w:val="18"/>
                <w:lang w:val="en-AU" w:eastAsia="en-AU"/>
              </w:rPr>
            </w:pPr>
            <w:r w:rsidRPr="004A5BF7">
              <w:rPr>
                <w:rFonts w:cs="Arial"/>
                <w:color w:val="9C0006"/>
                <w:sz w:val="18"/>
                <w:szCs w:val="18"/>
                <w:lang w:val="en-AU" w:eastAsia="en-AU"/>
              </w:rPr>
              <w:t>0.76</w:t>
            </w:r>
          </w:p>
        </w:tc>
        <w:tc>
          <w:tcPr>
            <w:tcW w:w="1420" w:type="dxa"/>
            <w:tcBorders>
              <w:top w:val="nil"/>
              <w:left w:val="nil"/>
              <w:bottom w:val="nil"/>
              <w:right w:val="nil"/>
            </w:tcBorders>
            <w:shd w:val="clear" w:color="000000" w:fill="FFC7CE"/>
            <w:vAlign w:val="center"/>
            <w:hideMark/>
          </w:tcPr>
          <w:p w14:paraId="1EE9F5B5" w14:textId="77777777" w:rsidR="00E9409C" w:rsidRPr="004A5BF7" w:rsidRDefault="00E9409C" w:rsidP="004A5BF7">
            <w:pPr>
              <w:spacing w:before="0" w:after="0"/>
              <w:jc w:val="center"/>
              <w:rPr>
                <w:rFonts w:cs="Arial"/>
                <w:color w:val="9C0006"/>
                <w:sz w:val="18"/>
                <w:szCs w:val="18"/>
                <w:lang w:val="en-AU" w:eastAsia="en-AU"/>
              </w:rPr>
            </w:pPr>
            <w:r w:rsidRPr="004A5BF7">
              <w:rPr>
                <w:rFonts w:cs="Arial"/>
                <w:color w:val="9C0006"/>
                <w:sz w:val="18"/>
                <w:szCs w:val="18"/>
                <w:lang w:val="en-AU" w:eastAsia="en-AU"/>
              </w:rPr>
              <w:t>0.68</w:t>
            </w:r>
          </w:p>
        </w:tc>
        <w:tc>
          <w:tcPr>
            <w:tcW w:w="1420" w:type="dxa"/>
            <w:tcBorders>
              <w:top w:val="nil"/>
              <w:left w:val="nil"/>
              <w:bottom w:val="nil"/>
              <w:right w:val="nil"/>
            </w:tcBorders>
            <w:shd w:val="clear" w:color="000000" w:fill="FFC7CE"/>
            <w:vAlign w:val="center"/>
            <w:hideMark/>
          </w:tcPr>
          <w:p w14:paraId="1083EEAF" w14:textId="77777777" w:rsidR="00E9409C" w:rsidRPr="004A5BF7" w:rsidRDefault="00E9409C" w:rsidP="004A5BF7">
            <w:pPr>
              <w:spacing w:before="0" w:after="0"/>
              <w:jc w:val="center"/>
              <w:rPr>
                <w:rFonts w:cs="Arial"/>
                <w:color w:val="9C0006"/>
                <w:sz w:val="18"/>
                <w:szCs w:val="18"/>
                <w:lang w:val="en-AU" w:eastAsia="en-AU"/>
              </w:rPr>
            </w:pPr>
            <w:r w:rsidRPr="004A5BF7">
              <w:rPr>
                <w:rFonts w:cs="Arial"/>
                <w:color w:val="9C0006"/>
                <w:sz w:val="18"/>
                <w:szCs w:val="18"/>
                <w:lang w:val="en-AU" w:eastAsia="en-AU"/>
              </w:rPr>
              <w:t>0.46</w:t>
            </w:r>
          </w:p>
        </w:tc>
      </w:tr>
      <w:tr w:rsidR="00E9409C" w:rsidRPr="005C54B4" w14:paraId="7FE74E0D" w14:textId="77777777" w:rsidTr="004A5BF7">
        <w:trPr>
          <w:trHeight w:val="300"/>
          <w:jc w:val="center"/>
        </w:trPr>
        <w:tc>
          <w:tcPr>
            <w:tcW w:w="1840" w:type="dxa"/>
            <w:vMerge/>
            <w:tcBorders>
              <w:top w:val="nil"/>
              <w:left w:val="nil"/>
              <w:bottom w:val="single" w:sz="4" w:space="0" w:color="000000"/>
              <w:right w:val="nil"/>
            </w:tcBorders>
            <w:vAlign w:val="center"/>
            <w:hideMark/>
          </w:tcPr>
          <w:p w14:paraId="2F22C19A"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636A1054"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SD</w:t>
            </w:r>
          </w:p>
        </w:tc>
        <w:tc>
          <w:tcPr>
            <w:tcW w:w="1420" w:type="dxa"/>
            <w:tcBorders>
              <w:top w:val="nil"/>
              <w:left w:val="nil"/>
              <w:bottom w:val="nil"/>
              <w:right w:val="nil"/>
            </w:tcBorders>
            <w:shd w:val="clear" w:color="auto" w:fill="auto"/>
            <w:vAlign w:val="center"/>
            <w:hideMark/>
          </w:tcPr>
          <w:p w14:paraId="7701491E"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0.46</w:t>
            </w:r>
          </w:p>
        </w:tc>
        <w:tc>
          <w:tcPr>
            <w:tcW w:w="1420" w:type="dxa"/>
            <w:tcBorders>
              <w:top w:val="nil"/>
              <w:left w:val="nil"/>
              <w:bottom w:val="nil"/>
              <w:right w:val="nil"/>
            </w:tcBorders>
            <w:shd w:val="clear" w:color="auto" w:fill="auto"/>
            <w:vAlign w:val="center"/>
            <w:hideMark/>
          </w:tcPr>
          <w:p w14:paraId="075F059A"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0.72</w:t>
            </w:r>
          </w:p>
        </w:tc>
        <w:tc>
          <w:tcPr>
            <w:tcW w:w="1420" w:type="dxa"/>
            <w:tcBorders>
              <w:top w:val="nil"/>
              <w:left w:val="nil"/>
              <w:bottom w:val="nil"/>
              <w:right w:val="nil"/>
            </w:tcBorders>
            <w:shd w:val="clear" w:color="auto" w:fill="auto"/>
            <w:vAlign w:val="center"/>
            <w:hideMark/>
          </w:tcPr>
          <w:p w14:paraId="6366A89B"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0.29</w:t>
            </w:r>
          </w:p>
        </w:tc>
        <w:tc>
          <w:tcPr>
            <w:tcW w:w="1420" w:type="dxa"/>
            <w:tcBorders>
              <w:top w:val="nil"/>
              <w:left w:val="nil"/>
              <w:bottom w:val="nil"/>
              <w:right w:val="nil"/>
            </w:tcBorders>
            <w:shd w:val="clear" w:color="auto" w:fill="auto"/>
            <w:vAlign w:val="center"/>
            <w:hideMark/>
          </w:tcPr>
          <w:p w14:paraId="745F1CF8"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0.26</w:t>
            </w:r>
          </w:p>
        </w:tc>
      </w:tr>
      <w:tr w:rsidR="00E9409C" w:rsidRPr="005C54B4" w14:paraId="104A6B2A" w14:textId="77777777" w:rsidTr="004A5BF7">
        <w:trPr>
          <w:trHeight w:val="300"/>
          <w:jc w:val="center"/>
        </w:trPr>
        <w:tc>
          <w:tcPr>
            <w:tcW w:w="1840" w:type="dxa"/>
            <w:vMerge/>
            <w:tcBorders>
              <w:top w:val="nil"/>
              <w:left w:val="nil"/>
              <w:bottom w:val="single" w:sz="4" w:space="0" w:color="000000"/>
              <w:right w:val="nil"/>
            </w:tcBorders>
            <w:vAlign w:val="center"/>
            <w:hideMark/>
          </w:tcPr>
          <w:p w14:paraId="67AA4194"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single" w:sz="4" w:space="0" w:color="auto"/>
              <w:right w:val="nil"/>
            </w:tcBorders>
            <w:shd w:val="clear" w:color="auto" w:fill="auto"/>
            <w:vAlign w:val="center"/>
            <w:hideMark/>
          </w:tcPr>
          <w:p w14:paraId="09A2CA86"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Count</w:t>
            </w:r>
          </w:p>
        </w:tc>
        <w:tc>
          <w:tcPr>
            <w:tcW w:w="1420" w:type="dxa"/>
            <w:tcBorders>
              <w:top w:val="nil"/>
              <w:left w:val="nil"/>
              <w:bottom w:val="single" w:sz="4" w:space="0" w:color="auto"/>
              <w:right w:val="nil"/>
            </w:tcBorders>
            <w:shd w:val="clear" w:color="auto" w:fill="auto"/>
            <w:vAlign w:val="center"/>
            <w:hideMark/>
          </w:tcPr>
          <w:p w14:paraId="45401E8B"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23</w:t>
            </w:r>
          </w:p>
        </w:tc>
        <w:tc>
          <w:tcPr>
            <w:tcW w:w="1420" w:type="dxa"/>
            <w:tcBorders>
              <w:top w:val="nil"/>
              <w:left w:val="nil"/>
              <w:bottom w:val="single" w:sz="4" w:space="0" w:color="auto"/>
              <w:right w:val="nil"/>
            </w:tcBorders>
            <w:shd w:val="clear" w:color="auto" w:fill="auto"/>
            <w:vAlign w:val="center"/>
            <w:hideMark/>
          </w:tcPr>
          <w:p w14:paraId="47E08640"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29</w:t>
            </w:r>
          </w:p>
        </w:tc>
        <w:tc>
          <w:tcPr>
            <w:tcW w:w="1420" w:type="dxa"/>
            <w:tcBorders>
              <w:top w:val="nil"/>
              <w:left w:val="nil"/>
              <w:bottom w:val="single" w:sz="4" w:space="0" w:color="auto"/>
              <w:right w:val="nil"/>
            </w:tcBorders>
            <w:shd w:val="clear" w:color="auto" w:fill="auto"/>
            <w:vAlign w:val="center"/>
            <w:hideMark/>
          </w:tcPr>
          <w:p w14:paraId="0B8B113B"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27</w:t>
            </w:r>
          </w:p>
        </w:tc>
        <w:tc>
          <w:tcPr>
            <w:tcW w:w="1420" w:type="dxa"/>
            <w:tcBorders>
              <w:top w:val="nil"/>
              <w:left w:val="nil"/>
              <w:bottom w:val="single" w:sz="4" w:space="0" w:color="auto"/>
              <w:right w:val="nil"/>
            </w:tcBorders>
            <w:shd w:val="clear" w:color="auto" w:fill="auto"/>
            <w:vAlign w:val="center"/>
            <w:hideMark/>
          </w:tcPr>
          <w:p w14:paraId="7120BEF3"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9</w:t>
            </w:r>
          </w:p>
        </w:tc>
      </w:tr>
      <w:tr w:rsidR="00E9409C" w:rsidRPr="005C54B4" w14:paraId="47E866F5" w14:textId="77777777" w:rsidTr="004A5BF7">
        <w:trPr>
          <w:trHeight w:val="300"/>
          <w:jc w:val="center"/>
        </w:trPr>
        <w:tc>
          <w:tcPr>
            <w:tcW w:w="1840" w:type="dxa"/>
            <w:vMerge w:val="restart"/>
            <w:tcBorders>
              <w:top w:val="nil"/>
              <w:left w:val="nil"/>
              <w:bottom w:val="single" w:sz="4" w:space="0" w:color="000000"/>
              <w:right w:val="nil"/>
            </w:tcBorders>
            <w:shd w:val="clear" w:color="auto" w:fill="auto"/>
            <w:vAlign w:val="center"/>
            <w:hideMark/>
          </w:tcPr>
          <w:p w14:paraId="11FDD98A"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Dissolved Inorganic Nitrogen (µg/L)</w:t>
            </w:r>
          </w:p>
        </w:tc>
        <w:tc>
          <w:tcPr>
            <w:tcW w:w="820" w:type="dxa"/>
            <w:tcBorders>
              <w:top w:val="nil"/>
              <w:left w:val="nil"/>
              <w:bottom w:val="nil"/>
              <w:right w:val="nil"/>
            </w:tcBorders>
            <w:shd w:val="clear" w:color="auto" w:fill="auto"/>
            <w:vAlign w:val="center"/>
            <w:hideMark/>
          </w:tcPr>
          <w:p w14:paraId="528F4E36"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Min.</w:t>
            </w:r>
          </w:p>
        </w:tc>
        <w:tc>
          <w:tcPr>
            <w:tcW w:w="1420" w:type="dxa"/>
            <w:tcBorders>
              <w:top w:val="nil"/>
              <w:left w:val="nil"/>
              <w:bottom w:val="nil"/>
              <w:right w:val="nil"/>
            </w:tcBorders>
            <w:shd w:val="clear" w:color="auto" w:fill="auto"/>
            <w:vAlign w:val="center"/>
            <w:hideMark/>
          </w:tcPr>
          <w:p w14:paraId="5EB8479B"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5.00</w:t>
            </w:r>
          </w:p>
        </w:tc>
        <w:tc>
          <w:tcPr>
            <w:tcW w:w="1420" w:type="dxa"/>
            <w:tcBorders>
              <w:top w:val="nil"/>
              <w:left w:val="nil"/>
              <w:bottom w:val="nil"/>
              <w:right w:val="nil"/>
            </w:tcBorders>
            <w:shd w:val="clear" w:color="auto" w:fill="auto"/>
            <w:vAlign w:val="center"/>
            <w:hideMark/>
          </w:tcPr>
          <w:p w14:paraId="5E9FE4EA"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4.00</w:t>
            </w:r>
          </w:p>
        </w:tc>
        <w:tc>
          <w:tcPr>
            <w:tcW w:w="1420" w:type="dxa"/>
            <w:tcBorders>
              <w:top w:val="nil"/>
              <w:left w:val="nil"/>
              <w:bottom w:val="nil"/>
              <w:right w:val="nil"/>
            </w:tcBorders>
            <w:shd w:val="clear" w:color="auto" w:fill="auto"/>
            <w:vAlign w:val="center"/>
            <w:hideMark/>
          </w:tcPr>
          <w:p w14:paraId="371DDC85"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5.00</w:t>
            </w:r>
          </w:p>
        </w:tc>
        <w:tc>
          <w:tcPr>
            <w:tcW w:w="1420" w:type="dxa"/>
            <w:tcBorders>
              <w:top w:val="nil"/>
              <w:left w:val="nil"/>
              <w:bottom w:val="nil"/>
              <w:right w:val="nil"/>
            </w:tcBorders>
            <w:shd w:val="clear" w:color="auto" w:fill="auto"/>
            <w:vAlign w:val="center"/>
            <w:hideMark/>
          </w:tcPr>
          <w:p w14:paraId="0FA1A94B"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10.00</w:t>
            </w:r>
          </w:p>
        </w:tc>
      </w:tr>
      <w:tr w:rsidR="00E9409C" w:rsidRPr="005C54B4" w14:paraId="66A1494D" w14:textId="77777777" w:rsidTr="004A5BF7">
        <w:trPr>
          <w:trHeight w:val="300"/>
          <w:jc w:val="center"/>
        </w:trPr>
        <w:tc>
          <w:tcPr>
            <w:tcW w:w="1840" w:type="dxa"/>
            <w:vMerge/>
            <w:tcBorders>
              <w:top w:val="nil"/>
              <w:left w:val="nil"/>
              <w:bottom w:val="single" w:sz="4" w:space="0" w:color="000000"/>
              <w:right w:val="nil"/>
            </w:tcBorders>
            <w:vAlign w:val="center"/>
            <w:hideMark/>
          </w:tcPr>
          <w:p w14:paraId="39C28E22"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77D392FA"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Max.</w:t>
            </w:r>
          </w:p>
        </w:tc>
        <w:tc>
          <w:tcPr>
            <w:tcW w:w="1420" w:type="dxa"/>
            <w:tcBorders>
              <w:top w:val="nil"/>
              <w:left w:val="nil"/>
              <w:bottom w:val="nil"/>
              <w:right w:val="nil"/>
            </w:tcBorders>
            <w:shd w:val="clear" w:color="auto" w:fill="auto"/>
            <w:vAlign w:val="center"/>
            <w:hideMark/>
          </w:tcPr>
          <w:p w14:paraId="0ABA7EDA"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364.00</w:t>
            </w:r>
          </w:p>
        </w:tc>
        <w:tc>
          <w:tcPr>
            <w:tcW w:w="1420" w:type="dxa"/>
            <w:tcBorders>
              <w:top w:val="nil"/>
              <w:left w:val="nil"/>
              <w:bottom w:val="nil"/>
              <w:right w:val="nil"/>
            </w:tcBorders>
            <w:shd w:val="clear" w:color="auto" w:fill="auto"/>
            <w:vAlign w:val="center"/>
            <w:hideMark/>
          </w:tcPr>
          <w:p w14:paraId="2FA138C1"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185.00</w:t>
            </w:r>
          </w:p>
        </w:tc>
        <w:tc>
          <w:tcPr>
            <w:tcW w:w="1420" w:type="dxa"/>
            <w:tcBorders>
              <w:top w:val="nil"/>
              <w:left w:val="nil"/>
              <w:bottom w:val="nil"/>
              <w:right w:val="nil"/>
            </w:tcBorders>
            <w:shd w:val="clear" w:color="auto" w:fill="auto"/>
            <w:vAlign w:val="center"/>
            <w:hideMark/>
          </w:tcPr>
          <w:p w14:paraId="570B097F"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29.00</w:t>
            </w:r>
          </w:p>
        </w:tc>
        <w:tc>
          <w:tcPr>
            <w:tcW w:w="1420" w:type="dxa"/>
            <w:tcBorders>
              <w:top w:val="nil"/>
              <w:left w:val="nil"/>
              <w:bottom w:val="nil"/>
              <w:right w:val="nil"/>
            </w:tcBorders>
            <w:shd w:val="clear" w:color="auto" w:fill="auto"/>
            <w:vAlign w:val="center"/>
            <w:hideMark/>
          </w:tcPr>
          <w:p w14:paraId="5D782E9E"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26.00</w:t>
            </w:r>
          </w:p>
        </w:tc>
      </w:tr>
      <w:tr w:rsidR="00E9409C" w:rsidRPr="005C54B4" w14:paraId="1F6EA6FA" w14:textId="77777777" w:rsidTr="004A5BF7">
        <w:trPr>
          <w:trHeight w:val="300"/>
          <w:jc w:val="center"/>
        </w:trPr>
        <w:tc>
          <w:tcPr>
            <w:tcW w:w="1840" w:type="dxa"/>
            <w:vMerge/>
            <w:tcBorders>
              <w:top w:val="nil"/>
              <w:left w:val="nil"/>
              <w:bottom w:val="single" w:sz="4" w:space="0" w:color="000000"/>
              <w:right w:val="nil"/>
            </w:tcBorders>
            <w:vAlign w:val="center"/>
            <w:hideMark/>
          </w:tcPr>
          <w:p w14:paraId="5485EA02"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306F432B"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Mean</w:t>
            </w:r>
          </w:p>
        </w:tc>
        <w:tc>
          <w:tcPr>
            <w:tcW w:w="1420" w:type="dxa"/>
            <w:tcBorders>
              <w:top w:val="nil"/>
              <w:left w:val="nil"/>
              <w:bottom w:val="nil"/>
              <w:right w:val="nil"/>
            </w:tcBorders>
            <w:shd w:val="clear" w:color="auto" w:fill="auto"/>
            <w:vAlign w:val="center"/>
            <w:hideMark/>
          </w:tcPr>
          <w:p w14:paraId="37708670"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74.43</w:t>
            </w:r>
          </w:p>
        </w:tc>
        <w:tc>
          <w:tcPr>
            <w:tcW w:w="1420" w:type="dxa"/>
            <w:tcBorders>
              <w:top w:val="nil"/>
              <w:left w:val="nil"/>
              <w:bottom w:val="nil"/>
              <w:right w:val="nil"/>
            </w:tcBorders>
            <w:shd w:val="clear" w:color="auto" w:fill="auto"/>
            <w:vAlign w:val="center"/>
            <w:hideMark/>
          </w:tcPr>
          <w:p w14:paraId="72E24AE7"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26.00</w:t>
            </w:r>
          </w:p>
        </w:tc>
        <w:tc>
          <w:tcPr>
            <w:tcW w:w="1420" w:type="dxa"/>
            <w:tcBorders>
              <w:top w:val="nil"/>
              <w:left w:val="nil"/>
              <w:bottom w:val="nil"/>
              <w:right w:val="nil"/>
            </w:tcBorders>
            <w:shd w:val="clear" w:color="auto" w:fill="auto"/>
            <w:vAlign w:val="center"/>
            <w:hideMark/>
          </w:tcPr>
          <w:p w14:paraId="6E608669"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13.22</w:t>
            </w:r>
          </w:p>
        </w:tc>
        <w:tc>
          <w:tcPr>
            <w:tcW w:w="1420" w:type="dxa"/>
            <w:tcBorders>
              <w:top w:val="nil"/>
              <w:left w:val="nil"/>
              <w:bottom w:val="nil"/>
              <w:right w:val="nil"/>
            </w:tcBorders>
            <w:shd w:val="clear" w:color="auto" w:fill="auto"/>
            <w:vAlign w:val="center"/>
            <w:hideMark/>
          </w:tcPr>
          <w:p w14:paraId="08116C26"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15.44</w:t>
            </w:r>
          </w:p>
        </w:tc>
      </w:tr>
      <w:tr w:rsidR="00E9409C" w:rsidRPr="005C54B4" w14:paraId="0D10CDD7" w14:textId="77777777" w:rsidTr="004A5BF7">
        <w:trPr>
          <w:trHeight w:val="300"/>
          <w:jc w:val="center"/>
        </w:trPr>
        <w:tc>
          <w:tcPr>
            <w:tcW w:w="1840" w:type="dxa"/>
            <w:vMerge/>
            <w:tcBorders>
              <w:top w:val="nil"/>
              <w:left w:val="nil"/>
              <w:bottom w:val="single" w:sz="4" w:space="0" w:color="000000"/>
              <w:right w:val="nil"/>
            </w:tcBorders>
            <w:vAlign w:val="center"/>
            <w:hideMark/>
          </w:tcPr>
          <w:p w14:paraId="73088EFF"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2A62C619"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Median</w:t>
            </w:r>
          </w:p>
        </w:tc>
        <w:tc>
          <w:tcPr>
            <w:tcW w:w="1420" w:type="dxa"/>
            <w:tcBorders>
              <w:top w:val="nil"/>
              <w:left w:val="nil"/>
              <w:bottom w:val="nil"/>
              <w:right w:val="nil"/>
            </w:tcBorders>
            <w:shd w:val="clear" w:color="000000" w:fill="FFC7CE"/>
            <w:vAlign w:val="center"/>
            <w:hideMark/>
          </w:tcPr>
          <w:p w14:paraId="2A56717E" w14:textId="77777777" w:rsidR="00E9409C" w:rsidRPr="004A5BF7" w:rsidRDefault="00E9409C" w:rsidP="004A5BF7">
            <w:pPr>
              <w:spacing w:before="0" w:after="0"/>
              <w:jc w:val="center"/>
              <w:rPr>
                <w:rFonts w:cs="Arial"/>
                <w:color w:val="9C0006"/>
                <w:sz w:val="18"/>
                <w:szCs w:val="18"/>
                <w:lang w:val="en-AU" w:eastAsia="en-AU"/>
              </w:rPr>
            </w:pPr>
            <w:r w:rsidRPr="004A5BF7">
              <w:rPr>
                <w:rFonts w:cs="Arial"/>
                <w:color w:val="9C0006"/>
                <w:sz w:val="18"/>
                <w:szCs w:val="18"/>
                <w:lang w:val="en-AU" w:eastAsia="en-AU"/>
              </w:rPr>
              <w:t>15.00</w:t>
            </w:r>
          </w:p>
        </w:tc>
        <w:tc>
          <w:tcPr>
            <w:tcW w:w="1420" w:type="dxa"/>
            <w:tcBorders>
              <w:top w:val="nil"/>
              <w:left w:val="nil"/>
              <w:bottom w:val="nil"/>
              <w:right w:val="nil"/>
            </w:tcBorders>
            <w:shd w:val="clear" w:color="000000" w:fill="FFC7CE"/>
            <w:vAlign w:val="center"/>
            <w:hideMark/>
          </w:tcPr>
          <w:p w14:paraId="514CC265" w14:textId="77777777" w:rsidR="00E9409C" w:rsidRPr="004A5BF7" w:rsidRDefault="00E9409C" w:rsidP="004A5BF7">
            <w:pPr>
              <w:spacing w:before="0" w:after="0"/>
              <w:jc w:val="center"/>
              <w:rPr>
                <w:rFonts w:cs="Arial"/>
                <w:color w:val="9C0006"/>
                <w:sz w:val="18"/>
                <w:szCs w:val="18"/>
                <w:lang w:val="en-AU" w:eastAsia="en-AU"/>
              </w:rPr>
            </w:pPr>
            <w:r w:rsidRPr="004A5BF7">
              <w:rPr>
                <w:rFonts w:cs="Arial"/>
                <w:color w:val="9C0006"/>
                <w:sz w:val="18"/>
                <w:szCs w:val="18"/>
                <w:lang w:val="en-AU" w:eastAsia="en-AU"/>
              </w:rPr>
              <w:t>12.00</w:t>
            </w:r>
          </w:p>
        </w:tc>
        <w:tc>
          <w:tcPr>
            <w:tcW w:w="1420" w:type="dxa"/>
            <w:tcBorders>
              <w:top w:val="nil"/>
              <w:left w:val="nil"/>
              <w:bottom w:val="nil"/>
              <w:right w:val="nil"/>
            </w:tcBorders>
            <w:shd w:val="clear" w:color="000000" w:fill="FFC7CE"/>
            <w:vAlign w:val="center"/>
            <w:hideMark/>
          </w:tcPr>
          <w:p w14:paraId="08CA6B72" w14:textId="77777777" w:rsidR="00E9409C" w:rsidRPr="004A5BF7" w:rsidRDefault="00E9409C" w:rsidP="004A5BF7">
            <w:pPr>
              <w:spacing w:before="0" w:after="0"/>
              <w:jc w:val="center"/>
              <w:rPr>
                <w:rFonts w:cs="Arial"/>
                <w:color w:val="9C0006"/>
                <w:sz w:val="18"/>
                <w:szCs w:val="18"/>
                <w:lang w:val="en-AU" w:eastAsia="en-AU"/>
              </w:rPr>
            </w:pPr>
            <w:r w:rsidRPr="004A5BF7">
              <w:rPr>
                <w:rFonts w:cs="Arial"/>
                <w:color w:val="9C0006"/>
                <w:sz w:val="18"/>
                <w:szCs w:val="18"/>
                <w:lang w:val="en-AU" w:eastAsia="en-AU"/>
              </w:rPr>
              <w:t>13.00</w:t>
            </w:r>
          </w:p>
        </w:tc>
        <w:tc>
          <w:tcPr>
            <w:tcW w:w="1420" w:type="dxa"/>
            <w:tcBorders>
              <w:top w:val="nil"/>
              <w:left w:val="nil"/>
              <w:bottom w:val="nil"/>
              <w:right w:val="nil"/>
            </w:tcBorders>
            <w:shd w:val="clear" w:color="000000" w:fill="FFC7CE"/>
            <w:vAlign w:val="center"/>
            <w:hideMark/>
          </w:tcPr>
          <w:p w14:paraId="5888A438" w14:textId="77777777" w:rsidR="00E9409C" w:rsidRPr="004A5BF7" w:rsidRDefault="00E9409C" w:rsidP="004A5BF7">
            <w:pPr>
              <w:spacing w:before="0" w:after="0"/>
              <w:jc w:val="center"/>
              <w:rPr>
                <w:rFonts w:cs="Arial"/>
                <w:color w:val="9C0006"/>
                <w:sz w:val="18"/>
                <w:szCs w:val="18"/>
                <w:lang w:val="en-AU" w:eastAsia="en-AU"/>
              </w:rPr>
            </w:pPr>
            <w:r w:rsidRPr="004A5BF7">
              <w:rPr>
                <w:rFonts w:cs="Arial"/>
                <w:color w:val="9C0006"/>
                <w:sz w:val="18"/>
                <w:szCs w:val="18"/>
                <w:lang w:val="en-AU" w:eastAsia="en-AU"/>
              </w:rPr>
              <w:t>15.00</w:t>
            </w:r>
          </w:p>
        </w:tc>
      </w:tr>
      <w:tr w:rsidR="00E9409C" w:rsidRPr="005C54B4" w14:paraId="2867289D" w14:textId="77777777" w:rsidTr="004A5BF7">
        <w:trPr>
          <w:trHeight w:val="300"/>
          <w:jc w:val="center"/>
        </w:trPr>
        <w:tc>
          <w:tcPr>
            <w:tcW w:w="1840" w:type="dxa"/>
            <w:vMerge/>
            <w:tcBorders>
              <w:top w:val="nil"/>
              <w:left w:val="nil"/>
              <w:bottom w:val="single" w:sz="4" w:space="0" w:color="000000"/>
              <w:right w:val="nil"/>
            </w:tcBorders>
            <w:vAlign w:val="center"/>
            <w:hideMark/>
          </w:tcPr>
          <w:p w14:paraId="58B56E3F"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4353491E"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SD</w:t>
            </w:r>
          </w:p>
        </w:tc>
        <w:tc>
          <w:tcPr>
            <w:tcW w:w="1420" w:type="dxa"/>
            <w:tcBorders>
              <w:top w:val="nil"/>
              <w:left w:val="nil"/>
              <w:bottom w:val="nil"/>
              <w:right w:val="nil"/>
            </w:tcBorders>
            <w:shd w:val="clear" w:color="auto" w:fill="auto"/>
            <w:vAlign w:val="center"/>
            <w:hideMark/>
          </w:tcPr>
          <w:p w14:paraId="6D28E2C1"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108.88</w:t>
            </w:r>
          </w:p>
        </w:tc>
        <w:tc>
          <w:tcPr>
            <w:tcW w:w="1420" w:type="dxa"/>
            <w:tcBorders>
              <w:top w:val="nil"/>
              <w:left w:val="nil"/>
              <w:bottom w:val="nil"/>
              <w:right w:val="nil"/>
            </w:tcBorders>
            <w:shd w:val="clear" w:color="auto" w:fill="auto"/>
            <w:vAlign w:val="center"/>
            <w:hideMark/>
          </w:tcPr>
          <w:p w14:paraId="549004AB"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42.21</w:t>
            </w:r>
          </w:p>
        </w:tc>
        <w:tc>
          <w:tcPr>
            <w:tcW w:w="1420" w:type="dxa"/>
            <w:tcBorders>
              <w:top w:val="nil"/>
              <w:left w:val="nil"/>
              <w:bottom w:val="nil"/>
              <w:right w:val="nil"/>
            </w:tcBorders>
            <w:shd w:val="clear" w:color="auto" w:fill="auto"/>
            <w:vAlign w:val="center"/>
            <w:hideMark/>
          </w:tcPr>
          <w:p w14:paraId="340FE605"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4.81</w:t>
            </w:r>
          </w:p>
        </w:tc>
        <w:tc>
          <w:tcPr>
            <w:tcW w:w="1420" w:type="dxa"/>
            <w:tcBorders>
              <w:top w:val="nil"/>
              <w:left w:val="nil"/>
              <w:bottom w:val="nil"/>
              <w:right w:val="nil"/>
            </w:tcBorders>
            <w:shd w:val="clear" w:color="auto" w:fill="auto"/>
            <w:vAlign w:val="center"/>
            <w:hideMark/>
          </w:tcPr>
          <w:p w14:paraId="60F815BF"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4.56</w:t>
            </w:r>
          </w:p>
        </w:tc>
      </w:tr>
      <w:tr w:rsidR="00E9409C" w:rsidRPr="005C54B4" w14:paraId="1C85554B" w14:textId="77777777" w:rsidTr="004A5BF7">
        <w:trPr>
          <w:trHeight w:val="300"/>
          <w:jc w:val="center"/>
        </w:trPr>
        <w:tc>
          <w:tcPr>
            <w:tcW w:w="1840" w:type="dxa"/>
            <w:vMerge/>
            <w:tcBorders>
              <w:top w:val="nil"/>
              <w:left w:val="nil"/>
              <w:bottom w:val="single" w:sz="4" w:space="0" w:color="000000"/>
              <w:right w:val="nil"/>
            </w:tcBorders>
            <w:vAlign w:val="center"/>
            <w:hideMark/>
          </w:tcPr>
          <w:p w14:paraId="188DDBEA"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single" w:sz="4" w:space="0" w:color="auto"/>
              <w:right w:val="nil"/>
            </w:tcBorders>
            <w:shd w:val="clear" w:color="auto" w:fill="auto"/>
            <w:vAlign w:val="center"/>
            <w:hideMark/>
          </w:tcPr>
          <w:p w14:paraId="153A616C"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Count</w:t>
            </w:r>
          </w:p>
        </w:tc>
        <w:tc>
          <w:tcPr>
            <w:tcW w:w="1420" w:type="dxa"/>
            <w:tcBorders>
              <w:top w:val="nil"/>
              <w:left w:val="nil"/>
              <w:bottom w:val="single" w:sz="4" w:space="0" w:color="auto"/>
              <w:right w:val="nil"/>
            </w:tcBorders>
            <w:shd w:val="clear" w:color="auto" w:fill="auto"/>
            <w:vAlign w:val="center"/>
            <w:hideMark/>
          </w:tcPr>
          <w:p w14:paraId="7BB835A9"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23</w:t>
            </w:r>
          </w:p>
        </w:tc>
        <w:tc>
          <w:tcPr>
            <w:tcW w:w="1420" w:type="dxa"/>
            <w:tcBorders>
              <w:top w:val="nil"/>
              <w:left w:val="nil"/>
              <w:bottom w:val="single" w:sz="4" w:space="0" w:color="auto"/>
              <w:right w:val="nil"/>
            </w:tcBorders>
            <w:shd w:val="clear" w:color="auto" w:fill="auto"/>
            <w:vAlign w:val="center"/>
            <w:hideMark/>
          </w:tcPr>
          <w:p w14:paraId="64EF94E5"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29</w:t>
            </w:r>
          </w:p>
        </w:tc>
        <w:tc>
          <w:tcPr>
            <w:tcW w:w="1420" w:type="dxa"/>
            <w:tcBorders>
              <w:top w:val="nil"/>
              <w:left w:val="nil"/>
              <w:bottom w:val="single" w:sz="4" w:space="0" w:color="auto"/>
              <w:right w:val="nil"/>
            </w:tcBorders>
            <w:shd w:val="clear" w:color="auto" w:fill="auto"/>
            <w:vAlign w:val="center"/>
            <w:hideMark/>
          </w:tcPr>
          <w:p w14:paraId="563002CF"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27</w:t>
            </w:r>
          </w:p>
        </w:tc>
        <w:tc>
          <w:tcPr>
            <w:tcW w:w="1420" w:type="dxa"/>
            <w:tcBorders>
              <w:top w:val="nil"/>
              <w:left w:val="nil"/>
              <w:bottom w:val="single" w:sz="4" w:space="0" w:color="auto"/>
              <w:right w:val="nil"/>
            </w:tcBorders>
            <w:shd w:val="clear" w:color="auto" w:fill="auto"/>
            <w:vAlign w:val="center"/>
            <w:hideMark/>
          </w:tcPr>
          <w:p w14:paraId="0AE8B571"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9</w:t>
            </w:r>
          </w:p>
        </w:tc>
      </w:tr>
      <w:tr w:rsidR="00E9409C" w:rsidRPr="005C54B4" w14:paraId="0775A92B" w14:textId="77777777" w:rsidTr="004A5BF7">
        <w:trPr>
          <w:trHeight w:val="300"/>
          <w:jc w:val="center"/>
        </w:trPr>
        <w:tc>
          <w:tcPr>
            <w:tcW w:w="1840" w:type="dxa"/>
            <w:vMerge w:val="restart"/>
            <w:tcBorders>
              <w:top w:val="nil"/>
              <w:left w:val="nil"/>
              <w:bottom w:val="single" w:sz="4" w:space="0" w:color="000000"/>
              <w:right w:val="nil"/>
            </w:tcBorders>
            <w:shd w:val="clear" w:color="auto" w:fill="auto"/>
            <w:vAlign w:val="center"/>
            <w:hideMark/>
          </w:tcPr>
          <w:p w14:paraId="4225DC49"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Dissolved Inorganic Phosphorus (µg/L)</w:t>
            </w:r>
          </w:p>
        </w:tc>
        <w:tc>
          <w:tcPr>
            <w:tcW w:w="820" w:type="dxa"/>
            <w:tcBorders>
              <w:top w:val="nil"/>
              <w:left w:val="nil"/>
              <w:bottom w:val="nil"/>
              <w:right w:val="nil"/>
            </w:tcBorders>
            <w:shd w:val="clear" w:color="auto" w:fill="auto"/>
            <w:vAlign w:val="center"/>
            <w:hideMark/>
          </w:tcPr>
          <w:p w14:paraId="4180C5A5"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Min.</w:t>
            </w:r>
          </w:p>
        </w:tc>
        <w:tc>
          <w:tcPr>
            <w:tcW w:w="1420" w:type="dxa"/>
            <w:tcBorders>
              <w:top w:val="nil"/>
              <w:left w:val="nil"/>
              <w:bottom w:val="nil"/>
              <w:right w:val="nil"/>
            </w:tcBorders>
            <w:shd w:val="clear" w:color="auto" w:fill="auto"/>
            <w:vAlign w:val="center"/>
            <w:hideMark/>
          </w:tcPr>
          <w:p w14:paraId="042B1EB7"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2.00</w:t>
            </w:r>
          </w:p>
        </w:tc>
        <w:tc>
          <w:tcPr>
            <w:tcW w:w="1420" w:type="dxa"/>
            <w:tcBorders>
              <w:top w:val="nil"/>
              <w:left w:val="nil"/>
              <w:bottom w:val="nil"/>
              <w:right w:val="nil"/>
            </w:tcBorders>
            <w:shd w:val="clear" w:color="auto" w:fill="auto"/>
            <w:vAlign w:val="center"/>
            <w:hideMark/>
          </w:tcPr>
          <w:p w14:paraId="054608CF"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2.00</w:t>
            </w:r>
          </w:p>
        </w:tc>
        <w:tc>
          <w:tcPr>
            <w:tcW w:w="1420" w:type="dxa"/>
            <w:tcBorders>
              <w:top w:val="nil"/>
              <w:left w:val="nil"/>
              <w:bottom w:val="nil"/>
              <w:right w:val="nil"/>
            </w:tcBorders>
            <w:shd w:val="clear" w:color="auto" w:fill="auto"/>
            <w:vAlign w:val="center"/>
            <w:hideMark/>
          </w:tcPr>
          <w:p w14:paraId="6ACC94C2"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2.00</w:t>
            </w:r>
          </w:p>
        </w:tc>
        <w:tc>
          <w:tcPr>
            <w:tcW w:w="1420" w:type="dxa"/>
            <w:tcBorders>
              <w:top w:val="nil"/>
              <w:left w:val="nil"/>
              <w:bottom w:val="nil"/>
              <w:right w:val="nil"/>
            </w:tcBorders>
            <w:shd w:val="clear" w:color="auto" w:fill="auto"/>
            <w:vAlign w:val="center"/>
            <w:hideMark/>
          </w:tcPr>
          <w:p w14:paraId="4573D315"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2.00</w:t>
            </w:r>
          </w:p>
        </w:tc>
      </w:tr>
      <w:tr w:rsidR="00E9409C" w:rsidRPr="005C54B4" w14:paraId="472A2E8E" w14:textId="77777777" w:rsidTr="004A5BF7">
        <w:trPr>
          <w:trHeight w:val="300"/>
          <w:jc w:val="center"/>
        </w:trPr>
        <w:tc>
          <w:tcPr>
            <w:tcW w:w="1840" w:type="dxa"/>
            <w:vMerge/>
            <w:tcBorders>
              <w:top w:val="nil"/>
              <w:left w:val="nil"/>
              <w:bottom w:val="single" w:sz="4" w:space="0" w:color="000000"/>
              <w:right w:val="nil"/>
            </w:tcBorders>
            <w:vAlign w:val="center"/>
            <w:hideMark/>
          </w:tcPr>
          <w:p w14:paraId="47E7969C"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1A89BD29"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Max.</w:t>
            </w:r>
          </w:p>
        </w:tc>
        <w:tc>
          <w:tcPr>
            <w:tcW w:w="1420" w:type="dxa"/>
            <w:tcBorders>
              <w:top w:val="nil"/>
              <w:left w:val="nil"/>
              <w:bottom w:val="nil"/>
              <w:right w:val="nil"/>
            </w:tcBorders>
            <w:shd w:val="clear" w:color="auto" w:fill="auto"/>
            <w:vAlign w:val="center"/>
            <w:hideMark/>
          </w:tcPr>
          <w:p w14:paraId="312A833F"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10.00</w:t>
            </w:r>
          </w:p>
        </w:tc>
        <w:tc>
          <w:tcPr>
            <w:tcW w:w="1420" w:type="dxa"/>
            <w:tcBorders>
              <w:top w:val="nil"/>
              <w:left w:val="nil"/>
              <w:bottom w:val="nil"/>
              <w:right w:val="nil"/>
            </w:tcBorders>
            <w:shd w:val="clear" w:color="auto" w:fill="auto"/>
            <w:vAlign w:val="center"/>
            <w:hideMark/>
          </w:tcPr>
          <w:p w14:paraId="46F9C7F3"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7.00</w:t>
            </w:r>
          </w:p>
        </w:tc>
        <w:tc>
          <w:tcPr>
            <w:tcW w:w="1420" w:type="dxa"/>
            <w:tcBorders>
              <w:top w:val="nil"/>
              <w:left w:val="nil"/>
              <w:bottom w:val="nil"/>
              <w:right w:val="nil"/>
            </w:tcBorders>
            <w:shd w:val="clear" w:color="auto" w:fill="auto"/>
            <w:vAlign w:val="center"/>
            <w:hideMark/>
          </w:tcPr>
          <w:p w14:paraId="77789ABA"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6.00</w:t>
            </w:r>
          </w:p>
        </w:tc>
        <w:tc>
          <w:tcPr>
            <w:tcW w:w="1420" w:type="dxa"/>
            <w:tcBorders>
              <w:top w:val="nil"/>
              <w:left w:val="nil"/>
              <w:bottom w:val="nil"/>
              <w:right w:val="nil"/>
            </w:tcBorders>
            <w:shd w:val="clear" w:color="auto" w:fill="auto"/>
            <w:vAlign w:val="center"/>
            <w:hideMark/>
          </w:tcPr>
          <w:p w14:paraId="68D4CF86"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5.00</w:t>
            </w:r>
          </w:p>
        </w:tc>
      </w:tr>
      <w:tr w:rsidR="00E9409C" w:rsidRPr="005C54B4" w14:paraId="44E48103" w14:textId="77777777" w:rsidTr="004A5BF7">
        <w:trPr>
          <w:trHeight w:val="300"/>
          <w:jc w:val="center"/>
        </w:trPr>
        <w:tc>
          <w:tcPr>
            <w:tcW w:w="1840" w:type="dxa"/>
            <w:vMerge/>
            <w:tcBorders>
              <w:top w:val="nil"/>
              <w:left w:val="nil"/>
              <w:bottom w:val="single" w:sz="4" w:space="0" w:color="000000"/>
              <w:right w:val="nil"/>
            </w:tcBorders>
            <w:vAlign w:val="center"/>
            <w:hideMark/>
          </w:tcPr>
          <w:p w14:paraId="3848E67D"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5FBF0846"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Mean</w:t>
            </w:r>
          </w:p>
        </w:tc>
        <w:tc>
          <w:tcPr>
            <w:tcW w:w="1420" w:type="dxa"/>
            <w:tcBorders>
              <w:top w:val="nil"/>
              <w:left w:val="nil"/>
              <w:bottom w:val="nil"/>
              <w:right w:val="nil"/>
            </w:tcBorders>
            <w:shd w:val="clear" w:color="auto" w:fill="auto"/>
            <w:vAlign w:val="center"/>
            <w:hideMark/>
          </w:tcPr>
          <w:p w14:paraId="3EAD4E7B"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4.26</w:t>
            </w:r>
          </w:p>
        </w:tc>
        <w:tc>
          <w:tcPr>
            <w:tcW w:w="1420" w:type="dxa"/>
            <w:tcBorders>
              <w:top w:val="nil"/>
              <w:left w:val="nil"/>
              <w:bottom w:val="nil"/>
              <w:right w:val="nil"/>
            </w:tcBorders>
            <w:shd w:val="clear" w:color="auto" w:fill="auto"/>
            <w:vAlign w:val="center"/>
            <w:hideMark/>
          </w:tcPr>
          <w:p w14:paraId="19A8917D"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3.97</w:t>
            </w:r>
          </w:p>
        </w:tc>
        <w:tc>
          <w:tcPr>
            <w:tcW w:w="1420" w:type="dxa"/>
            <w:tcBorders>
              <w:top w:val="nil"/>
              <w:left w:val="nil"/>
              <w:bottom w:val="nil"/>
              <w:right w:val="nil"/>
            </w:tcBorders>
            <w:shd w:val="clear" w:color="auto" w:fill="auto"/>
            <w:vAlign w:val="center"/>
            <w:hideMark/>
          </w:tcPr>
          <w:p w14:paraId="72E222DA"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3.56</w:t>
            </w:r>
          </w:p>
        </w:tc>
        <w:tc>
          <w:tcPr>
            <w:tcW w:w="1420" w:type="dxa"/>
            <w:tcBorders>
              <w:top w:val="nil"/>
              <w:left w:val="nil"/>
              <w:bottom w:val="nil"/>
              <w:right w:val="nil"/>
            </w:tcBorders>
            <w:shd w:val="clear" w:color="auto" w:fill="auto"/>
            <w:vAlign w:val="center"/>
            <w:hideMark/>
          </w:tcPr>
          <w:p w14:paraId="685FF91B"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3.33</w:t>
            </w:r>
          </w:p>
        </w:tc>
      </w:tr>
      <w:tr w:rsidR="00E9409C" w:rsidRPr="005C54B4" w14:paraId="00FEAFA8" w14:textId="77777777" w:rsidTr="004A5BF7">
        <w:trPr>
          <w:trHeight w:val="300"/>
          <w:jc w:val="center"/>
        </w:trPr>
        <w:tc>
          <w:tcPr>
            <w:tcW w:w="1840" w:type="dxa"/>
            <w:vMerge/>
            <w:tcBorders>
              <w:top w:val="nil"/>
              <w:left w:val="nil"/>
              <w:bottom w:val="single" w:sz="4" w:space="0" w:color="000000"/>
              <w:right w:val="nil"/>
            </w:tcBorders>
            <w:vAlign w:val="center"/>
            <w:hideMark/>
          </w:tcPr>
          <w:p w14:paraId="0D3621C4"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70BA0F3A"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Median</w:t>
            </w:r>
          </w:p>
        </w:tc>
        <w:tc>
          <w:tcPr>
            <w:tcW w:w="1420" w:type="dxa"/>
            <w:tcBorders>
              <w:top w:val="nil"/>
              <w:left w:val="nil"/>
              <w:bottom w:val="nil"/>
              <w:right w:val="nil"/>
            </w:tcBorders>
            <w:shd w:val="clear" w:color="auto" w:fill="auto"/>
            <w:vAlign w:val="center"/>
            <w:hideMark/>
          </w:tcPr>
          <w:p w14:paraId="2CE718A9"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4.00</w:t>
            </w:r>
          </w:p>
        </w:tc>
        <w:tc>
          <w:tcPr>
            <w:tcW w:w="1420" w:type="dxa"/>
            <w:tcBorders>
              <w:top w:val="nil"/>
              <w:left w:val="nil"/>
              <w:bottom w:val="nil"/>
              <w:right w:val="nil"/>
            </w:tcBorders>
            <w:shd w:val="clear" w:color="auto" w:fill="auto"/>
            <w:vAlign w:val="center"/>
            <w:hideMark/>
          </w:tcPr>
          <w:p w14:paraId="38A9D726"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4.00</w:t>
            </w:r>
          </w:p>
        </w:tc>
        <w:tc>
          <w:tcPr>
            <w:tcW w:w="1420" w:type="dxa"/>
            <w:tcBorders>
              <w:top w:val="nil"/>
              <w:left w:val="nil"/>
              <w:bottom w:val="nil"/>
              <w:right w:val="nil"/>
            </w:tcBorders>
            <w:shd w:val="clear" w:color="auto" w:fill="auto"/>
            <w:vAlign w:val="center"/>
            <w:hideMark/>
          </w:tcPr>
          <w:p w14:paraId="66AF98C8"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3.00</w:t>
            </w:r>
          </w:p>
        </w:tc>
        <w:tc>
          <w:tcPr>
            <w:tcW w:w="1420" w:type="dxa"/>
            <w:tcBorders>
              <w:top w:val="nil"/>
              <w:left w:val="nil"/>
              <w:bottom w:val="nil"/>
              <w:right w:val="nil"/>
            </w:tcBorders>
            <w:shd w:val="clear" w:color="auto" w:fill="auto"/>
            <w:vAlign w:val="center"/>
            <w:hideMark/>
          </w:tcPr>
          <w:p w14:paraId="79851189"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3.00</w:t>
            </w:r>
          </w:p>
        </w:tc>
      </w:tr>
      <w:tr w:rsidR="00E9409C" w:rsidRPr="005C54B4" w14:paraId="118E3F28" w14:textId="77777777" w:rsidTr="004A5BF7">
        <w:trPr>
          <w:trHeight w:val="300"/>
          <w:jc w:val="center"/>
        </w:trPr>
        <w:tc>
          <w:tcPr>
            <w:tcW w:w="1840" w:type="dxa"/>
            <w:vMerge/>
            <w:tcBorders>
              <w:top w:val="nil"/>
              <w:left w:val="nil"/>
              <w:bottom w:val="single" w:sz="4" w:space="0" w:color="000000"/>
              <w:right w:val="nil"/>
            </w:tcBorders>
            <w:vAlign w:val="center"/>
            <w:hideMark/>
          </w:tcPr>
          <w:p w14:paraId="45A56F50"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76AC1B24"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SD</w:t>
            </w:r>
          </w:p>
        </w:tc>
        <w:tc>
          <w:tcPr>
            <w:tcW w:w="1420" w:type="dxa"/>
            <w:tcBorders>
              <w:top w:val="nil"/>
              <w:left w:val="nil"/>
              <w:bottom w:val="nil"/>
              <w:right w:val="nil"/>
            </w:tcBorders>
            <w:shd w:val="clear" w:color="auto" w:fill="auto"/>
            <w:vAlign w:val="center"/>
            <w:hideMark/>
          </w:tcPr>
          <w:p w14:paraId="439A1988"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1.76</w:t>
            </w:r>
          </w:p>
        </w:tc>
        <w:tc>
          <w:tcPr>
            <w:tcW w:w="1420" w:type="dxa"/>
            <w:tcBorders>
              <w:top w:val="nil"/>
              <w:left w:val="nil"/>
              <w:bottom w:val="nil"/>
              <w:right w:val="nil"/>
            </w:tcBorders>
            <w:shd w:val="clear" w:color="auto" w:fill="auto"/>
            <w:vAlign w:val="center"/>
            <w:hideMark/>
          </w:tcPr>
          <w:p w14:paraId="09D24E27"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1.35</w:t>
            </w:r>
          </w:p>
        </w:tc>
        <w:tc>
          <w:tcPr>
            <w:tcW w:w="1420" w:type="dxa"/>
            <w:tcBorders>
              <w:top w:val="nil"/>
              <w:left w:val="nil"/>
              <w:bottom w:val="nil"/>
              <w:right w:val="nil"/>
            </w:tcBorders>
            <w:shd w:val="clear" w:color="auto" w:fill="auto"/>
            <w:vAlign w:val="center"/>
            <w:hideMark/>
          </w:tcPr>
          <w:p w14:paraId="640CD62E"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1.12</w:t>
            </w:r>
          </w:p>
        </w:tc>
        <w:tc>
          <w:tcPr>
            <w:tcW w:w="1420" w:type="dxa"/>
            <w:tcBorders>
              <w:top w:val="nil"/>
              <w:left w:val="nil"/>
              <w:bottom w:val="nil"/>
              <w:right w:val="nil"/>
            </w:tcBorders>
            <w:shd w:val="clear" w:color="auto" w:fill="auto"/>
            <w:vAlign w:val="center"/>
            <w:hideMark/>
          </w:tcPr>
          <w:p w14:paraId="5B817C66"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1.12</w:t>
            </w:r>
          </w:p>
        </w:tc>
      </w:tr>
      <w:tr w:rsidR="00E9409C" w:rsidRPr="005C54B4" w14:paraId="6ADC45A7" w14:textId="77777777" w:rsidTr="004A5BF7">
        <w:trPr>
          <w:trHeight w:val="300"/>
          <w:jc w:val="center"/>
        </w:trPr>
        <w:tc>
          <w:tcPr>
            <w:tcW w:w="1840" w:type="dxa"/>
            <w:vMerge/>
            <w:tcBorders>
              <w:top w:val="nil"/>
              <w:left w:val="nil"/>
              <w:bottom w:val="single" w:sz="4" w:space="0" w:color="000000"/>
              <w:right w:val="nil"/>
            </w:tcBorders>
            <w:vAlign w:val="center"/>
            <w:hideMark/>
          </w:tcPr>
          <w:p w14:paraId="19199CCD"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single" w:sz="4" w:space="0" w:color="auto"/>
              <w:right w:val="nil"/>
            </w:tcBorders>
            <w:shd w:val="clear" w:color="auto" w:fill="auto"/>
            <w:vAlign w:val="center"/>
            <w:hideMark/>
          </w:tcPr>
          <w:p w14:paraId="06A131F4"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Count</w:t>
            </w:r>
          </w:p>
        </w:tc>
        <w:tc>
          <w:tcPr>
            <w:tcW w:w="1420" w:type="dxa"/>
            <w:tcBorders>
              <w:top w:val="nil"/>
              <w:left w:val="nil"/>
              <w:bottom w:val="single" w:sz="4" w:space="0" w:color="auto"/>
              <w:right w:val="nil"/>
            </w:tcBorders>
            <w:shd w:val="clear" w:color="auto" w:fill="auto"/>
            <w:vAlign w:val="center"/>
            <w:hideMark/>
          </w:tcPr>
          <w:p w14:paraId="71060A12"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23</w:t>
            </w:r>
          </w:p>
        </w:tc>
        <w:tc>
          <w:tcPr>
            <w:tcW w:w="1420" w:type="dxa"/>
            <w:tcBorders>
              <w:top w:val="nil"/>
              <w:left w:val="nil"/>
              <w:bottom w:val="single" w:sz="4" w:space="0" w:color="auto"/>
              <w:right w:val="nil"/>
            </w:tcBorders>
            <w:shd w:val="clear" w:color="auto" w:fill="auto"/>
            <w:vAlign w:val="center"/>
            <w:hideMark/>
          </w:tcPr>
          <w:p w14:paraId="0FBD49BB"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29</w:t>
            </w:r>
          </w:p>
        </w:tc>
        <w:tc>
          <w:tcPr>
            <w:tcW w:w="1420" w:type="dxa"/>
            <w:tcBorders>
              <w:top w:val="nil"/>
              <w:left w:val="nil"/>
              <w:bottom w:val="single" w:sz="4" w:space="0" w:color="auto"/>
              <w:right w:val="nil"/>
            </w:tcBorders>
            <w:shd w:val="clear" w:color="auto" w:fill="auto"/>
            <w:vAlign w:val="center"/>
            <w:hideMark/>
          </w:tcPr>
          <w:p w14:paraId="6BC241B4"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27</w:t>
            </w:r>
          </w:p>
        </w:tc>
        <w:tc>
          <w:tcPr>
            <w:tcW w:w="1420" w:type="dxa"/>
            <w:tcBorders>
              <w:top w:val="nil"/>
              <w:left w:val="nil"/>
              <w:bottom w:val="single" w:sz="4" w:space="0" w:color="auto"/>
              <w:right w:val="nil"/>
            </w:tcBorders>
            <w:shd w:val="clear" w:color="auto" w:fill="auto"/>
            <w:vAlign w:val="center"/>
            <w:hideMark/>
          </w:tcPr>
          <w:p w14:paraId="165F8E21"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9</w:t>
            </w:r>
          </w:p>
        </w:tc>
      </w:tr>
      <w:tr w:rsidR="00E9409C" w:rsidRPr="005C54B4" w14:paraId="4FFB2A86" w14:textId="77777777" w:rsidTr="004A5BF7">
        <w:trPr>
          <w:trHeight w:val="300"/>
          <w:jc w:val="center"/>
        </w:trPr>
        <w:tc>
          <w:tcPr>
            <w:tcW w:w="1840" w:type="dxa"/>
            <w:vMerge w:val="restart"/>
            <w:tcBorders>
              <w:top w:val="nil"/>
              <w:left w:val="nil"/>
              <w:bottom w:val="single" w:sz="4" w:space="0" w:color="000000"/>
              <w:right w:val="nil"/>
            </w:tcBorders>
            <w:shd w:val="clear" w:color="auto" w:fill="auto"/>
            <w:vAlign w:val="center"/>
            <w:hideMark/>
          </w:tcPr>
          <w:p w14:paraId="1F690451"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Total Nitrogen (µg/L)</w:t>
            </w:r>
          </w:p>
        </w:tc>
        <w:tc>
          <w:tcPr>
            <w:tcW w:w="820" w:type="dxa"/>
            <w:tcBorders>
              <w:top w:val="nil"/>
              <w:left w:val="nil"/>
              <w:bottom w:val="nil"/>
              <w:right w:val="nil"/>
            </w:tcBorders>
            <w:shd w:val="clear" w:color="auto" w:fill="auto"/>
            <w:vAlign w:val="center"/>
            <w:hideMark/>
          </w:tcPr>
          <w:p w14:paraId="1AD75997"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Min.</w:t>
            </w:r>
          </w:p>
        </w:tc>
        <w:tc>
          <w:tcPr>
            <w:tcW w:w="1420" w:type="dxa"/>
            <w:tcBorders>
              <w:top w:val="nil"/>
              <w:left w:val="nil"/>
              <w:bottom w:val="nil"/>
              <w:right w:val="nil"/>
            </w:tcBorders>
            <w:shd w:val="clear" w:color="auto" w:fill="auto"/>
            <w:vAlign w:val="center"/>
            <w:hideMark/>
          </w:tcPr>
          <w:p w14:paraId="5294B83E"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113.00</w:t>
            </w:r>
          </w:p>
        </w:tc>
        <w:tc>
          <w:tcPr>
            <w:tcW w:w="1420" w:type="dxa"/>
            <w:tcBorders>
              <w:top w:val="nil"/>
              <w:left w:val="nil"/>
              <w:bottom w:val="nil"/>
              <w:right w:val="nil"/>
            </w:tcBorders>
            <w:shd w:val="clear" w:color="auto" w:fill="auto"/>
            <w:vAlign w:val="center"/>
            <w:hideMark/>
          </w:tcPr>
          <w:p w14:paraId="2E6CF9D1"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107.00</w:t>
            </w:r>
          </w:p>
        </w:tc>
        <w:tc>
          <w:tcPr>
            <w:tcW w:w="1420" w:type="dxa"/>
            <w:tcBorders>
              <w:top w:val="nil"/>
              <w:left w:val="nil"/>
              <w:bottom w:val="nil"/>
              <w:right w:val="nil"/>
            </w:tcBorders>
            <w:shd w:val="clear" w:color="auto" w:fill="auto"/>
            <w:vAlign w:val="center"/>
            <w:hideMark/>
          </w:tcPr>
          <w:p w14:paraId="25B891DB"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87.00</w:t>
            </w:r>
          </w:p>
        </w:tc>
        <w:tc>
          <w:tcPr>
            <w:tcW w:w="1420" w:type="dxa"/>
            <w:tcBorders>
              <w:top w:val="nil"/>
              <w:left w:val="nil"/>
              <w:bottom w:val="nil"/>
              <w:right w:val="nil"/>
            </w:tcBorders>
            <w:shd w:val="clear" w:color="auto" w:fill="auto"/>
            <w:vAlign w:val="center"/>
            <w:hideMark/>
          </w:tcPr>
          <w:p w14:paraId="34C04A9D"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121.00</w:t>
            </w:r>
          </w:p>
        </w:tc>
      </w:tr>
      <w:tr w:rsidR="00E9409C" w:rsidRPr="005C54B4" w14:paraId="784941C5" w14:textId="77777777" w:rsidTr="004A5BF7">
        <w:trPr>
          <w:trHeight w:val="300"/>
          <w:jc w:val="center"/>
        </w:trPr>
        <w:tc>
          <w:tcPr>
            <w:tcW w:w="1840" w:type="dxa"/>
            <w:vMerge/>
            <w:tcBorders>
              <w:top w:val="nil"/>
              <w:left w:val="nil"/>
              <w:bottom w:val="single" w:sz="4" w:space="0" w:color="000000"/>
              <w:right w:val="nil"/>
            </w:tcBorders>
            <w:vAlign w:val="center"/>
            <w:hideMark/>
          </w:tcPr>
          <w:p w14:paraId="719B2713"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68370048"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Max.</w:t>
            </w:r>
          </w:p>
        </w:tc>
        <w:tc>
          <w:tcPr>
            <w:tcW w:w="1420" w:type="dxa"/>
            <w:tcBorders>
              <w:top w:val="nil"/>
              <w:left w:val="nil"/>
              <w:bottom w:val="nil"/>
              <w:right w:val="nil"/>
            </w:tcBorders>
            <w:shd w:val="clear" w:color="auto" w:fill="auto"/>
            <w:vAlign w:val="center"/>
            <w:hideMark/>
          </w:tcPr>
          <w:p w14:paraId="2112B814"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647.00</w:t>
            </w:r>
          </w:p>
        </w:tc>
        <w:tc>
          <w:tcPr>
            <w:tcW w:w="1420" w:type="dxa"/>
            <w:tcBorders>
              <w:top w:val="nil"/>
              <w:left w:val="nil"/>
              <w:bottom w:val="nil"/>
              <w:right w:val="nil"/>
            </w:tcBorders>
            <w:shd w:val="clear" w:color="auto" w:fill="auto"/>
            <w:vAlign w:val="center"/>
            <w:hideMark/>
          </w:tcPr>
          <w:p w14:paraId="662C9CA6"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409.00</w:t>
            </w:r>
          </w:p>
        </w:tc>
        <w:tc>
          <w:tcPr>
            <w:tcW w:w="1420" w:type="dxa"/>
            <w:tcBorders>
              <w:top w:val="nil"/>
              <w:left w:val="nil"/>
              <w:bottom w:val="nil"/>
              <w:right w:val="nil"/>
            </w:tcBorders>
            <w:shd w:val="clear" w:color="auto" w:fill="auto"/>
            <w:vAlign w:val="center"/>
            <w:hideMark/>
          </w:tcPr>
          <w:p w14:paraId="58826DC9"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257.00</w:t>
            </w:r>
          </w:p>
        </w:tc>
        <w:tc>
          <w:tcPr>
            <w:tcW w:w="1420" w:type="dxa"/>
            <w:tcBorders>
              <w:top w:val="nil"/>
              <w:left w:val="nil"/>
              <w:bottom w:val="nil"/>
              <w:right w:val="nil"/>
            </w:tcBorders>
            <w:shd w:val="clear" w:color="auto" w:fill="auto"/>
            <w:vAlign w:val="center"/>
            <w:hideMark/>
          </w:tcPr>
          <w:p w14:paraId="1EBA9DED"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225.00</w:t>
            </w:r>
          </w:p>
        </w:tc>
      </w:tr>
      <w:tr w:rsidR="00E9409C" w:rsidRPr="005C54B4" w14:paraId="69272B0B" w14:textId="77777777" w:rsidTr="004A5BF7">
        <w:trPr>
          <w:trHeight w:val="300"/>
          <w:jc w:val="center"/>
        </w:trPr>
        <w:tc>
          <w:tcPr>
            <w:tcW w:w="1840" w:type="dxa"/>
            <w:vMerge/>
            <w:tcBorders>
              <w:top w:val="nil"/>
              <w:left w:val="nil"/>
              <w:bottom w:val="single" w:sz="4" w:space="0" w:color="000000"/>
              <w:right w:val="nil"/>
            </w:tcBorders>
            <w:vAlign w:val="center"/>
            <w:hideMark/>
          </w:tcPr>
          <w:p w14:paraId="2D6D1702"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4D1865B1"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Mean</w:t>
            </w:r>
          </w:p>
        </w:tc>
        <w:tc>
          <w:tcPr>
            <w:tcW w:w="1420" w:type="dxa"/>
            <w:tcBorders>
              <w:top w:val="nil"/>
              <w:left w:val="nil"/>
              <w:bottom w:val="nil"/>
              <w:right w:val="nil"/>
            </w:tcBorders>
            <w:shd w:val="clear" w:color="auto" w:fill="auto"/>
            <w:vAlign w:val="center"/>
            <w:hideMark/>
          </w:tcPr>
          <w:p w14:paraId="3C021975"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212.09</w:t>
            </w:r>
          </w:p>
        </w:tc>
        <w:tc>
          <w:tcPr>
            <w:tcW w:w="1420" w:type="dxa"/>
            <w:tcBorders>
              <w:top w:val="nil"/>
              <w:left w:val="nil"/>
              <w:bottom w:val="nil"/>
              <w:right w:val="nil"/>
            </w:tcBorders>
            <w:shd w:val="clear" w:color="auto" w:fill="auto"/>
            <w:vAlign w:val="center"/>
            <w:hideMark/>
          </w:tcPr>
          <w:p w14:paraId="37977565"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156.79</w:t>
            </w:r>
          </w:p>
        </w:tc>
        <w:tc>
          <w:tcPr>
            <w:tcW w:w="1420" w:type="dxa"/>
            <w:tcBorders>
              <w:top w:val="nil"/>
              <w:left w:val="nil"/>
              <w:bottom w:val="nil"/>
              <w:right w:val="nil"/>
            </w:tcBorders>
            <w:shd w:val="clear" w:color="auto" w:fill="auto"/>
            <w:vAlign w:val="center"/>
            <w:hideMark/>
          </w:tcPr>
          <w:p w14:paraId="487F8001"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148.19</w:t>
            </w:r>
          </w:p>
        </w:tc>
        <w:tc>
          <w:tcPr>
            <w:tcW w:w="1420" w:type="dxa"/>
            <w:tcBorders>
              <w:top w:val="nil"/>
              <w:left w:val="nil"/>
              <w:bottom w:val="nil"/>
              <w:right w:val="nil"/>
            </w:tcBorders>
            <w:shd w:val="clear" w:color="auto" w:fill="auto"/>
            <w:vAlign w:val="center"/>
            <w:hideMark/>
          </w:tcPr>
          <w:p w14:paraId="5E5E77CF"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150.33</w:t>
            </w:r>
          </w:p>
        </w:tc>
      </w:tr>
      <w:tr w:rsidR="00E9409C" w:rsidRPr="005C54B4" w14:paraId="3914BBC5" w14:textId="77777777" w:rsidTr="004A5BF7">
        <w:trPr>
          <w:trHeight w:val="300"/>
          <w:jc w:val="center"/>
        </w:trPr>
        <w:tc>
          <w:tcPr>
            <w:tcW w:w="1840" w:type="dxa"/>
            <w:vMerge/>
            <w:tcBorders>
              <w:top w:val="nil"/>
              <w:left w:val="nil"/>
              <w:bottom w:val="single" w:sz="4" w:space="0" w:color="000000"/>
              <w:right w:val="nil"/>
            </w:tcBorders>
            <w:vAlign w:val="center"/>
            <w:hideMark/>
          </w:tcPr>
          <w:p w14:paraId="1EAB45F3"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2BA745E8"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Median</w:t>
            </w:r>
          </w:p>
        </w:tc>
        <w:tc>
          <w:tcPr>
            <w:tcW w:w="1420" w:type="dxa"/>
            <w:tcBorders>
              <w:top w:val="nil"/>
              <w:left w:val="nil"/>
              <w:bottom w:val="nil"/>
              <w:right w:val="nil"/>
            </w:tcBorders>
            <w:shd w:val="clear" w:color="auto" w:fill="auto"/>
            <w:vAlign w:val="center"/>
            <w:hideMark/>
          </w:tcPr>
          <w:p w14:paraId="4B31ABD3"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137.00</w:t>
            </w:r>
          </w:p>
        </w:tc>
        <w:tc>
          <w:tcPr>
            <w:tcW w:w="1420" w:type="dxa"/>
            <w:tcBorders>
              <w:top w:val="nil"/>
              <w:left w:val="nil"/>
              <w:bottom w:val="nil"/>
              <w:right w:val="nil"/>
            </w:tcBorders>
            <w:shd w:val="clear" w:color="auto" w:fill="auto"/>
            <w:vAlign w:val="center"/>
            <w:hideMark/>
          </w:tcPr>
          <w:p w14:paraId="4B998FA0"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144.00</w:t>
            </w:r>
          </w:p>
        </w:tc>
        <w:tc>
          <w:tcPr>
            <w:tcW w:w="1420" w:type="dxa"/>
            <w:tcBorders>
              <w:top w:val="nil"/>
              <w:left w:val="nil"/>
              <w:bottom w:val="nil"/>
              <w:right w:val="nil"/>
            </w:tcBorders>
            <w:shd w:val="clear" w:color="auto" w:fill="auto"/>
            <w:vAlign w:val="center"/>
            <w:hideMark/>
          </w:tcPr>
          <w:p w14:paraId="5D27BC06"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140.00</w:t>
            </w:r>
          </w:p>
        </w:tc>
        <w:tc>
          <w:tcPr>
            <w:tcW w:w="1420" w:type="dxa"/>
            <w:tcBorders>
              <w:top w:val="nil"/>
              <w:left w:val="nil"/>
              <w:bottom w:val="nil"/>
              <w:right w:val="nil"/>
            </w:tcBorders>
            <w:shd w:val="clear" w:color="auto" w:fill="auto"/>
            <w:vAlign w:val="center"/>
            <w:hideMark/>
          </w:tcPr>
          <w:p w14:paraId="58651648"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134.00</w:t>
            </w:r>
          </w:p>
        </w:tc>
      </w:tr>
      <w:tr w:rsidR="00E9409C" w:rsidRPr="005C54B4" w14:paraId="20D05D64" w14:textId="77777777" w:rsidTr="004A5BF7">
        <w:trPr>
          <w:trHeight w:val="300"/>
          <w:jc w:val="center"/>
        </w:trPr>
        <w:tc>
          <w:tcPr>
            <w:tcW w:w="1840" w:type="dxa"/>
            <w:vMerge/>
            <w:tcBorders>
              <w:top w:val="nil"/>
              <w:left w:val="nil"/>
              <w:bottom w:val="single" w:sz="4" w:space="0" w:color="000000"/>
              <w:right w:val="nil"/>
            </w:tcBorders>
            <w:vAlign w:val="center"/>
            <w:hideMark/>
          </w:tcPr>
          <w:p w14:paraId="6B7458D1"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69804B79"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SD</w:t>
            </w:r>
          </w:p>
        </w:tc>
        <w:tc>
          <w:tcPr>
            <w:tcW w:w="1420" w:type="dxa"/>
            <w:tcBorders>
              <w:top w:val="nil"/>
              <w:left w:val="nil"/>
              <w:bottom w:val="nil"/>
              <w:right w:val="nil"/>
            </w:tcBorders>
            <w:shd w:val="clear" w:color="auto" w:fill="auto"/>
            <w:vAlign w:val="center"/>
            <w:hideMark/>
          </w:tcPr>
          <w:p w14:paraId="79DC6367"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156.04</w:t>
            </w:r>
          </w:p>
        </w:tc>
        <w:tc>
          <w:tcPr>
            <w:tcW w:w="1420" w:type="dxa"/>
            <w:tcBorders>
              <w:top w:val="nil"/>
              <w:left w:val="nil"/>
              <w:bottom w:val="nil"/>
              <w:right w:val="nil"/>
            </w:tcBorders>
            <w:shd w:val="clear" w:color="auto" w:fill="auto"/>
            <w:vAlign w:val="center"/>
            <w:hideMark/>
          </w:tcPr>
          <w:p w14:paraId="16DE6FB0"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57.07</w:t>
            </w:r>
          </w:p>
        </w:tc>
        <w:tc>
          <w:tcPr>
            <w:tcW w:w="1420" w:type="dxa"/>
            <w:tcBorders>
              <w:top w:val="nil"/>
              <w:left w:val="nil"/>
              <w:bottom w:val="nil"/>
              <w:right w:val="nil"/>
            </w:tcBorders>
            <w:shd w:val="clear" w:color="auto" w:fill="auto"/>
            <w:vAlign w:val="center"/>
            <w:hideMark/>
          </w:tcPr>
          <w:p w14:paraId="6E6F83C8"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29.44</w:t>
            </w:r>
          </w:p>
        </w:tc>
        <w:tc>
          <w:tcPr>
            <w:tcW w:w="1420" w:type="dxa"/>
            <w:tcBorders>
              <w:top w:val="nil"/>
              <w:left w:val="nil"/>
              <w:bottom w:val="nil"/>
              <w:right w:val="nil"/>
            </w:tcBorders>
            <w:shd w:val="clear" w:color="auto" w:fill="auto"/>
            <w:vAlign w:val="center"/>
            <w:hideMark/>
          </w:tcPr>
          <w:p w14:paraId="471F8F7C"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34.71</w:t>
            </w:r>
          </w:p>
        </w:tc>
      </w:tr>
      <w:tr w:rsidR="00E9409C" w:rsidRPr="005C54B4" w14:paraId="14B19203" w14:textId="77777777" w:rsidTr="004A5BF7">
        <w:trPr>
          <w:trHeight w:val="300"/>
          <w:jc w:val="center"/>
        </w:trPr>
        <w:tc>
          <w:tcPr>
            <w:tcW w:w="1840" w:type="dxa"/>
            <w:vMerge/>
            <w:tcBorders>
              <w:top w:val="nil"/>
              <w:left w:val="nil"/>
              <w:bottom w:val="single" w:sz="4" w:space="0" w:color="000000"/>
              <w:right w:val="nil"/>
            </w:tcBorders>
            <w:vAlign w:val="center"/>
            <w:hideMark/>
          </w:tcPr>
          <w:p w14:paraId="749B9AE5"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single" w:sz="4" w:space="0" w:color="auto"/>
              <w:right w:val="nil"/>
            </w:tcBorders>
            <w:shd w:val="clear" w:color="auto" w:fill="auto"/>
            <w:vAlign w:val="center"/>
            <w:hideMark/>
          </w:tcPr>
          <w:p w14:paraId="10922DAB"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Count</w:t>
            </w:r>
          </w:p>
        </w:tc>
        <w:tc>
          <w:tcPr>
            <w:tcW w:w="1420" w:type="dxa"/>
            <w:tcBorders>
              <w:top w:val="nil"/>
              <w:left w:val="nil"/>
              <w:bottom w:val="single" w:sz="4" w:space="0" w:color="auto"/>
              <w:right w:val="nil"/>
            </w:tcBorders>
            <w:shd w:val="clear" w:color="auto" w:fill="auto"/>
            <w:vAlign w:val="center"/>
            <w:hideMark/>
          </w:tcPr>
          <w:p w14:paraId="52EEB0F1"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23</w:t>
            </w:r>
          </w:p>
        </w:tc>
        <w:tc>
          <w:tcPr>
            <w:tcW w:w="1420" w:type="dxa"/>
            <w:tcBorders>
              <w:top w:val="nil"/>
              <w:left w:val="nil"/>
              <w:bottom w:val="single" w:sz="4" w:space="0" w:color="auto"/>
              <w:right w:val="nil"/>
            </w:tcBorders>
            <w:shd w:val="clear" w:color="auto" w:fill="auto"/>
            <w:vAlign w:val="center"/>
            <w:hideMark/>
          </w:tcPr>
          <w:p w14:paraId="2A06F3C1"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29</w:t>
            </w:r>
          </w:p>
        </w:tc>
        <w:tc>
          <w:tcPr>
            <w:tcW w:w="1420" w:type="dxa"/>
            <w:tcBorders>
              <w:top w:val="nil"/>
              <w:left w:val="nil"/>
              <w:bottom w:val="single" w:sz="4" w:space="0" w:color="auto"/>
              <w:right w:val="nil"/>
            </w:tcBorders>
            <w:shd w:val="clear" w:color="auto" w:fill="auto"/>
            <w:vAlign w:val="center"/>
            <w:hideMark/>
          </w:tcPr>
          <w:p w14:paraId="67C203A9"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27</w:t>
            </w:r>
          </w:p>
        </w:tc>
        <w:tc>
          <w:tcPr>
            <w:tcW w:w="1420" w:type="dxa"/>
            <w:tcBorders>
              <w:top w:val="nil"/>
              <w:left w:val="nil"/>
              <w:bottom w:val="single" w:sz="4" w:space="0" w:color="auto"/>
              <w:right w:val="nil"/>
            </w:tcBorders>
            <w:shd w:val="clear" w:color="auto" w:fill="auto"/>
            <w:vAlign w:val="center"/>
            <w:hideMark/>
          </w:tcPr>
          <w:p w14:paraId="19134E5A"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9</w:t>
            </w:r>
          </w:p>
        </w:tc>
      </w:tr>
      <w:tr w:rsidR="00E9409C" w:rsidRPr="005C54B4" w14:paraId="5135543C" w14:textId="77777777" w:rsidTr="004A5BF7">
        <w:trPr>
          <w:trHeight w:val="300"/>
          <w:jc w:val="center"/>
        </w:trPr>
        <w:tc>
          <w:tcPr>
            <w:tcW w:w="1840" w:type="dxa"/>
            <w:vMerge w:val="restart"/>
            <w:tcBorders>
              <w:top w:val="nil"/>
              <w:left w:val="nil"/>
              <w:bottom w:val="single" w:sz="4" w:space="0" w:color="000000"/>
              <w:right w:val="nil"/>
            </w:tcBorders>
            <w:shd w:val="clear" w:color="auto" w:fill="auto"/>
            <w:vAlign w:val="center"/>
            <w:hideMark/>
          </w:tcPr>
          <w:p w14:paraId="7B3B4338"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Total Phosphorus (µg/L)</w:t>
            </w:r>
          </w:p>
        </w:tc>
        <w:tc>
          <w:tcPr>
            <w:tcW w:w="820" w:type="dxa"/>
            <w:tcBorders>
              <w:top w:val="nil"/>
              <w:left w:val="nil"/>
              <w:bottom w:val="nil"/>
              <w:right w:val="nil"/>
            </w:tcBorders>
            <w:shd w:val="clear" w:color="auto" w:fill="auto"/>
            <w:vAlign w:val="center"/>
            <w:hideMark/>
          </w:tcPr>
          <w:p w14:paraId="2B8EBC26"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Min.</w:t>
            </w:r>
          </w:p>
        </w:tc>
        <w:tc>
          <w:tcPr>
            <w:tcW w:w="1420" w:type="dxa"/>
            <w:tcBorders>
              <w:top w:val="nil"/>
              <w:left w:val="nil"/>
              <w:bottom w:val="nil"/>
              <w:right w:val="nil"/>
            </w:tcBorders>
            <w:shd w:val="clear" w:color="auto" w:fill="auto"/>
            <w:vAlign w:val="center"/>
            <w:hideMark/>
          </w:tcPr>
          <w:p w14:paraId="1DD4BA93"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4.00</w:t>
            </w:r>
          </w:p>
        </w:tc>
        <w:tc>
          <w:tcPr>
            <w:tcW w:w="1420" w:type="dxa"/>
            <w:tcBorders>
              <w:top w:val="nil"/>
              <w:left w:val="nil"/>
              <w:bottom w:val="nil"/>
              <w:right w:val="nil"/>
            </w:tcBorders>
            <w:shd w:val="clear" w:color="auto" w:fill="auto"/>
            <w:vAlign w:val="center"/>
            <w:hideMark/>
          </w:tcPr>
          <w:p w14:paraId="050658CC"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4.00</w:t>
            </w:r>
          </w:p>
        </w:tc>
        <w:tc>
          <w:tcPr>
            <w:tcW w:w="1420" w:type="dxa"/>
            <w:tcBorders>
              <w:top w:val="nil"/>
              <w:left w:val="nil"/>
              <w:bottom w:val="nil"/>
              <w:right w:val="nil"/>
            </w:tcBorders>
            <w:shd w:val="clear" w:color="auto" w:fill="auto"/>
            <w:vAlign w:val="center"/>
            <w:hideMark/>
          </w:tcPr>
          <w:p w14:paraId="5F8930D9"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4.00</w:t>
            </w:r>
          </w:p>
        </w:tc>
        <w:tc>
          <w:tcPr>
            <w:tcW w:w="1420" w:type="dxa"/>
            <w:tcBorders>
              <w:top w:val="nil"/>
              <w:left w:val="nil"/>
              <w:bottom w:val="nil"/>
              <w:right w:val="nil"/>
            </w:tcBorders>
            <w:shd w:val="clear" w:color="auto" w:fill="auto"/>
            <w:vAlign w:val="center"/>
            <w:hideMark/>
          </w:tcPr>
          <w:p w14:paraId="2D23CB27"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5.00</w:t>
            </w:r>
          </w:p>
        </w:tc>
      </w:tr>
      <w:tr w:rsidR="00E9409C" w:rsidRPr="005C54B4" w14:paraId="2AF517FE" w14:textId="77777777" w:rsidTr="004A5BF7">
        <w:trPr>
          <w:trHeight w:val="300"/>
          <w:jc w:val="center"/>
        </w:trPr>
        <w:tc>
          <w:tcPr>
            <w:tcW w:w="1840" w:type="dxa"/>
            <w:vMerge/>
            <w:tcBorders>
              <w:top w:val="nil"/>
              <w:left w:val="nil"/>
              <w:bottom w:val="single" w:sz="4" w:space="0" w:color="000000"/>
              <w:right w:val="nil"/>
            </w:tcBorders>
            <w:vAlign w:val="center"/>
            <w:hideMark/>
          </w:tcPr>
          <w:p w14:paraId="05ED5D10"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7E17EB6D"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Max.</w:t>
            </w:r>
          </w:p>
        </w:tc>
        <w:tc>
          <w:tcPr>
            <w:tcW w:w="1420" w:type="dxa"/>
            <w:tcBorders>
              <w:top w:val="nil"/>
              <w:left w:val="nil"/>
              <w:bottom w:val="nil"/>
              <w:right w:val="nil"/>
            </w:tcBorders>
            <w:shd w:val="clear" w:color="auto" w:fill="auto"/>
            <w:vAlign w:val="center"/>
            <w:hideMark/>
          </w:tcPr>
          <w:p w14:paraId="76AFB2C6"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20.00</w:t>
            </w:r>
          </w:p>
        </w:tc>
        <w:tc>
          <w:tcPr>
            <w:tcW w:w="1420" w:type="dxa"/>
            <w:tcBorders>
              <w:top w:val="nil"/>
              <w:left w:val="nil"/>
              <w:bottom w:val="nil"/>
              <w:right w:val="nil"/>
            </w:tcBorders>
            <w:shd w:val="clear" w:color="auto" w:fill="auto"/>
            <w:vAlign w:val="center"/>
            <w:hideMark/>
          </w:tcPr>
          <w:p w14:paraId="4D6A51A3"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25.00</w:t>
            </w:r>
          </w:p>
        </w:tc>
        <w:tc>
          <w:tcPr>
            <w:tcW w:w="1420" w:type="dxa"/>
            <w:tcBorders>
              <w:top w:val="nil"/>
              <w:left w:val="nil"/>
              <w:bottom w:val="nil"/>
              <w:right w:val="nil"/>
            </w:tcBorders>
            <w:shd w:val="clear" w:color="auto" w:fill="auto"/>
            <w:vAlign w:val="center"/>
            <w:hideMark/>
          </w:tcPr>
          <w:p w14:paraId="02CAAFDD"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15.00</w:t>
            </w:r>
          </w:p>
        </w:tc>
        <w:tc>
          <w:tcPr>
            <w:tcW w:w="1420" w:type="dxa"/>
            <w:tcBorders>
              <w:top w:val="nil"/>
              <w:left w:val="nil"/>
              <w:bottom w:val="nil"/>
              <w:right w:val="nil"/>
            </w:tcBorders>
            <w:shd w:val="clear" w:color="auto" w:fill="auto"/>
            <w:vAlign w:val="center"/>
            <w:hideMark/>
          </w:tcPr>
          <w:p w14:paraId="34C95600"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9.00</w:t>
            </w:r>
          </w:p>
        </w:tc>
      </w:tr>
      <w:tr w:rsidR="00E9409C" w:rsidRPr="005C54B4" w14:paraId="0CE84476" w14:textId="77777777" w:rsidTr="004A5BF7">
        <w:trPr>
          <w:trHeight w:val="300"/>
          <w:jc w:val="center"/>
        </w:trPr>
        <w:tc>
          <w:tcPr>
            <w:tcW w:w="1840" w:type="dxa"/>
            <w:vMerge/>
            <w:tcBorders>
              <w:top w:val="nil"/>
              <w:left w:val="nil"/>
              <w:bottom w:val="single" w:sz="4" w:space="0" w:color="000000"/>
              <w:right w:val="nil"/>
            </w:tcBorders>
            <w:vAlign w:val="center"/>
            <w:hideMark/>
          </w:tcPr>
          <w:p w14:paraId="17A63B86"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5F464BC2"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Mean</w:t>
            </w:r>
          </w:p>
        </w:tc>
        <w:tc>
          <w:tcPr>
            <w:tcW w:w="1420" w:type="dxa"/>
            <w:tcBorders>
              <w:top w:val="nil"/>
              <w:left w:val="nil"/>
              <w:bottom w:val="nil"/>
              <w:right w:val="nil"/>
            </w:tcBorders>
            <w:shd w:val="clear" w:color="auto" w:fill="auto"/>
            <w:vAlign w:val="center"/>
            <w:hideMark/>
          </w:tcPr>
          <w:p w14:paraId="26D547A4"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9.13</w:t>
            </w:r>
          </w:p>
        </w:tc>
        <w:tc>
          <w:tcPr>
            <w:tcW w:w="1420" w:type="dxa"/>
            <w:tcBorders>
              <w:top w:val="nil"/>
              <w:left w:val="nil"/>
              <w:bottom w:val="nil"/>
              <w:right w:val="nil"/>
            </w:tcBorders>
            <w:shd w:val="clear" w:color="auto" w:fill="auto"/>
            <w:vAlign w:val="center"/>
            <w:hideMark/>
          </w:tcPr>
          <w:p w14:paraId="5F2A2336"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8.52</w:t>
            </w:r>
          </w:p>
        </w:tc>
        <w:tc>
          <w:tcPr>
            <w:tcW w:w="1420" w:type="dxa"/>
            <w:tcBorders>
              <w:top w:val="nil"/>
              <w:left w:val="nil"/>
              <w:bottom w:val="nil"/>
              <w:right w:val="nil"/>
            </w:tcBorders>
            <w:shd w:val="clear" w:color="auto" w:fill="auto"/>
            <w:vAlign w:val="center"/>
            <w:hideMark/>
          </w:tcPr>
          <w:p w14:paraId="6E95B724"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8.07</w:t>
            </w:r>
          </w:p>
        </w:tc>
        <w:tc>
          <w:tcPr>
            <w:tcW w:w="1420" w:type="dxa"/>
            <w:tcBorders>
              <w:top w:val="nil"/>
              <w:left w:val="nil"/>
              <w:bottom w:val="nil"/>
              <w:right w:val="nil"/>
            </w:tcBorders>
            <w:shd w:val="clear" w:color="auto" w:fill="auto"/>
            <w:vAlign w:val="center"/>
            <w:hideMark/>
          </w:tcPr>
          <w:p w14:paraId="009FC8D5"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6.56</w:t>
            </w:r>
          </w:p>
        </w:tc>
      </w:tr>
      <w:tr w:rsidR="00E9409C" w:rsidRPr="005C54B4" w14:paraId="22077EA8" w14:textId="77777777" w:rsidTr="004A5BF7">
        <w:trPr>
          <w:trHeight w:val="300"/>
          <w:jc w:val="center"/>
        </w:trPr>
        <w:tc>
          <w:tcPr>
            <w:tcW w:w="1840" w:type="dxa"/>
            <w:vMerge/>
            <w:tcBorders>
              <w:top w:val="nil"/>
              <w:left w:val="nil"/>
              <w:bottom w:val="single" w:sz="4" w:space="0" w:color="000000"/>
              <w:right w:val="nil"/>
            </w:tcBorders>
            <w:vAlign w:val="center"/>
            <w:hideMark/>
          </w:tcPr>
          <w:p w14:paraId="4597155F"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501BACD3"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Median</w:t>
            </w:r>
          </w:p>
        </w:tc>
        <w:tc>
          <w:tcPr>
            <w:tcW w:w="1420" w:type="dxa"/>
            <w:tcBorders>
              <w:top w:val="nil"/>
              <w:left w:val="nil"/>
              <w:bottom w:val="nil"/>
              <w:right w:val="nil"/>
            </w:tcBorders>
            <w:shd w:val="clear" w:color="auto" w:fill="auto"/>
            <w:vAlign w:val="center"/>
            <w:hideMark/>
          </w:tcPr>
          <w:p w14:paraId="50C1EB93"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8.00</w:t>
            </w:r>
          </w:p>
        </w:tc>
        <w:tc>
          <w:tcPr>
            <w:tcW w:w="1420" w:type="dxa"/>
            <w:tcBorders>
              <w:top w:val="nil"/>
              <w:left w:val="nil"/>
              <w:bottom w:val="nil"/>
              <w:right w:val="nil"/>
            </w:tcBorders>
            <w:shd w:val="clear" w:color="auto" w:fill="auto"/>
            <w:vAlign w:val="center"/>
            <w:hideMark/>
          </w:tcPr>
          <w:p w14:paraId="3A7746D6"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8.00</w:t>
            </w:r>
          </w:p>
        </w:tc>
        <w:tc>
          <w:tcPr>
            <w:tcW w:w="1420" w:type="dxa"/>
            <w:tcBorders>
              <w:top w:val="nil"/>
              <w:left w:val="nil"/>
              <w:bottom w:val="nil"/>
              <w:right w:val="nil"/>
            </w:tcBorders>
            <w:shd w:val="clear" w:color="auto" w:fill="auto"/>
            <w:vAlign w:val="center"/>
            <w:hideMark/>
          </w:tcPr>
          <w:p w14:paraId="0CE550D1"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7.00</w:t>
            </w:r>
          </w:p>
        </w:tc>
        <w:tc>
          <w:tcPr>
            <w:tcW w:w="1420" w:type="dxa"/>
            <w:tcBorders>
              <w:top w:val="nil"/>
              <w:left w:val="nil"/>
              <w:bottom w:val="nil"/>
              <w:right w:val="nil"/>
            </w:tcBorders>
            <w:shd w:val="clear" w:color="auto" w:fill="auto"/>
            <w:vAlign w:val="center"/>
            <w:hideMark/>
          </w:tcPr>
          <w:p w14:paraId="545A29EE"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6.00</w:t>
            </w:r>
          </w:p>
        </w:tc>
      </w:tr>
      <w:tr w:rsidR="00E9409C" w:rsidRPr="005C54B4" w14:paraId="79FE16CE" w14:textId="77777777" w:rsidTr="004A5BF7">
        <w:trPr>
          <w:trHeight w:val="300"/>
          <w:jc w:val="center"/>
        </w:trPr>
        <w:tc>
          <w:tcPr>
            <w:tcW w:w="1840" w:type="dxa"/>
            <w:vMerge/>
            <w:tcBorders>
              <w:top w:val="nil"/>
              <w:left w:val="nil"/>
              <w:bottom w:val="single" w:sz="4" w:space="0" w:color="000000"/>
              <w:right w:val="nil"/>
            </w:tcBorders>
            <w:vAlign w:val="center"/>
            <w:hideMark/>
          </w:tcPr>
          <w:p w14:paraId="1492BBCA"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5C3AF62B"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SD</w:t>
            </w:r>
          </w:p>
        </w:tc>
        <w:tc>
          <w:tcPr>
            <w:tcW w:w="1420" w:type="dxa"/>
            <w:tcBorders>
              <w:top w:val="nil"/>
              <w:left w:val="nil"/>
              <w:bottom w:val="nil"/>
              <w:right w:val="nil"/>
            </w:tcBorders>
            <w:shd w:val="clear" w:color="auto" w:fill="auto"/>
            <w:vAlign w:val="center"/>
            <w:hideMark/>
          </w:tcPr>
          <w:p w14:paraId="5D02BBE4"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4.80</w:t>
            </w:r>
          </w:p>
        </w:tc>
        <w:tc>
          <w:tcPr>
            <w:tcW w:w="1420" w:type="dxa"/>
            <w:tcBorders>
              <w:top w:val="nil"/>
              <w:left w:val="nil"/>
              <w:bottom w:val="nil"/>
              <w:right w:val="nil"/>
            </w:tcBorders>
            <w:shd w:val="clear" w:color="auto" w:fill="auto"/>
            <w:vAlign w:val="center"/>
            <w:hideMark/>
          </w:tcPr>
          <w:p w14:paraId="4CEF05B9"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3.92</w:t>
            </w:r>
          </w:p>
        </w:tc>
        <w:tc>
          <w:tcPr>
            <w:tcW w:w="1420" w:type="dxa"/>
            <w:tcBorders>
              <w:top w:val="nil"/>
              <w:left w:val="nil"/>
              <w:bottom w:val="nil"/>
              <w:right w:val="nil"/>
            </w:tcBorders>
            <w:shd w:val="clear" w:color="auto" w:fill="auto"/>
            <w:vAlign w:val="center"/>
            <w:hideMark/>
          </w:tcPr>
          <w:p w14:paraId="08BB79A1"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2.35</w:t>
            </w:r>
          </w:p>
        </w:tc>
        <w:tc>
          <w:tcPr>
            <w:tcW w:w="1420" w:type="dxa"/>
            <w:tcBorders>
              <w:top w:val="nil"/>
              <w:left w:val="nil"/>
              <w:bottom w:val="nil"/>
              <w:right w:val="nil"/>
            </w:tcBorders>
            <w:shd w:val="clear" w:color="auto" w:fill="auto"/>
            <w:vAlign w:val="center"/>
            <w:hideMark/>
          </w:tcPr>
          <w:p w14:paraId="1B35CCCA"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1.42</w:t>
            </w:r>
          </w:p>
        </w:tc>
      </w:tr>
      <w:tr w:rsidR="00E9409C" w:rsidRPr="005C54B4" w14:paraId="0DCF5775" w14:textId="77777777" w:rsidTr="004A5BF7">
        <w:trPr>
          <w:trHeight w:val="300"/>
          <w:jc w:val="center"/>
        </w:trPr>
        <w:tc>
          <w:tcPr>
            <w:tcW w:w="1840" w:type="dxa"/>
            <w:vMerge/>
            <w:tcBorders>
              <w:top w:val="nil"/>
              <w:left w:val="nil"/>
              <w:bottom w:val="single" w:sz="4" w:space="0" w:color="000000"/>
              <w:right w:val="nil"/>
            </w:tcBorders>
            <w:vAlign w:val="center"/>
            <w:hideMark/>
          </w:tcPr>
          <w:p w14:paraId="23BDCA3C"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single" w:sz="4" w:space="0" w:color="auto"/>
              <w:right w:val="nil"/>
            </w:tcBorders>
            <w:shd w:val="clear" w:color="auto" w:fill="auto"/>
            <w:vAlign w:val="center"/>
            <w:hideMark/>
          </w:tcPr>
          <w:p w14:paraId="43041AC4"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Count</w:t>
            </w:r>
          </w:p>
        </w:tc>
        <w:tc>
          <w:tcPr>
            <w:tcW w:w="1420" w:type="dxa"/>
            <w:tcBorders>
              <w:top w:val="nil"/>
              <w:left w:val="nil"/>
              <w:bottom w:val="single" w:sz="4" w:space="0" w:color="auto"/>
              <w:right w:val="nil"/>
            </w:tcBorders>
            <w:shd w:val="clear" w:color="auto" w:fill="auto"/>
            <w:vAlign w:val="center"/>
            <w:hideMark/>
          </w:tcPr>
          <w:p w14:paraId="0F83A92C"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23</w:t>
            </w:r>
          </w:p>
        </w:tc>
        <w:tc>
          <w:tcPr>
            <w:tcW w:w="1420" w:type="dxa"/>
            <w:tcBorders>
              <w:top w:val="nil"/>
              <w:left w:val="nil"/>
              <w:bottom w:val="single" w:sz="4" w:space="0" w:color="auto"/>
              <w:right w:val="nil"/>
            </w:tcBorders>
            <w:shd w:val="clear" w:color="auto" w:fill="auto"/>
            <w:vAlign w:val="center"/>
            <w:hideMark/>
          </w:tcPr>
          <w:p w14:paraId="48FDB9E7"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29</w:t>
            </w:r>
          </w:p>
        </w:tc>
        <w:tc>
          <w:tcPr>
            <w:tcW w:w="1420" w:type="dxa"/>
            <w:tcBorders>
              <w:top w:val="nil"/>
              <w:left w:val="nil"/>
              <w:bottom w:val="single" w:sz="4" w:space="0" w:color="auto"/>
              <w:right w:val="nil"/>
            </w:tcBorders>
            <w:shd w:val="clear" w:color="auto" w:fill="auto"/>
            <w:vAlign w:val="center"/>
            <w:hideMark/>
          </w:tcPr>
          <w:p w14:paraId="48D1A03E"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27</w:t>
            </w:r>
          </w:p>
        </w:tc>
        <w:tc>
          <w:tcPr>
            <w:tcW w:w="1420" w:type="dxa"/>
            <w:tcBorders>
              <w:top w:val="nil"/>
              <w:left w:val="nil"/>
              <w:bottom w:val="single" w:sz="4" w:space="0" w:color="auto"/>
              <w:right w:val="nil"/>
            </w:tcBorders>
            <w:shd w:val="clear" w:color="auto" w:fill="auto"/>
            <w:vAlign w:val="center"/>
            <w:hideMark/>
          </w:tcPr>
          <w:p w14:paraId="2CFD55BF"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9</w:t>
            </w:r>
          </w:p>
        </w:tc>
      </w:tr>
      <w:tr w:rsidR="00E9409C" w:rsidRPr="005C54B4" w14:paraId="06867C04" w14:textId="77777777" w:rsidTr="004A5BF7">
        <w:trPr>
          <w:trHeight w:val="300"/>
          <w:jc w:val="center"/>
        </w:trPr>
        <w:tc>
          <w:tcPr>
            <w:tcW w:w="1840" w:type="dxa"/>
            <w:vMerge w:val="restart"/>
            <w:tcBorders>
              <w:top w:val="nil"/>
              <w:left w:val="nil"/>
              <w:bottom w:val="single" w:sz="4" w:space="0" w:color="000000"/>
              <w:right w:val="nil"/>
            </w:tcBorders>
            <w:shd w:val="clear" w:color="auto" w:fill="auto"/>
            <w:vAlign w:val="center"/>
            <w:hideMark/>
          </w:tcPr>
          <w:p w14:paraId="665AD986"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Particulate Nitrogen (µg/L)</w:t>
            </w:r>
          </w:p>
        </w:tc>
        <w:tc>
          <w:tcPr>
            <w:tcW w:w="820" w:type="dxa"/>
            <w:tcBorders>
              <w:top w:val="nil"/>
              <w:left w:val="nil"/>
              <w:bottom w:val="nil"/>
              <w:right w:val="nil"/>
            </w:tcBorders>
            <w:shd w:val="clear" w:color="auto" w:fill="auto"/>
            <w:vAlign w:val="center"/>
            <w:hideMark/>
          </w:tcPr>
          <w:p w14:paraId="4657E875"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Min.</w:t>
            </w:r>
          </w:p>
        </w:tc>
        <w:tc>
          <w:tcPr>
            <w:tcW w:w="1420" w:type="dxa"/>
            <w:tcBorders>
              <w:top w:val="nil"/>
              <w:left w:val="nil"/>
              <w:bottom w:val="nil"/>
              <w:right w:val="nil"/>
            </w:tcBorders>
            <w:shd w:val="clear" w:color="auto" w:fill="auto"/>
            <w:vAlign w:val="center"/>
            <w:hideMark/>
          </w:tcPr>
          <w:p w14:paraId="357DB73B"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1.00</w:t>
            </w:r>
          </w:p>
        </w:tc>
        <w:tc>
          <w:tcPr>
            <w:tcW w:w="1420" w:type="dxa"/>
            <w:tcBorders>
              <w:top w:val="nil"/>
              <w:left w:val="nil"/>
              <w:bottom w:val="nil"/>
              <w:right w:val="nil"/>
            </w:tcBorders>
            <w:shd w:val="clear" w:color="auto" w:fill="auto"/>
            <w:vAlign w:val="center"/>
            <w:hideMark/>
          </w:tcPr>
          <w:p w14:paraId="32EB2D66"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1.00</w:t>
            </w:r>
          </w:p>
        </w:tc>
        <w:tc>
          <w:tcPr>
            <w:tcW w:w="1420" w:type="dxa"/>
            <w:tcBorders>
              <w:top w:val="nil"/>
              <w:left w:val="nil"/>
              <w:bottom w:val="nil"/>
              <w:right w:val="nil"/>
            </w:tcBorders>
            <w:shd w:val="clear" w:color="auto" w:fill="auto"/>
            <w:vAlign w:val="center"/>
            <w:hideMark/>
          </w:tcPr>
          <w:p w14:paraId="0339692A"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1.00</w:t>
            </w:r>
          </w:p>
        </w:tc>
        <w:tc>
          <w:tcPr>
            <w:tcW w:w="1420" w:type="dxa"/>
            <w:tcBorders>
              <w:top w:val="nil"/>
              <w:left w:val="nil"/>
              <w:bottom w:val="nil"/>
              <w:right w:val="nil"/>
            </w:tcBorders>
            <w:shd w:val="clear" w:color="auto" w:fill="auto"/>
            <w:vAlign w:val="center"/>
            <w:hideMark/>
          </w:tcPr>
          <w:p w14:paraId="4C843232"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1.00</w:t>
            </w:r>
          </w:p>
        </w:tc>
      </w:tr>
      <w:tr w:rsidR="00E9409C" w:rsidRPr="005C54B4" w14:paraId="10205FD8" w14:textId="77777777" w:rsidTr="004A5BF7">
        <w:trPr>
          <w:trHeight w:val="300"/>
          <w:jc w:val="center"/>
        </w:trPr>
        <w:tc>
          <w:tcPr>
            <w:tcW w:w="1840" w:type="dxa"/>
            <w:vMerge/>
            <w:tcBorders>
              <w:top w:val="nil"/>
              <w:left w:val="nil"/>
              <w:bottom w:val="single" w:sz="4" w:space="0" w:color="000000"/>
              <w:right w:val="nil"/>
            </w:tcBorders>
            <w:vAlign w:val="center"/>
            <w:hideMark/>
          </w:tcPr>
          <w:p w14:paraId="70505362"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549BBDB4"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Max.</w:t>
            </w:r>
          </w:p>
        </w:tc>
        <w:tc>
          <w:tcPr>
            <w:tcW w:w="1420" w:type="dxa"/>
            <w:tcBorders>
              <w:top w:val="nil"/>
              <w:left w:val="nil"/>
              <w:bottom w:val="nil"/>
              <w:right w:val="nil"/>
            </w:tcBorders>
            <w:shd w:val="clear" w:color="auto" w:fill="auto"/>
            <w:vAlign w:val="center"/>
            <w:hideMark/>
          </w:tcPr>
          <w:p w14:paraId="75C979D4"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73.00</w:t>
            </w:r>
          </w:p>
        </w:tc>
        <w:tc>
          <w:tcPr>
            <w:tcW w:w="1420" w:type="dxa"/>
            <w:tcBorders>
              <w:top w:val="nil"/>
              <w:left w:val="nil"/>
              <w:bottom w:val="nil"/>
              <w:right w:val="nil"/>
            </w:tcBorders>
            <w:shd w:val="clear" w:color="auto" w:fill="auto"/>
            <w:vAlign w:val="center"/>
            <w:hideMark/>
          </w:tcPr>
          <w:p w14:paraId="4D53B93E"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99.00</w:t>
            </w:r>
          </w:p>
        </w:tc>
        <w:tc>
          <w:tcPr>
            <w:tcW w:w="1420" w:type="dxa"/>
            <w:tcBorders>
              <w:top w:val="nil"/>
              <w:left w:val="nil"/>
              <w:bottom w:val="nil"/>
              <w:right w:val="nil"/>
            </w:tcBorders>
            <w:shd w:val="clear" w:color="auto" w:fill="auto"/>
            <w:vAlign w:val="center"/>
            <w:hideMark/>
          </w:tcPr>
          <w:p w14:paraId="1FF669D9"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100.00</w:t>
            </w:r>
          </w:p>
        </w:tc>
        <w:tc>
          <w:tcPr>
            <w:tcW w:w="1420" w:type="dxa"/>
            <w:tcBorders>
              <w:top w:val="nil"/>
              <w:left w:val="nil"/>
              <w:bottom w:val="nil"/>
              <w:right w:val="nil"/>
            </w:tcBorders>
            <w:shd w:val="clear" w:color="auto" w:fill="auto"/>
            <w:vAlign w:val="center"/>
            <w:hideMark/>
          </w:tcPr>
          <w:p w14:paraId="4B477A01"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64.00</w:t>
            </w:r>
          </w:p>
        </w:tc>
      </w:tr>
      <w:tr w:rsidR="00E9409C" w:rsidRPr="005C54B4" w14:paraId="5F605191" w14:textId="77777777" w:rsidTr="004A5BF7">
        <w:trPr>
          <w:trHeight w:val="300"/>
          <w:jc w:val="center"/>
        </w:trPr>
        <w:tc>
          <w:tcPr>
            <w:tcW w:w="1840" w:type="dxa"/>
            <w:vMerge/>
            <w:tcBorders>
              <w:top w:val="nil"/>
              <w:left w:val="nil"/>
              <w:bottom w:val="single" w:sz="4" w:space="0" w:color="000000"/>
              <w:right w:val="nil"/>
            </w:tcBorders>
            <w:vAlign w:val="center"/>
            <w:hideMark/>
          </w:tcPr>
          <w:p w14:paraId="45098F06"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1AC0C3CE"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Mean</w:t>
            </w:r>
          </w:p>
        </w:tc>
        <w:tc>
          <w:tcPr>
            <w:tcW w:w="1420" w:type="dxa"/>
            <w:tcBorders>
              <w:top w:val="nil"/>
              <w:left w:val="nil"/>
              <w:bottom w:val="nil"/>
              <w:right w:val="nil"/>
            </w:tcBorders>
            <w:shd w:val="clear" w:color="auto" w:fill="auto"/>
            <w:vAlign w:val="center"/>
            <w:hideMark/>
          </w:tcPr>
          <w:p w14:paraId="70247B84"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20.35</w:t>
            </w:r>
          </w:p>
        </w:tc>
        <w:tc>
          <w:tcPr>
            <w:tcW w:w="1420" w:type="dxa"/>
            <w:tcBorders>
              <w:top w:val="nil"/>
              <w:left w:val="nil"/>
              <w:bottom w:val="nil"/>
              <w:right w:val="nil"/>
            </w:tcBorders>
            <w:shd w:val="clear" w:color="auto" w:fill="auto"/>
            <w:vAlign w:val="center"/>
            <w:hideMark/>
          </w:tcPr>
          <w:p w14:paraId="42A3744F"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31.14</w:t>
            </w:r>
          </w:p>
        </w:tc>
        <w:tc>
          <w:tcPr>
            <w:tcW w:w="1420" w:type="dxa"/>
            <w:tcBorders>
              <w:top w:val="nil"/>
              <w:left w:val="nil"/>
              <w:bottom w:val="nil"/>
              <w:right w:val="nil"/>
            </w:tcBorders>
            <w:shd w:val="clear" w:color="auto" w:fill="auto"/>
            <w:vAlign w:val="center"/>
            <w:hideMark/>
          </w:tcPr>
          <w:p w14:paraId="13B1D032"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32.52</w:t>
            </w:r>
          </w:p>
        </w:tc>
        <w:tc>
          <w:tcPr>
            <w:tcW w:w="1420" w:type="dxa"/>
            <w:tcBorders>
              <w:top w:val="nil"/>
              <w:left w:val="nil"/>
              <w:bottom w:val="nil"/>
              <w:right w:val="nil"/>
            </w:tcBorders>
            <w:shd w:val="clear" w:color="auto" w:fill="auto"/>
            <w:vAlign w:val="center"/>
            <w:hideMark/>
          </w:tcPr>
          <w:p w14:paraId="278CCB4F"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21.33</w:t>
            </w:r>
          </w:p>
        </w:tc>
      </w:tr>
      <w:tr w:rsidR="00E9409C" w:rsidRPr="005C54B4" w14:paraId="05C6B87D" w14:textId="77777777" w:rsidTr="004A5BF7">
        <w:trPr>
          <w:trHeight w:val="300"/>
          <w:jc w:val="center"/>
        </w:trPr>
        <w:tc>
          <w:tcPr>
            <w:tcW w:w="1840" w:type="dxa"/>
            <w:vMerge/>
            <w:tcBorders>
              <w:top w:val="nil"/>
              <w:left w:val="nil"/>
              <w:bottom w:val="single" w:sz="4" w:space="0" w:color="000000"/>
              <w:right w:val="nil"/>
            </w:tcBorders>
            <w:vAlign w:val="center"/>
            <w:hideMark/>
          </w:tcPr>
          <w:p w14:paraId="0D26068A"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06D58DF7"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Median</w:t>
            </w:r>
          </w:p>
        </w:tc>
        <w:tc>
          <w:tcPr>
            <w:tcW w:w="1420" w:type="dxa"/>
            <w:tcBorders>
              <w:top w:val="nil"/>
              <w:left w:val="nil"/>
              <w:bottom w:val="nil"/>
              <w:right w:val="nil"/>
            </w:tcBorders>
            <w:shd w:val="clear" w:color="auto" w:fill="auto"/>
            <w:vAlign w:val="center"/>
            <w:hideMark/>
          </w:tcPr>
          <w:p w14:paraId="49B3E830"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14.00</w:t>
            </w:r>
          </w:p>
        </w:tc>
        <w:tc>
          <w:tcPr>
            <w:tcW w:w="1420" w:type="dxa"/>
            <w:tcBorders>
              <w:top w:val="nil"/>
              <w:left w:val="nil"/>
              <w:bottom w:val="nil"/>
              <w:right w:val="nil"/>
            </w:tcBorders>
            <w:shd w:val="clear" w:color="000000" w:fill="FFC7CE"/>
            <w:vAlign w:val="center"/>
            <w:hideMark/>
          </w:tcPr>
          <w:p w14:paraId="15DF60C4" w14:textId="77777777" w:rsidR="00E9409C" w:rsidRPr="004A5BF7" w:rsidRDefault="00E9409C" w:rsidP="004A5BF7">
            <w:pPr>
              <w:spacing w:before="0" w:after="0"/>
              <w:jc w:val="center"/>
              <w:rPr>
                <w:rFonts w:cs="Arial"/>
                <w:color w:val="9C0006"/>
                <w:sz w:val="18"/>
                <w:szCs w:val="18"/>
                <w:lang w:val="en-AU" w:eastAsia="en-AU"/>
              </w:rPr>
            </w:pPr>
            <w:r w:rsidRPr="004A5BF7">
              <w:rPr>
                <w:rFonts w:cs="Arial"/>
                <w:color w:val="9C0006"/>
                <w:sz w:val="18"/>
                <w:szCs w:val="18"/>
                <w:lang w:val="en-AU" w:eastAsia="en-AU"/>
              </w:rPr>
              <w:t>27.00</w:t>
            </w:r>
          </w:p>
        </w:tc>
        <w:tc>
          <w:tcPr>
            <w:tcW w:w="1420" w:type="dxa"/>
            <w:tcBorders>
              <w:top w:val="nil"/>
              <w:left w:val="nil"/>
              <w:bottom w:val="nil"/>
              <w:right w:val="nil"/>
            </w:tcBorders>
            <w:shd w:val="clear" w:color="000000" w:fill="FFC7CE"/>
            <w:vAlign w:val="center"/>
            <w:hideMark/>
          </w:tcPr>
          <w:p w14:paraId="35900530" w14:textId="77777777" w:rsidR="00E9409C" w:rsidRPr="004A5BF7" w:rsidRDefault="00E9409C" w:rsidP="004A5BF7">
            <w:pPr>
              <w:spacing w:before="0" w:after="0"/>
              <w:jc w:val="center"/>
              <w:rPr>
                <w:rFonts w:cs="Arial"/>
                <w:color w:val="9C0006"/>
                <w:sz w:val="18"/>
                <w:szCs w:val="18"/>
                <w:lang w:val="en-AU" w:eastAsia="en-AU"/>
              </w:rPr>
            </w:pPr>
            <w:r w:rsidRPr="004A5BF7">
              <w:rPr>
                <w:rFonts w:cs="Arial"/>
                <w:color w:val="9C0006"/>
                <w:sz w:val="18"/>
                <w:szCs w:val="18"/>
                <w:lang w:val="en-AU" w:eastAsia="en-AU"/>
              </w:rPr>
              <w:t>30.00</w:t>
            </w:r>
          </w:p>
        </w:tc>
        <w:tc>
          <w:tcPr>
            <w:tcW w:w="1420" w:type="dxa"/>
            <w:tcBorders>
              <w:top w:val="nil"/>
              <w:left w:val="nil"/>
              <w:bottom w:val="nil"/>
              <w:right w:val="nil"/>
            </w:tcBorders>
            <w:shd w:val="clear" w:color="auto" w:fill="auto"/>
            <w:vAlign w:val="center"/>
            <w:hideMark/>
          </w:tcPr>
          <w:p w14:paraId="7123CEF0"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17.00</w:t>
            </w:r>
          </w:p>
        </w:tc>
      </w:tr>
      <w:tr w:rsidR="00E9409C" w:rsidRPr="005C54B4" w14:paraId="148B6D11" w14:textId="77777777" w:rsidTr="004A5BF7">
        <w:trPr>
          <w:trHeight w:val="300"/>
          <w:jc w:val="center"/>
        </w:trPr>
        <w:tc>
          <w:tcPr>
            <w:tcW w:w="1840" w:type="dxa"/>
            <w:vMerge/>
            <w:tcBorders>
              <w:top w:val="nil"/>
              <w:left w:val="nil"/>
              <w:bottom w:val="single" w:sz="4" w:space="0" w:color="000000"/>
              <w:right w:val="nil"/>
            </w:tcBorders>
            <w:vAlign w:val="center"/>
            <w:hideMark/>
          </w:tcPr>
          <w:p w14:paraId="33A04B15"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276D3CE5"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SD</w:t>
            </w:r>
          </w:p>
        </w:tc>
        <w:tc>
          <w:tcPr>
            <w:tcW w:w="1420" w:type="dxa"/>
            <w:tcBorders>
              <w:top w:val="nil"/>
              <w:left w:val="nil"/>
              <w:bottom w:val="nil"/>
              <w:right w:val="nil"/>
            </w:tcBorders>
            <w:shd w:val="clear" w:color="auto" w:fill="auto"/>
            <w:vAlign w:val="center"/>
            <w:hideMark/>
          </w:tcPr>
          <w:p w14:paraId="24C5F5FC"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19.01</w:t>
            </w:r>
          </w:p>
        </w:tc>
        <w:tc>
          <w:tcPr>
            <w:tcW w:w="1420" w:type="dxa"/>
            <w:tcBorders>
              <w:top w:val="nil"/>
              <w:left w:val="nil"/>
              <w:bottom w:val="nil"/>
              <w:right w:val="nil"/>
            </w:tcBorders>
            <w:shd w:val="clear" w:color="auto" w:fill="auto"/>
            <w:vAlign w:val="center"/>
            <w:hideMark/>
          </w:tcPr>
          <w:p w14:paraId="597A8163"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26.25</w:t>
            </w:r>
          </w:p>
        </w:tc>
        <w:tc>
          <w:tcPr>
            <w:tcW w:w="1420" w:type="dxa"/>
            <w:tcBorders>
              <w:top w:val="nil"/>
              <w:left w:val="nil"/>
              <w:bottom w:val="nil"/>
              <w:right w:val="nil"/>
            </w:tcBorders>
            <w:shd w:val="clear" w:color="auto" w:fill="auto"/>
            <w:vAlign w:val="center"/>
            <w:hideMark/>
          </w:tcPr>
          <w:p w14:paraId="4BC29FAF"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27.65</w:t>
            </w:r>
          </w:p>
        </w:tc>
        <w:tc>
          <w:tcPr>
            <w:tcW w:w="1420" w:type="dxa"/>
            <w:tcBorders>
              <w:top w:val="nil"/>
              <w:left w:val="nil"/>
              <w:bottom w:val="nil"/>
              <w:right w:val="nil"/>
            </w:tcBorders>
            <w:shd w:val="clear" w:color="auto" w:fill="auto"/>
            <w:vAlign w:val="center"/>
            <w:hideMark/>
          </w:tcPr>
          <w:p w14:paraId="0474EBEC"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21.41</w:t>
            </w:r>
          </w:p>
        </w:tc>
      </w:tr>
      <w:tr w:rsidR="00E9409C" w:rsidRPr="005C54B4" w14:paraId="016EAD12" w14:textId="77777777" w:rsidTr="004A5BF7">
        <w:trPr>
          <w:trHeight w:val="300"/>
          <w:jc w:val="center"/>
        </w:trPr>
        <w:tc>
          <w:tcPr>
            <w:tcW w:w="1840" w:type="dxa"/>
            <w:vMerge/>
            <w:tcBorders>
              <w:top w:val="nil"/>
              <w:left w:val="nil"/>
              <w:bottom w:val="single" w:sz="4" w:space="0" w:color="000000"/>
              <w:right w:val="nil"/>
            </w:tcBorders>
            <w:vAlign w:val="center"/>
            <w:hideMark/>
          </w:tcPr>
          <w:p w14:paraId="43E3DEB9"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single" w:sz="4" w:space="0" w:color="auto"/>
              <w:right w:val="nil"/>
            </w:tcBorders>
            <w:shd w:val="clear" w:color="auto" w:fill="auto"/>
            <w:vAlign w:val="center"/>
            <w:hideMark/>
          </w:tcPr>
          <w:p w14:paraId="17E425DE"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Count</w:t>
            </w:r>
          </w:p>
        </w:tc>
        <w:tc>
          <w:tcPr>
            <w:tcW w:w="1420" w:type="dxa"/>
            <w:tcBorders>
              <w:top w:val="nil"/>
              <w:left w:val="nil"/>
              <w:bottom w:val="single" w:sz="4" w:space="0" w:color="auto"/>
              <w:right w:val="nil"/>
            </w:tcBorders>
            <w:shd w:val="clear" w:color="auto" w:fill="auto"/>
            <w:vAlign w:val="center"/>
            <w:hideMark/>
          </w:tcPr>
          <w:p w14:paraId="268D7424"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23</w:t>
            </w:r>
          </w:p>
        </w:tc>
        <w:tc>
          <w:tcPr>
            <w:tcW w:w="1420" w:type="dxa"/>
            <w:tcBorders>
              <w:top w:val="nil"/>
              <w:left w:val="nil"/>
              <w:bottom w:val="single" w:sz="4" w:space="0" w:color="auto"/>
              <w:right w:val="nil"/>
            </w:tcBorders>
            <w:shd w:val="clear" w:color="auto" w:fill="auto"/>
            <w:vAlign w:val="center"/>
            <w:hideMark/>
          </w:tcPr>
          <w:p w14:paraId="1BAD4F4A"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29</w:t>
            </w:r>
          </w:p>
        </w:tc>
        <w:tc>
          <w:tcPr>
            <w:tcW w:w="1420" w:type="dxa"/>
            <w:tcBorders>
              <w:top w:val="nil"/>
              <w:left w:val="nil"/>
              <w:bottom w:val="single" w:sz="4" w:space="0" w:color="auto"/>
              <w:right w:val="nil"/>
            </w:tcBorders>
            <w:shd w:val="clear" w:color="auto" w:fill="auto"/>
            <w:vAlign w:val="center"/>
            <w:hideMark/>
          </w:tcPr>
          <w:p w14:paraId="62C784ED"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27</w:t>
            </w:r>
          </w:p>
        </w:tc>
        <w:tc>
          <w:tcPr>
            <w:tcW w:w="1420" w:type="dxa"/>
            <w:tcBorders>
              <w:top w:val="nil"/>
              <w:left w:val="nil"/>
              <w:bottom w:val="single" w:sz="4" w:space="0" w:color="auto"/>
              <w:right w:val="nil"/>
            </w:tcBorders>
            <w:shd w:val="clear" w:color="auto" w:fill="auto"/>
            <w:vAlign w:val="center"/>
            <w:hideMark/>
          </w:tcPr>
          <w:p w14:paraId="1B435709"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9</w:t>
            </w:r>
          </w:p>
        </w:tc>
      </w:tr>
      <w:tr w:rsidR="00E9409C" w:rsidRPr="005C54B4" w14:paraId="16352EB4" w14:textId="77777777" w:rsidTr="004A5BF7">
        <w:trPr>
          <w:trHeight w:val="300"/>
          <w:jc w:val="center"/>
        </w:trPr>
        <w:tc>
          <w:tcPr>
            <w:tcW w:w="1840" w:type="dxa"/>
            <w:vMerge w:val="restart"/>
            <w:tcBorders>
              <w:top w:val="nil"/>
              <w:left w:val="nil"/>
              <w:bottom w:val="single" w:sz="4" w:space="0" w:color="000000"/>
              <w:right w:val="nil"/>
            </w:tcBorders>
            <w:shd w:val="clear" w:color="auto" w:fill="auto"/>
            <w:vAlign w:val="center"/>
            <w:hideMark/>
          </w:tcPr>
          <w:p w14:paraId="0DF232E1"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Particulate Phosphorus (µg/L)</w:t>
            </w:r>
          </w:p>
        </w:tc>
        <w:tc>
          <w:tcPr>
            <w:tcW w:w="820" w:type="dxa"/>
            <w:tcBorders>
              <w:top w:val="nil"/>
              <w:left w:val="nil"/>
              <w:bottom w:val="nil"/>
              <w:right w:val="nil"/>
            </w:tcBorders>
            <w:shd w:val="clear" w:color="auto" w:fill="auto"/>
            <w:vAlign w:val="center"/>
            <w:hideMark/>
          </w:tcPr>
          <w:p w14:paraId="1F96A314"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Min.</w:t>
            </w:r>
          </w:p>
        </w:tc>
        <w:tc>
          <w:tcPr>
            <w:tcW w:w="1420" w:type="dxa"/>
            <w:tcBorders>
              <w:top w:val="nil"/>
              <w:left w:val="nil"/>
              <w:bottom w:val="nil"/>
              <w:right w:val="nil"/>
            </w:tcBorders>
            <w:shd w:val="clear" w:color="auto" w:fill="auto"/>
            <w:vAlign w:val="center"/>
            <w:hideMark/>
          </w:tcPr>
          <w:p w14:paraId="70FB043A"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0.00</w:t>
            </w:r>
          </w:p>
        </w:tc>
        <w:tc>
          <w:tcPr>
            <w:tcW w:w="1420" w:type="dxa"/>
            <w:tcBorders>
              <w:top w:val="nil"/>
              <w:left w:val="nil"/>
              <w:bottom w:val="nil"/>
              <w:right w:val="nil"/>
            </w:tcBorders>
            <w:shd w:val="clear" w:color="auto" w:fill="auto"/>
            <w:vAlign w:val="center"/>
            <w:hideMark/>
          </w:tcPr>
          <w:p w14:paraId="68DE11FA"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0.00</w:t>
            </w:r>
          </w:p>
        </w:tc>
        <w:tc>
          <w:tcPr>
            <w:tcW w:w="1420" w:type="dxa"/>
            <w:tcBorders>
              <w:top w:val="nil"/>
              <w:left w:val="nil"/>
              <w:bottom w:val="nil"/>
              <w:right w:val="nil"/>
            </w:tcBorders>
            <w:shd w:val="clear" w:color="auto" w:fill="auto"/>
            <w:vAlign w:val="center"/>
            <w:hideMark/>
          </w:tcPr>
          <w:p w14:paraId="2A649171"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0.00</w:t>
            </w:r>
          </w:p>
        </w:tc>
        <w:tc>
          <w:tcPr>
            <w:tcW w:w="1420" w:type="dxa"/>
            <w:tcBorders>
              <w:top w:val="nil"/>
              <w:left w:val="nil"/>
              <w:bottom w:val="nil"/>
              <w:right w:val="nil"/>
            </w:tcBorders>
            <w:shd w:val="clear" w:color="auto" w:fill="auto"/>
            <w:vAlign w:val="center"/>
            <w:hideMark/>
          </w:tcPr>
          <w:p w14:paraId="6F2C6BEC"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0.00</w:t>
            </w:r>
          </w:p>
        </w:tc>
      </w:tr>
      <w:tr w:rsidR="00E9409C" w:rsidRPr="005C54B4" w14:paraId="478EA5DC" w14:textId="77777777" w:rsidTr="004A5BF7">
        <w:trPr>
          <w:trHeight w:val="300"/>
          <w:jc w:val="center"/>
        </w:trPr>
        <w:tc>
          <w:tcPr>
            <w:tcW w:w="1840" w:type="dxa"/>
            <w:vMerge/>
            <w:tcBorders>
              <w:top w:val="nil"/>
              <w:left w:val="nil"/>
              <w:bottom w:val="single" w:sz="4" w:space="0" w:color="000000"/>
              <w:right w:val="nil"/>
            </w:tcBorders>
            <w:vAlign w:val="center"/>
            <w:hideMark/>
          </w:tcPr>
          <w:p w14:paraId="114D6D82"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626EDDF4"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Max.</w:t>
            </w:r>
          </w:p>
        </w:tc>
        <w:tc>
          <w:tcPr>
            <w:tcW w:w="1420" w:type="dxa"/>
            <w:tcBorders>
              <w:top w:val="nil"/>
              <w:left w:val="nil"/>
              <w:bottom w:val="nil"/>
              <w:right w:val="nil"/>
            </w:tcBorders>
            <w:shd w:val="clear" w:color="auto" w:fill="auto"/>
            <w:vAlign w:val="center"/>
            <w:hideMark/>
          </w:tcPr>
          <w:p w14:paraId="5245CFA7"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14.00</w:t>
            </w:r>
          </w:p>
        </w:tc>
        <w:tc>
          <w:tcPr>
            <w:tcW w:w="1420" w:type="dxa"/>
            <w:tcBorders>
              <w:top w:val="nil"/>
              <w:left w:val="nil"/>
              <w:bottom w:val="nil"/>
              <w:right w:val="nil"/>
            </w:tcBorders>
            <w:shd w:val="clear" w:color="auto" w:fill="auto"/>
            <w:vAlign w:val="center"/>
            <w:hideMark/>
          </w:tcPr>
          <w:p w14:paraId="5B3C16BA"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9.00</w:t>
            </w:r>
          </w:p>
        </w:tc>
        <w:tc>
          <w:tcPr>
            <w:tcW w:w="1420" w:type="dxa"/>
            <w:tcBorders>
              <w:top w:val="nil"/>
              <w:left w:val="nil"/>
              <w:bottom w:val="nil"/>
              <w:right w:val="nil"/>
            </w:tcBorders>
            <w:shd w:val="clear" w:color="auto" w:fill="auto"/>
            <w:vAlign w:val="center"/>
            <w:hideMark/>
          </w:tcPr>
          <w:p w14:paraId="2B40CE57"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7.00</w:t>
            </w:r>
          </w:p>
        </w:tc>
        <w:tc>
          <w:tcPr>
            <w:tcW w:w="1420" w:type="dxa"/>
            <w:tcBorders>
              <w:top w:val="nil"/>
              <w:left w:val="nil"/>
              <w:bottom w:val="nil"/>
              <w:right w:val="nil"/>
            </w:tcBorders>
            <w:shd w:val="clear" w:color="auto" w:fill="auto"/>
            <w:vAlign w:val="center"/>
            <w:hideMark/>
          </w:tcPr>
          <w:p w14:paraId="7038A13D"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4.00</w:t>
            </w:r>
          </w:p>
        </w:tc>
      </w:tr>
      <w:tr w:rsidR="00E9409C" w:rsidRPr="005C54B4" w14:paraId="62B06493" w14:textId="77777777" w:rsidTr="004A5BF7">
        <w:trPr>
          <w:trHeight w:val="300"/>
          <w:jc w:val="center"/>
        </w:trPr>
        <w:tc>
          <w:tcPr>
            <w:tcW w:w="1840" w:type="dxa"/>
            <w:vMerge/>
            <w:tcBorders>
              <w:top w:val="nil"/>
              <w:left w:val="nil"/>
              <w:bottom w:val="single" w:sz="4" w:space="0" w:color="000000"/>
              <w:right w:val="nil"/>
            </w:tcBorders>
            <w:vAlign w:val="center"/>
            <w:hideMark/>
          </w:tcPr>
          <w:p w14:paraId="467DB6C6"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5FD99934"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Mean</w:t>
            </w:r>
          </w:p>
        </w:tc>
        <w:tc>
          <w:tcPr>
            <w:tcW w:w="1420" w:type="dxa"/>
            <w:tcBorders>
              <w:top w:val="nil"/>
              <w:left w:val="nil"/>
              <w:bottom w:val="nil"/>
              <w:right w:val="nil"/>
            </w:tcBorders>
            <w:shd w:val="clear" w:color="auto" w:fill="auto"/>
            <w:vAlign w:val="center"/>
            <w:hideMark/>
          </w:tcPr>
          <w:p w14:paraId="39D74079"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3.48</w:t>
            </w:r>
          </w:p>
        </w:tc>
        <w:tc>
          <w:tcPr>
            <w:tcW w:w="1420" w:type="dxa"/>
            <w:tcBorders>
              <w:top w:val="nil"/>
              <w:left w:val="nil"/>
              <w:bottom w:val="nil"/>
              <w:right w:val="nil"/>
            </w:tcBorders>
            <w:shd w:val="clear" w:color="auto" w:fill="auto"/>
            <w:vAlign w:val="center"/>
            <w:hideMark/>
          </w:tcPr>
          <w:p w14:paraId="11D140F8"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2.64</w:t>
            </w:r>
          </w:p>
        </w:tc>
        <w:tc>
          <w:tcPr>
            <w:tcW w:w="1420" w:type="dxa"/>
            <w:tcBorders>
              <w:top w:val="nil"/>
              <w:left w:val="nil"/>
              <w:bottom w:val="nil"/>
              <w:right w:val="nil"/>
            </w:tcBorders>
            <w:shd w:val="clear" w:color="auto" w:fill="auto"/>
            <w:vAlign w:val="center"/>
            <w:hideMark/>
          </w:tcPr>
          <w:p w14:paraId="23B629DC"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2.15</w:t>
            </w:r>
          </w:p>
        </w:tc>
        <w:tc>
          <w:tcPr>
            <w:tcW w:w="1420" w:type="dxa"/>
            <w:tcBorders>
              <w:top w:val="nil"/>
              <w:left w:val="nil"/>
              <w:bottom w:val="nil"/>
              <w:right w:val="nil"/>
            </w:tcBorders>
            <w:shd w:val="clear" w:color="auto" w:fill="auto"/>
            <w:vAlign w:val="center"/>
            <w:hideMark/>
          </w:tcPr>
          <w:p w14:paraId="1E70A681"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1.22</w:t>
            </w:r>
          </w:p>
        </w:tc>
      </w:tr>
      <w:tr w:rsidR="00E9409C" w:rsidRPr="005C54B4" w14:paraId="33C71357" w14:textId="77777777" w:rsidTr="004A5BF7">
        <w:trPr>
          <w:trHeight w:val="300"/>
          <w:jc w:val="center"/>
        </w:trPr>
        <w:tc>
          <w:tcPr>
            <w:tcW w:w="1840" w:type="dxa"/>
            <w:vMerge/>
            <w:tcBorders>
              <w:top w:val="nil"/>
              <w:left w:val="nil"/>
              <w:bottom w:val="single" w:sz="4" w:space="0" w:color="000000"/>
              <w:right w:val="nil"/>
            </w:tcBorders>
            <w:vAlign w:val="center"/>
            <w:hideMark/>
          </w:tcPr>
          <w:p w14:paraId="240F40B5"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78322968"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Median</w:t>
            </w:r>
          </w:p>
        </w:tc>
        <w:tc>
          <w:tcPr>
            <w:tcW w:w="1420" w:type="dxa"/>
            <w:tcBorders>
              <w:top w:val="nil"/>
              <w:left w:val="nil"/>
              <w:bottom w:val="nil"/>
              <w:right w:val="nil"/>
            </w:tcBorders>
            <w:shd w:val="clear" w:color="auto" w:fill="auto"/>
            <w:vAlign w:val="center"/>
            <w:hideMark/>
          </w:tcPr>
          <w:p w14:paraId="376B69D3"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2.00</w:t>
            </w:r>
          </w:p>
        </w:tc>
        <w:tc>
          <w:tcPr>
            <w:tcW w:w="1420" w:type="dxa"/>
            <w:tcBorders>
              <w:top w:val="nil"/>
              <w:left w:val="nil"/>
              <w:bottom w:val="nil"/>
              <w:right w:val="nil"/>
            </w:tcBorders>
            <w:shd w:val="clear" w:color="auto" w:fill="auto"/>
            <w:vAlign w:val="center"/>
            <w:hideMark/>
          </w:tcPr>
          <w:p w14:paraId="2EC7A4FC"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2.00</w:t>
            </w:r>
          </w:p>
        </w:tc>
        <w:tc>
          <w:tcPr>
            <w:tcW w:w="1420" w:type="dxa"/>
            <w:tcBorders>
              <w:top w:val="nil"/>
              <w:left w:val="nil"/>
              <w:bottom w:val="nil"/>
              <w:right w:val="nil"/>
            </w:tcBorders>
            <w:shd w:val="clear" w:color="auto" w:fill="auto"/>
            <w:vAlign w:val="center"/>
            <w:hideMark/>
          </w:tcPr>
          <w:p w14:paraId="3C112F83"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1.00</w:t>
            </w:r>
          </w:p>
        </w:tc>
        <w:tc>
          <w:tcPr>
            <w:tcW w:w="1420" w:type="dxa"/>
            <w:tcBorders>
              <w:top w:val="nil"/>
              <w:left w:val="nil"/>
              <w:bottom w:val="nil"/>
              <w:right w:val="nil"/>
            </w:tcBorders>
            <w:shd w:val="clear" w:color="auto" w:fill="auto"/>
            <w:vAlign w:val="center"/>
            <w:hideMark/>
          </w:tcPr>
          <w:p w14:paraId="7A5897DE"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1.00</w:t>
            </w:r>
          </w:p>
        </w:tc>
      </w:tr>
      <w:tr w:rsidR="00E9409C" w:rsidRPr="005C54B4" w14:paraId="7921F0DD" w14:textId="77777777" w:rsidTr="004A5BF7">
        <w:trPr>
          <w:trHeight w:val="300"/>
          <w:jc w:val="center"/>
        </w:trPr>
        <w:tc>
          <w:tcPr>
            <w:tcW w:w="1840" w:type="dxa"/>
            <w:vMerge/>
            <w:tcBorders>
              <w:top w:val="nil"/>
              <w:left w:val="nil"/>
              <w:bottom w:val="single" w:sz="4" w:space="0" w:color="000000"/>
              <w:right w:val="nil"/>
            </w:tcBorders>
            <w:vAlign w:val="center"/>
            <w:hideMark/>
          </w:tcPr>
          <w:p w14:paraId="773DB576"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15676D4D"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SD</w:t>
            </w:r>
          </w:p>
        </w:tc>
        <w:tc>
          <w:tcPr>
            <w:tcW w:w="1420" w:type="dxa"/>
            <w:tcBorders>
              <w:top w:val="nil"/>
              <w:left w:val="nil"/>
              <w:bottom w:val="nil"/>
              <w:right w:val="nil"/>
            </w:tcBorders>
            <w:shd w:val="clear" w:color="auto" w:fill="auto"/>
            <w:vAlign w:val="center"/>
            <w:hideMark/>
          </w:tcPr>
          <w:p w14:paraId="3BD8D925"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3.93</w:t>
            </w:r>
          </w:p>
        </w:tc>
        <w:tc>
          <w:tcPr>
            <w:tcW w:w="1420" w:type="dxa"/>
            <w:tcBorders>
              <w:top w:val="nil"/>
              <w:left w:val="nil"/>
              <w:bottom w:val="nil"/>
              <w:right w:val="nil"/>
            </w:tcBorders>
            <w:shd w:val="clear" w:color="auto" w:fill="auto"/>
            <w:vAlign w:val="center"/>
            <w:hideMark/>
          </w:tcPr>
          <w:p w14:paraId="090F46CC"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2.26</w:t>
            </w:r>
          </w:p>
        </w:tc>
        <w:tc>
          <w:tcPr>
            <w:tcW w:w="1420" w:type="dxa"/>
            <w:tcBorders>
              <w:top w:val="nil"/>
              <w:left w:val="nil"/>
              <w:bottom w:val="nil"/>
              <w:right w:val="nil"/>
            </w:tcBorders>
            <w:shd w:val="clear" w:color="auto" w:fill="auto"/>
            <w:vAlign w:val="center"/>
            <w:hideMark/>
          </w:tcPr>
          <w:p w14:paraId="2A1BB83B"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1.85</w:t>
            </w:r>
          </w:p>
        </w:tc>
        <w:tc>
          <w:tcPr>
            <w:tcW w:w="1420" w:type="dxa"/>
            <w:tcBorders>
              <w:top w:val="nil"/>
              <w:left w:val="nil"/>
              <w:bottom w:val="nil"/>
              <w:right w:val="nil"/>
            </w:tcBorders>
            <w:shd w:val="clear" w:color="auto" w:fill="auto"/>
            <w:vAlign w:val="center"/>
            <w:hideMark/>
          </w:tcPr>
          <w:p w14:paraId="04778B26"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1.09</w:t>
            </w:r>
          </w:p>
        </w:tc>
      </w:tr>
      <w:tr w:rsidR="00E9409C" w:rsidRPr="005C54B4" w14:paraId="3E402035" w14:textId="77777777" w:rsidTr="004A5BF7">
        <w:trPr>
          <w:trHeight w:val="300"/>
          <w:jc w:val="center"/>
        </w:trPr>
        <w:tc>
          <w:tcPr>
            <w:tcW w:w="1840" w:type="dxa"/>
            <w:vMerge/>
            <w:tcBorders>
              <w:top w:val="nil"/>
              <w:left w:val="nil"/>
              <w:bottom w:val="single" w:sz="4" w:space="0" w:color="000000"/>
              <w:right w:val="nil"/>
            </w:tcBorders>
            <w:vAlign w:val="center"/>
            <w:hideMark/>
          </w:tcPr>
          <w:p w14:paraId="26225A1A"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single" w:sz="4" w:space="0" w:color="auto"/>
              <w:right w:val="nil"/>
            </w:tcBorders>
            <w:shd w:val="clear" w:color="auto" w:fill="auto"/>
            <w:vAlign w:val="center"/>
            <w:hideMark/>
          </w:tcPr>
          <w:p w14:paraId="0EE76F31"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Count</w:t>
            </w:r>
          </w:p>
        </w:tc>
        <w:tc>
          <w:tcPr>
            <w:tcW w:w="1420" w:type="dxa"/>
            <w:tcBorders>
              <w:top w:val="nil"/>
              <w:left w:val="nil"/>
              <w:bottom w:val="single" w:sz="4" w:space="0" w:color="auto"/>
              <w:right w:val="nil"/>
            </w:tcBorders>
            <w:shd w:val="clear" w:color="auto" w:fill="auto"/>
            <w:vAlign w:val="center"/>
            <w:hideMark/>
          </w:tcPr>
          <w:p w14:paraId="5FA152D0"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23</w:t>
            </w:r>
          </w:p>
        </w:tc>
        <w:tc>
          <w:tcPr>
            <w:tcW w:w="1420" w:type="dxa"/>
            <w:tcBorders>
              <w:top w:val="nil"/>
              <w:left w:val="nil"/>
              <w:bottom w:val="single" w:sz="4" w:space="0" w:color="auto"/>
              <w:right w:val="nil"/>
            </w:tcBorders>
            <w:shd w:val="clear" w:color="auto" w:fill="auto"/>
            <w:vAlign w:val="center"/>
            <w:hideMark/>
          </w:tcPr>
          <w:p w14:paraId="4AF2CF40"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28</w:t>
            </w:r>
          </w:p>
        </w:tc>
        <w:tc>
          <w:tcPr>
            <w:tcW w:w="1420" w:type="dxa"/>
            <w:tcBorders>
              <w:top w:val="nil"/>
              <w:left w:val="nil"/>
              <w:bottom w:val="single" w:sz="4" w:space="0" w:color="auto"/>
              <w:right w:val="nil"/>
            </w:tcBorders>
            <w:shd w:val="clear" w:color="auto" w:fill="auto"/>
            <w:vAlign w:val="center"/>
            <w:hideMark/>
          </w:tcPr>
          <w:p w14:paraId="6005B459"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27</w:t>
            </w:r>
          </w:p>
        </w:tc>
        <w:tc>
          <w:tcPr>
            <w:tcW w:w="1420" w:type="dxa"/>
            <w:tcBorders>
              <w:top w:val="nil"/>
              <w:left w:val="nil"/>
              <w:bottom w:val="single" w:sz="4" w:space="0" w:color="auto"/>
              <w:right w:val="nil"/>
            </w:tcBorders>
            <w:shd w:val="clear" w:color="auto" w:fill="auto"/>
            <w:vAlign w:val="center"/>
            <w:hideMark/>
          </w:tcPr>
          <w:p w14:paraId="55E49BF6"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9</w:t>
            </w:r>
          </w:p>
        </w:tc>
      </w:tr>
      <w:tr w:rsidR="00E9409C" w:rsidRPr="005C54B4" w14:paraId="0CDA6F13" w14:textId="77777777" w:rsidTr="004A5BF7">
        <w:trPr>
          <w:trHeight w:val="300"/>
          <w:jc w:val="center"/>
        </w:trPr>
        <w:tc>
          <w:tcPr>
            <w:tcW w:w="1840" w:type="dxa"/>
            <w:vMerge w:val="restart"/>
            <w:tcBorders>
              <w:top w:val="nil"/>
              <w:left w:val="nil"/>
              <w:bottom w:val="single" w:sz="4" w:space="0" w:color="000000"/>
              <w:right w:val="nil"/>
            </w:tcBorders>
            <w:shd w:val="clear" w:color="auto" w:fill="auto"/>
            <w:vAlign w:val="center"/>
            <w:hideMark/>
          </w:tcPr>
          <w:p w14:paraId="3D20640D"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Silica (mg/L)</w:t>
            </w:r>
          </w:p>
        </w:tc>
        <w:tc>
          <w:tcPr>
            <w:tcW w:w="820" w:type="dxa"/>
            <w:tcBorders>
              <w:top w:val="nil"/>
              <w:left w:val="nil"/>
              <w:bottom w:val="nil"/>
              <w:right w:val="nil"/>
            </w:tcBorders>
            <w:shd w:val="clear" w:color="auto" w:fill="auto"/>
            <w:vAlign w:val="center"/>
            <w:hideMark/>
          </w:tcPr>
          <w:p w14:paraId="1EAB158D"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Min.</w:t>
            </w:r>
          </w:p>
        </w:tc>
        <w:tc>
          <w:tcPr>
            <w:tcW w:w="1420" w:type="dxa"/>
            <w:tcBorders>
              <w:top w:val="nil"/>
              <w:left w:val="nil"/>
              <w:bottom w:val="nil"/>
              <w:right w:val="nil"/>
            </w:tcBorders>
            <w:shd w:val="clear" w:color="auto" w:fill="auto"/>
            <w:vAlign w:val="center"/>
            <w:hideMark/>
          </w:tcPr>
          <w:p w14:paraId="246678FF"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2.00</w:t>
            </w:r>
          </w:p>
        </w:tc>
        <w:tc>
          <w:tcPr>
            <w:tcW w:w="1420" w:type="dxa"/>
            <w:tcBorders>
              <w:top w:val="nil"/>
              <w:left w:val="nil"/>
              <w:bottom w:val="nil"/>
              <w:right w:val="nil"/>
            </w:tcBorders>
            <w:shd w:val="clear" w:color="auto" w:fill="auto"/>
            <w:vAlign w:val="center"/>
            <w:hideMark/>
          </w:tcPr>
          <w:p w14:paraId="0A3CA003"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2.00</w:t>
            </w:r>
          </w:p>
        </w:tc>
        <w:tc>
          <w:tcPr>
            <w:tcW w:w="1420" w:type="dxa"/>
            <w:tcBorders>
              <w:top w:val="nil"/>
              <w:left w:val="nil"/>
              <w:bottom w:val="nil"/>
              <w:right w:val="nil"/>
            </w:tcBorders>
            <w:shd w:val="clear" w:color="auto" w:fill="auto"/>
            <w:vAlign w:val="center"/>
            <w:hideMark/>
          </w:tcPr>
          <w:p w14:paraId="52D3509B"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1.00</w:t>
            </w:r>
          </w:p>
        </w:tc>
        <w:tc>
          <w:tcPr>
            <w:tcW w:w="1420" w:type="dxa"/>
            <w:tcBorders>
              <w:top w:val="nil"/>
              <w:left w:val="nil"/>
              <w:bottom w:val="nil"/>
              <w:right w:val="nil"/>
            </w:tcBorders>
            <w:shd w:val="clear" w:color="auto" w:fill="auto"/>
            <w:vAlign w:val="center"/>
            <w:hideMark/>
          </w:tcPr>
          <w:p w14:paraId="0FC82905"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1.00</w:t>
            </w:r>
          </w:p>
        </w:tc>
      </w:tr>
      <w:tr w:rsidR="00E9409C" w:rsidRPr="005C54B4" w14:paraId="1435E92F" w14:textId="77777777" w:rsidTr="004A5BF7">
        <w:trPr>
          <w:trHeight w:val="300"/>
          <w:jc w:val="center"/>
        </w:trPr>
        <w:tc>
          <w:tcPr>
            <w:tcW w:w="1840" w:type="dxa"/>
            <w:vMerge/>
            <w:tcBorders>
              <w:top w:val="nil"/>
              <w:left w:val="nil"/>
              <w:bottom w:val="single" w:sz="4" w:space="0" w:color="000000"/>
              <w:right w:val="nil"/>
            </w:tcBorders>
            <w:vAlign w:val="center"/>
            <w:hideMark/>
          </w:tcPr>
          <w:p w14:paraId="32E3DF9B"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6B05FD85"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Max.</w:t>
            </w:r>
          </w:p>
        </w:tc>
        <w:tc>
          <w:tcPr>
            <w:tcW w:w="1420" w:type="dxa"/>
            <w:tcBorders>
              <w:top w:val="nil"/>
              <w:left w:val="nil"/>
              <w:bottom w:val="nil"/>
              <w:right w:val="nil"/>
            </w:tcBorders>
            <w:shd w:val="clear" w:color="auto" w:fill="auto"/>
            <w:vAlign w:val="center"/>
            <w:hideMark/>
          </w:tcPr>
          <w:p w14:paraId="5FDBCAB4"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160.00</w:t>
            </w:r>
          </w:p>
        </w:tc>
        <w:tc>
          <w:tcPr>
            <w:tcW w:w="1420" w:type="dxa"/>
            <w:tcBorders>
              <w:top w:val="nil"/>
              <w:left w:val="nil"/>
              <w:bottom w:val="nil"/>
              <w:right w:val="nil"/>
            </w:tcBorders>
            <w:shd w:val="clear" w:color="auto" w:fill="auto"/>
            <w:vAlign w:val="center"/>
            <w:hideMark/>
          </w:tcPr>
          <w:p w14:paraId="0DFC511B"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213.00</w:t>
            </w:r>
          </w:p>
        </w:tc>
        <w:tc>
          <w:tcPr>
            <w:tcW w:w="1420" w:type="dxa"/>
            <w:tcBorders>
              <w:top w:val="nil"/>
              <w:left w:val="nil"/>
              <w:bottom w:val="nil"/>
              <w:right w:val="nil"/>
            </w:tcBorders>
            <w:shd w:val="clear" w:color="auto" w:fill="auto"/>
            <w:vAlign w:val="center"/>
            <w:hideMark/>
          </w:tcPr>
          <w:p w14:paraId="23C03A00"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16.00</w:t>
            </w:r>
          </w:p>
        </w:tc>
        <w:tc>
          <w:tcPr>
            <w:tcW w:w="1420" w:type="dxa"/>
            <w:tcBorders>
              <w:top w:val="nil"/>
              <w:left w:val="nil"/>
              <w:bottom w:val="nil"/>
              <w:right w:val="nil"/>
            </w:tcBorders>
            <w:shd w:val="clear" w:color="auto" w:fill="auto"/>
            <w:vAlign w:val="center"/>
            <w:hideMark/>
          </w:tcPr>
          <w:p w14:paraId="207DC687"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8.00</w:t>
            </w:r>
          </w:p>
        </w:tc>
      </w:tr>
      <w:tr w:rsidR="00E9409C" w:rsidRPr="005C54B4" w14:paraId="2812D9CA" w14:textId="77777777" w:rsidTr="004A5BF7">
        <w:trPr>
          <w:trHeight w:val="300"/>
          <w:jc w:val="center"/>
        </w:trPr>
        <w:tc>
          <w:tcPr>
            <w:tcW w:w="1840" w:type="dxa"/>
            <w:vMerge/>
            <w:tcBorders>
              <w:top w:val="nil"/>
              <w:left w:val="nil"/>
              <w:bottom w:val="single" w:sz="4" w:space="0" w:color="000000"/>
              <w:right w:val="nil"/>
            </w:tcBorders>
            <w:vAlign w:val="center"/>
            <w:hideMark/>
          </w:tcPr>
          <w:p w14:paraId="733F7621"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64A3C9D2"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Mean</w:t>
            </w:r>
          </w:p>
        </w:tc>
        <w:tc>
          <w:tcPr>
            <w:tcW w:w="1420" w:type="dxa"/>
            <w:tcBorders>
              <w:top w:val="nil"/>
              <w:left w:val="nil"/>
              <w:bottom w:val="nil"/>
              <w:right w:val="nil"/>
            </w:tcBorders>
            <w:shd w:val="clear" w:color="auto" w:fill="auto"/>
            <w:vAlign w:val="center"/>
            <w:hideMark/>
          </w:tcPr>
          <w:p w14:paraId="7A82649D"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35.41</w:t>
            </w:r>
          </w:p>
        </w:tc>
        <w:tc>
          <w:tcPr>
            <w:tcW w:w="1420" w:type="dxa"/>
            <w:tcBorders>
              <w:top w:val="nil"/>
              <w:left w:val="nil"/>
              <w:bottom w:val="nil"/>
              <w:right w:val="nil"/>
            </w:tcBorders>
            <w:shd w:val="clear" w:color="auto" w:fill="auto"/>
            <w:vAlign w:val="center"/>
            <w:hideMark/>
          </w:tcPr>
          <w:p w14:paraId="775AC761"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24.79</w:t>
            </w:r>
          </w:p>
        </w:tc>
        <w:tc>
          <w:tcPr>
            <w:tcW w:w="1420" w:type="dxa"/>
            <w:tcBorders>
              <w:top w:val="nil"/>
              <w:left w:val="nil"/>
              <w:bottom w:val="nil"/>
              <w:right w:val="nil"/>
            </w:tcBorders>
            <w:shd w:val="clear" w:color="auto" w:fill="auto"/>
            <w:vAlign w:val="center"/>
            <w:hideMark/>
          </w:tcPr>
          <w:p w14:paraId="709FC740"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5.59</w:t>
            </w:r>
          </w:p>
        </w:tc>
        <w:tc>
          <w:tcPr>
            <w:tcW w:w="1420" w:type="dxa"/>
            <w:tcBorders>
              <w:top w:val="nil"/>
              <w:left w:val="nil"/>
              <w:bottom w:val="nil"/>
              <w:right w:val="nil"/>
            </w:tcBorders>
            <w:shd w:val="clear" w:color="auto" w:fill="auto"/>
            <w:vAlign w:val="center"/>
            <w:hideMark/>
          </w:tcPr>
          <w:p w14:paraId="3CABDB8F"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4.22</w:t>
            </w:r>
          </w:p>
        </w:tc>
      </w:tr>
      <w:tr w:rsidR="00E9409C" w:rsidRPr="005C54B4" w14:paraId="73D7FE44" w14:textId="77777777" w:rsidTr="004A5BF7">
        <w:trPr>
          <w:trHeight w:val="300"/>
          <w:jc w:val="center"/>
        </w:trPr>
        <w:tc>
          <w:tcPr>
            <w:tcW w:w="1840" w:type="dxa"/>
            <w:vMerge/>
            <w:tcBorders>
              <w:top w:val="nil"/>
              <w:left w:val="nil"/>
              <w:bottom w:val="single" w:sz="4" w:space="0" w:color="000000"/>
              <w:right w:val="nil"/>
            </w:tcBorders>
            <w:vAlign w:val="center"/>
            <w:hideMark/>
          </w:tcPr>
          <w:p w14:paraId="7639CFE1"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22E8DF1B"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Median</w:t>
            </w:r>
          </w:p>
        </w:tc>
        <w:tc>
          <w:tcPr>
            <w:tcW w:w="1420" w:type="dxa"/>
            <w:tcBorders>
              <w:top w:val="nil"/>
              <w:left w:val="nil"/>
              <w:bottom w:val="nil"/>
              <w:right w:val="nil"/>
            </w:tcBorders>
            <w:shd w:val="clear" w:color="auto" w:fill="auto"/>
            <w:vAlign w:val="center"/>
            <w:hideMark/>
          </w:tcPr>
          <w:p w14:paraId="5AC3C5BB"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5.50</w:t>
            </w:r>
          </w:p>
        </w:tc>
        <w:tc>
          <w:tcPr>
            <w:tcW w:w="1420" w:type="dxa"/>
            <w:tcBorders>
              <w:top w:val="nil"/>
              <w:left w:val="nil"/>
              <w:bottom w:val="nil"/>
              <w:right w:val="nil"/>
            </w:tcBorders>
            <w:shd w:val="clear" w:color="auto" w:fill="auto"/>
            <w:vAlign w:val="center"/>
            <w:hideMark/>
          </w:tcPr>
          <w:p w14:paraId="2385763F"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8.00</w:t>
            </w:r>
          </w:p>
        </w:tc>
        <w:tc>
          <w:tcPr>
            <w:tcW w:w="1420" w:type="dxa"/>
            <w:tcBorders>
              <w:top w:val="nil"/>
              <w:left w:val="nil"/>
              <w:bottom w:val="nil"/>
              <w:right w:val="nil"/>
            </w:tcBorders>
            <w:shd w:val="clear" w:color="auto" w:fill="auto"/>
            <w:vAlign w:val="center"/>
            <w:hideMark/>
          </w:tcPr>
          <w:p w14:paraId="52160429"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5.00</w:t>
            </w:r>
          </w:p>
        </w:tc>
        <w:tc>
          <w:tcPr>
            <w:tcW w:w="1420" w:type="dxa"/>
            <w:tcBorders>
              <w:top w:val="nil"/>
              <w:left w:val="nil"/>
              <w:bottom w:val="nil"/>
              <w:right w:val="nil"/>
            </w:tcBorders>
            <w:shd w:val="clear" w:color="auto" w:fill="auto"/>
            <w:vAlign w:val="center"/>
            <w:hideMark/>
          </w:tcPr>
          <w:p w14:paraId="31AA785B"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4.00</w:t>
            </w:r>
          </w:p>
        </w:tc>
      </w:tr>
      <w:tr w:rsidR="00E9409C" w:rsidRPr="005C54B4" w14:paraId="459EDF92" w14:textId="77777777" w:rsidTr="004A5BF7">
        <w:trPr>
          <w:trHeight w:val="300"/>
          <w:jc w:val="center"/>
        </w:trPr>
        <w:tc>
          <w:tcPr>
            <w:tcW w:w="1840" w:type="dxa"/>
            <w:vMerge/>
            <w:tcBorders>
              <w:top w:val="nil"/>
              <w:left w:val="nil"/>
              <w:bottom w:val="single" w:sz="4" w:space="0" w:color="000000"/>
              <w:right w:val="nil"/>
            </w:tcBorders>
            <w:vAlign w:val="center"/>
            <w:hideMark/>
          </w:tcPr>
          <w:p w14:paraId="40427449"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nil"/>
              <w:right w:val="nil"/>
            </w:tcBorders>
            <w:shd w:val="clear" w:color="auto" w:fill="auto"/>
            <w:vAlign w:val="center"/>
            <w:hideMark/>
          </w:tcPr>
          <w:p w14:paraId="5073D87B"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SD</w:t>
            </w:r>
          </w:p>
        </w:tc>
        <w:tc>
          <w:tcPr>
            <w:tcW w:w="1420" w:type="dxa"/>
            <w:tcBorders>
              <w:top w:val="nil"/>
              <w:left w:val="nil"/>
              <w:bottom w:val="nil"/>
              <w:right w:val="nil"/>
            </w:tcBorders>
            <w:shd w:val="clear" w:color="auto" w:fill="auto"/>
            <w:vAlign w:val="center"/>
            <w:hideMark/>
          </w:tcPr>
          <w:p w14:paraId="0744B6DC"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55.43</w:t>
            </w:r>
          </w:p>
        </w:tc>
        <w:tc>
          <w:tcPr>
            <w:tcW w:w="1420" w:type="dxa"/>
            <w:tcBorders>
              <w:top w:val="nil"/>
              <w:left w:val="nil"/>
              <w:bottom w:val="nil"/>
              <w:right w:val="nil"/>
            </w:tcBorders>
            <w:shd w:val="clear" w:color="auto" w:fill="auto"/>
            <w:vAlign w:val="center"/>
            <w:hideMark/>
          </w:tcPr>
          <w:p w14:paraId="7227D708"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48.78</w:t>
            </w:r>
          </w:p>
        </w:tc>
        <w:tc>
          <w:tcPr>
            <w:tcW w:w="1420" w:type="dxa"/>
            <w:tcBorders>
              <w:top w:val="nil"/>
              <w:left w:val="nil"/>
              <w:bottom w:val="nil"/>
              <w:right w:val="nil"/>
            </w:tcBorders>
            <w:shd w:val="clear" w:color="auto" w:fill="auto"/>
            <w:vAlign w:val="center"/>
            <w:hideMark/>
          </w:tcPr>
          <w:p w14:paraId="7D714830"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2.94</w:t>
            </w:r>
          </w:p>
        </w:tc>
        <w:tc>
          <w:tcPr>
            <w:tcW w:w="1420" w:type="dxa"/>
            <w:tcBorders>
              <w:top w:val="nil"/>
              <w:left w:val="nil"/>
              <w:bottom w:val="nil"/>
              <w:right w:val="nil"/>
            </w:tcBorders>
            <w:shd w:val="clear" w:color="auto" w:fill="auto"/>
            <w:vAlign w:val="center"/>
            <w:hideMark/>
          </w:tcPr>
          <w:p w14:paraId="7DEB440F"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1.99</w:t>
            </w:r>
          </w:p>
        </w:tc>
      </w:tr>
      <w:tr w:rsidR="00E9409C" w:rsidRPr="005C54B4" w14:paraId="289F16E5" w14:textId="77777777" w:rsidTr="004A5BF7">
        <w:trPr>
          <w:trHeight w:val="300"/>
          <w:jc w:val="center"/>
        </w:trPr>
        <w:tc>
          <w:tcPr>
            <w:tcW w:w="1840" w:type="dxa"/>
            <w:vMerge/>
            <w:tcBorders>
              <w:top w:val="nil"/>
              <w:left w:val="nil"/>
              <w:bottom w:val="single" w:sz="4" w:space="0" w:color="000000"/>
              <w:right w:val="nil"/>
            </w:tcBorders>
            <w:vAlign w:val="center"/>
            <w:hideMark/>
          </w:tcPr>
          <w:p w14:paraId="7AF3C212" w14:textId="77777777" w:rsidR="00E9409C" w:rsidRPr="004A5BF7" w:rsidRDefault="00E9409C" w:rsidP="005C54B4">
            <w:pPr>
              <w:spacing w:before="0" w:after="0"/>
              <w:jc w:val="left"/>
              <w:rPr>
                <w:rFonts w:cs="Arial"/>
                <w:color w:val="000000"/>
                <w:sz w:val="18"/>
                <w:szCs w:val="18"/>
                <w:lang w:val="en-AU" w:eastAsia="en-AU"/>
              </w:rPr>
            </w:pPr>
          </w:p>
        </w:tc>
        <w:tc>
          <w:tcPr>
            <w:tcW w:w="820" w:type="dxa"/>
            <w:tcBorders>
              <w:top w:val="nil"/>
              <w:left w:val="nil"/>
              <w:bottom w:val="single" w:sz="4" w:space="0" w:color="auto"/>
              <w:right w:val="nil"/>
            </w:tcBorders>
            <w:shd w:val="clear" w:color="auto" w:fill="auto"/>
            <w:vAlign w:val="center"/>
            <w:hideMark/>
          </w:tcPr>
          <w:p w14:paraId="74692B2A" w14:textId="77777777" w:rsidR="00E9409C" w:rsidRPr="004A5BF7" w:rsidRDefault="00E9409C" w:rsidP="005C54B4">
            <w:pPr>
              <w:spacing w:before="0" w:after="0"/>
              <w:jc w:val="left"/>
              <w:rPr>
                <w:rFonts w:cs="Arial"/>
                <w:color w:val="000000"/>
                <w:sz w:val="18"/>
                <w:szCs w:val="18"/>
                <w:lang w:val="en-AU" w:eastAsia="en-AU"/>
              </w:rPr>
            </w:pPr>
            <w:r w:rsidRPr="004A5BF7">
              <w:rPr>
                <w:rFonts w:cs="Arial"/>
                <w:color w:val="000000"/>
                <w:sz w:val="18"/>
                <w:szCs w:val="18"/>
                <w:lang w:val="en-AU" w:eastAsia="en-AU"/>
              </w:rPr>
              <w:t>Count</w:t>
            </w:r>
          </w:p>
        </w:tc>
        <w:tc>
          <w:tcPr>
            <w:tcW w:w="1420" w:type="dxa"/>
            <w:tcBorders>
              <w:top w:val="nil"/>
              <w:left w:val="nil"/>
              <w:bottom w:val="single" w:sz="4" w:space="0" w:color="auto"/>
              <w:right w:val="nil"/>
            </w:tcBorders>
            <w:shd w:val="clear" w:color="auto" w:fill="auto"/>
            <w:vAlign w:val="center"/>
            <w:hideMark/>
          </w:tcPr>
          <w:p w14:paraId="01A9E991"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22</w:t>
            </w:r>
          </w:p>
        </w:tc>
        <w:tc>
          <w:tcPr>
            <w:tcW w:w="1420" w:type="dxa"/>
            <w:tcBorders>
              <w:top w:val="nil"/>
              <w:left w:val="nil"/>
              <w:bottom w:val="single" w:sz="4" w:space="0" w:color="auto"/>
              <w:right w:val="nil"/>
            </w:tcBorders>
            <w:shd w:val="clear" w:color="auto" w:fill="auto"/>
            <w:vAlign w:val="center"/>
            <w:hideMark/>
          </w:tcPr>
          <w:p w14:paraId="6E72042A"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29</w:t>
            </w:r>
          </w:p>
        </w:tc>
        <w:tc>
          <w:tcPr>
            <w:tcW w:w="1420" w:type="dxa"/>
            <w:tcBorders>
              <w:top w:val="nil"/>
              <w:left w:val="nil"/>
              <w:bottom w:val="single" w:sz="4" w:space="0" w:color="auto"/>
              <w:right w:val="nil"/>
            </w:tcBorders>
            <w:shd w:val="clear" w:color="auto" w:fill="auto"/>
            <w:vAlign w:val="center"/>
            <w:hideMark/>
          </w:tcPr>
          <w:p w14:paraId="2716AAB5"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27</w:t>
            </w:r>
          </w:p>
        </w:tc>
        <w:tc>
          <w:tcPr>
            <w:tcW w:w="1420" w:type="dxa"/>
            <w:tcBorders>
              <w:top w:val="nil"/>
              <w:left w:val="nil"/>
              <w:bottom w:val="single" w:sz="4" w:space="0" w:color="auto"/>
              <w:right w:val="nil"/>
            </w:tcBorders>
            <w:shd w:val="clear" w:color="auto" w:fill="auto"/>
            <w:vAlign w:val="center"/>
            <w:hideMark/>
          </w:tcPr>
          <w:p w14:paraId="2B9FB2E7" w14:textId="77777777" w:rsidR="00E9409C" w:rsidRPr="004A5BF7" w:rsidRDefault="00E9409C" w:rsidP="004A5BF7">
            <w:pPr>
              <w:spacing w:before="0" w:after="0"/>
              <w:jc w:val="center"/>
              <w:rPr>
                <w:rFonts w:cs="Arial"/>
                <w:color w:val="000000"/>
                <w:sz w:val="18"/>
                <w:szCs w:val="18"/>
                <w:lang w:val="en-AU" w:eastAsia="en-AU"/>
              </w:rPr>
            </w:pPr>
            <w:r w:rsidRPr="004A5BF7">
              <w:rPr>
                <w:rFonts w:cs="Arial"/>
                <w:color w:val="000000"/>
                <w:sz w:val="18"/>
                <w:szCs w:val="18"/>
                <w:lang w:val="en-AU" w:eastAsia="en-AU"/>
              </w:rPr>
              <w:t>9</w:t>
            </w:r>
          </w:p>
        </w:tc>
      </w:tr>
    </w:tbl>
    <w:p w14:paraId="7E7424A9" w14:textId="77777777" w:rsidR="00E9409C" w:rsidRDefault="00E9409C">
      <w:pPr>
        <w:spacing w:before="0" w:after="0"/>
        <w:jc w:val="left"/>
        <w:rPr>
          <w:rStyle w:val="IntenseReference"/>
          <w:color w:val="auto"/>
          <w:lang w:val="en-AU"/>
        </w:rPr>
      </w:pPr>
    </w:p>
    <w:p w14:paraId="5DB3B3EF" w14:textId="77777777" w:rsidR="00E9409C" w:rsidRDefault="00E9409C">
      <w:pPr>
        <w:spacing w:before="0" w:after="0"/>
        <w:jc w:val="left"/>
        <w:rPr>
          <w:rStyle w:val="IntenseReference"/>
          <w:color w:val="auto"/>
          <w:lang w:val="en-AU"/>
        </w:rPr>
      </w:pPr>
    </w:p>
    <w:p w14:paraId="7FD1CAEA" w14:textId="77777777" w:rsidR="00E9409C" w:rsidRDefault="00E9409C">
      <w:pPr>
        <w:spacing w:before="0" w:after="0"/>
        <w:jc w:val="left"/>
        <w:rPr>
          <w:rStyle w:val="IntenseReference"/>
          <w:color w:val="auto"/>
          <w:lang w:val="en-AU"/>
        </w:rPr>
      </w:pPr>
    </w:p>
    <w:p w14:paraId="4241FFD2" w14:textId="77777777" w:rsidR="00E9409C" w:rsidRDefault="00E9409C">
      <w:pPr>
        <w:spacing w:before="0" w:after="0"/>
        <w:jc w:val="left"/>
        <w:rPr>
          <w:rStyle w:val="IntenseReference"/>
          <w:color w:val="auto"/>
          <w:lang w:val="en-AU"/>
        </w:rPr>
        <w:sectPr w:rsidR="00E9409C" w:rsidSect="00B7431E">
          <w:pgSz w:w="11907" w:h="16840" w:code="9"/>
          <w:pgMar w:top="1440" w:right="1134" w:bottom="1440" w:left="1134" w:header="709" w:footer="709" w:gutter="0"/>
          <w:cols w:space="708"/>
          <w:docGrid w:linePitch="360"/>
        </w:sectPr>
      </w:pPr>
    </w:p>
    <w:p w14:paraId="5F231059" w14:textId="3C199AD1" w:rsidR="00F541AA" w:rsidRPr="008467AA" w:rsidRDefault="00F541AA" w:rsidP="00164E5E">
      <w:pPr>
        <w:pStyle w:val="Caption"/>
      </w:pPr>
    </w:p>
    <w:p w14:paraId="5F23105B" w14:textId="2570363A" w:rsidR="004F7AEA" w:rsidRPr="004F7AEA" w:rsidRDefault="00725F21" w:rsidP="00164E5E">
      <w:pPr>
        <w:pStyle w:val="Caption"/>
        <w:rPr>
          <w:vanish/>
        </w:rPr>
      </w:pPr>
      <w:bookmarkStart w:id="1637" w:name="_Toc459332210"/>
      <w:bookmarkStart w:id="1638" w:name="_Toc374701576"/>
      <w:bookmarkStart w:id="1639" w:name="_Toc405989128"/>
      <w:r>
        <w:t xml:space="preserve">Table A2 </w:t>
      </w:r>
      <w:r w:rsidR="00EB33A6">
        <w:fldChar w:fldCharType="begin"/>
      </w:r>
      <w:r w:rsidR="00D8225E">
        <w:instrText xml:space="preserve"> SEQ Table_A2 \* ARABIC </w:instrText>
      </w:r>
      <w:r w:rsidR="00EB33A6">
        <w:fldChar w:fldCharType="separate"/>
      </w:r>
      <w:r w:rsidR="007F5336">
        <w:rPr>
          <w:noProof/>
        </w:rPr>
        <w:t>6</w:t>
      </w:r>
      <w:r w:rsidR="00EB33A6">
        <w:rPr>
          <w:noProof/>
        </w:rPr>
        <w:fldChar w:fldCharType="end"/>
      </w:r>
      <w:r w:rsidR="004F7AEA">
        <w:t xml:space="preserve">: </w:t>
      </w:r>
      <w:r w:rsidR="000F3970" w:rsidRPr="000F3970">
        <w:t xml:space="preserve">Interim water quality index for each </w:t>
      </w:r>
      <w:r w:rsidR="004F7AEA">
        <w:t>water quality sampling location</w:t>
      </w:r>
      <w:r w:rsidR="00AF0A5D">
        <w:t>, calculated using AIMS wet and dry season samples.</w:t>
      </w:r>
      <w:bookmarkEnd w:id="1637"/>
    </w:p>
    <w:p w14:paraId="5F23105C" w14:textId="77777777" w:rsidR="000F3970" w:rsidRPr="004F7AEA" w:rsidRDefault="000F3970" w:rsidP="00164E5E">
      <w:pPr>
        <w:pStyle w:val="Caption"/>
        <w:rPr>
          <w:rStyle w:val="IntenseReference"/>
        </w:rPr>
      </w:pPr>
      <w:r w:rsidRPr="004F7AEA">
        <w:rPr>
          <w:rStyle w:val="IntenseReference"/>
        </w:rPr>
        <w:t xml:space="preserve"> Summary of four-year running means and calculation of the index. See Section 2.2 for details on index calculation. Data range = from start of the program (2005 for direct water sampling data or 2007 for water quality instruments) to September of each respective year (June for 2015). Red shaded cells are running means that did not comply with the GBRMPA Water Quality Guidelines for the Great Barrier Reef Marine Park and Queensland guideline values (DERM 2009, GBRMPA 2010). Values that did not comply with the Guidelines received a score of “1”; those that did comply were scored as “0”. The scores for suspended solids, turbidity and Secchi depth were averaged for a “combined turbidity score”. The sum of these combined scores and the scores for PN, PP and chlorophyll yielded a total score per site. This total score was converted into a percentage rating and colour-coded (see Section 2.2. for details). Empty cells indicate data not available</w:t>
      </w:r>
    </w:p>
    <w:tbl>
      <w:tblPr>
        <w:tblW w:w="0" w:type="auto"/>
        <w:tblLook w:val="04A0" w:firstRow="1" w:lastRow="0" w:firstColumn="1" w:lastColumn="0" w:noHBand="0" w:noVBand="1"/>
      </w:tblPr>
      <w:tblGrid>
        <w:gridCol w:w="1417"/>
        <w:gridCol w:w="1048"/>
        <w:gridCol w:w="576"/>
        <w:gridCol w:w="528"/>
        <w:gridCol w:w="528"/>
        <w:gridCol w:w="630"/>
        <w:gridCol w:w="528"/>
        <w:gridCol w:w="737"/>
        <w:gridCol w:w="870"/>
        <w:gridCol w:w="581"/>
        <w:gridCol w:w="581"/>
        <w:gridCol w:w="581"/>
        <w:gridCol w:w="630"/>
        <w:gridCol w:w="581"/>
        <w:gridCol w:w="737"/>
        <w:gridCol w:w="870"/>
        <w:gridCol w:w="1644"/>
        <w:gridCol w:w="1048"/>
        <w:gridCol w:w="1181"/>
      </w:tblGrid>
      <w:tr w:rsidR="007D7C41" w:rsidRPr="00211A02" w14:paraId="5F231064" w14:textId="77777777" w:rsidTr="00211A02">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105D" w14:textId="77777777" w:rsidR="007D7C41" w:rsidRPr="00211A02" w:rsidRDefault="007D7C41" w:rsidP="00211A02">
            <w:pPr>
              <w:spacing w:before="0" w:after="0"/>
              <w:ind w:left="20" w:right="20"/>
              <w:jc w:val="center"/>
              <w:rPr>
                <w:rFonts w:cs="Arial"/>
                <w:sz w:val="16"/>
                <w:szCs w:val="16"/>
              </w:rPr>
            </w:pPr>
            <w:bookmarkStart w:id="1640" w:name="_Toc434607190"/>
            <w:bookmarkEnd w:id="1633"/>
            <w:bookmarkEnd w:id="1634"/>
            <w:bookmarkEnd w:id="1638"/>
            <w:bookmarkEnd w:id="1639"/>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105E" w14:textId="77777777" w:rsidR="007D7C41" w:rsidRPr="00211A02" w:rsidRDefault="007D7C41" w:rsidP="00211A02">
            <w:pPr>
              <w:spacing w:before="0" w:after="0"/>
              <w:ind w:left="20" w:right="20"/>
              <w:jc w:val="center"/>
              <w:rPr>
                <w:rFonts w:cs="Arial"/>
                <w:sz w:val="16"/>
                <w:szCs w:val="16"/>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105F" w14:textId="77777777" w:rsidR="007D7C41" w:rsidRPr="00211A02" w:rsidRDefault="007D7C41" w:rsidP="00211A02">
            <w:pPr>
              <w:spacing w:before="0" w:after="0"/>
              <w:ind w:left="20" w:right="20"/>
              <w:jc w:val="center"/>
              <w:rPr>
                <w:rFonts w:cs="Arial"/>
                <w:sz w:val="16"/>
                <w:szCs w:val="16"/>
              </w:rPr>
            </w:pPr>
            <w:r w:rsidRPr="00211A02">
              <w:rPr>
                <w:rFonts w:cs="Arial"/>
                <w:color w:val="000000"/>
                <w:sz w:val="16"/>
                <w:szCs w:val="16"/>
              </w:rPr>
              <w:t>Depth-weighted means</w:t>
            </w: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1060" w14:textId="77777777" w:rsidR="007D7C41" w:rsidRPr="00211A02" w:rsidRDefault="007D7C41" w:rsidP="00211A02">
            <w:pPr>
              <w:spacing w:before="0" w:after="0"/>
              <w:ind w:left="20" w:right="20"/>
              <w:jc w:val="center"/>
              <w:rPr>
                <w:rFonts w:cs="Arial"/>
                <w:sz w:val="16"/>
                <w:szCs w:val="16"/>
              </w:rPr>
            </w:pPr>
            <w:r w:rsidRPr="00211A02">
              <w:rPr>
                <w:rFonts w:cs="Arial"/>
                <w:color w:val="000000"/>
                <w:sz w:val="16"/>
                <w:szCs w:val="16"/>
              </w:rPr>
              <w:t>Indicator scores</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1061" w14:textId="77777777" w:rsidR="007D7C41" w:rsidRPr="00211A02" w:rsidRDefault="007D7C41" w:rsidP="00211A02">
            <w:pPr>
              <w:spacing w:before="0" w:after="0"/>
              <w:ind w:left="20" w:right="2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1062" w14:textId="77777777" w:rsidR="007D7C41" w:rsidRPr="00211A02" w:rsidRDefault="007D7C41" w:rsidP="00211A02">
            <w:pPr>
              <w:spacing w:before="0" w:after="0"/>
              <w:ind w:left="20" w:right="2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1063" w14:textId="77777777" w:rsidR="007D7C41" w:rsidRPr="00211A02" w:rsidRDefault="007D7C41" w:rsidP="00211A02">
            <w:pPr>
              <w:spacing w:before="0" w:after="0"/>
              <w:ind w:left="20" w:right="20"/>
              <w:jc w:val="center"/>
              <w:rPr>
                <w:rFonts w:cs="Arial"/>
                <w:sz w:val="16"/>
                <w:szCs w:val="16"/>
              </w:rPr>
            </w:pPr>
          </w:p>
        </w:tc>
      </w:tr>
      <w:tr w:rsidR="007D7C41" w:rsidRPr="00211A02" w14:paraId="5F231078" w14:textId="77777777" w:rsidTr="00211A02">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1065" w14:textId="77777777" w:rsidR="007D7C41" w:rsidRPr="00211A02" w:rsidRDefault="007D7C41" w:rsidP="00211A02">
            <w:pPr>
              <w:spacing w:before="0" w:after="0"/>
              <w:ind w:left="20" w:right="20"/>
              <w:jc w:val="center"/>
              <w:rPr>
                <w:rFonts w:cs="Arial"/>
                <w:sz w:val="16"/>
                <w:szCs w:val="16"/>
              </w:rPr>
            </w:pPr>
            <w:r w:rsidRPr="00211A02">
              <w:rPr>
                <w:rFonts w:cs="Arial"/>
                <w:color w:val="000000"/>
                <w:sz w:val="16"/>
                <w:szCs w:val="16"/>
              </w:rPr>
              <w:t>Reef</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1066" w14:textId="77777777" w:rsidR="007D7C41" w:rsidRPr="00211A02" w:rsidRDefault="007D7C41" w:rsidP="00211A02">
            <w:pPr>
              <w:spacing w:before="0" w:after="0"/>
              <w:ind w:left="20" w:right="20"/>
              <w:jc w:val="center"/>
              <w:rPr>
                <w:rFonts w:cs="Arial"/>
                <w:sz w:val="16"/>
                <w:szCs w:val="16"/>
              </w:rPr>
            </w:pPr>
            <w:r w:rsidRPr="00211A02">
              <w:rPr>
                <w:rFonts w:cs="Arial"/>
                <w:color w:val="000000"/>
                <w:sz w:val="16"/>
                <w:szCs w:val="16"/>
              </w:rPr>
              <w:t>Date range</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1067" w14:textId="77777777" w:rsidR="007D7C41" w:rsidRPr="00211A02" w:rsidRDefault="007D7C41" w:rsidP="00211A02">
            <w:pPr>
              <w:spacing w:before="0" w:after="0"/>
              <w:ind w:left="20" w:right="20"/>
              <w:jc w:val="center"/>
              <w:rPr>
                <w:rFonts w:cs="Arial"/>
                <w:sz w:val="16"/>
                <w:szCs w:val="16"/>
              </w:rPr>
            </w:pPr>
            <w:r w:rsidRPr="00211A02">
              <w:rPr>
                <w:rFonts w:cs="Arial"/>
                <w:color w:val="000000"/>
                <w:sz w:val="16"/>
                <w:szCs w:val="16"/>
              </w:rPr>
              <w:t>NOx</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1068" w14:textId="77777777" w:rsidR="007D7C41" w:rsidRPr="00211A02" w:rsidRDefault="007D7C41" w:rsidP="00211A02">
            <w:pPr>
              <w:spacing w:before="0" w:after="0"/>
              <w:ind w:left="20" w:right="20"/>
              <w:jc w:val="center"/>
              <w:rPr>
                <w:rFonts w:cs="Arial"/>
                <w:sz w:val="16"/>
                <w:szCs w:val="16"/>
              </w:rPr>
            </w:pPr>
            <w:r w:rsidRPr="00211A02">
              <w:rPr>
                <w:rFonts w:cs="Arial"/>
                <w:color w:val="000000"/>
                <w:sz w:val="16"/>
                <w:szCs w:val="16"/>
              </w:rPr>
              <w:t>PN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1069" w14:textId="77777777" w:rsidR="007D7C41" w:rsidRPr="00211A02" w:rsidRDefault="007D7C41" w:rsidP="00211A02">
            <w:pPr>
              <w:spacing w:before="0" w:after="0"/>
              <w:ind w:left="20" w:right="20"/>
              <w:jc w:val="center"/>
              <w:rPr>
                <w:rFonts w:cs="Arial"/>
                <w:sz w:val="16"/>
                <w:szCs w:val="16"/>
              </w:rPr>
            </w:pPr>
            <w:r w:rsidRPr="00211A02">
              <w:rPr>
                <w:rFonts w:cs="Arial"/>
                <w:color w:val="000000"/>
                <w:sz w:val="16"/>
                <w:szCs w:val="16"/>
              </w:rPr>
              <w:t>PP</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106A" w14:textId="77777777" w:rsidR="007D7C41" w:rsidRPr="00211A02" w:rsidRDefault="007D7C41" w:rsidP="00211A02">
            <w:pPr>
              <w:spacing w:before="0" w:after="0"/>
              <w:ind w:left="20" w:right="20"/>
              <w:jc w:val="center"/>
              <w:rPr>
                <w:rFonts w:cs="Arial"/>
                <w:sz w:val="16"/>
                <w:szCs w:val="16"/>
              </w:rPr>
            </w:pPr>
            <w:r w:rsidRPr="00211A02">
              <w:rPr>
                <w:rFonts w:cs="Arial"/>
                <w:color w:val="000000"/>
                <w:sz w:val="16"/>
                <w:szCs w:val="16"/>
              </w:rPr>
              <w:t>Chl a</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106B" w14:textId="77777777" w:rsidR="007D7C41" w:rsidRPr="00211A02" w:rsidRDefault="007D7C41" w:rsidP="00211A02">
            <w:pPr>
              <w:spacing w:before="0" w:after="0"/>
              <w:ind w:left="20" w:right="20"/>
              <w:jc w:val="center"/>
              <w:rPr>
                <w:rFonts w:cs="Arial"/>
                <w:sz w:val="16"/>
                <w:szCs w:val="16"/>
              </w:rPr>
            </w:pPr>
            <w:r w:rsidRPr="00211A02">
              <w:rPr>
                <w:rFonts w:cs="Arial"/>
                <w:color w:val="000000"/>
                <w:sz w:val="16"/>
                <w:szCs w:val="16"/>
              </w:rPr>
              <w:t>SS</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106C" w14:textId="77777777" w:rsidR="007D7C41" w:rsidRPr="00211A02" w:rsidRDefault="007D7C41" w:rsidP="00211A02">
            <w:pPr>
              <w:spacing w:before="0" w:after="0"/>
              <w:ind w:left="20" w:right="20"/>
              <w:jc w:val="center"/>
              <w:rPr>
                <w:rFonts w:cs="Arial"/>
                <w:sz w:val="16"/>
                <w:szCs w:val="16"/>
              </w:rPr>
            </w:pPr>
            <w:r w:rsidRPr="00211A02">
              <w:rPr>
                <w:rFonts w:cs="Arial"/>
                <w:color w:val="000000"/>
                <w:sz w:val="16"/>
                <w:szCs w:val="16"/>
              </w:rPr>
              <w:t>Secchi</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106D" w14:textId="77777777" w:rsidR="007D7C41" w:rsidRPr="00211A02" w:rsidRDefault="007D7C41" w:rsidP="00211A02">
            <w:pPr>
              <w:spacing w:before="0" w:after="0"/>
              <w:ind w:left="20" w:right="20"/>
              <w:jc w:val="center"/>
              <w:rPr>
                <w:rFonts w:cs="Arial"/>
                <w:sz w:val="16"/>
                <w:szCs w:val="16"/>
              </w:rPr>
            </w:pPr>
            <w:r w:rsidRPr="00211A02">
              <w:rPr>
                <w:rFonts w:cs="Arial"/>
                <w:color w:val="000000"/>
                <w:sz w:val="16"/>
                <w:szCs w:val="16"/>
              </w:rPr>
              <w:t>Turbidity</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106E" w14:textId="77777777" w:rsidR="007D7C41" w:rsidRPr="00211A02" w:rsidRDefault="007D7C41" w:rsidP="00211A02">
            <w:pPr>
              <w:spacing w:before="0" w:after="0"/>
              <w:ind w:left="20" w:right="20"/>
              <w:jc w:val="center"/>
              <w:rPr>
                <w:rFonts w:cs="Arial"/>
                <w:sz w:val="16"/>
                <w:szCs w:val="16"/>
              </w:rPr>
            </w:pPr>
            <w:r w:rsidRPr="00211A02">
              <w:rPr>
                <w:rFonts w:cs="Arial"/>
                <w:color w:val="000000"/>
                <w:sz w:val="16"/>
                <w:szCs w:val="16"/>
              </w:rPr>
              <w:t>NOx</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106F" w14:textId="77777777" w:rsidR="007D7C41" w:rsidRPr="00211A02" w:rsidRDefault="007D7C41" w:rsidP="00211A02">
            <w:pPr>
              <w:spacing w:before="0" w:after="0"/>
              <w:ind w:left="20" w:right="20"/>
              <w:jc w:val="center"/>
              <w:rPr>
                <w:rFonts w:cs="Arial"/>
                <w:sz w:val="16"/>
                <w:szCs w:val="16"/>
              </w:rPr>
            </w:pPr>
            <w:r w:rsidRPr="00211A02">
              <w:rPr>
                <w:rFonts w:cs="Arial"/>
                <w:color w:val="000000"/>
                <w:sz w:val="16"/>
                <w:szCs w:val="16"/>
              </w:rPr>
              <w:t>PN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1070" w14:textId="77777777" w:rsidR="007D7C41" w:rsidRPr="00211A02" w:rsidRDefault="007D7C41" w:rsidP="00211A02">
            <w:pPr>
              <w:spacing w:before="0" w:after="0"/>
              <w:ind w:left="20" w:right="20"/>
              <w:jc w:val="center"/>
              <w:rPr>
                <w:rFonts w:cs="Arial"/>
                <w:sz w:val="16"/>
                <w:szCs w:val="16"/>
              </w:rPr>
            </w:pPr>
            <w:r w:rsidRPr="00211A02">
              <w:rPr>
                <w:rFonts w:cs="Arial"/>
                <w:color w:val="000000"/>
                <w:sz w:val="16"/>
                <w:szCs w:val="16"/>
              </w:rPr>
              <w:t>PP</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1071" w14:textId="77777777" w:rsidR="007D7C41" w:rsidRPr="00211A02" w:rsidRDefault="007D7C41" w:rsidP="00211A02">
            <w:pPr>
              <w:spacing w:before="0" w:after="0"/>
              <w:ind w:left="20" w:right="20"/>
              <w:jc w:val="center"/>
              <w:rPr>
                <w:rFonts w:cs="Arial"/>
                <w:sz w:val="16"/>
                <w:szCs w:val="16"/>
              </w:rPr>
            </w:pPr>
            <w:r w:rsidRPr="00211A02">
              <w:rPr>
                <w:rFonts w:cs="Arial"/>
                <w:color w:val="000000"/>
                <w:sz w:val="16"/>
                <w:szCs w:val="16"/>
              </w:rPr>
              <w:t>Chl a</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1072" w14:textId="77777777" w:rsidR="007D7C41" w:rsidRPr="00211A02" w:rsidRDefault="007D7C41" w:rsidP="00211A02">
            <w:pPr>
              <w:spacing w:before="0" w:after="0"/>
              <w:ind w:left="20" w:right="20"/>
              <w:jc w:val="center"/>
              <w:rPr>
                <w:rFonts w:cs="Arial"/>
                <w:sz w:val="16"/>
                <w:szCs w:val="16"/>
              </w:rPr>
            </w:pPr>
            <w:r w:rsidRPr="00211A02">
              <w:rPr>
                <w:rFonts w:cs="Arial"/>
                <w:color w:val="000000"/>
                <w:sz w:val="16"/>
                <w:szCs w:val="16"/>
              </w:rPr>
              <w:t>SS</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1073" w14:textId="77777777" w:rsidR="007D7C41" w:rsidRPr="00211A02" w:rsidRDefault="007D7C41" w:rsidP="00211A02">
            <w:pPr>
              <w:spacing w:before="0" w:after="0"/>
              <w:ind w:left="20" w:right="20"/>
              <w:jc w:val="center"/>
              <w:rPr>
                <w:rFonts w:cs="Arial"/>
                <w:sz w:val="16"/>
                <w:szCs w:val="16"/>
              </w:rPr>
            </w:pPr>
            <w:r w:rsidRPr="00211A02">
              <w:rPr>
                <w:rFonts w:cs="Arial"/>
                <w:color w:val="000000"/>
                <w:sz w:val="16"/>
                <w:szCs w:val="16"/>
              </w:rPr>
              <w:t>Secchi</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1074" w14:textId="77777777" w:rsidR="007D7C41" w:rsidRPr="00211A02" w:rsidRDefault="007D7C41" w:rsidP="00211A02">
            <w:pPr>
              <w:spacing w:before="0" w:after="0"/>
              <w:ind w:left="20" w:right="20"/>
              <w:jc w:val="center"/>
              <w:rPr>
                <w:rFonts w:cs="Arial"/>
                <w:sz w:val="16"/>
                <w:szCs w:val="16"/>
              </w:rPr>
            </w:pPr>
            <w:r w:rsidRPr="00211A02">
              <w:rPr>
                <w:rFonts w:cs="Arial"/>
                <w:color w:val="000000"/>
                <w:sz w:val="16"/>
                <w:szCs w:val="16"/>
              </w:rPr>
              <w:t>Turbidity</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1075" w14:textId="77777777" w:rsidR="007D7C41" w:rsidRPr="00211A02" w:rsidRDefault="007D7C41" w:rsidP="00211A02">
            <w:pPr>
              <w:spacing w:before="0" w:after="0"/>
              <w:ind w:left="20" w:right="20"/>
              <w:jc w:val="center"/>
              <w:rPr>
                <w:rFonts w:cs="Arial"/>
                <w:sz w:val="16"/>
                <w:szCs w:val="16"/>
              </w:rPr>
            </w:pPr>
            <w:r w:rsidRPr="00211A02">
              <w:rPr>
                <w:rFonts w:cs="Arial"/>
                <w:color w:val="000000"/>
                <w:sz w:val="16"/>
                <w:szCs w:val="16"/>
              </w:rPr>
              <w:t>Combined Turbidity</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1076" w14:textId="77777777" w:rsidR="007D7C41" w:rsidRPr="00211A02" w:rsidRDefault="007D7C41" w:rsidP="00211A02">
            <w:pPr>
              <w:spacing w:before="0" w:after="0"/>
              <w:ind w:left="20" w:right="20"/>
              <w:jc w:val="center"/>
              <w:rPr>
                <w:rFonts w:cs="Arial"/>
                <w:sz w:val="16"/>
                <w:szCs w:val="16"/>
              </w:rPr>
            </w:pPr>
            <w:r w:rsidRPr="00211A02">
              <w:rPr>
                <w:rFonts w:cs="Arial"/>
                <w:color w:val="000000"/>
                <w:sz w:val="16"/>
                <w:szCs w:val="16"/>
              </w:rPr>
              <w:t>Total score</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231077" w14:textId="77777777" w:rsidR="007D7C41" w:rsidRPr="00211A02" w:rsidRDefault="007D7C41" w:rsidP="00211A02">
            <w:pPr>
              <w:spacing w:before="0" w:after="0"/>
              <w:ind w:left="20" w:right="20"/>
              <w:jc w:val="center"/>
              <w:rPr>
                <w:rFonts w:cs="Arial"/>
                <w:sz w:val="16"/>
                <w:szCs w:val="16"/>
              </w:rPr>
            </w:pPr>
            <w:r w:rsidRPr="00211A02">
              <w:rPr>
                <w:rFonts w:cs="Arial"/>
                <w:color w:val="000000"/>
                <w:sz w:val="16"/>
                <w:szCs w:val="16"/>
              </w:rPr>
              <w:t>Scaled score</w:t>
            </w:r>
          </w:p>
        </w:tc>
      </w:tr>
      <w:tr w:rsidR="007D7C41" w:rsidRPr="00211A02" w14:paraId="5F23108C" w14:textId="77777777" w:rsidTr="00211A02">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107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Cape Tribulation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7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7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7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7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7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7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8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8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8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8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8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8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8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8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8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8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8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2.94</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08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0.59</w:t>
            </w:r>
          </w:p>
        </w:tc>
      </w:tr>
      <w:tr w:rsidR="007D7C41" w:rsidRPr="00211A02" w14:paraId="5F2310A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08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8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8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9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9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9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9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9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9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9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9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9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9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9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9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9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9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9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3.31</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09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0.66</w:t>
            </w:r>
          </w:p>
        </w:tc>
      </w:tr>
      <w:tr w:rsidR="007D7C41" w:rsidRPr="00211A02" w14:paraId="5F2310B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0A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A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A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A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A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A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A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A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A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A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A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A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A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A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A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B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B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B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2.44</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0B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0.49</w:t>
            </w:r>
          </w:p>
        </w:tc>
      </w:tr>
      <w:tr w:rsidR="007D7C41" w:rsidRPr="00211A02" w14:paraId="5F2310C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0B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B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B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B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B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B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B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B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6.63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B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B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B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C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C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C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C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C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C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C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2.65</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0C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0.53</w:t>
            </w:r>
          </w:p>
        </w:tc>
      </w:tr>
      <w:tr w:rsidR="007D7C41" w:rsidRPr="00211A02" w14:paraId="5F2310D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0C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C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C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C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C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C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C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D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6.72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D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D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D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D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D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D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D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D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D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D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2.47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0D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0.49</w:t>
            </w:r>
          </w:p>
        </w:tc>
      </w:tr>
      <w:tr w:rsidR="007D7C41" w:rsidRPr="00211A02" w14:paraId="5F2310F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0D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D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D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E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E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E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E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E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E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E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E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E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E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E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E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E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E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E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1.88</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0E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0.38</w:t>
            </w:r>
          </w:p>
        </w:tc>
      </w:tr>
      <w:tr w:rsidR="007D7C41" w:rsidRPr="00211A02" w14:paraId="5F23110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0F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F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F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F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F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F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F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F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6.39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F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F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F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F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F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F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0F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0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0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0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2.47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10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0.49</w:t>
            </w:r>
          </w:p>
        </w:tc>
      </w:tr>
      <w:tr w:rsidR="007D7C41" w:rsidRPr="00211A02" w14:paraId="5F23111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10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0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0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0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0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0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0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0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7.17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0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0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0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1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1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1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1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1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1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1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2.41</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11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0.48</w:t>
            </w:r>
          </w:p>
        </w:tc>
      </w:tr>
      <w:tr w:rsidR="007D7C41" w:rsidRPr="00211A02" w14:paraId="5F23112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11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1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1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1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1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1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1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2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7.29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2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2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2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2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2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2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2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2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2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2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2.48</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12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w:t>
            </w:r>
          </w:p>
        </w:tc>
      </w:tr>
      <w:tr w:rsidR="007D7C41" w:rsidRPr="00211A02" w14:paraId="5F23114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12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2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2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3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3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3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3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3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7.29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3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3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3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3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3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3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3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3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3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3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13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r>
      <w:tr w:rsidR="007D7C41" w:rsidRPr="00211A02" w14:paraId="5F231154" w14:textId="77777777" w:rsidTr="00211A02">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114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Snapper North</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4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4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4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4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4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4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4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4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4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4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4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4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4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4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5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5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5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53" w14:textId="77777777" w:rsidR="007D7C41" w:rsidRPr="00211A02" w:rsidRDefault="007D7C41" w:rsidP="00211A02">
            <w:pPr>
              <w:spacing w:before="0" w:after="0"/>
              <w:jc w:val="center"/>
              <w:rPr>
                <w:rFonts w:cs="Arial"/>
                <w:sz w:val="16"/>
                <w:szCs w:val="16"/>
              </w:rPr>
            </w:pPr>
          </w:p>
        </w:tc>
      </w:tr>
      <w:tr w:rsidR="007D7C41" w:rsidRPr="00211A02" w14:paraId="5F23116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15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5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5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5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5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5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5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5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5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5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5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6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6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6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6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6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6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6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1.82</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16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0.36</w:t>
            </w:r>
          </w:p>
        </w:tc>
      </w:tr>
      <w:tr w:rsidR="007D7C41" w:rsidRPr="00211A02" w14:paraId="5F23117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16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6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6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6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6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6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6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7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6.75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7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7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7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7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7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7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7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7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7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7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2.58</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17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0.52</w:t>
            </w:r>
          </w:p>
        </w:tc>
      </w:tr>
      <w:tr w:rsidR="007D7C41" w:rsidRPr="00211A02" w14:paraId="5F23119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17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7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7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8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8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8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8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8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6.43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8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8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8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8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8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8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8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8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8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8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18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r>
      <w:tr w:rsidR="007D7C41" w:rsidRPr="00211A02" w14:paraId="5F2311A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19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9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9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9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9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9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9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9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9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9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9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9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9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9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9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A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A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A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1.81</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1A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0.36</w:t>
            </w:r>
          </w:p>
        </w:tc>
      </w:tr>
      <w:tr w:rsidR="007D7C41" w:rsidRPr="00211A02" w14:paraId="5F2311B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1A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A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A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A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A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A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A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A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6.45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A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A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A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B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B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B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B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B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B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B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1.24</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1B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0.25</w:t>
            </w:r>
          </w:p>
        </w:tc>
      </w:tr>
      <w:tr w:rsidR="007D7C41" w:rsidRPr="00211A02" w14:paraId="5F2311C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1B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B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B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B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B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B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B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C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C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C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C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C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C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C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C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C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C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C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1C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0.19</w:t>
            </w:r>
          </w:p>
        </w:tc>
      </w:tr>
      <w:tr w:rsidR="007D7C41" w:rsidRPr="00211A02" w14:paraId="5F2311E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1C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C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C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D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D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D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D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D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D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D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D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D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D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D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D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D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D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D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1D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0.17</w:t>
            </w:r>
          </w:p>
        </w:tc>
      </w:tr>
      <w:tr w:rsidR="007D7C41" w:rsidRPr="00211A02" w14:paraId="5F2311F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1E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E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E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E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E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E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E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E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E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E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E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E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E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E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E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F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F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F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1F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r>
      <w:tr w:rsidR="007D7C41" w:rsidRPr="00211A02" w14:paraId="5F23120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1F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F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F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F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F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F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F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F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F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F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1F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0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0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0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0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0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0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0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20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r>
      <w:tr w:rsidR="007D7C41" w:rsidRPr="00211A02" w14:paraId="5F23121C" w14:textId="77777777" w:rsidTr="00211A02">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120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Port Douglas</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0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0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0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0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0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0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1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1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1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1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1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1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1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1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1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1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1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2.81</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21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0.56</w:t>
            </w:r>
          </w:p>
        </w:tc>
      </w:tr>
      <w:tr w:rsidR="007D7C41" w:rsidRPr="00211A02" w14:paraId="5F23123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21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1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1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2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2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2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2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2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2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2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2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2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2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2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2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2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2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2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2.85</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22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0.57</w:t>
            </w:r>
          </w:p>
        </w:tc>
      </w:tr>
      <w:tr w:rsidR="007D7C41" w:rsidRPr="00211A02" w14:paraId="5F23124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23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3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3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3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3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3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3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3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3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3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3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3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3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3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3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4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4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4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3.36</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24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0.67</w:t>
            </w:r>
          </w:p>
        </w:tc>
      </w:tr>
      <w:tr w:rsidR="007D7C41" w:rsidRPr="00211A02" w14:paraId="5F23125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24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4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4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4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4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4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4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4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7.89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4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4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4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5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5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5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5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5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5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5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3.31</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25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0.66</w:t>
            </w:r>
          </w:p>
        </w:tc>
      </w:tr>
      <w:tr w:rsidR="007D7C41" w:rsidRPr="00211A02" w14:paraId="5F23126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25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5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5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5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5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5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5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6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6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6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6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6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6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6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6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6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6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6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3.13</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26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0.63</w:t>
            </w:r>
          </w:p>
        </w:tc>
      </w:tr>
      <w:tr w:rsidR="007D7C41" w:rsidRPr="00211A02" w14:paraId="5F23128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26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6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6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7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7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7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7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7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6.71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7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7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7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7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7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7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7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7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7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7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2.91</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27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0.58</w:t>
            </w:r>
          </w:p>
        </w:tc>
      </w:tr>
      <w:tr w:rsidR="007D7C41" w:rsidRPr="00211A02" w14:paraId="5F23129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28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8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8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8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8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8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8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8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6.12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8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8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8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8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8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8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8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9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9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9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2.68</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29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0.54</w:t>
            </w:r>
          </w:p>
        </w:tc>
      </w:tr>
      <w:tr w:rsidR="007D7C41" w:rsidRPr="00211A02" w14:paraId="5F2312A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29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9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9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9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9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9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9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9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6.17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9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9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9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A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A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A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A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A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A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A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2.6</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2A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0.52</w:t>
            </w:r>
          </w:p>
        </w:tc>
      </w:tr>
      <w:tr w:rsidR="007D7C41" w:rsidRPr="00211A02" w14:paraId="5F2312B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2A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A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A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A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A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A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A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B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B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B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B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B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B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B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B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B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B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B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2.41</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2B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0.48</w:t>
            </w:r>
          </w:p>
        </w:tc>
      </w:tr>
      <w:tr w:rsidR="007D7C41" w:rsidRPr="00211A02" w14:paraId="5F2312D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2B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B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B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C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C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C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C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C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C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C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C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C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C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C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C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C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C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C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1.69</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2C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0.34</w:t>
            </w:r>
          </w:p>
        </w:tc>
      </w:tr>
      <w:tr w:rsidR="007D7C41" w:rsidRPr="00211A02" w14:paraId="5F2312E4" w14:textId="77777777" w:rsidTr="00211A02">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12D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Double</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D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D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D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D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D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D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D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D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D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D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D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D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D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D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E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E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E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3.38</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2E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0.68</w:t>
            </w:r>
          </w:p>
        </w:tc>
      </w:tr>
      <w:tr w:rsidR="007D7C41" w:rsidRPr="00211A02" w14:paraId="5F2312F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2E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E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E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E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E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E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E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E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E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E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E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F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F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F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F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F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F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F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3.18</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2F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0.64</w:t>
            </w:r>
          </w:p>
        </w:tc>
      </w:tr>
      <w:tr w:rsidR="007D7C41" w:rsidRPr="00211A02" w14:paraId="5F23130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2F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F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F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F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F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F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2F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0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0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0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0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0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0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0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0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0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0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0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3.33</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30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0.67</w:t>
            </w:r>
          </w:p>
        </w:tc>
      </w:tr>
      <w:tr w:rsidR="007D7C41" w:rsidRPr="00211A02" w14:paraId="5F23132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30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0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0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1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1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1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1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1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1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1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1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1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1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1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1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1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1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1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3.57</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31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0.71</w:t>
            </w:r>
          </w:p>
        </w:tc>
      </w:tr>
      <w:tr w:rsidR="007D7C41" w:rsidRPr="00211A02" w14:paraId="5F23133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32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2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2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2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2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2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2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2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2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2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2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2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2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2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2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3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3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3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3.49</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33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w:t>
            </w:r>
          </w:p>
        </w:tc>
      </w:tr>
      <w:tr w:rsidR="007D7C41" w:rsidRPr="00211A02" w14:paraId="5F23134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33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3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3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3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3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3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3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3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3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3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3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4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4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4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4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4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4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4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3.21</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34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0.64</w:t>
            </w:r>
          </w:p>
        </w:tc>
      </w:tr>
      <w:tr w:rsidR="007D7C41" w:rsidRPr="00211A02" w14:paraId="5F23135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34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4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4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4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4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4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4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5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7.12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5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5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5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5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5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5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5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5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5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5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3.18</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35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0.64</w:t>
            </w:r>
          </w:p>
        </w:tc>
      </w:tr>
      <w:tr w:rsidR="007D7C41" w:rsidRPr="00211A02" w14:paraId="5F23137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35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5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5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6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6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6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6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6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6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6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6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6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6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6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6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6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6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6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2.96</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36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0.59</w:t>
            </w:r>
          </w:p>
        </w:tc>
      </w:tr>
      <w:tr w:rsidR="007D7C41" w:rsidRPr="00211A02" w14:paraId="5F23138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37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7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7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7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7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7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7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7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6.62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7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7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7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7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7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7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7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8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8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8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2.74</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38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0.55</w:t>
            </w:r>
          </w:p>
        </w:tc>
      </w:tr>
      <w:tr w:rsidR="007D7C41" w:rsidRPr="00211A02" w14:paraId="5F23139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38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8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8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8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8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8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8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8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6.67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8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8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8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9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9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9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9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9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9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9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2.72</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39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0.54</w:t>
            </w:r>
          </w:p>
        </w:tc>
      </w:tr>
      <w:tr w:rsidR="007D7C41" w:rsidRPr="00211A02" w14:paraId="5F2313AC" w14:textId="77777777" w:rsidTr="00211A02">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139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Green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9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9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9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9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9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9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A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A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A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A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A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A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A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A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A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A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A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4.72</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3A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0.94</w:t>
            </w:r>
          </w:p>
        </w:tc>
      </w:tr>
      <w:tr w:rsidR="007D7C41" w:rsidRPr="00211A02" w14:paraId="5F2313C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3A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A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A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B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B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B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B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B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19.33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B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B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B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B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B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B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B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B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B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B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3B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r>
      <w:tr w:rsidR="007D7C41" w:rsidRPr="00211A02" w14:paraId="5F2313D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3C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C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C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C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C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C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C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C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15.83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C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C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C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C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C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C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C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D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D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D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4.71</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3D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0.94</w:t>
            </w:r>
          </w:p>
        </w:tc>
      </w:tr>
      <w:tr w:rsidR="007D7C41" w:rsidRPr="00211A02" w14:paraId="5F2313E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3D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D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D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D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D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D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D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D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15.33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D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D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D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E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E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E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E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E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E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E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4.95</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3E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0.99</w:t>
            </w:r>
          </w:p>
        </w:tc>
      </w:tr>
      <w:tr w:rsidR="007D7C41" w:rsidRPr="00211A02" w14:paraId="5F2313F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3E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E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E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E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E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E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E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F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F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F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F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F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F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F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F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F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F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F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4.89</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3F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0.98</w:t>
            </w:r>
          </w:p>
        </w:tc>
      </w:tr>
      <w:tr w:rsidR="007D7C41" w:rsidRPr="00211A02" w14:paraId="5F23141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3F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F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3F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0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0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0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0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0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0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0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0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0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0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0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0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0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0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0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4.44</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40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0.89</w:t>
            </w:r>
          </w:p>
        </w:tc>
      </w:tr>
      <w:tr w:rsidR="007D7C41" w:rsidRPr="00211A02" w14:paraId="5F23142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41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1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1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1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1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1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1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1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1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1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1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1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1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1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1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2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2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2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4.43</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42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0.89</w:t>
            </w:r>
          </w:p>
        </w:tc>
      </w:tr>
      <w:tr w:rsidR="007D7C41" w:rsidRPr="00211A02" w14:paraId="5F23143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42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2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2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2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2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2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2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2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2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2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2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3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3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3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3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3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3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3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4.4</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43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0.88</w:t>
            </w:r>
          </w:p>
        </w:tc>
      </w:tr>
      <w:tr w:rsidR="007D7C41" w:rsidRPr="00211A02" w14:paraId="5F23144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43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3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3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3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3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3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3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4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4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4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4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4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4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4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4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4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4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4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4.12</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44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0.82</w:t>
            </w:r>
          </w:p>
        </w:tc>
      </w:tr>
      <w:tr w:rsidR="007D7C41" w:rsidRPr="00211A02" w14:paraId="5F23146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44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4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4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5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5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5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5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5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5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5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5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5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5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5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5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5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5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5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4.14</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45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0.83</w:t>
            </w:r>
          </w:p>
        </w:tc>
      </w:tr>
      <w:tr w:rsidR="007D7C41" w:rsidRPr="00211A02" w14:paraId="5F231474" w14:textId="77777777" w:rsidTr="00211A02">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146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Yorkey's Knob</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6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6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6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6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6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6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6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6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6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6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6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6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6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6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7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7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7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-1.06</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47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-0.21</w:t>
            </w:r>
          </w:p>
        </w:tc>
      </w:tr>
      <w:tr w:rsidR="007D7C41" w:rsidRPr="00211A02" w14:paraId="5F23148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47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7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7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7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7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7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7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7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7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7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7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8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8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8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8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8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8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8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48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r>
      <w:tr w:rsidR="007D7C41" w:rsidRPr="00211A02" w14:paraId="5F23149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48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8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8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8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8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8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8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9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9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9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9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9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9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9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9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9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9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9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49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0.04</w:t>
            </w:r>
          </w:p>
        </w:tc>
      </w:tr>
      <w:tr w:rsidR="007D7C41" w:rsidRPr="00211A02" w14:paraId="5F2314B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49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9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9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A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A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A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A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A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A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A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A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A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A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A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A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A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A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A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4A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r>
      <w:tr w:rsidR="007D7C41" w:rsidRPr="00211A02" w14:paraId="5F2314C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4B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B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B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B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B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B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B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B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B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B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B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B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B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B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B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C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C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C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4C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r>
      <w:tr w:rsidR="007D7C41" w:rsidRPr="00211A02" w14:paraId="5F2314D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4C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C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C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C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C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C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C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C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C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C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C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D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D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D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D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D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D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D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4D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r>
      <w:tr w:rsidR="007D7C41" w:rsidRPr="00211A02" w14:paraId="5F2314E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4D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D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D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D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D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D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D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E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E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E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E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E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E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E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E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E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E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E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4E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r>
      <w:tr w:rsidR="007D7C41" w:rsidRPr="00211A02" w14:paraId="5F23150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4E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E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E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F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F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F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F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F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F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F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F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F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F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F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F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F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F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4F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4F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r>
      <w:tr w:rsidR="007D7C41" w:rsidRPr="00211A02" w14:paraId="5F23151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50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0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0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0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0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0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0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0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0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0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0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0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0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0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0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1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1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1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51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r>
      <w:tr w:rsidR="007D7C41" w:rsidRPr="00211A02" w14:paraId="5F23152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51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1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1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1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1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1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1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1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1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1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1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2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2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2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2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2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2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2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52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r>
      <w:tr w:rsidR="007D7C41" w:rsidRPr="00211A02" w14:paraId="5F23153C" w14:textId="77777777" w:rsidTr="00211A02">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152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Fairlead Buoy</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2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2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2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2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2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2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3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3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3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3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3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3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3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3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3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3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3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53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0.18</w:t>
            </w:r>
          </w:p>
        </w:tc>
      </w:tr>
      <w:tr w:rsidR="007D7C41" w:rsidRPr="00211A02" w14:paraId="5F23155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53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3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3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4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4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4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4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4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4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4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4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4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4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4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4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4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4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4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54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r>
      <w:tr w:rsidR="007D7C41" w:rsidRPr="00211A02" w14:paraId="5F23156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55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5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5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5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5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5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5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5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5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5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5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5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5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5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5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6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6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6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56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r>
      <w:tr w:rsidR="007D7C41" w:rsidRPr="00211A02" w14:paraId="5F23157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56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6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6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6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6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6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6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6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6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6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6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7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7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7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7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7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7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7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57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r>
      <w:tr w:rsidR="007D7C41" w:rsidRPr="00211A02" w14:paraId="5F23158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57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7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7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7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7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7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7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8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8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8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8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8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8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8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8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8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8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8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58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r>
      <w:tr w:rsidR="007D7C41" w:rsidRPr="00211A02" w14:paraId="5F2315A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58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8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8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9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9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9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9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9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9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9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9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9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9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9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9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9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9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9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59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r>
      <w:tr w:rsidR="007D7C41" w:rsidRPr="00211A02" w14:paraId="5F2315B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5A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A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A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A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A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A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A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A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A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A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A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A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A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A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A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B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B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B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5B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r>
      <w:tr w:rsidR="007D7C41" w:rsidRPr="00211A02" w14:paraId="5F2315C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5B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B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B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B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B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B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B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B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B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B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B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C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C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C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C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C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C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C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-0.78</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5C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r>
      <w:tr w:rsidR="007D7C41" w:rsidRPr="00211A02" w14:paraId="5F2315D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5C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C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C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C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C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C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C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D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D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D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D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D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D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D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D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D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D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D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5D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r>
      <w:tr w:rsidR="007D7C41" w:rsidRPr="00211A02" w14:paraId="5F2315F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5D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D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D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E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E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E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E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E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E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E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E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E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E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E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E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E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E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E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-1.44</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5E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-0.29</w:t>
            </w:r>
          </w:p>
        </w:tc>
      </w:tr>
      <w:tr w:rsidR="007D7C41" w:rsidRPr="00211A02" w14:paraId="5F231604" w14:textId="77777777" w:rsidTr="00211A02">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15F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Fitzroy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F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F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F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F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F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F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F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F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F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F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F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F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F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5F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0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0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0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3.09</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60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0.62</w:t>
            </w:r>
          </w:p>
        </w:tc>
      </w:tr>
      <w:tr w:rsidR="007D7C41" w:rsidRPr="00211A02" w14:paraId="5F23161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60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0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0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0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0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0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0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0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0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0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0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1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1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1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1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1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1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1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3.31</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61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0.66</w:t>
            </w:r>
          </w:p>
        </w:tc>
      </w:tr>
      <w:tr w:rsidR="007D7C41" w:rsidRPr="00211A02" w14:paraId="5F23162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61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1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1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1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1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1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1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2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9.67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2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2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2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2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2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2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2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2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2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2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3.4</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62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0.68</w:t>
            </w:r>
          </w:p>
        </w:tc>
      </w:tr>
      <w:tr w:rsidR="007D7C41" w:rsidRPr="00211A02" w14:paraId="5F23164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62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2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2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3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3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3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3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3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3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3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3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3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3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3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3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3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3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3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3.69</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63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0.74</w:t>
            </w:r>
          </w:p>
        </w:tc>
      </w:tr>
      <w:tr w:rsidR="007D7C41" w:rsidRPr="00211A02" w14:paraId="5F23165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64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4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4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4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4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4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4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4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4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4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4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4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4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4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4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5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5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5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3.68</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65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0.74</w:t>
            </w:r>
          </w:p>
        </w:tc>
      </w:tr>
      <w:tr w:rsidR="007D7C41" w:rsidRPr="00211A02" w14:paraId="5F23166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65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5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5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5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5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5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5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5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9.05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5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5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5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6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6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6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6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6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6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6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3.29</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66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0.66</w:t>
            </w:r>
          </w:p>
        </w:tc>
      </w:tr>
      <w:tr w:rsidR="007D7C41" w:rsidRPr="00211A02" w14:paraId="5F23167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66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6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6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6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6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6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6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7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7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7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7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7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7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7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7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7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7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7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2.94</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67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0.59</w:t>
            </w:r>
          </w:p>
        </w:tc>
      </w:tr>
      <w:tr w:rsidR="007D7C41" w:rsidRPr="00211A02" w14:paraId="5F23169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67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7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7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8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8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8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8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8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8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8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8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8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8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8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8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8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8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8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2.61</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68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0.52</w:t>
            </w:r>
          </w:p>
        </w:tc>
      </w:tr>
      <w:tr w:rsidR="007D7C41" w:rsidRPr="00211A02" w14:paraId="5F2316A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69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9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9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9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9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9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9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9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9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9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9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9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9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9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9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A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A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A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1.99</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6A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r>
      <w:tr w:rsidR="007D7C41" w:rsidRPr="00211A02" w14:paraId="5F2316B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6A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A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A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A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A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A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A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A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A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A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A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B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B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B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B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B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B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B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1.78</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6B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0.36</w:t>
            </w:r>
          </w:p>
        </w:tc>
      </w:tr>
      <w:tr w:rsidR="007D7C41" w:rsidRPr="00211A02" w14:paraId="5F2316CC" w14:textId="77777777" w:rsidTr="00211A02">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16B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High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B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B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B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B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B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B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C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C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C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C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C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C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C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C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C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C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C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1.75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6C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0.35</w:t>
            </w:r>
          </w:p>
        </w:tc>
      </w:tr>
      <w:tr w:rsidR="007D7C41" w:rsidRPr="00211A02" w14:paraId="5F2316E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6C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C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C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D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D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D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D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D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D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D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D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D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D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D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D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D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D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D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2.27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6D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r>
      <w:tr w:rsidR="007D7C41" w:rsidRPr="00211A02" w14:paraId="5F2316F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6E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E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E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E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E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E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E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E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E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E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E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E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E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E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E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F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F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F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2.27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6F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r>
      <w:tr w:rsidR="007D7C41" w:rsidRPr="00211A02" w14:paraId="5F23170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6F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F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F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F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F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F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F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F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7.89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F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F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6F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0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0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0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0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0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0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0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2.02</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70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r>
      <w:tr w:rsidR="007D7C41" w:rsidRPr="00211A02" w14:paraId="5F23171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70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0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0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0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0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0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0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1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1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1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1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1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1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1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1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1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1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1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2.17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71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0.43</w:t>
            </w:r>
          </w:p>
        </w:tc>
      </w:tr>
      <w:tr w:rsidR="007D7C41" w:rsidRPr="00211A02" w14:paraId="5F23173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71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1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1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2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2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2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2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2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6.45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2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2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2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2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2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2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2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2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2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2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72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w:t>
            </w:r>
          </w:p>
        </w:tc>
      </w:tr>
      <w:tr w:rsidR="007D7C41" w:rsidRPr="00211A02" w14:paraId="5F23174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73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3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3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3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3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3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3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3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3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3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3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3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3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3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3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4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4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4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1.71</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74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0.34</w:t>
            </w:r>
          </w:p>
        </w:tc>
      </w:tr>
      <w:tr w:rsidR="007D7C41" w:rsidRPr="00211A02" w14:paraId="5F23175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74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4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4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4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4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4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4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4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4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4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4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5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5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5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5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5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5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5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1.46</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75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0.29</w:t>
            </w:r>
          </w:p>
        </w:tc>
      </w:tr>
      <w:tr w:rsidR="007D7C41" w:rsidRPr="00211A02" w14:paraId="5F23176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75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5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5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5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5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5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5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6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6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6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6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6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6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6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6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6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6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6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76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r>
      <w:tr w:rsidR="007D7C41" w:rsidRPr="00211A02" w14:paraId="5F23178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76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6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6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7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7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7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7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7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7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7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7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7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7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7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7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7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7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7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77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r>
      <w:tr w:rsidR="007D7C41" w:rsidRPr="00211A02" w14:paraId="5F231794" w14:textId="77777777" w:rsidTr="00211A02">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178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Franklands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8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8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8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8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8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8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8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8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8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8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8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8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8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8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9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9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9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79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0.73</w:t>
            </w:r>
          </w:p>
        </w:tc>
      </w:tr>
      <w:tr w:rsidR="007D7C41" w:rsidRPr="00211A02" w14:paraId="5F2317A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79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9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9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9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9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9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9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9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9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9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9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A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A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A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A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A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A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A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4.37</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7A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0.87</w:t>
            </w:r>
          </w:p>
        </w:tc>
      </w:tr>
      <w:tr w:rsidR="007D7C41" w:rsidRPr="00211A02" w14:paraId="5F2317B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7A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A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A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A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A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A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A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B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B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B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B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B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B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B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B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B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B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B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3.79</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7B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0.76</w:t>
            </w:r>
          </w:p>
        </w:tc>
      </w:tr>
      <w:tr w:rsidR="007D7C41" w:rsidRPr="00211A02" w14:paraId="5F2317D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7B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B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B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C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C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C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C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C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C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C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C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C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C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C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C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C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C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C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4.2</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7C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0.84</w:t>
            </w:r>
          </w:p>
        </w:tc>
      </w:tr>
      <w:tr w:rsidR="007D7C41" w:rsidRPr="00211A02" w14:paraId="5F2317E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7D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D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D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D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D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D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D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D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D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D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D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D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D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D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D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E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E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E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3.98</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7E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w:t>
            </w:r>
          </w:p>
        </w:tc>
      </w:tr>
      <w:tr w:rsidR="007D7C41" w:rsidRPr="00211A02" w14:paraId="5F2317F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7E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E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E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E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E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E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E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E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9.91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E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E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E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F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F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F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F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F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F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F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3.45</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7F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0.69</w:t>
            </w:r>
          </w:p>
        </w:tc>
      </w:tr>
      <w:tr w:rsidR="007D7C41" w:rsidRPr="00211A02" w14:paraId="5F23180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7F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F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F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F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F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F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7F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0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9.86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0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0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0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0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0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0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0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0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0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0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3.53</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80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0.71</w:t>
            </w:r>
          </w:p>
        </w:tc>
      </w:tr>
      <w:tr w:rsidR="007D7C41" w:rsidRPr="00211A02" w14:paraId="5F23182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80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0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0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1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1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1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1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1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9.05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1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1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1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1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1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1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1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1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1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1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3.05</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81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0.61</w:t>
            </w:r>
          </w:p>
        </w:tc>
      </w:tr>
      <w:tr w:rsidR="007D7C41" w:rsidRPr="00211A02" w14:paraId="5F23183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82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2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2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2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2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2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2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2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2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2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2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2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2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2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2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3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3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3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2.47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83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0.49</w:t>
            </w:r>
          </w:p>
        </w:tc>
      </w:tr>
      <w:tr w:rsidR="007D7C41" w:rsidRPr="00211A02" w14:paraId="5F23184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83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3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3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3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3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3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3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3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3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3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3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4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4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4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4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4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4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4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2.59</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84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0.52</w:t>
            </w:r>
          </w:p>
        </w:tc>
      </w:tr>
      <w:tr w:rsidR="007D7C41" w:rsidRPr="00211A02" w14:paraId="5F23185C" w14:textId="77777777" w:rsidTr="00211A02">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184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Dunk North</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4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4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4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4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4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4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5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5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5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5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5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5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5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5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5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5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5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85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r>
      <w:tr w:rsidR="007D7C41" w:rsidRPr="00211A02" w14:paraId="5F23187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85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5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5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6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6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6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6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6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6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6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6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6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6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6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6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6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6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6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86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r>
      <w:tr w:rsidR="007D7C41" w:rsidRPr="00211A02" w14:paraId="5F23188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87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7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7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7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7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7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7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7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7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7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7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7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7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7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7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8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8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8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88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r>
      <w:tr w:rsidR="007D7C41" w:rsidRPr="00211A02" w14:paraId="5F23189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88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8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8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8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8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8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8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8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8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8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8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9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9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9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9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9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9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9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89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w:t>
            </w:r>
          </w:p>
        </w:tc>
      </w:tr>
      <w:tr w:rsidR="007D7C41" w:rsidRPr="00211A02" w14:paraId="5F2318A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89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9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9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9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9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9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9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A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A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A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A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A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A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A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A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A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A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A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8A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r>
      <w:tr w:rsidR="007D7C41" w:rsidRPr="00211A02" w14:paraId="5F2318C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8A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A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A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B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B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B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B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B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B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B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B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B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B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B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B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B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B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B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8B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r>
      <w:tr w:rsidR="007D7C41" w:rsidRPr="00211A02" w14:paraId="5F2318D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8C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C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C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C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C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C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C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C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C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C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C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C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C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C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C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D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D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D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8D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r>
      <w:tr w:rsidR="007D7C41" w:rsidRPr="00211A02" w14:paraId="5F2318E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8D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D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D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D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D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D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D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D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4.99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D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D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D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E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E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E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E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E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E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E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8E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r>
      <w:tr w:rsidR="007D7C41" w:rsidRPr="00211A02" w14:paraId="5F2318F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8E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E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E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E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E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E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E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F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F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F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F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F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F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F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F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F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F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F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-1.24</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8F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-0.25</w:t>
            </w:r>
          </w:p>
        </w:tc>
      </w:tr>
      <w:tr w:rsidR="007D7C41" w:rsidRPr="00211A02" w14:paraId="5F23191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8F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F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8F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0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0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0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0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0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0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0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0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0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0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0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0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0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0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0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90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r>
      <w:tr w:rsidR="007D7C41" w:rsidRPr="00211A02" w14:paraId="5F231924" w14:textId="77777777" w:rsidTr="00211A02">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191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Palms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1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1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1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1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1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1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1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7.75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1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1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1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1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1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1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1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2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2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2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1.53</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92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r>
      <w:tr w:rsidR="007D7C41" w:rsidRPr="00211A02" w14:paraId="5F23193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92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2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2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2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2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2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2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2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2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2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2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3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3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3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3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3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3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3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2.51</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93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w:t>
            </w:r>
          </w:p>
        </w:tc>
      </w:tr>
      <w:tr w:rsidR="007D7C41" w:rsidRPr="00211A02" w14:paraId="5F23194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93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3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3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3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3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3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3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4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4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4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4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4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4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4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4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4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4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4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3.27</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94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0.65</w:t>
            </w:r>
          </w:p>
        </w:tc>
      </w:tr>
      <w:tr w:rsidR="007D7C41" w:rsidRPr="00211A02" w14:paraId="5F23196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94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4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4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5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5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5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5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5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5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5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5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5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5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5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5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5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5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5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3.26</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95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0.65</w:t>
            </w:r>
          </w:p>
        </w:tc>
      </w:tr>
      <w:tr w:rsidR="007D7C41" w:rsidRPr="00211A02" w14:paraId="5F23197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96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6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6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6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6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6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6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6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6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6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6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6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6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6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6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7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7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7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3.33</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97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0.67</w:t>
            </w:r>
          </w:p>
        </w:tc>
      </w:tr>
      <w:tr w:rsidR="007D7C41" w:rsidRPr="00211A02" w14:paraId="5F23198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97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7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7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7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7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7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7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7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7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7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7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8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8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8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8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8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8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8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2.96</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98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0.59</w:t>
            </w:r>
          </w:p>
        </w:tc>
      </w:tr>
      <w:tr w:rsidR="007D7C41" w:rsidRPr="00211A02" w14:paraId="5F23199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98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8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8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8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8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8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8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9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9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9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9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9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9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9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9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9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9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9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2.88</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99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0.58</w:t>
            </w:r>
          </w:p>
        </w:tc>
      </w:tr>
      <w:tr w:rsidR="007D7C41" w:rsidRPr="00211A02" w14:paraId="5F2319B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99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9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9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A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A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A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A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A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A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A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A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A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A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A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A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A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A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A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3.2</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9A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0.64</w:t>
            </w:r>
          </w:p>
        </w:tc>
      </w:tr>
      <w:tr w:rsidR="007D7C41" w:rsidRPr="00211A02" w14:paraId="5F2319C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9B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B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B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B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B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B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B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B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B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B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B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B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B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B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B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C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C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C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3.18</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9C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0.64</w:t>
            </w:r>
          </w:p>
        </w:tc>
      </w:tr>
      <w:tr w:rsidR="007D7C41" w:rsidRPr="00211A02" w14:paraId="5F2319D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9C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C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C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C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C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C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C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C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C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C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C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D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D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D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D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D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D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D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3.57</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9D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0.71</w:t>
            </w:r>
          </w:p>
        </w:tc>
      </w:tr>
      <w:tr w:rsidR="007D7C41" w:rsidRPr="00211A02" w14:paraId="5F2319EC" w14:textId="77777777" w:rsidTr="00211A02">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19D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Pandora</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D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D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D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D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D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D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E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E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E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E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E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E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E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E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E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E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E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9E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0.18</w:t>
            </w:r>
          </w:p>
        </w:tc>
      </w:tr>
      <w:tr w:rsidR="007D7C41" w:rsidRPr="00211A02" w14:paraId="5F231A0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9E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E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E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F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F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F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F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F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F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F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F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F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F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F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F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F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F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9F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1.55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9F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r>
      <w:tr w:rsidR="007D7C41" w:rsidRPr="00211A02" w14:paraId="5F231A1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A0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0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0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0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0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0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0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0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0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0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0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0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0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0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0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1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1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1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1.86</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A1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r>
      <w:tr w:rsidR="007D7C41" w:rsidRPr="00211A02" w14:paraId="5F231A2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A1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1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1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1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1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1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1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1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6.81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1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1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1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2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2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2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2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2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2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2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2.41</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A2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0.48</w:t>
            </w:r>
          </w:p>
        </w:tc>
      </w:tr>
      <w:tr w:rsidR="007D7C41" w:rsidRPr="00211A02" w14:paraId="5F231A3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A2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2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2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2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2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2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2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3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7.89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3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3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3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3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3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3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3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3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3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3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2.53</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1A3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0.51</w:t>
            </w:r>
          </w:p>
        </w:tc>
      </w:tr>
      <w:tr w:rsidR="007D7C41" w:rsidRPr="00211A02" w14:paraId="5F231A5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A3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3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3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4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4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4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4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4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7.75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4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4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4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4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4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4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4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4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4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4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2.27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A4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r>
      <w:tr w:rsidR="007D7C41" w:rsidRPr="00211A02" w14:paraId="5F231A6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A5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5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5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5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5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5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5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5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5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5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5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5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5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5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5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6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6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6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2.49</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A6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w:t>
            </w:r>
          </w:p>
        </w:tc>
      </w:tr>
      <w:tr w:rsidR="007D7C41" w:rsidRPr="00211A02" w14:paraId="5F231A7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A6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6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6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6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6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6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6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6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6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6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6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7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7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7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7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7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7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7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2.39</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A7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0.48</w:t>
            </w:r>
          </w:p>
        </w:tc>
      </w:tr>
      <w:tr w:rsidR="007D7C41" w:rsidRPr="00211A02" w14:paraId="5F231A8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A7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7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7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7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7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7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7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8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7.64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8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8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8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8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8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8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8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8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8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8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2.1</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A8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0.42</w:t>
            </w:r>
          </w:p>
        </w:tc>
      </w:tr>
      <w:tr w:rsidR="007D7C41" w:rsidRPr="00211A02" w14:paraId="5F231AA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A8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8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8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9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9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9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9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9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7.09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9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9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9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9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9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9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9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9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9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9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1.69</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A9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0.34</w:t>
            </w:r>
          </w:p>
        </w:tc>
      </w:tr>
      <w:tr w:rsidR="007D7C41" w:rsidRPr="00211A02" w14:paraId="5F231AB4" w14:textId="77777777" w:rsidTr="00211A02">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1AA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Magnetic</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A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A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A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A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A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A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A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A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A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A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A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A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A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A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B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B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B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-1.71</w:t>
            </w:r>
          </w:p>
        </w:tc>
        <w:tc>
          <w:tcPr>
            <w:tcW w:w="0" w:type="auto"/>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5F231AB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-0.34</w:t>
            </w:r>
          </w:p>
        </w:tc>
      </w:tr>
      <w:tr w:rsidR="007D7C41" w:rsidRPr="00211A02" w14:paraId="5F231AC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AB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B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B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B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B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B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B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B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B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B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B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C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C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C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C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C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C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C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-1.99</w:t>
            </w:r>
          </w:p>
        </w:tc>
        <w:tc>
          <w:tcPr>
            <w:tcW w:w="0" w:type="auto"/>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5F231AC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r>
      <w:tr w:rsidR="007D7C41" w:rsidRPr="00211A02" w14:paraId="5F231AD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AC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C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C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C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C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C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C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D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D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D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D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D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D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D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D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D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D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D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-2.1</w:t>
            </w:r>
          </w:p>
        </w:tc>
        <w:tc>
          <w:tcPr>
            <w:tcW w:w="0" w:type="auto"/>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5F231AD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-0.42</w:t>
            </w:r>
          </w:p>
        </w:tc>
      </w:tr>
      <w:tr w:rsidR="007D7C41" w:rsidRPr="00211A02" w14:paraId="5F231AF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AD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D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D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E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E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E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E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E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E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E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E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E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E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E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E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E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E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E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-1.63</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AE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-0.33</w:t>
            </w:r>
          </w:p>
        </w:tc>
      </w:tr>
      <w:tr w:rsidR="007D7C41" w:rsidRPr="00211A02" w14:paraId="5F231B0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AF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F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F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F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F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F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F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F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F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F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F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F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F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F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AF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0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0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0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-0.96</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B0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-0.19</w:t>
            </w:r>
          </w:p>
        </w:tc>
      </w:tr>
      <w:tr w:rsidR="007D7C41" w:rsidRPr="00211A02" w14:paraId="5F231B1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B0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0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0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0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0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0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0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0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0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0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0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1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1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1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1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1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1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1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-0.97</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B1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-0.19</w:t>
            </w:r>
          </w:p>
        </w:tc>
      </w:tr>
      <w:tr w:rsidR="007D7C41" w:rsidRPr="00211A02" w14:paraId="5F231B2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B1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1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1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1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1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1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1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2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2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2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2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2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2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2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2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2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2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2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-0.24</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B2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r>
      <w:tr w:rsidR="007D7C41" w:rsidRPr="00211A02" w14:paraId="5F231B4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B2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2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2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3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3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3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3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3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3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3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3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3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3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3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3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3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3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3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B3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r>
      <w:tr w:rsidR="007D7C41" w:rsidRPr="00211A02" w14:paraId="5F231B5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B4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4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4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4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4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4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4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4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4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4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4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4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4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4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4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5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5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5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-1.28</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B5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-0.26</w:t>
            </w:r>
          </w:p>
        </w:tc>
      </w:tr>
      <w:tr w:rsidR="007D7C41" w:rsidRPr="00211A02" w14:paraId="5F231B6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B5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5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5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5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5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5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5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5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5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5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5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6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6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6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6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6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6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6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B6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w:t>
            </w:r>
          </w:p>
        </w:tc>
      </w:tr>
      <w:tr w:rsidR="007D7C41" w:rsidRPr="00211A02" w14:paraId="5F231B7C" w14:textId="77777777" w:rsidTr="00211A02">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1B6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Haughton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6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6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6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6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6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6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7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7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7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7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7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7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7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7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7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7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7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7B" w14:textId="77777777" w:rsidR="007D7C41" w:rsidRPr="00211A02" w:rsidRDefault="007D7C41" w:rsidP="00211A02">
            <w:pPr>
              <w:spacing w:before="0" w:after="0"/>
              <w:jc w:val="center"/>
              <w:rPr>
                <w:rFonts w:cs="Arial"/>
                <w:sz w:val="16"/>
                <w:szCs w:val="16"/>
              </w:rPr>
            </w:pPr>
          </w:p>
        </w:tc>
      </w:tr>
      <w:tr w:rsidR="007D7C41" w:rsidRPr="00211A02" w14:paraId="5F231B9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B7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7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7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8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8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8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8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8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8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8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8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8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8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8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8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8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8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8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8F" w14:textId="77777777" w:rsidR="007D7C41" w:rsidRPr="00211A02" w:rsidRDefault="007D7C41" w:rsidP="00211A02">
            <w:pPr>
              <w:spacing w:before="0" w:after="0"/>
              <w:jc w:val="center"/>
              <w:rPr>
                <w:rFonts w:cs="Arial"/>
                <w:sz w:val="16"/>
                <w:szCs w:val="16"/>
              </w:rPr>
            </w:pPr>
          </w:p>
        </w:tc>
      </w:tr>
      <w:tr w:rsidR="007D7C41" w:rsidRPr="00211A02" w14:paraId="5F231BA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B9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9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9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9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9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9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9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9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9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9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9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9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9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9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9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A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A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A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A3" w14:textId="77777777" w:rsidR="007D7C41" w:rsidRPr="00211A02" w:rsidRDefault="007D7C41" w:rsidP="00211A02">
            <w:pPr>
              <w:spacing w:before="0" w:after="0"/>
              <w:jc w:val="center"/>
              <w:rPr>
                <w:rFonts w:cs="Arial"/>
                <w:sz w:val="16"/>
                <w:szCs w:val="16"/>
              </w:rPr>
            </w:pPr>
          </w:p>
        </w:tc>
      </w:tr>
      <w:tr w:rsidR="007D7C41" w:rsidRPr="00211A02" w14:paraId="5F231BB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BA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A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A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A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A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A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A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A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A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A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A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B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B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B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B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B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B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B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B7" w14:textId="77777777" w:rsidR="007D7C41" w:rsidRPr="00211A02" w:rsidRDefault="007D7C41" w:rsidP="00211A02">
            <w:pPr>
              <w:spacing w:before="0" w:after="0"/>
              <w:jc w:val="center"/>
              <w:rPr>
                <w:rFonts w:cs="Arial"/>
                <w:sz w:val="16"/>
                <w:szCs w:val="16"/>
              </w:rPr>
            </w:pPr>
          </w:p>
        </w:tc>
      </w:tr>
      <w:tr w:rsidR="007D7C41" w:rsidRPr="00211A02" w14:paraId="5F231BC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BB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B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B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B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B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B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B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C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C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C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C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C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C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C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C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C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C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C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CB" w14:textId="77777777" w:rsidR="007D7C41" w:rsidRPr="00211A02" w:rsidRDefault="007D7C41" w:rsidP="00211A02">
            <w:pPr>
              <w:spacing w:before="0" w:after="0"/>
              <w:jc w:val="center"/>
              <w:rPr>
                <w:rFonts w:cs="Arial"/>
                <w:sz w:val="16"/>
                <w:szCs w:val="16"/>
              </w:rPr>
            </w:pPr>
          </w:p>
        </w:tc>
      </w:tr>
      <w:tr w:rsidR="007D7C41" w:rsidRPr="00211A02" w14:paraId="5F231BE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BC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C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C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D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D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D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D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D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D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D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D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D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D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D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D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D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D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D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DF" w14:textId="77777777" w:rsidR="007D7C41" w:rsidRPr="00211A02" w:rsidRDefault="007D7C41" w:rsidP="00211A02">
            <w:pPr>
              <w:spacing w:before="0" w:after="0"/>
              <w:jc w:val="center"/>
              <w:rPr>
                <w:rFonts w:cs="Arial"/>
                <w:sz w:val="16"/>
                <w:szCs w:val="16"/>
              </w:rPr>
            </w:pPr>
          </w:p>
        </w:tc>
      </w:tr>
      <w:tr w:rsidR="007D7C41" w:rsidRPr="00211A02" w14:paraId="5F231BF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BE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E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E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E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E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E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E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E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E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E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E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E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E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E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E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F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F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F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F3" w14:textId="77777777" w:rsidR="007D7C41" w:rsidRPr="00211A02" w:rsidRDefault="007D7C41" w:rsidP="00211A02">
            <w:pPr>
              <w:spacing w:before="0" w:after="0"/>
              <w:jc w:val="center"/>
              <w:rPr>
                <w:rFonts w:cs="Arial"/>
                <w:sz w:val="16"/>
                <w:szCs w:val="16"/>
              </w:rPr>
            </w:pPr>
          </w:p>
        </w:tc>
      </w:tr>
      <w:tr w:rsidR="007D7C41" w:rsidRPr="00211A02" w14:paraId="5F231C0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BF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F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F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F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F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F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F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F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F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F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BF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0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0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0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0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0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0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0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07" w14:textId="77777777" w:rsidR="007D7C41" w:rsidRPr="00211A02" w:rsidRDefault="007D7C41" w:rsidP="00211A02">
            <w:pPr>
              <w:spacing w:before="0" w:after="0"/>
              <w:jc w:val="center"/>
              <w:rPr>
                <w:rFonts w:cs="Arial"/>
                <w:sz w:val="16"/>
                <w:szCs w:val="16"/>
              </w:rPr>
            </w:pPr>
          </w:p>
        </w:tc>
      </w:tr>
      <w:tr w:rsidR="007D7C41" w:rsidRPr="00211A02" w14:paraId="5F231C1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C0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0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0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0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0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0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0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1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1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1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1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1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1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1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1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1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1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1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1B" w14:textId="77777777" w:rsidR="007D7C41" w:rsidRPr="00211A02" w:rsidRDefault="007D7C41" w:rsidP="00211A02">
            <w:pPr>
              <w:spacing w:before="0" w:after="0"/>
              <w:jc w:val="center"/>
              <w:rPr>
                <w:rFonts w:cs="Arial"/>
                <w:sz w:val="16"/>
                <w:szCs w:val="16"/>
              </w:rPr>
            </w:pPr>
          </w:p>
        </w:tc>
      </w:tr>
      <w:tr w:rsidR="007D7C41" w:rsidRPr="00211A02" w14:paraId="5F231C3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C1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1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1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2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2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2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2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2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2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2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2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2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2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2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2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2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2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2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2F" w14:textId="77777777" w:rsidR="007D7C41" w:rsidRPr="00211A02" w:rsidRDefault="007D7C41" w:rsidP="00211A02">
            <w:pPr>
              <w:spacing w:before="0" w:after="0"/>
              <w:jc w:val="center"/>
              <w:rPr>
                <w:rFonts w:cs="Arial"/>
                <w:sz w:val="16"/>
                <w:szCs w:val="16"/>
              </w:rPr>
            </w:pPr>
          </w:p>
        </w:tc>
      </w:tr>
      <w:tr w:rsidR="007D7C41" w:rsidRPr="00211A02" w14:paraId="5F231C44" w14:textId="77777777" w:rsidTr="00211A02">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1C3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Double Cone</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3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3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3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3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3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3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3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6.25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3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3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3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3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3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3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3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4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4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4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C4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r>
      <w:tr w:rsidR="007D7C41" w:rsidRPr="00211A02" w14:paraId="5F231C5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C4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4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4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4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4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4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4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4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7.83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4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4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4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5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5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5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5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5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5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5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2.23</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C5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r>
      <w:tr w:rsidR="007D7C41" w:rsidRPr="00211A02" w14:paraId="5F231C6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C5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5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5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5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5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5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5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6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6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6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6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6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6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6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6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6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6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6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2.26</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C6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r>
      <w:tr w:rsidR="007D7C41" w:rsidRPr="00211A02" w14:paraId="5F231C8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C6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6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6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7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7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7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7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7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7.44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7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7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7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7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7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7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7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7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7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7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2.37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C7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r>
      <w:tr w:rsidR="007D7C41" w:rsidRPr="00211A02" w14:paraId="5F231C9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C8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8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8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8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8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8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8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8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6.94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8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8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8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8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8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8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8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9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9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9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2.37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C9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r>
      <w:tr w:rsidR="007D7C41" w:rsidRPr="00211A02" w14:paraId="5F231CA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C9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9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9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9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9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9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9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9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6.25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9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9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9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A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A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A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A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A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A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A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1.67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CA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0.33</w:t>
            </w:r>
          </w:p>
        </w:tc>
      </w:tr>
      <w:tr w:rsidR="007D7C41" w:rsidRPr="00211A02" w14:paraId="5F231CB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CA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A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A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A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A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A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A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B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B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B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B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B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B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B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B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B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B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B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1.64</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CB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0.33</w:t>
            </w:r>
          </w:p>
        </w:tc>
      </w:tr>
      <w:tr w:rsidR="007D7C41" w:rsidRPr="00211A02" w14:paraId="5F231CD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CB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B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B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C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C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C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C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C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C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C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C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C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C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C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C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C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C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C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1.71</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CC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0.34</w:t>
            </w:r>
          </w:p>
        </w:tc>
      </w:tr>
      <w:tr w:rsidR="007D7C41" w:rsidRPr="00211A02" w14:paraId="5F231CE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CD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D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D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D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D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D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D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D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D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D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D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D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D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D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D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E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E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E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CE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r>
      <w:tr w:rsidR="007D7C41" w:rsidRPr="00211A02" w14:paraId="5F231CF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CE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E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E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E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E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E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E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E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6.04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E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E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E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F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F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F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F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F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F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F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1.09</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CF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0.22</w:t>
            </w:r>
          </w:p>
        </w:tc>
      </w:tr>
      <w:tr w:rsidR="007D7C41" w:rsidRPr="00211A02" w14:paraId="5F231D0C" w14:textId="77777777" w:rsidTr="00211A02">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1CF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Daydream</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F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F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F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F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F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CF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0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0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0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0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0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0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0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0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0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0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0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1.46</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D0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0.29</w:t>
            </w:r>
          </w:p>
        </w:tc>
      </w:tr>
      <w:tr w:rsidR="007D7C41" w:rsidRPr="00211A02" w14:paraId="5F231D2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D0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0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0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1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1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1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1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1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1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1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1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1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1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1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1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1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1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1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2.37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D1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r>
      <w:tr w:rsidR="007D7C41" w:rsidRPr="00211A02" w14:paraId="5F231D3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D2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2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2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2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2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2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2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2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9.42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2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2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2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2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2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2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2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3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3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3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1.89</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D3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0.38</w:t>
            </w:r>
          </w:p>
        </w:tc>
      </w:tr>
      <w:tr w:rsidR="007D7C41" w:rsidRPr="00211A02" w14:paraId="5F231D4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D3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3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3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3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3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3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3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3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3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3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3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4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4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4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4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4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4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4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1.58</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D4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r>
      <w:tr w:rsidR="007D7C41" w:rsidRPr="00211A02" w14:paraId="5F231D5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D4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4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4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4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4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4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4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5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5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5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5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5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5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5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5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5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5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5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D5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0.27</w:t>
            </w:r>
          </w:p>
        </w:tc>
      </w:tr>
      <w:tr w:rsidR="007D7C41" w:rsidRPr="00211A02" w14:paraId="5F231D7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D5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5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5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6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6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6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6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6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6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6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6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6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6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6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6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6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6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6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D6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r>
      <w:tr w:rsidR="007D7C41" w:rsidRPr="00211A02" w14:paraId="5F231D8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D7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7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7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7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7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7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7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7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7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7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7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7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7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7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7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8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8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8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D8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0.04</w:t>
            </w:r>
          </w:p>
        </w:tc>
      </w:tr>
      <w:tr w:rsidR="007D7C41" w:rsidRPr="00211A02" w14:paraId="5F231D9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D8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8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8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8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8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8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8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8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8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8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8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9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9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9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9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9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9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9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D9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w:t>
            </w:r>
          </w:p>
        </w:tc>
      </w:tr>
      <w:tr w:rsidR="007D7C41" w:rsidRPr="00211A02" w14:paraId="5F231DA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D9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9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9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9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9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9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9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A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A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A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A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A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A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A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A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A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A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A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-1.49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DA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w:t>
            </w:r>
          </w:p>
        </w:tc>
      </w:tr>
      <w:tr w:rsidR="007D7C41" w:rsidRPr="00211A02" w14:paraId="5F231DC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DA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A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A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B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B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B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B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B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B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B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B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B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B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B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B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B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B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B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-1.25</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DB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-0.25</w:t>
            </w:r>
          </w:p>
        </w:tc>
      </w:tr>
      <w:tr w:rsidR="007D7C41" w:rsidRPr="00211A02" w14:paraId="5F231DD4" w14:textId="77777777" w:rsidTr="00211A02">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1DC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Pine</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C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C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C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C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C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C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C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7.25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C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C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C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C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C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C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C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D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D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D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1.32</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DD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0.26</w:t>
            </w:r>
          </w:p>
        </w:tc>
      </w:tr>
      <w:tr w:rsidR="007D7C41" w:rsidRPr="00211A02" w14:paraId="5F231DE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DD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D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D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D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D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D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D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D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6.38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D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D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D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E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E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E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E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E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E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E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DE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r>
      <w:tr w:rsidR="007D7C41" w:rsidRPr="00211A02" w14:paraId="5F231DF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DE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E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E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E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E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E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E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F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F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F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F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F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F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F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F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F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F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F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DF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r>
      <w:tr w:rsidR="007D7C41" w:rsidRPr="00211A02" w14:paraId="5F231E1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DF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F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DF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0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0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0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0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0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6.44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0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0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0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0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0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0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0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0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0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0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E0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r>
      <w:tr w:rsidR="007D7C41" w:rsidRPr="00211A02" w14:paraId="5F231E2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E1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1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1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1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1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1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1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1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1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1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1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1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1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1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1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2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2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2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E2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r>
      <w:tr w:rsidR="007D7C41" w:rsidRPr="00211A02" w14:paraId="5F231E3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E2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2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2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2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2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2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2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2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2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2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2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3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3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3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3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3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3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3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E3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r>
      <w:tr w:rsidR="007D7C41" w:rsidRPr="00211A02" w14:paraId="5F231E4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E3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3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3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3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3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3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3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4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4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4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4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4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4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4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4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4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4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4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E4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r>
      <w:tr w:rsidR="007D7C41" w:rsidRPr="00211A02" w14:paraId="5F231E6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E4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4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4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5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5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5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5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5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5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5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5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5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5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5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5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5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5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5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1E5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-0.22</w:t>
            </w:r>
          </w:p>
        </w:tc>
      </w:tr>
      <w:tr w:rsidR="007D7C41" w:rsidRPr="00211A02" w14:paraId="5F231E7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E6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6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6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6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6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6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6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6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6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6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6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6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6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6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6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7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7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7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-2.23</w:t>
            </w:r>
          </w:p>
        </w:tc>
        <w:tc>
          <w:tcPr>
            <w:tcW w:w="0" w:type="auto"/>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5F231E7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r>
      <w:tr w:rsidR="007D7C41" w:rsidRPr="00211A02" w14:paraId="5F231E8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E7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7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7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7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7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7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7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7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7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7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7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8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8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8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8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8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8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8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-1.94</w:t>
            </w:r>
          </w:p>
        </w:tc>
        <w:tc>
          <w:tcPr>
            <w:tcW w:w="0" w:type="auto"/>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5F231E8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-0.39</w:t>
            </w:r>
          </w:p>
        </w:tc>
      </w:tr>
      <w:tr w:rsidR="007D7C41" w:rsidRPr="00211A02" w14:paraId="5F231E9C" w14:textId="77777777" w:rsidTr="00211A02">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1E8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Seaforth</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8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8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8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8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8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8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9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9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9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9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9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9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9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9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9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9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9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9B" w14:textId="77777777" w:rsidR="007D7C41" w:rsidRPr="00211A02" w:rsidRDefault="007D7C41" w:rsidP="00211A02">
            <w:pPr>
              <w:spacing w:before="0" w:after="0"/>
              <w:jc w:val="center"/>
              <w:rPr>
                <w:rFonts w:cs="Arial"/>
                <w:sz w:val="16"/>
                <w:szCs w:val="16"/>
              </w:rPr>
            </w:pPr>
          </w:p>
        </w:tc>
      </w:tr>
      <w:tr w:rsidR="007D7C41" w:rsidRPr="00211A02" w14:paraId="5F231EB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E9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9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9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A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A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A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A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A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A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A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A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A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A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A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A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A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A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A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AF" w14:textId="77777777" w:rsidR="007D7C41" w:rsidRPr="00211A02" w:rsidRDefault="007D7C41" w:rsidP="00211A02">
            <w:pPr>
              <w:spacing w:before="0" w:after="0"/>
              <w:jc w:val="center"/>
              <w:rPr>
                <w:rFonts w:cs="Arial"/>
                <w:sz w:val="16"/>
                <w:szCs w:val="16"/>
              </w:rPr>
            </w:pPr>
          </w:p>
        </w:tc>
      </w:tr>
      <w:tr w:rsidR="007D7C41" w:rsidRPr="00211A02" w14:paraId="5F231EC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EB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B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B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B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B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B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B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B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B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B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B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B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B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B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B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C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C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C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C3" w14:textId="77777777" w:rsidR="007D7C41" w:rsidRPr="00211A02" w:rsidRDefault="007D7C41" w:rsidP="00211A02">
            <w:pPr>
              <w:spacing w:before="0" w:after="0"/>
              <w:jc w:val="center"/>
              <w:rPr>
                <w:rFonts w:cs="Arial"/>
                <w:sz w:val="16"/>
                <w:szCs w:val="16"/>
              </w:rPr>
            </w:pPr>
          </w:p>
        </w:tc>
      </w:tr>
      <w:tr w:rsidR="007D7C41" w:rsidRPr="00211A02" w14:paraId="5F231ED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EC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C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C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C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C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C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C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C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C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C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C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D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D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D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D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D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D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D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D7" w14:textId="77777777" w:rsidR="007D7C41" w:rsidRPr="00211A02" w:rsidRDefault="007D7C41" w:rsidP="00211A02">
            <w:pPr>
              <w:spacing w:before="0" w:after="0"/>
              <w:jc w:val="center"/>
              <w:rPr>
                <w:rFonts w:cs="Arial"/>
                <w:sz w:val="16"/>
                <w:szCs w:val="16"/>
              </w:rPr>
            </w:pPr>
          </w:p>
        </w:tc>
      </w:tr>
      <w:tr w:rsidR="007D7C41" w:rsidRPr="00211A02" w14:paraId="5F231EE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ED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D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D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D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D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D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D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E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E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E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E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E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E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E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E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E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E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E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EB" w14:textId="77777777" w:rsidR="007D7C41" w:rsidRPr="00211A02" w:rsidRDefault="007D7C41" w:rsidP="00211A02">
            <w:pPr>
              <w:spacing w:before="0" w:after="0"/>
              <w:jc w:val="center"/>
              <w:rPr>
                <w:rFonts w:cs="Arial"/>
                <w:sz w:val="16"/>
                <w:szCs w:val="16"/>
              </w:rPr>
            </w:pPr>
          </w:p>
        </w:tc>
      </w:tr>
      <w:tr w:rsidR="007D7C41" w:rsidRPr="00211A02" w14:paraId="5F231F0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EE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E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E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F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F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F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F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F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F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F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F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F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F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F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F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F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F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F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EFF" w14:textId="77777777" w:rsidR="007D7C41" w:rsidRPr="00211A02" w:rsidRDefault="007D7C41" w:rsidP="00211A02">
            <w:pPr>
              <w:spacing w:before="0" w:after="0"/>
              <w:jc w:val="center"/>
              <w:rPr>
                <w:rFonts w:cs="Arial"/>
                <w:sz w:val="16"/>
                <w:szCs w:val="16"/>
              </w:rPr>
            </w:pPr>
          </w:p>
        </w:tc>
      </w:tr>
      <w:tr w:rsidR="007D7C41" w:rsidRPr="00211A02" w14:paraId="5F231F1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F0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0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0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0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0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0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0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0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0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0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0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0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0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0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0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1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1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1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13" w14:textId="77777777" w:rsidR="007D7C41" w:rsidRPr="00211A02" w:rsidRDefault="007D7C41" w:rsidP="00211A02">
            <w:pPr>
              <w:spacing w:before="0" w:after="0"/>
              <w:jc w:val="center"/>
              <w:rPr>
                <w:rFonts w:cs="Arial"/>
                <w:sz w:val="16"/>
                <w:szCs w:val="16"/>
              </w:rPr>
            </w:pPr>
          </w:p>
        </w:tc>
      </w:tr>
      <w:tr w:rsidR="007D7C41" w:rsidRPr="00211A02" w14:paraId="5F231F2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F1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1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1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1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1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1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1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1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1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1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1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2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2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2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2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2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2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2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27" w14:textId="77777777" w:rsidR="007D7C41" w:rsidRPr="00211A02" w:rsidRDefault="007D7C41" w:rsidP="00211A02">
            <w:pPr>
              <w:spacing w:before="0" w:after="0"/>
              <w:jc w:val="center"/>
              <w:rPr>
                <w:rFonts w:cs="Arial"/>
                <w:sz w:val="16"/>
                <w:szCs w:val="16"/>
              </w:rPr>
            </w:pPr>
          </w:p>
        </w:tc>
      </w:tr>
      <w:tr w:rsidR="007D7C41" w:rsidRPr="00211A02" w14:paraId="5F231F3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F2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2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2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2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2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2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2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3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3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3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3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3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3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3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3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3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3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3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3B" w14:textId="77777777" w:rsidR="007D7C41" w:rsidRPr="00211A02" w:rsidRDefault="007D7C41" w:rsidP="00211A02">
            <w:pPr>
              <w:spacing w:before="0" w:after="0"/>
              <w:jc w:val="center"/>
              <w:rPr>
                <w:rFonts w:cs="Arial"/>
                <w:sz w:val="16"/>
                <w:szCs w:val="16"/>
              </w:rPr>
            </w:pPr>
          </w:p>
        </w:tc>
      </w:tr>
      <w:tr w:rsidR="007D7C41" w:rsidRPr="00211A02" w14:paraId="5F231F5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F3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3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3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4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4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4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4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4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4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4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4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4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4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4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4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4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4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4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1F4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0.23</w:t>
            </w:r>
          </w:p>
        </w:tc>
      </w:tr>
      <w:tr w:rsidR="007D7C41" w:rsidRPr="00211A02" w14:paraId="5F231F64" w14:textId="77777777" w:rsidTr="00211A02">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1F5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Repulse</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5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5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5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5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5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5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5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5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5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5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5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5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5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5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6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6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6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63" w14:textId="77777777" w:rsidR="007D7C41" w:rsidRPr="00211A02" w:rsidRDefault="007D7C41" w:rsidP="00211A02">
            <w:pPr>
              <w:spacing w:before="0" w:after="0"/>
              <w:jc w:val="center"/>
              <w:rPr>
                <w:rFonts w:cs="Arial"/>
                <w:sz w:val="16"/>
                <w:szCs w:val="16"/>
              </w:rPr>
            </w:pPr>
          </w:p>
        </w:tc>
      </w:tr>
      <w:tr w:rsidR="007D7C41" w:rsidRPr="00211A02" w14:paraId="5F231F7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F6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6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6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6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6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6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6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6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6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6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6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7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7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7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7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7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7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7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77" w14:textId="77777777" w:rsidR="007D7C41" w:rsidRPr="00211A02" w:rsidRDefault="007D7C41" w:rsidP="00211A02">
            <w:pPr>
              <w:spacing w:before="0" w:after="0"/>
              <w:jc w:val="center"/>
              <w:rPr>
                <w:rFonts w:cs="Arial"/>
                <w:sz w:val="16"/>
                <w:szCs w:val="16"/>
              </w:rPr>
            </w:pPr>
          </w:p>
        </w:tc>
      </w:tr>
      <w:tr w:rsidR="007D7C41" w:rsidRPr="00211A02" w14:paraId="5F231F8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F7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7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7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7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7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7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7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8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8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8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8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8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8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8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8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8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8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8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8B" w14:textId="77777777" w:rsidR="007D7C41" w:rsidRPr="00211A02" w:rsidRDefault="007D7C41" w:rsidP="00211A02">
            <w:pPr>
              <w:spacing w:before="0" w:after="0"/>
              <w:jc w:val="center"/>
              <w:rPr>
                <w:rFonts w:cs="Arial"/>
                <w:sz w:val="16"/>
                <w:szCs w:val="16"/>
              </w:rPr>
            </w:pPr>
          </w:p>
        </w:tc>
      </w:tr>
      <w:tr w:rsidR="007D7C41" w:rsidRPr="00211A02" w14:paraId="5F231FA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F8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8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8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9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9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9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9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9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9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9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9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9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9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9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9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9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9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9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9F" w14:textId="77777777" w:rsidR="007D7C41" w:rsidRPr="00211A02" w:rsidRDefault="007D7C41" w:rsidP="00211A02">
            <w:pPr>
              <w:spacing w:before="0" w:after="0"/>
              <w:jc w:val="center"/>
              <w:rPr>
                <w:rFonts w:cs="Arial"/>
                <w:sz w:val="16"/>
                <w:szCs w:val="16"/>
              </w:rPr>
            </w:pPr>
          </w:p>
        </w:tc>
      </w:tr>
      <w:tr w:rsidR="007D7C41" w:rsidRPr="00211A02" w14:paraId="5F231FB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FA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A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A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A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A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A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A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A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A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A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A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A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A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A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A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B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B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B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B3" w14:textId="77777777" w:rsidR="007D7C41" w:rsidRPr="00211A02" w:rsidRDefault="007D7C41" w:rsidP="00211A02">
            <w:pPr>
              <w:spacing w:before="0" w:after="0"/>
              <w:jc w:val="center"/>
              <w:rPr>
                <w:rFonts w:cs="Arial"/>
                <w:sz w:val="16"/>
                <w:szCs w:val="16"/>
              </w:rPr>
            </w:pPr>
          </w:p>
        </w:tc>
      </w:tr>
      <w:tr w:rsidR="007D7C41" w:rsidRPr="00211A02" w14:paraId="5F231FC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FB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B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B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B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B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B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B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B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B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B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B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C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C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C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C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C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C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C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C7" w14:textId="77777777" w:rsidR="007D7C41" w:rsidRPr="00211A02" w:rsidRDefault="007D7C41" w:rsidP="00211A02">
            <w:pPr>
              <w:spacing w:before="0" w:after="0"/>
              <w:jc w:val="center"/>
              <w:rPr>
                <w:rFonts w:cs="Arial"/>
                <w:sz w:val="16"/>
                <w:szCs w:val="16"/>
              </w:rPr>
            </w:pPr>
          </w:p>
        </w:tc>
      </w:tr>
      <w:tr w:rsidR="007D7C41" w:rsidRPr="00211A02" w14:paraId="5F231FD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FC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C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C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C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C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C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C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D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D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D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D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D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D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D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D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D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D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D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DB" w14:textId="77777777" w:rsidR="007D7C41" w:rsidRPr="00211A02" w:rsidRDefault="007D7C41" w:rsidP="00211A02">
            <w:pPr>
              <w:spacing w:before="0" w:after="0"/>
              <w:jc w:val="center"/>
              <w:rPr>
                <w:rFonts w:cs="Arial"/>
                <w:sz w:val="16"/>
                <w:szCs w:val="16"/>
              </w:rPr>
            </w:pPr>
          </w:p>
        </w:tc>
      </w:tr>
      <w:tr w:rsidR="007D7C41" w:rsidRPr="00211A02" w14:paraId="5F231FF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FD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D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D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E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E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E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E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E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E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E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E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E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E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E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E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E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E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E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EF" w14:textId="77777777" w:rsidR="007D7C41" w:rsidRPr="00211A02" w:rsidRDefault="007D7C41" w:rsidP="00211A02">
            <w:pPr>
              <w:spacing w:before="0" w:after="0"/>
              <w:jc w:val="center"/>
              <w:rPr>
                <w:rFonts w:cs="Arial"/>
                <w:sz w:val="16"/>
                <w:szCs w:val="16"/>
              </w:rPr>
            </w:pPr>
          </w:p>
        </w:tc>
      </w:tr>
      <w:tr w:rsidR="007D7C41" w:rsidRPr="00211A02" w14:paraId="5F23200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1FF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F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F3"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F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F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F6"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F7"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F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F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FA"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FB"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F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F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FE"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1FFF"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0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0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02"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03" w14:textId="77777777" w:rsidR="007D7C41" w:rsidRPr="00211A02" w:rsidRDefault="007D7C41" w:rsidP="00211A02">
            <w:pPr>
              <w:spacing w:before="0" w:after="0"/>
              <w:jc w:val="center"/>
              <w:rPr>
                <w:rFonts w:cs="Arial"/>
                <w:sz w:val="16"/>
                <w:szCs w:val="16"/>
              </w:rPr>
            </w:pPr>
          </w:p>
        </w:tc>
      </w:tr>
      <w:tr w:rsidR="007D7C41" w:rsidRPr="00211A02" w14:paraId="5F23201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00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0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0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0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0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0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0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9.86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0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0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0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0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1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1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1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1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1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1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1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-1.23</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201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-0.25</w:t>
            </w:r>
          </w:p>
        </w:tc>
      </w:tr>
      <w:tr w:rsidR="007D7C41" w:rsidRPr="00211A02" w14:paraId="5F23202C" w14:textId="77777777" w:rsidTr="00211A02">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201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Barren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1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1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1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1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1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1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2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2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2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2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2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2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2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2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2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2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2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4.01</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202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w:t>
            </w:r>
          </w:p>
        </w:tc>
      </w:tr>
      <w:tr w:rsidR="007D7C41" w:rsidRPr="00211A02" w14:paraId="5F23204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02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2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2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3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3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3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3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3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3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3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3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3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3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3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3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3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3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3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3.9</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203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0.78</w:t>
            </w:r>
          </w:p>
        </w:tc>
      </w:tr>
      <w:tr w:rsidR="007D7C41" w:rsidRPr="00211A02" w14:paraId="5F23205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04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4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4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4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4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4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4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4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4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4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4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4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4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4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4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5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5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5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3.36</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205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0.67</w:t>
            </w:r>
          </w:p>
        </w:tc>
      </w:tr>
      <w:tr w:rsidR="007D7C41" w:rsidRPr="00211A02" w14:paraId="5F23206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05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5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5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5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5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5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5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5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5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5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5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6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6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6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6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6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6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6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3.61</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206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0.72</w:t>
            </w:r>
          </w:p>
        </w:tc>
      </w:tr>
      <w:tr w:rsidR="007D7C41" w:rsidRPr="00211A02" w14:paraId="5F23207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06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6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6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6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6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6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6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7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7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7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7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7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7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7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7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7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7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7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3.27</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207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0.65</w:t>
            </w:r>
          </w:p>
        </w:tc>
      </w:tr>
      <w:tr w:rsidR="007D7C41" w:rsidRPr="00211A02" w14:paraId="5F23209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07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7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7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8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8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8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8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8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8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8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8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8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8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8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8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8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8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8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3.4</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208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0.68</w:t>
            </w:r>
          </w:p>
        </w:tc>
      </w:tr>
      <w:tr w:rsidR="007D7C41" w:rsidRPr="00211A02" w14:paraId="5F2320A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09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9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9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9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9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9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9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9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9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9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9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9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9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9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9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A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A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A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3.57</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20A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0.71</w:t>
            </w:r>
          </w:p>
        </w:tc>
      </w:tr>
      <w:tr w:rsidR="007D7C41" w:rsidRPr="00211A02" w14:paraId="5F2320B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0A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A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A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A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A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A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A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A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A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A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A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B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B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B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B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B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B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B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3.02</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20B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w:t>
            </w:r>
          </w:p>
        </w:tc>
      </w:tr>
      <w:tr w:rsidR="007D7C41" w:rsidRPr="00211A02" w14:paraId="5F2320C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0B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B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B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B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B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B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B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C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C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C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C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C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C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C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C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C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C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C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2.89</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20C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0.58</w:t>
            </w:r>
          </w:p>
        </w:tc>
      </w:tr>
      <w:tr w:rsidR="007D7C41" w:rsidRPr="00211A02" w14:paraId="5F2320E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0C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C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C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D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D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D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D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D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D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D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D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D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D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D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D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D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D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D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3.32</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20D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0.66</w:t>
            </w:r>
          </w:p>
        </w:tc>
      </w:tr>
      <w:tr w:rsidR="007D7C41" w:rsidRPr="00211A02" w14:paraId="5F2320F4" w14:textId="77777777" w:rsidTr="00211A02">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20E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Keppels South</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E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E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E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E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E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E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E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14.25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E9"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E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E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E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E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E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E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F0"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F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F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2.38</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20F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0.48</w:t>
            </w:r>
          </w:p>
        </w:tc>
      </w:tr>
      <w:tr w:rsidR="007D7C41" w:rsidRPr="00211A02" w14:paraId="5F23210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0F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F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F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F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F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F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F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F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FD"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F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0F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0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0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0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0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04"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0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0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2.54</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210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0.51</w:t>
            </w:r>
          </w:p>
        </w:tc>
      </w:tr>
      <w:tr w:rsidR="007D7C41" w:rsidRPr="00211A02" w14:paraId="5F23211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10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0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0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0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0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0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0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1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1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1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1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1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1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1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1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1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1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1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211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w:t>
            </w:r>
          </w:p>
        </w:tc>
      </w:tr>
      <w:tr w:rsidR="007D7C41" w:rsidRPr="00211A02" w14:paraId="5F23213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11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1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1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2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2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2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2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2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9.75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2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2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2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2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2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2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2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2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2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2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2.24</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212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r>
      <w:tr w:rsidR="007D7C41" w:rsidRPr="00211A02" w14:paraId="5F23214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13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3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3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3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3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3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3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3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7.94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3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3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3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3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3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3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3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4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4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4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214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0.22</w:t>
            </w:r>
          </w:p>
        </w:tc>
      </w:tr>
      <w:tr w:rsidR="007D7C41" w:rsidRPr="00211A02" w14:paraId="5F23215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14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4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4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4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4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4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4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4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4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4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4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5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5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5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5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5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5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5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1.18</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215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0.24</w:t>
            </w:r>
          </w:p>
        </w:tc>
      </w:tr>
      <w:tr w:rsidR="007D7C41" w:rsidRPr="00211A02" w14:paraId="5F23216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15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5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5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5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5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5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5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6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9.68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6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6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6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6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6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6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6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6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6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6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1.82</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216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0.36</w:t>
            </w:r>
          </w:p>
        </w:tc>
      </w:tr>
      <w:tr w:rsidR="007D7C41" w:rsidRPr="00211A02" w14:paraId="5F23218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16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6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6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7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7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7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7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7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7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7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7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7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7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7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7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7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7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7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1.45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217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0.29</w:t>
            </w:r>
          </w:p>
        </w:tc>
      </w:tr>
      <w:tr w:rsidR="007D7C41" w:rsidRPr="00211A02" w14:paraId="5F23219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18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8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8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8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8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8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8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8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9.55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8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8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8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8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8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8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8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9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9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9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2.37</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219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r>
      <w:tr w:rsidR="007D7C41" w:rsidRPr="00211A02" w14:paraId="5F2321A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19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9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9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9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9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9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9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9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9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9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9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A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A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A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A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A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A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A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2.74</w:t>
            </w:r>
          </w:p>
        </w:tc>
        <w:tc>
          <w:tcPr>
            <w:tcW w:w="0" w:type="auto"/>
            <w:tcBorders>
              <w:top w:val="single" w:sz="4" w:space="0" w:color="000000"/>
              <w:left w:val="single" w:sz="4" w:space="0" w:color="000000"/>
              <w:bottom w:val="single" w:sz="4" w:space="0" w:color="000000"/>
              <w:right w:val="single" w:sz="4" w:space="0" w:color="000000"/>
            </w:tcBorders>
            <w:shd w:val="clear" w:color="auto" w:fill="00B050"/>
            <w:tcMar>
              <w:top w:w="40" w:type="dxa"/>
              <w:left w:w="40" w:type="dxa"/>
              <w:bottom w:w="40" w:type="dxa"/>
              <w:right w:w="40" w:type="dxa"/>
            </w:tcMar>
            <w:vAlign w:val="center"/>
          </w:tcPr>
          <w:p w14:paraId="5F2321A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0.55</w:t>
            </w:r>
          </w:p>
        </w:tc>
      </w:tr>
      <w:tr w:rsidR="007D7C41" w:rsidRPr="00211A02" w14:paraId="5F2321BC" w14:textId="77777777" w:rsidTr="00211A02">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5F2321A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Pelican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A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2003-2006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A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A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A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A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A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B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B1"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B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B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B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B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B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B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B8"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B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B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1.69</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40" w:type="dxa"/>
              <w:left w:w="40" w:type="dxa"/>
              <w:bottom w:w="40" w:type="dxa"/>
              <w:right w:w="40" w:type="dxa"/>
            </w:tcMar>
            <w:vAlign w:val="center"/>
          </w:tcPr>
          <w:p w14:paraId="5F2321B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0.34</w:t>
            </w:r>
          </w:p>
        </w:tc>
      </w:tr>
      <w:tr w:rsidR="007D7C41" w:rsidRPr="00211A02" w14:paraId="5F2321D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1B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B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2004-2007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B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C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C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C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C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4.99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C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C5"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C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C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C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C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C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C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CC" w14:textId="77777777" w:rsidR="007D7C41" w:rsidRPr="00211A02" w:rsidRDefault="007D7C41" w:rsidP="00211A02">
            <w:pPr>
              <w:spacing w:before="0" w:after="0"/>
              <w:jc w:val="center"/>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C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C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21C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r>
      <w:tr w:rsidR="007D7C41" w:rsidRPr="00211A02" w14:paraId="5F2321E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1D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D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2005-2008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D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D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1.43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D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D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D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D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D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7.09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D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D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D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D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D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D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E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E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E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-1.94</w:t>
            </w:r>
          </w:p>
        </w:tc>
        <w:tc>
          <w:tcPr>
            <w:tcW w:w="0" w:type="auto"/>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5F2321E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-0.39</w:t>
            </w:r>
          </w:p>
        </w:tc>
      </w:tr>
      <w:tr w:rsidR="007D7C41" w:rsidRPr="00211A02" w14:paraId="5F2321F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1E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E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2006-2009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E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E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E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E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E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E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E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E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E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F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F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F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F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F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F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F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-2.13</w:t>
            </w:r>
          </w:p>
        </w:tc>
        <w:tc>
          <w:tcPr>
            <w:tcW w:w="0" w:type="auto"/>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5F2321F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-0.43</w:t>
            </w:r>
          </w:p>
        </w:tc>
      </w:tr>
      <w:tr w:rsidR="007D7C41" w:rsidRPr="00211A02" w14:paraId="5F23220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1F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F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2007-2010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F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F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F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F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1F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0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0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0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0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0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0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0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0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0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0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0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-3.4</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220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-0.68</w:t>
            </w:r>
          </w:p>
        </w:tc>
      </w:tr>
      <w:tr w:rsidR="007D7C41" w:rsidRPr="00211A02" w14:paraId="5F23222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20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0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2008-2011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0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1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1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1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1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1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1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1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1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1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1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1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1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1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1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1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-3.38</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23221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-0.68</w:t>
            </w:r>
          </w:p>
        </w:tc>
      </w:tr>
      <w:tr w:rsidR="007D7C41" w:rsidRPr="00211A02" w14:paraId="5F232234"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221"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2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2009-2012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2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2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2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2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2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3.78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2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3.91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2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2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2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2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2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2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2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3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3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3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-2.58</w:t>
            </w:r>
          </w:p>
        </w:tc>
        <w:tc>
          <w:tcPr>
            <w:tcW w:w="0" w:type="auto"/>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5F23223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-0.52</w:t>
            </w:r>
          </w:p>
        </w:tc>
      </w:tr>
      <w:tr w:rsidR="007D7C41" w:rsidRPr="00211A02" w14:paraId="5F232248"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235"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3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2010-2013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3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3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3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3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3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3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3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3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3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4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4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4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4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4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4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4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-2.72</w:t>
            </w:r>
          </w:p>
        </w:tc>
        <w:tc>
          <w:tcPr>
            <w:tcW w:w="0" w:type="auto"/>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5F23224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-0.54</w:t>
            </w:r>
          </w:p>
        </w:tc>
      </w:tr>
      <w:tr w:rsidR="007D7C41" w:rsidRPr="00211A02" w14:paraId="5F23225C"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249"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4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2011-2014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4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4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4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4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4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4.23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5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5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5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5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5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5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5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5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5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5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5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-1.3</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225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-0.26</w:t>
            </w:r>
          </w:p>
        </w:tc>
      </w:tr>
      <w:tr w:rsidR="007D7C41" w:rsidRPr="00211A02" w14:paraId="5F232270" w14:textId="77777777" w:rsidTr="00211A02">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23225D" w14:textId="77777777" w:rsidR="007D7C41" w:rsidRPr="00211A02" w:rsidRDefault="007D7C41" w:rsidP="00211A02">
            <w:pPr>
              <w:spacing w:before="0" w:after="0"/>
              <w:rPr>
                <w:rFonts w:cs="Arial"/>
                <w:sz w:val="16"/>
                <w:szCs w:val="16"/>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5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2012-2015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5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60"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61"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62"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63"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2.73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64"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3.32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65"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5.34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66"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67"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68"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69"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6A"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6B"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6C"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6D"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F23226E"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F23226F" w14:textId="77777777" w:rsidR="007D7C41" w:rsidRPr="00211A02" w:rsidRDefault="007D7C41" w:rsidP="00211A02">
            <w:pPr>
              <w:spacing w:before="0" w:after="0"/>
              <w:jc w:val="center"/>
              <w:rPr>
                <w:rFonts w:cs="Arial"/>
                <w:sz w:val="16"/>
                <w:szCs w:val="16"/>
              </w:rPr>
            </w:pPr>
            <w:r w:rsidRPr="00211A02">
              <w:rPr>
                <w:rFonts w:cs="Arial"/>
                <w:color w:val="000000"/>
                <w:sz w:val="16"/>
                <w:szCs w:val="16"/>
              </w:rPr>
              <w:t>-0.09</w:t>
            </w:r>
          </w:p>
        </w:tc>
      </w:tr>
      <w:bookmarkEnd w:id="1640"/>
    </w:tbl>
    <w:p w14:paraId="5F232271" w14:textId="77777777" w:rsidR="00DD643E" w:rsidRPr="008467AA" w:rsidRDefault="00DD643E" w:rsidP="00164E5E">
      <w:pPr>
        <w:pStyle w:val="Caption"/>
        <w:rPr>
          <w:rStyle w:val="IntenseReference"/>
          <w:color w:val="auto"/>
          <w:lang w:val="en-AU"/>
        </w:rPr>
      </w:pPr>
    </w:p>
    <w:p w14:paraId="5F232272" w14:textId="77777777" w:rsidR="00165634" w:rsidRDefault="00165634" w:rsidP="00E94E33">
      <w:pPr>
        <w:rPr>
          <w:color w:val="0070C0"/>
          <w:lang w:val="en-AU"/>
        </w:rPr>
        <w:sectPr w:rsidR="00165634" w:rsidSect="00211A02">
          <w:footerReference w:type="even" r:id="rId432"/>
          <w:headerReference w:type="first" r:id="rId433"/>
          <w:pgSz w:w="16840" w:h="11907" w:orient="landscape" w:code="9"/>
          <w:pgMar w:top="851" w:right="851" w:bottom="851" w:left="851" w:header="680" w:footer="680" w:gutter="0"/>
          <w:cols w:space="708"/>
          <w:docGrid w:linePitch="360"/>
        </w:sectPr>
      </w:pPr>
    </w:p>
    <w:p w14:paraId="5F232273" w14:textId="77777777" w:rsidR="00E94E33" w:rsidRDefault="00E94E33" w:rsidP="00E94E33">
      <w:pPr>
        <w:rPr>
          <w:color w:val="0070C0"/>
          <w:lang w:val="en-AU"/>
        </w:rPr>
      </w:pPr>
    </w:p>
    <w:p w14:paraId="5F232274" w14:textId="77777777" w:rsidR="00165634" w:rsidRDefault="00165634" w:rsidP="00ED4B40">
      <w:pPr>
        <w:jc w:val="center"/>
        <w:rPr>
          <w:color w:val="0070C0"/>
          <w:lang w:val="en-AU"/>
        </w:rPr>
      </w:pPr>
      <w:r>
        <w:rPr>
          <w:noProof/>
          <w:lang w:val="en-AU" w:eastAsia="en-AU"/>
        </w:rPr>
        <w:drawing>
          <wp:inline distT="0" distB="0" distL="0" distR="0" wp14:anchorId="5F23245D" wp14:editId="6FB43D76">
            <wp:extent cx="7920000" cy="4950000"/>
            <wp:effectExtent l="0" t="0" r="5080" b="3175"/>
            <wp:docPr id="60" name="Picture 60" descr="This figure shows the mixing plots for DIN in the Russell-Mulgrave, Tully and Burdekin regions for 2014-15. Sites are colour coded to identify location on maps and sampling date relative to river flow over wet season. Freshwater end were estimated from all samples collected at salinity &lt; 5 in each region." title="Mixing plots for DIN in the Russell-Mulgrave, Tully and Burdekin regions for 20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Nfig.jpg"/>
                    <pic:cNvPicPr/>
                  </pic:nvPicPr>
                  <pic:blipFill>
                    <a:blip r:embed="rId434" cstate="print">
                      <a:extLst>
                        <a:ext uri="{28A0092B-C50C-407E-A947-70E740481C1C}">
                          <a14:useLocalDpi xmlns:a14="http://schemas.microsoft.com/office/drawing/2010/main" val="0"/>
                        </a:ext>
                      </a:extLst>
                    </a:blip>
                    <a:stretch>
                      <a:fillRect/>
                    </a:stretch>
                  </pic:blipFill>
                  <pic:spPr>
                    <a:xfrm>
                      <a:off x="0" y="0"/>
                      <a:ext cx="7920000" cy="4950000"/>
                    </a:xfrm>
                    <a:prstGeom prst="rect">
                      <a:avLst/>
                    </a:prstGeom>
                  </pic:spPr>
                </pic:pic>
              </a:graphicData>
            </a:graphic>
          </wp:inline>
        </w:drawing>
      </w:r>
    </w:p>
    <w:p w14:paraId="5F232275" w14:textId="77085760" w:rsidR="00ED4B40" w:rsidRPr="00ED4B40" w:rsidRDefault="00ED4B40" w:rsidP="00164E5E">
      <w:pPr>
        <w:pStyle w:val="Caption"/>
      </w:pPr>
      <w:bookmarkStart w:id="1641" w:name="_Toc459332217"/>
      <w:r>
        <w:t xml:space="preserve">Figure A2 </w:t>
      </w:r>
      <w:r w:rsidR="00EB33A6">
        <w:fldChar w:fldCharType="begin"/>
      </w:r>
      <w:r w:rsidR="00D8225E">
        <w:instrText xml:space="preserve"> SEQ Figure_A2 \* ARABIC </w:instrText>
      </w:r>
      <w:r w:rsidR="00EB33A6">
        <w:fldChar w:fldCharType="separate"/>
      </w:r>
      <w:r w:rsidR="007F5336">
        <w:rPr>
          <w:noProof/>
        </w:rPr>
        <w:t>7</w:t>
      </w:r>
      <w:r w:rsidR="00EB33A6">
        <w:rPr>
          <w:noProof/>
        </w:rPr>
        <w:fldChar w:fldCharType="end"/>
      </w:r>
      <w:r>
        <w:t>:</w:t>
      </w:r>
      <w:r w:rsidRPr="008467AA">
        <w:t xml:space="preserve"> </w:t>
      </w:r>
      <w:r w:rsidRPr="00ED4B40">
        <w:t>Mixing plots for DIN in the Russell-Mulgrave, Tully and Burdekin regions for 2014-15. Sites are colour coded to identify location on maps and sampling date relative to river flow over wet season</w:t>
      </w:r>
      <w:r>
        <w:t>.</w:t>
      </w:r>
      <w:r w:rsidRPr="00ED4B40">
        <w:rPr>
          <w:rStyle w:val="IntenseReference"/>
          <w:bCs w:val="0"/>
          <w:color w:val="auto"/>
          <w:lang w:val="en-AU"/>
        </w:rPr>
        <w:t xml:space="preserve"> </w:t>
      </w:r>
      <w:r w:rsidRPr="00ED4B40">
        <w:t>Freshwater end were estimated from all samples collected at salinity &lt; 5 in each region.</w:t>
      </w:r>
      <w:bookmarkEnd w:id="1641"/>
    </w:p>
    <w:p w14:paraId="5F232276" w14:textId="77777777" w:rsidR="00ED4B40" w:rsidRDefault="00ED4B40" w:rsidP="00ED4B40">
      <w:pPr>
        <w:jc w:val="center"/>
        <w:rPr>
          <w:color w:val="0070C0"/>
          <w:lang w:val="en-AU"/>
        </w:rPr>
      </w:pPr>
    </w:p>
    <w:p w14:paraId="5F232277" w14:textId="77777777" w:rsidR="00165634" w:rsidRDefault="00165634" w:rsidP="00ED4B40">
      <w:pPr>
        <w:jc w:val="center"/>
        <w:rPr>
          <w:color w:val="0070C0"/>
          <w:lang w:val="en-AU"/>
        </w:rPr>
      </w:pPr>
      <w:r>
        <w:rPr>
          <w:noProof/>
          <w:lang w:val="en-AU" w:eastAsia="en-AU"/>
        </w:rPr>
        <w:drawing>
          <wp:inline distT="0" distB="0" distL="0" distR="0" wp14:anchorId="5F23245F" wp14:editId="76ADAF42">
            <wp:extent cx="7920000" cy="4950000"/>
            <wp:effectExtent l="0" t="0" r="5080" b="3175"/>
            <wp:docPr id="61" name="Picture 61" descr="This figure shows the mixing plots for DIP in the Russell-Mulgrave, Tully and Burdekin regions for 2014-15. Sites are colour coded to identify location on maps and sampling date relative to river flow over wet season. Freshwater end were estimated from all samples collected at salinity &lt; 5 in each region." title="Mixing plots for DIP in the Russell-Mulgrave, Tully and Burdekin regions for 20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Pfig.jpg"/>
                    <pic:cNvPicPr/>
                  </pic:nvPicPr>
                  <pic:blipFill>
                    <a:blip r:embed="rId435" cstate="print">
                      <a:extLst>
                        <a:ext uri="{28A0092B-C50C-407E-A947-70E740481C1C}">
                          <a14:useLocalDpi xmlns:a14="http://schemas.microsoft.com/office/drawing/2010/main" val="0"/>
                        </a:ext>
                      </a:extLst>
                    </a:blip>
                    <a:stretch>
                      <a:fillRect/>
                    </a:stretch>
                  </pic:blipFill>
                  <pic:spPr>
                    <a:xfrm>
                      <a:off x="0" y="0"/>
                      <a:ext cx="7920000" cy="4950000"/>
                    </a:xfrm>
                    <a:prstGeom prst="rect">
                      <a:avLst/>
                    </a:prstGeom>
                  </pic:spPr>
                </pic:pic>
              </a:graphicData>
            </a:graphic>
          </wp:inline>
        </w:drawing>
      </w:r>
    </w:p>
    <w:p w14:paraId="5F232278" w14:textId="5255B6F1" w:rsidR="00ED4B40" w:rsidRPr="008467AA" w:rsidRDefault="00ED4B40" w:rsidP="00164E5E">
      <w:pPr>
        <w:pStyle w:val="Caption"/>
      </w:pPr>
      <w:bookmarkStart w:id="1642" w:name="_Toc459332218"/>
      <w:r>
        <w:t xml:space="preserve">Figure A2 </w:t>
      </w:r>
      <w:r w:rsidR="00EB33A6">
        <w:fldChar w:fldCharType="begin"/>
      </w:r>
      <w:r w:rsidR="00D8225E">
        <w:instrText xml:space="preserve"> SEQ Figure_A2 \* ARABIC </w:instrText>
      </w:r>
      <w:r w:rsidR="00EB33A6">
        <w:fldChar w:fldCharType="separate"/>
      </w:r>
      <w:r w:rsidR="007F5336">
        <w:rPr>
          <w:noProof/>
        </w:rPr>
        <w:t>8</w:t>
      </w:r>
      <w:r w:rsidR="00EB33A6">
        <w:rPr>
          <w:noProof/>
        </w:rPr>
        <w:fldChar w:fldCharType="end"/>
      </w:r>
      <w:r>
        <w:t>:</w:t>
      </w:r>
      <w:r w:rsidRPr="008467AA">
        <w:t xml:space="preserve"> </w:t>
      </w:r>
      <w:r w:rsidRPr="00ED4B40">
        <w:t xml:space="preserve">Mixing plots for </w:t>
      </w:r>
      <w:r>
        <w:t>DIP</w:t>
      </w:r>
      <w:r w:rsidRPr="00ED4B40">
        <w:t xml:space="preserve"> in the Russell-Mulgrave, Tully and Burdekin regions for 2014-15. Sites are colour coded to identify location on maps and sampling date relative to river flow over wet season</w:t>
      </w:r>
      <w:r>
        <w:t>.</w:t>
      </w:r>
      <w:r w:rsidRPr="00ED4B40">
        <w:rPr>
          <w:rStyle w:val="IntenseReference"/>
          <w:bCs w:val="0"/>
          <w:color w:val="auto"/>
          <w:lang w:val="en-AU"/>
        </w:rPr>
        <w:t xml:space="preserve"> </w:t>
      </w:r>
      <w:r w:rsidRPr="00ED4B40">
        <w:t>Freshwater end were estimated from all samples collected at salinity &lt; 5 in each region.</w:t>
      </w:r>
      <w:bookmarkEnd w:id="1642"/>
    </w:p>
    <w:p w14:paraId="5F232279" w14:textId="77777777" w:rsidR="00165634" w:rsidRDefault="00165634" w:rsidP="00E94E33">
      <w:pPr>
        <w:rPr>
          <w:color w:val="0070C0"/>
          <w:lang w:val="en-AU"/>
        </w:rPr>
      </w:pPr>
    </w:p>
    <w:p w14:paraId="5F23227A" w14:textId="77777777" w:rsidR="00165634" w:rsidRDefault="00165634" w:rsidP="00ED4B40">
      <w:pPr>
        <w:jc w:val="center"/>
        <w:rPr>
          <w:color w:val="0070C0"/>
          <w:lang w:val="en-AU"/>
        </w:rPr>
      </w:pPr>
      <w:r>
        <w:rPr>
          <w:noProof/>
          <w:lang w:val="en-AU" w:eastAsia="en-AU"/>
        </w:rPr>
        <w:drawing>
          <wp:inline distT="0" distB="0" distL="0" distR="0" wp14:anchorId="5F232461" wp14:editId="32193438">
            <wp:extent cx="7920000" cy="4950000"/>
            <wp:effectExtent l="0" t="0" r="5080" b="3175"/>
            <wp:docPr id="63" name="Picture 63" descr="This figure shows the mixing plots for Kd(PAR) in the Russell-Mulgrave, Tully and Burdekin regions for 2014-15. Sites are colour coded to identify location on maps and sampling date relative to river flow over wet season. Freshwater end were estimated from all samples collected at salinity &lt; 5 in each region." title="Mixing plots for Kd(PAR) in the Russell-Mulgrave, Tully and Burdekin regions for 20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dfig.jpg"/>
                    <pic:cNvPicPr/>
                  </pic:nvPicPr>
                  <pic:blipFill>
                    <a:blip r:embed="rId436" cstate="print">
                      <a:extLst>
                        <a:ext uri="{28A0092B-C50C-407E-A947-70E740481C1C}">
                          <a14:useLocalDpi xmlns:a14="http://schemas.microsoft.com/office/drawing/2010/main" val="0"/>
                        </a:ext>
                      </a:extLst>
                    </a:blip>
                    <a:stretch>
                      <a:fillRect/>
                    </a:stretch>
                  </pic:blipFill>
                  <pic:spPr>
                    <a:xfrm>
                      <a:off x="0" y="0"/>
                      <a:ext cx="7920000" cy="4950000"/>
                    </a:xfrm>
                    <a:prstGeom prst="rect">
                      <a:avLst/>
                    </a:prstGeom>
                  </pic:spPr>
                </pic:pic>
              </a:graphicData>
            </a:graphic>
          </wp:inline>
        </w:drawing>
      </w:r>
    </w:p>
    <w:p w14:paraId="5F23227B" w14:textId="33AC477F" w:rsidR="00ED4B40" w:rsidRPr="008467AA" w:rsidRDefault="00ED4B40" w:rsidP="00164E5E">
      <w:pPr>
        <w:pStyle w:val="Caption"/>
      </w:pPr>
      <w:bookmarkStart w:id="1643" w:name="_Toc459332219"/>
      <w:r>
        <w:t xml:space="preserve">Figure A2 </w:t>
      </w:r>
      <w:r w:rsidR="00EB33A6">
        <w:fldChar w:fldCharType="begin"/>
      </w:r>
      <w:r w:rsidR="00D8225E">
        <w:instrText xml:space="preserve"> SEQ Figure_A2 \* ARABIC </w:instrText>
      </w:r>
      <w:r w:rsidR="00EB33A6">
        <w:fldChar w:fldCharType="separate"/>
      </w:r>
      <w:r w:rsidR="007F5336">
        <w:rPr>
          <w:noProof/>
        </w:rPr>
        <w:t>9</w:t>
      </w:r>
      <w:r w:rsidR="00EB33A6">
        <w:rPr>
          <w:noProof/>
        </w:rPr>
        <w:fldChar w:fldCharType="end"/>
      </w:r>
      <w:r>
        <w:t>:</w:t>
      </w:r>
      <w:r w:rsidRPr="008467AA">
        <w:t xml:space="preserve"> </w:t>
      </w:r>
      <w:r w:rsidRPr="00ED4B40">
        <w:t xml:space="preserve">Mixing plots for </w:t>
      </w:r>
      <w:r>
        <w:t>Kd(PAR)</w:t>
      </w:r>
      <w:r w:rsidRPr="00ED4B40">
        <w:t xml:space="preserve"> in the Russell-Mulgrave, Tully and Burdekin regions for 2014-15. Sites are colour coded to identify location on maps and sampling date relative to river flow over wet season</w:t>
      </w:r>
      <w:r>
        <w:t>.</w:t>
      </w:r>
      <w:r w:rsidRPr="00ED4B40">
        <w:rPr>
          <w:rStyle w:val="IntenseReference"/>
          <w:bCs w:val="0"/>
          <w:color w:val="auto"/>
          <w:lang w:val="en-AU"/>
        </w:rPr>
        <w:t xml:space="preserve"> </w:t>
      </w:r>
      <w:r w:rsidRPr="00ED4B40">
        <w:t>Freshwater end were estimated from all samples collected at salinity &lt; 5 in each region.</w:t>
      </w:r>
      <w:bookmarkEnd w:id="1643"/>
    </w:p>
    <w:p w14:paraId="5F23227C" w14:textId="77777777" w:rsidR="00165634" w:rsidRDefault="00165634" w:rsidP="00E94E33">
      <w:pPr>
        <w:rPr>
          <w:color w:val="0070C0"/>
          <w:lang w:val="en-AU"/>
        </w:rPr>
      </w:pPr>
    </w:p>
    <w:p w14:paraId="5F23227D" w14:textId="77777777" w:rsidR="00165634" w:rsidRDefault="00165634" w:rsidP="00ED4B40">
      <w:pPr>
        <w:jc w:val="center"/>
        <w:rPr>
          <w:color w:val="0070C0"/>
          <w:lang w:val="en-AU"/>
        </w:rPr>
      </w:pPr>
      <w:r>
        <w:rPr>
          <w:noProof/>
          <w:lang w:val="en-AU" w:eastAsia="en-AU"/>
        </w:rPr>
        <w:drawing>
          <wp:inline distT="0" distB="0" distL="0" distR="0" wp14:anchorId="5F232463" wp14:editId="4CDF6F01">
            <wp:extent cx="7920000" cy="4950000"/>
            <wp:effectExtent l="0" t="0" r="5080" b="3175"/>
            <wp:docPr id="29" name="Picture 29" descr="This figure shows the mixing plots for TSS in the Russell-Mulgrave, Tully and Burdekin regions for 2014-15. Sites are colour coded to identify location on maps and sampling date relative to river flow over wet season. Freshwater end were estimated from all samples collected at salinity &lt; 5 in each region" title="Mixing plots for TSS in the Russell-Mulgrave, Tully and Burdekin regions for 20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SSfig.jpg"/>
                    <pic:cNvPicPr/>
                  </pic:nvPicPr>
                  <pic:blipFill>
                    <a:blip r:embed="rId437" cstate="print">
                      <a:extLst>
                        <a:ext uri="{28A0092B-C50C-407E-A947-70E740481C1C}">
                          <a14:useLocalDpi xmlns:a14="http://schemas.microsoft.com/office/drawing/2010/main" val="0"/>
                        </a:ext>
                      </a:extLst>
                    </a:blip>
                    <a:stretch>
                      <a:fillRect/>
                    </a:stretch>
                  </pic:blipFill>
                  <pic:spPr>
                    <a:xfrm>
                      <a:off x="0" y="0"/>
                      <a:ext cx="7920000" cy="4950000"/>
                    </a:xfrm>
                    <a:prstGeom prst="rect">
                      <a:avLst/>
                    </a:prstGeom>
                  </pic:spPr>
                </pic:pic>
              </a:graphicData>
            </a:graphic>
          </wp:inline>
        </w:drawing>
      </w:r>
    </w:p>
    <w:p w14:paraId="5F23227E" w14:textId="5670B00F" w:rsidR="00ED4B40" w:rsidRPr="008467AA" w:rsidRDefault="00ED4B40" w:rsidP="00164E5E">
      <w:pPr>
        <w:pStyle w:val="Caption"/>
      </w:pPr>
      <w:bookmarkStart w:id="1644" w:name="_Toc459332220"/>
      <w:r>
        <w:t xml:space="preserve">Figure A2 </w:t>
      </w:r>
      <w:r w:rsidR="00EB33A6">
        <w:fldChar w:fldCharType="begin"/>
      </w:r>
      <w:r w:rsidR="00D8225E">
        <w:instrText xml:space="preserve"> SEQ Figure_A2 \* ARABIC </w:instrText>
      </w:r>
      <w:r w:rsidR="00EB33A6">
        <w:fldChar w:fldCharType="separate"/>
      </w:r>
      <w:r w:rsidR="007F5336">
        <w:rPr>
          <w:noProof/>
        </w:rPr>
        <w:t>10</w:t>
      </w:r>
      <w:r w:rsidR="00EB33A6">
        <w:rPr>
          <w:noProof/>
        </w:rPr>
        <w:fldChar w:fldCharType="end"/>
      </w:r>
      <w:r>
        <w:t>:</w:t>
      </w:r>
      <w:r w:rsidRPr="008467AA">
        <w:t xml:space="preserve"> </w:t>
      </w:r>
      <w:r w:rsidRPr="00ED4B40">
        <w:t xml:space="preserve">Mixing plots for </w:t>
      </w:r>
      <w:r>
        <w:t>TSS</w:t>
      </w:r>
      <w:r w:rsidRPr="00ED4B40">
        <w:t xml:space="preserve"> in the Russell-Mulgrave, Tully and Burdekin regions for 2014-15. Sites are colour coded to identify location on maps and sampling date relative to river flow over wet season</w:t>
      </w:r>
      <w:r>
        <w:t>.</w:t>
      </w:r>
      <w:r w:rsidRPr="00ED4B40">
        <w:rPr>
          <w:rStyle w:val="IntenseReference"/>
          <w:bCs w:val="0"/>
          <w:color w:val="auto"/>
          <w:lang w:val="en-AU"/>
        </w:rPr>
        <w:t xml:space="preserve"> </w:t>
      </w:r>
      <w:r w:rsidRPr="00ED4B40">
        <w:t>Freshwater end were estimated from all samples collected at salinity &lt; 5 in each region.</w:t>
      </w:r>
      <w:bookmarkEnd w:id="1644"/>
    </w:p>
    <w:p w14:paraId="5F23227F" w14:textId="77777777" w:rsidR="00165634" w:rsidRDefault="00165634" w:rsidP="00E94E33">
      <w:pPr>
        <w:rPr>
          <w:color w:val="0070C0"/>
          <w:lang w:val="en-AU"/>
        </w:rPr>
      </w:pPr>
    </w:p>
    <w:p w14:paraId="5F232280" w14:textId="77777777" w:rsidR="00165634" w:rsidRDefault="00165634" w:rsidP="00ED4B40">
      <w:pPr>
        <w:jc w:val="center"/>
        <w:rPr>
          <w:color w:val="0070C0"/>
          <w:lang w:val="en-AU"/>
        </w:rPr>
      </w:pPr>
      <w:r>
        <w:rPr>
          <w:noProof/>
          <w:lang w:val="en-AU" w:eastAsia="en-AU"/>
        </w:rPr>
        <w:drawing>
          <wp:inline distT="0" distB="0" distL="0" distR="0" wp14:anchorId="5F232465" wp14:editId="78BC4EC9">
            <wp:extent cx="7920000" cy="4950000"/>
            <wp:effectExtent l="0" t="0" r="5080" b="3175"/>
            <wp:docPr id="71" name="Picture 71" descr="this figure shows the mixing plots for Chl-a in the Russell-Mulgrave, Tully and Burdekin regions for 2014-15. Sites are colour coded to identify location on maps and sampling date relative to river flow over wet season. Freshwater end were estimated from all samples collected at salinity &lt; 5 in each region." title="Mixing plots for Chl-a in the Russell-Mulgrave, Tully and Burdekin regions for 2014-1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lfig.jpg"/>
                    <pic:cNvPicPr/>
                  </pic:nvPicPr>
                  <pic:blipFill>
                    <a:blip r:embed="rId438" cstate="print">
                      <a:extLst>
                        <a:ext uri="{28A0092B-C50C-407E-A947-70E740481C1C}">
                          <a14:useLocalDpi xmlns:a14="http://schemas.microsoft.com/office/drawing/2010/main" val="0"/>
                        </a:ext>
                      </a:extLst>
                    </a:blip>
                    <a:stretch>
                      <a:fillRect/>
                    </a:stretch>
                  </pic:blipFill>
                  <pic:spPr>
                    <a:xfrm>
                      <a:off x="0" y="0"/>
                      <a:ext cx="7920000" cy="4950000"/>
                    </a:xfrm>
                    <a:prstGeom prst="rect">
                      <a:avLst/>
                    </a:prstGeom>
                  </pic:spPr>
                </pic:pic>
              </a:graphicData>
            </a:graphic>
          </wp:inline>
        </w:drawing>
      </w:r>
    </w:p>
    <w:p w14:paraId="5F232281" w14:textId="6B21BA15" w:rsidR="00ED4B40" w:rsidRPr="008467AA" w:rsidRDefault="00ED4B40" w:rsidP="00164E5E">
      <w:pPr>
        <w:pStyle w:val="Caption"/>
      </w:pPr>
      <w:bookmarkStart w:id="1645" w:name="_Toc459332221"/>
      <w:r>
        <w:t xml:space="preserve">Figure A2 </w:t>
      </w:r>
      <w:r w:rsidR="00EB33A6">
        <w:fldChar w:fldCharType="begin"/>
      </w:r>
      <w:r w:rsidR="00D8225E">
        <w:instrText xml:space="preserve"> SEQ Figure_A2 \* ARABIC </w:instrText>
      </w:r>
      <w:r w:rsidR="00EB33A6">
        <w:fldChar w:fldCharType="separate"/>
      </w:r>
      <w:r w:rsidR="007F5336">
        <w:rPr>
          <w:noProof/>
        </w:rPr>
        <w:t>11</w:t>
      </w:r>
      <w:r w:rsidR="00EB33A6">
        <w:rPr>
          <w:noProof/>
        </w:rPr>
        <w:fldChar w:fldCharType="end"/>
      </w:r>
      <w:r>
        <w:t>:</w:t>
      </w:r>
      <w:r w:rsidRPr="008467AA">
        <w:t xml:space="preserve"> </w:t>
      </w:r>
      <w:r w:rsidRPr="00ED4B40">
        <w:t xml:space="preserve">Mixing plots for </w:t>
      </w:r>
      <w:r>
        <w:t>Chl-a</w:t>
      </w:r>
      <w:r w:rsidRPr="00ED4B40">
        <w:t xml:space="preserve"> in the Russell-Mulgrave, Tully and Burdekin regions for 2014-15. Sites are colour coded to identify location on maps and sampling date relative to river flow over wet season</w:t>
      </w:r>
      <w:r>
        <w:t>.</w:t>
      </w:r>
      <w:r w:rsidRPr="00ED4B40">
        <w:rPr>
          <w:rStyle w:val="IntenseReference"/>
          <w:bCs w:val="0"/>
          <w:color w:val="auto"/>
          <w:lang w:val="en-AU"/>
        </w:rPr>
        <w:t xml:space="preserve"> </w:t>
      </w:r>
      <w:r w:rsidRPr="00ED4B40">
        <w:t>Freshwater end were estimated from all samples collected at salinity &lt; 5 in each region.</w:t>
      </w:r>
      <w:bookmarkEnd w:id="1645"/>
    </w:p>
    <w:p w14:paraId="5F232282" w14:textId="77777777" w:rsidR="00165634" w:rsidRDefault="00165634" w:rsidP="00E94E33">
      <w:pPr>
        <w:rPr>
          <w:color w:val="0070C0"/>
          <w:lang w:val="en-AU"/>
        </w:rPr>
      </w:pPr>
    </w:p>
    <w:p w14:paraId="5F232283" w14:textId="77777777" w:rsidR="00165634" w:rsidRDefault="00165634" w:rsidP="00ED4B40">
      <w:pPr>
        <w:jc w:val="center"/>
        <w:rPr>
          <w:color w:val="0070C0"/>
          <w:lang w:val="en-AU"/>
        </w:rPr>
      </w:pPr>
      <w:r>
        <w:rPr>
          <w:noProof/>
          <w:lang w:val="en-AU" w:eastAsia="en-AU"/>
        </w:rPr>
        <w:drawing>
          <wp:inline distT="0" distB="0" distL="0" distR="0" wp14:anchorId="5F232467" wp14:editId="0C160034">
            <wp:extent cx="8229600" cy="5143500"/>
            <wp:effectExtent l="0" t="0" r="0" b="0"/>
            <wp:docPr id="73" name="Picture 73" descr="This figure shows the mixing plots for CDOM in the Russell-Mulgrave, Tully and Burdekin regions for 2014-15. Sites are colour coded to identify location on maps and sampling date relative to river flow over wet season. Freshwater end were estimated from all samples collected at salinity &lt; 5 in each region." title="Mixing plots for CDOM in the Russell-Mulgrave, Tully and Burdekin regions for 20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DOMfig.jpg"/>
                    <pic:cNvPicPr/>
                  </pic:nvPicPr>
                  <pic:blipFill>
                    <a:blip r:embed="rId439" cstate="print">
                      <a:extLst>
                        <a:ext uri="{28A0092B-C50C-407E-A947-70E740481C1C}">
                          <a14:useLocalDpi xmlns:a14="http://schemas.microsoft.com/office/drawing/2010/main" val="0"/>
                        </a:ext>
                      </a:extLst>
                    </a:blip>
                    <a:stretch>
                      <a:fillRect/>
                    </a:stretch>
                  </pic:blipFill>
                  <pic:spPr>
                    <a:xfrm>
                      <a:off x="0" y="0"/>
                      <a:ext cx="8224615" cy="5140385"/>
                    </a:xfrm>
                    <a:prstGeom prst="rect">
                      <a:avLst/>
                    </a:prstGeom>
                  </pic:spPr>
                </pic:pic>
              </a:graphicData>
            </a:graphic>
          </wp:inline>
        </w:drawing>
      </w:r>
    </w:p>
    <w:p w14:paraId="5F232284" w14:textId="1D4CEA38" w:rsidR="00ED4B40" w:rsidRPr="00ED4B40" w:rsidRDefault="00ED4B40" w:rsidP="00164E5E">
      <w:pPr>
        <w:pStyle w:val="Caption"/>
      </w:pPr>
      <w:bookmarkStart w:id="1646" w:name="_Toc459332222"/>
      <w:r>
        <w:t xml:space="preserve">Figure A2 </w:t>
      </w:r>
      <w:r w:rsidR="00EB33A6">
        <w:fldChar w:fldCharType="begin"/>
      </w:r>
      <w:r w:rsidR="00D8225E">
        <w:instrText xml:space="preserve"> SEQ Figure_A2 \* ARABIC </w:instrText>
      </w:r>
      <w:r w:rsidR="00EB33A6">
        <w:fldChar w:fldCharType="separate"/>
      </w:r>
      <w:r w:rsidR="007F5336">
        <w:rPr>
          <w:noProof/>
        </w:rPr>
        <w:t>12</w:t>
      </w:r>
      <w:r w:rsidR="00EB33A6">
        <w:rPr>
          <w:noProof/>
        </w:rPr>
        <w:fldChar w:fldCharType="end"/>
      </w:r>
      <w:r>
        <w:t>:</w:t>
      </w:r>
      <w:r w:rsidRPr="008467AA">
        <w:t xml:space="preserve"> </w:t>
      </w:r>
      <w:r w:rsidRPr="00ED4B40">
        <w:t xml:space="preserve">Mixing plots for </w:t>
      </w:r>
      <w:r>
        <w:t>CDOM</w:t>
      </w:r>
      <w:r w:rsidRPr="00ED4B40">
        <w:t xml:space="preserve"> in the Russell-Mulgrave, Tully and Burdekin regions for 2014-15. Sites are colour coded to identify location on maps and sampling date relative to river flow over wet season</w:t>
      </w:r>
      <w:r>
        <w:t>.</w:t>
      </w:r>
      <w:r w:rsidRPr="00ED4B40">
        <w:rPr>
          <w:rStyle w:val="IntenseReference"/>
          <w:bCs w:val="0"/>
          <w:color w:val="auto"/>
          <w:lang w:val="en-AU"/>
        </w:rPr>
        <w:t xml:space="preserve"> </w:t>
      </w:r>
      <w:r w:rsidRPr="00ED4B40">
        <w:t>Freshwater end were estimated from all samples collected at salinity &lt; 5 in each region.</w:t>
      </w:r>
      <w:bookmarkEnd w:id="1646"/>
    </w:p>
    <w:p w14:paraId="5F232285" w14:textId="77777777" w:rsidR="00ED4B40" w:rsidRDefault="00ED4B40" w:rsidP="00ED4B40">
      <w:pPr>
        <w:jc w:val="center"/>
        <w:rPr>
          <w:color w:val="0070C0"/>
          <w:lang w:val="en-AU"/>
        </w:rPr>
        <w:sectPr w:rsidR="00ED4B40" w:rsidSect="00165634">
          <w:pgSz w:w="16840" w:h="11907" w:orient="landscape" w:code="9"/>
          <w:pgMar w:top="1134" w:right="1440" w:bottom="1134" w:left="1440" w:header="680" w:footer="680" w:gutter="0"/>
          <w:cols w:space="708"/>
          <w:docGrid w:linePitch="360"/>
        </w:sectPr>
      </w:pPr>
    </w:p>
    <w:p w14:paraId="5F232286" w14:textId="35C40A7B" w:rsidR="00E94E33" w:rsidRPr="007C2FD8" w:rsidRDefault="00725F21" w:rsidP="00165634">
      <w:pPr>
        <w:pStyle w:val="appendixheading"/>
        <w:numPr>
          <w:ilvl w:val="0"/>
          <w:numId w:val="0"/>
        </w:numPr>
      </w:pPr>
      <w:bookmarkStart w:id="1647" w:name="_Toc358712538"/>
      <w:bookmarkStart w:id="1648" w:name="_Toc374701393"/>
      <w:bookmarkStart w:id="1649" w:name="_Toc462307476"/>
      <w:r>
        <w:t>Appendix 3:</w:t>
      </w:r>
      <w:r w:rsidR="00E94E33" w:rsidRPr="007C2FD8">
        <w:t xml:space="preserve"> QA</w:t>
      </w:r>
      <w:r w:rsidR="001D1811">
        <w:t>/</w:t>
      </w:r>
      <w:r w:rsidR="00E94E33" w:rsidRPr="007C2FD8">
        <w:t>QC Information</w:t>
      </w:r>
      <w:bookmarkEnd w:id="1647"/>
      <w:bookmarkEnd w:id="1648"/>
      <w:bookmarkEnd w:id="1649"/>
    </w:p>
    <w:p w14:paraId="5F232287" w14:textId="7C8BCC0E" w:rsidR="00C532B4" w:rsidRPr="007C2FD8" w:rsidRDefault="00E94E33" w:rsidP="004A5BF7">
      <w:pPr>
        <w:pStyle w:val="subappendix"/>
        <w:numPr>
          <w:ilvl w:val="0"/>
          <w:numId w:val="0"/>
        </w:numPr>
      </w:pPr>
      <w:bookmarkStart w:id="1650" w:name="_Toc279952192"/>
      <w:r w:rsidRPr="00EE68BF">
        <w:rPr>
          <w:color w:val="0070C0"/>
        </w:rPr>
        <w:br w:type="page"/>
      </w:r>
      <w:bookmarkStart w:id="1651" w:name="_Toc393133605"/>
      <w:bookmarkStart w:id="1652" w:name="_Toc435775370"/>
      <w:bookmarkStart w:id="1653" w:name="_Toc144624282"/>
      <w:bookmarkStart w:id="1654" w:name="_Toc174246275"/>
      <w:r w:rsidR="00B33005" w:rsidRPr="007C2FD8">
        <w:t>M</w:t>
      </w:r>
      <w:r w:rsidR="00C532B4" w:rsidRPr="007C2FD8">
        <w:t>ethod performance and QA</w:t>
      </w:r>
      <w:r w:rsidR="001D1811">
        <w:t>/</w:t>
      </w:r>
      <w:r w:rsidR="00C532B4" w:rsidRPr="007C2FD8">
        <w:t>QC information for water quality monitoring activities</w:t>
      </w:r>
      <w:bookmarkEnd w:id="1651"/>
      <w:bookmarkEnd w:id="1652"/>
    </w:p>
    <w:p w14:paraId="5F232289" w14:textId="77777777" w:rsidR="00C532B4" w:rsidRPr="000F3970" w:rsidRDefault="00C532B4" w:rsidP="00C532B4">
      <w:pPr>
        <w:rPr>
          <w:lang w:val="en-AU"/>
        </w:rPr>
      </w:pPr>
      <w:bookmarkStart w:id="1655" w:name="_Toc334990061"/>
      <w:bookmarkStart w:id="1656" w:name="_Toc334990264"/>
      <w:bookmarkEnd w:id="1653"/>
      <w:bookmarkEnd w:id="1654"/>
      <w:r w:rsidRPr="000F3970">
        <w:rPr>
          <w:lang w:val="en-AU"/>
        </w:rPr>
        <w:t xml:space="preserve">Information pertaining to quality control and assurance generally includes the assessment of the limit of detection (LOD), measurements of accuracy (e.g. using reference materials to assess recovery of known amount of analyte) and precision (the repeated analyses of the same concentration of analyte to check for reproducibility). </w:t>
      </w:r>
    </w:p>
    <w:p w14:paraId="5F23228A" w14:textId="77777777" w:rsidR="00C532B4" w:rsidRPr="000F3970" w:rsidRDefault="00C532B4" w:rsidP="00C532B4">
      <w:pPr>
        <w:rPr>
          <w:lang w:val="en-AU"/>
        </w:rPr>
      </w:pPr>
    </w:p>
    <w:p w14:paraId="5F23228B" w14:textId="77777777" w:rsidR="00C532B4" w:rsidRPr="00453B2E" w:rsidRDefault="00C532B4">
      <w:pPr>
        <w:pStyle w:val="Heading7"/>
        <w:numPr>
          <w:ilvl w:val="0"/>
          <w:numId w:val="0"/>
        </w:numPr>
      </w:pPr>
      <w:bookmarkStart w:id="1657" w:name="_Toc174246276"/>
      <w:bookmarkStart w:id="1658" w:name="_Toc205604865"/>
      <w:bookmarkStart w:id="1659" w:name="_Toc237137924"/>
      <w:bookmarkStart w:id="1660" w:name="_Toc269561954"/>
      <w:bookmarkStart w:id="1661" w:name="_Toc273951476"/>
      <w:bookmarkStart w:id="1662" w:name="_Toc334990057"/>
      <w:bookmarkStart w:id="1663" w:name="_Toc334990260"/>
      <w:bookmarkStart w:id="1664" w:name="_Toc374707575"/>
      <w:bookmarkStart w:id="1665" w:name="_Toc393133606"/>
      <w:bookmarkStart w:id="1666" w:name="_Toc406143772"/>
      <w:bookmarkStart w:id="1667" w:name="_Toc435775371"/>
      <w:r w:rsidRPr="00453B2E">
        <w:t>Limits of detection</w:t>
      </w:r>
      <w:bookmarkEnd w:id="1657"/>
      <w:bookmarkEnd w:id="1658"/>
      <w:bookmarkEnd w:id="1659"/>
      <w:bookmarkEnd w:id="1660"/>
      <w:bookmarkEnd w:id="1661"/>
      <w:bookmarkEnd w:id="1662"/>
      <w:bookmarkEnd w:id="1663"/>
      <w:bookmarkEnd w:id="1664"/>
      <w:bookmarkEnd w:id="1665"/>
      <w:bookmarkEnd w:id="1666"/>
      <w:bookmarkEnd w:id="1667"/>
    </w:p>
    <w:p w14:paraId="5F23228C" w14:textId="77777777" w:rsidR="00C532B4" w:rsidRPr="000F3970" w:rsidRDefault="00C532B4" w:rsidP="00C532B4">
      <w:pPr>
        <w:autoSpaceDE w:val="0"/>
        <w:autoSpaceDN w:val="0"/>
        <w:adjustRightInd w:val="0"/>
        <w:rPr>
          <w:lang w:val="en-AU"/>
        </w:rPr>
      </w:pPr>
      <w:r w:rsidRPr="000F3970">
        <w:rPr>
          <w:bCs/>
          <w:lang w:val="en-AU"/>
        </w:rPr>
        <w:t xml:space="preserve">Limit of Detection (LOD) </w:t>
      </w:r>
      <w:r w:rsidRPr="000F3970">
        <w:rPr>
          <w:lang w:val="en-AU"/>
        </w:rPr>
        <w:t xml:space="preserve">or detection limit, is the lowest concentration level that can be determined to be statistically different from a blank (99% confidence). LOD of water quality parameters sampled under the MMP are summarised below: </w:t>
      </w:r>
    </w:p>
    <w:p w14:paraId="5F23228D" w14:textId="77777777" w:rsidR="00C532B4" w:rsidRPr="000F3970" w:rsidRDefault="00C532B4" w:rsidP="00C532B4">
      <w:pPr>
        <w:autoSpaceDE w:val="0"/>
        <w:autoSpaceDN w:val="0"/>
        <w:adjustRightInd w:val="0"/>
        <w:rPr>
          <w:lang w:val="en-AU"/>
        </w:rPr>
      </w:pPr>
    </w:p>
    <w:p w14:paraId="5F23228E" w14:textId="4A5B7954" w:rsidR="00C532B4" w:rsidRPr="000F3970" w:rsidRDefault="00725F21" w:rsidP="00164E5E">
      <w:pPr>
        <w:pStyle w:val="Caption"/>
      </w:pPr>
      <w:bookmarkStart w:id="1668" w:name="_Toc205605378"/>
      <w:bookmarkStart w:id="1669" w:name="_Toc237149988"/>
      <w:bookmarkStart w:id="1670" w:name="_Toc269561897"/>
      <w:bookmarkStart w:id="1671" w:name="_Toc273951610"/>
      <w:bookmarkStart w:id="1672" w:name="_Toc334817412"/>
      <w:bookmarkStart w:id="1673" w:name="_Toc374701449"/>
      <w:bookmarkStart w:id="1674" w:name="_Toc392929665"/>
      <w:bookmarkStart w:id="1675" w:name="_Toc459332223"/>
      <w:r>
        <w:t xml:space="preserve">Table A3 </w:t>
      </w:r>
      <w:r w:rsidR="00EB33A6">
        <w:fldChar w:fldCharType="begin"/>
      </w:r>
      <w:r w:rsidR="00D8225E">
        <w:instrText xml:space="preserve"> SEQ Table_A3 \* ARABIC </w:instrText>
      </w:r>
      <w:r w:rsidR="00EB33A6">
        <w:fldChar w:fldCharType="separate"/>
      </w:r>
      <w:r w:rsidR="007F5336">
        <w:rPr>
          <w:noProof/>
        </w:rPr>
        <w:t>1</w:t>
      </w:r>
      <w:r w:rsidR="00EB33A6">
        <w:rPr>
          <w:noProof/>
        </w:rPr>
        <w:fldChar w:fldCharType="end"/>
      </w:r>
      <w:r w:rsidR="00453B2E">
        <w:t xml:space="preserve">: </w:t>
      </w:r>
      <w:r w:rsidR="00C532B4" w:rsidRPr="000F3970">
        <w:t>Limit of detection (LOD) for analyses of marine water quality parameters.</w:t>
      </w:r>
      <w:bookmarkEnd w:id="1668"/>
      <w:bookmarkEnd w:id="1669"/>
      <w:bookmarkEnd w:id="1670"/>
      <w:bookmarkEnd w:id="1671"/>
      <w:bookmarkEnd w:id="1672"/>
      <w:bookmarkEnd w:id="1673"/>
      <w:bookmarkEnd w:id="1674"/>
      <w:bookmarkEnd w:id="1675"/>
    </w:p>
    <w:p w14:paraId="5F23228F" w14:textId="77777777" w:rsidR="00C532B4" w:rsidRPr="000F3970" w:rsidRDefault="00C532B4" w:rsidP="00C532B4">
      <w:pPr>
        <w:rPr>
          <w:lang w:val="en-AU"/>
        </w:rPr>
      </w:pPr>
    </w:p>
    <w:tbl>
      <w:tblPr>
        <w:tblW w:w="45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3"/>
        <w:gridCol w:w="1782"/>
      </w:tblGrid>
      <w:tr w:rsidR="00C532B4" w:rsidRPr="003A77F5" w14:paraId="5F232292" w14:textId="77777777" w:rsidTr="000F517C">
        <w:trPr>
          <w:jc w:val="center"/>
        </w:trPr>
        <w:tc>
          <w:tcPr>
            <w:tcW w:w="2763" w:type="dxa"/>
            <w:shd w:val="clear" w:color="auto" w:fill="BFBFBF" w:themeFill="background1" w:themeFillShade="BF"/>
          </w:tcPr>
          <w:p w14:paraId="5F232290" w14:textId="77777777" w:rsidR="00C532B4" w:rsidRPr="000F3970" w:rsidRDefault="00C532B4" w:rsidP="000F517C">
            <w:pPr>
              <w:jc w:val="center"/>
              <w:rPr>
                <w:rFonts w:ascii="Arial Narrow" w:hAnsi="Arial Narrow" w:cs="Arial"/>
                <w:b/>
                <w:sz w:val="20"/>
                <w:lang w:val="en-AU"/>
              </w:rPr>
            </w:pPr>
            <w:r w:rsidRPr="000F3970">
              <w:rPr>
                <w:rFonts w:ascii="Arial Narrow" w:hAnsi="Arial Narrow" w:cs="Arial"/>
                <w:b/>
                <w:sz w:val="20"/>
                <w:lang w:val="en-AU"/>
              </w:rPr>
              <w:t>Parameter (analyte)</w:t>
            </w:r>
          </w:p>
        </w:tc>
        <w:tc>
          <w:tcPr>
            <w:tcW w:w="1782" w:type="dxa"/>
            <w:shd w:val="clear" w:color="auto" w:fill="BFBFBF" w:themeFill="background1" w:themeFillShade="BF"/>
          </w:tcPr>
          <w:p w14:paraId="5F232291" w14:textId="77777777" w:rsidR="00C532B4" w:rsidRPr="000F3970" w:rsidRDefault="00C532B4" w:rsidP="000F517C">
            <w:pPr>
              <w:jc w:val="center"/>
              <w:rPr>
                <w:rFonts w:ascii="Arial Narrow" w:hAnsi="Arial Narrow" w:cs="Arial"/>
                <w:b/>
                <w:sz w:val="20"/>
                <w:lang w:val="en-AU"/>
              </w:rPr>
            </w:pPr>
            <w:r w:rsidRPr="000F3970">
              <w:rPr>
                <w:rFonts w:ascii="Arial Narrow" w:hAnsi="Arial Narrow" w:cs="Arial"/>
                <w:b/>
                <w:sz w:val="20"/>
                <w:lang w:val="en-AU"/>
              </w:rPr>
              <w:t>LOD</w:t>
            </w:r>
          </w:p>
        </w:tc>
      </w:tr>
      <w:tr w:rsidR="00C532B4" w:rsidRPr="003A77F5" w14:paraId="5F232295" w14:textId="77777777" w:rsidTr="000F517C">
        <w:trPr>
          <w:jc w:val="center"/>
        </w:trPr>
        <w:tc>
          <w:tcPr>
            <w:tcW w:w="2763" w:type="dxa"/>
          </w:tcPr>
          <w:p w14:paraId="5F232293" w14:textId="77777777" w:rsidR="00C532B4" w:rsidRPr="000F3970" w:rsidRDefault="00C532B4" w:rsidP="000F517C">
            <w:pPr>
              <w:jc w:val="center"/>
              <w:rPr>
                <w:rFonts w:ascii="Arial Narrow" w:hAnsi="Arial Narrow"/>
                <w:sz w:val="20"/>
                <w:lang w:val="en-AU"/>
              </w:rPr>
            </w:pPr>
            <w:r w:rsidRPr="000F3970">
              <w:rPr>
                <w:rFonts w:ascii="Arial Narrow" w:hAnsi="Arial Narrow"/>
                <w:sz w:val="20"/>
                <w:lang w:val="en-AU"/>
              </w:rPr>
              <w:t>NO2</w:t>
            </w:r>
          </w:p>
        </w:tc>
        <w:tc>
          <w:tcPr>
            <w:tcW w:w="1782" w:type="dxa"/>
          </w:tcPr>
          <w:p w14:paraId="5F232294" w14:textId="77777777" w:rsidR="00C532B4" w:rsidRPr="000F3970" w:rsidRDefault="00C532B4" w:rsidP="000F517C">
            <w:pPr>
              <w:jc w:val="center"/>
              <w:rPr>
                <w:rFonts w:ascii="Arial Narrow" w:hAnsi="Arial Narrow"/>
                <w:sz w:val="20"/>
                <w:highlight w:val="yellow"/>
                <w:lang w:val="en-AU"/>
              </w:rPr>
            </w:pPr>
            <w:r w:rsidRPr="000F3970">
              <w:rPr>
                <w:rFonts w:ascii="Arial Narrow" w:hAnsi="Arial Narrow"/>
                <w:sz w:val="20"/>
                <w:lang w:val="en-AU"/>
              </w:rPr>
              <w:t>0.28 µg L</w:t>
            </w:r>
            <w:r w:rsidRPr="000F3970">
              <w:rPr>
                <w:rFonts w:ascii="Arial Narrow" w:hAnsi="Arial Narrow"/>
                <w:sz w:val="20"/>
                <w:vertAlign w:val="superscript"/>
                <w:lang w:val="en-AU"/>
              </w:rPr>
              <w:t>-1</w:t>
            </w:r>
            <w:r w:rsidRPr="000F3970">
              <w:rPr>
                <w:rFonts w:ascii="Arial Narrow" w:hAnsi="Arial Narrow"/>
                <w:sz w:val="20"/>
                <w:lang w:val="en-AU"/>
              </w:rPr>
              <w:t>*</w:t>
            </w:r>
          </w:p>
        </w:tc>
      </w:tr>
      <w:tr w:rsidR="00C532B4" w:rsidRPr="003A77F5" w14:paraId="5F232298" w14:textId="77777777" w:rsidTr="000F517C">
        <w:trPr>
          <w:jc w:val="center"/>
        </w:trPr>
        <w:tc>
          <w:tcPr>
            <w:tcW w:w="2763" w:type="dxa"/>
          </w:tcPr>
          <w:p w14:paraId="5F232296" w14:textId="77777777" w:rsidR="00C532B4" w:rsidRPr="000F3970" w:rsidRDefault="00C532B4" w:rsidP="000F517C">
            <w:pPr>
              <w:jc w:val="center"/>
              <w:rPr>
                <w:rFonts w:ascii="Arial Narrow" w:hAnsi="Arial Narrow"/>
                <w:sz w:val="20"/>
                <w:lang w:val="en-AU"/>
              </w:rPr>
            </w:pPr>
            <w:r w:rsidRPr="000F3970">
              <w:rPr>
                <w:rFonts w:ascii="Arial Narrow" w:hAnsi="Arial Narrow"/>
                <w:sz w:val="20"/>
                <w:lang w:val="en-AU"/>
              </w:rPr>
              <w:t>NO3+ NO2</w:t>
            </w:r>
          </w:p>
        </w:tc>
        <w:tc>
          <w:tcPr>
            <w:tcW w:w="1782" w:type="dxa"/>
          </w:tcPr>
          <w:p w14:paraId="5F232297" w14:textId="77777777" w:rsidR="00C532B4" w:rsidRPr="000F3970" w:rsidRDefault="00C532B4" w:rsidP="000F517C">
            <w:pPr>
              <w:jc w:val="center"/>
              <w:rPr>
                <w:rFonts w:ascii="Arial Narrow" w:hAnsi="Arial Narrow"/>
                <w:sz w:val="20"/>
                <w:highlight w:val="yellow"/>
                <w:lang w:val="en-AU"/>
              </w:rPr>
            </w:pPr>
            <w:r w:rsidRPr="000F3970">
              <w:rPr>
                <w:rFonts w:ascii="Arial Narrow" w:hAnsi="Arial Narrow"/>
                <w:sz w:val="20"/>
                <w:lang w:val="en-AU"/>
              </w:rPr>
              <w:t>0.42 - 0.70 µg L</w:t>
            </w:r>
            <w:r w:rsidRPr="000F3970">
              <w:rPr>
                <w:rFonts w:ascii="Arial Narrow" w:hAnsi="Arial Narrow"/>
                <w:sz w:val="20"/>
                <w:vertAlign w:val="superscript"/>
                <w:lang w:val="en-AU"/>
              </w:rPr>
              <w:t>-1</w:t>
            </w:r>
            <w:r w:rsidRPr="000F3970">
              <w:rPr>
                <w:rFonts w:ascii="Arial Narrow" w:hAnsi="Arial Narrow"/>
                <w:sz w:val="20"/>
                <w:lang w:val="en-AU"/>
              </w:rPr>
              <w:t>*</w:t>
            </w:r>
          </w:p>
        </w:tc>
      </w:tr>
      <w:tr w:rsidR="00C532B4" w:rsidRPr="003A77F5" w14:paraId="5F23229B" w14:textId="77777777" w:rsidTr="000F517C">
        <w:trPr>
          <w:jc w:val="center"/>
        </w:trPr>
        <w:tc>
          <w:tcPr>
            <w:tcW w:w="2763" w:type="dxa"/>
          </w:tcPr>
          <w:p w14:paraId="5F232299" w14:textId="77777777" w:rsidR="00C532B4" w:rsidRPr="000F3970" w:rsidRDefault="00C532B4" w:rsidP="000F517C">
            <w:pPr>
              <w:jc w:val="center"/>
              <w:rPr>
                <w:rFonts w:ascii="Arial Narrow" w:hAnsi="Arial Narrow"/>
                <w:sz w:val="20"/>
                <w:lang w:val="en-AU"/>
              </w:rPr>
            </w:pPr>
            <w:r w:rsidRPr="000F3970">
              <w:rPr>
                <w:rFonts w:ascii="Arial Narrow" w:hAnsi="Arial Narrow"/>
                <w:sz w:val="20"/>
                <w:lang w:val="en-AU"/>
              </w:rPr>
              <w:t>NH4</w:t>
            </w:r>
          </w:p>
        </w:tc>
        <w:tc>
          <w:tcPr>
            <w:tcW w:w="1782" w:type="dxa"/>
          </w:tcPr>
          <w:p w14:paraId="5F23229A" w14:textId="77777777" w:rsidR="00C532B4" w:rsidRPr="000F3970" w:rsidRDefault="00C532B4" w:rsidP="000F517C">
            <w:pPr>
              <w:jc w:val="center"/>
              <w:rPr>
                <w:rFonts w:ascii="Arial Narrow" w:hAnsi="Arial Narrow"/>
                <w:sz w:val="20"/>
                <w:highlight w:val="yellow"/>
                <w:lang w:val="en-AU"/>
              </w:rPr>
            </w:pPr>
            <w:r w:rsidRPr="000F3970">
              <w:rPr>
                <w:rFonts w:ascii="Arial Narrow" w:hAnsi="Arial Narrow"/>
                <w:sz w:val="20"/>
                <w:lang w:val="en-AU"/>
              </w:rPr>
              <w:t>0.84 - 0.98 µg L</w:t>
            </w:r>
            <w:r w:rsidRPr="000F3970">
              <w:rPr>
                <w:rFonts w:ascii="Arial Narrow" w:hAnsi="Arial Narrow"/>
                <w:sz w:val="20"/>
                <w:vertAlign w:val="superscript"/>
                <w:lang w:val="en-AU"/>
              </w:rPr>
              <w:t>-1</w:t>
            </w:r>
            <w:r w:rsidRPr="000F3970">
              <w:rPr>
                <w:rFonts w:ascii="Arial Narrow" w:hAnsi="Arial Narrow"/>
                <w:sz w:val="20"/>
                <w:lang w:val="en-AU"/>
              </w:rPr>
              <w:t>*</w:t>
            </w:r>
          </w:p>
        </w:tc>
      </w:tr>
      <w:tr w:rsidR="00C532B4" w:rsidRPr="003A77F5" w14:paraId="5F23229E" w14:textId="77777777" w:rsidTr="000F517C">
        <w:trPr>
          <w:jc w:val="center"/>
        </w:trPr>
        <w:tc>
          <w:tcPr>
            <w:tcW w:w="2763" w:type="dxa"/>
          </w:tcPr>
          <w:p w14:paraId="5F23229C" w14:textId="77777777" w:rsidR="00C532B4" w:rsidRPr="000F3970" w:rsidRDefault="00C532B4" w:rsidP="000F517C">
            <w:pPr>
              <w:jc w:val="center"/>
              <w:rPr>
                <w:rFonts w:ascii="Arial Narrow" w:hAnsi="Arial Narrow"/>
                <w:sz w:val="20"/>
                <w:lang w:val="en-AU"/>
              </w:rPr>
            </w:pPr>
            <w:r w:rsidRPr="000F3970">
              <w:rPr>
                <w:rFonts w:ascii="Arial Narrow" w:hAnsi="Arial Narrow"/>
                <w:sz w:val="20"/>
                <w:lang w:val="en-AU"/>
              </w:rPr>
              <w:t>NH4 by OPA</w:t>
            </w:r>
          </w:p>
        </w:tc>
        <w:tc>
          <w:tcPr>
            <w:tcW w:w="1782" w:type="dxa"/>
          </w:tcPr>
          <w:p w14:paraId="5F23229D" w14:textId="77777777" w:rsidR="00C532B4" w:rsidRPr="000F3970" w:rsidRDefault="00C532B4" w:rsidP="000F517C">
            <w:pPr>
              <w:jc w:val="center"/>
              <w:rPr>
                <w:rFonts w:ascii="Arial Narrow" w:hAnsi="Arial Narrow"/>
                <w:sz w:val="20"/>
                <w:lang w:val="en-AU"/>
              </w:rPr>
            </w:pPr>
            <w:r w:rsidRPr="000F3970">
              <w:rPr>
                <w:rFonts w:ascii="Arial Narrow" w:hAnsi="Arial Narrow"/>
                <w:sz w:val="20"/>
                <w:lang w:val="en-AU"/>
              </w:rPr>
              <w:t>0.14 µg L</w:t>
            </w:r>
            <w:r w:rsidRPr="000F3970">
              <w:rPr>
                <w:rFonts w:ascii="Arial Narrow" w:hAnsi="Arial Narrow"/>
                <w:sz w:val="20"/>
                <w:vertAlign w:val="superscript"/>
                <w:lang w:val="en-AU"/>
              </w:rPr>
              <w:t>-1</w:t>
            </w:r>
          </w:p>
        </w:tc>
      </w:tr>
      <w:tr w:rsidR="00C532B4" w:rsidRPr="003A77F5" w14:paraId="5F2322A1" w14:textId="77777777" w:rsidTr="000F517C">
        <w:trPr>
          <w:jc w:val="center"/>
        </w:trPr>
        <w:tc>
          <w:tcPr>
            <w:tcW w:w="2763" w:type="dxa"/>
          </w:tcPr>
          <w:p w14:paraId="5F23229F" w14:textId="77777777" w:rsidR="00C532B4" w:rsidRPr="000F3970" w:rsidRDefault="00C532B4" w:rsidP="000F517C">
            <w:pPr>
              <w:jc w:val="center"/>
              <w:rPr>
                <w:rFonts w:ascii="Arial Narrow" w:hAnsi="Arial Narrow"/>
                <w:sz w:val="20"/>
                <w:lang w:val="en-AU"/>
              </w:rPr>
            </w:pPr>
            <w:r w:rsidRPr="000F3970">
              <w:rPr>
                <w:rFonts w:ascii="Arial Narrow" w:hAnsi="Arial Narrow"/>
                <w:sz w:val="20"/>
                <w:lang w:val="en-AU"/>
              </w:rPr>
              <w:t>TDN</w:t>
            </w:r>
          </w:p>
        </w:tc>
        <w:tc>
          <w:tcPr>
            <w:tcW w:w="1782" w:type="dxa"/>
          </w:tcPr>
          <w:p w14:paraId="5F2322A0" w14:textId="77777777" w:rsidR="00C532B4" w:rsidRPr="000F3970" w:rsidRDefault="00C532B4" w:rsidP="000F517C">
            <w:pPr>
              <w:jc w:val="center"/>
              <w:rPr>
                <w:rFonts w:ascii="Arial Narrow" w:hAnsi="Arial Narrow"/>
                <w:sz w:val="20"/>
                <w:highlight w:val="yellow"/>
                <w:lang w:val="en-AU"/>
              </w:rPr>
            </w:pPr>
            <w:r w:rsidRPr="000F3970">
              <w:rPr>
                <w:rFonts w:ascii="Arial Narrow" w:hAnsi="Arial Narrow"/>
                <w:sz w:val="20"/>
                <w:lang w:val="en-AU"/>
              </w:rPr>
              <w:t>0.56 – 0.70 µg L</w:t>
            </w:r>
            <w:r w:rsidRPr="000F3970">
              <w:rPr>
                <w:rFonts w:ascii="Arial Narrow" w:hAnsi="Arial Narrow"/>
                <w:sz w:val="20"/>
                <w:vertAlign w:val="superscript"/>
                <w:lang w:val="en-AU"/>
              </w:rPr>
              <w:t>-1</w:t>
            </w:r>
            <w:r w:rsidRPr="000F3970">
              <w:rPr>
                <w:rFonts w:ascii="Arial Narrow" w:hAnsi="Arial Narrow"/>
                <w:sz w:val="20"/>
                <w:lang w:val="en-AU"/>
              </w:rPr>
              <w:t>*</w:t>
            </w:r>
          </w:p>
        </w:tc>
      </w:tr>
      <w:tr w:rsidR="00C532B4" w:rsidRPr="003A77F5" w14:paraId="5F2322A4" w14:textId="77777777" w:rsidTr="000F517C">
        <w:trPr>
          <w:jc w:val="center"/>
        </w:trPr>
        <w:tc>
          <w:tcPr>
            <w:tcW w:w="2763" w:type="dxa"/>
          </w:tcPr>
          <w:p w14:paraId="5F2322A2" w14:textId="77777777" w:rsidR="00C532B4" w:rsidRPr="000F3970" w:rsidRDefault="00C532B4" w:rsidP="000F517C">
            <w:pPr>
              <w:jc w:val="center"/>
              <w:rPr>
                <w:rFonts w:ascii="Arial Narrow" w:hAnsi="Arial Narrow"/>
                <w:sz w:val="20"/>
                <w:lang w:val="en-AU"/>
              </w:rPr>
            </w:pPr>
            <w:r w:rsidRPr="000F3970">
              <w:rPr>
                <w:rFonts w:ascii="Arial Narrow" w:hAnsi="Arial Narrow"/>
                <w:sz w:val="20"/>
                <w:lang w:val="en-AU"/>
              </w:rPr>
              <w:t>PN</w:t>
            </w:r>
          </w:p>
        </w:tc>
        <w:tc>
          <w:tcPr>
            <w:tcW w:w="1782" w:type="dxa"/>
          </w:tcPr>
          <w:p w14:paraId="5F2322A3" w14:textId="77777777" w:rsidR="00C532B4" w:rsidRPr="000F3970" w:rsidRDefault="00C532B4" w:rsidP="000F517C">
            <w:pPr>
              <w:jc w:val="center"/>
              <w:rPr>
                <w:rFonts w:ascii="Arial Narrow" w:hAnsi="Arial Narrow"/>
                <w:sz w:val="20"/>
                <w:highlight w:val="yellow"/>
                <w:lang w:val="en-AU"/>
              </w:rPr>
            </w:pPr>
            <w:r w:rsidRPr="000F3970">
              <w:rPr>
                <w:rFonts w:ascii="Arial Narrow" w:hAnsi="Arial Narrow"/>
                <w:sz w:val="20"/>
                <w:lang w:val="en-AU"/>
              </w:rPr>
              <w:t>1.0 µg filter</w:t>
            </w:r>
            <w:r w:rsidRPr="000F3970">
              <w:rPr>
                <w:rFonts w:ascii="Arial Narrow" w:hAnsi="Arial Narrow"/>
                <w:sz w:val="20"/>
                <w:vertAlign w:val="superscript"/>
                <w:lang w:val="en-AU"/>
              </w:rPr>
              <w:t>-1</w:t>
            </w:r>
          </w:p>
        </w:tc>
      </w:tr>
      <w:tr w:rsidR="00C532B4" w:rsidRPr="003A77F5" w14:paraId="5F2322A7" w14:textId="77777777" w:rsidTr="000F517C">
        <w:trPr>
          <w:jc w:val="center"/>
        </w:trPr>
        <w:tc>
          <w:tcPr>
            <w:tcW w:w="2763" w:type="dxa"/>
          </w:tcPr>
          <w:p w14:paraId="5F2322A5" w14:textId="77777777" w:rsidR="00C532B4" w:rsidRPr="000F3970" w:rsidRDefault="00C532B4" w:rsidP="000F517C">
            <w:pPr>
              <w:jc w:val="center"/>
              <w:rPr>
                <w:rFonts w:ascii="Arial Narrow" w:hAnsi="Arial Narrow"/>
                <w:sz w:val="20"/>
                <w:lang w:val="en-AU"/>
              </w:rPr>
            </w:pPr>
            <w:r w:rsidRPr="000F3970">
              <w:rPr>
                <w:rFonts w:ascii="Arial Narrow" w:hAnsi="Arial Narrow"/>
                <w:sz w:val="20"/>
                <w:lang w:val="en-AU"/>
              </w:rPr>
              <w:t>PO4</w:t>
            </w:r>
          </w:p>
        </w:tc>
        <w:tc>
          <w:tcPr>
            <w:tcW w:w="1782" w:type="dxa"/>
          </w:tcPr>
          <w:p w14:paraId="5F2322A6" w14:textId="77777777" w:rsidR="00C532B4" w:rsidRPr="000F3970" w:rsidRDefault="00C532B4" w:rsidP="000F517C">
            <w:pPr>
              <w:jc w:val="center"/>
              <w:rPr>
                <w:rFonts w:ascii="Arial Narrow" w:hAnsi="Arial Narrow"/>
                <w:sz w:val="20"/>
                <w:lang w:val="en-AU"/>
              </w:rPr>
            </w:pPr>
            <w:r w:rsidRPr="000F3970">
              <w:rPr>
                <w:rFonts w:ascii="Arial Narrow" w:hAnsi="Arial Narrow"/>
                <w:sz w:val="20"/>
                <w:lang w:val="en-AU"/>
              </w:rPr>
              <w:t>0.62  – 0.93  µg L</w:t>
            </w:r>
            <w:r w:rsidRPr="000F3970">
              <w:rPr>
                <w:rFonts w:ascii="Arial Narrow" w:hAnsi="Arial Narrow"/>
                <w:sz w:val="20"/>
                <w:vertAlign w:val="superscript"/>
                <w:lang w:val="en-AU"/>
              </w:rPr>
              <w:t>-1</w:t>
            </w:r>
            <w:r w:rsidRPr="000F3970">
              <w:rPr>
                <w:rFonts w:ascii="Arial Narrow" w:hAnsi="Arial Narrow"/>
                <w:sz w:val="20"/>
                <w:lang w:val="en-AU"/>
              </w:rPr>
              <w:t>*</w:t>
            </w:r>
          </w:p>
        </w:tc>
      </w:tr>
      <w:tr w:rsidR="00C532B4" w:rsidRPr="003A77F5" w14:paraId="5F2322AA" w14:textId="77777777" w:rsidTr="000F517C">
        <w:trPr>
          <w:jc w:val="center"/>
        </w:trPr>
        <w:tc>
          <w:tcPr>
            <w:tcW w:w="2763" w:type="dxa"/>
          </w:tcPr>
          <w:p w14:paraId="5F2322A8" w14:textId="77777777" w:rsidR="00C532B4" w:rsidRPr="000F3970" w:rsidRDefault="00C532B4" w:rsidP="000F517C">
            <w:pPr>
              <w:jc w:val="center"/>
              <w:rPr>
                <w:rFonts w:ascii="Arial Narrow" w:hAnsi="Arial Narrow"/>
                <w:sz w:val="20"/>
                <w:lang w:val="en-AU"/>
              </w:rPr>
            </w:pPr>
            <w:r w:rsidRPr="000F3970">
              <w:rPr>
                <w:rFonts w:ascii="Arial Narrow" w:hAnsi="Arial Narrow"/>
                <w:sz w:val="20"/>
                <w:lang w:val="en-AU"/>
              </w:rPr>
              <w:t>TDP</w:t>
            </w:r>
          </w:p>
        </w:tc>
        <w:tc>
          <w:tcPr>
            <w:tcW w:w="1782" w:type="dxa"/>
          </w:tcPr>
          <w:p w14:paraId="5F2322A9" w14:textId="77777777" w:rsidR="00C532B4" w:rsidRPr="000F3970" w:rsidRDefault="00C532B4" w:rsidP="000F517C">
            <w:pPr>
              <w:jc w:val="center"/>
              <w:rPr>
                <w:rFonts w:ascii="Arial Narrow" w:hAnsi="Arial Narrow"/>
                <w:sz w:val="20"/>
                <w:highlight w:val="yellow"/>
                <w:lang w:val="en-AU"/>
              </w:rPr>
            </w:pPr>
            <w:r w:rsidRPr="000F3970">
              <w:rPr>
                <w:rFonts w:ascii="Arial Narrow" w:hAnsi="Arial Narrow"/>
                <w:sz w:val="20"/>
                <w:lang w:val="en-AU"/>
              </w:rPr>
              <w:t>0.62 – 1.24 µg L</w:t>
            </w:r>
            <w:r w:rsidRPr="000F3970">
              <w:rPr>
                <w:rFonts w:ascii="Arial Narrow" w:hAnsi="Arial Narrow"/>
                <w:sz w:val="20"/>
                <w:vertAlign w:val="superscript"/>
                <w:lang w:val="en-AU"/>
              </w:rPr>
              <w:t>-1</w:t>
            </w:r>
            <w:r w:rsidRPr="000F3970">
              <w:rPr>
                <w:rFonts w:ascii="Arial Narrow" w:hAnsi="Arial Narrow"/>
                <w:sz w:val="20"/>
                <w:lang w:val="en-AU"/>
              </w:rPr>
              <w:t>*</w:t>
            </w:r>
          </w:p>
        </w:tc>
      </w:tr>
      <w:tr w:rsidR="00C532B4" w:rsidRPr="003A77F5" w14:paraId="5F2322AD" w14:textId="77777777" w:rsidTr="000F517C">
        <w:trPr>
          <w:jc w:val="center"/>
        </w:trPr>
        <w:tc>
          <w:tcPr>
            <w:tcW w:w="2763" w:type="dxa"/>
          </w:tcPr>
          <w:p w14:paraId="5F2322AB" w14:textId="77777777" w:rsidR="00C532B4" w:rsidRPr="000F3970" w:rsidRDefault="00C532B4" w:rsidP="000F517C">
            <w:pPr>
              <w:jc w:val="center"/>
              <w:rPr>
                <w:rFonts w:ascii="Arial Narrow" w:hAnsi="Arial Narrow"/>
                <w:sz w:val="20"/>
                <w:lang w:val="en-AU"/>
              </w:rPr>
            </w:pPr>
            <w:r w:rsidRPr="000F3970">
              <w:rPr>
                <w:rFonts w:ascii="Arial Narrow" w:hAnsi="Arial Narrow"/>
                <w:sz w:val="20"/>
                <w:lang w:val="en-AU"/>
              </w:rPr>
              <w:t>PP</w:t>
            </w:r>
          </w:p>
        </w:tc>
        <w:tc>
          <w:tcPr>
            <w:tcW w:w="1782" w:type="dxa"/>
          </w:tcPr>
          <w:p w14:paraId="5F2322AC" w14:textId="77777777" w:rsidR="00C532B4" w:rsidRPr="000F3970" w:rsidRDefault="00C532B4" w:rsidP="000F517C">
            <w:pPr>
              <w:jc w:val="center"/>
              <w:rPr>
                <w:rFonts w:ascii="Arial Narrow" w:hAnsi="Arial Narrow"/>
                <w:sz w:val="20"/>
                <w:lang w:val="en-AU"/>
              </w:rPr>
            </w:pPr>
            <w:r w:rsidRPr="000F3970">
              <w:rPr>
                <w:rFonts w:ascii="Arial Narrow" w:hAnsi="Arial Narrow"/>
                <w:sz w:val="20"/>
                <w:lang w:val="en-AU"/>
              </w:rPr>
              <w:t>0.09 µg L</w:t>
            </w:r>
            <w:r w:rsidRPr="000F3970">
              <w:rPr>
                <w:rFonts w:ascii="Arial Narrow" w:hAnsi="Arial Narrow"/>
                <w:sz w:val="20"/>
                <w:vertAlign w:val="superscript"/>
                <w:lang w:val="en-AU"/>
              </w:rPr>
              <w:t>-1</w:t>
            </w:r>
          </w:p>
        </w:tc>
      </w:tr>
      <w:tr w:rsidR="00C532B4" w:rsidRPr="003A77F5" w14:paraId="5F2322B0" w14:textId="77777777" w:rsidTr="000F517C">
        <w:trPr>
          <w:jc w:val="center"/>
        </w:trPr>
        <w:tc>
          <w:tcPr>
            <w:tcW w:w="2763" w:type="dxa"/>
          </w:tcPr>
          <w:p w14:paraId="5F2322AE" w14:textId="77777777" w:rsidR="00C532B4" w:rsidRPr="000F3970" w:rsidRDefault="00C532B4" w:rsidP="000F517C">
            <w:pPr>
              <w:jc w:val="center"/>
              <w:rPr>
                <w:rFonts w:ascii="Arial Narrow" w:hAnsi="Arial Narrow"/>
                <w:sz w:val="20"/>
                <w:lang w:val="en-AU"/>
              </w:rPr>
            </w:pPr>
            <w:r w:rsidRPr="000F3970">
              <w:rPr>
                <w:rFonts w:ascii="Arial Narrow" w:hAnsi="Arial Narrow"/>
                <w:sz w:val="20"/>
                <w:lang w:val="en-AU"/>
              </w:rPr>
              <w:t>Si</w:t>
            </w:r>
          </w:p>
        </w:tc>
        <w:tc>
          <w:tcPr>
            <w:tcW w:w="1782" w:type="dxa"/>
          </w:tcPr>
          <w:p w14:paraId="5F2322AF" w14:textId="77777777" w:rsidR="00C532B4" w:rsidRPr="000F3970" w:rsidRDefault="00C532B4" w:rsidP="000F517C">
            <w:pPr>
              <w:jc w:val="center"/>
              <w:rPr>
                <w:rFonts w:ascii="Arial Narrow" w:hAnsi="Arial Narrow"/>
                <w:sz w:val="20"/>
                <w:highlight w:val="yellow"/>
                <w:lang w:val="en-AU"/>
              </w:rPr>
            </w:pPr>
            <w:r w:rsidRPr="000F3970">
              <w:rPr>
                <w:rFonts w:ascii="Arial Narrow" w:hAnsi="Arial Narrow"/>
                <w:sz w:val="20"/>
                <w:lang w:val="en-AU"/>
              </w:rPr>
              <w:t>1.4  µg L</w:t>
            </w:r>
            <w:r w:rsidRPr="000F3970">
              <w:rPr>
                <w:rFonts w:ascii="Arial Narrow" w:hAnsi="Arial Narrow"/>
                <w:sz w:val="20"/>
                <w:vertAlign w:val="superscript"/>
                <w:lang w:val="en-AU"/>
              </w:rPr>
              <w:t>-1</w:t>
            </w:r>
            <w:r w:rsidRPr="000F3970">
              <w:rPr>
                <w:rFonts w:ascii="Arial Narrow" w:hAnsi="Arial Narrow"/>
                <w:sz w:val="20"/>
                <w:lang w:val="en-AU"/>
              </w:rPr>
              <w:t>*</w:t>
            </w:r>
          </w:p>
        </w:tc>
      </w:tr>
      <w:tr w:rsidR="00C532B4" w:rsidRPr="003A77F5" w14:paraId="5F2322B3" w14:textId="77777777" w:rsidTr="000F517C">
        <w:trPr>
          <w:jc w:val="center"/>
        </w:trPr>
        <w:tc>
          <w:tcPr>
            <w:tcW w:w="2763" w:type="dxa"/>
          </w:tcPr>
          <w:p w14:paraId="5F2322B1" w14:textId="77777777" w:rsidR="00C532B4" w:rsidRPr="000F3970" w:rsidRDefault="00C532B4" w:rsidP="000F517C">
            <w:pPr>
              <w:jc w:val="center"/>
              <w:rPr>
                <w:rFonts w:ascii="Arial Narrow" w:hAnsi="Arial Narrow"/>
                <w:sz w:val="20"/>
                <w:lang w:val="en-AU"/>
              </w:rPr>
            </w:pPr>
            <w:r w:rsidRPr="000F3970">
              <w:rPr>
                <w:rFonts w:ascii="Arial Narrow" w:hAnsi="Arial Narrow"/>
                <w:sz w:val="20"/>
                <w:lang w:val="en-AU"/>
              </w:rPr>
              <w:t>DOC</w:t>
            </w:r>
          </w:p>
        </w:tc>
        <w:tc>
          <w:tcPr>
            <w:tcW w:w="1782" w:type="dxa"/>
          </w:tcPr>
          <w:p w14:paraId="5F2322B2" w14:textId="77777777" w:rsidR="00C532B4" w:rsidRPr="000F3970" w:rsidRDefault="00C532B4" w:rsidP="000F517C">
            <w:pPr>
              <w:jc w:val="center"/>
              <w:rPr>
                <w:rFonts w:ascii="Arial Narrow" w:hAnsi="Arial Narrow"/>
                <w:sz w:val="20"/>
                <w:highlight w:val="yellow"/>
                <w:lang w:val="en-AU"/>
              </w:rPr>
            </w:pPr>
            <w:r w:rsidRPr="000F3970">
              <w:rPr>
                <w:rFonts w:ascii="Arial Narrow" w:hAnsi="Arial Narrow"/>
                <w:sz w:val="20"/>
                <w:lang w:val="en-AU"/>
              </w:rPr>
              <w:t>0.1 mg L</w:t>
            </w:r>
            <w:r w:rsidRPr="000F3970">
              <w:rPr>
                <w:rFonts w:ascii="Arial Narrow" w:hAnsi="Arial Narrow"/>
                <w:sz w:val="20"/>
                <w:vertAlign w:val="superscript"/>
                <w:lang w:val="en-AU"/>
              </w:rPr>
              <w:t>-1</w:t>
            </w:r>
          </w:p>
        </w:tc>
      </w:tr>
      <w:tr w:rsidR="00C532B4" w:rsidRPr="003A77F5" w14:paraId="5F2322B6" w14:textId="77777777" w:rsidTr="000F517C">
        <w:trPr>
          <w:jc w:val="center"/>
        </w:trPr>
        <w:tc>
          <w:tcPr>
            <w:tcW w:w="2763" w:type="dxa"/>
          </w:tcPr>
          <w:p w14:paraId="5F2322B4" w14:textId="77777777" w:rsidR="00C532B4" w:rsidRPr="000F3970" w:rsidRDefault="00C532B4" w:rsidP="000F517C">
            <w:pPr>
              <w:jc w:val="center"/>
              <w:rPr>
                <w:rFonts w:ascii="Arial Narrow" w:hAnsi="Arial Narrow"/>
                <w:sz w:val="20"/>
                <w:lang w:val="en-AU"/>
              </w:rPr>
            </w:pPr>
            <w:r w:rsidRPr="000F3970">
              <w:rPr>
                <w:rFonts w:ascii="Arial Narrow" w:hAnsi="Arial Narrow"/>
                <w:sz w:val="20"/>
                <w:lang w:val="en-AU"/>
              </w:rPr>
              <w:t>POC</w:t>
            </w:r>
          </w:p>
        </w:tc>
        <w:tc>
          <w:tcPr>
            <w:tcW w:w="1782" w:type="dxa"/>
          </w:tcPr>
          <w:p w14:paraId="5F2322B5" w14:textId="77777777" w:rsidR="00C532B4" w:rsidRPr="000F3970" w:rsidRDefault="00C532B4" w:rsidP="000F517C">
            <w:pPr>
              <w:jc w:val="center"/>
              <w:rPr>
                <w:rFonts w:ascii="Arial Narrow" w:hAnsi="Arial Narrow"/>
                <w:sz w:val="20"/>
                <w:highlight w:val="yellow"/>
                <w:lang w:val="en-AU"/>
              </w:rPr>
            </w:pPr>
            <w:r w:rsidRPr="000F3970">
              <w:rPr>
                <w:rFonts w:ascii="Arial Narrow" w:hAnsi="Arial Narrow"/>
                <w:sz w:val="20"/>
                <w:lang w:val="en-AU"/>
              </w:rPr>
              <w:t>1.0 µg filter</w:t>
            </w:r>
            <w:r w:rsidRPr="000F3970">
              <w:rPr>
                <w:rFonts w:ascii="Arial Narrow" w:hAnsi="Arial Narrow"/>
                <w:sz w:val="20"/>
                <w:vertAlign w:val="superscript"/>
                <w:lang w:val="en-AU"/>
              </w:rPr>
              <w:t>-1</w:t>
            </w:r>
          </w:p>
        </w:tc>
      </w:tr>
      <w:tr w:rsidR="00C532B4" w:rsidRPr="003A77F5" w14:paraId="5F2322B9" w14:textId="77777777" w:rsidTr="000F517C">
        <w:trPr>
          <w:jc w:val="center"/>
        </w:trPr>
        <w:tc>
          <w:tcPr>
            <w:tcW w:w="2763" w:type="dxa"/>
          </w:tcPr>
          <w:p w14:paraId="5F2322B7" w14:textId="77777777" w:rsidR="00C532B4" w:rsidRPr="000F3970" w:rsidRDefault="00C532B4" w:rsidP="000F517C">
            <w:pPr>
              <w:jc w:val="center"/>
              <w:rPr>
                <w:rFonts w:ascii="Arial Narrow" w:hAnsi="Arial Narrow"/>
                <w:sz w:val="20"/>
                <w:lang w:val="en-AU"/>
              </w:rPr>
            </w:pPr>
            <w:r w:rsidRPr="000F3970">
              <w:rPr>
                <w:rFonts w:ascii="Arial Narrow" w:hAnsi="Arial Narrow"/>
                <w:sz w:val="20"/>
                <w:lang w:val="en-AU"/>
              </w:rPr>
              <w:t xml:space="preserve">Chlorophyll </w:t>
            </w:r>
            <w:r w:rsidRPr="000F3970">
              <w:rPr>
                <w:rFonts w:ascii="Arial Narrow" w:hAnsi="Arial Narrow"/>
                <w:i/>
                <w:sz w:val="20"/>
                <w:lang w:val="en-AU"/>
              </w:rPr>
              <w:t>a</w:t>
            </w:r>
          </w:p>
        </w:tc>
        <w:tc>
          <w:tcPr>
            <w:tcW w:w="1782" w:type="dxa"/>
          </w:tcPr>
          <w:p w14:paraId="5F2322B8" w14:textId="77777777" w:rsidR="00C532B4" w:rsidRPr="000F3970" w:rsidRDefault="00C532B4" w:rsidP="000F517C">
            <w:pPr>
              <w:jc w:val="center"/>
              <w:rPr>
                <w:rFonts w:ascii="Arial Narrow" w:hAnsi="Arial Narrow"/>
                <w:sz w:val="20"/>
                <w:lang w:val="en-AU"/>
              </w:rPr>
            </w:pPr>
            <w:r w:rsidRPr="000F3970">
              <w:rPr>
                <w:rFonts w:ascii="Arial Narrow" w:hAnsi="Arial Narrow"/>
                <w:sz w:val="20"/>
                <w:lang w:val="en-AU"/>
              </w:rPr>
              <w:t>0.004 µg L</w:t>
            </w:r>
            <w:r w:rsidRPr="000F3970">
              <w:rPr>
                <w:rFonts w:ascii="Arial Narrow" w:hAnsi="Arial Narrow"/>
                <w:sz w:val="20"/>
                <w:vertAlign w:val="superscript"/>
                <w:lang w:val="en-AU"/>
              </w:rPr>
              <w:t>-1</w:t>
            </w:r>
          </w:p>
        </w:tc>
      </w:tr>
      <w:tr w:rsidR="00C532B4" w:rsidRPr="003A77F5" w14:paraId="5F2322BC" w14:textId="77777777" w:rsidTr="000F517C">
        <w:trPr>
          <w:jc w:val="center"/>
        </w:trPr>
        <w:tc>
          <w:tcPr>
            <w:tcW w:w="2763" w:type="dxa"/>
          </w:tcPr>
          <w:p w14:paraId="5F2322BA" w14:textId="77777777" w:rsidR="00C532B4" w:rsidRPr="000F3970" w:rsidRDefault="00C532B4" w:rsidP="000F517C">
            <w:pPr>
              <w:jc w:val="center"/>
              <w:rPr>
                <w:rFonts w:ascii="Arial Narrow" w:hAnsi="Arial Narrow"/>
                <w:sz w:val="20"/>
                <w:lang w:val="en-AU"/>
              </w:rPr>
            </w:pPr>
            <w:r w:rsidRPr="000F3970">
              <w:rPr>
                <w:rFonts w:ascii="Arial Narrow" w:hAnsi="Arial Narrow"/>
                <w:sz w:val="20"/>
                <w:lang w:val="en-AU"/>
              </w:rPr>
              <w:t>SS</w:t>
            </w:r>
          </w:p>
        </w:tc>
        <w:tc>
          <w:tcPr>
            <w:tcW w:w="1782" w:type="dxa"/>
          </w:tcPr>
          <w:p w14:paraId="5F2322BB" w14:textId="77777777" w:rsidR="00C532B4" w:rsidRPr="000F3970" w:rsidRDefault="00C532B4" w:rsidP="000F517C">
            <w:pPr>
              <w:jc w:val="center"/>
              <w:rPr>
                <w:rFonts w:ascii="Arial Narrow" w:hAnsi="Arial Narrow"/>
                <w:sz w:val="20"/>
                <w:highlight w:val="yellow"/>
                <w:lang w:val="en-AU"/>
              </w:rPr>
            </w:pPr>
            <w:r w:rsidRPr="000F3970">
              <w:rPr>
                <w:rFonts w:ascii="Arial Narrow" w:hAnsi="Arial Narrow"/>
                <w:sz w:val="20"/>
                <w:lang w:val="en-AU"/>
              </w:rPr>
              <w:t>0.1 mg filter</w:t>
            </w:r>
            <w:r w:rsidRPr="000F3970">
              <w:rPr>
                <w:rFonts w:ascii="Arial Narrow" w:hAnsi="Arial Narrow"/>
                <w:sz w:val="20"/>
                <w:vertAlign w:val="superscript"/>
                <w:lang w:val="en-AU"/>
              </w:rPr>
              <w:t>-1</w:t>
            </w:r>
          </w:p>
        </w:tc>
      </w:tr>
      <w:tr w:rsidR="00C532B4" w:rsidRPr="003A77F5" w14:paraId="5F2322BF" w14:textId="77777777" w:rsidTr="000F517C">
        <w:trPr>
          <w:jc w:val="center"/>
        </w:trPr>
        <w:tc>
          <w:tcPr>
            <w:tcW w:w="2763" w:type="dxa"/>
          </w:tcPr>
          <w:p w14:paraId="5F2322BD" w14:textId="77777777" w:rsidR="00C532B4" w:rsidRPr="000F3970" w:rsidRDefault="00C532B4" w:rsidP="000F517C">
            <w:pPr>
              <w:jc w:val="center"/>
              <w:rPr>
                <w:rFonts w:ascii="Arial Narrow" w:hAnsi="Arial Narrow"/>
                <w:sz w:val="20"/>
                <w:lang w:val="en-AU"/>
              </w:rPr>
            </w:pPr>
            <w:r w:rsidRPr="000F3970">
              <w:rPr>
                <w:rFonts w:ascii="Arial Narrow" w:hAnsi="Arial Narrow"/>
                <w:sz w:val="20"/>
                <w:lang w:val="en-AU"/>
              </w:rPr>
              <w:t>Salinity</w:t>
            </w:r>
          </w:p>
        </w:tc>
        <w:tc>
          <w:tcPr>
            <w:tcW w:w="1782" w:type="dxa"/>
          </w:tcPr>
          <w:p w14:paraId="5F2322BE" w14:textId="77777777" w:rsidR="00C532B4" w:rsidRPr="000F3970" w:rsidRDefault="00C532B4" w:rsidP="000F517C">
            <w:pPr>
              <w:jc w:val="center"/>
              <w:rPr>
                <w:rFonts w:ascii="Arial Narrow" w:hAnsi="Arial Narrow"/>
                <w:sz w:val="20"/>
                <w:highlight w:val="yellow"/>
                <w:lang w:val="en-AU"/>
              </w:rPr>
            </w:pPr>
            <w:r w:rsidRPr="000F3970">
              <w:rPr>
                <w:rFonts w:ascii="Arial Narrow" w:hAnsi="Arial Narrow"/>
                <w:sz w:val="20"/>
                <w:lang w:val="en-AU"/>
              </w:rPr>
              <w:t>0.03 PSU</w:t>
            </w:r>
          </w:p>
        </w:tc>
      </w:tr>
    </w:tbl>
    <w:p w14:paraId="5F2322C0" w14:textId="77777777" w:rsidR="00C532B4" w:rsidRPr="000F3970" w:rsidRDefault="00C532B4" w:rsidP="00C532B4">
      <w:pPr>
        <w:ind w:left="1843" w:right="1417"/>
        <w:rPr>
          <w:lang w:val="en-AU"/>
        </w:rPr>
      </w:pPr>
      <w:r w:rsidRPr="000F3970">
        <w:rPr>
          <w:rFonts w:ascii="Arial Narrow" w:hAnsi="Arial Narrow"/>
          <w:sz w:val="20"/>
          <w:lang w:val="en-AU"/>
        </w:rPr>
        <w:t>*LOD for analysis of dissolved nutrients is estimated for each individual analytical batch, the range given is the range of LODs from batches analysed with samples collected in 2014/15.</w:t>
      </w:r>
      <w:r w:rsidRPr="000F3970">
        <w:rPr>
          <w:lang w:val="en-AU"/>
        </w:rPr>
        <w:br w:type="page"/>
      </w:r>
    </w:p>
    <w:p w14:paraId="5F2322C1" w14:textId="77777777" w:rsidR="00C532B4" w:rsidRPr="000F3970" w:rsidRDefault="00C532B4">
      <w:pPr>
        <w:pStyle w:val="Heading7"/>
        <w:numPr>
          <w:ilvl w:val="0"/>
          <w:numId w:val="0"/>
        </w:numPr>
      </w:pPr>
      <w:bookmarkStart w:id="1676" w:name="_Toc205604866"/>
      <w:bookmarkStart w:id="1677" w:name="_Toc237137925"/>
      <w:bookmarkStart w:id="1678" w:name="_Toc269561955"/>
      <w:bookmarkStart w:id="1679" w:name="_Toc273951478"/>
      <w:bookmarkStart w:id="1680" w:name="_Toc334990058"/>
      <w:bookmarkStart w:id="1681" w:name="_Toc334990261"/>
      <w:bookmarkStart w:id="1682" w:name="_Toc374707576"/>
      <w:bookmarkStart w:id="1683" w:name="_Toc393133607"/>
      <w:bookmarkStart w:id="1684" w:name="_Toc406143773"/>
      <w:bookmarkStart w:id="1685" w:name="_Toc435775372"/>
      <w:r w:rsidRPr="000F3970">
        <w:t>Precision</w:t>
      </w:r>
      <w:bookmarkEnd w:id="1676"/>
      <w:bookmarkEnd w:id="1677"/>
      <w:bookmarkEnd w:id="1678"/>
      <w:bookmarkEnd w:id="1679"/>
      <w:bookmarkEnd w:id="1680"/>
      <w:bookmarkEnd w:id="1681"/>
      <w:bookmarkEnd w:id="1682"/>
      <w:bookmarkEnd w:id="1683"/>
      <w:bookmarkEnd w:id="1684"/>
      <w:bookmarkEnd w:id="1685"/>
    </w:p>
    <w:p w14:paraId="5F2322C2" w14:textId="77777777" w:rsidR="00C532B4" w:rsidRPr="000F3970" w:rsidRDefault="00C532B4" w:rsidP="00F351A1">
      <w:pPr>
        <w:rPr>
          <w:lang w:val="en-AU"/>
        </w:rPr>
      </w:pPr>
      <w:r w:rsidRPr="000F3970">
        <w:rPr>
          <w:lang w:val="en-AU"/>
        </w:rPr>
        <w:t>The variation between results for replicate analyses of standards or reference material is used as a measure for the precision of an analysis. Reproducibility of samples was generally within a CV of 20%, with the majority of analyses delivering precision of results within 10%</w:t>
      </w:r>
      <w:r w:rsidR="00F351A1">
        <w:rPr>
          <w:lang w:val="en-AU"/>
        </w:rPr>
        <w:t>.</w:t>
      </w:r>
      <w:r w:rsidRPr="000F3970">
        <w:rPr>
          <w:lang w:val="en-AU"/>
        </w:rPr>
        <w:t xml:space="preserve">  </w:t>
      </w:r>
    </w:p>
    <w:p w14:paraId="5F2322C3" w14:textId="77777777" w:rsidR="00C532B4" w:rsidRPr="000F3970" w:rsidRDefault="00C532B4" w:rsidP="00C532B4">
      <w:pPr>
        <w:rPr>
          <w:lang w:val="en-AU"/>
        </w:rPr>
      </w:pPr>
      <w:bookmarkStart w:id="1686" w:name="_Ref373748101"/>
      <w:bookmarkStart w:id="1687" w:name="_Toc205605379"/>
      <w:bookmarkStart w:id="1688" w:name="_Toc237149989"/>
      <w:bookmarkStart w:id="1689" w:name="_Toc269561898"/>
      <w:bookmarkStart w:id="1690" w:name="_Toc273951612"/>
      <w:bookmarkStart w:id="1691" w:name="_Toc334817413"/>
    </w:p>
    <w:p w14:paraId="5F2322C4" w14:textId="782311A3" w:rsidR="00C532B4" w:rsidRPr="000F3970" w:rsidRDefault="00725F21" w:rsidP="00164E5E">
      <w:pPr>
        <w:pStyle w:val="Caption"/>
      </w:pPr>
      <w:bookmarkStart w:id="1692" w:name="_Toc374701450"/>
      <w:bookmarkStart w:id="1693" w:name="_Toc392929666"/>
      <w:bookmarkStart w:id="1694" w:name="_Toc459332224"/>
      <w:bookmarkEnd w:id="1686"/>
      <w:r>
        <w:t xml:space="preserve">Table A3 </w:t>
      </w:r>
      <w:r w:rsidR="00EB33A6">
        <w:fldChar w:fldCharType="begin"/>
      </w:r>
      <w:r w:rsidR="00D8225E">
        <w:instrText xml:space="preserve"> SEQ Table_A3 \* ARABIC </w:instrText>
      </w:r>
      <w:r w:rsidR="00EB33A6">
        <w:fldChar w:fldCharType="separate"/>
      </w:r>
      <w:r w:rsidR="007F5336">
        <w:rPr>
          <w:noProof/>
        </w:rPr>
        <w:t>2</w:t>
      </w:r>
      <w:r w:rsidR="00EB33A6">
        <w:rPr>
          <w:noProof/>
        </w:rPr>
        <w:fldChar w:fldCharType="end"/>
      </w:r>
      <w:r w:rsidR="00453B2E">
        <w:t>:</w:t>
      </w:r>
      <w:r w:rsidR="00C532B4" w:rsidRPr="000F3970">
        <w:t xml:space="preserve"> Summary of coefficients of variation (CV, in %) of replicate measurements (N) of a standard or reference material.</w:t>
      </w:r>
      <w:bookmarkEnd w:id="1687"/>
      <w:bookmarkEnd w:id="1688"/>
      <w:bookmarkEnd w:id="1689"/>
      <w:bookmarkEnd w:id="1690"/>
      <w:bookmarkEnd w:id="1691"/>
      <w:bookmarkEnd w:id="1692"/>
      <w:bookmarkEnd w:id="1693"/>
      <w:bookmarkEnd w:id="1694"/>
      <w:r w:rsidR="00C532B4" w:rsidRPr="000F3970">
        <w:t xml:space="preserve"> </w:t>
      </w:r>
    </w:p>
    <w:tbl>
      <w:tblPr>
        <w:tblW w:w="34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5"/>
        <w:gridCol w:w="1743"/>
        <w:gridCol w:w="1542"/>
      </w:tblGrid>
      <w:tr w:rsidR="00C532B4" w:rsidRPr="00C951C9" w14:paraId="5F2322C8" w14:textId="77777777" w:rsidTr="000F517C">
        <w:trPr>
          <w:jc w:val="center"/>
        </w:trPr>
        <w:tc>
          <w:tcPr>
            <w:tcW w:w="2574" w:type="pct"/>
            <w:shd w:val="clear" w:color="auto" w:fill="BFBFBF" w:themeFill="background1" w:themeFillShade="BF"/>
          </w:tcPr>
          <w:p w14:paraId="5F2322C5" w14:textId="77777777" w:rsidR="00C532B4" w:rsidRPr="00C951C9" w:rsidRDefault="00C532B4" w:rsidP="000F517C">
            <w:pPr>
              <w:jc w:val="center"/>
              <w:rPr>
                <w:rFonts w:cs="Arial"/>
                <w:b/>
                <w:sz w:val="20"/>
                <w:lang w:val="en-AU"/>
              </w:rPr>
            </w:pPr>
            <w:r w:rsidRPr="00C951C9">
              <w:rPr>
                <w:rFonts w:cs="Arial"/>
                <w:b/>
                <w:sz w:val="20"/>
                <w:lang w:val="en-AU"/>
              </w:rPr>
              <w:t>Parameter (analyte)</w:t>
            </w:r>
          </w:p>
        </w:tc>
        <w:tc>
          <w:tcPr>
            <w:tcW w:w="1287" w:type="pct"/>
            <w:shd w:val="clear" w:color="auto" w:fill="BFBFBF" w:themeFill="background1" w:themeFillShade="BF"/>
          </w:tcPr>
          <w:p w14:paraId="5F2322C6" w14:textId="77777777" w:rsidR="00C532B4" w:rsidRPr="00C951C9" w:rsidRDefault="00C532B4" w:rsidP="000F517C">
            <w:pPr>
              <w:jc w:val="center"/>
              <w:rPr>
                <w:rFonts w:cs="Arial"/>
                <w:b/>
                <w:sz w:val="20"/>
                <w:lang w:val="en-AU"/>
              </w:rPr>
            </w:pPr>
            <w:r w:rsidRPr="00C951C9">
              <w:rPr>
                <w:rFonts w:cs="Arial"/>
                <w:b/>
                <w:sz w:val="20"/>
                <w:lang w:val="en-AU"/>
              </w:rPr>
              <w:t>CV (%)</w:t>
            </w:r>
          </w:p>
        </w:tc>
        <w:tc>
          <w:tcPr>
            <w:tcW w:w="1139" w:type="pct"/>
            <w:shd w:val="clear" w:color="auto" w:fill="BFBFBF" w:themeFill="background1" w:themeFillShade="BF"/>
          </w:tcPr>
          <w:p w14:paraId="5F2322C7" w14:textId="77777777" w:rsidR="00C532B4" w:rsidRPr="00C951C9" w:rsidRDefault="00C532B4" w:rsidP="000F517C">
            <w:pPr>
              <w:jc w:val="center"/>
              <w:rPr>
                <w:rFonts w:cs="Arial"/>
                <w:b/>
                <w:sz w:val="20"/>
                <w:lang w:val="en-AU"/>
              </w:rPr>
            </w:pPr>
            <w:r w:rsidRPr="00C951C9">
              <w:rPr>
                <w:rFonts w:cs="Arial"/>
                <w:b/>
                <w:sz w:val="20"/>
                <w:lang w:val="en-AU"/>
              </w:rPr>
              <w:t>N</w:t>
            </w:r>
          </w:p>
        </w:tc>
      </w:tr>
      <w:tr w:rsidR="00C532B4" w:rsidRPr="00C951C9" w14:paraId="5F2322CC" w14:textId="77777777" w:rsidTr="000F517C">
        <w:trPr>
          <w:jc w:val="center"/>
        </w:trPr>
        <w:tc>
          <w:tcPr>
            <w:tcW w:w="2574" w:type="pct"/>
          </w:tcPr>
          <w:p w14:paraId="5F2322C9" w14:textId="77777777" w:rsidR="00C532B4" w:rsidRPr="00C951C9" w:rsidRDefault="00C532B4" w:rsidP="000F517C">
            <w:pPr>
              <w:jc w:val="center"/>
              <w:rPr>
                <w:rFonts w:cs="Arial"/>
                <w:sz w:val="20"/>
                <w:lang w:val="en-AU"/>
              </w:rPr>
            </w:pPr>
            <w:r w:rsidRPr="00C951C9">
              <w:rPr>
                <w:rFonts w:cs="Arial"/>
                <w:sz w:val="20"/>
                <w:lang w:val="en-AU"/>
              </w:rPr>
              <w:t>NO2</w:t>
            </w:r>
          </w:p>
        </w:tc>
        <w:tc>
          <w:tcPr>
            <w:tcW w:w="1287" w:type="pct"/>
          </w:tcPr>
          <w:p w14:paraId="5F2322CA" w14:textId="77777777" w:rsidR="00C532B4" w:rsidRPr="00C951C9" w:rsidRDefault="00C532B4" w:rsidP="000F517C">
            <w:pPr>
              <w:jc w:val="center"/>
              <w:rPr>
                <w:rFonts w:cs="Arial"/>
                <w:sz w:val="20"/>
                <w:lang w:val="en-AU"/>
              </w:rPr>
            </w:pPr>
            <w:r w:rsidRPr="00C951C9">
              <w:rPr>
                <w:rFonts w:cs="Arial"/>
                <w:sz w:val="20"/>
                <w:lang w:val="en-AU"/>
              </w:rPr>
              <w:t>2-61*</w:t>
            </w:r>
          </w:p>
        </w:tc>
        <w:tc>
          <w:tcPr>
            <w:tcW w:w="1139" w:type="pct"/>
          </w:tcPr>
          <w:p w14:paraId="5F2322CB" w14:textId="77777777" w:rsidR="00C532B4" w:rsidRPr="00C951C9" w:rsidRDefault="00C532B4" w:rsidP="000F517C">
            <w:pPr>
              <w:jc w:val="center"/>
              <w:rPr>
                <w:rFonts w:cs="Arial"/>
                <w:sz w:val="20"/>
                <w:lang w:val="en-AU"/>
              </w:rPr>
            </w:pPr>
            <w:r w:rsidRPr="00C951C9">
              <w:rPr>
                <w:rFonts w:cs="Arial"/>
                <w:sz w:val="20"/>
                <w:lang w:val="en-AU"/>
              </w:rPr>
              <w:t>2-4</w:t>
            </w:r>
          </w:p>
        </w:tc>
      </w:tr>
      <w:tr w:rsidR="00C532B4" w:rsidRPr="00C951C9" w14:paraId="5F2322D0" w14:textId="77777777" w:rsidTr="000F517C">
        <w:trPr>
          <w:jc w:val="center"/>
        </w:trPr>
        <w:tc>
          <w:tcPr>
            <w:tcW w:w="2574" w:type="pct"/>
          </w:tcPr>
          <w:p w14:paraId="5F2322CD" w14:textId="77777777" w:rsidR="00C532B4" w:rsidRPr="00C951C9" w:rsidRDefault="00C532B4" w:rsidP="000F517C">
            <w:pPr>
              <w:jc w:val="center"/>
              <w:rPr>
                <w:rFonts w:cs="Arial"/>
                <w:sz w:val="20"/>
                <w:lang w:val="en-AU"/>
              </w:rPr>
            </w:pPr>
            <w:r w:rsidRPr="00C951C9">
              <w:rPr>
                <w:rFonts w:cs="Arial"/>
                <w:sz w:val="20"/>
                <w:lang w:val="en-AU"/>
              </w:rPr>
              <w:t>NO3+ NO2</w:t>
            </w:r>
          </w:p>
        </w:tc>
        <w:tc>
          <w:tcPr>
            <w:tcW w:w="1287" w:type="pct"/>
          </w:tcPr>
          <w:p w14:paraId="5F2322CE" w14:textId="77777777" w:rsidR="00C532B4" w:rsidRPr="00C951C9" w:rsidRDefault="00C532B4" w:rsidP="000F517C">
            <w:pPr>
              <w:jc w:val="center"/>
              <w:rPr>
                <w:rFonts w:cs="Arial"/>
                <w:sz w:val="20"/>
                <w:lang w:val="en-AU"/>
              </w:rPr>
            </w:pPr>
            <w:r w:rsidRPr="00C951C9">
              <w:rPr>
                <w:rFonts w:cs="Arial"/>
                <w:sz w:val="20"/>
                <w:lang w:val="en-AU"/>
              </w:rPr>
              <w:t>4-25*</w:t>
            </w:r>
          </w:p>
        </w:tc>
        <w:tc>
          <w:tcPr>
            <w:tcW w:w="1139" w:type="pct"/>
          </w:tcPr>
          <w:p w14:paraId="5F2322CF" w14:textId="77777777" w:rsidR="00C532B4" w:rsidRPr="00C951C9" w:rsidRDefault="00C532B4" w:rsidP="000F517C">
            <w:pPr>
              <w:jc w:val="center"/>
              <w:rPr>
                <w:rFonts w:cs="Arial"/>
                <w:sz w:val="20"/>
                <w:lang w:val="en-AU"/>
              </w:rPr>
            </w:pPr>
            <w:r w:rsidRPr="00C951C9">
              <w:rPr>
                <w:rFonts w:cs="Arial"/>
                <w:sz w:val="20"/>
                <w:lang w:val="en-AU"/>
              </w:rPr>
              <w:t>2-4</w:t>
            </w:r>
          </w:p>
        </w:tc>
      </w:tr>
      <w:tr w:rsidR="00C532B4" w:rsidRPr="00C951C9" w14:paraId="5F2322D4" w14:textId="77777777" w:rsidTr="000F517C">
        <w:trPr>
          <w:jc w:val="center"/>
        </w:trPr>
        <w:tc>
          <w:tcPr>
            <w:tcW w:w="2574" w:type="pct"/>
          </w:tcPr>
          <w:p w14:paraId="5F2322D1" w14:textId="77777777" w:rsidR="00C532B4" w:rsidRPr="00C951C9" w:rsidRDefault="00C532B4" w:rsidP="000F517C">
            <w:pPr>
              <w:jc w:val="center"/>
              <w:rPr>
                <w:rFonts w:cs="Arial"/>
                <w:sz w:val="20"/>
                <w:lang w:val="en-AU"/>
              </w:rPr>
            </w:pPr>
            <w:r w:rsidRPr="00C951C9">
              <w:rPr>
                <w:rFonts w:cs="Arial"/>
                <w:sz w:val="20"/>
                <w:lang w:val="en-AU"/>
              </w:rPr>
              <w:t>NH4</w:t>
            </w:r>
          </w:p>
        </w:tc>
        <w:tc>
          <w:tcPr>
            <w:tcW w:w="1287" w:type="pct"/>
          </w:tcPr>
          <w:p w14:paraId="5F2322D2" w14:textId="77777777" w:rsidR="00C532B4" w:rsidRPr="00C951C9" w:rsidRDefault="00C532B4" w:rsidP="00C532B4">
            <w:pPr>
              <w:jc w:val="center"/>
              <w:rPr>
                <w:rFonts w:cs="Arial"/>
                <w:sz w:val="20"/>
                <w:lang w:val="en-AU"/>
              </w:rPr>
            </w:pPr>
            <w:r w:rsidRPr="00C951C9">
              <w:rPr>
                <w:rFonts w:cs="Arial"/>
                <w:sz w:val="20"/>
                <w:lang w:val="en-AU"/>
              </w:rPr>
              <w:t>1-34*</w:t>
            </w:r>
          </w:p>
        </w:tc>
        <w:tc>
          <w:tcPr>
            <w:tcW w:w="1139" w:type="pct"/>
          </w:tcPr>
          <w:p w14:paraId="5F2322D3" w14:textId="77777777" w:rsidR="00C532B4" w:rsidRPr="00C951C9" w:rsidRDefault="00C532B4" w:rsidP="000F517C">
            <w:pPr>
              <w:jc w:val="center"/>
              <w:rPr>
                <w:rFonts w:cs="Arial"/>
                <w:sz w:val="20"/>
                <w:lang w:val="en-AU"/>
              </w:rPr>
            </w:pPr>
            <w:r w:rsidRPr="00C951C9">
              <w:rPr>
                <w:rFonts w:cs="Arial"/>
                <w:sz w:val="20"/>
                <w:lang w:val="en-AU"/>
              </w:rPr>
              <w:t>3-4</w:t>
            </w:r>
          </w:p>
        </w:tc>
      </w:tr>
      <w:tr w:rsidR="00C532B4" w:rsidRPr="00C951C9" w14:paraId="5F2322D8" w14:textId="77777777" w:rsidTr="000F517C">
        <w:trPr>
          <w:jc w:val="center"/>
        </w:trPr>
        <w:tc>
          <w:tcPr>
            <w:tcW w:w="2574" w:type="pct"/>
          </w:tcPr>
          <w:p w14:paraId="5F2322D5" w14:textId="77777777" w:rsidR="00C532B4" w:rsidRPr="00C951C9" w:rsidRDefault="00C532B4" w:rsidP="000F517C">
            <w:pPr>
              <w:jc w:val="center"/>
              <w:rPr>
                <w:rFonts w:cs="Arial"/>
                <w:sz w:val="20"/>
                <w:lang w:val="en-AU"/>
              </w:rPr>
            </w:pPr>
            <w:r w:rsidRPr="00C951C9">
              <w:rPr>
                <w:rFonts w:cs="Arial"/>
                <w:sz w:val="20"/>
                <w:lang w:val="en-AU"/>
              </w:rPr>
              <w:t>TDN</w:t>
            </w:r>
          </w:p>
        </w:tc>
        <w:tc>
          <w:tcPr>
            <w:tcW w:w="1287" w:type="pct"/>
          </w:tcPr>
          <w:p w14:paraId="5F2322D6" w14:textId="77777777" w:rsidR="00C532B4" w:rsidRPr="00C951C9" w:rsidRDefault="00C532B4" w:rsidP="000F517C">
            <w:pPr>
              <w:jc w:val="center"/>
              <w:rPr>
                <w:rFonts w:cs="Arial"/>
                <w:sz w:val="20"/>
                <w:lang w:val="en-AU"/>
              </w:rPr>
            </w:pPr>
            <w:r w:rsidRPr="00C951C9">
              <w:rPr>
                <w:rFonts w:cs="Arial"/>
                <w:sz w:val="20"/>
                <w:lang w:val="en-AU"/>
              </w:rPr>
              <w:t>2-21*</w:t>
            </w:r>
          </w:p>
        </w:tc>
        <w:tc>
          <w:tcPr>
            <w:tcW w:w="1139" w:type="pct"/>
          </w:tcPr>
          <w:p w14:paraId="5F2322D7" w14:textId="77777777" w:rsidR="00C532B4" w:rsidRPr="00C951C9" w:rsidRDefault="00C532B4" w:rsidP="000F517C">
            <w:pPr>
              <w:jc w:val="center"/>
              <w:rPr>
                <w:rFonts w:cs="Arial"/>
                <w:sz w:val="20"/>
                <w:lang w:val="en-AU"/>
              </w:rPr>
            </w:pPr>
            <w:r w:rsidRPr="00C951C9">
              <w:rPr>
                <w:rFonts w:cs="Arial"/>
                <w:sz w:val="20"/>
                <w:lang w:val="en-AU"/>
              </w:rPr>
              <w:t>4-6</w:t>
            </w:r>
          </w:p>
        </w:tc>
      </w:tr>
      <w:tr w:rsidR="00C532B4" w:rsidRPr="00C951C9" w14:paraId="5F2322DC" w14:textId="77777777" w:rsidTr="000F517C">
        <w:trPr>
          <w:jc w:val="center"/>
        </w:trPr>
        <w:tc>
          <w:tcPr>
            <w:tcW w:w="2574" w:type="pct"/>
          </w:tcPr>
          <w:p w14:paraId="5F2322D9" w14:textId="77777777" w:rsidR="00C532B4" w:rsidRPr="00C951C9" w:rsidRDefault="00C532B4" w:rsidP="000F517C">
            <w:pPr>
              <w:jc w:val="center"/>
              <w:rPr>
                <w:rFonts w:cs="Arial"/>
                <w:sz w:val="20"/>
                <w:lang w:val="en-AU"/>
              </w:rPr>
            </w:pPr>
            <w:r w:rsidRPr="00C951C9">
              <w:rPr>
                <w:rFonts w:cs="Arial"/>
                <w:sz w:val="20"/>
                <w:lang w:val="en-AU"/>
              </w:rPr>
              <w:t>PN</w:t>
            </w:r>
          </w:p>
        </w:tc>
        <w:tc>
          <w:tcPr>
            <w:tcW w:w="1287" w:type="pct"/>
          </w:tcPr>
          <w:p w14:paraId="5F2322DA" w14:textId="77777777" w:rsidR="00C532B4" w:rsidRPr="00C951C9" w:rsidRDefault="00C532B4" w:rsidP="000F517C">
            <w:pPr>
              <w:jc w:val="center"/>
              <w:rPr>
                <w:rFonts w:cs="Arial"/>
                <w:sz w:val="20"/>
                <w:lang w:val="en-AU"/>
              </w:rPr>
            </w:pPr>
            <w:r w:rsidRPr="00C951C9">
              <w:rPr>
                <w:rFonts w:cs="Arial"/>
                <w:sz w:val="20"/>
                <w:lang w:val="en-AU"/>
              </w:rPr>
              <w:t>9-15</w:t>
            </w:r>
          </w:p>
        </w:tc>
        <w:tc>
          <w:tcPr>
            <w:tcW w:w="1139" w:type="pct"/>
          </w:tcPr>
          <w:p w14:paraId="5F2322DB" w14:textId="77777777" w:rsidR="00C532B4" w:rsidRPr="00C951C9" w:rsidRDefault="00C532B4" w:rsidP="000F517C">
            <w:pPr>
              <w:jc w:val="center"/>
              <w:rPr>
                <w:rFonts w:cs="Arial"/>
                <w:sz w:val="20"/>
                <w:lang w:val="en-AU"/>
              </w:rPr>
            </w:pPr>
            <w:r w:rsidRPr="00C951C9">
              <w:rPr>
                <w:rFonts w:cs="Arial"/>
                <w:sz w:val="20"/>
                <w:lang w:val="en-AU"/>
              </w:rPr>
              <w:t>54-56</w:t>
            </w:r>
          </w:p>
        </w:tc>
      </w:tr>
      <w:tr w:rsidR="00C532B4" w:rsidRPr="00C951C9" w14:paraId="5F2322E0" w14:textId="77777777" w:rsidTr="000F517C">
        <w:trPr>
          <w:jc w:val="center"/>
        </w:trPr>
        <w:tc>
          <w:tcPr>
            <w:tcW w:w="2574" w:type="pct"/>
          </w:tcPr>
          <w:p w14:paraId="5F2322DD" w14:textId="77777777" w:rsidR="00C532B4" w:rsidRPr="00C951C9" w:rsidRDefault="00C532B4" w:rsidP="000F517C">
            <w:pPr>
              <w:jc w:val="center"/>
              <w:rPr>
                <w:rFonts w:cs="Arial"/>
                <w:sz w:val="20"/>
                <w:lang w:val="en-AU"/>
              </w:rPr>
            </w:pPr>
            <w:r w:rsidRPr="00C951C9">
              <w:rPr>
                <w:rFonts w:cs="Arial"/>
                <w:sz w:val="20"/>
                <w:lang w:val="en-AU"/>
              </w:rPr>
              <w:t>PO4</w:t>
            </w:r>
          </w:p>
        </w:tc>
        <w:tc>
          <w:tcPr>
            <w:tcW w:w="1287" w:type="pct"/>
          </w:tcPr>
          <w:p w14:paraId="5F2322DE" w14:textId="77777777" w:rsidR="00C532B4" w:rsidRPr="00C951C9" w:rsidRDefault="00C532B4" w:rsidP="000F517C">
            <w:pPr>
              <w:jc w:val="center"/>
              <w:rPr>
                <w:rFonts w:cs="Arial"/>
                <w:sz w:val="20"/>
                <w:lang w:val="en-AU"/>
              </w:rPr>
            </w:pPr>
            <w:r w:rsidRPr="00C951C9">
              <w:rPr>
                <w:rFonts w:cs="Arial"/>
                <w:sz w:val="20"/>
                <w:lang w:val="en-AU"/>
              </w:rPr>
              <w:t>3-23*</w:t>
            </w:r>
          </w:p>
        </w:tc>
        <w:tc>
          <w:tcPr>
            <w:tcW w:w="1139" w:type="pct"/>
          </w:tcPr>
          <w:p w14:paraId="5F2322DF" w14:textId="77777777" w:rsidR="00C532B4" w:rsidRPr="00C951C9" w:rsidRDefault="00C532B4" w:rsidP="000F517C">
            <w:pPr>
              <w:jc w:val="center"/>
              <w:rPr>
                <w:rFonts w:cs="Arial"/>
                <w:sz w:val="20"/>
                <w:lang w:val="en-AU"/>
              </w:rPr>
            </w:pPr>
            <w:r w:rsidRPr="00C951C9">
              <w:rPr>
                <w:rFonts w:cs="Arial"/>
                <w:sz w:val="20"/>
                <w:lang w:val="en-AU"/>
              </w:rPr>
              <w:t>3-4</w:t>
            </w:r>
          </w:p>
        </w:tc>
      </w:tr>
      <w:tr w:rsidR="00C532B4" w:rsidRPr="00C951C9" w14:paraId="5F2322E4" w14:textId="77777777" w:rsidTr="000F517C">
        <w:trPr>
          <w:jc w:val="center"/>
        </w:trPr>
        <w:tc>
          <w:tcPr>
            <w:tcW w:w="2574" w:type="pct"/>
          </w:tcPr>
          <w:p w14:paraId="5F2322E1" w14:textId="77777777" w:rsidR="00C532B4" w:rsidRPr="00C951C9" w:rsidRDefault="00C532B4" w:rsidP="000F517C">
            <w:pPr>
              <w:jc w:val="center"/>
              <w:rPr>
                <w:rFonts w:cs="Arial"/>
                <w:sz w:val="20"/>
                <w:lang w:val="en-AU"/>
              </w:rPr>
            </w:pPr>
            <w:r w:rsidRPr="00C951C9">
              <w:rPr>
                <w:rFonts w:cs="Arial"/>
                <w:sz w:val="20"/>
                <w:lang w:val="en-AU"/>
              </w:rPr>
              <w:t>TDP</w:t>
            </w:r>
          </w:p>
        </w:tc>
        <w:tc>
          <w:tcPr>
            <w:tcW w:w="1287" w:type="pct"/>
          </w:tcPr>
          <w:p w14:paraId="5F2322E2" w14:textId="77777777" w:rsidR="00C532B4" w:rsidRPr="00C951C9" w:rsidRDefault="00C532B4" w:rsidP="000F517C">
            <w:pPr>
              <w:jc w:val="center"/>
              <w:rPr>
                <w:rFonts w:cs="Arial"/>
                <w:sz w:val="20"/>
                <w:lang w:val="en-AU"/>
              </w:rPr>
            </w:pPr>
            <w:r w:rsidRPr="00C951C9">
              <w:rPr>
                <w:rFonts w:cs="Arial"/>
                <w:sz w:val="20"/>
                <w:lang w:val="en-AU"/>
              </w:rPr>
              <w:t>3-35*</w:t>
            </w:r>
          </w:p>
        </w:tc>
        <w:tc>
          <w:tcPr>
            <w:tcW w:w="1139" w:type="pct"/>
          </w:tcPr>
          <w:p w14:paraId="5F2322E3" w14:textId="77777777" w:rsidR="00C532B4" w:rsidRPr="00C951C9" w:rsidRDefault="00C532B4" w:rsidP="000F517C">
            <w:pPr>
              <w:jc w:val="center"/>
              <w:rPr>
                <w:rFonts w:cs="Arial"/>
                <w:sz w:val="20"/>
                <w:lang w:val="en-AU"/>
              </w:rPr>
            </w:pPr>
            <w:r w:rsidRPr="00C951C9">
              <w:rPr>
                <w:rFonts w:cs="Arial"/>
                <w:sz w:val="20"/>
                <w:lang w:val="en-AU"/>
              </w:rPr>
              <w:t>4-6</w:t>
            </w:r>
          </w:p>
        </w:tc>
      </w:tr>
      <w:tr w:rsidR="00C532B4" w:rsidRPr="00C951C9" w14:paraId="5F2322E8" w14:textId="77777777" w:rsidTr="000F517C">
        <w:trPr>
          <w:jc w:val="center"/>
        </w:trPr>
        <w:tc>
          <w:tcPr>
            <w:tcW w:w="2574" w:type="pct"/>
          </w:tcPr>
          <w:p w14:paraId="5F2322E5" w14:textId="77777777" w:rsidR="00C532B4" w:rsidRPr="00C951C9" w:rsidRDefault="00C532B4" w:rsidP="000F517C">
            <w:pPr>
              <w:jc w:val="center"/>
              <w:rPr>
                <w:rFonts w:cs="Arial"/>
                <w:sz w:val="20"/>
                <w:lang w:val="en-AU"/>
              </w:rPr>
            </w:pPr>
            <w:r w:rsidRPr="00C951C9">
              <w:rPr>
                <w:rFonts w:cs="Arial"/>
                <w:sz w:val="20"/>
                <w:lang w:val="en-AU"/>
              </w:rPr>
              <w:t>PP</w:t>
            </w:r>
          </w:p>
        </w:tc>
        <w:tc>
          <w:tcPr>
            <w:tcW w:w="1287" w:type="pct"/>
          </w:tcPr>
          <w:p w14:paraId="5F2322E6" w14:textId="77777777" w:rsidR="00C532B4" w:rsidRPr="00C951C9" w:rsidRDefault="00C532B4" w:rsidP="000F517C">
            <w:pPr>
              <w:jc w:val="center"/>
              <w:rPr>
                <w:rFonts w:cs="Arial"/>
                <w:sz w:val="20"/>
                <w:lang w:val="en-AU"/>
              </w:rPr>
            </w:pPr>
            <w:r w:rsidRPr="00C951C9">
              <w:rPr>
                <w:rFonts w:cs="Arial"/>
                <w:sz w:val="20"/>
                <w:lang w:val="en-AU"/>
              </w:rPr>
              <w:t>6</w:t>
            </w:r>
          </w:p>
        </w:tc>
        <w:tc>
          <w:tcPr>
            <w:tcW w:w="1139" w:type="pct"/>
          </w:tcPr>
          <w:p w14:paraId="5F2322E7" w14:textId="77777777" w:rsidR="00C532B4" w:rsidRPr="00C951C9" w:rsidRDefault="00C532B4" w:rsidP="000F517C">
            <w:pPr>
              <w:jc w:val="center"/>
              <w:rPr>
                <w:rFonts w:cs="Arial"/>
                <w:sz w:val="20"/>
                <w:lang w:val="en-AU"/>
              </w:rPr>
            </w:pPr>
            <w:r w:rsidRPr="00C951C9">
              <w:rPr>
                <w:rFonts w:cs="Arial"/>
                <w:sz w:val="20"/>
                <w:lang w:val="en-AU"/>
              </w:rPr>
              <w:t>7</w:t>
            </w:r>
          </w:p>
        </w:tc>
      </w:tr>
      <w:tr w:rsidR="00C532B4" w:rsidRPr="00C951C9" w14:paraId="5F2322EC" w14:textId="77777777" w:rsidTr="000F517C">
        <w:trPr>
          <w:jc w:val="center"/>
        </w:trPr>
        <w:tc>
          <w:tcPr>
            <w:tcW w:w="2574" w:type="pct"/>
          </w:tcPr>
          <w:p w14:paraId="5F2322E9" w14:textId="77777777" w:rsidR="00C532B4" w:rsidRPr="00C951C9" w:rsidRDefault="00C532B4" w:rsidP="000F517C">
            <w:pPr>
              <w:jc w:val="center"/>
              <w:rPr>
                <w:rFonts w:cs="Arial"/>
                <w:sz w:val="20"/>
                <w:lang w:val="en-AU"/>
              </w:rPr>
            </w:pPr>
            <w:r w:rsidRPr="00C951C9">
              <w:rPr>
                <w:rFonts w:cs="Arial"/>
                <w:sz w:val="20"/>
                <w:lang w:val="en-AU"/>
              </w:rPr>
              <w:t>Si</w:t>
            </w:r>
          </w:p>
        </w:tc>
        <w:tc>
          <w:tcPr>
            <w:tcW w:w="1287" w:type="pct"/>
          </w:tcPr>
          <w:p w14:paraId="5F2322EA" w14:textId="77777777" w:rsidR="00C532B4" w:rsidRPr="00C951C9" w:rsidRDefault="00C532B4" w:rsidP="000F517C">
            <w:pPr>
              <w:jc w:val="center"/>
              <w:rPr>
                <w:rFonts w:cs="Arial"/>
                <w:sz w:val="20"/>
                <w:lang w:val="en-AU"/>
              </w:rPr>
            </w:pPr>
            <w:r w:rsidRPr="00C951C9">
              <w:rPr>
                <w:rFonts w:cs="Arial"/>
                <w:sz w:val="20"/>
                <w:lang w:val="en-AU"/>
              </w:rPr>
              <w:t>2-22*</w:t>
            </w:r>
          </w:p>
        </w:tc>
        <w:tc>
          <w:tcPr>
            <w:tcW w:w="1139" w:type="pct"/>
          </w:tcPr>
          <w:p w14:paraId="5F2322EB" w14:textId="77777777" w:rsidR="00C532B4" w:rsidRPr="00C951C9" w:rsidRDefault="00C532B4" w:rsidP="000F517C">
            <w:pPr>
              <w:jc w:val="center"/>
              <w:rPr>
                <w:rFonts w:cs="Arial"/>
                <w:sz w:val="20"/>
                <w:lang w:val="en-AU"/>
              </w:rPr>
            </w:pPr>
            <w:r w:rsidRPr="00C951C9">
              <w:rPr>
                <w:rFonts w:cs="Arial"/>
                <w:sz w:val="20"/>
                <w:lang w:val="en-AU"/>
              </w:rPr>
              <w:t>3-4</w:t>
            </w:r>
          </w:p>
        </w:tc>
      </w:tr>
      <w:tr w:rsidR="00C532B4" w:rsidRPr="00C951C9" w14:paraId="5F2322F0" w14:textId="77777777" w:rsidTr="000F517C">
        <w:trPr>
          <w:jc w:val="center"/>
        </w:trPr>
        <w:tc>
          <w:tcPr>
            <w:tcW w:w="2574" w:type="pct"/>
          </w:tcPr>
          <w:p w14:paraId="5F2322ED" w14:textId="77777777" w:rsidR="00C532B4" w:rsidRPr="00C951C9" w:rsidRDefault="00C532B4" w:rsidP="000F517C">
            <w:pPr>
              <w:jc w:val="center"/>
              <w:rPr>
                <w:rFonts w:cs="Arial"/>
                <w:sz w:val="20"/>
                <w:lang w:val="en-AU"/>
              </w:rPr>
            </w:pPr>
            <w:r w:rsidRPr="00C951C9">
              <w:rPr>
                <w:rFonts w:cs="Arial"/>
                <w:sz w:val="20"/>
                <w:lang w:val="en-AU"/>
              </w:rPr>
              <w:t>DOC</w:t>
            </w:r>
          </w:p>
        </w:tc>
        <w:tc>
          <w:tcPr>
            <w:tcW w:w="1287" w:type="pct"/>
          </w:tcPr>
          <w:p w14:paraId="5F2322EE" w14:textId="77777777" w:rsidR="00C532B4" w:rsidRPr="00C951C9" w:rsidRDefault="00C532B4" w:rsidP="000F517C">
            <w:pPr>
              <w:jc w:val="center"/>
              <w:rPr>
                <w:rFonts w:cs="Arial"/>
                <w:sz w:val="20"/>
                <w:lang w:val="en-AU"/>
              </w:rPr>
            </w:pPr>
            <w:r w:rsidRPr="00C951C9">
              <w:rPr>
                <w:rFonts w:cs="Arial"/>
                <w:sz w:val="20"/>
                <w:lang w:val="en-AU"/>
              </w:rPr>
              <w:t>2-6*</w:t>
            </w:r>
          </w:p>
        </w:tc>
        <w:tc>
          <w:tcPr>
            <w:tcW w:w="1139" w:type="pct"/>
          </w:tcPr>
          <w:p w14:paraId="5F2322EF" w14:textId="77777777" w:rsidR="00C532B4" w:rsidRPr="00C951C9" w:rsidRDefault="00C532B4" w:rsidP="000F517C">
            <w:pPr>
              <w:jc w:val="center"/>
              <w:rPr>
                <w:rFonts w:cs="Arial"/>
                <w:sz w:val="20"/>
                <w:lang w:val="en-AU"/>
              </w:rPr>
            </w:pPr>
            <w:r w:rsidRPr="00C951C9">
              <w:rPr>
                <w:rFonts w:cs="Arial"/>
                <w:sz w:val="20"/>
                <w:lang w:val="en-AU"/>
              </w:rPr>
              <w:t>14-29</w:t>
            </w:r>
          </w:p>
        </w:tc>
      </w:tr>
      <w:tr w:rsidR="00C532B4" w:rsidRPr="00C951C9" w14:paraId="5F2322F4" w14:textId="77777777" w:rsidTr="000F517C">
        <w:trPr>
          <w:jc w:val="center"/>
        </w:trPr>
        <w:tc>
          <w:tcPr>
            <w:tcW w:w="2574" w:type="pct"/>
          </w:tcPr>
          <w:p w14:paraId="5F2322F1" w14:textId="77777777" w:rsidR="00C532B4" w:rsidRPr="00C951C9" w:rsidRDefault="00C532B4" w:rsidP="000F517C">
            <w:pPr>
              <w:jc w:val="center"/>
              <w:rPr>
                <w:rFonts w:cs="Arial"/>
                <w:sz w:val="20"/>
                <w:lang w:val="en-AU"/>
              </w:rPr>
            </w:pPr>
            <w:r w:rsidRPr="00C951C9">
              <w:rPr>
                <w:rFonts w:cs="Arial"/>
                <w:sz w:val="20"/>
                <w:lang w:val="en-AU"/>
              </w:rPr>
              <w:t>POC</w:t>
            </w:r>
          </w:p>
        </w:tc>
        <w:tc>
          <w:tcPr>
            <w:tcW w:w="1287" w:type="pct"/>
          </w:tcPr>
          <w:p w14:paraId="5F2322F2" w14:textId="77777777" w:rsidR="00C532B4" w:rsidRPr="00C951C9" w:rsidRDefault="00C532B4" w:rsidP="000F517C">
            <w:pPr>
              <w:jc w:val="center"/>
              <w:rPr>
                <w:rFonts w:cs="Arial"/>
                <w:sz w:val="20"/>
                <w:lang w:val="en-AU"/>
              </w:rPr>
            </w:pPr>
            <w:r w:rsidRPr="00C951C9">
              <w:rPr>
                <w:rFonts w:cs="Arial"/>
                <w:sz w:val="20"/>
                <w:lang w:val="en-AU"/>
              </w:rPr>
              <w:t>8-9**</w:t>
            </w:r>
          </w:p>
        </w:tc>
        <w:tc>
          <w:tcPr>
            <w:tcW w:w="1139" w:type="pct"/>
          </w:tcPr>
          <w:p w14:paraId="5F2322F3" w14:textId="77777777" w:rsidR="00C532B4" w:rsidRPr="00C951C9" w:rsidRDefault="00C532B4" w:rsidP="000F517C">
            <w:pPr>
              <w:jc w:val="center"/>
              <w:rPr>
                <w:rFonts w:cs="Arial"/>
                <w:sz w:val="20"/>
                <w:lang w:val="en-AU"/>
              </w:rPr>
            </w:pPr>
            <w:r w:rsidRPr="00C951C9">
              <w:rPr>
                <w:rFonts w:cs="Arial"/>
                <w:sz w:val="20"/>
                <w:lang w:val="en-AU"/>
              </w:rPr>
              <w:t>54-56</w:t>
            </w:r>
          </w:p>
        </w:tc>
      </w:tr>
      <w:tr w:rsidR="00C532B4" w:rsidRPr="00C951C9" w14:paraId="5F2322F8" w14:textId="77777777" w:rsidTr="000F517C">
        <w:trPr>
          <w:jc w:val="center"/>
        </w:trPr>
        <w:tc>
          <w:tcPr>
            <w:tcW w:w="2574" w:type="pct"/>
          </w:tcPr>
          <w:p w14:paraId="5F2322F5" w14:textId="77777777" w:rsidR="00C532B4" w:rsidRPr="00C951C9" w:rsidRDefault="00C532B4" w:rsidP="000F517C">
            <w:pPr>
              <w:jc w:val="center"/>
              <w:rPr>
                <w:rFonts w:cs="Arial"/>
                <w:sz w:val="20"/>
                <w:lang w:val="en-AU"/>
              </w:rPr>
            </w:pPr>
            <w:r w:rsidRPr="00C951C9">
              <w:rPr>
                <w:rFonts w:cs="Arial"/>
                <w:sz w:val="20"/>
                <w:lang w:val="en-AU"/>
              </w:rPr>
              <w:t xml:space="preserve">Chlorophyll </w:t>
            </w:r>
            <w:r w:rsidRPr="00C951C9">
              <w:rPr>
                <w:rFonts w:cs="Arial"/>
                <w:i/>
                <w:sz w:val="20"/>
                <w:lang w:val="en-AU"/>
              </w:rPr>
              <w:t>a</w:t>
            </w:r>
          </w:p>
        </w:tc>
        <w:tc>
          <w:tcPr>
            <w:tcW w:w="1287" w:type="pct"/>
          </w:tcPr>
          <w:p w14:paraId="5F2322F6" w14:textId="77777777" w:rsidR="00C532B4" w:rsidRPr="00C951C9" w:rsidRDefault="00C532B4" w:rsidP="000F517C">
            <w:pPr>
              <w:jc w:val="center"/>
              <w:rPr>
                <w:rFonts w:cs="Arial"/>
                <w:sz w:val="20"/>
                <w:lang w:val="en-AU"/>
              </w:rPr>
            </w:pPr>
            <w:r w:rsidRPr="00C951C9">
              <w:rPr>
                <w:rFonts w:cs="Arial"/>
                <w:sz w:val="20"/>
                <w:lang w:val="en-AU"/>
              </w:rPr>
              <w:t>1.1</w:t>
            </w:r>
          </w:p>
        </w:tc>
        <w:tc>
          <w:tcPr>
            <w:tcW w:w="1139" w:type="pct"/>
          </w:tcPr>
          <w:p w14:paraId="5F2322F7" w14:textId="77777777" w:rsidR="00C532B4" w:rsidRPr="00C951C9" w:rsidRDefault="00C532B4" w:rsidP="000F517C">
            <w:pPr>
              <w:jc w:val="center"/>
              <w:rPr>
                <w:rFonts w:cs="Arial"/>
                <w:sz w:val="20"/>
                <w:lang w:val="en-AU"/>
              </w:rPr>
            </w:pPr>
            <w:r w:rsidRPr="00C951C9">
              <w:rPr>
                <w:rFonts w:cs="Arial"/>
                <w:sz w:val="20"/>
                <w:lang w:val="en-AU"/>
              </w:rPr>
              <w:t>35</w:t>
            </w:r>
          </w:p>
        </w:tc>
      </w:tr>
      <w:tr w:rsidR="00C532B4" w:rsidRPr="00C951C9" w14:paraId="5F2322FC" w14:textId="77777777" w:rsidTr="000F517C">
        <w:trPr>
          <w:jc w:val="center"/>
        </w:trPr>
        <w:tc>
          <w:tcPr>
            <w:tcW w:w="2574" w:type="pct"/>
          </w:tcPr>
          <w:p w14:paraId="5F2322F9" w14:textId="77777777" w:rsidR="00C532B4" w:rsidRPr="00C951C9" w:rsidRDefault="00C532B4" w:rsidP="000F517C">
            <w:pPr>
              <w:jc w:val="center"/>
              <w:rPr>
                <w:rFonts w:cs="Arial"/>
                <w:sz w:val="20"/>
                <w:lang w:val="en-AU"/>
              </w:rPr>
            </w:pPr>
            <w:r w:rsidRPr="00C951C9">
              <w:rPr>
                <w:rFonts w:cs="Arial"/>
                <w:sz w:val="20"/>
                <w:lang w:val="en-AU"/>
              </w:rPr>
              <w:t>SS</w:t>
            </w:r>
          </w:p>
        </w:tc>
        <w:tc>
          <w:tcPr>
            <w:tcW w:w="1287" w:type="pct"/>
          </w:tcPr>
          <w:p w14:paraId="5F2322FA" w14:textId="77777777" w:rsidR="00C532B4" w:rsidRPr="00C951C9" w:rsidRDefault="00C532B4" w:rsidP="000F517C">
            <w:pPr>
              <w:jc w:val="center"/>
              <w:rPr>
                <w:rFonts w:cs="Arial"/>
                <w:sz w:val="20"/>
                <w:lang w:val="en-AU"/>
              </w:rPr>
            </w:pPr>
            <w:r w:rsidRPr="00C951C9">
              <w:rPr>
                <w:rFonts w:cs="Arial"/>
                <w:sz w:val="20"/>
                <w:lang w:val="en-AU"/>
              </w:rPr>
              <w:t>n/a***</w:t>
            </w:r>
          </w:p>
        </w:tc>
        <w:tc>
          <w:tcPr>
            <w:tcW w:w="1139" w:type="pct"/>
          </w:tcPr>
          <w:p w14:paraId="5F2322FB" w14:textId="77777777" w:rsidR="00C532B4" w:rsidRPr="00C951C9" w:rsidRDefault="00C532B4" w:rsidP="000F517C">
            <w:pPr>
              <w:jc w:val="center"/>
              <w:rPr>
                <w:rFonts w:cs="Arial"/>
                <w:sz w:val="20"/>
                <w:lang w:val="en-AU"/>
              </w:rPr>
            </w:pPr>
          </w:p>
        </w:tc>
      </w:tr>
      <w:tr w:rsidR="00C532B4" w:rsidRPr="00C951C9" w14:paraId="5F232300" w14:textId="77777777" w:rsidTr="000F517C">
        <w:trPr>
          <w:jc w:val="center"/>
        </w:trPr>
        <w:tc>
          <w:tcPr>
            <w:tcW w:w="2574" w:type="pct"/>
          </w:tcPr>
          <w:p w14:paraId="5F2322FD" w14:textId="77777777" w:rsidR="00C532B4" w:rsidRPr="00C951C9" w:rsidRDefault="00C532B4" w:rsidP="000F517C">
            <w:pPr>
              <w:jc w:val="center"/>
              <w:rPr>
                <w:rFonts w:cs="Arial"/>
                <w:sz w:val="20"/>
                <w:lang w:val="en-AU"/>
              </w:rPr>
            </w:pPr>
            <w:r w:rsidRPr="00C951C9">
              <w:rPr>
                <w:rFonts w:cs="Arial"/>
                <w:sz w:val="20"/>
                <w:lang w:val="en-AU"/>
              </w:rPr>
              <w:t>Salinity</w:t>
            </w:r>
          </w:p>
        </w:tc>
        <w:tc>
          <w:tcPr>
            <w:tcW w:w="1287" w:type="pct"/>
          </w:tcPr>
          <w:p w14:paraId="5F2322FE" w14:textId="77777777" w:rsidR="00C532B4" w:rsidRPr="00C951C9" w:rsidRDefault="00C532B4" w:rsidP="000F517C">
            <w:pPr>
              <w:jc w:val="center"/>
              <w:rPr>
                <w:rFonts w:cs="Arial"/>
                <w:sz w:val="20"/>
                <w:lang w:val="en-AU"/>
              </w:rPr>
            </w:pPr>
            <w:r w:rsidRPr="00C951C9">
              <w:rPr>
                <w:rFonts w:cs="Arial"/>
                <w:sz w:val="20"/>
                <w:lang w:val="en-AU"/>
              </w:rPr>
              <w:t>&lt;0.1</w:t>
            </w:r>
          </w:p>
        </w:tc>
        <w:tc>
          <w:tcPr>
            <w:tcW w:w="1139" w:type="pct"/>
          </w:tcPr>
          <w:p w14:paraId="5F2322FF" w14:textId="77777777" w:rsidR="00C532B4" w:rsidRPr="00C951C9" w:rsidRDefault="00C532B4" w:rsidP="000F517C">
            <w:pPr>
              <w:jc w:val="center"/>
              <w:rPr>
                <w:rFonts w:cs="Arial"/>
                <w:sz w:val="20"/>
                <w:lang w:val="en-AU"/>
              </w:rPr>
            </w:pPr>
            <w:r w:rsidRPr="00C951C9">
              <w:rPr>
                <w:rFonts w:cs="Arial"/>
                <w:sz w:val="20"/>
                <w:lang w:val="en-AU"/>
              </w:rPr>
              <w:t>2-6</w:t>
            </w:r>
          </w:p>
        </w:tc>
      </w:tr>
    </w:tbl>
    <w:p w14:paraId="5F232301" w14:textId="77777777" w:rsidR="00C532B4" w:rsidRPr="000F3970" w:rsidRDefault="00C532B4" w:rsidP="00C532B4">
      <w:pPr>
        <w:ind w:left="284" w:right="708"/>
        <w:rPr>
          <w:rFonts w:ascii="Arial Narrow" w:hAnsi="Arial Narrow"/>
          <w:sz w:val="20"/>
          <w:lang w:val="en-AU"/>
        </w:rPr>
      </w:pPr>
      <w:r w:rsidRPr="00C951C9">
        <w:rPr>
          <w:rFonts w:cs="Arial"/>
          <w:sz w:val="20"/>
          <w:lang w:val="en-AU"/>
        </w:rPr>
        <w:t>*Precision for analysis of dissolved nutrients is estimated for each individual analytical batch, the range given is the range of CVs from batches analysed with samples collected in 2014/15.</w:t>
      </w:r>
      <w:r w:rsidR="003704F8" w:rsidRPr="00C951C9">
        <w:rPr>
          <w:rFonts w:cs="Arial"/>
          <w:sz w:val="20"/>
          <w:lang w:val="en-AU"/>
        </w:rPr>
        <w:t xml:space="preserve">; </w:t>
      </w:r>
      <w:r w:rsidRPr="00C951C9">
        <w:rPr>
          <w:rFonts w:cs="Arial"/>
          <w:sz w:val="20"/>
          <w:lang w:val="en-AU"/>
        </w:rPr>
        <w:t>** two different reference materials used in each batch</w:t>
      </w:r>
      <w:r w:rsidR="003704F8" w:rsidRPr="00C951C9">
        <w:rPr>
          <w:rFonts w:cs="Arial"/>
          <w:sz w:val="20"/>
          <w:lang w:val="en-AU"/>
        </w:rPr>
        <w:t xml:space="preserve">; </w:t>
      </w:r>
      <w:r w:rsidRPr="00C951C9">
        <w:rPr>
          <w:rFonts w:cs="Arial"/>
          <w:sz w:val="20"/>
          <w:lang w:val="en-AU"/>
        </w:rPr>
        <w:t>***n/a= no suitable standard material available for analysis of this parameter</w:t>
      </w:r>
      <w:r w:rsidR="003704F8">
        <w:rPr>
          <w:rFonts w:ascii="Arial Narrow" w:hAnsi="Arial Narrow"/>
          <w:sz w:val="20"/>
          <w:lang w:val="en-AU"/>
        </w:rPr>
        <w:t>.</w:t>
      </w:r>
    </w:p>
    <w:p w14:paraId="5F232302" w14:textId="77777777" w:rsidR="00C532B4" w:rsidRPr="000F3970" w:rsidRDefault="00C532B4" w:rsidP="00C532B4">
      <w:pPr>
        <w:rPr>
          <w:lang w:val="en-AU"/>
        </w:rPr>
      </w:pPr>
    </w:p>
    <w:p w14:paraId="5F232303" w14:textId="77777777" w:rsidR="00C532B4" w:rsidRPr="000F3970" w:rsidRDefault="00C532B4">
      <w:pPr>
        <w:pStyle w:val="Heading7"/>
        <w:numPr>
          <w:ilvl w:val="0"/>
          <w:numId w:val="0"/>
        </w:numPr>
      </w:pPr>
      <w:bookmarkStart w:id="1695" w:name="_Toc334990059"/>
      <w:bookmarkStart w:id="1696" w:name="_Toc334990262"/>
      <w:bookmarkStart w:id="1697" w:name="_Toc374707577"/>
      <w:bookmarkStart w:id="1698" w:name="_Toc393133608"/>
      <w:bookmarkStart w:id="1699" w:name="_Toc406143774"/>
      <w:bookmarkStart w:id="1700" w:name="_Toc435775373"/>
      <w:r w:rsidRPr="000F3970">
        <w:t>Accuracy</w:t>
      </w:r>
      <w:bookmarkEnd w:id="1695"/>
      <w:bookmarkEnd w:id="1696"/>
      <w:bookmarkEnd w:id="1697"/>
      <w:bookmarkEnd w:id="1698"/>
      <w:bookmarkEnd w:id="1699"/>
      <w:bookmarkEnd w:id="1700"/>
    </w:p>
    <w:p w14:paraId="5F232304" w14:textId="77777777" w:rsidR="00C532B4" w:rsidRPr="000F3970" w:rsidRDefault="00C532B4" w:rsidP="00C532B4">
      <w:pPr>
        <w:rPr>
          <w:lang w:val="en-AU"/>
        </w:rPr>
      </w:pPr>
      <w:r w:rsidRPr="000F3970">
        <w:rPr>
          <w:lang w:val="en-AU"/>
        </w:rPr>
        <w:t xml:space="preserve">Analytical accuracy is measured as the recovery (in %) of a known concentration of a certified reference material or analyte standard (where no suitable reference material is available, e.g. for PP), which is usually analysed interspersed between samples in each analytical run. The recovery of known amounts of reference material is expected to be within 90-110% (i.e. the percent difference should be ≤ 20%) of their expected (certified) value for results to be considered accurate. The accuracy of analytical results for PN, PP, POC, chlorophyll, SS and salinity was generally within this limit </w:t>
      </w:r>
      <w:r w:rsidR="006F728D">
        <w:rPr>
          <w:lang w:val="en-AU"/>
        </w:rPr>
        <w:t>(Table</w:t>
      </w:r>
      <w:r w:rsidR="00C951C9" w:rsidRPr="00C951C9">
        <w:rPr>
          <w:lang w:val="en-AU"/>
        </w:rPr>
        <w:t xml:space="preserve"> </w:t>
      </w:r>
      <w:r w:rsidR="006F728D">
        <w:rPr>
          <w:lang w:val="en-AU"/>
        </w:rPr>
        <w:t>A3</w:t>
      </w:r>
      <w:r w:rsidR="00C951C9">
        <w:rPr>
          <w:lang w:val="en-AU"/>
        </w:rPr>
        <w:t>-3</w:t>
      </w:r>
      <w:r w:rsidRPr="000F3970">
        <w:rPr>
          <w:lang w:val="en-AU"/>
        </w:rPr>
        <w:t xml:space="preserve">). Analytical results for PP are adjusted using a batch-specific recovery factor that is determined with each sample batch. </w:t>
      </w:r>
    </w:p>
    <w:p w14:paraId="5F232305" w14:textId="77777777" w:rsidR="00C532B4" w:rsidRDefault="00C532B4" w:rsidP="00C532B4">
      <w:pPr>
        <w:rPr>
          <w:lang w:val="en-AU"/>
        </w:rPr>
      </w:pPr>
    </w:p>
    <w:p w14:paraId="5F232306" w14:textId="6732724A" w:rsidR="00C532B4" w:rsidRPr="000F3970" w:rsidRDefault="00725F21" w:rsidP="00164E5E">
      <w:pPr>
        <w:pStyle w:val="Caption"/>
      </w:pPr>
      <w:bookmarkStart w:id="1701" w:name="_Toc205605381"/>
      <w:bookmarkStart w:id="1702" w:name="_Toc237149991"/>
      <w:bookmarkStart w:id="1703" w:name="_Toc269561900"/>
      <w:bookmarkStart w:id="1704" w:name="_Toc273951613"/>
      <w:bookmarkStart w:id="1705" w:name="_Toc334817414"/>
      <w:bookmarkStart w:id="1706" w:name="_Toc374701451"/>
      <w:bookmarkStart w:id="1707" w:name="_Toc392929667"/>
      <w:bookmarkStart w:id="1708" w:name="_Toc459332225"/>
      <w:r>
        <w:t xml:space="preserve">Table A3 </w:t>
      </w:r>
      <w:r w:rsidR="00EB33A6">
        <w:fldChar w:fldCharType="begin"/>
      </w:r>
      <w:r w:rsidR="00D8225E">
        <w:instrText xml:space="preserve"> SEQ Table_A3 \* ARABIC </w:instrText>
      </w:r>
      <w:r w:rsidR="00EB33A6">
        <w:fldChar w:fldCharType="separate"/>
      </w:r>
      <w:r w:rsidR="007F5336">
        <w:rPr>
          <w:noProof/>
        </w:rPr>
        <w:t>3</w:t>
      </w:r>
      <w:r w:rsidR="00EB33A6">
        <w:rPr>
          <w:noProof/>
        </w:rPr>
        <w:fldChar w:fldCharType="end"/>
      </w:r>
      <w:r w:rsidR="00453B2E">
        <w:t>:</w:t>
      </w:r>
      <w:r w:rsidR="00C532B4" w:rsidRPr="000F3970">
        <w:t xml:space="preserve"> Summary of average recovery of known analyte concentrations.</w:t>
      </w:r>
      <w:bookmarkEnd w:id="1701"/>
      <w:bookmarkEnd w:id="1702"/>
      <w:bookmarkEnd w:id="1703"/>
      <w:bookmarkEnd w:id="1704"/>
      <w:bookmarkEnd w:id="1705"/>
      <w:bookmarkEnd w:id="1706"/>
      <w:bookmarkEnd w:id="1707"/>
      <w:bookmarkEnd w:id="1708"/>
    </w:p>
    <w:tbl>
      <w:tblPr>
        <w:tblW w:w="368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2"/>
        <w:gridCol w:w="2852"/>
        <w:gridCol w:w="1297"/>
      </w:tblGrid>
      <w:tr w:rsidR="00C532B4" w:rsidRPr="00C951C9" w14:paraId="5F23230A" w14:textId="77777777" w:rsidTr="000F517C">
        <w:trPr>
          <w:jc w:val="center"/>
        </w:trPr>
        <w:tc>
          <w:tcPr>
            <w:tcW w:w="2143" w:type="pct"/>
            <w:shd w:val="clear" w:color="auto" w:fill="BFBFBF" w:themeFill="background1" w:themeFillShade="BF"/>
          </w:tcPr>
          <w:p w14:paraId="5F232307" w14:textId="77777777" w:rsidR="00C532B4" w:rsidRPr="00C951C9" w:rsidRDefault="00C532B4" w:rsidP="000F517C">
            <w:pPr>
              <w:jc w:val="center"/>
              <w:rPr>
                <w:rFonts w:cs="Arial"/>
                <w:b/>
                <w:sz w:val="20"/>
                <w:lang w:val="en-AU"/>
              </w:rPr>
            </w:pPr>
            <w:r w:rsidRPr="00C951C9">
              <w:rPr>
                <w:rFonts w:cs="Arial"/>
                <w:b/>
                <w:sz w:val="20"/>
                <w:lang w:val="en-AU"/>
              </w:rPr>
              <w:t>Parameter (analyte)</w:t>
            </w:r>
          </w:p>
        </w:tc>
        <w:tc>
          <w:tcPr>
            <w:tcW w:w="1964" w:type="pct"/>
            <w:shd w:val="clear" w:color="auto" w:fill="BFBFBF" w:themeFill="background1" w:themeFillShade="BF"/>
          </w:tcPr>
          <w:p w14:paraId="5F232308" w14:textId="77777777" w:rsidR="00C532B4" w:rsidRPr="00C951C9" w:rsidRDefault="00C532B4" w:rsidP="000F517C">
            <w:pPr>
              <w:jc w:val="center"/>
              <w:rPr>
                <w:rFonts w:cs="Arial"/>
                <w:b/>
                <w:sz w:val="20"/>
                <w:lang w:val="en-AU"/>
              </w:rPr>
            </w:pPr>
            <w:r w:rsidRPr="00C951C9">
              <w:rPr>
                <w:rFonts w:cs="Arial"/>
                <w:b/>
                <w:sz w:val="20"/>
                <w:lang w:val="en-AU"/>
              </w:rPr>
              <w:t>Average recovery (%)</w:t>
            </w:r>
          </w:p>
        </w:tc>
        <w:tc>
          <w:tcPr>
            <w:tcW w:w="893" w:type="pct"/>
            <w:shd w:val="clear" w:color="auto" w:fill="BFBFBF" w:themeFill="background1" w:themeFillShade="BF"/>
          </w:tcPr>
          <w:p w14:paraId="5F232309" w14:textId="77777777" w:rsidR="00C532B4" w:rsidRPr="00C951C9" w:rsidRDefault="00C532B4" w:rsidP="000F517C">
            <w:pPr>
              <w:jc w:val="center"/>
              <w:rPr>
                <w:rFonts w:cs="Arial"/>
                <w:b/>
                <w:sz w:val="20"/>
                <w:lang w:val="en-AU"/>
              </w:rPr>
            </w:pPr>
            <w:r w:rsidRPr="00C951C9">
              <w:rPr>
                <w:rFonts w:cs="Arial"/>
                <w:b/>
                <w:sz w:val="20"/>
                <w:lang w:val="en-AU"/>
              </w:rPr>
              <w:t>N</w:t>
            </w:r>
          </w:p>
        </w:tc>
      </w:tr>
      <w:tr w:rsidR="00C532B4" w:rsidRPr="00C951C9" w14:paraId="5F23230E" w14:textId="77777777" w:rsidTr="000F517C">
        <w:trPr>
          <w:jc w:val="center"/>
        </w:trPr>
        <w:tc>
          <w:tcPr>
            <w:tcW w:w="2143" w:type="pct"/>
          </w:tcPr>
          <w:p w14:paraId="5F23230B" w14:textId="77777777" w:rsidR="00C532B4" w:rsidRPr="00C951C9" w:rsidRDefault="00C532B4" w:rsidP="000F517C">
            <w:pPr>
              <w:jc w:val="center"/>
              <w:rPr>
                <w:rFonts w:cs="Arial"/>
                <w:sz w:val="20"/>
                <w:lang w:val="en-AU"/>
              </w:rPr>
            </w:pPr>
            <w:r w:rsidRPr="00C951C9">
              <w:rPr>
                <w:rFonts w:cs="Arial"/>
                <w:sz w:val="20"/>
                <w:lang w:val="en-AU"/>
              </w:rPr>
              <w:t>PN</w:t>
            </w:r>
          </w:p>
        </w:tc>
        <w:tc>
          <w:tcPr>
            <w:tcW w:w="1964" w:type="pct"/>
          </w:tcPr>
          <w:p w14:paraId="5F23230C" w14:textId="77777777" w:rsidR="00C532B4" w:rsidRPr="00C951C9" w:rsidRDefault="00C532B4" w:rsidP="000F517C">
            <w:pPr>
              <w:jc w:val="center"/>
              <w:rPr>
                <w:rFonts w:cs="Arial"/>
                <w:sz w:val="20"/>
                <w:lang w:val="en-AU"/>
              </w:rPr>
            </w:pPr>
            <w:r w:rsidRPr="00C951C9">
              <w:rPr>
                <w:rFonts w:cs="Arial"/>
                <w:sz w:val="20"/>
                <w:lang w:val="en-AU"/>
              </w:rPr>
              <w:t>105-106</w:t>
            </w:r>
          </w:p>
        </w:tc>
        <w:tc>
          <w:tcPr>
            <w:tcW w:w="893" w:type="pct"/>
          </w:tcPr>
          <w:p w14:paraId="5F23230D" w14:textId="77777777" w:rsidR="00C532B4" w:rsidRPr="00C951C9" w:rsidRDefault="00C532B4" w:rsidP="000F517C">
            <w:pPr>
              <w:jc w:val="center"/>
              <w:rPr>
                <w:rFonts w:cs="Arial"/>
                <w:sz w:val="20"/>
                <w:lang w:val="en-AU"/>
              </w:rPr>
            </w:pPr>
            <w:r w:rsidRPr="00C951C9">
              <w:rPr>
                <w:rFonts w:cs="Arial"/>
                <w:sz w:val="20"/>
                <w:lang w:val="en-AU"/>
              </w:rPr>
              <w:t>54-56</w:t>
            </w:r>
          </w:p>
        </w:tc>
      </w:tr>
      <w:tr w:rsidR="00C532B4" w:rsidRPr="00C951C9" w14:paraId="5F232312" w14:textId="77777777" w:rsidTr="000F517C">
        <w:trPr>
          <w:jc w:val="center"/>
        </w:trPr>
        <w:tc>
          <w:tcPr>
            <w:tcW w:w="2143" w:type="pct"/>
          </w:tcPr>
          <w:p w14:paraId="5F23230F" w14:textId="77777777" w:rsidR="00C532B4" w:rsidRPr="00C951C9" w:rsidRDefault="00C532B4" w:rsidP="000F517C">
            <w:pPr>
              <w:jc w:val="center"/>
              <w:rPr>
                <w:rFonts w:cs="Arial"/>
                <w:sz w:val="20"/>
                <w:lang w:val="en-AU"/>
              </w:rPr>
            </w:pPr>
            <w:r w:rsidRPr="00C951C9">
              <w:rPr>
                <w:rFonts w:cs="Arial"/>
                <w:sz w:val="20"/>
                <w:lang w:val="en-AU"/>
              </w:rPr>
              <w:t>PP</w:t>
            </w:r>
          </w:p>
        </w:tc>
        <w:tc>
          <w:tcPr>
            <w:tcW w:w="1964" w:type="pct"/>
          </w:tcPr>
          <w:p w14:paraId="5F232310" w14:textId="77777777" w:rsidR="00C532B4" w:rsidRPr="00C951C9" w:rsidRDefault="00C532B4" w:rsidP="000F517C">
            <w:pPr>
              <w:jc w:val="center"/>
              <w:rPr>
                <w:rFonts w:cs="Arial"/>
                <w:sz w:val="20"/>
                <w:lang w:val="en-AU"/>
              </w:rPr>
            </w:pPr>
            <w:r w:rsidRPr="00C951C9">
              <w:rPr>
                <w:rFonts w:cs="Arial"/>
                <w:sz w:val="20"/>
                <w:lang w:val="en-AU"/>
              </w:rPr>
              <w:t>95*</w:t>
            </w:r>
          </w:p>
        </w:tc>
        <w:tc>
          <w:tcPr>
            <w:tcW w:w="893" w:type="pct"/>
          </w:tcPr>
          <w:p w14:paraId="5F232311" w14:textId="77777777" w:rsidR="00C532B4" w:rsidRPr="00C951C9" w:rsidRDefault="00C532B4" w:rsidP="000F517C">
            <w:pPr>
              <w:jc w:val="center"/>
              <w:rPr>
                <w:rFonts w:cs="Arial"/>
                <w:sz w:val="20"/>
                <w:lang w:val="en-AU"/>
              </w:rPr>
            </w:pPr>
            <w:r w:rsidRPr="00C951C9">
              <w:rPr>
                <w:rFonts w:cs="Arial"/>
                <w:sz w:val="20"/>
                <w:lang w:val="en-AU"/>
              </w:rPr>
              <w:t>7</w:t>
            </w:r>
          </w:p>
        </w:tc>
      </w:tr>
      <w:tr w:rsidR="00C532B4" w:rsidRPr="00C951C9" w14:paraId="5F232316" w14:textId="77777777" w:rsidTr="000F517C">
        <w:trPr>
          <w:jc w:val="center"/>
        </w:trPr>
        <w:tc>
          <w:tcPr>
            <w:tcW w:w="2143" w:type="pct"/>
          </w:tcPr>
          <w:p w14:paraId="5F232313" w14:textId="77777777" w:rsidR="00C532B4" w:rsidRPr="00C951C9" w:rsidRDefault="00C532B4" w:rsidP="000F517C">
            <w:pPr>
              <w:jc w:val="center"/>
              <w:rPr>
                <w:rFonts w:cs="Arial"/>
                <w:sz w:val="20"/>
                <w:lang w:val="en-AU"/>
              </w:rPr>
            </w:pPr>
            <w:r w:rsidRPr="00C951C9">
              <w:rPr>
                <w:rFonts w:cs="Arial"/>
                <w:sz w:val="20"/>
                <w:lang w:val="en-AU"/>
              </w:rPr>
              <w:t>POC</w:t>
            </w:r>
          </w:p>
        </w:tc>
        <w:tc>
          <w:tcPr>
            <w:tcW w:w="1964" w:type="pct"/>
          </w:tcPr>
          <w:p w14:paraId="5F232314" w14:textId="77777777" w:rsidR="00C532B4" w:rsidRPr="00C951C9" w:rsidRDefault="00C532B4" w:rsidP="000F517C">
            <w:pPr>
              <w:jc w:val="center"/>
              <w:rPr>
                <w:rFonts w:cs="Arial"/>
                <w:sz w:val="20"/>
                <w:lang w:val="en-AU"/>
              </w:rPr>
            </w:pPr>
            <w:r w:rsidRPr="00C951C9">
              <w:rPr>
                <w:rFonts w:cs="Arial"/>
                <w:sz w:val="20"/>
                <w:lang w:val="en-AU"/>
              </w:rPr>
              <w:t>106-113</w:t>
            </w:r>
          </w:p>
        </w:tc>
        <w:tc>
          <w:tcPr>
            <w:tcW w:w="893" w:type="pct"/>
          </w:tcPr>
          <w:p w14:paraId="5F232315" w14:textId="77777777" w:rsidR="00C532B4" w:rsidRPr="00C951C9" w:rsidRDefault="00C532B4" w:rsidP="000F517C">
            <w:pPr>
              <w:jc w:val="center"/>
              <w:rPr>
                <w:rFonts w:cs="Arial"/>
                <w:sz w:val="20"/>
                <w:lang w:val="en-AU"/>
              </w:rPr>
            </w:pPr>
            <w:r w:rsidRPr="00C951C9">
              <w:rPr>
                <w:rFonts w:cs="Arial"/>
                <w:sz w:val="20"/>
                <w:lang w:val="en-AU"/>
              </w:rPr>
              <w:t>54-56</w:t>
            </w:r>
          </w:p>
        </w:tc>
      </w:tr>
      <w:tr w:rsidR="00C532B4" w:rsidRPr="00C951C9" w14:paraId="5F23231A" w14:textId="77777777" w:rsidTr="000F517C">
        <w:trPr>
          <w:jc w:val="center"/>
        </w:trPr>
        <w:tc>
          <w:tcPr>
            <w:tcW w:w="2143" w:type="pct"/>
          </w:tcPr>
          <w:p w14:paraId="5F232317" w14:textId="77777777" w:rsidR="00C532B4" w:rsidRPr="00C951C9" w:rsidRDefault="00C532B4" w:rsidP="000F517C">
            <w:pPr>
              <w:jc w:val="center"/>
              <w:rPr>
                <w:rFonts w:cs="Arial"/>
                <w:sz w:val="20"/>
                <w:lang w:val="en-AU"/>
              </w:rPr>
            </w:pPr>
            <w:r w:rsidRPr="00C951C9">
              <w:rPr>
                <w:rFonts w:cs="Arial"/>
                <w:sz w:val="20"/>
                <w:lang w:val="en-AU"/>
              </w:rPr>
              <w:t xml:space="preserve">Chlorophyll </w:t>
            </w:r>
            <w:r w:rsidRPr="00C951C9">
              <w:rPr>
                <w:rFonts w:cs="Arial"/>
                <w:i/>
                <w:sz w:val="20"/>
                <w:lang w:val="en-AU"/>
              </w:rPr>
              <w:t>a</w:t>
            </w:r>
          </w:p>
        </w:tc>
        <w:tc>
          <w:tcPr>
            <w:tcW w:w="1964" w:type="pct"/>
          </w:tcPr>
          <w:p w14:paraId="5F232318" w14:textId="77777777" w:rsidR="00C532B4" w:rsidRPr="00C951C9" w:rsidRDefault="00C532B4" w:rsidP="000F517C">
            <w:pPr>
              <w:jc w:val="center"/>
              <w:rPr>
                <w:rFonts w:cs="Arial"/>
                <w:sz w:val="20"/>
                <w:lang w:val="en-AU"/>
              </w:rPr>
            </w:pPr>
            <w:r w:rsidRPr="00C951C9">
              <w:rPr>
                <w:rFonts w:cs="Arial"/>
                <w:sz w:val="20"/>
                <w:lang w:val="en-AU"/>
              </w:rPr>
              <w:t>102</w:t>
            </w:r>
          </w:p>
        </w:tc>
        <w:tc>
          <w:tcPr>
            <w:tcW w:w="893" w:type="pct"/>
          </w:tcPr>
          <w:p w14:paraId="5F232319" w14:textId="77777777" w:rsidR="00C532B4" w:rsidRPr="00C951C9" w:rsidRDefault="00C532B4" w:rsidP="000F517C">
            <w:pPr>
              <w:jc w:val="center"/>
              <w:rPr>
                <w:rFonts w:cs="Arial"/>
                <w:sz w:val="20"/>
                <w:lang w:val="en-AU"/>
              </w:rPr>
            </w:pPr>
            <w:r w:rsidRPr="00C951C9">
              <w:rPr>
                <w:rFonts w:cs="Arial"/>
                <w:sz w:val="20"/>
                <w:lang w:val="en-AU"/>
              </w:rPr>
              <w:t>35</w:t>
            </w:r>
          </w:p>
        </w:tc>
      </w:tr>
      <w:tr w:rsidR="00C532B4" w:rsidRPr="00C951C9" w14:paraId="5F23231E" w14:textId="77777777" w:rsidTr="000F517C">
        <w:trPr>
          <w:jc w:val="center"/>
        </w:trPr>
        <w:tc>
          <w:tcPr>
            <w:tcW w:w="2143" w:type="pct"/>
          </w:tcPr>
          <w:p w14:paraId="5F23231B" w14:textId="77777777" w:rsidR="00C532B4" w:rsidRPr="00C951C9" w:rsidRDefault="00C532B4" w:rsidP="000F517C">
            <w:pPr>
              <w:jc w:val="center"/>
              <w:rPr>
                <w:rFonts w:cs="Arial"/>
                <w:sz w:val="20"/>
                <w:lang w:val="en-AU"/>
              </w:rPr>
            </w:pPr>
            <w:r w:rsidRPr="00C951C9">
              <w:rPr>
                <w:rFonts w:cs="Arial"/>
                <w:sz w:val="20"/>
                <w:lang w:val="en-AU"/>
              </w:rPr>
              <w:t>SS</w:t>
            </w:r>
          </w:p>
        </w:tc>
        <w:tc>
          <w:tcPr>
            <w:tcW w:w="1964" w:type="pct"/>
          </w:tcPr>
          <w:p w14:paraId="5F23231C" w14:textId="77777777" w:rsidR="00C532B4" w:rsidRPr="00C951C9" w:rsidRDefault="00C532B4" w:rsidP="000F517C">
            <w:pPr>
              <w:jc w:val="center"/>
              <w:rPr>
                <w:rFonts w:cs="Arial"/>
                <w:sz w:val="20"/>
                <w:highlight w:val="yellow"/>
                <w:lang w:val="en-AU"/>
              </w:rPr>
            </w:pPr>
            <w:r w:rsidRPr="00C951C9">
              <w:rPr>
                <w:rFonts w:cs="Arial"/>
                <w:sz w:val="20"/>
                <w:lang w:val="en-AU"/>
              </w:rPr>
              <w:t>n/a**</w:t>
            </w:r>
          </w:p>
        </w:tc>
        <w:tc>
          <w:tcPr>
            <w:tcW w:w="893" w:type="pct"/>
          </w:tcPr>
          <w:p w14:paraId="5F23231D" w14:textId="77777777" w:rsidR="00C532B4" w:rsidRPr="00C951C9" w:rsidRDefault="00C532B4" w:rsidP="000F517C">
            <w:pPr>
              <w:jc w:val="center"/>
              <w:rPr>
                <w:rFonts w:cs="Arial"/>
                <w:sz w:val="20"/>
                <w:highlight w:val="yellow"/>
                <w:lang w:val="en-AU"/>
              </w:rPr>
            </w:pPr>
          </w:p>
        </w:tc>
      </w:tr>
      <w:tr w:rsidR="00C532B4" w:rsidRPr="00C951C9" w14:paraId="5F232322" w14:textId="77777777" w:rsidTr="000F517C">
        <w:trPr>
          <w:jc w:val="center"/>
        </w:trPr>
        <w:tc>
          <w:tcPr>
            <w:tcW w:w="2143" w:type="pct"/>
          </w:tcPr>
          <w:p w14:paraId="5F23231F" w14:textId="77777777" w:rsidR="00C532B4" w:rsidRPr="00C951C9" w:rsidRDefault="00C532B4" w:rsidP="000F517C">
            <w:pPr>
              <w:jc w:val="center"/>
              <w:rPr>
                <w:rFonts w:cs="Arial"/>
                <w:sz w:val="20"/>
                <w:lang w:val="en-AU"/>
              </w:rPr>
            </w:pPr>
            <w:r w:rsidRPr="00C951C9">
              <w:rPr>
                <w:rFonts w:cs="Arial"/>
                <w:sz w:val="20"/>
                <w:lang w:val="en-AU"/>
              </w:rPr>
              <w:t>Salinity</w:t>
            </w:r>
          </w:p>
        </w:tc>
        <w:tc>
          <w:tcPr>
            <w:tcW w:w="1964" w:type="pct"/>
          </w:tcPr>
          <w:p w14:paraId="5F232320" w14:textId="77777777" w:rsidR="00C532B4" w:rsidRPr="00C951C9" w:rsidRDefault="00C532B4" w:rsidP="000F517C">
            <w:pPr>
              <w:jc w:val="center"/>
              <w:rPr>
                <w:rFonts w:cs="Arial"/>
                <w:sz w:val="20"/>
                <w:lang w:val="en-AU"/>
              </w:rPr>
            </w:pPr>
            <w:r w:rsidRPr="00C951C9">
              <w:rPr>
                <w:rFonts w:cs="Arial"/>
                <w:sz w:val="20"/>
                <w:lang w:val="en-AU"/>
              </w:rPr>
              <w:t>100</w:t>
            </w:r>
          </w:p>
        </w:tc>
        <w:tc>
          <w:tcPr>
            <w:tcW w:w="893" w:type="pct"/>
          </w:tcPr>
          <w:p w14:paraId="5F232321" w14:textId="77777777" w:rsidR="00C532B4" w:rsidRPr="00C951C9" w:rsidRDefault="00C532B4" w:rsidP="000F517C">
            <w:pPr>
              <w:jc w:val="center"/>
              <w:rPr>
                <w:rFonts w:cs="Arial"/>
                <w:sz w:val="20"/>
                <w:lang w:val="en-AU"/>
              </w:rPr>
            </w:pPr>
            <w:r w:rsidRPr="00C951C9">
              <w:rPr>
                <w:rFonts w:cs="Arial"/>
                <w:sz w:val="20"/>
                <w:lang w:val="en-AU"/>
              </w:rPr>
              <w:t>5</w:t>
            </w:r>
          </w:p>
        </w:tc>
      </w:tr>
    </w:tbl>
    <w:p w14:paraId="5F232323" w14:textId="77777777" w:rsidR="00C532B4" w:rsidRPr="000F3970" w:rsidRDefault="00C532B4" w:rsidP="00C532B4">
      <w:pPr>
        <w:ind w:left="851"/>
        <w:rPr>
          <w:rFonts w:ascii="Arial Narrow" w:hAnsi="Arial Narrow"/>
          <w:sz w:val="20"/>
          <w:lang w:val="en-AU"/>
        </w:rPr>
      </w:pPr>
      <w:r w:rsidRPr="000F3970">
        <w:rPr>
          <w:rFonts w:ascii="Arial Narrow" w:hAnsi="Arial Narrow"/>
          <w:sz w:val="20"/>
          <w:lang w:val="en-AU"/>
        </w:rPr>
        <w:t>*PP: data are adjusted using a batch-specific efficiency factor (recovery)</w:t>
      </w:r>
      <w:r w:rsidR="003704F8">
        <w:rPr>
          <w:rFonts w:ascii="Arial Narrow" w:hAnsi="Arial Narrow"/>
          <w:sz w:val="20"/>
          <w:lang w:val="en-AU"/>
        </w:rPr>
        <w:t xml:space="preserve">; </w:t>
      </w:r>
      <w:r w:rsidRPr="000F3970">
        <w:rPr>
          <w:rFonts w:ascii="Arial Narrow" w:hAnsi="Arial Narrow"/>
          <w:sz w:val="20"/>
          <w:lang w:val="en-AU"/>
        </w:rPr>
        <w:t>**n/a= no suitable reference material available for analysis of this parameter</w:t>
      </w:r>
    </w:p>
    <w:p w14:paraId="5F232324" w14:textId="1EC8307A" w:rsidR="00C532B4" w:rsidRPr="000F3970" w:rsidRDefault="00C532B4" w:rsidP="00C532B4">
      <w:pPr>
        <w:rPr>
          <w:lang w:val="en-AU"/>
        </w:rPr>
      </w:pPr>
      <w:r w:rsidRPr="000F3970">
        <w:rPr>
          <w:lang w:val="en-AU"/>
        </w:rPr>
        <w:t>The accuracy of analytical results for dissolved nutrients is being assessed using z-scores of the results returned from analysis of NLLNCT certified reference material (</w:t>
      </w:r>
      <w:r w:rsidRPr="000F3970">
        <w:rPr>
          <w:bCs/>
          <w:lang w:val="en-AU"/>
        </w:rPr>
        <w:t>National Low-Level Nutrient Collaborative Trials, run every year by the Queensland Health Forensic and Scientific Services, QHFSS- AIMS is a formal participant of these trials)</w:t>
      </w:r>
      <w:r w:rsidRPr="000F3970">
        <w:rPr>
          <w:lang w:val="en-AU"/>
        </w:rPr>
        <w:t>. According to the NLLNCT instructions, accuracy is deemed good if results are within 1 z-score and satisfactory if results are within 2 z-scores. In each analytical batch, two bottles with different concentrations were analysed. In 2014/15 we used bottles #5 and #7 from Round 19 of the NLLNCT. For the #5 bottle (lower concentrations) all nutrient analyses z-scores were within 1 z-score (</w:t>
      </w:r>
      <w:r w:rsidR="00C951C9">
        <w:rPr>
          <w:lang w:val="en-AU"/>
        </w:rPr>
        <w:t>Table A3-4</w:t>
      </w:r>
      <w:r w:rsidRPr="000F3970">
        <w:rPr>
          <w:lang w:val="en-AU"/>
        </w:rPr>
        <w:t>) and, hence, accuracy was deemed good.  For the #7 bottle (higher concentrations) all but one nutrient analyses z-scores were within 2 z-score (</w:t>
      </w:r>
      <w:r w:rsidR="00C951C9">
        <w:rPr>
          <w:lang w:val="en-AU"/>
        </w:rPr>
        <w:t>Table A3-</w:t>
      </w:r>
      <w:r w:rsidR="006F728D">
        <w:rPr>
          <w:lang w:val="en-AU"/>
        </w:rPr>
        <w:t>4)</w:t>
      </w:r>
      <w:r w:rsidRPr="000F3970">
        <w:rPr>
          <w:lang w:val="en-AU"/>
        </w:rPr>
        <w:t xml:space="preserve"> and, hence, accuracy was deemed satisfactory.  To assure that the monitoring results were accurate, additional QA</w:t>
      </w:r>
      <w:r w:rsidR="001D1811">
        <w:rPr>
          <w:lang w:val="en-AU"/>
        </w:rPr>
        <w:t>/</w:t>
      </w:r>
      <w:r w:rsidRPr="000F3970">
        <w:rPr>
          <w:lang w:val="en-AU"/>
        </w:rPr>
        <w:t>QC samples were included in all batches (e.g. in-house reference seawater that allows for batch to batch comparison, added nutrient spikes) which usually return acceptable results.</w:t>
      </w:r>
    </w:p>
    <w:p w14:paraId="5F232325" w14:textId="77777777" w:rsidR="00C532B4" w:rsidRPr="000F3970" w:rsidRDefault="00C532B4" w:rsidP="00C532B4">
      <w:pPr>
        <w:rPr>
          <w:sz w:val="20"/>
          <w:lang w:val="en-AU"/>
        </w:rPr>
      </w:pPr>
    </w:p>
    <w:p w14:paraId="5F232326" w14:textId="1A1B123B" w:rsidR="00453B2E" w:rsidRPr="00453B2E" w:rsidRDefault="00725F21" w:rsidP="00164E5E">
      <w:pPr>
        <w:pStyle w:val="Caption"/>
        <w:rPr>
          <w:vanish/>
        </w:rPr>
      </w:pPr>
      <w:bookmarkStart w:id="1709" w:name="_Toc273951614"/>
      <w:bookmarkStart w:id="1710" w:name="_Toc334817415"/>
      <w:bookmarkStart w:id="1711" w:name="_Toc374701452"/>
      <w:bookmarkStart w:id="1712" w:name="_Toc392929668"/>
      <w:bookmarkStart w:id="1713" w:name="_Toc459332226"/>
      <w:r>
        <w:t xml:space="preserve">Table A3 </w:t>
      </w:r>
      <w:r w:rsidR="00EB33A6">
        <w:fldChar w:fldCharType="begin"/>
      </w:r>
      <w:r w:rsidR="00D8225E">
        <w:instrText xml:space="preserve"> SEQ Table_A3 \* ARABIC </w:instrText>
      </w:r>
      <w:r w:rsidR="00EB33A6">
        <w:fldChar w:fldCharType="separate"/>
      </w:r>
      <w:r w:rsidR="007F5336">
        <w:rPr>
          <w:noProof/>
        </w:rPr>
        <w:t>4</w:t>
      </w:r>
      <w:r w:rsidR="00EB33A6">
        <w:rPr>
          <w:noProof/>
        </w:rPr>
        <w:fldChar w:fldCharType="end"/>
      </w:r>
      <w:r w:rsidR="00453B2E">
        <w:t>:</w:t>
      </w:r>
      <w:r w:rsidR="00C532B4" w:rsidRPr="000F3970">
        <w:t xml:space="preserve"> Summary of average Z-scores of replicate measurements (N) of a standard or reference material.</w:t>
      </w:r>
      <w:bookmarkEnd w:id="1709"/>
      <w:bookmarkEnd w:id="1710"/>
      <w:bookmarkEnd w:id="1711"/>
      <w:bookmarkEnd w:id="1712"/>
      <w:bookmarkEnd w:id="1713"/>
      <w:r w:rsidR="00C532B4" w:rsidRPr="000F3970">
        <w:t xml:space="preserve"> </w:t>
      </w:r>
    </w:p>
    <w:p w14:paraId="5F232327" w14:textId="77777777" w:rsidR="00C532B4" w:rsidRPr="00453B2E" w:rsidRDefault="00C532B4" w:rsidP="00164E5E">
      <w:pPr>
        <w:pStyle w:val="Caption"/>
        <w:rPr>
          <w:rStyle w:val="IntenseReference"/>
        </w:rPr>
      </w:pPr>
      <w:r w:rsidRPr="00453B2E">
        <w:rPr>
          <w:rStyle w:val="IntenseReference"/>
        </w:rPr>
        <w:t>Accuracy of analysis of dissolved nutrients is estimated for each individual analytical batch, the range given is the range of average Z-scores from batches analysed with samples collected in 2014/15.</w:t>
      </w:r>
    </w:p>
    <w:tbl>
      <w:tblPr>
        <w:tblW w:w="304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60"/>
        <w:gridCol w:w="1481"/>
        <w:gridCol w:w="1416"/>
        <w:gridCol w:w="1437"/>
      </w:tblGrid>
      <w:tr w:rsidR="00C532B4" w:rsidRPr="00C951C9" w14:paraId="5F23232E" w14:textId="77777777" w:rsidTr="00C951C9">
        <w:trPr>
          <w:jc w:val="center"/>
        </w:trPr>
        <w:tc>
          <w:tcPr>
            <w:tcW w:w="1385" w:type="pct"/>
            <w:shd w:val="clear" w:color="auto" w:fill="BFBFBF" w:themeFill="background1" w:themeFillShade="BF"/>
          </w:tcPr>
          <w:p w14:paraId="5F232328" w14:textId="77777777" w:rsidR="00C532B4" w:rsidRPr="00C951C9" w:rsidRDefault="00C532B4" w:rsidP="000F517C">
            <w:pPr>
              <w:jc w:val="center"/>
              <w:rPr>
                <w:rFonts w:cs="Arial"/>
                <w:b/>
                <w:sz w:val="20"/>
                <w:lang w:val="en-AU"/>
              </w:rPr>
            </w:pPr>
            <w:r w:rsidRPr="00C951C9">
              <w:rPr>
                <w:rFonts w:cs="Arial"/>
                <w:b/>
                <w:sz w:val="20"/>
                <w:lang w:val="en-AU"/>
              </w:rPr>
              <w:t>Parameter (analyte)</w:t>
            </w:r>
          </w:p>
        </w:tc>
        <w:tc>
          <w:tcPr>
            <w:tcW w:w="1235" w:type="pct"/>
            <w:shd w:val="clear" w:color="auto" w:fill="BFBFBF" w:themeFill="background1" w:themeFillShade="BF"/>
          </w:tcPr>
          <w:p w14:paraId="5F232329" w14:textId="77777777" w:rsidR="00C532B4" w:rsidRPr="00C951C9" w:rsidRDefault="00C532B4" w:rsidP="000F517C">
            <w:pPr>
              <w:jc w:val="center"/>
              <w:rPr>
                <w:rFonts w:cs="Arial"/>
                <w:b/>
                <w:sz w:val="20"/>
                <w:lang w:val="en-AU"/>
              </w:rPr>
            </w:pPr>
            <w:r w:rsidRPr="00C951C9">
              <w:rPr>
                <w:rFonts w:cs="Arial"/>
                <w:b/>
                <w:sz w:val="20"/>
                <w:lang w:val="en-AU"/>
              </w:rPr>
              <w:t xml:space="preserve">Z-score for </w:t>
            </w:r>
          </w:p>
          <w:p w14:paraId="5F23232A" w14:textId="77777777" w:rsidR="00C532B4" w:rsidRPr="00C951C9" w:rsidRDefault="00C532B4" w:rsidP="000F517C">
            <w:pPr>
              <w:jc w:val="center"/>
              <w:rPr>
                <w:rFonts w:cs="Arial"/>
                <w:b/>
                <w:sz w:val="20"/>
                <w:lang w:val="en-AU"/>
              </w:rPr>
            </w:pPr>
            <w:r w:rsidRPr="00C951C9">
              <w:rPr>
                <w:rFonts w:cs="Arial"/>
                <w:b/>
                <w:bCs/>
                <w:sz w:val="20"/>
                <w:lang w:val="en-AU"/>
              </w:rPr>
              <w:t>bottle #7 *</w:t>
            </w:r>
          </w:p>
        </w:tc>
        <w:tc>
          <w:tcPr>
            <w:tcW w:w="1181" w:type="pct"/>
            <w:shd w:val="clear" w:color="auto" w:fill="BFBFBF" w:themeFill="background1" w:themeFillShade="BF"/>
          </w:tcPr>
          <w:p w14:paraId="5F23232B" w14:textId="77777777" w:rsidR="00C532B4" w:rsidRPr="00C951C9" w:rsidRDefault="00C532B4" w:rsidP="000F517C">
            <w:pPr>
              <w:jc w:val="center"/>
              <w:rPr>
                <w:rFonts w:cs="Arial"/>
                <w:b/>
                <w:sz w:val="20"/>
                <w:lang w:val="en-AU"/>
              </w:rPr>
            </w:pPr>
            <w:r w:rsidRPr="00C951C9">
              <w:rPr>
                <w:rFonts w:cs="Arial"/>
                <w:b/>
                <w:sz w:val="20"/>
                <w:lang w:val="en-AU"/>
              </w:rPr>
              <w:t xml:space="preserve">Z-score for </w:t>
            </w:r>
          </w:p>
          <w:p w14:paraId="5F23232C" w14:textId="77777777" w:rsidR="00C532B4" w:rsidRPr="00C951C9" w:rsidRDefault="00C532B4" w:rsidP="000F517C">
            <w:pPr>
              <w:jc w:val="center"/>
              <w:rPr>
                <w:rFonts w:cs="Arial"/>
                <w:b/>
                <w:sz w:val="20"/>
                <w:lang w:val="en-AU"/>
              </w:rPr>
            </w:pPr>
            <w:r w:rsidRPr="00C951C9">
              <w:rPr>
                <w:rFonts w:cs="Arial"/>
                <w:b/>
                <w:bCs/>
                <w:sz w:val="20"/>
                <w:lang w:val="en-AU"/>
              </w:rPr>
              <w:t>bottle #5 *</w:t>
            </w:r>
          </w:p>
        </w:tc>
        <w:tc>
          <w:tcPr>
            <w:tcW w:w="1199" w:type="pct"/>
            <w:shd w:val="clear" w:color="auto" w:fill="BFBFBF" w:themeFill="background1" w:themeFillShade="BF"/>
          </w:tcPr>
          <w:p w14:paraId="5F23232D" w14:textId="77777777" w:rsidR="00C532B4" w:rsidRPr="00C951C9" w:rsidRDefault="00C532B4" w:rsidP="000F517C">
            <w:pPr>
              <w:jc w:val="center"/>
              <w:rPr>
                <w:rFonts w:cs="Arial"/>
                <w:b/>
                <w:sz w:val="20"/>
                <w:lang w:val="en-AU"/>
              </w:rPr>
            </w:pPr>
            <w:r w:rsidRPr="00C951C9">
              <w:rPr>
                <w:rFonts w:cs="Arial"/>
                <w:b/>
                <w:sz w:val="20"/>
                <w:lang w:val="en-AU"/>
              </w:rPr>
              <w:t xml:space="preserve">N </w:t>
            </w:r>
          </w:p>
        </w:tc>
      </w:tr>
      <w:tr w:rsidR="00C532B4" w:rsidRPr="00C951C9" w14:paraId="5F232333" w14:textId="77777777" w:rsidTr="00C951C9">
        <w:trPr>
          <w:jc w:val="center"/>
        </w:trPr>
        <w:tc>
          <w:tcPr>
            <w:tcW w:w="1385" w:type="pct"/>
          </w:tcPr>
          <w:p w14:paraId="5F23232F" w14:textId="77777777" w:rsidR="00C532B4" w:rsidRPr="00C951C9" w:rsidRDefault="00C532B4" w:rsidP="000F517C">
            <w:pPr>
              <w:jc w:val="center"/>
              <w:rPr>
                <w:rFonts w:cs="Arial"/>
                <w:sz w:val="20"/>
                <w:lang w:val="en-AU"/>
              </w:rPr>
            </w:pPr>
            <w:r w:rsidRPr="00C951C9">
              <w:rPr>
                <w:rFonts w:cs="Arial"/>
                <w:sz w:val="20"/>
                <w:lang w:val="en-AU"/>
              </w:rPr>
              <w:t>NOx</w:t>
            </w:r>
          </w:p>
        </w:tc>
        <w:tc>
          <w:tcPr>
            <w:tcW w:w="1235" w:type="pct"/>
          </w:tcPr>
          <w:p w14:paraId="5F232330" w14:textId="77777777" w:rsidR="00C532B4" w:rsidRPr="00C951C9" w:rsidRDefault="00C532B4" w:rsidP="000F517C">
            <w:pPr>
              <w:jc w:val="center"/>
              <w:rPr>
                <w:rFonts w:cs="Arial"/>
                <w:sz w:val="20"/>
                <w:lang w:val="en-AU"/>
              </w:rPr>
            </w:pPr>
            <w:r w:rsidRPr="00C951C9">
              <w:rPr>
                <w:rFonts w:cs="Arial"/>
                <w:sz w:val="20"/>
                <w:lang w:val="en-AU"/>
              </w:rPr>
              <w:t>-0.1 to 0.37</w:t>
            </w:r>
          </w:p>
        </w:tc>
        <w:tc>
          <w:tcPr>
            <w:tcW w:w="1181" w:type="pct"/>
          </w:tcPr>
          <w:p w14:paraId="5F232331" w14:textId="77777777" w:rsidR="00C532B4" w:rsidRPr="00C951C9" w:rsidRDefault="00C532B4" w:rsidP="000F517C">
            <w:pPr>
              <w:jc w:val="center"/>
              <w:rPr>
                <w:rFonts w:cs="Arial"/>
                <w:sz w:val="20"/>
                <w:lang w:val="en-AU"/>
              </w:rPr>
            </w:pPr>
            <w:r w:rsidRPr="00C951C9">
              <w:rPr>
                <w:rFonts w:cs="Arial"/>
                <w:sz w:val="20"/>
                <w:lang w:val="en-AU"/>
              </w:rPr>
              <w:t>-0.56 to 0.4</w:t>
            </w:r>
          </w:p>
        </w:tc>
        <w:tc>
          <w:tcPr>
            <w:tcW w:w="1199" w:type="pct"/>
          </w:tcPr>
          <w:p w14:paraId="5F232332" w14:textId="77777777" w:rsidR="00C532B4" w:rsidRPr="00C951C9" w:rsidRDefault="00C532B4" w:rsidP="000F517C">
            <w:pPr>
              <w:jc w:val="center"/>
              <w:rPr>
                <w:rFonts w:cs="Arial"/>
                <w:sz w:val="20"/>
                <w:lang w:val="en-AU"/>
              </w:rPr>
            </w:pPr>
            <w:r w:rsidRPr="00C951C9">
              <w:rPr>
                <w:rFonts w:cs="Arial"/>
                <w:sz w:val="20"/>
                <w:lang w:val="en-AU"/>
              </w:rPr>
              <w:t>2</w:t>
            </w:r>
          </w:p>
        </w:tc>
      </w:tr>
      <w:tr w:rsidR="00C532B4" w:rsidRPr="00C951C9" w14:paraId="5F232338" w14:textId="77777777" w:rsidTr="00C951C9">
        <w:trPr>
          <w:jc w:val="center"/>
        </w:trPr>
        <w:tc>
          <w:tcPr>
            <w:tcW w:w="1385" w:type="pct"/>
          </w:tcPr>
          <w:p w14:paraId="5F232334" w14:textId="77777777" w:rsidR="00C532B4" w:rsidRPr="00C951C9" w:rsidRDefault="00C532B4" w:rsidP="000F517C">
            <w:pPr>
              <w:jc w:val="center"/>
              <w:rPr>
                <w:rFonts w:cs="Arial"/>
                <w:sz w:val="20"/>
                <w:lang w:val="en-AU"/>
              </w:rPr>
            </w:pPr>
            <w:r w:rsidRPr="00C951C9">
              <w:rPr>
                <w:rFonts w:cs="Arial"/>
                <w:sz w:val="20"/>
                <w:lang w:val="en-AU"/>
              </w:rPr>
              <w:t>NH4</w:t>
            </w:r>
          </w:p>
        </w:tc>
        <w:tc>
          <w:tcPr>
            <w:tcW w:w="1235" w:type="pct"/>
            <w:shd w:val="clear" w:color="auto" w:fill="auto"/>
          </w:tcPr>
          <w:p w14:paraId="5F232335" w14:textId="77777777" w:rsidR="00C532B4" w:rsidRPr="00C951C9" w:rsidRDefault="00C532B4" w:rsidP="000F517C">
            <w:pPr>
              <w:jc w:val="center"/>
              <w:rPr>
                <w:rFonts w:cs="Arial"/>
                <w:sz w:val="20"/>
                <w:lang w:val="en-AU"/>
              </w:rPr>
            </w:pPr>
            <w:r w:rsidRPr="00C951C9">
              <w:rPr>
                <w:rFonts w:cs="Arial"/>
                <w:sz w:val="20"/>
                <w:lang w:val="en-AU"/>
              </w:rPr>
              <w:t>-0.19 to 0.32</w:t>
            </w:r>
          </w:p>
        </w:tc>
        <w:tc>
          <w:tcPr>
            <w:tcW w:w="1181" w:type="pct"/>
            <w:shd w:val="clear" w:color="auto" w:fill="auto"/>
          </w:tcPr>
          <w:p w14:paraId="5F232336" w14:textId="77777777" w:rsidR="00C532B4" w:rsidRPr="00C951C9" w:rsidRDefault="00C532B4" w:rsidP="000F517C">
            <w:pPr>
              <w:jc w:val="center"/>
              <w:rPr>
                <w:rFonts w:cs="Arial"/>
                <w:sz w:val="20"/>
                <w:lang w:val="en-AU"/>
              </w:rPr>
            </w:pPr>
            <w:r w:rsidRPr="00C951C9">
              <w:rPr>
                <w:rFonts w:cs="Arial"/>
                <w:sz w:val="20"/>
                <w:lang w:val="en-AU"/>
              </w:rPr>
              <w:t>0.43 to 0.51</w:t>
            </w:r>
          </w:p>
        </w:tc>
        <w:tc>
          <w:tcPr>
            <w:tcW w:w="1199" w:type="pct"/>
            <w:shd w:val="clear" w:color="auto" w:fill="auto"/>
          </w:tcPr>
          <w:p w14:paraId="5F232337" w14:textId="77777777" w:rsidR="00C532B4" w:rsidRPr="00C951C9" w:rsidRDefault="00C532B4" w:rsidP="000F517C">
            <w:pPr>
              <w:jc w:val="center"/>
              <w:rPr>
                <w:rFonts w:cs="Arial"/>
                <w:sz w:val="20"/>
                <w:lang w:val="en-AU"/>
              </w:rPr>
            </w:pPr>
            <w:r w:rsidRPr="00C951C9">
              <w:rPr>
                <w:rFonts w:cs="Arial"/>
                <w:sz w:val="20"/>
                <w:lang w:val="en-AU"/>
              </w:rPr>
              <w:t>2</w:t>
            </w:r>
          </w:p>
        </w:tc>
      </w:tr>
      <w:tr w:rsidR="00C532B4" w:rsidRPr="00C951C9" w14:paraId="5F23233D" w14:textId="77777777" w:rsidTr="00C951C9">
        <w:trPr>
          <w:jc w:val="center"/>
        </w:trPr>
        <w:tc>
          <w:tcPr>
            <w:tcW w:w="1385" w:type="pct"/>
            <w:shd w:val="clear" w:color="auto" w:fill="auto"/>
          </w:tcPr>
          <w:p w14:paraId="5F232339" w14:textId="77777777" w:rsidR="00C532B4" w:rsidRPr="00C951C9" w:rsidRDefault="00C532B4" w:rsidP="000F517C">
            <w:pPr>
              <w:jc w:val="center"/>
              <w:rPr>
                <w:rFonts w:cs="Arial"/>
                <w:sz w:val="20"/>
                <w:lang w:val="en-AU"/>
              </w:rPr>
            </w:pPr>
            <w:r w:rsidRPr="00C951C9">
              <w:rPr>
                <w:rFonts w:cs="Arial"/>
                <w:sz w:val="20"/>
                <w:lang w:val="en-AU"/>
              </w:rPr>
              <w:t>TDN</w:t>
            </w:r>
          </w:p>
        </w:tc>
        <w:tc>
          <w:tcPr>
            <w:tcW w:w="1235" w:type="pct"/>
            <w:shd w:val="clear" w:color="auto" w:fill="auto"/>
          </w:tcPr>
          <w:p w14:paraId="5F23233A" w14:textId="77777777" w:rsidR="00C532B4" w:rsidRPr="00C951C9" w:rsidRDefault="00C532B4" w:rsidP="000F517C">
            <w:pPr>
              <w:jc w:val="center"/>
              <w:rPr>
                <w:rFonts w:cs="Arial"/>
                <w:sz w:val="20"/>
                <w:lang w:val="en-AU"/>
              </w:rPr>
            </w:pPr>
            <w:r w:rsidRPr="00C951C9">
              <w:rPr>
                <w:rFonts w:cs="Arial"/>
                <w:sz w:val="20"/>
                <w:lang w:val="en-AU"/>
              </w:rPr>
              <w:t>-1.82  to 0.06</w:t>
            </w:r>
          </w:p>
        </w:tc>
        <w:tc>
          <w:tcPr>
            <w:tcW w:w="1181" w:type="pct"/>
            <w:shd w:val="clear" w:color="auto" w:fill="auto"/>
          </w:tcPr>
          <w:p w14:paraId="5F23233B" w14:textId="77777777" w:rsidR="00C532B4" w:rsidRPr="00C951C9" w:rsidRDefault="00C532B4" w:rsidP="000F517C">
            <w:pPr>
              <w:jc w:val="center"/>
              <w:rPr>
                <w:rFonts w:cs="Arial"/>
                <w:sz w:val="20"/>
                <w:lang w:val="en-AU"/>
              </w:rPr>
            </w:pPr>
            <w:r w:rsidRPr="00C951C9">
              <w:rPr>
                <w:rFonts w:cs="Arial"/>
                <w:sz w:val="20"/>
                <w:lang w:val="en-AU"/>
              </w:rPr>
              <w:t>0.79 to 0.85</w:t>
            </w:r>
          </w:p>
        </w:tc>
        <w:tc>
          <w:tcPr>
            <w:tcW w:w="1199" w:type="pct"/>
            <w:shd w:val="clear" w:color="auto" w:fill="auto"/>
          </w:tcPr>
          <w:p w14:paraId="5F23233C" w14:textId="77777777" w:rsidR="00C532B4" w:rsidRPr="00C951C9" w:rsidRDefault="00C532B4" w:rsidP="000F517C">
            <w:pPr>
              <w:jc w:val="center"/>
              <w:rPr>
                <w:rFonts w:cs="Arial"/>
                <w:sz w:val="20"/>
                <w:highlight w:val="yellow"/>
                <w:lang w:val="en-AU"/>
              </w:rPr>
            </w:pPr>
            <w:r w:rsidRPr="00C951C9">
              <w:rPr>
                <w:rFonts w:cs="Arial"/>
                <w:sz w:val="20"/>
                <w:lang w:val="en-AU"/>
              </w:rPr>
              <w:t>3</w:t>
            </w:r>
          </w:p>
        </w:tc>
      </w:tr>
      <w:tr w:rsidR="00C532B4" w:rsidRPr="00C951C9" w14:paraId="5F232342" w14:textId="77777777" w:rsidTr="00C951C9">
        <w:trPr>
          <w:jc w:val="center"/>
        </w:trPr>
        <w:tc>
          <w:tcPr>
            <w:tcW w:w="1385" w:type="pct"/>
          </w:tcPr>
          <w:p w14:paraId="5F23233E" w14:textId="77777777" w:rsidR="00C532B4" w:rsidRPr="00C951C9" w:rsidRDefault="00C532B4" w:rsidP="000F517C">
            <w:pPr>
              <w:jc w:val="center"/>
              <w:rPr>
                <w:rFonts w:cs="Arial"/>
                <w:sz w:val="20"/>
                <w:lang w:val="en-AU"/>
              </w:rPr>
            </w:pPr>
            <w:r w:rsidRPr="00C951C9">
              <w:rPr>
                <w:rFonts w:cs="Arial"/>
                <w:sz w:val="20"/>
                <w:lang w:val="en-AU"/>
              </w:rPr>
              <w:t>PO4</w:t>
            </w:r>
          </w:p>
        </w:tc>
        <w:tc>
          <w:tcPr>
            <w:tcW w:w="1235" w:type="pct"/>
          </w:tcPr>
          <w:p w14:paraId="5F23233F" w14:textId="77777777" w:rsidR="00C532B4" w:rsidRPr="00C951C9" w:rsidRDefault="00C532B4" w:rsidP="000F517C">
            <w:pPr>
              <w:jc w:val="center"/>
              <w:rPr>
                <w:rFonts w:cs="Arial"/>
                <w:sz w:val="20"/>
                <w:lang w:val="en-AU"/>
              </w:rPr>
            </w:pPr>
            <w:r w:rsidRPr="00C951C9">
              <w:rPr>
                <w:rFonts w:cs="Arial"/>
                <w:sz w:val="20"/>
                <w:lang w:val="en-AU"/>
              </w:rPr>
              <w:t>-3.61 to -1.76</w:t>
            </w:r>
          </w:p>
        </w:tc>
        <w:tc>
          <w:tcPr>
            <w:tcW w:w="1181" w:type="pct"/>
          </w:tcPr>
          <w:p w14:paraId="5F232340" w14:textId="77777777" w:rsidR="00C532B4" w:rsidRPr="00C951C9" w:rsidRDefault="00C532B4" w:rsidP="000F517C">
            <w:pPr>
              <w:jc w:val="center"/>
              <w:rPr>
                <w:rFonts w:cs="Arial"/>
                <w:sz w:val="20"/>
                <w:lang w:val="en-AU"/>
              </w:rPr>
            </w:pPr>
            <w:r w:rsidRPr="00C951C9">
              <w:rPr>
                <w:rFonts w:cs="Arial"/>
                <w:sz w:val="20"/>
                <w:lang w:val="en-AU"/>
              </w:rPr>
              <w:t>0.07  to 1.35</w:t>
            </w:r>
          </w:p>
        </w:tc>
        <w:tc>
          <w:tcPr>
            <w:tcW w:w="1199" w:type="pct"/>
          </w:tcPr>
          <w:p w14:paraId="5F232341" w14:textId="77777777" w:rsidR="00C532B4" w:rsidRPr="00C951C9" w:rsidRDefault="00C532B4" w:rsidP="000F517C">
            <w:pPr>
              <w:jc w:val="center"/>
              <w:rPr>
                <w:rFonts w:cs="Arial"/>
                <w:sz w:val="20"/>
                <w:lang w:val="en-AU"/>
              </w:rPr>
            </w:pPr>
            <w:r w:rsidRPr="00C951C9">
              <w:rPr>
                <w:rFonts w:cs="Arial"/>
                <w:sz w:val="20"/>
                <w:lang w:val="en-AU"/>
              </w:rPr>
              <w:t>2</w:t>
            </w:r>
          </w:p>
        </w:tc>
      </w:tr>
      <w:tr w:rsidR="00C532B4" w:rsidRPr="00C951C9" w14:paraId="5F232347" w14:textId="77777777" w:rsidTr="00C951C9">
        <w:trPr>
          <w:jc w:val="center"/>
        </w:trPr>
        <w:tc>
          <w:tcPr>
            <w:tcW w:w="1385" w:type="pct"/>
          </w:tcPr>
          <w:p w14:paraId="5F232343" w14:textId="77777777" w:rsidR="00C532B4" w:rsidRPr="00C951C9" w:rsidRDefault="00C532B4" w:rsidP="000F517C">
            <w:pPr>
              <w:jc w:val="center"/>
              <w:rPr>
                <w:rFonts w:cs="Arial"/>
                <w:sz w:val="20"/>
                <w:lang w:val="en-AU"/>
              </w:rPr>
            </w:pPr>
            <w:r w:rsidRPr="00C951C9">
              <w:rPr>
                <w:rFonts w:cs="Arial"/>
                <w:sz w:val="20"/>
                <w:lang w:val="en-AU"/>
              </w:rPr>
              <w:t>TDP</w:t>
            </w:r>
          </w:p>
        </w:tc>
        <w:tc>
          <w:tcPr>
            <w:tcW w:w="1235" w:type="pct"/>
          </w:tcPr>
          <w:p w14:paraId="5F232344" w14:textId="77777777" w:rsidR="00C532B4" w:rsidRPr="00C951C9" w:rsidRDefault="00C532B4" w:rsidP="000F517C">
            <w:pPr>
              <w:jc w:val="center"/>
              <w:rPr>
                <w:rFonts w:cs="Arial"/>
                <w:sz w:val="20"/>
                <w:lang w:val="en-AU"/>
              </w:rPr>
            </w:pPr>
            <w:r w:rsidRPr="00C951C9">
              <w:rPr>
                <w:rFonts w:cs="Arial"/>
                <w:sz w:val="20"/>
                <w:lang w:val="en-AU"/>
              </w:rPr>
              <w:t>-1.92 to -0.52</w:t>
            </w:r>
          </w:p>
        </w:tc>
        <w:tc>
          <w:tcPr>
            <w:tcW w:w="1181" w:type="pct"/>
          </w:tcPr>
          <w:p w14:paraId="5F232345" w14:textId="77777777" w:rsidR="00C532B4" w:rsidRPr="00C951C9" w:rsidRDefault="00C532B4" w:rsidP="000F517C">
            <w:pPr>
              <w:jc w:val="center"/>
              <w:rPr>
                <w:rFonts w:cs="Arial"/>
                <w:sz w:val="20"/>
                <w:lang w:val="en-AU"/>
              </w:rPr>
            </w:pPr>
            <w:r w:rsidRPr="00C951C9">
              <w:rPr>
                <w:rFonts w:cs="Arial"/>
                <w:sz w:val="20"/>
                <w:lang w:val="en-AU"/>
              </w:rPr>
              <w:t>0.61  to 1.14</w:t>
            </w:r>
          </w:p>
        </w:tc>
        <w:tc>
          <w:tcPr>
            <w:tcW w:w="1199" w:type="pct"/>
          </w:tcPr>
          <w:p w14:paraId="5F232346" w14:textId="77777777" w:rsidR="00C532B4" w:rsidRPr="00C951C9" w:rsidRDefault="00C532B4" w:rsidP="000F517C">
            <w:pPr>
              <w:jc w:val="center"/>
              <w:rPr>
                <w:rFonts w:cs="Arial"/>
                <w:sz w:val="20"/>
                <w:lang w:val="en-AU"/>
              </w:rPr>
            </w:pPr>
            <w:r w:rsidRPr="00C951C9">
              <w:rPr>
                <w:rFonts w:cs="Arial"/>
                <w:sz w:val="20"/>
                <w:lang w:val="en-AU"/>
              </w:rPr>
              <w:t>3</w:t>
            </w:r>
          </w:p>
        </w:tc>
      </w:tr>
      <w:tr w:rsidR="00C532B4" w:rsidRPr="00C951C9" w14:paraId="5F23234C" w14:textId="77777777" w:rsidTr="00C951C9">
        <w:trPr>
          <w:jc w:val="center"/>
        </w:trPr>
        <w:tc>
          <w:tcPr>
            <w:tcW w:w="1385" w:type="pct"/>
          </w:tcPr>
          <w:p w14:paraId="5F232348" w14:textId="77777777" w:rsidR="00C532B4" w:rsidRPr="00C951C9" w:rsidRDefault="00C532B4" w:rsidP="000F517C">
            <w:pPr>
              <w:jc w:val="center"/>
              <w:rPr>
                <w:rFonts w:cs="Arial"/>
                <w:sz w:val="20"/>
                <w:lang w:val="en-AU"/>
              </w:rPr>
            </w:pPr>
            <w:r w:rsidRPr="00C951C9">
              <w:rPr>
                <w:rFonts w:cs="Arial"/>
                <w:sz w:val="20"/>
                <w:lang w:val="en-AU"/>
              </w:rPr>
              <w:t>Si</w:t>
            </w:r>
          </w:p>
        </w:tc>
        <w:tc>
          <w:tcPr>
            <w:tcW w:w="1235" w:type="pct"/>
          </w:tcPr>
          <w:p w14:paraId="5F232349" w14:textId="77777777" w:rsidR="00C532B4" w:rsidRPr="00C951C9" w:rsidRDefault="00C532B4" w:rsidP="000F517C">
            <w:pPr>
              <w:jc w:val="center"/>
              <w:rPr>
                <w:rFonts w:cs="Arial"/>
                <w:sz w:val="20"/>
                <w:lang w:val="en-AU"/>
              </w:rPr>
            </w:pPr>
            <w:r w:rsidRPr="00C951C9">
              <w:rPr>
                <w:rFonts w:cs="Arial"/>
                <w:sz w:val="20"/>
                <w:lang w:val="en-AU"/>
              </w:rPr>
              <w:t>-0.97  to 0.50</w:t>
            </w:r>
          </w:p>
        </w:tc>
        <w:tc>
          <w:tcPr>
            <w:tcW w:w="1181" w:type="pct"/>
          </w:tcPr>
          <w:p w14:paraId="5F23234A" w14:textId="77777777" w:rsidR="00C532B4" w:rsidRPr="00C951C9" w:rsidRDefault="00C532B4" w:rsidP="000F517C">
            <w:pPr>
              <w:jc w:val="center"/>
              <w:rPr>
                <w:rFonts w:cs="Arial"/>
                <w:sz w:val="20"/>
                <w:lang w:val="en-AU"/>
              </w:rPr>
            </w:pPr>
            <w:r w:rsidRPr="00C951C9">
              <w:rPr>
                <w:rFonts w:cs="Arial"/>
                <w:sz w:val="20"/>
                <w:lang w:val="en-AU"/>
              </w:rPr>
              <w:t>-0.4 to 0.04</w:t>
            </w:r>
          </w:p>
        </w:tc>
        <w:tc>
          <w:tcPr>
            <w:tcW w:w="1199" w:type="pct"/>
          </w:tcPr>
          <w:p w14:paraId="5F23234B" w14:textId="77777777" w:rsidR="00C532B4" w:rsidRPr="00C951C9" w:rsidRDefault="00C532B4" w:rsidP="000F517C">
            <w:pPr>
              <w:jc w:val="center"/>
              <w:rPr>
                <w:rFonts w:cs="Arial"/>
                <w:sz w:val="20"/>
                <w:lang w:val="en-AU"/>
              </w:rPr>
            </w:pPr>
            <w:r w:rsidRPr="00C951C9">
              <w:rPr>
                <w:rFonts w:cs="Arial"/>
                <w:sz w:val="20"/>
                <w:lang w:val="en-AU"/>
              </w:rPr>
              <w:t>2</w:t>
            </w:r>
          </w:p>
        </w:tc>
      </w:tr>
    </w:tbl>
    <w:p w14:paraId="5F23234D" w14:textId="77777777" w:rsidR="00C532B4" w:rsidRPr="000F3970" w:rsidRDefault="00C532B4" w:rsidP="00C532B4">
      <w:pPr>
        <w:ind w:left="1560" w:right="1134"/>
        <w:rPr>
          <w:sz w:val="20"/>
          <w:lang w:val="en-AU"/>
        </w:rPr>
      </w:pPr>
      <w:r w:rsidRPr="000F3970">
        <w:rPr>
          <w:rFonts w:cs="Arial"/>
          <w:b/>
          <w:bCs/>
          <w:sz w:val="20"/>
          <w:lang w:val="en-AU"/>
        </w:rPr>
        <w:t xml:space="preserve">* </w:t>
      </w:r>
      <w:r w:rsidRPr="000F3970">
        <w:rPr>
          <w:rFonts w:cs="Arial"/>
          <w:bCs/>
          <w:sz w:val="20"/>
          <w:lang w:val="en-AU"/>
        </w:rPr>
        <w:t>NLLNCT reference samples round 19, bottles #5 and #7</w:t>
      </w:r>
      <w:r w:rsidRPr="000F3970">
        <w:rPr>
          <w:sz w:val="20"/>
          <w:lang w:val="en-AU"/>
        </w:rPr>
        <w:t xml:space="preserve"> analysed with samples collected in 2014/15.</w:t>
      </w:r>
    </w:p>
    <w:p w14:paraId="5F23234E" w14:textId="77777777" w:rsidR="00C532B4" w:rsidRPr="000F3970" w:rsidRDefault="00C532B4" w:rsidP="00C532B4">
      <w:pPr>
        <w:rPr>
          <w:lang w:val="en-AU"/>
        </w:rPr>
      </w:pPr>
    </w:p>
    <w:p w14:paraId="5F232350" w14:textId="77777777" w:rsidR="00C532B4" w:rsidRPr="000F3970" w:rsidRDefault="00C532B4" w:rsidP="004A5BF7">
      <w:pPr>
        <w:pStyle w:val="Heading7"/>
        <w:numPr>
          <w:ilvl w:val="0"/>
          <w:numId w:val="0"/>
        </w:numPr>
      </w:pPr>
      <w:bookmarkStart w:id="1714" w:name="_Toc144624283"/>
      <w:bookmarkStart w:id="1715" w:name="_Toc174246277"/>
      <w:bookmarkStart w:id="1716" w:name="_Toc205604870"/>
      <w:bookmarkStart w:id="1717" w:name="_Toc237137928"/>
      <w:bookmarkStart w:id="1718" w:name="_Toc269561958"/>
      <w:bookmarkStart w:id="1719" w:name="_Toc273951480"/>
      <w:bookmarkStart w:id="1720" w:name="_Toc334990060"/>
      <w:bookmarkStart w:id="1721" w:name="_Toc334990263"/>
      <w:bookmarkStart w:id="1722" w:name="_Toc374707578"/>
      <w:bookmarkStart w:id="1723" w:name="_Toc393133609"/>
      <w:bookmarkStart w:id="1724" w:name="_Toc406143775"/>
      <w:bookmarkStart w:id="1725" w:name="_Toc435775374"/>
      <w:r w:rsidRPr="000F3970">
        <w:t>Procedural blanks</w:t>
      </w:r>
      <w:bookmarkEnd w:id="1714"/>
      <w:bookmarkEnd w:id="1715"/>
      <w:bookmarkEnd w:id="1716"/>
      <w:bookmarkEnd w:id="1717"/>
      <w:bookmarkEnd w:id="1718"/>
      <w:bookmarkEnd w:id="1719"/>
      <w:bookmarkEnd w:id="1720"/>
      <w:bookmarkEnd w:id="1721"/>
      <w:bookmarkEnd w:id="1722"/>
      <w:bookmarkEnd w:id="1723"/>
      <w:bookmarkEnd w:id="1724"/>
      <w:bookmarkEnd w:id="1725"/>
      <w:r w:rsidRPr="000F3970">
        <w:t xml:space="preserve"> </w:t>
      </w:r>
    </w:p>
    <w:p w14:paraId="5F232351" w14:textId="77777777" w:rsidR="00C532B4" w:rsidRPr="000F3970" w:rsidRDefault="00C532B4" w:rsidP="00C532B4">
      <w:pPr>
        <w:rPr>
          <w:lang w:val="en-AU"/>
        </w:rPr>
      </w:pPr>
      <w:r w:rsidRPr="000F3970">
        <w:rPr>
          <w:lang w:val="en-AU"/>
        </w:rPr>
        <w:t xml:space="preserve">Wet filter blanks (filter placed on filtration unit and wetted with filtered seawater, then further handled like samples) were prepared during the on-board sample preparation to measure contamination during the preparation procedure for PN, PP, POC and chlorophyll. The instrument readings (or actual readings, in case of chlorophyll) from these filters were compared to instrument readings from actual water samples. On average, the wet filter blank values were below 2% of the measured values for chlorophyll </w:t>
      </w:r>
      <w:r w:rsidRPr="000F3970">
        <w:rPr>
          <w:i/>
          <w:lang w:val="en-AU"/>
        </w:rPr>
        <w:t>a</w:t>
      </w:r>
      <w:r w:rsidRPr="000F3970">
        <w:rPr>
          <w:lang w:val="en-AU"/>
        </w:rPr>
        <w:t xml:space="preserve"> (Chl) (</w:t>
      </w:r>
      <w:r w:rsidR="00C951C9">
        <w:rPr>
          <w:lang w:val="en-AU"/>
        </w:rPr>
        <w:t>Table A3</w:t>
      </w:r>
      <w:r w:rsidR="006F728D">
        <w:rPr>
          <w:lang w:val="en-AU"/>
        </w:rPr>
        <w:t>-5</w:t>
      </w:r>
      <w:r w:rsidRPr="000F3970">
        <w:rPr>
          <w:lang w:val="en-AU"/>
        </w:rPr>
        <w:t xml:space="preserve">) and we conclude that contamination due to handling was minimal. </w:t>
      </w:r>
    </w:p>
    <w:p w14:paraId="5F232352" w14:textId="77777777" w:rsidR="00C532B4" w:rsidRPr="000F3970" w:rsidRDefault="00C532B4" w:rsidP="00C532B4">
      <w:pPr>
        <w:rPr>
          <w:lang w:val="en-AU"/>
        </w:rPr>
      </w:pPr>
      <w:r w:rsidRPr="000F3970">
        <w:rPr>
          <w:lang w:val="en-AU"/>
        </w:rPr>
        <w:t xml:space="preserve">Wet filter blanks (as well as filter blanks using pre-combusted filters) for PN, PP and POC generally returned measureable readings, which indicates that the filter material contains phosphorus and organic carbon. The blank values are relatively constant and were subtracted from sample results to adjust for the inherent filter component. </w:t>
      </w:r>
    </w:p>
    <w:p w14:paraId="5F232353" w14:textId="77777777" w:rsidR="00C532B4" w:rsidRPr="000F3970" w:rsidRDefault="00C532B4" w:rsidP="00C532B4">
      <w:pPr>
        <w:rPr>
          <w:lang w:val="en-AU"/>
        </w:rPr>
      </w:pPr>
      <w:r w:rsidRPr="000F3970">
        <w:rPr>
          <w:lang w:val="en-AU"/>
        </w:rPr>
        <w:t>Wet filter blanks for SS analysis (filter placed on filtration unit and wetted with filtered seawater, rinsed with distilled water, then further handled like samples) were prepared during the on-board sample preparation. The mean weight difference of these filter blanks (final weight - initial filter weight) was 0.00010 g (n=32). This value indicated the average amount of remnant salt in the filters (“salt blank”).  The salt blank was about 5% of the average sample filter weight (</w:t>
      </w:r>
      <w:r w:rsidR="00C951C9">
        <w:rPr>
          <w:lang w:val="en-AU"/>
        </w:rPr>
        <w:t>Table A3-5</w:t>
      </w:r>
      <w:r w:rsidRPr="000F3970">
        <w:rPr>
          <w:lang w:val="en-AU"/>
        </w:rPr>
        <w:t xml:space="preserve">). This value was included in the calculation of the amount of suspended solids per litre of water by subtraction from the sample filter weight differences. </w:t>
      </w:r>
    </w:p>
    <w:p w14:paraId="5F232354" w14:textId="77777777" w:rsidR="00C532B4" w:rsidRPr="000F3970" w:rsidRDefault="00C532B4" w:rsidP="00C532B4">
      <w:pPr>
        <w:rPr>
          <w:lang w:val="en-AU"/>
        </w:rPr>
      </w:pPr>
    </w:p>
    <w:p w14:paraId="5F232355" w14:textId="47C78F07" w:rsidR="00C532B4" w:rsidRPr="000F3970" w:rsidRDefault="00725F21" w:rsidP="00164E5E">
      <w:pPr>
        <w:pStyle w:val="Caption"/>
      </w:pPr>
      <w:bookmarkStart w:id="1726" w:name="_Toc205605383"/>
      <w:bookmarkStart w:id="1727" w:name="_Toc237149992"/>
      <w:bookmarkStart w:id="1728" w:name="_Toc269561901"/>
      <w:bookmarkStart w:id="1729" w:name="_Toc273951615"/>
      <w:bookmarkStart w:id="1730" w:name="_Toc334817416"/>
      <w:bookmarkStart w:id="1731" w:name="_Toc374701453"/>
      <w:bookmarkStart w:id="1732" w:name="_Toc392929669"/>
      <w:bookmarkStart w:id="1733" w:name="_Toc459332227"/>
      <w:r>
        <w:t xml:space="preserve">Table A3 </w:t>
      </w:r>
      <w:r w:rsidR="00EB33A6">
        <w:fldChar w:fldCharType="begin"/>
      </w:r>
      <w:r w:rsidR="00D8225E">
        <w:instrText xml:space="preserve"> SEQ Table_A3 \* ARABIC </w:instrText>
      </w:r>
      <w:r w:rsidR="00EB33A6">
        <w:fldChar w:fldCharType="separate"/>
      </w:r>
      <w:r w:rsidR="007F5336">
        <w:rPr>
          <w:noProof/>
        </w:rPr>
        <w:t>5</w:t>
      </w:r>
      <w:r w:rsidR="00EB33A6">
        <w:rPr>
          <w:noProof/>
        </w:rPr>
        <w:fldChar w:fldCharType="end"/>
      </w:r>
      <w:r w:rsidR="00453B2E">
        <w:t>:</w:t>
      </w:r>
      <w:r w:rsidR="00C532B4" w:rsidRPr="000F3970">
        <w:t xml:space="preserve"> Comparison of instrument readings of wet filter blanks to actual sample readings</w:t>
      </w:r>
      <w:bookmarkEnd w:id="1726"/>
      <w:bookmarkEnd w:id="1727"/>
      <w:bookmarkEnd w:id="1728"/>
      <w:bookmarkEnd w:id="1729"/>
      <w:bookmarkEnd w:id="1730"/>
      <w:bookmarkEnd w:id="1731"/>
      <w:bookmarkEnd w:id="1732"/>
      <w:bookmarkEnd w:id="1733"/>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83"/>
        <w:gridCol w:w="1417"/>
        <w:gridCol w:w="1331"/>
        <w:gridCol w:w="1368"/>
        <w:gridCol w:w="1368"/>
        <w:gridCol w:w="1364"/>
      </w:tblGrid>
      <w:tr w:rsidR="00C532B4" w:rsidRPr="00C951C9" w14:paraId="5F232361" w14:textId="77777777" w:rsidTr="00C951C9">
        <w:trPr>
          <w:trHeight w:val="255"/>
          <w:jc w:val="center"/>
        </w:trPr>
        <w:tc>
          <w:tcPr>
            <w:tcW w:w="1481" w:type="pct"/>
            <w:tcBorders>
              <w:bottom w:val="single" w:sz="4" w:space="0" w:color="auto"/>
            </w:tcBorders>
            <w:shd w:val="clear" w:color="auto" w:fill="BFBFBF" w:themeFill="background1" w:themeFillShade="BF"/>
            <w:noWrap/>
            <w:vAlign w:val="center"/>
          </w:tcPr>
          <w:p w14:paraId="5F232356" w14:textId="77777777" w:rsidR="00C532B4" w:rsidRPr="00C951C9" w:rsidRDefault="00C532B4" w:rsidP="000F517C">
            <w:pPr>
              <w:rPr>
                <w:rFonts w:cs="Arial"/>
                <w:b/>
                <w:bCs/>
                <w:sz w:val="20"/>
                <w:lang w:val="en-AU"/>
              </w:rPr>
            </w:pPr>
          </w:p>
        </w:tc>
        <w:tc>
          <w:tcPr>
            <w:tcW w:w="728" w:type="pct"/>
            <w:tcBorders>
              <w:bottom w:val="single" w:sz="4" w:space="0" w:color="auto"/>
            </w:tcBorders>
            <w:shd w:val="clear" w:color="auto" w:fill="BFBFBF" w:themeFill="background1" w:themeFillShade="BF"/>
            <w:noWrap/>
            <w:vAlign w:val="center"/>
          </w:tcPr>
          <w:p w14:paraId="5F232357" w14:textId="77777777" w:rsidR="00C532B4" w:rsidRPr="00C951C9" w:rsidRDefault="00C532B4" w:rsidP="000F517C">
            <w:pPr>
              <w:jc w:val="center"/>
              <w:rPr>
                <w:rFonts w:cs="Arial"/>
                <w:b/>
                <w:bCs/>
                <w:sz w:val="20"/>
                <w:lang w:val="en-AU"/>
              </w:rPr>
            </w:pPr>
            <w:r w:rsidRPr="00C951C9">
              <w:rPr>
                <w:rFonts w:cs="Arial"/>
                <w:b/>
                <w:bCs/>
                <w:sz w:val="20"/>
                <w:lang w:val="en-AU"/>
              </w:rPr>
              <w:t>PP</w:t>
            </w:r>
          </w:p>
          <w:p w14:paraId="5F232358" w14:textId="77777777" w:rsidR="00C532B4" w:rsidRPr="00C951C9" w:rsidRDefault="00C532B4" w:rsidP="000F517C">
            <w:pPr>
              <w:jc w:val="center"/>
              <w:rPr>
                <w:rFonts w:cs="Arial"/>
                <w:b/>
                <w:bCs/>
                <w:sz w:val="20"/>
                <w:lang w:val="en-AU"/>
              </w:rPr>
            </w:pPr>
            <w:r w:rsidRPr="00C951C9">
              <w:rPr>
                <w:rFonts w:cs="Arial"/>
                <w:b/>
                <w:bCs/>
                <w:sz w:val="20"/>
                <w:lang w:val="en-AU"/>
              </w:rPr>
              <w:t>(absorbance readings)</w:t>
            </w:r>
          </w:p>
        </w:tc>
        <w:tc>
          <w:tcPr>
            <w:tcW w:w="684" w:type="pct"/>
            <w:tcBorders>
              <w:bottom w:val="single" w:sz="4" w:space="0" w:color="auto"/>
            </w:tcBorders>
            <w:shd w:val="clear" w:color="auto" w:fill="BFBFBF" w:themeFill="background1" w:themeFillShade="BF"/>
            <w:vAlign w:val="center"/>
          </w:tcPr>
          <w:p w14:paraId="5F232359" w14:textId="77777777" w:rsidR="00C532B4" w:rsidRPr="00C951C9" w:rsidRDefault="00C532B4" w:rsidP="000F517C">
            <w:pPr>
              <w:jc w:val="center"/>
              <w:rPr>
                <w:rFonts w:cs="Arial"/>
                <w:b/>
                <w:bCs/>
                <w:sz w:val="20"/>
                <w:lang w:val="en-AU"/>
              </w:rPr>
            </w:pPr>
            <w:r w:rsidRPr="00C951C9">
              <w:rPr>
                <w:rFonts w:cs="Arial"/>
                <w:b/>
                <w:bCs/>
                <w:sz w:val="20"/>
                <w:lang w:val="en-AU"/>
              </w:rPr>
              <w:t>PN</w:t>
            </w:r>
          </w:p>
          <w:p w14:paraId="5F23235A" w14:textId="77777777" w:rsidR="00C532B4" w:rsidRPr="00C951C9" w:rsidRDefault="00C532B4" w:rsidP="000F517C">
            <w:pPr>
              <w:jc w:val="center"/>
              <w:rPr>
                <w:rFonts w:cs="Arial"/>
                <w:b/>
                <w:bCs/>
                <w:sz w:val="20"/>
                <w:lang w:val="en-AU"/>
              </w:rPr>
            </w:pPr>
            <w:r w:rsidRPr="00C951C9">
              <w:rPr>
                <w:rFonts w:cs="Arial"/>
                <w:b/>
                <w:bCs/>
                <w:sz w:val="20"/>
                <w:lang w:val="en-AU"/>
              </w:rPr>
              <w:t>(instrument readings)</w:t>
            </w:r>
          </w:p>
        </w:tc>
        <w:tc>
          <w:tcPr>
            <w:tcW w:w="703" w:type="pct"/>
            <w:tcBorders>
              <w:bottom w:val="single" w:sz="4" w:space="0" w:color="auto"/>
            </w:tcBorders>
            <w:shd w:val="clear" w:color="auto" w:fill="BFBFBF" w:themeFill="background1" w:themeFillShade="BF"/>
            <w:vAlign w:val="center"/>
          </w:tcPr>
          <w:p w14:paraId="5F23235B" w14:textId="77777777" w:rsidR="00C532B4" w:rsidRPr="00C951C9" w:rsidRDefault="00C532B4" w:rsidP="000F517C">
            <w:pPr>
              <w:jc w:val="center"/>
              <w:rPr>
                <w:rFonts w:cs="Arial"/>
                <w:b/>
                <w:bCs/>
                <w:sz w:val="20"/>
                <w:lang w:val="en-AU"/>
              </w:rPr>
            </w:pPr>
            <w:r w:rsidRPr="00C951C9">
              <w:rPr>
                <w:rFonts w:cs="Arial"/>
                <w:b/>
                <w:bCs/>
                <w:sz w:val="20"/>
                <w:lang w:val="en-AU"/>
              </w:rPr>
              <w:t>Chl</w:t>
            </w:r>
          </w:p>
          <w:p w14:paraId="5F23235C" w14:textId="77777777" w:rsidR="00C532B4" w:rsidRPr="00C951C9" w:rsidRDefault="00C532B4" w:rsidP="000F517C">
            <w:pPr>
              <w:jc w:val="center"/>
              <w:rPr>
                <w:rFonts w:cs="Arial"/>
                <w:b/>
                <w:bCs/>
                <w:sz w:val="20"/>
                <w:lang w:val="en-AU"/>
              </w:rPr>
            </w:pPr>
            <w:r w:rsidRPr="00C951C9">
              <w:rPr>
                <w:rFonts w:cs="Arial"/>
                <w:b/>
                <w:bCs/>
                <w:sz w:val="20"/>
                <w:lang w:val="en-AU"/>
              </w:rPr>
              <w:t>(µg L</w:t>
            </w:r>
            <w:r w:rsidRPr="00C951C9">
              <w:rPr>
                <w:rFonts w:cs="Arial"/>
                <w:b/>
                <w:bCs/>
                <w:sz w:val="20"/>
                <w:vertAlign w:val="superscript"/>
                <w:lang w:val="en-AU"/>
              </w:rPr>
              <w:t>-1</w:t>
            </w:r>
            <w:r w:rsidRPr="00C951C9">
              <w:rPr>
                <w:rFonts w:cs="Arial"/>
                <w:b/>
                <w:bCs/>
                <w:sz w:val="20"/>
                <w:lang w:val="en-AU"/>
              </w:rPr>
              <w:t>)</w:t>
            </w:r>
          </w:p>
        </w:tc>
        <w:tc>
          <w:tcPr>
            <w:tcW w:w="703" w:type="pct"/>
            <w:tcBorders>
              <w:bottom w:val="single" w:sz="4" w:space="0" w:color="auto"/>
            </w:tcBorders>
            <w:shd w:val="clear" w:color="auto" w:fill="BFBFBF" w:themeFill="background1" w:themeFillShade="BF"/>
            <w:vAlign w:val="center"/>
          </w:tcPr>
          <w:p w14:paraId="5F23235D" w14:textId="77777777" w:rsidR="00C532B4" w:rsidRPr="00C951C9" w:rsidRDefault="00C532B4" w:rsidP="000F517C">
            <w:pPr>
              <w:jc w:val="center"/>
              <w:rPr>
                <w:rFonts w:cs="Arial"/>
                <w:b/>
                <w:bCs/>
                <w:sz w:val="20"/>
                <w:lang w:val="en-AU"/>
              </w:rPr>
            </w:pPr>
            <w:r w:rsidRPr="00C951C9">
              <w:rPr>
                <w:rFonts w:cs="Arial"/>
                <w:b/>
                <w:bCs/>
                <w:sz w:val="20"/>
                <w:lang w:val="en-AU"/>
              </w:rPr>
              <w:t>SS</w:t>
            </w:r>
          </w:p>
          <w:p w14:paraId="5F23235E" w14:textId="77777777" w:rsidR="00C532B4" w:rsidRPr="00C951C9" w:rsidRDefault="00C532B4" w:rsidP="000F517C">
            <w:pPr>
              <w:jc w:val="center"/>
              <w:rPr>
                <w:rFonts w:cs="Arial"/>
                <w:b/>
                <w:bCs/>
                <w:sz w:val="20"/>
                <w:lang w:val="en-AU"/>
              </w:rPr>
            </w:pPr>
            <w:r w:rsidRPr="00C951C9">
              <w:rPr>
                <w:rFonts w:cs="Arial"/>
                <w:b/>
                <w:bCs/>
                <w:sz w:val="20"/>
                <w:lang w:val="en-AU"/>
              </w:rPr>
              <w:t>(mg filter</w:t>
            </w:r>
            <w:r w:rsidRPr="00C951C9">
              <w:rPr>
                <w:rFonts w:cs="Arial"/>
                <w:b/>
                <w:bCs/>
                <w:sz w:val="20"/>
                <w:vertAlign w:val="superscript"/>
                <w:lang w:val="en-AU"/>
              </w:rPr>
              <w:t>-1</w:t>
            </w:r>
            <w:r w:rsidRPr="00C951C9">
              <w:rPr>
                <w:rFonts w:cs="Arial"/>
                <w:b/>
                <w:bCs/>
                <w:sz w:val="20"/>
                <w:lang w:val="en-AU"/>
              </w:rPr>
              <w:t>)</w:t>
            </w:r>
          </w:p>
        </w:tc>
        <w:tc>
          <w:tcPr>
            <w:tcW w:w="701" w:type="pct"/>
            <w:tcBorders>
              <w:bottom w:val="single" w:sz="4" w:space="0" w:color="auto"/>
            </w:tcBorders>
            <w:shd w:val="clear" w:color="auto" w:fill="BFBFBF" w:themeFill="background1" w:themeFillShade="BF"/>
            <w:vAlign w:val="center"/>
          </w:tcPr>
          <w:p w14:paraId="5F23235F" w14:textId="77777777" w:rsidR="00C532B4" w:rsidRPr="00C951C9" w:rsidRDefault="00C532B4" w:rsidP="000F517C">
            <w:pPr>
              <w:jc w:val="center"/>
              <w:rPr>
                <w:rFonts w:cs="Arial"/>
                <w:b/>
                <w:bCs/>
                <w:sz w:val="20"/>
                <w:lang w:val="en-AU"/>
              </w:rPr>
            </w:pPr>
            <w:r w:rsidRPr="00C951C9">
              <w:rPr>
                <w:rFonts w:cs="Arial"/>
                <w:b/>
                <w:bCs/>
                <w:sz w:val="20"/>
                <w:lang w:val="en-AU"/>
              </w:rPr>
              <w:t>POC</w:t>
            </w:r>
          </w:p>
          <w:p w14:paraId="5F232360" w14:textId="77777777" w:rsidR="00C532B4" w:rsidRPr="00C951C9" w:rsidRDefault="00C532B4" w:rsidP="000F517C">
            <w:pPr>
              <w:jc w:val="center"/>
              <w:rPr>
                <w:rFonts w:cs="Arial"/>
                <w:b/>
                <w:bCs/>
                <w:sz w:val="20"/>
                <w:lang w:val="en-AU"/>
              </w:rPr>
            </w:pPr>
            <w:r w:rsidRPr="00C951C9">
              <w:rPr>
                <w:rFonts w:cs="Arial"/>
                <w:b/>
                <w:bCs/>
                <w:sz w:val="20"/>
                <w:lang w:val="en-AU"/>
              </w:rPr>
              <w:t>(µg filter</w:t>
            </w:r>
            <w:r w:rsidRPr="00C951C9">
              <w:rPr>
                <w:rFonts w:cs="Arial"/>
                <w:b/>
                <w:bCs/>
                <w:sz w:val="20"/>
                <w:vertAlign w:val="superscript"/>
                <w:lang w:val="en-AU"/>
              </w:rPr>
              <w:t>-1</w:t>
            </w:r>
            <w:r w:rsidRPr="00C951C9">
              <w:rPr>
                <w:rFonts w:cs="Arial"/>
                <w:b/>
                <w:bCs/>
                <w:sz w:val="20"/>
                <w:lang w:val="en-AU"/>
              </w:rPr>
              <w:t>)</w:t>
            </w:r>
          </w:p>
        </w:tc>
      </w:tr>
      <w:tr w:rsidR="00C532B4" w:rsidRPr="00C951C9" w14:paraId="5F232368" w14:textId="77777777" w:rsidTr="00C951C9">
        <w:trPr>
          <w:trHeight w:val="255"/>
          <w:jc w:val="center"/>
        </w:trPr>
        <w:tc>
          <w:tcPr>
            <w:tcW w:w="1481" w:type="pct"/>
            <w:shd w:val="clear" w:color="auto" w:fill="auto"/>
            <w:noWrap/>
            <w:vAlign w:val="center"/>
          </w:tcPr>
          <w:p w14:paraId="5F232362" w14:textId="77777777" w:rsidR="00C532B4" w:rsidRPr="00C951C9" w:rsidRDefault="00C532B4" w:rsidP="000F517C">
            <w:pPr>
              <w:rPr>
                <w:rFonts w:cs="Arial"/>
                <w:bCs/>
                <w:sz w:val="20"/>
                <w:lang w:val="en-AU"/>
              </w:rPr>
            </w:pPr>
            <w:r w:rsidRPr="00C951C9">
              <w:rPr>
                <w:rFonts w:cs="Arial"/>
                <w:bCs/>
                <w:sz w:val="20"/>
                <w:lang w:val="en-AU"/>
              </w:rPr>
              <w:t>Average of blank readings</w:t>
            </w:r>
          </w:p>
        </w:tc>
        <w:tc>
          <w:tcPr>
            <w:tcW w:w="728" w:type="pct"/>
            <w:shd w:val="clear" w:color="auto" w:fill="auto"/>
            <w:noWrap/>
            <w:vAlign w:val="center"/>
          </w:tcPr>
          <w:p w14:paraId="5F232363" w14:textId="77777777" w:rsidR="00C532B4" w:rsidRPr="00C951C9" w:rsidRDefault="00C532B4" w:rsidP="000F517C">
            <w:pPr>
              <w:jc w:val="center"/>
              <w:rPr>
                <w:rFonts w:cs="Arial"/>
                <w:sz w:val="20"/>
                <w:lang w:val="en-AU" w:eastAsia="ja-JP"/>
              </w:rPr>
            </w:pPr>
            <w:r w:rsidRPr="00C951C9">
              <w:rPr>
                <w:rFonts w:cs="Arial"/>
                <w:sz w:val="20"/>
                <w:lang w:val="en-AU" w:eastAsia="ja-JP"/>
              </w:rPr>
              <w:t>0.003</w:t>
            </w:r>
          </w:p>
        </w:tc>
        <w:tc>
          <w:tcPr>
            <w:tcW w:w="684" w:type="pct"/>
            <w:shd w:val="clear" w:color="auto" w:fill="auto"/>
            <w:vAlign w:val="center"/>
          </w:tcPr>
          <w:p w14:paraId="5F232364" w14:textId="77777777" w:rsidR="00C532B4" w:rsidRPr="00C951C9" w:rsidRDefault="00C532B4" w:rsidP="000F517C">
            <w:pPr>
              <w:jc w:val="center"/>
              <w:rPr>
                <w:rFonts w:cs="Arial"/>
                <w:sz w:val="20"/>
                <w:lang w:val="en-AU" w:eastAsia="ja-JP"/>
              </w:rPr>
            </w:pPr>
            <w:r w:rsidRPr="00C951C9">
              <w:rPr>
                <w:rFonts w:cs="Arial"/>
                <w:sz w:val="20"/>
                <w:lang w:val="en-AU" w:eastAsia="ja-JP"/>
              </w:rPr>
              <w:t>0.71</w:t>
            </w:r>
          </w:p>
        </w:tc>
        <w:tc>
          <w:tcPr>
            <w:tcW w:w="703" w:type="pct"/>
            <w:shd w:val="clear" w:color="auto" w:fill="auto"/>
            <w:vAlign w:val="center"/>
          </w:tcPr>
          <w:p w14:paraId="5F232365" w14:textId="77777777" w:rsidR="00C532B4" w:rsidRPr="00C951C9" w:rsidRDefault="00C532B4" w:rsidP="000F517C">
            <w:pPr>
              <w:jc w:val="center"/>
              <w:rPr>
                <w:rFonts w:cs="Arial"/>
                <w:sz w:val="20"/>
                <w:lang w:val="en-AU" w:eastAsia="ja-JP"/>
              </w:rPr>
            </w:pPr>
            <w:r w:rsidRPr="00C951C9">
              <w:rPr>
                <w:rFonts w:cs="Arial"/>
                <w:sz w:val="20"/>
                <w:lang w:val="en-AU" w:eastAsia="ja-JP"/>
              </w:rPr>
              <w:t>0.004</w:t>
            </w:r>
          </w:p>
        </w:tc>
        <w:tc>
          <w:tcPr>
            <w:tcW w:w="703" w:type="pct"/>
            <w:shd w:val="clear" w:color="auto" w:fill="auto"/>
            <w:vAlign w:val="center"/>
          </w:tcPr>
          <w:p w14:paraId="5F232366" w14:textId="77777777" w:rsidR="00C532B4" w:rsidRPr="00C951C9" w:rsidRDefault="00C532B4" w:rsidP="000F517C">
            <w:pPr>
              <w:jc w:val="center"/>
              <w:rPr>
                <w:rFonts w:cs="Arial"/>
                <w:sz w:val="20"/>
                <w:lang w:val="en-AU" w:eastAsia="ja-JP"/>
              </w:rPr>
            </w:pPr>
            <w:r w:rsidRPr="00C951C9">
              <w:rPr>
                <w:rFonts w:cs="Arial"/>
                <w:sz w:val="20"/>
                <w:lang w:val="en-AU" w:eastAsia="ja-JP"/>
              </w:rPr>
              <w:t>0.10</w:t>
            </w:r>
          </w:p>
        </w:tc>
        <w:tc>
          <w:tcPr>
            <w:tcW w:w="701" w:type="pct"/>
            <w:shd w:val="clear" w:color="auto" w:fill="auto"/>
            <w:vAlign w:val="center"/>
          </w:tcPr>
          <w:p w14:paraId="5F232367" w14:textId="77777777" w:rsidR="00C532B4" w:rsidRPr="00C951C9" w:rsidRDefault="00C532B4" w:rsidP="000F517C">
            <w:pPr>
              <w:jc w:val="center"/>
              <w:rPr>
                <w:rFonts w:cs="Arial"/>
                <w:sz w:val="20"/>
                <w:lang w:val="en-AU" w:eastAsia="ja-JP"/>
              </w:rPr>
            </w:pPr>
            <w:r w:rsidRPr="00C951C9">
              <w:rPr>
                <w:rFonts w:cs="Arial"/>
                <w:sz w:val="20"/>
                <w:lang w:val="en-AU" w:eastAsia="ja-JP"/>
              </w:rPr>
              <w:t>5.51</w:t>
            </w:r>
          </w:p>
        </w:tc>
      </w:tr>
      <w:tr w:rsidR="00C532B4" w:rsidRPr="00C951C9" w14:paraId="5F23236F" w14:textId="77777777" w:rsidTr="00C951C9">
        <w:trPr>
          <w:trHeight w:val="255"/>
          <w:jc w:val="center"/>
        </w:trPr>
        <w:tc>
          <w:tcPr>
            <w:tcW w:w="1481" w:type="pct"/>
            <w:shd w:val="clear" w:color="auto" w:fill="auto"/>
            <w:noWrap/>
            <w:vAlign w:val="center"/>
          </w:tcPr>
          <w:p w14:paraId="5F232369" w14:textId="77777777" w:rsidR="00C532B4" w:rsidRPr="00C951C9" w:rsidRDefault="00C532B4" w:rsidP="000F517C">
            <w:pPr>
              <w:rPr>
                <w:rFonts w:cs="Arial"/>
                <w:bCs/>
                <w:sz w:val="20"/>
                <w:lang w:val="en-AU"/>
              </w:rPr>
            </w:pPr>
            <w:r w:rsidRPr="00C951C9">
              <w:rPr>
                <w:rFonts w:cs="Arial"/>
                <w:bCs/>
                <w:sz w:val="20"/>
                <w:lang w:val="en-AU"/>
              </w:rPr>
              <w:t>N of blank readings</w:t>
            </w:r>
          </w:p>
        </w:tc>
        <w:tc>
          <w:tcPr>
            <w:tcW w:w="728" w:type="pct"/>
            <w:shd w:val="clear" w:color="auto" w:fill="auto"/>
            <w:noWrap/>
            <w:vAlign w:val="center"/>
          </w:tcPr>
          <w:p w14:paraId="5F23236A" w14:textId="77777777" w:rsidR="00C532B4" w:rsidRPr="00C951C9" w:rsidRDefault="00C532B4" w:rsidP="000F517C">
            <w:pPr>
              <w:jc w:val="center"/>
              <w:rPr>
                <w:rFonts w:cs="Arial"/>
                <w:sz w:val="20"/>
                <w:lang w:val="en-AU" w:eastAsia="ja-JP"/>
              </w:rPr>
            </w:pPr>
            <w:r w:rsidRPr="00C951C9">
              <w:rPr>
                <w:rFonts w:cs="Arial"/>
                <w:sz w:val="20"/>
                <w:lang w:val="en-AU" w:eastAsia="ja-JP"/>
              </w:rPr>
              <w:t>40</w:t>
            </w:r>
          </w:p>
        </w:tc>
        <w:tc>
          <w:tcPr>
            <w:tcW w:w="684" w:type="pct"/>
            <w:shd w:val="clear" w:color="auto" w:fill="auto"/>
            <w:vAlign w:val="center"/>
          </w:tcPr>
          <w:p w14:paraId="5F23236B" w14:textId="77777777" w:rsidR="00C532B4" w:rsidRPr="00C951C9" w:rsidRDefault="00C532B4" w:rsidP="000F517C">
            <w:pPr>
              <w:jc w:val="center"/>
              <w:rPr>
                <w:rFonts w:cs="Arial"/>
                <w:sz w:val="20"/>
                <w:lang w:val="en-AU" w:eastAsia="ja-JP"/>
              </w:rPr>
            </w:pPr>
            <w:r w:rsidRPr="00C951C9">
              <w:rPr>
                <w:rFonts w:cs="Arial"/>
                <w:sz w:val="20"/>
                <w:lang w:val="en-AU" w:eastAsia="ja-JP"/>
              </w:rPr>
              <w:t>70</w:t>
            </w:r>
          </w:p>
        </w:tc>
        <w:tc>
          <w:tcPr>
            <w:tcW w:w="703" w:type="pct"/>
            <w:shd w:val="clear" w:color="auto" w:fill="auto"/>
            <w:vAlign w:val="center"/>
          </w:tcPr>
          <w:p w14:paraId="5F23236C" w14:textId="77777777" w:rsidR="00C532B4" w:rsidRPr="00C951C9" w:rsidRDefault="00C532B4" w:rsidP="000F517C">
            <w:pPr>
              <w:jc w:val="center"/>
              <w:rPr>
                <w:rFonts w:cs="Arial"/>
                <w:sz w:val="20"/>
                <w:lang w:val="en-AU" w:eastAsia="ja-JP"/>
              </w:rPr>
            </w:pPr>
            <w:r w:rsidRPr="00C951C9">
              <w:rPr>
                <w:rFonts w:cs="Arial"/>
                <w:sz w:val="20"/>
                <w:lang w:val="en-AU" w:eastAsia="ja-JP"/>
              </w:rPr>
              <w:t>51</w:t>
            </w:r>
          </w:p>
        </w:tc>
        <w:tc>
          <w:tcPr>
            <w:tcW w:w="703" w:type="pct"/>
            <w:shd w:val="clear" w:color="auto" w:fill="auto"/>
            <w:vAlign w:val="center"/>
          </w:tcPr>
          <w:p w14:paraId="5F23236D" w14:textId="77777777" w:rsidR="00C532B4" w:rsidRPr="00C951C9" w:rsidRDefault="00C532B4" w:rsidP="000F517C">
            <w:pPr>
              <w:jc w:val="center"/>
              <w:rPr>
                <w:rFonts w:cs="Arial"/>
                <w:sz w:val="20"/>
                <w:lang w:val="en-AU" w:eastAsia="ja-JP"/>
              </w:rPr>
            </w:pPr>
            <w:r w:rsidRPr="00C951C9">
              <w:rPr>
                <w:rFonts w:cs="Arial"/>
                <w:sz w:val="20"/>
                <w:lang w:val="en-AU" w:eastAsia="ja-JP"/>
              </w:rPr>
              <w:t>32</w:t>
            </w:r>
          </w:p>
        </w:tc>
        <w:tc>
          <w:tcPr>
            <w:tcW w:w="701" w:type="pct"/>
            <w:shd w:val="clear" w:color="auto" w:fill="auto"/>
            <w:vAlign w:val="center"/>
          </w:tcPr>
          <w:p w14:paraId="5F23236E" w14:textId="77777777" w:rsidR="00C532B4" w:rsidRPr="00C951C9" w:rsidRDefault="00C532B4" w:rsidP="000F517C">
            <w:pPr>
              <w:jc w:val="center"/>
              <w:rPr>
                <w:rFonts w:cs="Arial"/>
                <w:sz w:val="20"/>
                <w:lang w:val="en-AU" w:eastAsia="ja-JP"/>
              </w:rPr>
            </w:pPr>
            <w:r w:rsidRPr="00C951C9">
              <w:rPr>
                <w:rFonts w:cs="Arial"/>
                <w:sz w:val="20"/>
                <w:lang w:val="en-AU" w:eastAsia="ja-JP"/>
              </w:rPr>
              <w:t>70</w:t>
            </w:r>
          </w:p>
        </w:tc>
      </w:tr>
      <w:tr w:rsidR="00C532B4" w:rsidRPr="00C951C9" w14:paraId="5F232376" w14:textId="77777777" w:rsidTr="00C951C9">
        <w:trPr>
          <w:trHeight w:val="255"/>
          <w:jc w:val="center"/>
        </w:trPr>
        <w:tc>
          <w:tcPr>
            <w:tcW w:w="1481" w:type="pct"/>
            <w:shd w:val="clear" w:color="auto" w:fill="auto"/>
            <w:noWrap/>
            <w:vAlign w:val="center"/>
          </w:tcPr>
          <w:p w14:paraId="5F232370" w14:textId="77777777" w:rsidR="00C532B4" w:rsidRPr="00C951C9" w:rsidRDefault="00C532B4" w:rsidP="000F517C">
            <w:pPr>
              <w:rPr>
                <w:rFonts w:cs="Arial"/>
                <w:bCs/>
                <w:sz w:val="20"/>
                <w:lang w:val="en-AU"/>
              </w:rPr>
            </w:pPr>
            <w:r w:rsidRPr="00C951C9">
              <w:rPr>
                <w:rFonts w:cs="Arial"/>
                <w:bCs/>
                <w:sz w:val="20"/>
                <w:lang w:val="en-AU"/>
              </w:rPr>
              <w:t>Average of sample readings</w:t>
            </w:r>
          </w:p>
        </w:tc>
        <w:tc>
          <w:tcPr>
            <w:tcW w:w="728" w:type="pct"/>
            <w:shd w:val="clear" w:color="auto" w:fill="auto"/>
            <w:noWrap/>
            <w:vAlign w:val="center"/>
          </w:tcPr>
          <w:p w14:paraId="5F232371" w14:textId="77777777" w:rsidR="00C532B4" w:rsidRPr="00C951C9" w:rsidRDefault="00C532B4" w:rsidP="000F517C">
            <w:pPr>
              <w:jc w:val="center"/>
              <w:rPr>
                <w:rFonts w:cs="Arial"/>
                <w:sz w:val="20"/>
                <w:lang w:val="en-AU" w:eastAsia="ja-JP"/>
              </w:rPr>
            </w:pPr>
            <w:r w:rsidRPr="00C951C9">
              <w:rPr>
                <w:rFonts w:cs="Arial"/>
                <w:sz w:val="20"/>
                <w:lang w:val="en-AU" w:eastAsia="ja-JP"/>
              </w:rPr>
              <w:t>0.100</w:t>
            </w:r>
          </w:p>
        </w:tc>
        <w:tc>
          <w:tcPr>
            <w:tcW w:w="684" w:type="pct"/>
            <w:shd w:val="clear" w:color="auto" w:fill="auto"/>
            <w:vAlign w:val="center"/>
          </w:tcPr>
          <w:p w14:paraId="5F232372" w14:textId="77777777" w:rsidR="00C532B4" w:rsidRPr="00C951C9" w:rsidRDefault="00C532B4" w:rsidP="000F517C">
            <w:pPr>
              <w:jc w:val="center"/>
              <w:rPr>
                <w:rFonts w:cs="Arial"/>
                <w:sz w:val="20"/>
                <w:lang w:val="en-AU" w:eastAsia="ja-JP"/>
              </w:rPr>
            </w:pPr>
            <w:r w:rsidRPr="00C951C9">
              <w:rPr>
                <w:rFonts w:cs="Arial"/>
                <w:sz w:val="20"/>
                <w:lang w:val="en-AU" w:eastAsia="ja-JP"/>
              </w:rPr>
              <w:t>5.61</w:t>
            </w:r>
          </w:p>
        </w:tc>
        <w:tc>
          <w:tcPr>
            <w:tcW w:w="703" w:type="pct"/>
            <w:shd w:val="clear" w:color="auto" w:fill="auto"/>
            <w:vAlign w:val="center"/>
          </w:tcPr>
          <w:p w14:paraId="5F232373" w14:textId="77777777" w:rsidR="00C532B4" w:rsidRPr="00C951C9" w:rsidRDefault="00C532B4" w:rsidP="000F517C">
            <w:pPr>
              <w:jc w:val="center"/>
              <w:rPr>
                <w:rFonts w:cs="Arial"/>
                <w:sz w:val="20"/>
                <w:lang w:val="en-AU" w:eastAsia="ja-JP"/>
              </w:rPr>
            </w:pPr>
            <w:r w:rsidRPr="00C951C9">
              <w:rPr>
                <w:rFonts w:cs="Arial"/>
                <w:sz w:val="20"/>
                <w:lang w:val="en-AU" w:eastAsia="ja-JP"/>
              </w:rPr>
              <w:t>0.52</w:t>
            </w:r>
          </w:p>
        </w:tc>
        <w:tc>
          <w:tcPr>
            <w:tcW w:w="703" w:type="pct"/>
            <w:shd w:val="clear" w:color="auto" w:fill="auto"/>
            <w:vAlign w:val="center"/>
          </w:tcPr>
          <w:p w14:paraId="5F232374" w14:textId="77777777" w:rsidR="00C532B4" w:rsidRPr="00C951C9" w:rsidRDefault="00C532B4" w:rsidP="000F517C">
            <w:pPr>
              <w:jc w:val="center"/>
              <w:rPr>
                <w:rFonts w:cs="Arial"/>
                <w:sz w:val="20"/>
                <w:lang w:val="en-AU" w:eastAsia="ja-JP"/>
              </w:rPr>
            </w:pPr>
            <w:r w:rsidRPr="00C951C9">
              <w:rPr>
                <w:rFonts w:cs="Arial"/>
                <w:sz w:val="20"/>
                <w:lang w:val="en-AU" w:eastAsia="ja-JP"/>
              </w:rPr>
              <w:t>2.39</w:t>
            </w:r>
          </w:p>
        </w:tc>
        <w:tc>
          <w:tcPr>
            <w:tcW w:w="701" w:type="pct"/>
            <w:shd w:val="clear" w:color="auto" w:fill="auto"/>
            <w:vAlign w:val="center"/>
          </w:tcPr>
          <w:p w14:paraId="5F232375" w14:textId="77777777" w:rsidR="00C532B4" w:rsidRPr="00C951C9" w:rsidRDefault="00C532B4" w:rsidP="000F517C">
            <w:pPr>
              <w:jc w:val="center"/>
              <w:rPr>
                <w:rFonts w:cs="Arial"/>
                <w:sz w:val="20"/>
                <w:lang w:val="en-AU" w:eastAsia="ja-JP"/>
              </w:rPr>
            </w:pPr>
            <w:r w:rsidRPr="00C951C9">
              <w:rPr>
                <w:rFonts w:cs="Arial"/>
                <w:sz w:val="20"/>
                <w:lang w:val="en-AU" w:eastAsia="ja-JP"/>
              </w:rPr>
              <w:t>44.31</w:t>
            </w:r>
          </w:p>
        </w:tc>
      </w:tr>
      <w:tr w:rsidR="00C532B4" w:rsidRPr="00C951C9" w14:paraId="5F23237D" w14:textId="77777777" w:rsidTr="00C951C9">
        <w:trPr>
          <w:trHeight w:val="255"/>
          <w:jc w:val="center"/>
        </w:trPr>
        <w:tc>
          <w:tcPr>
            <w:tcW w:w="1481" w:type="pct"/>
            <w:shd w:val="clear" w:color="auto" w:fill="auto"/>
            <w:noWrap/>
            <w:vAlign w:val="center"/>
          </w:tcPr>
          <w:p w14:paraId="5F232377" w14:textId="77777777" w:rsidR="00C532B4" w:rsidRPr="00C951C9" w:rsidRDefault="00C532B4" w:rsidP="000F517C">
            <w:pPr>
              <w:rPr>
                <w:rFonts w:cs="Arial"/>
                <w:sz w:val="20"/>
                <w:lang w:val="en-AU"/>
              </w:rPr>
            </w:pPr>
            <w:r w:rsidRPr="00C951C9">
              <w:rPr>
                <w:rFonts w:cs="Arial"/>
                <w:sz w:val="20"/>
                <w:lang w:val="en-AU"/>
              </w:rPr>
              <w:t>N of sample readings</w:t>
            </w:r>
          </w:p>
        </w:tc>
        <w:tc>
          <w:tcPr>
            <w:tcW w:w="728" w:type="pct"/>
            <w:shd w:val="clear" w:color="auto" w:fill="auto"/>
            <w:noWrap/>
            <w:vAlign w:val="center"/>
          </w:tcPr>
          <w:p w14:paraId="5F232378" w14:textId="77777777" w:rsidR="00C532B4" w:rsidRPr="00C951C9" w:rsidRDefault="00C532B4" w:rsidP="000F517C">
            <w:pPr>
              <w:jc w:val="center"/>
              <w:rPr>
                <w:rFonts w:cs="Arial"/>
                <w:sz w:val="20"/>
                <w:lang w:val="en-AU" w:eastAsia="ja-JP"/>
              </w:rPr>
            </w:pPr>
            <w:r w:rsidRPr="00C951C9">
              <w:rPr>
                <w:rFonts w:cs="Arial"/>
                <w:sz w:val="20"/>
                <w:lang w:val="en-AU" w:eastAsia="ja-JP"/>
              </w:rPr>
              <w:t>477</w:t>
            </w:r>
          </w:p>
        </w:tc>
        <w:tc>
          <w:tcPr>
            <w:tcW w:w="684" w:type="pct"/>
            <w:shd w:val="clear" w:color="auto" w:fill="auto"/>
            <w:vAlign w:val="center"/>
          </w:tcPr>
          <w:p w14:paraId="5F232379" w14:textId="77777777" w:rsidR="00C532B4" w:rsidRPr="00C951C9" w:rsidRDefault="00C532B4" w:rsidP="000F517C">
            <w:pPr>
              <w:jc w:val="center"/>
              <w:rPr>
                <w:rFonts w:cs="Arial"/>
                <w:sz w:val="20"/>
                <w:lang w:val="en-AU" w:eastAsia="ja-JP"/>
              </w:rPr>
            </w:pPr>
            <w:r w:rsidRPr="00C951C9">
              <w:rPr>
                <w:rFonts w:cs="Arial"/>
                <w:sz w:val="20"/>
                <w:lang w:val="en-AU" w:eastAsia="ja-JP"/>
              </w:rPr>
              <w:t>488</w:t>
            </w:r>
          </w:p>
        </w:tc>
        <w:tc>
          <w:tcPr>
            <w:tcW w:w="703" w:type="pct"/>
            <w:shd w:val="clear" w:color="auto" w:fill="auto"/>
            <w:vAlign w:val="center"/>
          </w:tcPr>
          <w:p w14:paraId="5F23237A" w14:textId="77777777" w:rsidR="00C532B4" w:rsidRPr="00C951C9" w:rsidRDefault="00C532B4" w:rsidP="000F517C">
            <w:pPr>
              <w:jc w:val="center"/>
              <w:rPr>
                <w:rFonts w:cs="Arial"/>
                <w:sz w:val="20"/>
                <w:lang w:val="en-AU" w:eastAsia="ja-JP"/>
              </w:rPr>
            </w:pPr>
            <w:r w:rsidRPr="00C951C9">
              <w:rPr>
                <w:rFonts w:cs="Arial"/>
                <w:sz w:val="20"/>
                <w:lang w:val="en-AU" w:eastAsia="ja-JP"/>
              </w:rPr>
              <w:t>535</w:t>
            </w:r>
          </w:p>
        </w:tc>
        <w:tc>
          <w:tcPr>
            <w:tcW w:w="703" w:type="pct"/>
            <w:shd w:val="clear" w:color="auto" w:fill="auto"/>
            <w:vAlign w:val="center"/>
          </w:tcPr>
          <w:p w14:paraId="5F23237B" w14:textId="77777777" w:rsidR="00C532B4" w:rsidRPr="00C951C9" w:rsidRDefault="00C532B4" w:rsidP="000F517C">
            <w:pPr>
              <w:jc w:val="center"/>
              <w:rPr>
                <w:rFonts w:cs="Arial"/>
                <w:sz w:val="20"/>
                <w:lang w:val="en-AU" w:eastAsia="ja-JP"/>
              </w:rPr>
            </w:pPr>
            <w:r w:rsidRPr="00C951C9">
              <w:rPr>
                <w:rFonts w:cs="Arial"/>
                <w:sz w:val="20"/>
                <w:lang w:val="en-AU" w:eastAsia="ja-JP"/>
              </w:rPr>
              <w:t>460</w:t>
            </w:r>
          </w:p>
        </w:tc>
        <w:tc>
          <w:tcPr>
            <w:tcW w:w="701" w:type="pct"/>
            <w:shd w:val="clear" w:color="auto" w:fill="auto"/>
            <w:vAlign w:val="center"/>
          </w:tcPr>
          <w:p w14:paraId="5F23237C" w14:textId="77777777" w:rsidR="00C532B4" w:rsidRPr="00C951C9" w:rsidRDefault="00C532B4" w:rsidP="000F517C">
            <w:pPr>
              <w:jc w:val="center"/>
              <w:rPr>
                <w:rFonts w:cs="Arial"/>
                <w:sz w:val="20"/>
                <w:lang w:val="en-AU" w:eastAsia="ja-JP"/>
              </w:rPr>
            </w:pPr>
            <w:r w:rsidRPr="00C951C9">
              <w:rPr>
                <w:rFonts w:cs="Arial"/>
                <w:sz w:val="20"/>
                <w:lang w:val="en-AU" w:eastAsia="ja-JP"/>
              </w:rPr>
              <w:t>487</w:t>
            </w:r>
          </w:p>
        </w:tc>
      </w:tr>
      <w:tr w:rsidR="00C532B4" w:rsidRPr="00C951C9" w14:paraId="5F232384" w14:textId="77777777" w:rsidTr="00C951C9">
        <w:trPr>
          <w:trHeight w:val="255"/>
          <w:jc w:val="center"/>
        </w:trPr>
        <w:tc>
          <w:tcPr>
            <w:tcW w:w="1481" w:type="pct"/>
            <w:shd w:val="clear" w:color="auto" w:fill="auto"/>
            <w:noWrap/>
            <w:vAlign w:val="center"/>
          </w:tcPr>
          <w:p w14:paraId="5F23237E" w14:textId="77777777" w:rsidR="00C532B4" w:rsidRPr="00C951C9" w:rsidRDefault="00C532B4" w:rsidP="000F517C">
            <w:pPr>
              <w:rPr>
                <w:rFonts w:cs="Arial"/>
                <w:bCs/>
                <w:sz w:val="20"/>
                <w:lang w:val="en-AU"/>
              </w:rPr>
            </w:pPr>
            <w:r w:rsidRPr="00C951C9">
              <w:rPr>
                <w:rFonts w:cs="Arial"/>
                <w:bCs/>
                <w:sz w:val="20"/>
                <w:lang w:val="en-AU"/>
              </w:rPr>
              <w:t>Average of blanks as % of average sample readings</w:t>
            </w:r>
          </w:p>
        </w:tc>
        <w:tc>
          <w:tcPr>
            <w:tcW w:w="728" w:type="pct"/>
            <w:shd w:val="clear" w:color="auto" w:fill="auto"/>
            <w:noWrap/>
            <w:vAlign w:val="center"/>
          </w:tcPr>
          <w:p w14:paraId="5F23237F" w14:textId="77777777" w:rsidR="00C532B4" w:rsidRPr="00C951C9" w:rsidRDefault="00C532B4" w:rsidP="000F517C">
            <w:pPr>
              <w:jc w:val="center"/>
              <w:rPr>
                <w:rFonts w:cs="Arial"/>
                <w:sz w:val="20"/>
                <w:lang w:val="en-AU"/>
              </w:rPr>
            </w:pPr>
            <w:r w:rsidRPr="00C951C9">
              <w:rPr>
                <w:rFonts w:cs="Arial"/>
                <w:sz w:val="20"/>
                <w:lang w:val="en-AU"/>
              </w:rPr>
              <w:t>2.98%</w:t>
            </w:r>
          </w:p>
        </w:tc>
        <w:tc>
          <w:tcPr>
            <w:tcW w:w="684" w:type="pct"/>
            <w:shd w:val="clear" w:color="auto" w:fill="auto"/>
            <w:vAlign w:val="center"/>
          </w:tcPr>
          <w:p w14:paraId="5F232380" w14:textId="77777777" w:rsidR="00C532B4" w:rsidRPr="00C951C9" w:rsidRDefault="00C532B4" w:rsidP="000F517C">
            <w:pPr>
              <w:jc w:val="center"/>
              <w:rPr>
                <w:rFonts w:cs="Arial"/>
                <w:sz w:val="20"/>
                <w:lang w:val="en-AU"/>
              </w:rPr>
            </w:pPr>
            <w:r w:rsidRPr="00C951C9">
              <w:rPr>
                <w:rFonts w:cs="Arial"/>
                <w:sz w:val="20"/>
                <w:lang w:val="en-AU"/>
              </w:rPr>
              <w:t>12.58%</w:t>
            </w:r>
          </w:p>
        </w:tc>
        <w:tc>
          <w:tcPr>
            <w:tcW w:w="703" w:type="pct"/>
            <w:shd w:val="clear" w:color="auto" w:fill="auto"/>
            <w:vAlign w:val="center"/>
          </w:tcPr>
          <w:p w14:paraId="5F232381" w14:textId="77777777" w:rsidR="00C532B4" w:rsidRPr="00C951C9" w:rsidRDefault="00C532B4" w:rsidP="000F517C">
            <w:pPr>
              <w:jc w:val="center"/>
              <w:rPr>
                <w:rFonts w:cs="Arial"/>
                <w:sz w:val="20"/>
                <w:lang w:val="en-AU"/>
              </w:rPr>
            </w:pPr>
            <w:r w:rsidRPr="00C951C9">
              <w:rPr>
                <w:rFonts w:cs="Arial"/>
                <w:sz w:val="20"/>
                <w:lang w:val="en-AU"/>
              </w:rPr>
              <w:t>0.76%</w:t>
            </w:r>
          </w:p>
        </w:tc>
        <w:tc>
          <w:tcPr>
            <w:tcW w:w="703" w:type="pct"/>
            <w:shd w:val="clear" w:color="auto" w:fill="auto"/>
            <w:vAlign w:val="center"/>
          </w:tcPr>
          <w:p w14:paraId="5F232382" w14:textId="77777777" w:rsidR="00C532B4" w:rsidRPr="00C951C9" w:rsidRDefault="00C532B4" w:rsidP="000F517C">
            <w:pPr>
              <w:jc w:val="center"/>
              <w:rPr>
                <w:rFonts w:cs="Arial"/>
                <w:sz w:val="20"/>
                <w:lang w:val="en-AU"/>
              </w:rPr>
            </w:pPr>
            <w:r w:rsidRPr="00C951C9">
              <w:rPr>
                <w:rFonts w:cs="Arial"/>
                <w:sz w:val="20"/>
                <w:lang w:val="en-AU"/>
              </w:rPr>
              <w:t>4.3%</w:t>
            </w:r>
          </w:p>
        </w:tc>
        <w:tc>
          <w:tcPr>
            <w:tcW w:w="701" w:type="pct"/>
            <w:shd w:val="clear" w:color="auto" w:fill="auto"/>
            <w:vAlign w:val="center"/>
          </w:tcPr>
          <w:p w14:paraId="5F232383" w14:textId="77777777" w:rsidR="00C532B4" w:rsidRPr="00C951C9" w:rsidRDefault="00C532B4" w:rsidP="000F517C">
            <w:pPr>
              <w:jc w:val="center"/>
              <w:rPr>
                <w:rFonts w:cs="Arial"/>
                <w:sz w:val="20"/>
                <w:lang w:val="en-AU"/>
              </w:rPr>
            </w:pPr>
            <w:r w:rsidRPr="00C951C9">
              <w:rPr>
                <w:rFonts w:cs="Arial"/>
                <w:sz w:val="20"/>
                <w:lang w:val="en-AU"/>
              </w:rPr>
              <w:t>12.4%</w:t>
            </w:r>
          </w:p>
        </w:tc>
      </w:tr>
    </w:tbl>
    <w:p w14:paraId="5F232385" w14:textId="77777777" w:rsidR="00C532B4" w:rsidRPr="000F3970" w:rsidRDefault="00C532B4" w:rsidP="00C532B4">
      <w:pPr>
        <w:rPr>
          <w:b/>
          <w:i/>
          <w:sz w:val="24"/>
          <w:szCs w:val="24"/>
          <w:lang w:val="en-AU"/>
        </w:rPr>
      </w:pPr>
    </w:p>
    <w:p w14:paraId="5F232386" w14:textId="77777777" w:rsidR="00C532B4" w:rsidRDefault="00C532B4" w:rsidP="00C532B4">
      <w:pPr>
        <w:rPr>
          <w:b/>
          <w:i/>
          <w:sz w:val="24"/>
          <w:szCs w:val="24"/>
          <w:lang w:val="en-AU"/>
        </w:rPr>
      </w:pPr>
      <w:r w:rsidRPr="000F3970">
        <w:rPr>
          <w:b/>
          <w:i/>
          <w:sz w:val="24"/>
          <w:szCs w:val="24"/>
          <w:lang w:val="en-AU"/>
        </w:rPr>
        <w:t>Validation by alternative methods</w:t>
      </w:r>
      <w:bookmarkEnd w:id="1655"/>
      <w:bookmarkEnd w:id="1656"/>
    </w:p>
    <w:p w14:paraId="61F276C9" w14:textId="77777777" w:rsidR="005C54B4" w:rsidRPr="000F3970" w:rsidRDefault="005C54B4" w:rsidP="00C532B4">
      <w:pPr>
        <w:rPr>
          <w:b/>
          <w:i/>
          <w:sz w:val="24"/>
          <w:szCs w:val="24"/>
          <w:lang w:val="en-AU"/>
        </w:rPr>
      </w:pPr>
    </w:p>
    <w:p w14:paraId="5F232388" w14:textId="77777777" w:rsidR="00C532B4" w:rsidRPr="000F3970" w:rsidRDefault="00C532B4" w:rsidP="004A5BF7">
      <w:pPr>
        <w:pStyle w:val="Heading7"/>
        <w:numPr>
          <w:ilvl w:val="0"/>
          <w:numId w:val="0"/>
        </w:numPr>
      </w:pPr>
      <w:bookmarkStart w:id="1734" w:name="_Toc334990063"/>
      <w:bookmarkStart w:id="1735" w:name="_Toc334990266"/>
      <w:bookmarkStart w:id="1736" w:name="_Toc374707579"/>
      <w:bookmarkStart w:id="1737" w:name="_Toc393133610"/>
      <w:bookmarkStart w:id="1738" w:name="_Toc406143776"/>
      <w:bookmarkStart w:id="1739" w:name="_Toc435775375"/>
      <w:r w:rsidRPr="000F3970">
        <w:t>Validation of ECO FLNTUSB instrument data</w:t>
      </w:r>
      <w:bookmarkEnd w:id="1734"/>
      <w:bookmarkEnd w:id="1735"/>
      <w:bookmarkEnd w:id="1736"/>
      <w:bookmarkEnd w:id="1737"/>
      <w:bookmarkEnd w:id="1738"/>
      <w:bookmarkEnd w:id="1739"/>
    </w:p>
    <w:p w14:paraId="5F232389" w14:textId="77777777" w:rsidR="00C532B4" w:rsidRPr="000F3970" w:rsidRDefault="00C532B4" w:rsidP="00C532B4">
      <w:pPr>
        <w:rPr>
          <w:lang w:val="en-AU"/>
        </w:rPr>
      </w:pPr>
      <w:r w:rsidRPr="000F3970">
        <w:rPr>
          <w:lang w:val="en-AU"/>
        </w:rPr>
        <w:t xml:space="preserve">Direct water samples were collected and analysed (see Appendix 1- Materials and Methods for details) for comparison to instrument data acquired at the time of manual sampling. </w:t>
      </w:r>
    </w:p>
    <w:p w14:paraId="5F23238A" w14:textId="3D551B84" w:rsidR="00C532B4" w:rsidRPr="000F3970" w:rsidRDefault="00C532B4" w:rsidP="00C532B4">
      <w:pPr>
        <w:autoSpaceDE w:val="0"/>
        <w:autoSpaceDN w:val="0"/>
        <w:adjustRightInd w:val="0"/>
        <w:rPr>
          <w:lang w:val="en-AU"/>
        </w:rPr>
      </w:pPr>
      <w:r w:rsidRPr="000F3970">
        <w:rPr>
          <w:bCs/>
          <w:lang w:val="en-AU"/>
        </w:rPr>
        <w:t>Turbidity was validated against suspended solids concentrations in the water column. While t</w:t>
      </w:r>
      <w:r w:rsidRPr="000F3970">
        <w:rPr>
          <w:rFonts w:cs="Arial"/>
          <w:lang w:val="en-AU"/>
        </w:rPr>
        <w:t xml:space="preserve">he turbidity loggers measure the total light absorption and scattering, suspended solids </w:t>
      </w:r>
      <w:r w:rsidR="0052751F" w:rsidRPr="000F3970">
        <w:rPr>
          <w:rFonts w:cs="Arial"/>
          <w:lang w:val="en-AU"/>
        </w:rPr>
        <w:t xml:space="preserve">are </w:t>
      </w:r>
      <w:r w:rsidRPr="000F3970">
        <w:rPr>
          <w:rFonts w:cs="Arial"/>
          <w:lang w:val="en-AU"/>
        </w:rPr>
        <w:t xml:space="preserve">a measure of the particle dry mass on a filter (0.4 µm pore-size). </w:t>
      </w:r>
      <w:r w:rsidRPr="000F3970">
        <w:rPr>
          <w:lang w:val="en-AU"/>
        </w:rPr>
        <w:t>The relationship between optically measured turbidity and total suspended solids analysed on filters was good (</w:t>
      </w:r>
      <w:r w:rsidR="00C951C9">
        <w:rPr>
          <w:lang w:val="en-AU"/>
        </w:rPr>
        <w:t>Figure A3-</w:t>
      </w:r>
      <w:r w:rsidR="006F728D">
        <w:rPr>
          <w:lang w:val="en-AU"/>
        </w:rPr>
        <w:t>1)</w:t>
      </w:r>
      <w:r w:rsidRPr="000F3970">
        <w:rPr>
          <w:lang w:val="en-AU"/>
        </w:rPr>
        <w:t>, and the linear equation [</w:t>
      </w:r>
      <w:r w:rsidR="00A107D0" w:rsidRPr="000F3970">
        <w:rPr>
          <w:lang w:val="en-AU"/>
        </w:rPr>
        <w:t>T</w:t>
      </w:r>
      <w:r w:rsidRPr="000F3970">
        <w:rPr>
          <w:lang w:val="en-AU"/>
        </w:rPr>
        <w:t>SS (mgL</w:t>
      </w:r>
      <w:r w:rsidRPr="000F3970">
        <w:rPr>
          <w:vertAlign w:val="superscript"/>
          <w:lang w:val="en-AU"/>
        </w:rPr>
        <w:t>-1</w:t>
      </w:r>
      <w:r w:rsidRPr="000F3970">
        <w:rPr>
          <w:lang w:val="en-AU"/>
        </w:rPr>
        <w:t>)] = 1.3 x FLNTUSB Turbidity (NTU)] has been used for conversion between these two variables. The equation has been the same in last year’s (</w:t>
      </w:r>
      <w:r w:rsidR="00A107D0" w:rsidRPr="00C51DE2">
        <w:rPr>
          <w:rFonts w:cs="Arial"/>
          <w:color w:val="222222"/>
          <w:szCs w:val="22"/>
          <w:lang w:val="en-AU"/>
        </w:rPr>
        <w:t>Thompson</w:t>
      </w:r>
      <w:r w:rsidR="006F728D">
        <w:rPr>
          <w:lang w:val="en-AU"/>
        </w:rPr>
        <w:t xml:space="preserve"> </w:t>
      </w:r>
      <w:r w:rsidRPr="00C951C9">
        <w:rPr>
          <w:lang w:val="en-AU"/>
        </w:rPr>
        <w:t>et al.</w:t>
      </w:r>
      <w:r w:rsidR="00C951C9">
        <w:rPr>
          <w:lang w:val="en-AU"/>
        </w:rPr>
        <w:t>,</w:t>
      </w:r>
      <w:r w:rsidRPr="00C951C9">
        <w:rPr>
          <w:lang w:val="en-AU"/>
        </w:rPr>
        <w:t xml:space="preserve"> </w:t>
      </w:r>
      <w:r w:rsidRPr="000F3970">
        <w:rPr>
          <w:lang w:val="en-AU"/>
        </w:rPr>
        <w:t>20</w:t>
      </w:r>
      <w:r w:rsidR="00A107D0" w:rsidRPr="000F3970">
        <w:rPr>
          <w:lang w:val="en-AU"/>
        </w:rPr>
        <w:t>13, 2014</w:t>
      </w:r>
      <w:r w:rsidRPr="000F3970">
        <w:rPr>
          <w:lang w:val="en-AU"/>
        </w:rPr>
        <w:t xml:space="preserve">). Though these relationships are valid it should be remembered that the two variables are measures of two different things which do not necessarily co-vary. </w:t>
      </w:r>
    </w:p>
    <w:p w14:paraId="5F23238B" w14:textId="77777777" w:rsidR="00E94E33" w:rsidRPr="00453B2E" w:rsidRDefault="00C532B4" w:rsidP="00453B2E">
      <w:pPr>
        <w:autoSpaceDE w:val="0"/>
        <w:autoSpaceDN w:val="0"/>
        <w:adjustRightInd w:val="0"/>
        <w:rPr>
          <w:lang w:val="en-AU"/>
        </w:rPr>
      </w:pPr>
      <w:r w:rsidRPr="000F3970">
        <w:rPr>
          <w:lang w:val="en-AU"/>
        </w:rPr>
        <w:t>Using this equation, the SS trigger value in the Guidelines of 2.0 mg L</w:t>
      </w:r>
      <w:r w:rsidRPr="000F3970">
        <w:rPr>
          <w:vertAlign w:val="superscript"/>
          <w:lang w:val="en-AU"/>
        </w:rPr>
        <w:t>-1</w:t>
      </w:r>
      <w:r w:rsidRPr="000F3970">
        <w:rPr>
          <w:lang w:val="en-AU"/>
        </w:rPr>
        <w:t xml:space="preserve"> (GBRMPA 2010) translates into a turbidity trigger value of 1.5 NTU.</w:t>
      </w:r>
    </w:p>
    <w:p w14:paraId="5F23238C" w14:textId="77777777" w:rsidR="00E94E33" w:rsidRPr="000F3970" w:rsidRDefault="008645FA" w:rsidP="00E94E33">
      <w:pPr>
        <w:rPr>
          <w:lang w:val="en-AU"/>
        </w:rPr>
      </w:pPr>
      <w:r w:rsidRPr="0026385A">
        <w:rPr>
          <w:noProof/>
          <w:lang w:val="en-AU" w:eastAsia="en-AU"/>
        </w:rPr>
        <w:drawing>
          <wp:inline distT="0" distB="0" distL="0" distR="0" wp14:anchorId="5F232469" wp14:editId="66FC95A5">
            <wp:extent cx="4572000" cy="2743200"/>
            <wp:effectExtent l="0" t="0" r="0" b="0"/>
            <wp:docPr id="232" name="Chart 232" descr="Match-up of instrument readings of turbidity (NTU) from field deployments of WET Labs Eco FLNTUSB Combination Fluorometer and Turbidity Sensors with values from standard laboratory analysis of concurrently collected water samples." title="Match-up of instrument readings of turbidity (NTU) and TTS values from the laboratory "/>
            <wp:cNvGraphicFramePr/>
            <a:graphic xmlns:a="http://schemas.openxmlformats.org/drawingml/2006/main">
              <a:graphicData uri="http://schemas.openxmlformats.org/drawingml/2006/chart">
                <c:chart xmlns:c="http://schemas.openxmlformats.org/drawingml/2006/chart" xmlns:r="http://schemas.openxmlformats.org/officeDocument/2006/relationships" r:id="rId440"/>
              </a:graphicData>
            </a:graphic>
          </wp:inline>
        </w:drawing>
      </w:r>
    </w:p>
    <w:p w14:paraId="5F23238D" w14:textId="70D0FA4A" w:rsidR="00C532B4" w:rsidRPr="004A5BF7" w:rsidRDefault="00725F21" w:rsidP="00164E5E">
      <w:pPr>
        <w:pStyle w:val="Caption"/>
      </w:pPr>
      <w:bookmarkStart w:id="1740" w:name="_Toc269561883"/>
      <w:bookmarkStart w:id="1741" w:name="_Toc302658469"/>
      <w:bookmarkStart w:id="1742" w:name="_Toc334817061"/>
      <w:bookmarkStart w:id="1743" w:name="_Toc373758252"/>
      <w:bookmarkStart w:id="1744" w:name="_Toc373758280"/>
      <w:bookmarkStart w:id="1745" w:name="_Toc374701417"/>
      <w:bookmarkStart w:id="1746" w:name="_Toc405989132"/>
      <w:bookmarkStart w:id="1747" w:name="_Toc459332228"/>
      <w:r>
        <w:t xml:space="preserve">Figure A3 </w:t>
      </w:r>
      <w:r w:rsidR="00EB33A6">
        <w:fldChar w:fldCharType="begin"/>
      </w:r>
      <w:r w:rsidR="00D8225E">
        <w:instrText xml:space="preserve"> SEQ Figure_A3 \* ARABIC </w:instrText>
      </w:r>
      <w:r w:rsidR="00EB33A6">
        <w:fldChar w:fldCharType="separate"/>
      </w:r>
      <w:r w:rsidR="007F5336">
        <w:rPr>
          <w:noProof/>
        </w:rPr>
        <w:t>1</w:t>
      </w:r>
      <w:r w:rsidR="00EB33A6">
        <w:rPr>
          <w:noProof/>
        </w:rPr>
        <w:fldChar w:fldCharType="end"/>
      </w:r>
      <w:r w:rsidR="00453B2E">
        <w:t xml:space="preserve">: </w:t>
      </w:r>
      <w:r w:rsidR="00E94E33" w:rsidRPr="000F3970">
        <w:t>Match-up of instrument readings of turbidity (NTU) from field deployments of WET Labs Eco FLNTUSB Combination Fluorometer and Turbidity Sensors with values from standard laboratory analysis of concurrently collected water samples.</w:t>
      </w:r>
      <w:bookmarkStart w:id="1748" w:name="_Toc358712540"/>
      <w:bookmarkStart w:id="1749" w:name="_Toc374701395"/>
      <w:bookmarkStart w:id="1750" w:name="_Toc205604871"/>
      <w:bookmarkEnd w:id="1650"/>
      <w:bookmarkEnd w:id="1740"/>
      <w:bookmarkEnd w:id="1741"/>
      <w:bookmarkEnd w:id="1742"/>
      <w:bookmarkEnd w:id="1743"/>
      <w:bookmarkEnd w:id="1744"/>
      <w:bookmarkEnd w:id="1745"/>
      <w:bookmarkEnd w:id="1746"/>
      <w:bookmarkEnd w:id="1747"/>
      <w:r w:rsidR="00F351A1" w:rsidRPr="000F3970">
        <w:br w:type="page"/>
      </w:r>
    </w:p>
    <w:p w14:paraId="5F23238E" w14:textId="050D7DC2" w:rsidR="00E94E33" w:rsidRPr="000F3970" w:rsidRDefault="00725F21" w:rsidP="004A5BF7">
      <w:pPr>
        <w:pStyle w:val="appendixheading"/>
        <w:numPr>
          <w:ilvl w:val="0"/>
          <w:numId w:val="0"/>
        </w:numPr>
      </w:pPr>
      <w:bookmarkStart w:id="1751" w:name="_Toc436082072"/>
      <w:bookmarkStart w:id="1752" w:name="_Toc462307477"/>
      <w:r>
        <w:t>Appendix 4: S</w:t>
      </w:r>
      <w:r w:rsidR="00E94E33" w:rsidRPr="000F3970">
        <w:t xml:space="preserve">cientific publications and presentations </w:t>
      </w:r>
      <w:r w:rsidR="007A526D" w:rsidRPr="000F3970">
        <w:t xml:space="preserve">associated with </w:t>
      </w:r>
      <w:r w:rsidR="00E94E33" w:rsidRPr="000F3970">
        <w:t xml:space="preserve">the </w:t>
      </w:r>
      <w:r w:rsidR="004D2A67">
        <w:t>p</w:t>
      </w:r>
      <w:r w:rsidR="004D2A67" w:rsidRPr="000F3970">
        <w:t>rogram</w:t>
      </w:r>
      <w:r w:rsidR="004D2A67">
        <w:t>,</w:t>
      </w:r>
      <w:r w:rsidR="004D2A67" w:rsidRPr="000F3970">
        <w:t xml:space="preserve"> </w:t>
      </w:r>
      <w:r w:rsidR="00E94E33" w:rsidRPr="000F3970">
        <w:t>201</w:t>
      </w:r>
      <w:bookmarkEnd w:id="1748"/>
      <w:r w:rsidR="005F00BD" w:rsidRPr="000F3970">
        <w:t>4</w:t>
      </w:r>
      <w:r w:rsidR="00E94E33" w:rsidRPr="000F3970">
        <w:t>-1</w:t>
      </w:r>
      <w:bookmarkEnd w:id="1749"/>
      <w:r w:rsidR="005F00BD" w:rsidRPr="000F3970">
        <w:t>5</w:t>
      </w:r>
      <w:bookmarkEnd w:id="1751"/>
      <w:bookmarkEnd w:id="1752"/>
    </w:p>
    <w:p w14:paraId="5F23238F" w14:textId="77777777" w:rsidR="00725F21" w:rsidRDefault="00725F21" w:rsidP="004A5BF7">
      <w:pPr>
        <w:pStyle w:val="subappendix"/>
        <w:numPr>
          <w:ilvl w:val="0"/>
          <w:numId w:val="0"/>
        </w:numPr>
        <w:ind w:left="786" w:hanging="360"/>
      </w:pPr>
    </w:p>
    <w:p w14:paraId="5F232390" w14:textId="77777777" w:rsidR="00E94E33" w:rsidRPr="00453B2E" w:rsidRDefault="00E94E33" w:rsidP="004A5BF7">
      <w:pPr>
        <w:pStyle w:val="subappendix"/>
        <w:numPr>
          <w:ilvl w:val="0"/>
          <w:numId w:val="0"/>
        </w:numPr>
      </w:pPr>
      <w:r w:rsidRPr="00453B2E">
        <w:t>Publications</w:t>
      </w:r>
    </w:p>
    <w:p w14:paraId="5F232391" w14:textId="5DB28A58" w:rsidR="003704F8" w:rsidRPr="006F728D" w:rsidRDefault="003704F8" w:rsidP="003704F8">
      <w:pPr>
        <w:ind w:left="284" w:hanging="284"/>
        <w:rPr>
          <w:rFonts w:cs="Arial"/>
          <w:szCs w:val="22"/>
          <w:lang w:val="en-AU" w:eastAsia="en-AU"/>
        </w:rPr>
      </w:pPr>
      <w:r w:rsidRPr="006F728D">
        <w:rPr>
          <w:rFonts w:cs="Arial"/>
          <w:szCs w:val="22"/>
          <w:lang w:val="en-AU"/>
        </w:rPr>
        <w:t xml:space="preserve">Davies C.H., Coughlan A., Hallegraeff G., Ajani P., Armbrecht L., Bonham P.,  Brett S., Brinkman R., Burford M., Clementson L., Coad P., Coman F., Davies D., Dela-Cruz J., Devlin M., Edgar S., Eriksen R., Furnas M., Hassler C., Hill D., Ingleton T., Jameson I., Leterme S.C., </w:t>
      </w:r>
      <w:r w:rsidRPr="006F728D">
        <w:rPr>
          <w:rFonts w:cs="Arial"/>
          <w:szCs w:val="22"/>
          <w:shd w:val="clear" w:color="auto" w:fill="FFFFFF"/>
          <w:lang w:val="en-AU"/>
        </w:rPr>
        <w:t xml:space="preserve">Lønborg C., </w:t>
      </w:r>
      <w:r w:rsidRPr="006F728D">
        <w:rPr>
          <w:rFonts w:cs="Arial"/>
          <w:szCs w:val="22"/>
          <w:lang w:val="en-AU"/>
        </w:rPr>
        <w:t xml:space="preserve"> McLaughlin J., McEnnulty F., Miller M., Murray S., Nayar S., Patten R., Pritchard T., Proctor R. Purcell-Meyerink D., Raes E.,  Rissik D.,Rubio A., </w:t>
      </w:r>
      <w:r w:rsidRPr="006F728D">
        <w:rPr>
          <w:rFonts w:cs="Arial"/>
          <w:bCs/>
          <w:szCs w:val="22"/>
          <w:lang w:val="en-AU"/>
        </w:rPr>
        <w:t xml:space="preserve">Ruszczyk J., </w:t>
      </w:r>
      <w:r w:rsidRPr="006F728D">
        <w:rPr>
          <w:rFonts w:cs="Arial"/>
          <w:szCs w:val="22"/>
          <w:lang w:val="en-AU"/>
        </w:rPr>
        <w:t>Slotwinski A., Tattersall K.,  Thompson P., Thomson P., Tonks M.,  Trull</w:t>
      </w:r>
      <w:r w:rsidRPr="006F728D">
        <w:rPr>
          <w:rFonts w:cs="Arial"/>
          <w:szCs w:val="22"/>
          <w:vertAlign w:val="superscript"/>
          <w:lang w:val="en-AU"/>
        </w:rPr>
        <w:t xml:space="preserve"> </w:t>
      </w:r>
      <w:r w:rsidRPr="006F728D">
        <w:rPr>
          <w:rFonts w:cs="Arial"/>
          <w:szCs w:val="22"/>
          <w:lang w:val="en-AU"/>
        </w:rPr>
        <w:t>T.W., Uribe-Palomino J., Swadling K., Zammit</w:t>
      </w:r>
      <w:r w:rsidRPr="006F728D">
        <w:rPr>
          <w:rFonts w:cs="Arial"/>
          <w:szCs w:val="22"/>
          <w:vertAlign w:val="superscript"/>
          <w:lang w:val="en-AU"/>
        </w:rPr>
        <w:t xml:space="preserve"> </w:t>
      </w:r>
      <w:r w:rsidRPr="006F728D">
        <w:rPr>
          <w:rFonts w:cs="Arial"/>
          <w:szCs w:val="22"/>
          <w:lang w:val="en-AU"/>
        </w:rPr>
        <w:t xml:space="preserve">A., Richardson A.J., Waite A.M., Yauwenas R. </w:t>
      </w:r>
      <w:r w:rsidR="005C54B4">
        <w:rPr>
          <w:rFonts w:cs="Arial"/>
          <w:szCs w:val="22"/>
          <w:lang w:val="en-AU"/>
        </w:rPr>
        <w:t>in press</w:t>
      </w:r>
      <w:r w:rsidRPr="006F728D">
        <w:rPr>
          <w:rFonts w:cs="Arial"/>
          <w:szCs w:val="22"/>
          <w:lang w:val="en-AU"/>
        </w:rPr>
        <w:t>.</w:t>
      </w:r>
      <w:r w:rsidRPr="006F728D">
        <w:rPr>
          <w:rFonts w:cs="Arial"/>
          <w:i/>
          <w:szCs w:val="22"/>
          <w:lang w:val="en-AU"/>
        </w:rPr>
        <w:t xml:space="preserve"> </w:t>
      </w:r>
      <w:r w:rsidRPr="006F728D">
        <w:rPr>
          <w:rFonts w:cs="Arial"/>
          <w:szCs w:val="22"/>
          <w:lang w:val="en-AU"/>
        </w:rPr>
        <w:t>The Australian phytoplankton database - abundance and biovolume. Sci.Data</w:t>
      </w:r>
      <w:r w:rsidRPr="006F728D">
        <w:rPr>
          <w:rFonts w:cs="Arial"/>
          <w:i/>
          <w:szCs w:val="22"/>
          <w:lang w:val="en-AU"/>
        </w:rPr>
        <w:t xml:space="preserve"> </w:t>
      </w:r>
      <w:r w:rsidRPr="006F728D">
        <w:rPr>
          <w:rStyle w:val="st1"/>
          <w:rFonts w:eastAsiaTheme="majorEastAsia" w:cs="Arial"/>
          <w:szCs w:val="22"/>
          <w:lang w:val="en-AU"/>
        </w:rPr>
        <w:t>(</w:t>
      </w:r>
      <w:r w:rsidRPr="006F728D">
        <w:rPr>
          <w:rFonts w:cs="Arial"/>
          <w:szCs w:val="22"/>
          <w:lang w:val="en-AU"/>
        </w:rPr>
        <w:t xml:space="preserve">in </w:t>
      </w:r>
      <w:r w:rsidR="00640B04">
        <w:rPr>
          <w:rFonts w:cs="Arial"/>
          <w:szCs w:val="22"/>
          <w:lang w:val="en-AU"/>
        </w:rPr>
        <w:t>press</w:t>
      </w:r>
      <w:r w:rsidRPr="006F728D">
        <w:rPr>
          <w:rFonts w:cs="Arial"/>
          <w:szCs w:val="22"/>
          <w:lang w:val="en-AU"/>
        </w:rPr>
        <w:t>).</w:t>
      </w:r>
    </w:p>
    <w:p w14:paraId="5F232392" w14:textId="77777777" w:rsidR="003704F8" w:rsidRPr="006F728D" w:rsidRDefault="003704F8" w:rsidP="003704F8">
      <w:pPr>
        <w:pStyle w:val="CommentText"/>
        <w:numPr>
          <w:ilvl w:val="0"/>
          <w:numId w:val="0"/>
        </w:numPr>
        <w:ind w:left="432" w:hanging="432"/>
        <w:rPr>
          <w:rFonts w:ascii="Arial" w:hAnsi="Arial" w:cs="Arial"/>
          <w:sz w:val="22"/>
          <w:szCs w:val="22"/>
          <w:shd w:val="clear" w:color="auto" w:fill="FFFFFF"/>
          <w:lang w:val="en-GB" w:eastAsia="en-US"/>
        </w:rPr>
      </w:pPr>
      <w:r w:rsidRPr="006F728D">
        <w:rPr>
          <w:rFonts w:ascii="Arial" w:hAnsi="Arial" w:cs="Arial"/>
          <w:sz w:val="22"/>
          <w:szCs w:val="22"/>
          <w:lang w:val="fr-FR"/>
        </w:rPr>
        <w:t xml:space="preserve">Devlin, M., Petus, C., Teixeira da Silva, E., Tracey. </w:t>
      </w:r>
      <w:r w:rsidRPr="006F728D">
        <w:rPr>
          <w:rFonts w:ascii="Arial" w:hAnsi="Arial" w:cs="Arial"/>
          <w:sz w:val="22"/>
          <w:szCs w:val="22"/>
        </w:rPr>
        <w:t>D., Wolff, N., Waterhouse, J., Brodie, J. (2015). Water Quality and River Plume monitoring in the Great Barrier Reef: An Overview of Methods Based on Ocean Colour Satellite Data. Remote Sens. 2015, 7, 12909-12941; doi:10.3390/rs71012909</w:t>
      </w:r>
    </w:p>
    <w:p w14:paraId="5F232393" w14:textId="77777777" w:rsidR="003704F8" w:rsidRPr="006F728D" w:rsidRDefault="003704F8" w:rsidP="003704F8">
      <w:pPr>
        <w:ind w:left="284" w:hanging="284"/>
        <w:rPr>
          <w:rFonts w:cs="Arial"/>
          <w:szCs w:val="22"/>
          <w:lang w:val="en-AU" w:eastAsia="en-AU"/>
        </w:rPr>
      </w:pPr>
      <w:r w:rsidRPr="006F728D">
        <w:rPr>
          <w:rFonts w:cs="Arial"/>
          <w:szCs w:val="22"/>
          <w:lang w:val="en-AU" w:eastAsia="en-AU"/>
        </w:rPr>
        <w:t xml:space="preserve">Furnas, M., Schaffelke, B., &amp; McKinnon, A. D. (2014). Selective evidence of eutrophication in the Great Barrier Reef: Comment on Bell et al.(2014). </w:t>
      </w:r>
      <w:r w:rsidRPr="006F728D">
        <w:rPr>
          <w:rFonts w:cs="Arial"/>
          <w:i/>
          <w:iCs/>
          <w:szCs w:val="22"/>
          <w:lang w:val="en-AU" w:eastAsia="en-AU"/>
        </w:rPr>
        <w:t>Ambio</w:t>
      </w:r>
      <w:r w:rsidRPr="006F728D">
        <w:rPr>
          <w:rFonts w:cs="Arial"/>
          <w:szCs w:val="22"/>
          <w:lang w:val="en-AU" w:eastAsia="en-AU"/>
        </w:rPr>
        <w:t xml:space="preserve">, </w:t>
      </w:r>
      <w:r w:rsidRPr="006F728D">
        <w:rPr>
          <w:rFonts w:cs="Arial"/>
          <w:i/>
          <w:iCs/>
          <w:szCs w:val="22"/>
          <w:lang w:val="en-AU" w:eastAsia="en-AU"/>
        </w:rPr>
        <w:t>43</w:t>
      </w:r>
      <w:r w:rsidRPr="006F728D">
        <w:rPr>
          <w:rFonts w:cs="Arial"/>
          <w:szCs w:val="22"/>
          <w:lang w:val="en-AU" w:eastAsia="en-AU"/>
        </w:rPr>
        <w:t>(3), 377-378.</w:t>
      </w:r>
    </w:p>
    <w:p w14:paraId="5F232394" w14:textId="2A465C02" w:rsidR="003704F8" w:rsidRPr="006F728D" w:rsidRDefault="003704F8" w:rsidP="003704F8">
      <w:pPr>
        <w:ind w:left="284" w:hanging="284"/>
        <w:rPr>
          <w:rFonts w:cs="Arial"/>
          <w:bCs/>
          <w:szCs w:val="22"/>
          <w:lang w:val="en-AU" w:eastAsia="en-AU"/>
        </w:rPr>
      </w:pPr>
      <w:r w:rsidRPr="006F728D">
        <w:rPr>
          <w:rFonts w:cs="Arial"/>
          <w:bCs/>
          <w:szCs w:val="22"/>
          <w:lang w:val="en-AU" w:eastAsia="en-AU"/>
        </w:rPr>
        <w:t>Petus C, Devlin M, Thompson A., McKenzie L, Teixeira da Silva E, Collier C, Tracey D, Martin K. (</w:t>
      </w:r>
      <w:r w:rsidR="005C54B4" w:rsidRPr="006F728D">
        <w:rPr>
          <w:rFonts w:cs="Arial"/>
          <w:bCs/>
          <w:szCs w:val="22"/>
          <w:lang w:val="en-AU" w:eastAsia="en-AU"/>
        </w:rPr>
        <w:t>201</w:t>
      </w:r>
      <w:r w:rsidR="005C54B4">
        <w:rPr>
          <w:rFonts w:cs="Arial"/>
          <w:bCs/>
          <w:szCs w:val="22"/>
          <w:lang w:val="en-AU" w:eastAsia="en-AU"/>
        </w:rPr>
        <w:t>6</w:t>
      </w:r>
      <w:r w:rsidRPr="006F728D">
        <w:rPr>
          <w:rFonts w:cs="Arial"/>
          <w:bCs/>
          <w:szCs w:val="22"/>
          <w:lang w:val="en-AU" w:eastAsia="en-AU"/>
        </w:rPr>
        <w:t xml:space="preserve">). Estimating the exposure of coral reefs and seagrass meadows to land-sourced contaminants in river flood plumes of the Great Barrier Reef: validating a simple Satellite Risk Framework with Environmental Data. Remote Sensing. </w:t>
      </w:r>
    </w:p>
    <w:p w14:paraId="5F232395" w14:textId="77777777" w:rsidR="003704F8" w:rsidRPr="006F728D" w:rsidRDefault="003704F8" w:rsidP="003704F8">
      <w:pPr>
        <w:pStyle w:val="CommentText"/>
        <w:numPr>
          <w:ilvl w:val="0"/>
          <w:numId w:val="0"/>
        </w:numPr>
        <w:ind w:left="432" w:hanging="432"/>
        <w:rPr>
          <w:rFonts w:ascii="Arial" w:hAnsi="Arial" w:cs="Arial"/>
          <w:sz w:val="22"/>
          <w:szCs w:val="22"/>
        </w:rPr>
      </w:pPr>
      <w:r w:rsidRPr="006F728D">
        <w:rPr>
          <w:rFonts w:ascii="Arial" w:hAnsi="Arial" w:cs="Arial"/>
          <w:bCs/>
          <w:sz w:val="22"/>
          <w:szCs w:val="22"/>
        </w:rPr>
        <w:t>Petus, C.</w:t>
      </w:r>
      <w:r w:rsidRPr="006F728D">
        <w:rPr>
          <w:rFonts w:ascii="Arial" w:hAnsi="Arial" w:cs="Arial"/>
          <w:sz w:val="22"/>
          <w:szCs w:val="22"/>
        </w:rPr>
        <w:t xml:space="preserve">, Collier, C., Devlin, M. Rasheed, M., McKenna, S. (2014). Using MODIS data for understanding changes in seagrass meadow health: a case study in the Great Barrier Reef (Australia). Marine Environmental Research 98: 68-85. </w:t>
      </w:r>
    </w:p>
    <w:p w14:paraId="5F232396" w14:textId="77777777" w:rsidR="003704F8" w:rsidRPr="006F728D" w:rsidRDefault="003704F8" w:rsidP="003704F8">
      <w:pPr>
        <w:pStyle w:val="CommentText"/>
        <w:numPr>
          <w:ilvl w:val="0"/>
          <w:numId w:val="0"/>
        </w:numPr>
        <w:ind w:left="432" w:hanging="432"/>
        <w:rPr>
          <w:rFonts w:ascii="Arial" w:hAnsi="Arial" w:cs="Arial"/>
          <w:sz w:val="22"/>
          <w:szCs w:val="22"/>
        </w:rPr>
      </w:pPr>
      <w:r w:rsidRPr="006F728D">
        <w:rPr>
          <w:rFonts w:ascii="Arial" w:hAnsi="Arial" w:cs="Arial"/>
          <w:bCs/>
          <w:sz w:val="22"/>
          <w:szCs w:val="22"/>
        </w:rPr>
        <w:t>Petus, C.</w:t>
      </w:r>
      <w:r w:rsidRPr="006F728D">
        <w:rPr>
          <w:rFonts w:ascii="Arial" w:hAnsi="Arial" w:cs="Arial"/>
          <w:sz w:val="22"/>
          <w:szCs w:val="22"/>
        </w:rPr>
        <w:t>, Teixeira da Silva,E., Devlin, M., Wenger, A.,Álvarez-Romero, J. G. (2014). Using MODIS data for mapping of water types within river plumes in the Great Barrier Reef, Australia: towards the production of river plume risk maps for reef and seagrass ecosystems. Journal of Environmental Management 137: 163-177.</w:t>
      </w:r>
    </w:p>
    <w:p w14:paraId="5F232397" w14:textId="77777777" w:rsidR="003704F8" w:rsidRPr="006F728D" w:rsidRDefault="00A57DB1" w:rsidP="003704F8">
      <w:pPr>
        <w:ind w:left="284" w:hanging="284"/>
        <w:rPr>
          <w:rFonts w:cs="Arial"/>
          <w:szCs w:val="22"/>
          <w:lang w:val="en-AU"/>
        </w:rPr>
      </w:pPr>
      <w:r w:rsidRPr="006F728D">
        <w:rPr>
          <w:rFonts w:eastAsia="MS Mincho" w:cs="Arial"/>
          <w:szCs w:val="22"/>
          <w:lang w:val="en-AU" w:eastAsia="ja-JP"/>
        </w:rPr>
        <w:t xml:space="preserve">Thompson A, Brando VE, Schaffelke B, Schroeder T (2014) </w:t>
      </w:r>
      <w:r w:rsidRPr="006F728D">
        <w:rPr>
          <w:rFonts w:cs="Arial"/>
          <w:szCs w:val="22"/>
          <w:lang w:val="en-AU"/>
        </w:rPr>
        <w:t xml:space="preserve">Coral community responses to declining water quality: Whitsunday Islands, Great Barrier Reef, Australia. Coral Reefs 33:923-938 </w:t>
      </w:r>
    </w:p>
    <w:p w14:paraId="5F232398" w14:textId="77777777" w:rsidR="003704F8" w:rsidRPr="004A5BF7" w:rsidRDefault="00A57DB1" w:rsidP="003704F8">
      <w:pPr>
        <w:ind w:left="284" w:hanging="284"/>
        <w:rPr>
          <w:lang w:val="en-AU"/>
        </w:rPr>
      </w:pPr>
      <w:r w:rsidRPr="006F728D">
        <w:rPr>
          <w:rFonts w:cs="Arial"/>
          <w:szCs w:val="22"/>
          <w:lang w:val="en-AU" w:eastAsia="en-AU"/>
        </w:rPr>
        <w:t xml:space="preserve">Uthicke, S., Furnas, M., &amp; Lønborg, C. (2014). Coral Reefs on the Edge? Carbon Chemistry on Inshore Reefs of the Great Barrier Reef. </w:t>
      </w:r>
      <w:r w:rsidRPr="006F728D">
        <w:rPr>
          <w:rFonts w:cs="Arial"/>
          <w:i/>
          <w:iCs/>
          <w:szCs w:val="22"/>
          <w:lang w:val="en-AU" w:eastAsia="en-AU"/>
        </w:rPr>
        <w:t>PloS one</w:t>
      </w:r>
      <w:r w:rsidRPr="006F728D">
        <w:rPr>
          <w:rFonts w:cs="Arial"/>
          <w:szCs w:val="22"/>
          <w:lang w:val="en-AU" w:eastAsia="en-AU"/>
        </w:rPr>
        <w:t xml:space="preserve">, </w:t>
      </w:r>
      <w:r w:rsidRPr="006F728D">
        <w:rPr>
          <w:rFonts w:cs="Arial"/>
          <w:i/>
          <w:iCs/>
          <w:szCs w:val="22"/>
          <w:lang w:val="en-AU" w:eastAsia="en-AU"/>
        </w:rPr>
        <w:t>9</w:t>
      </w:r>
      <w:r w:rsidRPr="006F728D">
        <w:rPr>
          <w:rFonts w:cs="Arial"/>
          <w:szCs w:val="22"/>
          <w:lang w:val="en-AU" w:eastAsia="en-AU"/>
        </w:rPr>
        <w:t>(10), e109092.</w:t>
      </w:r>
      <w:r w:rsidR="003704F8" w:rsidRPr="004A5BF7">
        <w:rPr>
          <w:lang w:val="en-AU"/>
        </w:rPr>
        <w:t xml:space="preserve"> </w:t>
      </w:r>
    </w:p>
    <w:p w14:paraId="5F232399" w14:textId="77777777" w:rsidR="006A3B43" w:rsidRPr="003A77F5" w:rsidRDefault="006A3B43" w:rsidP="00E94E33">
      <w:pPr>
        <w:rPr>
          <w:b/>
          <w:lang w:val="en-AU"/>
        </w:rPr>
      </w:pPr>
    </w:p>
    <w:p w14:paraId="5F23239A" w14:textId="77777777" w:rsidR="00E94E33" w:rsidRPr="000F3970" w:rsidRDefault="00E94E33" w:rsidP="00E94E33">
      <w:pPr>
        <w:rPr>
          <w:b/>
          <w:lang w:val="en-AU"/>
        </w:rPr>
      </w:pPr>
      <w:r w:rsidRPr="000F3970">
        <w:rPr>
          <w:b/>
          <w:lang w:val="en-AU"/>
        </w:rPr>
        <w:t>Presentations:</w:t>
      </w:r>
    </w:p>
    <w:bookmarkEnd w:id="1750"/>
    <w:p w14:paraId="5F23239B" w14:textId="26DD7733" w:rsidR="003704F8" w:rsidRPr="000F3970" w:rsidRDefault="003704F8" w:rsidP="003704F8">
      <w:pPr>
        <w:ind w:left="284" w:hanging="284"/>
        <w:rPr>
          <w:color w:val="0070C0"/>
          <w:lang w:val="en-AU"/>
        </w:rPr>
      </w:pPr>
      <w:r w:rsidRPr="004A5BF7">
        <w:rPr>
          <w:lang w:val="en-AU"/>
        </w:rPr>
        <w:t xml:space="preserve">Devlin, M., Petus, C., Teixeira da Silva, E., Tracey. </w:t>
      </w:r>
      <w:r w:rsidRPr="00C54678">
        <w:t>D., Wolff, N., Brodie, J.</w:t>
      </w:r>
      <w:r w:rsidR="005C54B4">
        <w:t>,</w:t>
      </w:r>
      <w:r w:rsidRPr="00C54678">
        <w:t xml:space="preserve"> Waterhouse, J., Martin, K. (2015) </w:t>
      </w:r>
      <w:r w:rsidRPr="00C54678">
        <w:rPr>
          <w:i/>
        </w:rPr>
        <w:t>Improvements to water quality monitoring through the inclusion of ocean colour products correlated with in-situ water quality gradients for the Great Barrier Reef.</w:t>
      </w:r>
      <w:r>
        <w:t xml:space="preserve"> </w:t>
      </w:r>
      <w:r w:rsidRPr="00C54678">
        <w:t xml:space="preserve">In: Posters from the International Ocean Colour Science meeting. From: IOCS 2015: Second International Ocean Colour Science Meeting, 15-18 June 2015, San </w:t>
      </w:r>
      <w:r w:rsidR="005C54B4" w:rsidRPr="00C54678">
        <w:t>Francisco</w:t>
      </w:r>
      <w:r w:rsidRPr="00C54678">
        <w:t>, CA, USA.</w:t>
      </w:r>
    </w:p>
    <w:p w14:paraId="5F23239C" w14:textId="77777777" w:rsidR="00B75815" w:rsidRPr="000F3970" w:rsidRDefault="00B75815" w:rsidP="00B75815">
      <w:pPr>
        <w:rPr>
          <w:color w:val="0070C0"/>
          <w:lang w:val="en-AU"/>
        </w:rPr>
      </w:pPr>
    </w:p>
    <w:p w14:paraId="5F23239D" w14:textId="77777777" w:rsidR="00B75815" w:rsidRPr="00F752C4" w:rsidRDefault="00B75815" w:rsidP="00F752C4">
      <w:pPr>
        <w:rPr>
          <w:color w:val="0070C0"/>
          <w:lang w:val="en-AU"/>
        </w:rPr>
      </w:pPr>
    </w:p>
    <w:sectPr w:rsidR="00B75815" w:rsidRPr="00F752C4" w:rsidSect="004A57A5">
      <w:pgSz w:w="11907" w:h="16840" w:code="9"/>
      <w:pgMar w:top="1440" w:right="1134" w:bottom="1440" w:left="1134" w:header="68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70323C" w14:textId="77777777" w:rsidR="009F7BB3" w:rsidRDefault="009F7BB3">
      <w:r>
        <w:separator/>
      </w:r>
    </w:p>
  </w:endnote>
  <w:endnote w:type="continuationSeparator" w:id="0">
    <w:p w14:paraId="7E0BC968" w14:textId="77777777" w:rsidR="009F7BB3" w:rsidRDefault="009F7BB3">
      <w:r>
        <w:continuationSeparator/>
      </w:r>
    </w:p>
  </w:endnote>
  <w:endnote w:type="continuationNotice" w:id="1">
    <w:p w14:paraId="5333547C" w14:textId="77777777" w:rsidR="009F7BB3" w:rsidRDefault="009F7BB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MT">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Black">
    <w:panose1 w:val="020B0A04020102020204"/>
    <w:charset w:val="00"/>
    <w:family w:val="swiss"/>
    <w:pitch w:val="variable"/>
    <w:sig w:usb0="00000287" w:usb1="00000000" w:usb2="00000000" w:usb3="00000000" w:csb0="0000009F" w:csb1="00000000"/>
  </w:font>
  <w:font w:name="Optimum">
    <w:altName w:val="Times New Roman"/>
    <w:panose1 w:val="00000000000000000000"/>
    <w:charset w:val="00"/>
    <w:family w:val="auto"/>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inion Pro">
    <w:altName w:val="Times New Roman"/>
    <w:panose1 w:val="00000000000000000000"/>
    <w:charset w:val="00"/>
    <w:family w:val="roman"/>
    <w:notTrueType/>
    <w:pitch w:val="variable"/>
    <w:sig w:usb0="00000001" w:usb1="00000001" w:usb2="00000000" w:usb3="00000000" w:csb0="0000019F"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 w:name="Myriad Pro">
    <w:altName w:val="Arial"/>
    <w:panose1 w:val="00000000000000000000"/>
    <w:charset w:val="00"/>
    <w:family w:val="swiss"/>
    <w:notTrueType/>
    <w:pitch w:val="variable"/>
    <w:sig w:usb0="00000001" w:usb1="5000204B" w:usb2="00000000" w:usb3="00000000" w:csb0="0000019F"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 w:name="Tahoma">
    <w:panose1 w:val="020B0604030504040204"/>
    <w:charset w:val="00"/>
    <w:family w:val="swiss"/>
    <w:pitch w:val="variable"/>
    <w:sig w:usb0="E1002EFF" w:usb1="C000605B" w:usb2="00000029" w:usb3="00000000" w:csb0="000101FF" w:csb1="00000000"/>
  </w:font>
  <w:font w:name="Dotum">
    <w:altName w:val="돋움"/>
    <w:panose1 w:val="020B0600000101010101"/>
    <w:charset w:val="81"/>
    <w:family w:val="swiss"/>
    <w:pitch w:val="variable"/>
    <w:sig w:usb0="B00002AF" w:usb1="69D77CFB" w:usb2="00000030" w:usb3="00000000" w:csb0="0008009F" w:csb1="00000000"/>
  </w:font>
  <w:font w:name="Helvetica">
    <w:panose1 w:val="020B0604020202030204"/>
    <w:charset w:val="00"/>
    <w:family w:val="swiss"/>
    <w:pitch w:val="variable"/>
    <w:sig w:usb0="00000007" w:usb1="00000000" w:usb2="00000000" w:usb3="00000000" w:csb0="00000093" w:csb1="00000000"/>
  </w:font>
  <w:font w:name="Plantin">
    <w:panose1 w:val="00000000000000000000"/>
    <w:charset w:val="00"/>
    <w:family w:val="roman"/>
    <w:notTrueType/>
    <w:pitch w:val="default"/>
    <w:sig w:usb0="00000003" w:usb1="00000000" w:usb2="00000000" w:usb3="00000000" w:csb0="00000001" w:csb1="00000000"/>
  </w:font>
  <w:font w:name="AdvTimes">
    <w:altName w:val="Arial"/>
    <w:panose1 w:val="00000000000000000000"/>
    <w:charset w:val="00"/>
    <w:family w:val="auto"/>
    <w:notTrueType/>
    <w:pitch w:val="default"/>
    <w:sig w:usb0="03000003" w:usb1="00000000" w:usb2="00000000" w:usb3="00000000" w:csb0="00000001" w:csb1="00000000"/>
  </w:font>
  <w:font w:name="DLEIE B+ Adv T T 2876772e+ 25">
    <w:altName w:val="MS Gothic"/>
    <w:panose1 w:val="00000000000000000000"/>
    <w:charset w:val="80"/>
    <w:family w:val="swiss"/>
    <w:notTrueType/>
    <w:pitch w:val="default"/>
    <w:sig w:usb0="00000000" w:usb1="08070000" w:usb2="00000010" w:usb3="00000000" w:csb0="00020000" w:csb1="00000000"/>
  </w:font>
  <w:font w:name="PiOne">
    <w:panose1 w:val="00000000000000000000"/>
    <w:charset w:val="00"/>
    <w:family w:val="auto"/>
    <w:notTrueType/>
    <w:pitch w:val="default"/>
    <w:sig w:usb0="00000003" w:usb1="00000000" w:usb2="00000000" w:usb3="00000000" w:csb0="00000001" w:csb1="00000000"/>
  </w:font>
  <w:font w:name="Plantin-Italic">
    <w:panose1 w:val="00000000000000000000"/>
    <w:charset w:val="00"/>
    <w:family w:val="roman"/>
    <w:notTrueType/>
    <w:pitch w:val="default"/>
    <w:sig w:usb0="00000003" w:usb1="00000000" w:usb2="00000000" w:usb3="00000000" w:csb0="00000001" w:csb1="00000000"/>
  </w:font>
  <w:font w:name="Arial Narrow Bold">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23247A" w14:textId="77777777" w:rsidR="009F7BB3" w:rsidRDefault="009F7BB3" w:rsidP="007B304E">
    <w:pPr>
      <w:pStyle w:val="Footer"/>
      <w:ind w:right="36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731560" w14:textId="36D17EC8" w:rsidR="009F7BB3" w:rsidRDefault="009F7BB3" w:rsidP="006F4C2E">
    <w:pPr>
      <w:pStyle w:val="Footer"/>
      <w:framePr w:wrap="around" w:vAnchor="text" w:hAnchor="margin" w:xAlign="center" w:y="1"/>
    </w:pPr>
    <w:r>
      <w:fldChar w:fldCharType="begin"/>
    </w:r>
    <w:r>
      <w:instrText xml:space="preserve">PAGE  </w:instrText>
    </w:r>
    <w:r>
      <w:fldChar w:fldCharType="separate"/>
    </w:r>
    <w:r w:rsidR="000213E5">
      <w:rPr>
        <w:noProof/>
      </w:rPr>
      <w:t>ii</w:t>
    </w:r>
    <w:r>
      <w:rPr>
        <w:noProof/>
      </w:rPr>
      <w:fldChar w:fldCharType="end"/>
    </w:r>
  </w:p>
  <w:p w14:paraId="1107CA29" w14:textId="77777777" w:rsidR="009F7BB3" w:rsidRDefault="009F7BB3" w:rsidP="00E66217">
    <w:pPr>
      <w:pStyle w:val="Footer"/>
      <w:pBdr>
        <w:top w:val="single" w:sz="18" w:space="1" w:color="0070C0"/>
      </w:pBdr>
      <w:ind w:right="36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23247D" w14:textId="2090A096" w:rsidR="009F7BB3" w:rsidRDefault="009F7BB3" w:rsidP="003023F3">
    <w:pPr>
      <w:pStyle w:val="Footer"/>
      <w:framePr w:w="660" w:wrap="around" w:vAnchor="text" w:hAnchor="page" w:x="5345" w:y="45"/>
      <w:spacing w:before="60"/>
    </w:pPr>
    <w:r>
      <w:fldChar w:fldCharType="begin"/>
    </w:r>
    <w:r>
      <w:instrText xml:space="preserve">PAGE  </w:instrText>
    </w:r>
    <w:r>
      <w:fldChar w:fldCharType="separate"/>
    </w:r>
    <w:r w:rsidR="000213E5">
      <w:rPr>
        <w:noProof/>
      </w:rPr>
      <w:t>xiii</w:t>
    </w:r>
    <w:r>
      <w:rPr>
        <w:noProof/>
      </w:rPr>
      <w:fldChar w:fldCharType="end"/>
    </w:r>
  </w:p>
  <w:p w14:paraId="5F23247E" w14:textId="77777777" w:rsidR="009F7BB3" w:rsidRDefault="009F7BB3" w:rsidP="003023F3">
    <w:pPr>
      <w:pStyle w:val="Footer"/>
      <w:pBdr>
        <w:top w:val="single" w:sz="18" w:space="1" w:color="0070C0"/>
      </w:pBdr>
      <w:tabs>
        <w:tab w:val="clear" w:pos="8306"/>
      </w:tabs>
      <w:ind w:right="4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53843319"/>
      <w:docPartObj>
        <w:docPartGallery w:val="Page Numbers (Bottom of Page)"/>
        <w:docPartUnique/>
      </w:docPartObj>
    </w:sdtPr>
    <w:sdtEndPr>
      <w:rPr>
        <w:noProof/>
      </w:rPr>
    </w:sdtEndPr>
    <w:sdtContent>
      <w:p w14:paraId="5F232480" w14:textId="610A9E3C" w:rsidR="009F7BB3" w:rsidRDefault="009F7BB3" w:rsidP="00563FDC">
        <w:pPr>
          <w:pStyle w:val="Footer"/>
          <w:pBdr>
            <w:top w:val="single" w:sz="18" w:space="0" w:color="0070C0"/>
          </w:pBdr>
          <w:tabs>
            <w:tab w:val="clear" w:pos="8306"/>
          </w:tabs>
          <w:ind w:right="47"/>
          <w:jc w:val="center"/>
        </w:pPr>
        <w:r>
          <w:fldChar w:fldCharType="begin"/>
        </w:r>
        <w:r>
          <w:instrText xml:space="preserve"> PAGE   \* MERGEFORMAT </w:instrText>
        </w:r>
        <w:r>
          <w:fldChar w:fldCharType="separate"/>
        </w:r>
        <w:r w:rsidR="000213E5">
          <w:rPr>
            <w:noProof/>
          </w:rPr>
          <w:t>2</w:t>
        </w:r>
        <w:r>
          <w:rPr>
            <w:noProof/>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232481" w14:textId="77777777" w:rsidR="009F7BB3" w:rsidRDefault="009F7BB3" w:rsidP="00FD46A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F232482" w14:textId="77777777" w:rsidR="009F7BB3" w:rsidRDefault="009F7BB3">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5AE4F0" w14:textId="77777777" w:rsidR="009F7BB3" w:rsidRDefault="009F7BB3">
      <w:r>
        <w:separator/>
      </w:r>
    </w:p>
  </w:footnote>
  <w:footnote w:type="continuationSeparator" w:id="0">
    <w:p w14:paraId="7AB7C3C6" w14:textId="77777777" w:rsidR="009F7BB3" w:rsidRDefault="009F7BB3">
      <w:r>
        <w:continuationSeparator/>
      </w:r>
    </w:p>
  </w:footnote>
  <w:footnote w:type="continuationNotice" w:id="1">
    <w:p w14:paraId="51BE1C7F" w14:textId="77777777" w:rsidR="009F7BB3" w:rsidRDefault="009F7BB3"/>
  </w:footnote>
  <w:footnote w:id="2">
    <w:p w14:paraId="5F232485" w14:textId="77777777" w:rsidR="009F7BB3" w:rsidRDefault="009F7BB3" w:rsidP="000E2960">
      <w:pPr>
        <w:pStyle w:val="FootnoteText"/>
        <w:rPr>
          <w:rStyle w:val="Hyperlink"/>
        </w:rPr>
      </w:pPr>
      <w:r>
        <w:rPr>
          <w:rStyle w:val="FootnoteReference"/>
        </w:rPr>
        <w:footnoteRef/>
      </w:r>
      <w:r>
        <w:t xml:space="preserve"> </w:t>
      </w:r>
      <w:hyperlink r:id="rId1" w:history="1">
        <w:r w:rsidRPr="003B41A1">
          <w:rPr>
            <w:rStyle w:val="Hyperlink"/>
          </w:rPr>
          <w:t>http://www.environment.gov.au/marine/gbr/reef2050</w:t>
        </w:r>
      </w:hyperlink>
    </w:p>
    <w:p w14:paraId="5F232486" w14:textId="77777777" w:rsidR="009F7BB3" w:rsidRPr="00634ACD" w:rsidRDefault="009F7BB3" w:rsidP="000E2960">
      <w:pPr>
        <w:pStyle w:val="FootnoteText"/>
      </w:pPr>
    </w:p>
  </w:footnote>
  <w:footnote w:id="3">
    <w:p w14:paraId="6913AF99" w14:textId="77777777" w:rsidR="009F7BB3" w:rsidRDefault="009F7BB3" w:rsidP="00475BBF">
      <w:r>
        <w:rPr>
          <w:rStyle w:val="FootnoteReference"/>
        </w:rPr>
        <w:footnoteRef/>
      </w:r>
      <w:r>
        <w:t xml:space="preserve"> </w:t>
      </w:r>
      <w:r w:rsidRPr="00B22F38">
        <w:t>htt</w:t>
      </w:r>
      <w:hyperlink r:id="rId2" w:history="1">
        <w:r w:rsidRPr="00B22F38">
          <w:rPr>
            <w:rStyle w:val="Hyperlink"/>
            <w:sz w:val="20"/>
          </w:rPr>
          <w:t>p://www.bom.gov.au/environment/activities/mwqd/info.shtml</w:t>
        </w:r>
      </w:hyperlink>
      <w:r w:rsidRPr="00B22F38">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DE5B0B" w14:textId="0EF9DF90" w:rsidR="009F7BB3" w:rsidRPr="007B304E" w:rsidRDefault="009F7BB3" w:rsidP="007B304E">
    <w:pPr>
      <w:pStyle w:val="Header"/>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021559" w14:textId="77777777" w:rsidR="009F7BB3" w:rsidRPr="00C43B68" w:rsidRDefault="009F7BB3" w:rsidP="00356D82">
    <w:pPr>
      <w:pBdr>
        <w:bottom w:val="single" w:sz="12" w:space="1" w:color="0070C0"/>
      </w:pBdr>
      <w:spacing w:before="0"/>
      <w:rPr>
        <w:rFonts w:cs="Arial"/>
        <w:sz w:val="18"/>
        <w:lang w:val="en-AU"/>
      </w:rPr>
    </w:pPr>
    <w:r>
      <w:rPr>
        <w:rFonts w:cs="Arial"/>
        <w:sz w:val="18"/>
        <w:lang w:val="en-AU"/>
      </w:rPr>
      <w:t>Marine Monitoring Program: Annual report for inshore water quality monitoring 2014-2015</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23247C" w14:textId="77777777" w:rsidR="009F7BB3" w:rsidRDefault="009F7BB3"/>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23247F" w14:textId="77777777" w:rsidR="009F7BB3" w:rsidRDefault="009F7BB3"/>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232483" w14:textId="77777777" w:rsidR="009F7BB3" w:rsidRPr="00262F5E" w:rsidRDefault="009F7BB3" w:rsidP="008431E8">
    <w:pPr>
      <w:pBdr>
        <w:bottom w:val="single" w:sz="12" w:space="1" w:color="0070C0"/>
      </w:pBdr>
      <w:rPr>
        <w:sz w:val="20"/>
        <w:lang w:val="en-AU"/>
      </w:rPr>
    </w:pPr>
    <w:r w:rsidRPr="00262F5E">
      <w:rPr>
        <w:sz w:val="20"/>
        <w:lang w:val="en-AU"/>
      </w:rPr>
      <w:t>Reef Rescue Marine Monitoring Program</w:t>
    </w:r>
    <w:r w:rsidRPr="00262F5E">
      <w:rPr>
        <w:sz w:val="20"/>
        <w:lang w:val="en-AU"/>
      </w:rPr>
      <w:tab/>
    </w:r>
    <w:r>
      <w:rPr>
        <w:sz w:val="20"/>
        <w:lang w:val="en-AU"/>
      </w:rPr>
      <w:tab/>
    </w:r>
    <w:r w:rsidRPr="00262F5E">
      <w:rPr>
        <w:sz w:val="20"/>
        <w:lang w:val="en-AU"/>
      </w:rPr>
      <w:t>Inshore reef monitoring - Final Report 201</w:t>
    </w:r>
    <w:r>
      <w:rPr>
        <w:sz w:val="20"/>
        <w:lang w:val="en-AU"/>
      </w:rPr>
      <w:t>1</w:t>
    </w:r>
  </w:p>
  <w:p w14:paraId="5F232484" w14:textId="77777777" w:rsidR="009F7BB3" w:rsidRDefault="009F7BB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6542250C"/>
    <w:lvl w:ilvl="0">
      <w:start w:val="1"/>
      <w:numFmt w:val="decimal"/>
      <w:pStyle w:val="ListNumber5"/>
      <w:lvlText w:val="%1."/>
      <w:lvlJc w:val="left"/>
      <w:pPr>
        <w:tabs>
          <w:tab w:val="num" w:pos="1492"/>
        </w:tabs>
        <w:ind w:left="1492" w:hanging="360"/>
      </w:pPr>
    </w:lvl>
  </w:abstractNum>
  <w:abstractNum w:abstractNumId="1">
    <w:nsid w:val="FFFFFF7D"/>
    <w:multiLevelType w:val="singleLevel"/>
    <w:tmpl w:val="699CE452"/>
    <w:lvl w:ilvl="0">
      <w:start w:val="1"/>
      <w:numFmt w:val="decimal"/>
      <w:pStyle w:val="ListNumber4"/>
      <w:lvlText w:val="%1."/>
      <w:lvlJc w:val="left"/>
      <w:pPr>
        <w:tabs>
          <w:tab w:val="num" w:pos="1209"/>
        </w:tabs>
        <w:ind w:left="1209" w:hanging="360"/>
      </w:pPr>
    </w:lvl>
  </w:abstractNum>
  <w:abstractNum w:abstractNumId="2">
    <w:nsid w:val="FFFFFF7E"/>
    <w:multiLevelType w:val="singleLevel"/>
    <w:tmpl w:val="5DD66196"/>
    <w:lvl w:ilvl="0">
      <w:start w:val="1"/>
      <w:numFmt w:val="decimal"/>
      <w:pStyle w:val="ListNumber3"/>
      <w:lvlText w:val="%1."/>
      <w:lvlJc w:val="left"/>
      <w:pPr>
        <w:tabs>
          <w:tab w:val="num" w:pos="926"/>
        </w:tabs>
        <w:ind w:left="926" w:hanging="360"/>
      </w:pPr>
    </w:lvl>
  </w:abstractNum>
  <w:abstractNum w:abstractNumId="3">
    <w:nsid w:val="FFFFFF7F"/>
    <w:multiLevelType w:val="singleLevel"/>
    <w:tmpl w:val="FBB27F0E"/>
    <w:lvl w:ilvl="0">
      <w:start w:val="1"/>
      <w:numFmt w:val="decimal"/>
      <w:pStyle w:val="ListNumber2"/>
      <w:lvlText w:val="%1."/>
      <w:lvlJc w:val="left"/>
      <w:pPr>
        <w:tabs>
          <w:tab w:val="num" w:pos="643"/>
        </w:tabs>
        <w:ind w:left="643" w:hanging="360"/>
      </w:pPr>
    </w:lvl>
  </w:abstractNum>
  <w:abstractNum w:abstractNumId="4">
    <w:nsid w:val="FFFFFF80"/>
    <w:multiLevelType w:val="singleLevel"/>
    <w:tmpl w:val="F86AAFFA"/>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70669988"/>
    <w:lvl w:ilvl="0">
      <w:start w:val="1"/>
      <w:numFmt w:val="bullet"/>
      <w:pStyle w:val="ListBullet4"/>
      <w:lvlText w:val=""/>
      <w:lvlJc w:val="left"/>
      <w:pPr>
        <w:tabs>
          <w:tab w:val="num" w:pos="1209"/>
        </w:tabs>
        <w:ind w:left="1209" w:hanging="360"/>
      </w:pPr>
      <w:rPr>
        <w:rFonts w:ascii="Symbol" w:hAnsi="Symbol" w:hint="default"/>
      </w:rPr>
    </w:lvl>
  </w:abstractNum>
  <w:abstractNum w:abstractNumId="6">
    <w:nsid w:val="FFFFFF82"/>
    <w:multiLevelType w:val="singleLevel"/>
    <w:tmpl w:val="747E62E2"/>
    <w:lvl w:ilvl="0">
      <w:start w:val="1"/>
      <w:numFmt w:val="bullet"/>
      <w:pStyle w:val="ListBullet3"/>
      <w:lvlText w:val=""/>
      <w:lvlJc w:val="left"/>
      <w:pPr>
        <w:tabs>
          <w:tab w:val="num" w:pos="926"/>
        </w:tabs>
        <w:ind w:left="926" w:hanging="360"/>
      </w:pPr>
      <w:rPr>
        <w:rFonts w:ascii="Symbol" w:hAnsi="Symbol" w:hint="default"/>
      </w:rPr>
    </w:lvl>
  </w:abstractNum>
  <w:abstractNum w:abstractNumId="7">
    <w:nsid w:val="FFFFFF88"/>
    <w:multiLevelType w:val="singleLevel"/>
    <w:tmpl w:val="0546B150"/>
    <w:lvl w:ilvl="0">
      <w:start w:val="1"/>
      <w:numFmt w:val="decimal"/>
      <w:pStyle w:val="ListNumber"/>
      <w:lvlText w:val="%1."/>
      <w:lvlJc w:val="left"/>
      <w:pPr>
        <w:tabs>
          <w:tab w:val="num" w:pos="360"/>
        </w:tabs>
        <w:ind w:left="360" w:hanging="360"/>
      </w:pPr>
    </w:lvl>
  </w:abstractNum>
  <w:abstractNum w:abstractNumId="8">
    <w:nsid w:val="FFFFFF89"/>
    <w:multiLevelType w:val="singleLevel"/>
    <w:tmpl w:val="288021F6"/>
    <w:lvl w:ilvl="0">
      <w:start w:val="1"/>
      <w:numFmt w:val="bullet"/>
      <w:pStyle w:val="ListBullet"/>
      <w:lvlText w:val=""/>
      <w:lvlJc w:val="left"/>
      <w:pPr>
        <w:tabs>
          <w:tab w:val="num" w:pos="360"/>
        </w:tabs>
        <w:ind w:left="360" w:hanging="360"/>
      </w:pPr>
      <w:rPr>
        <w:rFonts w:ascii="Symbol" w:hAnsi="Symbol" w:hint="default"/>
      </w:rPr>
    </w:lvl>
  </w:abstractNum>
  <w:abstractNum w:abstractNumId="9">
    <w:nsid w:val="00000057"/>
    <w:multiLevelType w:val="hybridMultilevel"/>
    <w:tmpl w:val="00000058"/>
    <w:lvl w:ilvl="0" w:tplc="04A69E96">
      <w:start w:val="1"/>
      <w:numFmt w:val="decimal"/>
      <w:lvlText w:val="%1."/>
      <w:lvlJc w:val="left"/>
      <w:pPr>
        <w:ind w:left="576" w:hanging="576"/>
      </w:pPr>
    </w:lvl>
    <w:lvl w:ilvl="1" w:tplc="724C67BE">
      <w:start w:val="1"/>
      <w:numFmt w:val="decimal"/>
      <w:lvlText w:val="%2."/>
      <w:lvlJc w:val="left"/>
      <w:pPr>
        <w:ind w:left="1152" w:hanging="576"/>
      </w:pPr>
    </w:lvl>
    <w:lvl w:ilvl="2" w:tplc="8142459E">
      <w:start w:val="1"/>
      <w:numFmt w:val="decimal"/>
      <w:lvlText w:val="%3."/>
      <w:lvlJc w:val="left"/>
      <w:pPr>
        <w:ind w:left="1728" w:hanging="576"/>
      </w:pPr>
    </w:lvl>
    <w:lvl w:ilvl="3" w:tplc="19786B28">
      <w:start w:val="1"/>
      <w:numFmt w:val="decimal"/>
      <w:lvlText w:val="%4."/>
      <w:lvlJc w:val="left"/>
      <w:pPr>
        <w:ind w:left="2304" w:hanging="576"/>
      </w:pPr>
    </w:lvl>
    <w:lvl w:ilvl="4" w:tplc="442CDC48">
      <w:start w:val="1"/>
      <w:numFmt w:val="decimal"/>
      <w:lvlText w:val="%5."/>
      <w:lvlJc w:val="left"/>
      <w:pPr>
        <w:ind w:left="2880" w:hanging="576"/>
      </w:pPr>
    </w:lvl>
    <w:lvl w:ilvl="5" w:tplc="370C4588">
      <w:start w:val="1"/>
      <w:numFmt w:val="decimal"/>
      <w:lvlText w:val="%6."/>
      <w:lvlJc w:val="left"/>
      <w:pPr>
        <w:ind w:left="3456" w:hanging="576"/>
      </w:pPr>
    </w:lvl>
    <w:lvl w:ilvl="6" w:tplc="E5020F82">
      <w:start w:val="1"/>
      <w:numFmt w:val="decimal"/>
      <w:lvlText w:val="%7."/>
      <w:lvlJc w:val="left"/>
      <w:pPr>
        <w:ind w:left="4032" w:hanging="576"/>
      </w:pPr>
    </w:lvl>
    <w:lvl w:ilvl="7" w:tplc="3CB42298">
      <w:start w:val="1"/>
      <w:numFmt w:val="decimal"/>
      <w:lvlText w:val="%8."/>
      <w:lvlJc w:val="left"/>
      <w:pPr>
        <w:ind w:left="4608" w:hanging="576"/>
      </w:pPr>
    </w:lvl>
    <w:lvl w:ilvl="8" w:tplc="ADD67BC0">
      <w:start w:val="1"/>
      <w:numFmt w:val="decimal"/>
      <w:lvlText w:val="%9."/>
      <w:lvlJc w:val="left"/>
      <w:pPr>
        <w:ind w:left="5184" w:hanging="576"/>
      </w:pPr>
    </w:lvl>
  </w:abstractNum>
  <w:abstractNum w:abstractNumId="10">
    <w:nsid w:val="00000059"/>
    <w:multiLevelType w:val="hybridMultilevel"/>
    <w:tmpl w:val="0000005A"/>
    <w:lvl w:ilvl="0" w:tplc="A2C01C26">
      <w:start w:val="1"/>
      <w:numFmt w:val="bullet"/>
      <w:lvlText w:val="● "/>
      <w:lvlJc w:val="left"/>
      <w:pPr>
        <w:ind w:left="576" w:hanging="576"/>
      </w:pPr>
    </w:lvl>
    <w:lvl w:ilvl="1" w:tplc="24F08BFE">
      <w:start w:val="1"/>
      <w:numFmt w:val="bullet"/>
      <w:lvlText w:val="○ "/>
      <w:lvlJc w:val="left"/>
      <w:pPr>
        <w:ind w:left="1152" w:hanging="576"/>
      </w:pPr>
    </w:lvl>
    <w:lvl w:ilvl="2" w:tplc="1CA42A0A">
      <w:start w:val="1"/>
      <w:numFmt w:val="bullet"/>
      <w:lvlText w:val="∎ "/>
      <w:lvlJc w:val="left"/>
      <w:pPr>
        <w:ind w:left="1728" w:hanging="576"/>
      </w:pPr>
    </w:lvl>
    <w:lvl w:ilvl="3" w:tplc="2CD8BA90">
      <w:start w:val="1"/>
      <w:numFmt w:val="bullet"/>
      <w:lvlText w:val="● "/>
      <w:lvlJc w:val="left"/>
      <w:pPr>
        <w:ind w:left="2304" w:hanging="576"/>
      </w:pPr>
    </w:lvl>
    <w:lvl w:ilvl="4" w:tplc="E0E6534A">
      <w:start w:val="1"/>
      <w:numFmt w:val="bullet"/>
      <w:lvlText w:val="○ "/>
      <w:lvlJc w:val="left"/>
      <w:pPr>
        <w:ind w:left="2880" w:hanging="576"/>
      </w:pPr>
    </w:lvl>
    <w:lvl w:ilvl="5" w:tplc="ACF8186A">
      <w:start w:val="1"/>
      <w:numFmt w:val="bullet"/>
      <w:lvlText w:val="∎ "/>
      <w:lvlJc w:val="left"/>
      <w:pPr>
        <w:ind w:left="3456" w:hanging="576"/>
      </w:pPr>
    </w:lvl>
    <w:lvl w:ilvl="6" w:tplc="FE8042C4">
      <w:start w:val="1"/>
      <w:numFmt w:val="bullet"/>
      <w:lvlText w:val="● "/>
      <w:lvlJc w:val="left"/>
      <w:pPr>
        <w:ind w:left="4032" w:hanging="576"/>
      </w:pPr>
    </w:lvl>
    <w:lvl w:ilvl="7" w:tplc="EAD8072C">
      <w:start w:val="1"/>
      <w:numFmt w:val="bullet"/>
      <w:lvlText w:val="○ "/>
      <w:lvlJc w:val="left"/>
      <w:pPr>
        <w:ind w:left="4608" w:hanging="576"/>
      </w:pPr>
    </w:lvl>
    <w:lvl w:ilvl="8" w:tplc="99BA0B94">
      <w:start w:val="1"/>
      <w:numFmt w:val="bullet"/>
      <w:lvlText w:val="∎ "/>
      <w:lvlJc w:val="left"/>
      <w:pPr>
        <w:ind w:left="5184" w:hanging="576"/>
      </w:pPr>
    </w:lvl>
  </w:abstractNum>
  <w:abstractNum w:abstractNumId="11">
    <w:nsid w:val="01500CE1"/>
    <w:multiLevelType w:val="hybridMultilevel"/>
    <w:tmpl w:val="74148B52"/>
    <w:lvl w:ilvl="0" w:tplc="60041868">
      <w:start w:val="1"/>
      <w:numFmt w:val="bullet"/>
      <w:lvlText w:val=""/>
      <w:lvlJc w:val="left"/>
      <w:pPr>
        <w:tabs>
          <w:tab w:val="num" w:pos="568"/>
        </w:tabs>
        <w:ind w:left="568" w:hanging="284"/>
      </w:pPr>
      <w:rPr>
        <w:rFonts w:ascii="Symbol" w:hAnsi="Symbol" w:hint="default"/>
        <w:color w:val="0000FF"/>
      </w:rPr>
    </w:lvl>
    <w:lvl w:ilvl="1" w:tplc="0C090003" w:tentative="1">
      <w:start w:val="1"/>
      <w:numFmt w:val="bullet"/>
      <w:lvlText w:val="o"/>
      <w:lvlJc w:val="left"/>
      <w:pPr>
        <w:tabs>
          <w:tab w:val="num" w:pos="1724"/>
        </w:tabs>
        <w:ind w:left="1724" w:hanging="360"/>
      </w:pPr>
      <w:rPr>
        <w:rFonts w:ascii="Courier New" w:hAnsi="Courier New" w:hint="default"/>
      </w:rPr>
    </w:lvl>
    <w:lvl w:ilvl="2" w:tplc="0C090005" w:tentative="1">
      <w:start w:val="1"/>
      <w:numFmt w:val="bullet"/>
      <w:lvlText w:val=""/>
      <w:lvlJc w:val="left"/>
      <w:pPr>
        <w:tabs>
          <w:tab w:val="num" w:pos="2444"/>
        </w:tabs>
        <w:ind w:left="2444" w:hanging="360"/>
      </w:pPr>
      <w:rPr>
        <w:rFonts w:ascii="Wingdings" w:hAnsi="Wingdings" w:hint="default"/>
      </w:rPr>
    </w:lvl>
    <w:lvl w:ilvl="3" w:tplc="0C090001" w:tentative="1">
      <w:start w:val="1"/>
      <w:numFmt w:val="bullet"/>
      <w:lvlText w:val=""/>
      <w:lvlJc w:val="left"/>
      <w:pPr>
        <w:tabs>
          <w:tab w:val="num" w:pos="3164"/>
        </w:tabs>
        <w:ind w:left="3164" w:hanging="360"/>
      </w:pPr>
      <w:rPr>
        <w:rFonts w:ascii="Symbol" w:hAnsi="Symbol" w:hint="default"/>
      </w:rPr>
    </w:lvl>
    <w:lvl w:ilvl="4" w:tplc="0C090003" w:tentative="1">
      <w:start w:val="1"/>
      <w:numFmt w:val="bullet"/>
      <w:lvlText w:val="o"/>
      <w:lvlJc w:val="left"/>
      <w:pPr>
        <w:tabs>
          <w:tab w:val="num" w:pos="3884"/>
        </w:tabs>
        <w:ind w:left="3884" w:hanging="360"/>
      </w:pPr>
      <w:rPr>
        <w:rFonts w:ascii="Courier New" w:hAnsi="Courier New" w:hint="default"/>
      </w:rPr>
    </w:lvl>
    <w:lvl w:ilvl="5" w:tplc="0C090005" w:tentative="1">
      <w:start w:val="1"/>
      <w:numFmt w:val="bullet"/>
      <w:lvlText w:val=""/>
      <w:lvlJc w:val="left"/>
      <w:pPr>
        <w:tabs>
          <w:tab w:val="num" w:pos="4604"/>
        </w:tabs>
        <w:ind w:left="4604" w:hanging="360"/>
      </w:pPr>
      <w:rPr>
        <w:rFonts w:ascii="Wingdings" w:hAnsi="Wingdings" w:hint="default"/>
      </w:rPr>
    </w:lvl>
    <w:lvl w:ilvl="6" w:tplc="0C090001" w:tentative="1">
      <w:start w:val="1"/>
      <w:numFmt w:val="bullet"/>
      <w:lvlText w:val=""/>
      <w:lvlJc w:val="left"/>
      <w:pPr>
        <w:tabs>
          <w:tab w:val="num" w:pos="5324"/>
        </w:tabs>
        <w:ind w:left="5324" w:hanging="360"/>
      </w:pPr>
      <w:rPr>
        <w:rFonts w:ascii="Symbol" w:hAnsi="Symbol" w:hint="default"/>
      </w:rPr>
    </w:lvl>
    <w:lvl w:ilvl="7" w:tplc="0C090003" w:tentative="1">
      <w:start w:val="1"/>
      <w:numFmt w:val="bullet"/>
      <w:lvlText w:val="o"/>
      <w:lvlJc w:val="left"/>
      <w:pPr>
        <w:tabs>
          <w:tab w:val="num" w:pos="6044"/>
        </w:tabs>
        <w:ind w:left="6044" w:hanging="360"/>
      </w:pPr>
      <w:rPr>
        <w:rFonts w:ascii="Courier New" w:hAnsi="Courier New" w:hint="default"/>
      </w:rPr>
    </w:lvl>
    <w:lvl w:ilvl="8" w:tplc="0C090005" w:tentative="1">
      <w:start w:val="1"/>
      <w:numFmt w:val="bullet"/>
      <w:lvlText w:val=""/>
      <w:lvlJc w:val="left"/>
      <w:pPr>
        <w:tabs>
          <w:tab w:val="num" w:pos="6764"/>
        </w:tabs>
        <w:ind w:left="6764" w:hanging="360"/>
      </w:pPr>
      <w:rPr>
        <w:rFonts w:ascii="Wingdings" w:hAnsi="Wingdings" w:hint="default"/>
      </w:rPr>
    </w:lvl>
  </w:abstractNum>
  <w:abstractNum w:abstractNumId="12">
    <w:nsid w:val="023A1100"/>
    <w:multiLevelType w:val="hybridMultilevel"/>
    <w:tmpl w:val="236C3346"/>
    <w:lvl w:ilvl="0" w:tplc="1D3A838C">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nsid w:val="039B119D"/>
    <w:multiLevelType w:val="hybridMultilevel"/>
    <w:tmpl w:val="D90662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06581EC8"/>
    <w:multiLevelType w:val="hybridMultilevel"/>
    <w:tmpl w:val="1352AFA4"/>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nsid w:val="069E0EC9"/>
    <w:multiLevelType w:val="hybridMultilevel"/>
    <w:tmpl w:val="71D46148"/>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nsid w:val="0B4A4E21"/>
    <w:multiLevelType w:val="multilevel"/>
    <w:tmpl w:val="1DD03ED6"/>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7">
    <w:nsid w:val="0CBD6B66"/>
    <w:multiLevelType w:val="hybridMultilevel"/>
    <w:tmpl w:val="F51E468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8">
    <w:nsid w:val="0D3F63E5"/>
    <w:multiLevelType w:val="hybridMultilevel"/>
    <w:tmpl w:val="B950D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0F8D4F32"/>
    <w:multiLevelType w:val="hybridMultilevel"/>
    <w:tmpl w:val="D5280500"/>
    <w:lvl w:ilvl="0" w:tplc="535A2364">
      <w:start w:val="1"/>
      <w:numFmt w:val="bullet"/>
      <w:pStyle w:val="Dotinden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12E042D4"/>
    <w:multiLevelType w:val="hybridMultilevel"/>
    <w:tmpl w:val="EC980F8E"/>
    <w:lvl w:ilvl="0" w:tplc="F5F0B1B4">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nsid w:val="15FD34E9"/>
    <w:multiLevelType w:val="hybridMultilevel"/>
    <w:tmpl w:val="06089F90"/>
    <w:lvl w:ilvl="0" w:tplc="ED2A1690">
      <w:start w:val="1"/>
      <w:numFmt w:val="decimal"/>
      <w:lvlText w:val="5.3.%1"/>
      <w:lvlJc w:val="left"/>
      <w:pPr>
        <w:ind w:left="720" w:hanging="360"/>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nsid w:val="16ED31B3"/>
    <w:multiLevelType w:val="multilevel"/>
    <w:tmpl w:val="63AE6BEE"/>
    <w:lvl w:ilvl="0">
      <w:start w:val="1"/>
      <w:numFmt w:val="decimal"/>
      <w:lvlText w:val="%1."/>
      <w:lvlJc w:val="left"/>
      <w:pPr>
        <w:ind w:left="432" w:hanging="432"/>
      </w:pPr>
      <w:rPr>
        <w:rFonts w:hint="default"/>
      </w:rPr>
    </w:lvl>
    <w:lvl w:ilvl="1">
      <w:start w:val="1"/>
      <w:numFmt w:val="decimal"/>
      <w:lvlText w:val="%1.%2"/>
      <w:lvlJc w:val="left"/>
      <w:pPr>
        <w:ind w:left="576" w:hanging="57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nsid w:val="18E12D21"/>
    <w:multiLevelType w:val="hybridMultilevel"/>
    <w:tmpl w:val="C520186C"/>
    <w:lvl w:ilvl="0" w:tplc="276487EA">
      <w:start w:val="1"/>
      <w:numFmt w:val="decimal"/>
      <w:pStyle w:val="appendixheading"/>
      <w:lvlText w:val="Appendix.%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1C7C022C"/>
    <w:multiLevelType w:val="hybridMultilevel"/>
    <w:tmpl w:val="D4EAAEBC"/>
    <w:lvl w:ilvl="0" w:tplc="34D06A2E">
      <w:start w:val="1"/>
      <w:numFmt w:val="decimal"/>
      <w:lvlText w:val="%1."/>
      <w:lvlJc w:val="left"/>
      <w:pPr>
        <w:ind w:left="912" w:hanging="552"/>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nsid w:val="1CBD30F9"/>
    <w:multiLevelType w:val="hybridMultilevel"/>
    <w:tmpl w:val="DFF20C9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nsid w:val="1DCC4458"/>
    <w:multiLevelType w:val="hybridMultilevel"/>
    <w:tmpl w:val="F8128246"/>
    <w:lvl w:ilvl="0" w:tplc="2D48B226">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7">
    <w:nsid w:val="1F495B66"/>
    <w:multiLevelType w:val="hybridMultilevel"/>
    <w:tmpl w:val="43A6C13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8">
    <w:nsid w:val="20EE73FE"/>
    <w:multiLevelType w:val="hybridMultilevel"/>
    <w:tmpl w:val="420C229A"/>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9">
    <w:nsid w:val="21AD29B3"/>
    <w:multiLevelType w:val="hybridMultilevel"/>
    <w:tmpl w:val="DEC4C536"/>
    <w:lvl w:ilvl="0" w:tplc="A9FA4E86">
      <w:numFmt w:val="bullet"/>
      <w:lvlText w:val="•"/>
      <w:lvlJc w:val="left"/>
      <w:pPr>
        <w:ind w:left="720" w:hanging="360"/>
      </w:pPr>
      <w:rPr>
        <w:rFonts w:ascii="SymbolMT" w:eastAsia="Times New Roman" w:hAnsi="SymbolMT" w:cs="SymbolM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22DA2C0A"/>
    <w:multiLevelType w:val="hybridMultilevel"/>
    <w:tmpl w:val="0BF282B0"/>
    <w:lvl w:ilvl="0" w:tplc="20607A30">
      <w:numFmt w:val="bullet"/>
      <w:lvlText w:val="-"/>
      <w:lvlJc w:val="left"/>
      <w:pPr>
        <w:ind w:left="720" w:hanging="36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nsid w:val="23720760"/>
    <w:multiLevelType w:val="hybridMultilevel"/>
    <w:tmpl w:val="369EBB6A"/>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2">
    <w:nsid w:val="23BD367D"/>
    <w:multiLevelType w:val="hybridMultilevel"/>
    <w:tmpl w:val="163086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242A258A"/>
    <w:multiLevelType w:val="hybridMultilevel"/>
    <w:tmpl w:val="9E5E04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nsid w:val="246A1DD4"/>
    <w:multiLevelType w:val="hybridMultilevel"/>
    <w:tmpl w:val="12F0EB5A"/>
    <w:lvl w:ilvl="0" w:tplc="E09A1D1E">
      <w:start w:val="1"/>
      <w:numFmt w:val="bullet"/>
      <w:lvlText w:val=""/>
      <w:lvlJc w:val="left"/>
      <w:pPr>
        <w:ind w:left="720" w:hanging="360"/>
      </w:pPr>
      <w:rPr>
        <w:rFonts w:ascii="Wingdings" w:hAnsi="Wingdings" w:hint="default"/>
        <w:color w:val="auto"/>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nsid w:val="26385FAE"/>
    <w:multiLevelType w:val="hybridMultilevel"/>
    <w:tmpl w:val="AF76D7B4"/>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nsid w:val="2BCB51EC"/>
    <w:multiLevelType w:val="hybridMultilevel"/>
    <w:tmpl w:val="32D81A5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nsid w:val="2BCE347A"/>
    <w:multiLevelType w:val="hybridMultilevel"/>
    <w:tmpl w:val="F6B878F2"/>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38">
    <w:nsid w:val="2C7E1267"/>
    <w:multiLevelType w:val="hybridMultilevel"/>
    <w:tmpl w:val="3BBE4DE0"/>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9">
    <w:nsid w:val="2D4B5F01"/>
    <w:multiLevelType w:val="hybridMultilevel"/>
    <w:tmpl w:val="F7C61F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nsid w:val="2DA013B2"/>
    <w:multiLevelType w:val="hybridMultilevel"/>
    <w:tmpl w:val="CC56A114"/>
    <w:lvl w:ilvl="0" w:tplc="81DE9BB4">
      <w:start w:val="1"/>
      <w:numFmt w:val="decimal"/>
      <w:lvlText w:val="%1.1.1"/>
      <w:lvlJc w:val="left"/>
      <w:pPr>
        <w:ind w:left="720" w:hanging="360"/>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1">
    <w:nsid w:val="304E6F38"/>
    <w:multiLevelType w:val="hybridMultilevel"/>
    <w:tmpl w:val="5BBA40EC"/>
    <w:lvl w:ilvl="0" w:tplc="14FEB962">
      <w:start w:val="1"/>
      <w:numFmt w:val="bullet"/>
      <w:pStyle w:val="CommentText"/>
      <w:lvlText w:val=""/>
      <w:lvlJc w:val="left"/>
      <w:pPr>
        <w:tabs>
          <w:tab w:val="num" w:pos="432"/>
        </w:tabs>
        <w:ind w:left="432" w:hanging="432"/>
      </w:pPr>
      <w:rPr>
        <w:rFonts w:ascii="Wingdings 2" w:hAnsi="Wingdings 2" w:hint="default"/>
        <w:color w:val="808080"/>
        <w:sz w:val="20"/>
      </w:rPr>
    </w:lvl>
    <w:lvl w:ilvl="1" w:tplc="0C090003">
      <w:start w:val="1"/>
      <w:numFmt w:val="bullet"/>
      <w:lvlText w:val="o"/>
      <w:lvlJc w:val="left"/>
      <w:pPr>
        <w:tabs>
          <w:tab w:val="num" w:pos="1495"/>
        </w:tabs>
        <w:ind w:left="1495"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42">
    <w:nsid w:val="305604EB"/>
    <w:multiLevelType w:val="hybridMultilevel"/>
    <w:tmpl w:val="06FE9280"/>
    <w:lvl w:ilvl="0" w:tplc="34D06A2E">
      <w:start w:val="1"/>
      <w:numFmt w:val="decimal"/>
      <w:lvlText w:val="%1."/>
      <w:lvlJc w:val="left"/>
      <w:pPr>
        <w:ind w:left="836" w:hanging="552"/>
      </w:pPr>
      <w:rPr>
        <w:rFonts w:hint="default"/>
      </w:rPr>
    </w:lvl>
    <w:lvl w:ilvl="1" w:tplc="E18A24BE">
      <w:start w:val="1"/>
      <w:numFmt w:val="lowerLetter"/>
      <w:lvlText w:val="%2."/>
      <w:lvlJc w:val="left"/>
      <w:pPr>
        <w:ind w:left="1616" w:hanging="612"/>
      </w:pPr>
      <w:rPr>
        <w:rFonts w:hint="default"/>
      </w:rPr>
    </w:lvl>
    <w:lvl w:ilvl="2" w:tplc="0C09001B" w:tentative="1">
      <w:start w:val="1"/>
      <w:numFmt w:val="lowerRoman"/>
      <w:lvlText w:val="%3."/>
      <w:lvlJc w:val="right"/>
      <w:pPr>
        <w:ind w:left="2084" w:hanging="180"/>
      </w:pPr>
    </w:lvl>
    <w:lvl w:ilvl="3" w:tplc="0C09000F" w:tentative="1">
      <w:start w:val="1"/>
      <w:numFmt w:val="decimal"/>
      <w:lvlText w:val="%4."/>
      <w:lvlJc w:val="left"/>
      <w:pPr>
        <w:ind w:left="2804" w:hanging="360"/>
      </w:pPr>
    </w:lvl>
    <w:lvl w:ilvl="4" w:tplc="0C090019" w:tentative="1">
      <w:start w:val="1"/>
      <w:numFmt w:val="lowerLetter"/>
      <w:lvlText w:val="%5."/>
      <w:lvlJc w:val="left"/>
      <w:pPr>
        <w:ind w:left="3524" w:hanging="360"/>
      </w:pPr>
    </w:lvl>
    <w:lvl w:ilvl="5" w:tplc="0C09001B" w:tentative="1">
      <w:start w:val="1"/>
      <w:numFmt w:val="lowerRoman"/>
      <w:lvlText w:val="%6."/>
      <w:lvlJc w:val="right"/>
      <w:pPr>
        <w:ind w:left="4244" w:hanging="180"/>
      </w:pPr>
    </w:lvl>
    <w:lvl w:ilvl="6" w:tplc="0C09000F" w:tentative="1">
      <w:start w:val="1"/>
      <w:numFmt w:val="decimal"/>
      <w:lvlText w:val="%7."/>
      <w:lvlJc w:val="left"/>
      <w:pPr>
        <w:ind w:left="4964" w:hanging="360"/>
      </w:pPr>
    </w:lvl>
    <w:lvl w:ilvl="7" w:tplc="0C090019" w:tentative="1">
      <w:start w:val="1"/>
      <w:numFmt w:val="lowerLetter"/>
      <w:lvlText w:val="%8."/>
      <w:lvlJc w:val="left"/>
      <w:pPr>
        <w:ind w:left="5684" w:hanging="360"/>
      </w:pPr>
    </w:lvl>
    <w:lvl w:ilvl="8" w:tplc="0C09001B" w:tentative="1">
      <w:start w:val="1"/>
      <w:numFmt w:val="lowerRoman"/>
      <w:lvlText w:val="%9."/>
      <w:lvlJc w:val="right"/>
      <w:pPr>
        <w:ind w:left="6404" w:hanging="180"/>
      </w:pPr>
    </w:lvl>
  </w:abstractNum>
  <w:abstractNum w:abstractNumId="43">
    <w:nsid w:val="308C33C2"/>
    <w:multiLevelType w:val="hybridMultilevel"/>
    <w:tmpl w:val="AF4CA1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Wingdings"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Wingdings"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Wingdings" w:hint="default"/>
      </w:rPr>
    </w:lvl>
    <w:lvl w:ilvl="8" w:tplc="0C090005" w:tentative="1">
      <w:start w:val="1"/>
      <w:numFmt w:val="bullet"/>
      <w:lvlText w:val=""/>
      <w:lvlJc w:val="left"/>
      <w:pPr>
        <w:ind w:left="6480" w:hanging="360"/>
      </w:pPr>
      <w:rPr>
        <w:rFonts w:ascii="Wingdings" w:hAnsi="Wingdings" w:hint="default"/>
      </w:rPr>
    </w:lvl>
  </w:abstractNum>
  <w:abstractNum w:abstractNumId="44">
    <w:nsid w:val="31B410F3"/>
    <w:multiLevelType w:val="hybridMultilevel"/>
    <w:tmpl w:val="F6F0F2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5">
    <w:nsid w:val="350E26AC"/>
    <w:multiLevelType w:val="hybridMultilevel"/>
    <w:tmpl w:val="B710700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6">
    <w:nsid w:val="354D14C7"/>
    <w:multiLevelType w:val="hybridMultilevel"/>
    <w:tmpl w:val="75FA53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370320A8"/>
    <w:multiLevelType w:val="hybridMultilevel"/>
    <w:tmpl w:val="43F0CA2C"/>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8">
    <w:nsid w:val="3C2C150D"/>
    <w:multiLevelType w:val="hybridMultilevel"/>
    <w:tmpl w:val="962A54D6"/>
    <w:lvl w:ilvl="0" w:tplc="1530499A">
      <w:start w:val="1"/>
      <w:numFmt w:val="decimal"/>
      <w:lvlText w:val="%1."/>
      <w:lvlJc w:val="left"/>
      <w:pPr>
        <w:ind w:left="216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9">
    <w:nsid w:val="3CCF0839"/>
    <w:multiLevelType w:val="hybridMultilevel"/>
    <w:tmpl w:val="4A143AE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4119255C"/>
    <w:multiLevelType w:val="hybridMultilevel"/>
    <w:tmpl w:val="A72CB28E"/>
    <w:lvl w:ilvl="0" w:tplc="80B6443A">
      <w:start w:val="1"/>
      <w:numFmt w:val="decimal"/>
      <w:pStyle w:val="Heading3"/>
      <w:lvlText w:val="5.4.%1"/>
      <w:lvlJc w:val="left"/>
      <w:pPr>
        <w:ind w:left="1097" w:hanging="360"/>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C090019" w:tentative="1">
      <w:start w:val="1"/>
      <w:numFmt w:val="lowerLetter"/>
      <w:lvlText w:val="%2."/>
      <w:lvlJc w:val="left"/>
      <w:pPr>
        <w:ind w:left="1457" w:hanging="360"/>
      </w:pPr>
    </w:lvl>
    <w:lvl w:ilvl="2" w:tplc="0C09001B">
      <w:start w:val="1"/>
      <w:numFmt w:val="lowerRoman"/>
      <w:lvlText w:val="%3."/>
      <w:lvlJc w:val="right"/>
      <w:pPr>
        <w:ind w:left="2177" w:hanging="180"/>
      </w:pPr>
    </w:lvl>
    <w:lvl w:ilvl="3" w:tplc="0C09000F" w:tentative="1">
      <w:start w:val="1"/>
      <w:numFmt w:val="decimal"/>
      <w:lvlText w:val="%4."/>
      <w:lvlJc w:val="left"/>
      <w:pPr>
        <w:ind w:left="2897" w:hanging="360"/>
      </w:pPr>
    </w:lvl>
    <w:lvl w:ilvl="4" w:tplc="0C090019" w:tentative="1">
      <w:start w:val="1"/>
      <w:numFmt w:val="lowerLetter"/>
      <w:lvlText w:val="%5."/>
      <w:lvlJc w:val="left"/>
      <w:pPr>
        <w:ind w:left="3617" w:hanging="360"/>
      </w:pPr>
    </w:lvl>
    <w:lvl w:ilvl="5" w:tplc="0C09001B" w:tentative="1">
      <w:start w:val="1"/>
      <w:numFmt w:val="lowerRoman"/>
      <w:lvlText w:val="%6."/>
      <w:lvlJc w:val="right"/>
      <w:pPr>
        <w:ind w:left="4337" w:hanging="180"/>
      </w:pPr>
    </w:lvl>
    <w:lvl w:ilvl="6" w:tplc="0C09000F" w:tentative="1">
      <w:start w:val="1"/>
      <w:numFmt w:val="decimal"/>
      <w:lvlText w:val="%7."/>
      <w:lvlJc w:val="left"/>
      <w:pPr>
        <w:ind w:left="5057" w:hanging="360"/>
      </w:pPr>
    </w:lvl>
    <w:lvl w:ilvl="7" w:tplc="0C090019" w:tentative="1">
      <w:start w:val="1"/>
      <w:numFmt w:val="lowerLetter"/>
      <w:lvlText w:val="%8."/>
      <w:lvlJc w:val="left"/>
      <w:pPr>
        <w:ind w:left="5777" w:hanging="360"/>
      </w:pPr>
    </w:lvl>
    <w:lvl w:ilvl="8" w:tplc="0C09001B" w:tentative="1">
      <w:start w:val="1"/>
      <w:numFmt w:val="lowerRoman"/>
      <w:lvlText w:val="%9."/>
      <w:lvlJc w:val="right"/>
      <w:pPr>
        <w:ind w:left="6497" w:hanging="180"/>
      </w:pPr>
    </w:lvl>
  </w:abstractNum>
  <w:abstractNum w:abstractNumId="51">
    <w:nsid w:val="439A39DC"/>
    <w:multiLevelType w:val="hybridMultilevel"/>
    <w:tmpl w:val="6EA0805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Wingdings"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Wingdings"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Wingdings" w:hint="default"/>
      </w:rPr>
    </w:lvl>
    <w:lvl w:ilvl="8" w:tplc="0C090005" w:tentative="1">
      <w:start w:val="1"/>
      <w:numFmt w:val="bullet"/>
      <w:lvlText w:val=""/>
      <w:lvlJc w:val="left"/>
      <w:pPr>
        <w:ind w:left="6480" w:hanging="360"/>
      </w:pPr>
      <w:rPr>
        <w:rFonts w:ascii="Wingdings" w:hAnsi="Wingdings" w:hint="default"/>
      </w:rPr>
    </w:lvl>
  </w:abstractNum>
  <w:abstractNum w:abstractNumId="52">
    <w:nsid w:val="43E864AA"/>
    <w:multiLevelType w:val="multilevel"/>
    <w:tmpl w:val="2CFC4E06"/>
    <w:lvl w:ilvl="0">
      <w:start w:val="3"/>
      <w:numFmt w:val="decimal"/>
      <w:lvlText w:val="%1"/>
      <w:lvlJc w:val="left"/>
      <w:pPr>
        <w:tabs>
          <w:tab w:val="num" w:pos="780"/>
        </w:tabs>
        <w:ind w:left="780" w:hanging="780"/>
      </w:pPr>
      <w:rPr>
        <w:rFonts w:cs="Times New Roman" w:hint="default"/>
        <w:color w:val="auto"/>
      </w:rPr>
    </w:lvl>
    <w:lvl w:ilvl="1">
      <w:start w:val="2"/>
      <w:numFmt w:val="decimal"/>
      <w:lvlText w:val="%1.%2"/>
      <w:lvlJc w:val="left"/>
      <w:pPr>
        <w:tabs>
          <w:tab w:val="num" w:pos="780"/>
        </w:tabs>
        <w:ind w:left="780" w:hanging="780"/>
      </w:pPr>
      <w:rPr>
        <w:rFonts w:cs="Times New Roman" w:hint="default"/>
        <w:color w:val="auto"/>
      </w:rPr>
    </w:lvl>
    <w:lvl w:ilvl="2">
      <w:start w:val="2"/>
      <w:numFmt w:val="decimal"/>
      <w:lvlText w:val="%1.%2.%3"/>
      <w:lvlJc w:val="left"/>
      <w:pPr>
        <w:tabs>
          <w:tab w:val="num" w:pos="780"/>
        </w:tabs>
        <w:ind w:left="780" w:hanging="780"/>
      </w:pPr>
      <w:rPr>
        <w:rFonts w:cs="Times New Roman" w:hint="default"/>
        <w:color w:val="auto"/>
      </w:rPr>
    </w:lvl>
    <w:lvl w:ilvl="3">
      <w:start w:val="1"/>
      <w:numFmt w:val="decimal"/>
      <w:lvlText w:val="%1.%2.%3.%4"/>
      <w:lvlJc w:val="left"/>
      <w:pPr>
        <w:tabs>
          <w:tab w:val="num" w:pos="780"/>
        </w:tabs>
        <w:ind w:left="780" w:hanging="780"/>
      </w:pPr>
      <w:rPr>
        <w:rFonts w:cs="Times New Roman" w:hint="default"/>
        <w:color w:val="auto"/>
      </w:rPr>
    </w:lvl>
    <w:lvl w:ilvl="4">
      <w:start w:val="1"/>
      <w:numFmt w:val="decimal"/>
      <w:lvlText w:val="%1.%2.%3.%4.%5"/>
      <w:lvlJc w:val="left"/>
      <w:pPr>
        <w:tabs>
          <w:tab w:val="num" w:pos="1080"/>
        </w:tabs>
        <w:ind w:left="1080" w:hanging="1080"/>
      </w:pPr>
      <w:rPr>
        <w:rFonts w:cs="Times New Roman" w:hint="default"/>
        <w:color w:val="auto"/>
      </w:rPr>
    </w:lvl>
    <w:lvl w:ilvl="5">
      <w:start w:val="1"/>
      <w:numFmt w:val="decimal"/>
      <w:lvlText w:val="%1.%2.%3.%4.%5.%6"/>
      <w:lvlJc w:val="left"/>
      <w:pPr>
        <w:tabs>
          <w:tab w:val="num" w:pos="1080"/>
        </w:tabs>
        <w:ind w:left="1080" w:hanging="1080"/>
      </w:pPr>
      <w:rPr>
        <w:rFonts w:cs="Times New Roman" w:hint="default"/>
        <w:color w:val="auto"/>
      </w:rPr>
    </w:lvl>
    <w:lvl w:ilvl="6">
      <w:start w:val="1"/>
      <w:numFmt w:val="decimal"/>
      <w:lvlText w:val="%1.%2.%3.%4.%5.%6.%7"/>
      <w:lvlJc w:val="left"/>
      <w:pPr>
        <w:tabs>
          <w:tab w:val="num" w:pos="1440"/>
        </w:tabs>
        <w:ind w:left="1440" w:hanging="1440"/>
      </w:pPr>
      <w:rPr>
        <w:rFonts w:cs="Times New Roman" w:hint="default"/>
        <w:color w:val="auto"/>
      </w:rPr>
    </w:lvl>
    <w:lvl w:ilvl="7">
      <w:start w:val="1"/>
      <w:numFmt w:val="decimal"/>
      <w:lvlText w:val="%1.%2.%3.%4.%5.%6.%7.%8"/>
      <w:lvlJc w:val="left"/>
      <w:pPr>
        <w:tabs>
          <w:tab w:val="num" w:pos="1440"/>
        </w:tabs>
        <w:ind w:left="1440" w:hanging="1440"/>
      </w:pPr>
      <w:rPr>
        <w:rFonts w:cs="Times New Roman" w:hint="default"/>
        <w:color w:val="auto"/>
      </w:rPr>
    </w:lvl>
    <w:lvl w:ilvl="8">
      <w:start w:val="1"/>
      <w:numFmt w:val="decimal"/>
      <w:lvlText w:val="%1.%2.%3.%4.%5.%6.%7.%8.%9"/>
      <w:lvlJc w:val="left"/>
      <w:pPr>
        <w:tabs>
          <w:tab w:val="num" w:pos="1800"/>
        </w:tabs>
        <w:ind w:left="1800" w:hanging="1800"/>
      </w:pPr>
      <w:rPr>
        <w:rFonts w:cs="Times New Roman" w:hint="default"/>
        <w:color w:val="auto"/>
      </w:rPr>
    </w:lvl>
  </w:abstractNum>
  <w:abstractNum w:abstractNumId="53">
    <w:nsid w:val="44215EA0"/>
    <w:multiLevelType w:val="hybridMultilevel"/>
    <w:tmpl w:val="F06E5934"/>
    <w:lvl w:ilvl="0" w:tplc="0C09000F">
      <w:start w:val="1"/>
      <w:numFmt w:val="decimal"/>
      <w:lvlText w:val="%1."/>
      <w:lvlJc w:val="left"/>
      <w:pPr>
        <w:ind w:left="1146" w:hanging="360"/>
      </w:pPr>
    </w:lvl>
    <w:lvl w:ilvl="1" w:tplc="0C090019" w:tentative="1">
      <w:start w:val="1"/>
      <w:numFmt w:val="lowerLetter"/>
      <w:lvlText w:val="%2."/>
      <w:lvlJc w:val="left"/>
      <w:pPr>
        <w:ind w:left="1866" w:hanging="360"/>
      </w:pPr>
    </w:lvl>
    <w:lvl w:ilvl="2" w:tplc="0C09001B" w:tentative="1">
      <w:start w:val="1"/>
      <w:numFmt w:val="lowerRoman"/>
      <w:lvlText w:val="%3."/>
      <w:lvlJc w:val="right"/>
      <w:pPr>
        <w:ind w:left="2586" w:hanging="180"/>
      </w:pPr>
    </w:lvl>
    <w:lvl w:ilvl="3" w:tplc="0C09000F" w:tentative="1">
      <w:start w:val="1"/>
      <w:numFmt w:val="decimal"/>
      <w:lvlText w:val="%4."/>
      <w:lvlJc w:val="left"/>
      <w:pPr>
        <w:ind w:left="3306" w:hanging="360"/>
      </w:pPr>
    </w:lvl>
    <w:lvl w:ilvl="4" w:tplc="0C090019" w:tentative="1">
      <w:start w:val="1"/>
      <w:numFmt w:val="lowerLetter"/>
      <w:lvlText w:val="%5."/>
      <w:lvlJc w:val="left"/>
      <w:pPr>
        <w:ind w:left="4026" w:hanging="360"/>
      </w:pPr>
    </w:lvl>
    <w:lvl w:ilvl="5" w:tplc="0C09001B" w:tentative="1">
      <w:start w:val="1"/>
      <w:numFmt w:val="lowerRoman"/>
      <w:lvlText w:val="%6."/>
      <w:lvlJc w:val="right"/>
      <w:pPr>
        <w:ind w:left="4746" w:hanging="180"/>
      </w:pPr>
    </w:lvl>
    <w:lvl w:ilvl="6" w:tplc="0C09000F" w:tentative="1">
      <w:start w:val="1"/>
      <w:numFmt w:val="decimal"/>
      <w:lvlText w:val="%7."/>
      <w:lvlJc w:val="left"/>
      <w:pPr>
        <w:ind w:left="5466" w:hanging="360"/>
      </w:pPr>
    </w:lvl>
    <w:lvl w:ilvl="7" w:tplc="0C090019" w:tentative="1">
      <w:start w:val="1"/>
      <w:numFmt w:val="lowerLetter"/>
      <w:lvlText w:val="%8."/>
      <w:lvlJc w:val="left"/>
      <w:pPr>
        <w:ind w:left="6186" w:hanging="360"/>
      </w:pPr>
    </w:lvl>
    <w:lvl w:ilvl="8" w:tplc="0C09001B" w:tentative="1">
      <w:start w:val="1"/>
      <w:numFmt w:val="lowerRoman"/>
      <w:lvlText w:val="%9."/>
      <w:lvlJc w:val="right"/>
      <w:pPr>
        <w:ind w:left="6906" w:hanging="180"/>
      </w:pPr>
    </w:lvl>
  </w:abstractNum>
  <w:abstractNum w:abstractNumId="54">
    <w:nsid w:val="445A6CD9"/>
    <w:multiLevelType w:val="multilevel"/>
    <w:tmpl w:val="1C1A9256"/>
    <w:styleLink w:val="Style5"/>
    <w:lvl w:ilvl="0">
      <w:start w:val="1"/>
      <w:numFmt w:val="decimal"/>
      <w:lvlText w:val="2.%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5">
    <w:nsid w:val="460C77E7"/>
    <w:multiLevelType w:val="hybridMultilevel"/>
    <w:tmpl w:val="4B52D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46E20577"/>
    <w:multiLevelType w:val="hybridMultilevel"/>
    <w:tmpl w:val="F8128246"/>
    <w:lvl w:ilvl="0" w:tplc="2D48B226">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7">
    <w:nsid w:val="4B3B69F3"/>
    <w:multiLevelType w:val="hybridMultilevel"/>
    <w:tmpl w:val="94C61B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nsid w:val="4BE01251"/>
    <w:multiLevelType w:val="hybridMultilevel"/>
    <w:tmpl w:val="5FF26260"/>
    <w:lvl w:ilvl="0" w:tplc="19DEC606">
      <w:start w:val="1"/>
      <w:numFmt w:val="bullet"/>
      <w:lvlText w:val="-"/>
      <w:lvlJc w:val="left"/>
      <w:pPr>
        <w:ind w:left="720" w:hanging="360"/>
      </w:pPr>
      <w:rPr>
        <w:rFonts w:ascii="Calibri" w:eastAsia="Times New Roman" w:hAnsi="Calibri"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9">
    <w:nsid w:val="4C603F95"/>
    <w:multiLevelType w:val="hybridMultilevel"/>
    <w:tmpl w:val="D4BA90F4"/>
    <w:lvl w:ilvl="0" w:tplc="F6920AD2">
      <w:start w:val="1"/>
      <w:numFmt w:val="bullet"/>
      <w:lvlText w:val=""/>
      <w:lvlJc w:val="left"/>
      <w:pPr>
        <w:ind w:left="720" w:hanging="360"/>
      </w:pPr>
      <w:rPr>
        <w:rFonts w:ascii="Wingdings" w:hAnsi="Wingdings" w:hint="default"/>
        <w:color w:val="auto"/>
      </w:rPr>
    </w:lvl>
    <w:lvl w:ilvl="1" w:tplc="9D16E4C2" w:tentative="1">
      <w:start w:val="1"/>
      <w:numFmt w:val="bullet"/>
      <w:lvlText w:val="o"/>
      <w:lvlJc w:val="left"/>
      <w:pPr>
        <w:ind w:left="1440" w:hanging="360"/>
      </w:pPr>
      <w:rPr>
        <w:rFonts w:ascii="Courier New" w:hAnsi="Courier New" w:cs="Courier New" w:hint="default"/>
      </w:rPr>
    </w:lvl>
    <w:lvl w:ilvl="2" w:tplc="6946132A" w:tentative="1">
      <w:start w:val="1"/>
      <w:numFmt w:val="bullet"/>
      <w:lvlText w:val=""/>
      <w:lvlJc w:val="left"/>
      <w:pPr>
        <w:ind w:left="2160" w:hanging="360"/>
      </w:pPr>
      <w:rPr>
        <w:rFonts w:ascii="Wingdings" w:hAnsi="Wingdings" w:hint="default"/>
      </w:rPr>
    </w:lvl>
    <w:lvl w:ilvl="3" w:tplc="8ABCD0B4" w:tentative="1">
      <w:start w:val="1"/>
      <w:numFmt w:val="bullet"/>
      <w:lvlText w:val=""/>
      <w:lvlJc w:val="left"/>
      <w:pPr>
        <w:ind w:left="2880" w:hanging="360"/>
      </w:pPr>
      <w:rPr>
        <w:rFonts w:ascii="Symbol" w:hAnsi="Symbol" w:hint="default"/>
      </w:rPr>
    </w:lvl>
    <w:lvl w:ilvl="4" w:tplc="03EA99BE" w:tentative="1">
      <w:start w:val="1"/>
      <w:numFmt w:val="bullet"/>
      <w:lvlText w:val="o"/>
      <w:lvlJc w:val="left"/>
      <w:pPr>
        <w:ind w:left="3600" w:hanging="360"/>
      </w:pPr>
      <w:rPr>
        <w:rFonts w:ascii="Courier New" w:hAnsi="Courier New" w:cs="Courier New" w:hint="default"/>
      </w:rPr>
    </w:lvl>
    <w:lvl w:ilvl="5" w:tplc="9AC2A556" w:tentative="1">
      <w:start w:val="1"/>
      <w:numFmt w:val="bullet"/>
      <w:lvlText w:val=""/>
      <w:lvlJc w:val="left"/>
      <w:pPr>
        <w:ind w:left="4320" w:hanging="360"/>
      </w:pPr>
      <w:rPr>
        <w:rFonts w:ascii="Wingdings" w:hAnsi="Wingdings" w:hint="default"/>
      </w:rPr>
    </w:lvl>
    <w:lvl w:ilvl="6" w:tplc="862A6716" w:tentative="1">
      <w:start w:val="1"/>
      <w:numFmt w:val="bullet"/>
      <w:lvlText w:val=""/>
      <w:lvlJc w:val="left"/>
      <w:pPr>
        <w:ind w:left="5040" w:hanging="360"/>
      </w:pPr>
      <w:rPr>
        <w:rFonts w:ascii="Symbol" w:hAnsi="Symbol" w:hint="default"/>
      </w:rPr>
    </w:lvl>
    <w:lvl w:ilvl="7" w:tplc="2B305858" w:tentative="1">
      <w:start w:val="1"/>
      <w:numFmt w:val="bullet"/>
      <w:lvlText w:val="o"/>
      <w:lvlJc w:val="left"/>
      <w:pPr>
        <w:ind w:left="5760" w:hanging="360"/>
      </w:pPr>
      <w:rPr>
        <w:rFonts w:ascii="Courier New" w:hAnsi="Courier New" w:cs="Courier New" w:hint="default"/>
      </w:rPr>
    </w:lvl>
    <w:lvl w:ilvl="8" w:tplc="AF862B26" w:tentative="1">
      <w:start w:val="1"/>
      <w:numFmt w:val="bullet"/>
      <w:lvlText w:val=""/>
      <w:lvlJc w:val="left"/>
      <w:pPr>
        <w:ind w:left="6480" w:hanging="360"/>
      </w:pPr>
      <w:rPr>
        <w:rFonts w:ascii="Wingdings" w:hAnsi="Wingdings" w:hint="default"/>
      </w:rPr>
    </w:lvl>
  </w:abstractNum>
  <w:abstractNum w:abstractNumId="60">
    <w:nsid w:val="50E34840"/>
    <w:multiLevelType w:val="multilevel"/>
    <w:tmpl w:val="CA4C842E"/>
    <w:lvl w:ilvl="0">
      <w:start w:val="1"/>
      <w:numFmt w:val="decimal"/>
      <w:pStyle w:val="Figurecaption"/>
      <w:lvlText w:val="Figure %1."/>
      <w:lvlJc w:val="center"/>
      <w:pPr>
        <w:tabs>
          <w:tab w:val="num" w:pos="360"/>
        </w:tabs>
        <w:ind w:left="360" w:hanging="72"/>
      </w:pPr>
      <w:rPr>
        <w:rFonts w:ascii="Arial" w:hAnsi="Arial" w:hint="default"/>
        <w:b w:val="0"/>
        <w:i w:val="0"/>
        <w:sz w:val="20"/>
      </w:rPr>
    </w:lvl>
    <w:lvl w:ilvl="1">
      <w:start w:val="1"/>
      <w:numFmt w:val="decimal"/>
      <w:lvlText w:val="%1.%2."/>
      <w:lvlJc w:val="left"/>
      <w:pPr>
        <w:tabs>
          <w:tab w:val="num" w:pos="650"/>
        </w:tabs>
        <w:ind w:left="650" w:hanging="432"/>
      </w:pPr>
      <w:rPr>
        <w:rFonts w:hint="default"/>
      </w:rPr>
    </w:lvl>
    <w:lvl w:ilvl="2">
      <w:start w:val="1"/>
      <w:numFmt w:val="decimal"/>
      <w:lvlText w:val="%1.%2.%3."/>
      <w:lvlJc w:val="left"/>
      <w:pPr>
        <w:tabs>
          <w:tab w:val="num" w:pos="1298"/>
        </w:tabs>
        <w:ind w:left="1082" w:hanging="504"/>
      </w:pPr>
      <w:rPr>
        <w:rFonts w:hint="default"/>
      </w:rPr>
    </w:lvl>
    <w:lvl w:ilvl="3">
      <w:start w:val="1"/>
      <w:numFmt w:val="decimal"/>
      <w:lvlText w:val="%1.%2.%3.%4."/>
      <w:lvlJc w:val="left"/>
      <w:pPr>
        <w:tabs>
          <w:tab w:val="num" w:pos="2018"/>
        </w:tabs>
        <w:ind w:left="1586" w:hanging="648"/>
      </w:pPr>
      <w:rPr>
        <w:rFonts w:hint="default"/>
      </w:rPr>
    </w:lvl>
    <w:lvl w:ilvl="4">
      <w:start w:val="1"/>
      <w:numFmt w:val="decimal"/>
      <w:lvlText w:val="%1.%2.%3.%4.%5."/>
      <w:lvlJc w:val="left"/>
      <w:pPr>
        <w:tabs>
          <w:tab w:val="num" w:pos="2378"/>
        </w:tabs>
        <w:ind w:left="2090" w:hanging="792"/>
      </w:pPr>
      <w:rPr>
        <w:rFonts w:hint="default"/>
      </w:rPr>
    </w:lvl>
    <w:lvl w:ilvl="5">
      <w:start w:val="1"/>
      <w:numFmt w:val="decimal"/>
      <w:lvlText w:val="%1.%2.%3.%4.%5.%6."/>
      <w:lvlJc w:val="left"/>
      <w:pPr>
        <w:tabs>
          <w:tab w:val="num" w:pos="3098"/>
        </w:tabs>
        <w:ind w:left="2594" w:hanging="936"/>
      </w:pPr>
      <w:rPr>
        <w:rFonts w:hint="default"/>
      </w:rPr>
    </w:lvl>
    <w:lvl w:ilvl="6">
      <w:start w:val="1"/>
      <w:numFmt w:val="decimal"/>
      <w:lvlText w:val="%1.%2.%3.%4.%5.%6.%7."/>
      <w:lvlJc w:val="left"/>
      <w:pPr>
        <w:tabs>
          <w:tab w:val="num" w:pos="3458"/>
        </w:tabs>
        <w:ind w:left="3098" w:hanging="1080"/>
      </w:pPr>
      <w:rPr>
        <w:rFonts w:hint="default"/>
      </w:rPr>
    </w:lvl>
    <w:lvl w:ilvl="7">
      <w:start w:val="1"/>
      <w:numFmt w:val="decimal"/>
      <w:lvlText w:val="%1.%2.%3.%4.%5.%6.%7.%8."/>
      <w:lvlJc w:val="left"/>
      <w:pPr>
        <w:tabs>
          <w:tab w:val="num" w:pos="4178"/>
        </w:tabs>
        <w:ind w:left="3602" w:hanging="1224"/>
      </w:pPr>
      <w:rPr>
        <w:rFonts w:hint="default"/>
      </w:rPr>
    </w:lvl>
    <w:lvl w:ilvl="8">
      <w:start w:val="1"/>
      <w:numFmt w:val="decimal"/>
      <w:lvlText w:val="%1.%2.%3.%4.%5.%6.%7.%8.%9."/>
      <w:lvlJc w:val="left"/>
      <w:pPr>
        <w:tabs>
          <w:tab w:val="num" w:pos="4898"/>
        </w:tabs>
        <w:ind w:left="4178" w:hanging="1440"/>
      </w:pPr>
      <w:rPr>
        <w:rFonts w:hint="default"/>
      </w:rPr>
    </w:lvl>
  </w:abstractNum>
  <w:abstractNum w:abstractNumId="61">
    <w:nsid w:val="518D675F"/>
    <w:multiLevelType w:val="multilevel"/>
    <w:tmpl w:val="40AA20E8"/>
    <w:styleLink w:val="Style6"/>
    <w:lvl w:ilvl="0">
      <w:start w:val="1"/>
      <w:numFmt w:val="decimal"/>
      <w:lvlText w:val="2.%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53F11594"/>
    <w:multiLevelType w:val="hybridMultilevel"/>
    <w:tmpl w:val="1BC80DF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3">
    <w:nsid w:val="55072D03"/>
    <w:multiLevelType w:val="hybridMultilevel"/>
    <w:tmpl w:val="112C0C80"/>
    <w:lvl w:ilvl="0" w:tplc="6826EBDC">
      <w:start w:val="1"/>
      <w:numFmt w:val="decimal"/>
      <w:lvlText w:val="%1."/>
      <w:lvlJc w:val="left"/>
      <w:pPr>
        <w:ind w:left="720" w:hanging="360"/>
      </w:pPr>
      <w:rPr>
        <w:b/>
      </w:r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64">
    <w:nsid w:val="56097135"/>
    <w:multiLevelType w:val="hybridMultilevel"/>
    <w:tmpl w:val="807A3CC2"/>
    <w:lvl w:ilvl="0" w:tplc="04090001">
      <w:start w:val="1"/>
      <w:numFmt w:val="bullet"/>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5">
    <w:nsid w:val="56432167"/>
    <w:multiLevelType w:val="multilevel"/>
    <w:tmpl w:val="45D2F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nsid w:val="56C767D2"/>
    <w:multiLevelType w:val="hybridMultilevel"/>
    <w:tmpl w:val="634259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7">
    <w:nsid w:val="57691AAC"/>
    <w:multiLevelType w:val="hybridMultilevel"/>
    <w:tmpl w:val="E594F06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8">
    <w:nsid w:val="59E20C51"/>
    <w:multiLevelType w:val="hybridMultilevel"/>
    <w:tmpl w:val="3A342C6C"/>
    <w:lvl w:ilvl="0" w:tplc="722A114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9">
    <w:nsid w:val="5A0B0EF5"/>
    <w:multiLevelType w:val="hybridMultilevel"/>
    <w:tmpl w:val="FE9C61F6"/>
    <w:lvl w:ilvl="0" w:tplc="EDE056B6">
      <w:start w:val="1"/>
      <w:numFmt w:val="decimal"/>
      <w:pStyle w:val="Body-numbered"/>
      <w:lvlText w:val="%1."/>
      <w:lvlJc w:val="right"/>
      <w:pPr>
        <w:tabs>
          <w:tab w:val="num" w:pos="454"/>
        </w:tabs>
        <w:ind w:left="454" w:hanging="170"/>
      </w:pPr>
      <w:rPr>
        <w:rFonts w:hint="default"/>
      </w:rPr>
    </w:lvl>
    <w:lvl w:ilvl="1" w:tplc="0C090019">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70">
    <w:nsid w:val="5AF65859"/>
    <w:multiLevelType w:val="hybridMultilevel"/>
    <w:tmpl w:val="3364D14E"/>
    <w:lvl w:ilvl="0" w:tplc="30B28C2A">
      <w:start w:val="1"/>
      <w:numFmt w:val="bullet"/>
      <w:lvlText w:val="•"/>
      <w:lvlJc w:val="left"/>
      <w:pPr>
        <w:tabs>
          <w:tab w:val="num" w:pos="720"/>
        </w:tabs>
        <w:ind w:left="720" w:hanging="360"/>
      </w:pPr>
      <w:rPr>
        <w:rFonts w:ascii="Arial" w:hAnsi="Arial" w:hint="default"/>
      </w:rPr>
    </w:lvl>
    <w:lvl w:ilvl="1" w:tplc="B2EEF7E6">
      <w:start w:val="1"/>
      <w:numFmt w:val="bullet"/>
      <w:lvlText w:val="•"/>
      <w:lvlJc w:val="left"/>
      <w:pPr>
        <w:tabs>
          <w:tab w:val="num" w:pos="1440"/>
        </w:tabs>
        <w:ind w:left="1440" w:hanging="360"/>
      </w:pPr>
      <w:rPr>
        <w:rFonts w:ascii="Arial" w:hAnsi="Arial" w:hint="default"/>
      </w:rPr>
    </w:lvl>
    <w:lvl w:ilvl="2" w:tplc="BB3EAEF4" w:tentative="1">
      <w:start w:val="1"/>
      <w:numFmt w:val="bullet"/>
      <w:lvlText w:val="•"/>
      <w:lvlJc w:val="left"/>
      <w:pPr>
        <w:tabs>
          <w:tab w:val="num" w:pos="2160"/>
        </w:tabs>
        <w:ind w:left="2160" w:hanging="360"/>
      </w:pPr>
      <w:rPr>
        <w:rFonts w:ascii="Arial" w:hAnsi="Arial" w:hint="default"/>
      </w:rPr>
    </w:lvl>
    <w:lvl w:ilvl="3" w:tplc="58309074" w:tentative="1">
      <w:start w:val="1"/>
      <w:numFmt w:val="bullet"/>
      <w:lvlText w:val="•"/>
      <w:lvlJc w:val="left"/>
      <w:pPr>
        <w:tabs>
          <w:tab w:val="num" w:pos="2880"/>
        </w:tabs>
        <w:ind w:left="2880" w:hanging="360"/>
      </w:pPr>
      <w:rPr>
        <w:rFonts w:ascii="Arial" w:hAnsi="Arial" w:hint="default"/>
      </w:rPr>
    </w:lvl>
    <w:lvl w:ilvl="4" w:tplc="50C03672" w:tentative="1">
      <w:start w:val="1"/>
      <w:numFmt w:val="bullet"/>
      <w:lvlText w:val="•"/>
      <w:lvlJc w:val="left"/>
      <w:pPr>
        <w:tabs>
          <w:tab w:val="num" w:pos="3600"/>
        </w:tabs>
        <w:ind w:left="3600" w:hanging="360"/>
      </w:pPr>
      <w:rPr>
        <w:rFonts w:ascii="Arial" w:hAnsi="Arial" w:hint="default"/>
      </w:rPr>
    </w:lvl>
    <w:lvl w:ilvl="5" w:tplc="077687F4" w:tentative="1">
      <w:start w:val="1"/>
      <w:numFmt w:val="bullet"/>
      <w:lvlText w:val="•"/>
      <w:lvlJc w:val="left"/>
      <w:pPr>
        <w:tabs>
          <w:tab w:val="num" w:pos="4320"/>
        </w:tabs>
        <w:ind w:left="4320" w:hanging="360"/>
      </w:pPr>
      <w:rPr>
        <w:rFonts w:ascii="Arial" w:hAnsi="Arial" w:hint="default"/>
      </w:rPr>
    </w:lvl>
    <w:lvl w:ilvl="6" w:tplc="419C5D40" w:tentative="1">
      <w:start w:val="1"/>
      <w:numFmt w:val="bullet"/>
      <w:lvlText w:val="•"/>
      <w:lvlJc w:val="left"/>
      <w:pPr>
        <w:tabs>
          <w:tab w:val="num" w:pos="5040"/>
        </w:tabs>
        <w:ind w:left="5040" w:hanging="360"/>
      </w:pPr>
      <w:rPr>
        <w:rFonts w:ascii="Arial" w:hAnsi="Arial" w:hint="default"/>
      </w:rPr>
    </w:lvl>
    <w:lvl w:ilvl="7" w:tplc="E5325AA4" w:tentative="1">
      <w:start w:val="1"/>
      <w:numFmt w:val="bullet"/>
      <w:lvlText w:val="•"/>
      <w:lvlJc w:val="left"/>
      <w:pPr>
        <w:tabs>
          <w:tab w:val="num" w:pos="5760"/>
        </w:tabs>
        <w:ind w:left="5760" w:hanging="360"/>
      </w:pPr>
      <w:rPr>
        <w:rFonts w:ascii="Arial" w:hAnsi="Arial" w:hint="default"/>
      </w:rPr>
    </w:lvl>
    <w:lvl w:ilvl="8" w:tplc="BD16A116" w:tentative="1">
      <w:start w:val="1"/>
      <w:numFmt w:val="bullet"/>
      <w:lvlText w:val="•"/>
      <w:lvlJc w:val="left"/>
      <w:pPr>
        <w:tabs>
          <w:tab w:val="num" w:pos="6480"/>
        </w:tabs>
        <w:ind w:left="6480" w:hanging="360"/>
      </w:pPr>
      <w:rPr>
        <w:rFonts w:ascii="Arial" w:hAnsi="Arial" w:hint="default"/>
      </w:rPr>
    </w:lvl>
  </w:abstractNum>
  <w:abstractNum w:abstractNumId="71">
    <w:nsid w:val="5B6621AA"/>
    <w:multiLevelType w:val="multilevel"/>
    <w:tmpl w:val="58AE7D38"/>
    <w:lvl w:ilvl="0">
      <w:start w:val="3"/>
      <w:numFmt w:val="decimal"/>
      <w:lvlText w:val="%1"/>
      <w:lvlJc w:val="left"/>
      <w:pPr>
        <w:tabs>
          <w:tab w:val="num" w:pos="720"/>
        </w:tabs>
        <w:ind w:left="720" w:hanging="720"/>
      </w:pPr>
      <w:rPr>
        <w:rFonts w:cs="Times New Roman" w:hint="default"/>
      </w:rPr>
    </w:lvl>
    <w:lvl w:ilvl="1">
      <w:start w:val="3"/>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72">
    <w:nsid w:val="5C921552"/>
    <w:multiLevelType w:val="hybridMultilevel"/>
    <w:tmpl w:val="48845B56"/>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73">
    <w:nsid w:val="5DBC4E97"/>
    <w:multiLevelType w:val="hybridMultilevel"/>
    <w:tmpl w:val="94446068"/>
    <w:lvl w:ilvl="0" w:tplc="27322338">
      <w:start w:val="1"/>
      <w:numFmt w:val="lowerLetter"/>
      <w:lvlText w:val="%1)"/>
      <w:lvlJc w:val="left"/>
      <w:pPr>
        <w:tabs>
          <w:tab w:val="num" w:pos="360"/>
        </w:tabs>
        <w:ind w:left="360" w:hanging="360"/>
      </w:pPr>
      <w:rPr>
        <w:rFonts w:cs="Times New Roman"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4">
    <w:nsid w:val="60741CDB"/>
    <w:multiLevelType w:val="hybridMultilevel"/>
    <w:tmpl w:val="8210112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5">
    <w:nsid w:val="621A4E36"/>
    <w:multiLevelType w:val="hybridMultilevel"/>
    <w:tmpl w:val="8BFAA1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nsid w:val="629950DC"/>
    <w:multiLevelType w:val="hybridMultilevel"/>
    <w:tmpl w:val="BBA2EB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7">
    <w:nsid w:val="631275B1"/>
    <w:multiLevelType w:val="hybridMultilevel"/>
    <w:tmpl w:val="90442BF0"/>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78">
    <w:nsid w:val="646966D4"/>
    <w:multiLevelType w:val="hybridMultilevel"/>
    <w:tmpl w:val="59A8F140"/>
    <w:lvl w:ilvl="0" w:tplc="0C090001">
      <w:start w:val="1"/>
      <w:numFmt w:val="bullet"/>
      <w:lvlText w:val=""/>
      <w:lvlJc w:val="left"/>
      <w:pPr>
        <w:tabs>
          <w:tab w:val="num" w:pos="780"/>
        </w:tabs>
        <w:ind w:left="780" w:hanging="360"/>
      </w:pPr>
      <w:rPr>
        <w:rFonts w:ascii="Symbol" w:hAnsi="Symbol" w:hint="default"/>
      </w:rPr>
    </w:lvl>
    <w:lvl w:ilvl="1" w:tplc="0C090003" w:tentative="1">
      <w:start w:val="1"/>
      <w:numFmt w:val="bullet"/>
      <w:lvlText w:val="o"/>
      <w:lvlJc w:val="left"/>
      <w:pPr>
        <w:tabs>
          <w:tab w:val="num" w:pos="1500"/>
        </w:tabs>
        <w:ind w:left="1500" w:hanging="360"/>
      </w:pPr>
      <w:rPr>
        <w:rFonts w:ascii="Courier New" w:hAnsi="Courier New" w:hint="default"/>
      </w:rPr>
    </w:lvl>
    <w:lvl w:ilvl="2" w:tplc="0C090005" w:tentative="1">
      <w:start w:val="1"/>
      <w:numFmt w:val="bullet"/>
      <w:lvlText w:val=""/>
      <w:lvlJc w:val="left"/>
      <w:pPr>
        <w:tabs>
          <w:tab w:val="num" w:pos="2220"/>
        </w:tabs>
        <w:ind w:left="2220" w:hanging="360"/>
      </w:pPr>
      <w:rPr>
        <w:rFonts w:ascii="Wingdings" w:hAnsi="Wingdings" w:hint="default"/>
      </w:rPr>
    </w:lvl>
    <w:lvl w:ilvl="3" w:tplc="0C090001" w:tentative="1">
      <w:start w:val="1"/>
      <w:numFmt w:val="bullet"/>
      <w:lvlText w:val=""/>
      <w:lvlJc w:val="left"/>
      <w:pPr>
        <w:tabs>
          <w:tab w:val="num" w:pos="2940"/>
        </w:tabs>
        <w:ind w:left="2940" w:hanging="360"/>
      </w:pPr>
      <w:rPr>
        <w:rFonts w:ascii="Symbol" w:hAnsi="Symbol" w:hint="default"/>
      </w:rPr>
    </w:lvl>
    <w:lvl w:ilvl="4" w:tplc="0C090003" w:tentative="1">
      <w:start w:val="1"/>
      <w:numFmt w:val="bullet"/>
      <w:lvlText w:val="o"/>
      <w:lvlJc w:val="left"/>
      <w:pPr>
        <w:tabs>
          <w:tab w:val="num" w:pos="3660"/>
        </w:tabs>
        <w:ind w:left="3660" w:hanging="360"/>
      </w:pPr>
      <w:rPr>
        <w:rFonts w:ascii="Courier New" w:hAnsi="Courier New" w:hint="default"/>
      </w:rPr>
    </w:lvl>
    <w:lvl w:ilvl="5" w:tplc="0C090005" w:tentative="1">
      <w:start w:val="1"/>
      <w:numFmt w:val="bullet"/>
      <w:lvlText w:val=""/>
      <w:lvlJc w:val="left"/>
      <w:pPr>
        <w:tabs>
          <w:tab w:val="num" w:pos="4380"/>
        </w:tabs>
        <w:ind w:left="4380" w:hanging="360"/>
      </w:pPr>
      <w:rPr>
        <w:rFonts w:ascii="Wingdings" w:hAnsi="Wingdings" w:hint="default"/>
      </w:rPr>
    </w:lvl>
    <w:lvl w:ilvl="6" w:tplc="0C090001" w:tentative="1">
      <w:start w:val="1"/>
      <w:numFmt w:val="bullet"/>
      <w:lvlText w:val=""/>
      <w:lvlJc w:val="left"/>
      <w:pPr>
        <w:tabs>
          <w:tab w:val="num" w:pos="5100"/>
        </w:tabs>
        <w:ind w:left="5100" w:hanging="360"/>
      </w:pPr>
      <w:rPr>
        <w:rFonts w:ascii="Symbol" w:hAnsi="Symbol" w:hint="default"/>
      </w:rPr>
    </w:lvl>
    <w:lvl w:ilvl="7" w:tplc="0C090003" w:tentative="1">
      <w:start w:val="1"/>
      <w:numFmt w:val="bullet"/>
      <w:lvlText w:val="o"/>
      <w:lvlJc w:val="left"/>
      <w:pPr>
        <w:tabs>
          <w:tab w:val="num" w:pos="5820"/>
        </w:tabs>
        <w:ind w:left="5820" w:hanging="360"/>
      </w:pPr>
      <w:rPr>
        <w:rFonts w:ascii="Courier New" w:hAnsi="Courier New" w:hint="default"/>
      </w:rPr>
    </w:lvl>
    <w:lvl w:ilvl="8" w:tplc="0C090005" w:tentative="1">
      <w:start w:val="1"/>
      <w:numFmt w:val="bullet"/>
      <w:lvlText w:val=""/>
      <w:lvlJc w:val="left"/>
      <w:pPr>
        <w:tabs>
          <w:tab w:val="num" w:pos="6540"/>
        </w:tabs>
        <w:ind w:left="6540" w:hanging="360"/>
      </w:pPr>
      <w:rPr>
        <w:rFonts w:ascii="Wingdings" w:hAnsi="Wingdings" w:hint="default"/>
      </w:rPr>
    </w:lvl>
  </w:abstractNum>
  <w:abstractNum w:abstractNumId="79">
    <w:nsid w:val="67601B69"/>
    <w:multiLevelType w:val="hybridMultilevel"/>
    <w:tmpl w:val="CAB40C8A"/>
    <w:lvl w:ilvl="0" w:tplc="40D813E6">
      <w:start w:val="1"/>
      <w:numFmt w:val="decimal"/>
      <w:pStyle w:val="subappendix"/>
      <w:lvlText w:val="A1.%1"/>
      <w:lvlJc w:val="left"/>
      <w:pPr>
        <w:ind w:left="786"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80">
    <w:nsid w:val="67933B23"/>
    <w:multiLevelType w:val="multilevel"/>
    <w:tmpl w:val="D77080A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nsid w:val="67FD22DD"/>
    <w:multiLevelType w:val="hybridMultilevel"/>
    <w:tmpl w:val="4E163A6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2">
    <w:nsid w:val="686A07C7"/>
    <w:multiLevelType w:val="hybridMultilevel"/>
    <w:tmpl w:val="168ECD4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3">
    <w:nsid w:val="6F5133D5"/>
    <w:multiLevelType w:val="hybridMultilevel"/>
    <w:tmpl w:val="57EEA0C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84">
    <w:nsid w:val="714B218E"/>
    <w:multiLevelType w:val="hybridMultilevel"/>
    <w:tmpl w:val="7F2C35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nsid w:val="72336D46"/>
    <w:multiLevelType w:val="hybridMultilevel"/>
    <w:tmpl w:val="A5D8DAB2"/>
    <w:lvl w:ilvl="0" w:tplc="44887E6A">
      <w:start w:val="1"/>
      <w:numFmt w:val="bullet"/>
      <w:lvlText w:val=""/>
      <w:lvlJc w:val="left"/>
      <w:pPr>
        <w:tabs>
          <w:tab w:val="num" w:pos="360"/>
        </w:tabs>
        <w:ind w:left="360" w:hanging="360"/>
      </w:pPr>
      <w:rPr>
        <w:rFonts w:ascii="Wingdings" w:hAnsi="Wingdings" w:hint="default"/>
        <w:sz w:val="20"/>
      </w:rPr>
    </w:lvl>
    <w:lvl w:ilvl="1" w:tplc="0C090003" w:tentative="1">
      <w:start w:val="1"/>
      <w:numFmt w:val="bullet"/>
      <w:lvlText w:val="o"/>
      <w:lvlJc w:val="left"/>
      <w:pPr>
        <w:tabs>
          <w:tab w:val="num" w:pos="2160"/>
        </w:tabs>
        <w:ind w:left="2160" w:hanging="360"/>
      </w:pPr>
      <w:rPr>
        <w:rFonts w:ascii="Courier New" w:hAnsi="Courier New" w:hint="default"/>
      </w:rPr>
    </w:lvl>
    <w:lvl w:ilvl="2" w:tplc="0C090005" w:tentative="1">
      <w:start w:val="1"/>
      <w:numFmt w:val="bullet"/>
      <w:lvlText w:val=""/>
      <w:lvlJc w:val="left"/>
      <w:pPr>
        <w:tabs>
          <w:tab w:val="num" w:pos="2880"/>
        </w:tabs>
        <w:ind w:left="2880" w:hanging="360"/>
      </w:pPr>
      <w:rPr>
        <w:rFonts w:ascii="Wingdings" w:hAnsi="Wingdings" w:hint="default"/>
      </w:rPr>
    </w:lvl>
    <w:lvl w:ilvl="3" w:tplc="0C090001" w:tentative="1">
      <w:start w:val="1"/>
      <w:numFmt w:val="bullet"/>
      <w:lvlText w:val=""/>
      <w:lvlJc w:val="left"/>
      <w:pPr>
        <w:tabs>
          <w:tab w:val="num" w:pos="3600"/>
        </w:tabs>
        <w:ind w:left="3600" w:hanging="360"/>
      </w:pPr>
      <w:rPr>
        <w:rFonts w:ascii="Symbol" w:hAnsi="Symbol" w:hint="default"/>
      </w:rPr>
    </w:lvl>
    <w:lvl w:ilvl="4" w:tplc="0C090003" w:tentative="1">
      <w:start w:val="1"/>
      <w:numFmt w:val="bullet"/>
      <w:lvlText w:val="o"/>
      <w:lvlJc w:val="left"/>
      <w:pPr>
        <w:tabs>
          <w:tab w:val="num" w:pos="4320"/>
        </w:tabs>
        <w:ind w:left="4320" w:hanging="360"/>
      </w:pPr>
      <w:rPr>
        <w:rFonts w:ascii="Courier New" w:hAnsi="Courier New" w:hint="default"/>
      </w:rPr>
    </w:lvl>
    <w:lvl w:ilvl="5" w:tplc="0C090005" w:tentative="1">
      <w:start w:val="1"/>
      <w:numFmt w:val="bullet"/>
      <w:lvlText w:val=""/>
      <w:lvlJc w:val="left"/>
      <w:pPr>
        <w:tabs>
          <w:tab w:val="num" w:pos="5040"/>
        </w:tabs>
        <w:ind w:left="5040" w:hanging="360"/>
      </w:pPr>
      <w:rPr>
        <w:rFonts w:ascii="Wingdings" w:hAnsi="Wingdings" w:hint="default"/>
      </w:rPr>
    </w:lvl>
    <w:lvl w:ilvl="6" w:tplc="0C090001" w:tentative="1">
      <w:start w:val="1"/>
      <w:numFmt w:val="bullet"/>
      <w:lvlText w:val=""/>
      <w:lvlJc w:val="left"/>
      <w:pPr>
        <w:tabs>
          <w:tab w:val="num" w:pos="5760"/>
        </w:tabs>
        <w:ind w:left="5760" w:hanging="360"/>
      </w:pPr>
      <w:rPr>
        <w:rFonts w:ascii="Symbol" w:hAnsi="Symbol" w:hint="default"/>
      </w:rPr>
    </w:lvl>
    <w:lvl w:ilvl="7" w:tplc="0C090003" w:tentative="1">
      <w:start w:val="1"/>
      <w:numFmt w:val="bullet"/>
      <w:lvlText w:val="o"/>
      <w:lvlJc w:val="left"/>
      <w:pPr>
        <w:tabs>
          <w:tab w:val="num" w:pos="6480"/>
        </w:tabs>
        <w:ind w:left="6480" w:hanging="360"/>
      </w:pPr>
      <w:rPr>
        <w:rFonts w:ascii="Courier New" w:hAnsi="Courier New" w:hint="default"/>
      </w:rPr>
    </w:lvl>
    <w:lvl w:ilvl="8" w:tplc="0C090005" w:tentative="1">
      <w:start w:val="1"/>
      <w:numFmt w:val="bullet"/>
      <w:lvlText w:val=""/>
      <w:lvlJc w:val="left"/>
      <w:pPr>
        <w:tabs>
          <w:tab w:val="num" w:pos="7200"/>
        </w:tabs>
        <w:ind w:left="7200" w:hanging="360"/>
      </w:pPr>
      <w:rPr>
        <w:rFonts w:ascii="Wingdings" w:hAnsi="Wingdings" w:hint="default"/>
      </w:rPr>
    </w:lvl>
  </w:abstractNum>
  <w:abstractNum w:abstractNumId="86">
    <w:nsid w:val="74D72F47"/>
    <w:multiLevelType w:val="multilevel"/>
    <w:tmpl w:val="4A4E18E8"/>
    <w:styleLink w:val="Body-bullets"/>
    <w:lvl w:ilvl="0">
      <w:start w:val="1"/>
      <w:numFmt w:val="bullet"/>
      <w:lvlText w:val=""/>
      <w:lvlJc w:val="left"/>
      <w:pPr>
        <w:tabs>
          <w:tab w:val="num" w:pos="454"/>
        </w:tabs>
        <w:ind w:left="454" w:hanging="454"/>
      </w:pPr>
      <w:rPr>
        <w:rFonts w:ascii="Symbol" w:hAnsi="Symbol"/>
        <w:color w:val="auto"/>
        <w:sz w:val="20"/>
        <w:szCs w:val="20"/>
      </w:rPr>
    </w:lvl>
    <w:lvl w:ilvl="1">
      <w:start w:val="1"/>
      <w:numFmt w:val="bullet"/>
      <w:lvlText w:val=""/>
      <w:lvlJc w:val="left"/>
      <w:pPr>
        <w:tabs>
          <w:tab w:val="num" w:pos="907"/>
        </w:tabs>
        <w:ind w:left="907" w:hanging="453"/>
      </w:pPr>
      <w:rPr>
        <w:rFonts w:ascii="Symbol" w:hAnsi="Symbol" w:hint="default"/>
        <w:b w:val="0"/>
        <w:i w:val="0"/>
        <w:color w:val="808080"/>
        <w:sz w:val="16"/>
        <w:szCs w:val="12"/>
      </w:rPr>
    </w:lvl>
    <w:lvl w:ilvl="2">
      <w:start w:val="1"/>
      <w:numFmt w:val="bullet"/>
      <w:lvlText w:val=""/>
      <w:lvlJc w:val="left"/>
      <w:pPr>
        <w:tabs>
          <w:tab w:val="num" w:pos="1361"/>
        </w:tabs>
        <w:ind w:left="1361" w:hanging="454"/>
      </w:pPr>
      <w:rPr>
        <w:rFonts w:ascii="Symbol" w:hAnsi="Symbol" w:hint="default"/>
        <w:b w:val="0"/>
        <w:i w:val="0"/>
        <w:color w:val="808080"/>
        <w:sz w:val="12"/>
        <w:szCs w:val="12"/>
      </w:rPr>
    </w:lvl>
    <w:lvl w:ilvl="3">
      <w:start w:val="1"/>
      <w:numFmt w:val="bullet"/>
      <w:lvlText w:val=""/>
      <w:lvlJc w:val="left"/>
      <w:pPr>
        <w:tabs>
          <w:tab w:val="num" w:pos="1814"/>
        </w:tabs>
        <w:ind w:left="1814" w:hanging="453"/>
      </w:pPr>
      <w:rPr>
        <w:rFonts w:ascii="Symbol" w:hAnsi="Symbol" w:hint="default"/>
        <w:b w:val="0"/>
        <w:i w:val="0"/>
        <w:color w:val="808080"/>
        <w:sz w:val="12"/>
        <w:szCs w:val="12"/>
      </w:rPr>
    </w:lvl>
    <w:lvl w:ilvl="4">
      <w:start w:val="1"/>
      <w:numFmt w:val="bullet"/>
      <w:lvlText w:val="o"/>
      <w:lvlJc w:val="left"/>
      <w:pPr>
        <w:tabs>
          <w:tab w:val="num" w:pos="3600"/>
        </w:tabs>
        <w:ind w:left="3600" w:hanging="360"/>
      </w:pPr>
      <w:rPr>
        <w:rFonts w:ascii="Courier New" w:hAnsi="Courier New" w:cs="Symbol"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Symbol" w:hint="default"/>
      </w:rPr>
    </w:lvl>
    <w:lvl w:ilvl="8">
      <w:start w:val="1"/>
      <w:numFmt w:val="bullet"/>
      <w:lvlText w:val=""/>
      <w:lvlJc w:val="left"/>
      <w:pPr>
        <w:tabs>
          <w:tab w:val="num" w:pos="6480"/>
        </w:tabs>
        <w:ind w:left="6480" w:hanging="360"/>
      </w:pPr>
      <w:rPr>
        <w:rFonts w:ascii="Wingdings" w:hAnsi="Wingdings" w:hint="default"/>
      </w:rPr>
    </w:lvl>
  </w:abstractNum>
  <w:abstractNum w:abstractNumId="87">
    <w:nsid w:val="755D4997"/>
    <w:multiLevelType w:val="hybridMultilevel"/>
    <w:tmpl w:val="B3A8A246"/>
    <w:lvl w:ilvl="0" w:tplc="0C090001">
      <w:start w:val="1"/>
      <w:numFmt w:val="bullet"/>
      <w:lvlText w:val=""/>
      <w:lvlJc w:val="left"/>
      <w:pPr>
        <w:ind w:left="778" w:hanging="360"/>
      </w:pPr>
      <w:rPr>
        <w:rFonts w:ascii="Symbol" w:hAnsi="Symbol" w:hint="default"/>
      </w:rPr>
    </w:lvl>
    <w:lvl w:ilvl="1" w:tplc="0C090003" w:tentative="1">
      <w:start w:val="1"/>
      <w:numFmt w:val="bullet"/>
      <w:lvlText w:val="o"/>
      <w:lvlJc w:val="left"/>
      <w:pPr>
        <w:ind w:left="1498" w:hanging="360"/>
      </w:pPr>
      <w:rPr>
        <w:rFonts w:ascii="Courier New" w:hAnsi="Courier New" w:cs="Courier New" w:hint="default"/>
      </w:rPr>
    </w:lvl>
    <w:lvl w:ilvl="2" w:tplc="0C090005" w:tentative="1">
      <w:start w:val="1"/>
      <w:numFmt w:val="bullet"/>
      <w:lvlText w:val=""/>
      <w:lvlJc w:val="left"/>
      <w:pPr>
        <w:ind w:left="2218" w:hanging="360"/>
      </w:pPr>
      <w:rPr>
        <w:rFonts w:ascii="Wingdings" w:hAnsi="Wingdings" w:hint="default"/>
      </w:rPr>
    </w:lvl>
    <w:lvl w:ilvl="3" w:tplc="0C090001" w:tentative="1">
      <w:start w:val="1"/>
      <w:numFmt w:val="bullet"/>
      <w:lvlText w:val=""/>
      <w:lvlJc w:val="left"/>
      <w:pPr>
        <w:ind w:left="2938" w:hanging="360"/>
      </w:pPr>
      <w:rPr>
        <w:rFonts w:ascii="Symbol" w:hAnsi="Symbol" w:hint="default"/>
      </w:rPr>
    </w:lvl>
    <w:lvl w:ilvl="4" w:tplc="0C090003" w:tentative="1">
      <w:start w:val="1"/>
      <w:numFmt w:val="bullet"/>
      <w:lvlText w:val="o"/>
      <w:lvlJc w:val="left"/>
      <w:pPr>
        <w:ind w:left="3658" w:hanging="360"/>
      </w:pPr>
      <w:rPr>
        <w:rFonts w:ascii="Courier New" w:hAnsi="Courier New" w:cs="Courier New" w:hint="default"/>
      </w:rPr>
    </w:lvl>
    <w:lvl w:ilvl="5" w:tplc="0C090005" w:tentative="1">
      <w:start w:val="1"/>
      <w:numFmt w:val="bullet"/>
      <w:lvlText w:val=""/>
      <w:lvlJc w:val="left"/>
      <w:pPr>
        <w:ind w:left="4378" w:hanging="360"/>
      </w:pPr>
      <w:rPr>
        <w:rFonts w:ascii="Wingdings" w:hAnsi="Wingdings" w:hint="default"/>
      </w:rPr>
    </w:lvl>
    <w:lvl w:ilvl="6" w:tplc="0C090001" w:tentative="1">
      <w:start w:val="1"/>
      <w:numFmt w:val="bullet"/>
      <w:lvlText w:val=""/>
      <w:lvlJc w:val="left"/>
      <w:pPr>
        <w:ind w:left="5098" w:hanging="360"/>
      </w:pPr>
      <w:rPr>
        <w:rFonts w:ascii="Symbol" w:hAnsi="Symbol" w:hint="default"/>
      </w:rPr>
    </w:lvl>
    <w:lvl w:ilvl="7" w:tplc="0C090003" w:tentative="1">
      <w:start w:val="1"/>
      <w:numFmt w:val="bullet"/>
      <w:lvlText w:val="o"/>
      <w:lvlJc w:val="left"/>
      <w:pPr>
        <w:ind w:left="5818" w:hanging="360"/>
      </w:pPr>
      <w:rPr>
        <w:rFonts w:ascii="Courier New" w:hAnsi="Courier New" w:cs="Courier New" w:hint="default"/>
      </w:rPr>
    </w:lvl>
    <w:lvl w:ilvl="8" w:tplc="0C090005" w:tentative="1">
      <w:start w:val="1"/>
      <w:numFmt w:val="bullet"/>
      <w:lvlText w:val=""/>
      <w:lvlJc w:val="left"/>
      <w:pPr>
        <w:ind w:left="6538" w:hanging="360"/>
      </w:pPr>
      <w:rPr>
        <w:rFonts w:ascii="Wingdings" w:hAnsi="Wingdings" w:hint="default"/>
      </w:rPr>
    </w:lvl>
  </w:abstractNum>
  <w:abstractNum w:abstractNumId="88">
    <w:nsid w:val="77E4424D"/>
    <w:multiLevelType w:val="hybridMultilevel"/>
    <w:tmpl w:val="A63252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9">
    <w:nsid w:val="79103098"/>
    <w:multiLevelType w:val="hybridMultilevel"/>
    <w:tmpl w:val="123CE594"/>
    <w:lvl w:ilvl="0" w:tplc="0C09000F">
      <w:start w:val="1"/>
      <w:numFmt w:val="decimal"/>
      <w:lvlText w:val="%1."/>
      <w:lvlJc w:val="left"/>
      <w:pPr>
        <w:ind w:left="928"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0">
    <w:nsid w:val="79656EAE"/>
    <w:multiLevelType w:val="hybridMultilevel"/>
    <w:tmpl w:val="B950D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798F2DDE"/>
    <w:multiLevelType w:val="hybridMultilevel"/>
    <w:tmpl w:val="B26C86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2">
    <w:nsid w:val="7ADD366E"/>
    <w:multiLevelType w:val="hybridMultilevel"/>
    <w:tmpl w:val="B57604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nsid w:val="7D062066"/>
    <w:multiLevelType w:val="multilevel"/>
    <w:tmpl w:val="588C70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nsid w:val="7EB661EC"/>
    <w:multiLevelType w:val="hybridMultilevel"/>
    <w:tmpl w:val="B3FC3D24"/>
    <w:lvl w:ilvl="0" w:tplc="0C09001B">
      <w:start w:val="1"/>
      <w:numFmt w:val="lowerRoman"/>
      <w:lvlText w:val="%1."/>
      <w:lvlJc w:val="right"/>
      <w:pPr>
        <w:ind w:left="1287" w:hanging="360"/>
      </w:pPr>
    </w:lvl>
    <w:lvl w:ilvl="1" w:tplc="0C090019">
      <w:start w:val="1"/>
      <w:numFmt w:val="lowerLetter"/>
      <w:lvlText w:val="%2."/>
      <w:lvlJc w:val="left"/>
      <w:pPr>
        <w:ind w:left="2007" w:hanging="360"/>
      </w:pPr>
    </w:lvl>
    <w:lvl w:ilvl="2" w:tplc="0C09001B">
      <w:start w:val="1"/>
      <w:numFmt w:val="lowerRoman"/>
      <w:lvlText w:val="%3."/>
      <w:lvlJc w:val="right"/>
      <w:pPr>
        <w:ind w:left="2727" w:hanging="180"/>
      </w:pPr>
    </w:lvl>
    <w:lvl w:ilvl="3" w:tplc="0C09000F">
      <w:start w:val="1"/>
      <w:numFmt w:val="decimal"/>
      <w:lvlText w:val="%4."/>
      <w:lvlJc w:val="left"/>
      <w:pPr>
        <w:ind w:left="3447" w:hanging="360"/>
      </w:pPr>
    </w:lvl>
    <w:lvl w:ilvl="4" w:tplc="0C090019">
      <w:start w:val="1"/>
      <w:numFmt w:val="lowerLetter"/>
      <w:lvlText w:val="%5."/>
      <w:lvlJc w:val="left"/>
      <w:pPr>
        <w:ind w:left="4167" w:hanging="360"/>
      </w:pPr>
    </w:lvl>
    <w:lvl w:ilvl="5" w:tplc="0C09001B">
      <w:start w:val="1"/>
      <w:numFmt w:val="lowerRoman"/>
      <w:lvlText w:val="%6."/>
      <w:lvlJc w:val="right"/>
      <w:pPr>
        <w:ind w:left="4887" w:hanging="180"/>
      </w:pPr>
    </w:lvl>
    <w:lvl w:ilvl="6" w:tplc="0C09000F">
      <w:start w:val="1"/>
      <w:numFmt w:val="decimal"/>
      <w:lvlText w:val="%7."/>
      <w:lvlJc w:val="left"/>
      <w:pPr>
        <w:ind w:left="5607" w:hanging="360"/>
      </w:pPr>
    </w:lvl>
    <w:lvl w:ilvl="7" w:tplc="0C090019">
      <w:start w:val="1"/>
      <w:numFmt w:val="lowerLetter"/>
      <w:lvlText w:val="%8."/>
      <w:lvlJc w:val="left"/>
      <w:pPr>
        <w:ind w:left="6327" w:hanging="360"/>
      </w:pPr>
    </w:lvl>
    <w:lvl w:ilvl="8" w:tplc="0C09001B">
      <w:start w:val="1"/>
      <w:numFmt w:val="lowerRoman"/>
      <w:lvlText w:val="%9."/>
      <w:lvlJc w:val="right"/>
      <w:pPr>
        <w:ind w:left="7047" w:hanging="180"/>
      </w:pPr>
    </w:lvl>
  </w:abstractNum>
  <w:num w:numId="1">
    <w:abstractNumId w:val="41"/>
  </w:num>
  <w:num w:numId="2">
    <w:abstractNumId w:val="87"/>
  </w:num>
  <w:num w:numId="3">
    <w:abstractNumId w:val="8"/>
  </w:num>
  <w:num w:numId="4">
    <w:abstractNumId w:val="6"/>
  </w:num>
  <w:num w:numId="5">
    <w:abstractNumId w:val="5"/>
  </w:num>
  <w:num w:numId="6">
    <w:abstractNumId w:val="4"/>
  </w:num>
  <w:num w:numId="7">
    <w:abstractNumId w:val="7"/>
  </w:num>
  <w:num w:numId="8">
    <w:abstractNumId w:val="3"/>
  </w:num>
  <w:num w:numId="9">
    <w:abstractNumId w:val="2"/>
  </w:num>
  <w:num w:numId="10">
    <w:abstractNumId w:val="1"/>
  </w:num>
  <w:num w:numId="11">
    <w:abstractNumId w:val="0"/>
  </w:num>
  <w:num w:numId="12">
    <w:abstractNumId w:val="24"/>
  </w:num>
  <w:num w:numId="13">
    <w:abstractNumId w:val="42"/>
  </w:num>
  <w:num w:numId="14">
    <w:abstractNumId w:val="67"/>
  </w:num>
  <w:num w:numId="15">
    <w:abstractNumId w:val="82"/>
  </w:num>
  <w:num w:numId="16">
    <w:abstractNumId w:val="89"/>
  </w:num>
  <w:num w:numId="17">
    <w:abstractNumId w:val="86"/>
  </w:num>
  <w:num w:numId="18">
    <w:abstractNumId w:val="69"/>
  </w:num>
  <w:num w:numId="19">
    <w:abstractNumId w:val="19"/>
  </w:num>
  <w:num w:numId="20">
    <w:abstractNumId w:val="60"/>
  </w:num>
  <w:num w:numId="21">
    <w:abstractNumId w:val="54"/>
  </w:num>
  <w:num w:numId="22">
    <w:abstractNumId w:val="17"/>
  </w:num>
  <w:num w:numId="23">
    <w:abstractNumId w:val="35"/>
  </w:num>
  <w:num w:numId="24">
    <w:abstractNumId w:val="46"/>
  </w:num>
  <w:num w:numId="25">
    <w:abstractNumId w:val="61"/>
  </w:num>
  <w:num w:numId="26">
    <w:abstractNumId w:val="37"/>
  </w:num>
  <w:num w:numId="27">
    <w:abstractNumId w:val="23"/>
  </w:num>
  <w:num w:numId="28">
    <w:abstractNumId w:val="79"/>
  </w:num>
  <w:num w:numId="29">
    <w:abstractNumId w:val="22"/>
  </w:num>
  <w:num w:numId="30">
    <w:abstractNumId w:val="45"/>
  </w:num>
  <w:num w:numId="31">
    <w:abstractNumId w:val="83"/>
  </w:num>
  <w:num w:numId="32">
    <w:abstractNumId w:val="41"/>
  </w:num>
  <w:num w:numId="33">
    <w:abstractNumId w:val="53"/>
  </w:num>
  <w:num w:numId="34">
    <w:abstractNumId w:val="21"/>
  </w:num>
  <w:num w:numId="35">
    <w:abstractNumId w:val="50"/>
  </w:num>
  <w:num w:numId="36">
    <w:abstractNumId w:val="50"/>
    <w:lvlOverride w:ilvl="0">
      <w:startOverride w:val="1"/>
    </w:lvlOverride>
  </w:num>
  <w:num w:numId="37">
    <w:abstractNumId w:val="74"/>
  </w:num>
  <w:num w:numId="38">
    <w:abstractNumId w:val="40"/>
  </w:num>
  <w:num w:numId="39">
    <w:abstractNumId w:val="22"/>
    <w:lvlOverride w:ilvl="0">
      <w:startOverride w:val="5"/>
    </w:lvlOverride>
    <w:lvlOverride w:ilvl="1">
      <w:startOverride w:val="3"/>
    </w:lvlOverride>
    <w:lvlOverride w:ilvl="2">
      <w:startOverride w:val="2"/>
    </w:lvlOverride>
  </w:num>
  <w:num w:numId="40">
    <w:abstractNumId w:val="22"/>
    <w:lvlOverride w:ilvl="0">
      <w:startOverride w:val="5"/>
    </w:lvlOverride>
    <w:lvlOverride w:ilvl="1">
      <w:startOverride w:val="3"/>
    </w:lvlOverride>
    <w:lvlOverride w:ilvl="2">
      <w:startOverride w:val="3"/>
    </w:lvlOverride>
  </w:num>
  <w:num w:numId="41">
    <w:abstractNumId w:val="12"/>
  </w:num>
  <w:num w:numId="42">
    <w:abstractNumId w:val="16"/>
  </w:num>
  <w:num w:numId="43">
    <w:abstractNumId w:val="16"/>
    <w:lvlOverride w:ilvl="0">
      <w:startOverride w:val="5"/>
    </w:lvlOverride>
    <w:lvlOverride w:ilvl="1">
      <w:startOverride w:val="3"/>
    </w:lvlOverride>
    <w:lvlOverride w:ilvl="2">
      <w:startOverride w:val="2"/>
    </w:lvlOverride>
  </w:num>
  <w:num w:numId="44">
    <w:abstractNumId w:val="16"/>
  </w:num>
  <w:num w:numId="45">
    <w:abstractNumId w:val="16"/>
  </w:num>
  <w:num w:numId="46">
    <w:abstractNumId w:val="16"/>
  </w:num>
  <w:num w:numId="47">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62"/>
  </w:num>
  <w:num w:numId="49">
    <w:abstractNumId w:val="16"/>
    <w:lvlOverride w:ilvl="0">
      <w:startOverride w:val="5"/>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6"/>
  </w:num>
  <w:num w:numId="51">
    <w:abstractNumId w:val="16"/>
  </w:num>
  <w:num w:numId="52">
    <w:abstractNumId w:val="36"/>
  </w:num>
  <w:num w:numId="53">
    <w:abstractNumId w:val="16"/>
  </w:num>
  <w:num w:numId="54">
    <w:abstractNumId w:val="16"/>
  </w:num>
  <w:num w:numId="55">
    <w:abstractNumId w:val="16"/>
  </w:num>
  <w:num w:numId="56">
    <w:abstractNumId w:val="16"/>
    <w:lvlOverride w:ilvl="0">
      <w:startOverride w:val="5"/>
    </w:lvlOverride>
    <w:lvlOverride w:ilvl="1">
      <w:startOverride w:val="4"/>
    </w:lvlOverride>
    <w:lvlOverride w:ilvl="2">
      <w:startOverride w:val="2"/>
    </w:lvlOverride>
    <w:lvlOverride w:ilvl="3">
      <w:startOverride w:val="2"/>
    </w:lvlOverride>
  </w:num>
  <w:num w:numId="57">
    <w:abstractNumId w:val="16"/>
    <w:lvlOverride w:ilvl="0">
      <w:startOverride w:val="5"/>
    </w:lvlOverride>
    <w:lvlOverride w:ilvl="1">
      <w:startOverride w:val="4"/>
    </w:lvlOverride>
    <w:lvlOverride w:ilvl="2">
      <w:startOverride w:val="2"/>
    </w:lvlOverride>
    <w:lvlOverride w:ilvl="3">
      <w:startOverride w:val="3"/>
    </w:lvlOverride>
  </w:num>
  <w:num w:numId="58">
    <w:abstractNumId w:val="16"/>
    <w:lvlOverride w:ilvl="0">
      <w:startOverride w:val="5"/>
    </w:lvlOverride>
    <w:lvlOverride w:ilvl="1">
      <w:startOverride w:val="4"/>
    </w:lvlOverride>
    <w:lvlOverride w:ilvl="2">
      <w:startOverride w:val="2"/>
    </w:lvlOverride>
    <w:lvlOverride w:ilvl="3">
      <w:startOverride w:val="3"/>
    </w:lvlOverride>
  </w:num>
  <w:num w:numId="59">
    <w:abstractNumId w:val="16"/>
    <w:lvlOverride w:ilvl="0">
      <w:startOverride w:val="5"/>
    </w:lvlOverride>
    <w:lvlOverride w:ilvl="1">
      <w:startOverride w:val="4"/>
    </w:lvlOverride>
    <w:lvlOverride w:ilvl="2">
      <w:startOverride w:val="2"/>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81"/>
  </w:num>
  <w:num w:numId="61">
    <w:abstractNumId w:val="44"/>
  </w:num>
  <w:num w:numId="62">
    <w:abstractNumId w:val="58"/>
  </w:num>
  <w:num w:numId="63">
    <w:abstractNumId w:val="73"/>
  </w:num>
  <w:num w:numId="64">
    <w:abstractNumId w:val="11"/>
  </w:num>
  <w:num w:numId="65">
    <w:abstractNumId w:val="85"/>
  </w:num>
  <w:num w:numId="66">
    <w:abstractNumId w:val="78"/>
  </w:num>
  <w:num w:numId="67">
    <w:abstractNumId w:val="72"/>
  </w:num>
  <w:num w:numId="68">
    <w:abstractNumId w:val="38"/>
  </w:num>
  <w:num w:numId="69">
    <w:abstractNumId w:val="27"/>
  </w:num>
  <w:num w:numId="70">
    <w:abstractNumId w:val="15"/>
  </w:num>
  <w:num w:numId="71">
    <w:abstractNumId w:val="14"/>
  </w:num>
  <w:num w:numId="72">
    <w:abstractNumId w:val="64"/>
  </w:num>
  <w:num w:numId="73">
    <w:abstractNumId w:val="28"/>
  </w:num>
  <w:num w:numId="74">
    <w:abstractNumId w:val="47"/>
  </w:num>
  <w:num w:numId="75">
    <w:abstractNumId w:val="52"/>
  </w:num>
  <w:num w:numId="76">
    <w:abstractNumId w:val="71"/>
  </w:num>
  <w:num w:numId="77">
    <w:abstractNumId w:val="65"/>
  </w:num>
  <w:num w:numId="78">
    <w:abstractNumId w:val="93"/>
  </w:num>
  <w:num w:numId="79">
    <w:abstractNumId w:val="55"/>
  </w:num>
  <w:num w:numId="80">
    <w:abstractNumId w:val="31"/>
  </w:num>
  <w:num w:numId="81">
    <w:abstractNumId w:val="66"/>
  </w:num>
  <w:num w:numId="82">
    <w:abstractNumId w:val="70"/>
  </w:num>
  <w:num w:numId="83">
    <w:abstractNumId w:val="84"/>
  </w:num>
  <w:num w:numId="84">
    <w:abstractNumId w:val="75"/>
  </w:num>
  <w:num w:numId="85">
    <w:abstractNumId w:val="29"/>
  </w:num>
  <w:num w:numId="86">
    <w:abstractNumId w:val="90"/>
  </w:num>
  <w:num w:numId="87">
    <w:abstractNumId w:val="18"/>
  </w:num>
  <w:num w:numId="88">
    <w:abstractNumId w:val="49"/>
  </w:num>
  <w:num w:numId="89">
    <w:abstractNumId w:val="25"/>
  </w:num>
  <w:num w:numId="90">
    <w:abstractNumId w:val="68"/>
  </w:num>
  <w:num w:numId="91">
    <w:abstractNumId w:val="68"/>
    <w:lvlOverride w:ilvl="0">
      <w:startOverride w:val="1"/>
    </w:lvlOverride>
  </w:num>
  <w:num w:numId="92">
    <w:abstractNumId w:val="48"/>
  </w:num>
  <w:num w:numId="93">
    <w:abstractNumId w:val="48"/>
    <w:lvlOverride w:ilvl="0">
      <w:startOverride w:val="1"/>
    </w:lvlOverride>
  </w:num>
  <w:num w:numId="94">
    <w:abstractNumId w:val="48"/>
    <w:lvlOverride w:ilvl="0">
      <w:startOverride w:val="1"/>
    </w:lvlOverride>
  </w:num>
  <w:num w:numId="95">
    <w:abstractNumId w:val="20"/>
  </w:num>
  <w:num w:numId="96">
    <w:abstractNumId w:val="32"/>
  </w:num>
  <w:num w:numId="97">
    <w:abstractNumId w:val="76"/>
  </w:num>
  <w:num w:numId="98">
    <w:abstractNumId w:val="88"/>
  </w:num>
  <w:num w:numId="99">
    <w:abstractNumId w:val="34"/>
  </w:num>
  <w:num w:numId="100">
    <w:abstractNumId w:val="59"/>
  </w:num>
  <w:num w:numId="101">
    <w:abstractNumId w:val="92"/>
  </w:num>
  <w:num w:numId="102">
    <w:abstractNumId w:val="39"/>
  </w:num>
  <w:num w:numId="103">
    <w:abstractNumId w:val="57"/>
  </w:num>
  <w:num w:numId="104">
    <w:abstractNumId w:val="33"/>
  </w:num>
  <w:num w:numId="105">
    <w:abstractNumId w:val="13"/>
  </w:num>
  <w:num w:numId="106">
    <w:abstractNumId w:val="77"/>
  </w:num>
  <w:num w:numId="107">
    <w:abstractNumId w:val="91"/>
  </w:num>
  <w:num w:numId="108">
    <w:abstractNumId w:val="9"/>
  </w:num>
  <w:num w:numId="109">
    <w:abstractNumId w:val="10"/>
  </w:num>
  <w:num w:numId="110">
    <w:abstractNumId w:val="9"/>
    <w:lvlOverride w:ilvl="0">
      <w:startOverride w:val="1"/>
    </w:lvlOverride>
  </w:num>
  <w:num w:numId="111">
    <w:abstractNumId w:val="56"/>
  </w:num>
  <w:num w:numId="112">
    <w:abstractNumId w:val="26"/>
  </w:num>
  <w:num w:numId="113">
    <w:abstractNumId w:val="79"/>
  </w:num>
  <w:num w:numId="114">
    <w:abstractNumId w:val="79"/>
    <w:lvlOverride w:ilvl="0">
      <w:startOverride w:val="1"/>
    </w:lvlOverride>
  </w:num>
  <w:num w:numId="115">
    <w:abstractNumId w:val="79"/>
    <w:lvlOverride w:ilvl="0">
      <w:startOverride w:val="1"/>
    </w:lvlOverride>
  </w:num>
  <w:num w:numId="116">
    <w:abstractNumId w:val="80"/>
  </w:num>
  <w:num w:numId="11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30"/>
  </w:num>
  <w:num w:numId="119">
    <w:abstractNumId w:val="51"/>
  </w:num>
  <w:num w:numId="120">
    <w:abstractNumId w:val="43"/>
  </w:num>
  <w:num w:numId="121">
    <w:abstractNumId w:val="16"/>
  </w:num>
  <w:num w:numId="122">
    <w:abstractNumId w:val="16"/>
  </w:num>
  <w:num w:numId="123">
    <w:abstractNumId w:val="41"/>
  </w:num>
  <w:num w:numId="12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37"/>
  <w:drawingGridHorizontalSpacing w:val="110"/>
  <w:displayHorizontalDrawingGridEvery w:val="0"/>
  <w:displayVerticalDrawingGridEvery w:val="0"/>
  <w:noPunctuationKerning/>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3768"/>
    <w:rsid w:val="00000106"/>
    <w:rsid w:val="0000083A"/>
    <w:rsid w:val="00001ABC"/>
    <w:rsid w:val="00001B92"/>
    <w:rsid w:val="000027D8"/>
    <w:rsid w:val="00002BA6"/>
    <w:rsid w:val="00002D3D"/>
    <w:rsid w:val="000034EE"/>
    <w:rsid w:val="000038DC"/>
    <w:rsid w:val="00003E1C"/>
    <w:rsid w:val="000046B2"/>
    <w:rsid w:val="00004806"/>
    <w:rsid w:val="00004928"/>
    <w:rsid w:val="000049C9"/>
    <w:rsid w:val="00004F23"/>
    <w:rsid w:val="00005023"/>
    <w:rsid w:val="00005392"/>
    <w:rsid w:val="0000548D"/>
    <w:rsid w:val="00005F33"/>
    <w:rsid w:val="00005FE8"/>
    <w:rsid w:val="0000696A"/>
    <w:rsid w:val="00006AD4"/>
    <w:rsid w:val="00006CD8"/>
    <w:rsid w:val="00006D10"/>
    <w:rsid w:val="000076A1"/>
    <w:rsid w:val="000076C3"/>
    <w:rsid w:val="00007966"/>
    <w:rsid w:val="00007A10"/>
    <w:rsid w:val="00007AA2"/>
    <w:rsid w:val="00007C2D"/>
    <w:rsid w:val="00007EFF"/>
    <w:rsid w:val="00010290"/>
    <w:rsid w:val="00010E3E"/>
    <w:rsid w:val="000116E6"/>
    <w:rsid w:val="000118BD"/>
    <w:rsid w:val="00011949"/>
    <w:rsid w:val="00011D40"/>
    <w:rsid w:val="00011F6C"/>
    <w:rsid w:val="000123BD"/>
    <w:rsid w:val="00012FA1"/>
    <w:rsid w:val="000130D8"/>
    <w:rsid w:val="00013110"/>
    <w:rsid w:val="000132B2"/>
    <w:rsid w:val="00013472"/>
    <w:rsid w:val="00013913"/>
    <w:rsid w:val="00013AC5"/>
    <w:rsid w:val="000142F3"/>
    <w:rsid w:val="00014320"/>
    <w:rsid w:val="0001439F"/>
    <w:rsid w:val="000144C3"/>
    <w:rsid w:val="000145A4"/>
    <w:rsid w:val="000155DA"/>
    <w:rsid w:val="00015A68"/>
    <w:rsid w:val="00015AE8"/>
    <w:rsid w:val="00016159"/>
    <w:rsid w:val="00016741"/>
    <w:rsid w:val="000168C8"/>
    <w:rsid w:val="00016FDF"/>
    <w:rsid w:val="00017C0A"/>
    <w:rsid w:val="00017D90"/>
    <w:rsid w:val="0002050A"/>
    <w:rsid w:val="000206C3"/>
    <w:rsid w:val="0002077F"/>
    <w:rsid w:val="00020CC0"/>
    <w:rsid w:val="000213E5"/>
    <w:rsid w:val="0002165F"/>
    <w:rsid w:val="000216B8"/>
    <w:rsid w:val="00021829"/>
    <w:rsid w:val="00021CFF"/>
    <w:rsid w:val="00022138"/>
    <w:rsid w:val="000221B6"/>
    <w:rsid w:val="00022728"/>
    <w:rsid w:val="000229A5"/>
    <w:rsid w:val="00022A9F"/>
    <w:rsid w:val="0002355E"/>
    <w:rsid w:val="00023707"/>
    <w:rsid w:val="00023897"/>
    <w:rsid w:val="00023DE0"/>
    <w:rsid w:val="00024389"/>
    <w:rsid w:val="000246CA"/>
    <w:rsid w:val="00024938"/>
    <w:rsid w:val="000250CA"/>
    <w:rsid w:val="000251A0"/>
    <w:rsid w:val="00025C53"/>
    <w:rsid w:val="00025E53"/>
    <w:rsid w:val="00026B68"/>
    <w:rsid w:val="00027465"/>
    <w:rsid w:val="00027F3A"/>
    <w:rsid w:val="000302BB"/>
    <w:rsid w:val="0003048F"/>
    <w:rsid w:val="00030576"/>
    <w:rsid w:val="00030840"/>
    <w:rsid w:val="00030D71"/>
    <w:rsid w:val="00030D82"/>
    <w:rsid w:val="00030DD5"/>
    <w:rsid w:val="00030E10"/>
    <w:rsid w:val="000315E1"/>
    <w:rsid w:val="00031805"/>
    <w:rsid w:val="00031B07"/>
    <w:rsid w:val="000320AE"/>
    <w:rsid w:val="0003214C"/>
    <w:rsid w:val="00032803"/>
    <w:rsid w:val="00032824"/>
    <w:rsid w:val="00032940"/>
    <w:rsid w:val="00033D3D"/>
    <w:rsid w:val="000340CB"/>
    <w:rsid w:val="000346F0"/>
    <w:rsid w:val="0003540D"/>
    <w:rsid w:val="000356FC"/>
    <w:rsid w:val="00035BBD"/>
    <w:rsid w:val="00035C9E"/>
    <w:rsid w:val="00036393"/>
    <w:rsid w:val="000367C9"/>
    <w:rsid w:val="00036BCD"/>
    <w:rsid w:val="00036D9B"/>
    <w:rsid w:val="00036EC2"/>
    <w:rsid w:val="000370FB"/>
    <w:rsid w:val="000375BA"/>
    <w:rsid w:val="000376AF"/>
    <w:rsid w:val="0004063E"/>
    <w:rsid w:val="00040B63"/>
    <w:rsid w:val="0004130F"/>
    <w:rsid w:val="00041401"/>
    <w:rsid w:val="000414E3"/>
    <w:rsid w:val="00041823"/>
    <w:rsid w:val="00041B52"/>
    <w:rsid w:val="00041BC7"/>
    <w:rsid w:val="00041F15"/>
    <w:rsid w:val="000423FD"/>
    <w:rsid w:val="00042B91"/>
    <w:rsid w:val="000435AC"/>
    <w:rsid w:val="000438D8"/>
    <w:rsid w:val="00043DEE"/>
    <w:rsid w:val="00043EED"/>
    <w:rsid w:val="00043F97"/>
    <w:rsid w:val="0004404A"/>
    <w:rsid w:val="0004467E"/>
    <w:rsid w:val="0004486E"/>
    <w:rsid w:val="00044AEF"/>
    <w:rsid w:val="00044B25"/>
    <w:rsid w:val="000453AC"/>
    <w:rsid w:val="000455DA"/>
    <w:rsid w:val="00045B66"/>
    <w:rsid w:val="00045F46"/>
    <w:rsid w:val="00046426"/>
    <w:rsid w:val="0004665B"/>
    <w:rsid w:val="000466A1"/>
    <w:rsid w:val="00046A5B"/>
    <w:rsid w:val="00046C4B"/>
    <w:rsid w:val="000471CC"/>
    <w:rsid w:val="000472D2"/>
    <w:rsid w:val="000473E3"/>
    <w:rsid w:val="00047E97"/>
    <w:rsid w:val="00047EE2"/>
    <w:rsid w:val="00050525"/>
    <w:rsid w:val="00050712"/>
    <w:rsid w:val="000509F7"/>
    <w:rsid w:val="00050B12"/>
    <w:rsid w:val="00051F24"/>
    <w:rsid w:val="00052C54"/>
    <w:rsid w:val="000533C4"/>
    <w:rsid w:val="0005356A"/>
    <w:rsid w:val="00053716"/>
    <w:rsid w:val="000537C4"/>
    <w:rsid w:val="00053B84"/>
    <w:rsid w:val="00053BA8"/>
    <w:rsid w:val="00053E65"/>
    <w:rsid w:val="00054106"/>
    <w:rsid w:val="0005415D"/>
    <w:rsid w:val="0005477E"/>
    <w:rsid w:val="000548FF"/>
    <w:rsid w:val="00054D1A"/>
    <w:rsid w:val="00054F3B"/>
    <w:rsid w:val="000555B3"/>
    <w:rsid w:val="00055B1F"/>
    <w:rsid w:val="00055BCF"/>
    <w:rsid w:val="00055CD7"/>
    <w:rsid w:val="000560C0"/>
    <w:rsid w:val="000561C5"/>
    <w:rsid w:val="00056238"/>
    <w:rsid w:val="00056C1E"/>
    <w:rsid w:val="00056C73"/>
    <w:rsid w:val="00057104"/>
    <w:rsid w:val="00057454"/>
    <w:rsid w:val="00057D16"/>
    <w:rsid w:val="0006057A"/>
    <w:rsid w:val="0006092E"/>
    <w:rsid w:val="000609C2"/>
    <w:rsid w:val="00060FF5"/>
    <w:rsid w:val="0006105A"/>
    <w:rsid w:val="0006198F"/>
    <w:rsid w:val="000619D5"/>
    <w:rsid w:val="000619DC"/>
    <w:rsid w:val="00061E18"/>
    <w:rsid w:val="000621C0"/>
    <w:rsid w:val="0006225D"/>
    <w:rsid w:val="000627A9"/>
    <w:rsid w:val="00062B01"/>
    <w:rsid w:val="00063B1E"/>
    <w:rsid w:val="00063CEB"/>
    <w:rsid w:val="00064105"/>
    <w:rsid w:val="0006429A"/>
    <w:rsid w:val="00064921"/>
    <w:rsid w:val="00064E02"/>
    <w:rsid w:val="0006524F"/>
    <w:rsid w:val="00065351"/>
    <w:rsid w:val="00065623"/>
    <w:rsid w:val="0006591D"/>
    <w:rsid w:val="00065C79"/>
    <w:rsid w:val="00066063"/>
    <w:rsid w:val="000665F8"/>
    <w:rsid w:val="00066633"/>
    <w:rsid w:val="000668CE"/>
    <w:rsid w:val="00066AA8"/>
    <w:rsid w:val="00066BA6"/>
    <w:rsid w:val="00066C51"/>
    <w:rsid w:val="00066E97"/>
    <w:rsid w:val="00066F86"/>
    <w:rsid w:val="00067B77"/>
    <w:rsid w:val="00070BBE"/>
    <w:rsid w:val="0007119D"/>
    <w:rsid w:val="000711E0"/>
    <w:rsid w:val="0007145B"/>
    <w:rsid w:val="000714F1"/>
    <w:rsid w:val="00071797"/>
    <w:rsid w:val="00072178"/>
    <w:rsid w:val="000722EA"/>
    <w:rsid w:val="00072A09"/>
    <w:rsid w:val="00072AC7"/>
    <w:rsid w:val="00072AEF"/>
    <w:rsid w:val="00072BD8"/>
    <w:rsid w:val="00072C7B"/>
    <w:rsid w:val="00072D21"/>
    <w:rsid w:val="000738A2"/>
    <w:rsid w:val="000739B8"/>
    <w:rsid w:val="00074180"/>
    <w:rsid w:val="000746C5"/>
    <w:rsid w:val="00074B0E"/>
    <w:rsid w:val="0007549B"/>
    <w:rsid w:val="00075860"/>
    <w:rsid w:val="00075AF2"/>
    <w:rsid w:val="00075C0D"/>
    <w:rsid w:val="00075CAD"/>
    <w:rsid w:val="000760EE"/>
    <w:rsid w:val="000761CB"/>
    <w:rsid w:val="000764F8"/>
    <w:rsid w:val="000766AF"/>
    <w:rsid w:val="00076AE4"/>
    <w:rsid w:val="00076F5A"/>
    <w:rsid w:val="00077237"/>
    <w:rsid w:val="000775D1"/>
    <w:rsid w:val="00077946"/>
    <w:rsid w:val="00077C6B"/>
    <w:rsid w:val="00077E83"/>
    <w:rsid w:val="00080609"/>
    <w:rsid w:val="00080687"/>
    <w:rsid w:val="00080A95"/>
    <w:rsid w:val="00080B3A"/>
    <w:rsid w:val="00080E90"/>
    <w:rsid w:val="00081128"/>
    <w:rsid w:val="000813CC"/>
    <w:rsid w:val="00081498"/>
    <w:rsid w:val="00081AAC"/>
    <w:rsid w:val="00081C89"/>
    <w:rsid w:val="00082358"/>
    <w:rsid w:val="000823CB"/>
    <w:rsid w:val="00082B9A"/>
    <w:rsid w:val="00082DA5"/>
    <w:rsid w:val="00082F25"/>
    <w:rsid w:val="0008303D"/>
    <w:rsid w:val="000830AE"/>
    <w:rsid w:val="000830E6"/>
    <w:rsid w:val="000836B9"/>
    <w:rsid w:val="000841EE"/>
    <w:rsid w:val="00084260"/>
    <w:rsid w:val="0008441D"/>
    <w:rsid w:val="00084871"/>
    <w:rsid w:val="00084974"/>
    <w:rsid w:val="000851DD"/>
    <w:rsid w:val="00085896"/>
    <w:rsid w:val="00085DAE"/>
    <w:rsid w:val="00086365"/>
    <w:rsid w:val="000865A9"/>
    <w:rsid w:val="000869ED"/>
    <w:rsid w:val="00086A84"/>
    <w:rsid w:val="00086B8B"/>
    <w:rsid w:val="00087203"/>
    <w:rsid w:val="0008734E"/>
    <w:rsid w:val="00087713"/>
    <w:rsid w:val="000877C7"/>
    <w:rsid w:val="00087B71"/>
    <w:rsid w:val="0009007A"/>
    <w:rsid w:val="0009010B"/>
    <w:rsid w:val="00090361"/>
    <w:rsid w:val="0009096E"/>
    <w:rsid w:val="0009104A"/>
    <w:rsid w:val="00091624"/>
    <w:rsid w:val="00091BD9"/>
    <w:rsid w:val="00091C22"/>
    <w:rsid w:val="00091F1D"/>
    <w:rsid w:val="00092619"/>
    <w:rsid w:val="000926DF"/>
    <w:rsid w:val="00092A52"/>
    <w:rsid w:val="00092F30"/>
    <w:rsid w:val="00093172"/>
    <w:rsid w:val="00093D10"/>
    <w:rsid w:val="00094CB3"/>
    <w:rsid w:val="00094D4A"/>
    <w:rsid w:val="00095EE6"/>
    <w:rsid w:val="000963B0"/>
    <w:rsid w:val="00096923"/>
    <w:rsid w:val="00096B36"/>
    <w:rsid w:val="00096E43"/>
    <w:rsid w:val="0009739E"/>
    <w:rsid w:val="00097C15"/>
    <w:rsid w:val="00097EE5"/>
    <w:rsid w:val="000A0871"/>
    <w:rsid w:val="000A0A1C"/>
    <w:rsid w:val="000A0E5A"/>
    <w:rsid w:val="000A0E9A"/>
    <w:rsid w:val="000A11A3"/>
    <w:rsid w:val="000A1255"/>
    <w:rsid w:val="000A17D0"/>
    <w:rsid w:val="000A19E7"/>
    <w:rsid w:val="000A23DA"/>
    <w:rsid w:val="000A2FAF"/>
    <w:rsid w:val="000A337A"/>
    <w:rsid w:val="000A35BB"/>
    <w:rsid w:val="000A37DC"/>
    <w:rsid w:val="000A3BA2"/>
    <w:rsid w:val="000A3E07"/>
    <w:rsid w:val="000A3E68"/>
    <w:rsid w:val="000A3F4A"/>
    <w:rsid w:val="000A4089"/>
    <w:rsid w:val="000A44CE"/>
    <w:rsid w:val="000A4CD1"/>
    <w:rsid w:val="000A4EBC"/>
    <w:rsid w:val="000A51A5"/>
    <w:rsid w:val="000A5619"/>
    <w:rsid w:val="000A5660"/>
    <w:rsid w:val="000A5885"/>
    <w:rsid w:val="000A5C18"/>
    <w:rsid w:val="000A6D8F"/>
    <w:rsid w:val="000A748E"/>
    <w:rsid w:val="000A7CB6"/>
    <w:rsid w:val="000B0074"/>
    <w:rsid w:val="000B0099"/>
    <w:rsid w:val="000B0585"/>
    <w:rsid w:val="000B085A"/>
    <w:rsid w:val="000B0C79"/>
    <w:rsid w:val="000B11C5"/>
    <w:rsid w:val="000B139E"/>
    <w:rsid w:val="000B17C1"/>
    <w:rsid w:val="000B1E2A"/>
    <w:rsid w:val="000B2F93"/>
    <w:rsid w:val="000B32FC"/>
    <w:rsid w:val="000B34E2"/>
    <w:rsid w:val="000B389B"/>
    <w:rsid w:val="000B3A40"/>
    <w:rsid w:val="000B3C54"/>
    <w:rsid w:val="000B3DAE"/>
    <w:rsid w:val="000B40F9"/>
    <w:rsid w:val="000B4B03"/>
    <w:rsid w:val="000B4BE5"/>
    <w:rsid w:val="000B4D65"/>
    <w:rsid w:val="000B4E02"/>
    <w:rsid w:val="000B5020"/>
    <w:rsid w:val="000B5136"/>
    <w:rsid w:val="000B5819"/>
    <w:rsid w:val="000B5B4E"/>
    <w:rsid w:val="000B6382"/>
    <w:rsid w:val="000B6611"/>
    <w:rsid w:val="000B6661"/>
    <w:rsid w:val="000B67A2"/>
    <w:rsid w:val="000B6ED0"/>
    <w:rsid w:val="000B711F"/>
    <w:rsid w:val="000B752E"/>
    <w:rsid w:val="000B757E"/>
    <w:rsid w:val="000B78EF"/>
    <w:rsid w:val="000C05C0"/>
    <w:rsid w:val="000C06C3"/>
    <w:rsid w:val="000C135D"/>
    <w:rsid w:val="000C13C7"/>
    <w:rsid w:val="000C1469"/>
    <w:rsid w:val="000C175D"/>
    <w:rsid w:val="000C19B0"/>
    <w:rsid w:val="000C1D1A"/>
    <w:rsid w:val="000C1D9E"/>
    <w:rsid w:val="000C1F95"/>
    <w:rsid w:val="000C22DB"/>
    <w:rsid w:val="000C2463"/>
    <w:rsid w:val="000C2A67"/>
    <w:rsid w:val="000C2AF5"/>
    <w:rsid w:val="000C2ED3"/>
    <w:rsid w:val="000C2FF4"/>
    <w:rsid w:val="000C3350"/>
    <w:rsid w:val="000C3449"/>
    <w:rsid w:val="000C3761"/>
    <w:rsid w:val="000C38CD"/>
    <w:rsid w:val="000C5DC7"/>
    <w:rsid w:val="000C648C"/>
    <w:rsid w:val="000C65BE"/>
    <w:rsid w:val="000C673D"/>
    <w:rsid w:val="000C6B1B"/>
    <w:rsid w:val="000C6EBF"/>
    <w:rsid w:val="000C71F9"/>
    <w:rsid w:val="000C75E7"/>
    <w:rsid w:val="000C768E"/>
    <w:rsid w:val="000D0E21"/>
    <w:rsid w:val="000D1655"/>
    <w:rsid w:val="000D165E"/>
    <w:rsid w:val="000D16B3"/>
    <w:rsid w:val="000D1D1B"/>
    <w:rsid w:val="000D26C4"/>
    <w:rsid w:val="000D274F"/>
    <w:rsid w:val="000D39A7"/>
    <w:rsid w:val="000D4045"/>
    <w:rsid w:val="000D41FC"/>
    <w:rsid w:val="000D43E2"/>
    <w:rsid w:val="000D4410"/>
    <w:rsid w:val="000D44F2"/>
    <w:rsid w:val="000D46E9"/>
    <w:rsid w:val="000D536E"/>
    <w:rsid w:val="000D57D9"/>
    <w:rsid w:val="000D61B9"/>
    <w:rsid w:val="000D6273"/>
    <w:rsid w:val="000D6C50"/>
    <w:rsid w:val="000D6E4D"/>
    <w:rsid w:val="000D6F29"/>
    <w:rsid w:val="000D70D8"/>
    <w:rsid w:val="000D71EC"/>
    <w:rsid w:val="000D723B"/>
    <w:rsid w:val="000D7242"/>
    <w:rsid w:val="000D7244"/>
    <w:rsid w:val="000D7501"/>
    <w:rsid w:val="000D76DF"/>
    <w:rsid w:val="000D76ED"/>
    <w:rsid w:val="000D7A2A"/>
    <w:rsid w:val="000D7A35"/>
    <w:rsid w:val="000D7E87"/>
    <w:rsid w:val="000E04C6"/>
    <w:rsid w:val="000E05C0"/>
    <w:rsid w:val="000E05FC"/>
    <w:rsid w:val="000E0902"/>
    <w:rsid w:val="000E0C0B"/>
    <w:rsid w:val="000E0EB9"/>
    <w:rsid w:val="000E1076"/>
    <w:rsid w:val="000E1111"/>
    <w:rsid w:val="000E12A7"/>
    <w:rsid w:val="000E1473"/>
    <w:rsid w:val="000E15A9"/>
    <w:rsid w:val="000E1627"/>
    <w:rsid w:val="000E2218"/>
    <w:rsid w:val="000E24F6"/>
    <w:rsid w:val="000E2960"/>
    <w:rsid w:val="000E2EAE"/>
    <w:rsid w:val="000E3292"/>
    <w:rsid w:val="000E3A66"/>
    <w:rsid w:val="000E3D3C"/>
    <w:rsid w:val="000E3E54"/>
    <w:rsid w:val="000E414B"/>
    <w:rsid w:val="000E492D"/>
    <w:rsid w:val="000E4D79"/>
    <w:rsid w:val="000E5065"/>
    <w:rsid w:val="000E562C"/>
    <w:rsid w:val="000E5A53"/>
    <w:rsid w:val="000E5B19"/>
    <w:rsid w:val="000E5F1B"/>
    <w:rsid w:val="000E6D4D"/>
    <w:rsid w:val="000E764B"/>
    <w:rsid w:val="000E7812"/>
    <w:rsid w:val="000E7A86"/>
    <w:rsid w:val="000E7AEC"/>
    <w:rsid w:val="000E7EBD"/>
    <w:rsid w:val="000F04A0"/>
    <w:rsid w:val="000F0B8A"/>
    <w:rsid w:val="000F0BFE"/>
    <w:rsid w:val="000F0DD5"/>
    <w:rsid w:val="000F1477"/>
    <w:rsid w:val="000F1507"/>
    <w:rsid w:val="000F1891"/>
    <w:rsid w:val="000F1F3E"/>
    <w:rsid w:val="000F2077"/>
    <w:rsid w:val="000F238E"/>
    <w:rsid w:val="000F24BF"/>
    <w:rsid w:val="000F26E8"/>
    <w:rsid w:val="000F2CEB"/>
    <w:rsid w:val="000F3684"/>
    <w:rsid w:val="000F3970"/>
    <w:rsid w:val="000F3E33"/>
    <w:rsid w:val="000F3F85"/>
    <w:rsid w:val="000F409D"/>
    <w:rsid w:val="000F459D"/>
    <w:rsid w:val="000F478F"/>
    <w:rsid w:val="000F49A7"/>
    <w:rsid w:val="000F4F37"/>
    <w:rsid w:val="000F517C"/>
    <w:rsid w:val="000F51C5"/>
    <w:rsid w:val="000F61FA"/>
    <w:rsid w:val="000F73A9"/>
    <w:rsid w:val="000F74D5"/>
    <w:rsid w:val="000F767C"/>
    <w:rsid w:val="000F76F5"/>
    <w:rsid w:val="000F7946"/>
    <w:rsid w:val="000F7C81"/>
    <w:rsid w:val="0010031B"/>
    <w:rsid w:val="0010078D"/>
    <w:rsid w:val="00100D95"/>
    <w:rsid w:val="001015B1"/>
    <w:rsid w:val="00101726"/>
    <w:rsid w:val="001018D1"/>
    <w:rsid w:val="00101A1B"/>
    <w:rsid w:val="00101B87"/>
    <w:rsid w:val="00101B90"/>
    <w:rsid w:val="00101D04"/>
    <w:rsid w:val="00101DAB"/>
    <w:rsid w:val="00101E7D"/>
    <w:rsid w:val="001020F4"/>
    <w:rsid w:val="0010223B"/>
    <w:rsid w:val="00102369"/>
    <w:rsid w:val="001028C1"/>
    <w:rsid w:val="00102FA2"/>
    <w:rsid w:val="00103BE2"/>
    <w:rsid w:val="00103E4B"/>
    <w:rsid w:val="00104154"/>
    <w:rsid w:val="001042EA"/>
    <w:rsid w:val="001047B9"/>
    <w:rsid w:val="00104C2A"/>
    <w:rsid w:val="001051FD"/>
    <w:rsid w:val="00105671"/>
    <w:rsid w:val="00105A46"/>
    <w:rsid w:val="001061F2"/>
    <w:rsid w:val="0010620F"/>
    <w:rsid w:val="001062B9"/>
    <w:rsid w:val="001063BE"/>
    <w:rsid w:val="001064E4"/>
    <w:rsid w:val="0010658F"/>
    <w:rsid w:val="00106591"/>
    <w:rsid w:val="00106A0A"/>
    <w:rsid w:val="00106F74"/>
    <w:rsid w:val="00106FAA"/>
    <w:rsid w:val="00107137"/>
    <w:rsid w:val="00107195"/>
    <w:rsid w:val="00107632"/>
    <w:rsid w:val="00107850"/>
    <w:rsid w:val="00107D05"/>
    <w:rsid w:val="00107EBC"/>
    <w:rsid w:val="001109BE"/>
    <w:rsid w:val="00110A52"/>
    <w:rsid w:val="00110BA6"/>
    <w:rsid w:val="00110BEB"/>
    <w:rsid w:val="001114E0"/>
    <w:rsid w:val="001115FA"/>
    <w:rsid w:val="001117CE"/>
    <w:rsid w:val="00111E15"/>
    <w:rsid w:val="001125B7"/>
    <w:rsid w:val="00112AFA"/>
    <w:rsid w:val="00112C0D"/>
    <w:rsid w:val="00112D61"/>
    <w:rsid w:val="00112F40"/>
    <w:rsid w:val="00113513"/>
    <w:rsid w:val="001138EA"/>
    <w:rsid w:val="00114295"/>
    <w:rsid w:val="001142BA"/>
    <w:rsid w:val="00114625"/>
    <w:rsid w:val="001146B8"/>
    <w:rsid w:val="00114ABC"/>
    <w:rsid w:val="00114D35"/>
    <w:rsid w:val="00114EE2"/>
    <w:rsid w:val="001151EF"/>
    <w:rsid w:val="00115E03"/>
    <w:rsid w:val="00115EA9"/>
    <w:rsid w:val="00116A0D"/>
    <w:rsid w:val="00116BF0"/>
    <w:rsid w:val="00116C68"/>
    <w:rsid w:val="00116D36"/>
    <w:rsid w:val="0011765E"/>
    <w:rsid w:val="00117AC3"/>
    <w:rsid w:val="00117DD3"/>
    <w:rsid w:val="00117E7D"/>
    <w:rsid w:val="001203A7"/>
    <w:rsid w:val="00120A88"/>
    <w:rsid w:val="00120BC2"/>
    <w:rsid w:val="00120FD9"/>
    <w:rsid w:val="00121044"/>
    <w:rsid w:val="001213BE"/>
    <w:rsid w:val="00122336"/>
    <w:rsid w:val="001227E6"/>
    <w:rsid w:val="00122A28"/>
    <w:rsid w:val="0012307E"/>
    <w:rsid w:val="001230AC"/>
    <w:rsid w:val="001234BC"/>
    <w:rsid w:val="001236E9"/>
    <w:rsid w:val="00123A3B"/>
    <w:rsid w:val="00123AA0"/>
    <w:rsid w:val="00123F9B"/>
    <w:rsid w:val="00124249"/>
    <w:rsid w:val="001243AA"/>
    <w:rsid w:val="0012485B"/>
    <w:rsid w:val="00124EA9"/>
    <w:rsid w:val="00124F1B"/>
    <w:rsid w:val="001252B2"/>
    <w:rsid w:val="001254DC"/>
    <w:rsid w:val="00125677"/>
    <w:rsid w:val="00125B86"/>
    <w:rsid w:val="00125CBD"/>
    <w:rsid w:val="00125FDB"/>
    <w:rsid w:val="001260DF"/>
    <w:rsid w:val="001262E7"/>
    <w:rsid w:val="00126B3A"/>
    <w:rsid w:val="00126BC5"/>
    <w:rsid w:val="00126CF6"/>
    <w:rsid w:val="00126EF9"/>
    <w:rsid w:val="0012719E"/>
    <w:rsid w:val="001273A9"/>
    <w:rsid w:val="0012747B"/>
    <w:rsid w:val="00127FD3"/>
    <w:rsid w:val="00130106"/>
    <w:rsid w:val="00130227"/>
    <w:rsid w:val="001303B9"/>
    <w:rsid w:val="00130958"/>
    <w:rsid w:val="00130D7D"/>
    <w:rsid w:val="00130F1E"/>
    <w:rsid w:val="0013115B"/>
    <w:rsid w:val="001311BD"/>
    <w:rsid w:val="0013138C"/>
    <w:rsid w:val="001313D2"/>
    <w:rsid w:val="00131570"/>
    <w:rsid w:val="00131E0C"/>
    <w:rsid w:val="00132407"/>
    <w:rsid w:val="00132BE3"/>
    <w:rsid w:val="00132CE7"/>
    <w:rsid w:val="00132E71"/>
    <w:rsid w:val="00133452"/>
    <w:rsid w:val="0013355F"/>
    <w:rsid w:val="00133D63"/>
    <w:rsid w:val="00134038"/>
    <w:rsid w:val="001346B4"/>
    <w:rsid w:val="001349DB"/>
    <w:rsid w:val="00134EA6"/>
    <w:rsid w:val="00134FCC"/>
    <w:rsid w:val="001355C5"/>
    <w:rsid w:val="00135D9D"/>
    <w:rsid w:val="00135EBF"/>
    <w:rsid w:val="00135F43"/>
    <w:rsid w:val="001364ED"/>
    <w:rsid w:val="00136720"/>
    <w:rsid w:val="00136A51"/>
    <w:rsid w:val="00136DFB"/>
    <w:rsid w:val="0013739D"/>
    <w:rsid w:val="001374ED"/>
    <w:rsid w:val="0013773E"/>
    <w:rsid w:val="001377DA"/>
    <w:rsid w:val="00140318"/>
    <w:rsid w:val="001406DE"/>
    <w:rsid w:val="0014073E"/>
    <w:rsid w:val="00140A0E"/>
    <w:rsid w:val="00140A57"/>
    <w:rsid w:val="00140AAE"/>
    <w:rsid w:val="00140CD5"/>
    <w:rsid w:val="0014113A"/>
    <w:rsid w:val="001414D8"/>
    <w:rsid w:val="0014155A"/>
    <w:rsid w:val="00141626"/>
    <w:rsid w:val="001416D2"/>
    <w:rsid w:val="001420AD"/>
    <w:rsid w:val="00142185"/>
    <w:rsid w:val="001424CC"/>
    <w:rsid w:val="001425C1"/>
    <w:rsid w:val="00142C74"/>
    <w:rsid w:val="00142D42"/>
    <w:rsid w:val="00142D8F"/>
    <w:rsid w:val="00143056"/>
    <w:rsid w:val="001437DA"/>
    <w:rsid w:val="00144384"/>
    <w:rsid w:val="001449DC"/>
    <w:rsid w:val="00144D7D"/>
    <w:rsid w:val="00145016"/>
    <w:rsid w:val="0014537A"/>
    <w:rsid w:val="001453F1"/>
    <w:rsid w:val="00145578"/>
    <w:rsid w:val="001456F8"/>
    <w:rsid w:val="0014583E"/>
    <w:rsid w:val="0014613A"/>
    <w:rsid w:val="001461B5"/>
    <w:rsid w:val="0014652F"/>
    <w:rsid w:val="00146BBF"/>
    <w:rsid w:val="0014704F"/>
    <w:rsid w:val="00147434"/>
    <w:rsid w:val="00147666"/>
    <w:rsid w:val="0014776A"/>
    <w:rsid w:val="00150084"/>
    <w:rsid w:val="0015032C"/>
    <w:rsid w:val="001503B0"/>
    <w:rsid w:val="001506AE"/>
    <w:rsid w:val="001509AF"/>
    <w:rsid w:val="00151475"/>
    <w:rsid w:val="001520FB"/>
    <w:rsid w:val="00152E71"/>
    <w:rsid w:val="00153450"/>
    <w:rsid w:val="00153C40"/>
    <w:rsid w:val="00153FF2"/>
    <w:rsid w:val="0015472D"/>
    <w:rsid w:val="00154C09"/>
    <w:rsid w:val="0015530F"/>
    <w:rsid w:val="0015571D"/>
    <w:rsid w:val="00155D0E"/>
    <w:rsid w:val="00155E36"/>
    <w:rsid w:val="00155F57"/>
    <w:rsid w:val="0015662F"/>
    <w:rsid w:val="00156B05"/>
    <w:rsid w:val="00156E4F"/>
    <w:rsid w:val="001575D2"/>
    <w:rsid w:val="001579B2"/>
    <w:rsid w:val="00157ACC"/>
    <w:rsid w:val="00157CDC"/>
    <w:rsid w:val="001608AF"/>
    <w:rsid w:val="00160AD6"/>
    <w:rsid w:val="00160C9C"/>
    <w:rsid w:val="001612DD"/>
    <w:rsid w:val="00161628"/>
    <w:rsid w:val="00162F22"/>
    <w:rsid w:val="00163DD0"/>
    <w:rsid w:val="00163DF8"/>
    <w:rsid w:val="00164111"/>
    <w:rsid w:val="0016430C"/>
    <w:rsid w:val="001643FF"/>
    <w:rsid w:val="0016474D"/>
    <w:rsid w:val="00164E5E"/>
    <w:rsid w:val="00164FC3"/>
    <w:rsid w:val="00165104"/>
    <w:rsid w:val="00165618"/>
    <w:rsid w:val="00165634"/>
    <w:rsid w:val="00165BA8"/>
    <w:rsid w:val="00165BEE"/>
    <w:rsid w:val="00165CCA"/>
    <w:rsid w:val="00165E5E"/>
    <w:rsid w:val="00166410"/>
    <w:rsid w:val="001667AF"/>
    <w:rsid w:val="001667C0"/>
    <w:rsid w:val="0016699B"/>
    <w:rsid w:val="00167565"/>
    <w:rsid w:val="001676A6"/>
    <w:rsid w:val="001679E2"/>
    <w:rsid w:val="00167BEE"/>
    <w:rsid w:val="001700CB"/>
    <w:rsid w:val="001701C3"/>
    <w:rsid w:val="00170405"/>
    <w:rsid w:val="00170D25"/>
    <w:rsid w:val="001712FE"/>
    <w:rsid w:val="0017184D"/>
    <w:rsid w:val="00171933"/>
    <w:rsid w:val="00171A64"/>
    <w:rsid w:val="00171A89"/>
    <w:rsid w:val="00171C25"/>
    <w:rsid w:val="00171FD8"/>
    <w:rsid w:val="0017206A"/>
    <w:rsid w:val="001720AE"/>
    <w:rsid w:val="0017212F"/>
    <w:rsid w:val="0017236D"/>
    <w:rsid w:val="0017259B"/>
    <w:rsid w:val="00172F29"/>
    <w:rsid w:val="00173271"/>
    <w:rsid w:val="00173C23"/>
    <w:rsid w:val="001743A4"/>
    <w:rsid w:val="0017448D"/>
    <w:rsid w:val="001744DB"/>
    <w:rsid w:val="001749D9"/>
    <w:rsid w:val="00174FBE"/>
    <w:rsid w:val="001761A9"/>
    <w:rsid w:val="001763F9"/>
    <w:rsid w:val="00176425"/>
    <w:rsid w:val="001768BE"/>
    <w:rsid w:val="00177209"/>
    <w:rsid w:val="00177794"/>
    <w:rsid w:val="00177A44"/>
    <w:rsid w:val="00177EA9"/>
    <w:rsid w:val="001800B0"/>
    <w:rsid w:val="00180412"/>
    <w:rsid w:val="00180542"/>
    <w:rsid w:val="0018092C"/>
    <w:rsid w:val="001809E8"/>
    <w:rsid w:val="00180A00"/>
    <w:rsid w:val="00180AE5"/>
    <w:rsid w:val="00181043"/>
    <w:rsid w:val="00181129"/>
    <w:rsid w:val="0018164F"/>
    <w:rsid w:val="00181730"/>
    <w:rsid w:val="00181B00"/>
    <w:rsid w:val="00181E96"/>
    <w:rsid w:val="00181F16"/>
    <w:rsid w:val="00181FCC"/>
    <w:rsid w:val="0018201E"/>
    <w:rsid w:val="00182305"/>
    <w:rsid w:val="00182382"/>
    <w:rsid w:val="001825AB"/>
    <w:rsid w:val="00182987"/>
    <w:rsid w:val="00182A45"/>
    <w:rsid w:val="001831D4"/>
    <w:rsid w:val="0018379E"/>
    <w:rsid w:val="00183B86"/>
    <w:rsid w:val="00184A6E"/>
    <w:rsid w:val="00184AF0"/>
    <w:rsid w:val="00185116"/>
    <w:rsid w:val="00185515"/>
    <w:rsid w:val="001857E0"/>
    <w:rsid w:val="00185DFC"/>
    <w:rsid w:val="00186009"/>
    <w:rsid w:val="001864EE"/>
    <w:rsid w:val="00186632"/>
    <w:rsid w:val="001902FC"/>
    <w:rsid w:val="00190999"/>
    <w:rsid w:val="001911BA"/>
    <w:rsid w:val="00191392"/>
    <w:rsid w:val="001914DA"/>
    <w:rsid w:val="001914DF"/>
    <w:rsid w:val="00191805"/>
    <w:rsid w:val="0019201D"/>
    <w:rsid w:val="00192676"/>
    <w:rsid w:val="001927A7"/>
    <w:rsid w:val="0019284B"/>
    <w:rsid w:val="00192B39"/>
    <w:rsid w:val="00192CF3"/>
    <w:rsid w:val="00192F61"/>
    <w:rsid w:val="0019341D"/>
    <w:rsid w:val="0019397E"/>
    <w:rsid w:val="00193C67"/>
    <w:rsid w:val="00193E88"/>
    <w:rsid w:val="00193FA1"/>
    <w:rsid w:val="00194657"/>
    <w:rsid w:val="00194DA7"/>
    <w:rsid w:val="001953B5"/>
    <w:rsid w:val="00195B84"/>
    <w:rsid w:val="00195D09"/>
    <w:rsid w:val="00196CF5"/>
    <w:rsid w:val="00196F69"/>
    <w:rsid w:val="00197BCB"/>
    <w:rsid w:val="001A0469"/>
    <w:rsid w:val="001A0489"/>
    <w:rsid w:val="001A05D0"/>
    <w:rsid w:val="001A0A62"/>
    <w:rsid w:val="001A1709"/>
    <w:rsid w:val="001A1909"/>
    <w:rsid w:val="001A1BAB"/>
    <w:rsid w:val="001A1FD6"/>
    <w:rsid w:val="001A2402"/>
    <w:rsid w:val="001A28C4"/>
    <w:rsid w:val="001A2999"/>
    <w:rsid w:val="001A2A10"/>
    <w:rsid w:val="001A2B47"/>
    <w:rsid w:val="001A305F"/>
    <w:rsid w:val="001A307D"/>
    <w:rsid w:val="001A30A8"/>
    <w:rsid w:val="001A31BA"/>
    <w:rsid w:val="001A3525"/>
    <w:rsid w:val="001A38C6"/>
    <w:rsid w:val="001A3E3E"/>
    <w:rsid w:val="001A412E"/>
    <w:rsid w:val="001A4344"/>
    <w:rsid w:val="001A443A"/>
    <w:rsid w:val="001A4F08"/>
    <w:rsid w:val="001A4FAA"/>
    <w:rsid w:val="001A54BB"/>
    <w:rsid w:val="001A5547"/>
    <w:rsid w:val="001A5C48"/>
    <w:rsid w:val="001A5D46"/>
    <w:rsid w:val="001A605B"/>
    <w:rsid w:val="001A6571"/>
    <w:rsid w:val="001A6808"/>
    <w:rsid w:val="001A72CE"/>
    <w:rsid w:val="001A743D"/>
    <w:rsid w:val="001A744C"/>
    <w:rsid w:val="001A773D"/>
    <w:rsid w:val="001A79B9"/>
    <w:rsid w:val="001A7C95"/>
    <w:rsid w:val="001A7DF6"/>
    <w:rsid w:val="001B00C8"/>
    <w:rsid w:val="001B0231"/>
    <w:rsid w:val="001B0B38"/>
    <w:rsid w:val="001B0CE4"/>
    <w:rsid w:val="001B0F0D"/>
    <w:rsid w:val="001B12E6"/>
    <w:rsid w:val="001B14B8"/>
    <w:rsid w:val="001B29B0"/>
    <w:rsid w:val="001B2AD0"/>
    <w:rsid w:val="001B2AF0"/>
    <w:rsid w:val="001B2DC9"/>
    <w:rsid w:val="001B2EDC"/>
    <w:rsid w:val="001B3C08"/>
    <w:rsid w:val="001B407B"/>
    <w:rsid w:val="001B42D3"/>
    <w:rsid w:val="001B45D8"/>
    <w:rsid w:val="001B4AA2"/>
    <w:rsid w:val="001B4DAF"/>
    <w:rsid w:val="001B52AD"/>
    <w:rsid w:val="001B52C8"/>
    <w:rsid w:val="001B53A8"/>
    <w:rsid w:val="001B5F25"/>
    <w:rsid w:val="001B65AC"/>
    <w:rsid w:val="001B6619"/>
    <w:rsid w:val="001B711A"/>
    <w:rsid w:val="001B742E"/>
    <w:rsid w:val="001B7FCC"/>
    <w:rsid w:val="001C0CB7"/>
    <w:rsid w:val="001C0FAE"/>
    <w:rsid w:val="001C1036"/>
    <w:rsid w:val="001C10A0"/>
    <w:rsid w:val="001C1158"/>
    <w:rsid w:val="001C162F"/>
    <w:rsid w:val="001C17DD"/>
    <w:rsid w:val="001C1BA4"/>
    <w:rsid w:val="001C1F5D"/>
    <w:rsid w:val="001C2075"/>
    <w:rsid w:val="001C222E"/>
    <w:rsid w:val="001C252C"/>
    <w:rsid w:val="001C2569"/>
    <w:rsid w:val="001C29DE"/>
    <w:rsid w:val="001C2A3A"/>
    <w:rsid w:val="001C2BE1"/>
    <w:rsid w:val="001C2C7D"/>
    <w:rsid w:val="001C2C96"/>
    <w:rsid w:val="001C2E3A"/>
    <w:rsid w:val="001C2F58"/>
    <w:rsid w:val="001C3018"/>
    <w:rsid w:val="001C350B"/>
    <w:rsid w:val="001C3A69"/>
    <w:rsid w:val="001C3EDD"/>
    <w:rsid w:val="001C4038"/>
    <w:rsid w:val="001C4115"/>
    <w:rsid w:val="001C415B"/>
    <w:rsid w:val="001C417A"/>
    <w:rsid w:val="001C42B5"/>
    <w:rsid w:val="001C42D3"/>
    <w:rsid w:val="001C464B"/>
    <w:rsid w:val="001C4654"/>
    <w:rsid w:val="001C46F3"/>
    <w:rsid w:val="001C478F"/>
    <w:rsid w:val="001C48A4"/>
    <w:rsid w:val="001C4B23"/>
    <w:rsid w:val="001C4B3F"/>
    <w:rsid w:val="001C4FB3"/>
    <w:rsid w:val="001C50CC"/>
    <w:rsid w:val="001C6404"/>
    <w:rsid w:val="001C6E80"/>
    <w:rsid w:val="001C79C6"/>
    <w:rsid w:val="001C79D2"/>
    <w:rsid w:val="001C7A72"/>
    <w:rsid w:val="001C7FA7"/>
    <w:rsid w:val="001D05A7"/>
    <w:rsid w:val="001D14D9"/>
    <w:rsid w:val="001D150C"/>
    <w:rsid w:val="001D1811"/>
    <w:rsid w:val="001D238A"/>
    <w:rsid w:val="001D23CE"/>
    <w:rsid w:val="001D2426"/>
    <w:rsid w:val="001D2B70"/>
    <w:rsid w:val="001D2F51"/>
    <w:rsid w:val="001D3D9D"/>
    <w:rsid w:val="001D4006"/>
    <w:rsid w:val="001D4312"/>
    <w:rsid w:val="001D4460"/>
    <w:rsid w:val="001D4B91"/>
    <w:rsid w:val="001D4D9B"/>
    <w:rsid w:val="001D4FB3"/>
    <w:rsid w:val="001D5D20"/>
    <w:rsid w:val="001D6370"/>
    <w:rsid w:val="001D6527"/>
    <w:rsid w:val="001D669D"/>
    <w:rsid w:val="001D6716"/>
    <w:rsid w:val="001D69EC"/>
    <w:rsid w:val="001D6C0D"/>
    <w:rsid w:val="001D6C33"/>
    <w:rsid w:val="001D6EE1"/>
    <w:rsid w:val="001D7598"/>
    <w:rsid w:val="001D7CF3"/>
    <w:rsid w:val="001E008F"/>
    <w:rsid w:val="001E01A1"/>
    <w:rsid w:val="001E0A89"/>
    <w:rsid w:val="001E1005"/>
    <w:rsid w:val="001E1058"/>
    <w:rsid w:val="001E1126"/>
    <w:rsid w:val="001E11BB"/>
    <w:rsid w:val="001E17A6"/>
    <w:rsid w:val="001E1A45"/>
    <w:rsid w:val="001E1BE5"/>
    <w:rsid w:val="001E2038"/>
    <w:rsid w:val="001E2515"/>
    <w:rsid w:val="001E2CBC"/>
    <w:rsid w:val="001E2DC5"/>
    <w:rsid w:val="001E311F"/>
    <w:rsid w:val="001E3527"/>
    <w:rsid w:val="001E36AC"/>
    <w:rsid w:val="001E3F30"/>
    <w:rsid w:val="001E40BD"/>
    <w:rsid w:val="001E4174"/>
    <w:rsid w:val="001E41BB"/>
    <w:rsid w:val="001E4A87"/>
    <w:rsid w:val="001E5128"/>
    <w:rsid w:val="001E5C21"/>
    <w:rsid w:val="001E5DFE"/>
    <w:rsid w:val="001E6031"/>
    <w:rsid w:val="001E609D"/>
    <w:rsid w:val="001E60F5"/>
    <w:rsid w:val="001E630A"/>
    <w:rsid w:val="001E7585"/>
    <w:rsid w:val="001E774D"/>
    <w:rsid w:val="001F0845"/>
    <w:rsid w:val="001F0AD9"/>
    <w:rsid w:val="001F0B48"/>
    <w:rsid w:val="001F0B83"/>
    <w:rsid w:val="001F139B"/>
    <w:rsid w:val="001F16B0"/>
    <w:rsid w:val="001F1D3F"/>
    <w:rsid w:val="001F2155"/>
    <w:rsid w:val="001F2319"/>
    <w:rsid w:val="001F28B2"/>
    <w:rsid w:val="001F2947"/>
    <w:rsid w:val="001F3113"/>
    <w:rsid w:val="001F371E"/>
    <w:rsid w:val="001F3ABA"/>
    <w:rsid w:val="001F3EF1"/>
    <w:rsid w:val="001F5035"/>
    <w:rsid w:val="001F625A"/>
    <w:rsid w:val="001F751A"/>
    <w:rsid w:val="001F7A3D"/>
    <w:rsid w:val="001F7CD5"/>
    <w:rsid w:val="001F7F41"/>
    <w:rsid w:val="00200786"/>
    <w:rsid w:val="00200AF7"/>
    <w:rsid w:val="002011D3"/>
    <w:rsid w:val="002017A7"/>
    <w:rsid w:val="00201A2E"/>
    <w:rsid w:val="00201BBF"/>
    <w:rsid w:val="002020D0"/>
    <w:rsid w:val="00202193"/>
    <w:rsid w:val="00202A68"/>
    <w:rsid w:val="00202B42"/>
    <w:rsid w:val="002038A5"/>
    <w:rsid w:val="00203C3A"/>
    <w:rsid w:val="00203FE4"/>
    <w:rsid w:val="00204410"/>
    <w:rsid w:val="00204417"/>
    <w:rsid w:val="0020508D"/>
    <w:rsid w:val="002053D9"/>
    <w:rsid w:val="0020581E"/>
    <w:rsid w:val="002058D9"/>
    <w:rsid w:val="002058DB"/>
    <w:rsid w:val="0020591A"/>
    <w:rsid w:val="002059C9"/>
    <w:rsid w:val="00205D01"/>
    <w:rsid w:val="002060FD"/>
    <w:rsid w:val="00206631"/>
    <w:rsid w:val="0020689A"/>
    <w:rsid w:val="002077F6"/>
    <w:rsid w:val="0020790E"/>
    <w:rsid w:val="00207A8B"/>
    <w:rsid w:val="00207CA6"/>
    <w:rsid w:val="00207F81"/>
    <w:rsid w:val="0021047B"/>
    <w:rsid w:val="00210B71"/>
    <w:rsid w:val="00210F0D"/>
    <w:rsid w:val="00211A02"/>
    <w:rsid w:val="00211D5E"/>
    <w:rsid w:val="002120AD"/>
    <w:rsid w:val="00212850"/>
    <w:rsid w:val="0021289E"/>
    <w:rsid w:val="00213069"/>
    <w:rsid w:val="002137F7"/>
    <w:rsid w:val="00213965"/>
    <w:rsid w:val="00213BCF"/>
    <w:rsid w:val="00213BF0"/>
    <w:rsid w:val="00213C96"/>
    <w:rsid w:val="00213CF0"/>
    <w:rsid w:val="00213FC6"/>
    <w:rsid w:val="0021480B"/>
    <w:rsid w:val="00214879"/>
    <w:rsid w:val="00214B74"/>
    <w:rsid w:val="00214BF4"/>
    <w:rsid w:val="00214F91"/>
    <w:rsid w:val="0021556A"/>
    <w:rsid w:val="00215678"/>
    <w:rsid w:val="002157F3"/>
    <w:rsid w:val="002158F7"/>
    <w:rsid w:val="00215C65"/>
    <w:rsid w:val="002165E5"/>
    <w:rsid w:val="00216F61"/>
    <w:rsid w:val="00216F65"/>
    <w:rsid w:val="00217190"/>
    <w:rsid w:val="002172CF"/>
    <w:rsid w:val="0021747B"/>
    <w:rsid w:val="00217483"/>
    <w:rsid w:val="0021762A"/>
    <w:rsid w:val="00217FA4"/>
    <w:rsid w:val="0022032E"/>
    <w:rsid w:val="002205A1"/>
    <w:rsid w:val="002205B3"/>
    <w:rsid w:val="00220CBE"/>
    <w:rsid w:val="002211F4"/>
    <w:rsid w:val="00221793"/>
    <w:rsid w:val="00221CDB"/>
    <w:rsid w:val="00221D92"/>
    <w:rsid w:val="00221E76"/>
    <w:rsid w:val="002223AD"/>
    <w:rsid w:val="002226D2"/>
    <w:rsid w:val="00222817"/>
    <w:rsid w:val="00222CC6"/>
    <w:rsid w:val="00223945"/>
    <w:rsid w:val="00223C33"/>
    <w:rsid w:val="00223C3E"/>
    <w:rsid w:val="00223CBD"/>
    <w:rsid w:val="00224387"/>
    <w:rsid w:val="00224668"/>
    <w:rsid w:val="002246B9"/>
    <w:rsid w:val="002246C3"/>
    <w:rsid w:val="00224899"/>
    <w:rsid w:val="0022496C"/>
    <w:rsid w:val="00224E11"/>
    <w:rsid w:val="0022508F"/>
    <w:rsid w:val="002250E5"/>
    <w:rsid w:val="002251CE"/>
    <w:rsid w:val="00225675"/>
    <w:rsid w:val="00225E4C"/>
    <w:rsid w:val="0022600C"/>
    <w:rsid w:val="0022615B"/>
    <w:rsid w:val="00226277"/>
    <w:rsid w:val="002264ED"/>
    <w:rsid w:val="00226816"/>
    <w:rsid w:val="00226AF8"/>
    <w:rsid w:val="00226D96"/>
    <w:rsid w:val="0022732F"/>
    <w:rsid w:val="002303D3"/>
    <w:rsid w:val="0023062D"/>
    <w:rsid w:val="00230B07"/>
    <w:rsid w:val="00230DD1"/>
    <w:rsid w:val="00231157"/>
    <w:rsid w:val="0023157C"/>
    <w:rsid w:val="002318A0"/>
    <w:rsid w:val="00231D02"/>
    <w:rsid w:val="002323E3"/>
    <w:rsid w:val="00232F1A"/>
    <w:rsid w:val="00233835"/>
    <w:rsid w:val="00233E5F"/>
    <w:rsid w:val="0023431E"/>
    <w:rsid w:val="00234493"/>
    <w:rsid w:val="0023472B"/>
    <w:rsid w:val="00234932"/>
    <w:rsid w:val="00234CCB"/>
    <w:rsid w:val="00234E62"/>
    <w:rsid w:val="00235121"/>
    <w:rsid w:val="0023533E"/>
    <w:rsid w:val="002354E8"/>
    <w:rsid w:val="00235BF1"/>
    <w:rsid w:val="00235D9A"/>
    <w:rsid w:val="002361F0"/>
    <w:rsid w:val="0023661F"/>
    <w:rsid w:val="002366DD"/>
    <w:rsid w:val="00236988"/>
    <w:rsid w:val="00237350"/>
    <w:rsid w:val="002373A9"/>
    <w:rsid w:val="002374B0"/>
    <w:rsid w:val="002376E1"/>
    <w:rsid w:val="00237B24"/>
    <w:rsid w:val="00237DA6"/>
    <w:rsid w:val="00237E1D"/>
    <w:rsid w:val="00240635"/>
    <w:rsid w:val="00240874"/>
    <w:rsid w:val="002408CE"/>
    <w:rsid w:val="00240B93"/>
    <w:rsid w:val="002413E8"/>
    <w:rsid w:val="00242663"/>
    <w:rsid w:val="00242A0F"/>
    <w:rsid w:val="00242A8B"/>
    <w:rsid w:val="002433C8"/>
    <w:rsid w:val="00243480"/>
    <w:rsid w:val="0024350D"/>
    <w:rsid w:val="0024366C"/>
    <w:rsid w:val="00243F4D"/>
    <w:rsid w:val="00244344"/>
    <w:rsid w:val="002444DF"/>
    <w:rsid w:val="00244523"/>
    <w:rsid w:val="00244656"/>
    <w:rsid w:val="00244662"/>
    <w:rsid w:val="002446A2"/>
    <w:rsid w:val="002453BF"/>
    <w:rsid w:val="00245680"/>
    <w:rsid w:val="002456CD"/>
    <w:rsid w:val="002457AB"/>
    <w:rsid w:val="00245DAC"/>
    <w:rsid w:val="00246CCF"/>
    <w:rsid w:val="00246DB8"/>
    <w:rsid w:val="00246E99"/>
    <w:rsid w:val="00246FCC"/>
    <w:rsid w:val="00247014"/>
    <w:rsid w:val="0024741E"/>
    <w:rsid w:val="00247AB4"/>
    <w:rsid w:val="00247FDC"/>
    <w:rsid w:val="0025064E"/>
    <w:rsid w:val="00250783"/>
    <w:rsid w:val="00250A36"/>
    <w:rsid w:val="00251041"/>
    <w:rsid w:val="002511C3"/>
    <w:rsid w:val="00251264"/>
    <w:rsid w:val="00251C55"/>
    <w:rsid w:val="00251DF7"/>
    <w:rsid w:val="00251E8A"/>
    <w:rsid w:val="002520EA"/>
    <w:rsid w:val="00252D31"/>
    <w:rsid w:val="00252D8E"/>
    <w:rsid w:val="00252FAF"/>
    <w:rsid w:val="00253180"/>
    <w:rsid w:val="00253236"/>
    <w:rsid w:val="0025369A"/>
    <w:rsid w:val="00253996"/>
    <w:rsid w:val="00253B64"/>
    <w:rsid w:val="00253E4E"/>
    <w:rsid w:val="0025419E"/>
    <w:rsid w:val="0025450B"/>
    <w:rsid w:val="00254624"/>
    <w:rsid w:val="0025479A"/>
    <w:rsid w:val="00254A05"/>
    <w:rsid w:val="00254B3A"/>
    <w:rsid w:val="00254E1A"/>
    <w:rsid w:val="00254E94"/>
    <w:rsid w:val="002553D7"/>
    <w:rsid w:val="00255BAE"/>
    <w:rsid w:val="00255BB0"/>
    <w:rsid w:val="00256654"/>
    <w:rsid w:val="00256848"/>
    <w:rsid w:val="00256B2D"/>
    <w:rsid w:val="00256E0E"/>
    <w:rsid w:val="0025768C"/>
    <w:rsid w:val="00257FF7"/>
    <w:rsid w:val="00260520"/>
    <w:rsid w:val="0026080D"/>
    <w:rsid w:val="002608CE"/>
    <w:rsid w:val="002609BB"/>
    <w:rsid w:val="00261930"/>
    <w:rsid w:val="00261EED"/>
    <w:rsid w:val="00262A0A"/>
    <w:rsid w:val="00262A38"/>
    <w:rsid w:val="00262F5E"/>
    <w:rsid w:val="00263630"/>
    <w:rsid w:val="0026385A"/>
    <w:rsid w:val="00264002"/>
    <w:rsid w:val="002644F3"/>
    <w:rsid w:val="002646AB"/>
    <w:rsid w:val="002648FF"/>
    <w:rsid w:val="002649CE"/>
    <w:rsid w:val="002649D1"/>
    <w:rsid w:val="00264AA7"/>
    <w:rsid w:val="00264FA6"/>
    <w:rsid w:val="00265100"/>
    <w:rsid w:val="00265746"/>
    <w:rsid w:val="00265BAE"/>
    <w:rsid w:val="002660FA"/>
    <w:rsid w:val="002667A9"/>
    <w:rsid w:val="002668BD"/>
    <w:rsid w:val="00266935"/>
    <w:rsid w:val="00266952"/>
    <w:rsid w:val="00266A2C"/>
    <w:rsid w:val="00267113"/>
    <w:rsid w:val="00267510"/>
    <w:rsid w:val="0026760D"/>
    <w:rsid w:val="00267682"/>
    <w:rsid w:val="002677F4"/>
    <w:rsid w:val="00267934"/>
    <w:rsid w:val="0027038F"/>
    <w:rsid w:val="00270AC8"/>
    <w:rsid w:val="00270B30"/>
    <w:rsid w:val="002710DB"/>
    <w:rsid w:val="0027139F"/>
    <w:rsid w:val="00271AED"/>
    <w:rsid w:val="00271BF8"/>
    <w:rsid w:val="002729A1"/>
    <w:rsid w:val="00272AE4"/>
    <w:rsid w:val="00272BDB"/>
    <w:rsid w:val="00272DBD"/>
    <w:rsid w:val="00272FB1"/>
    <w:rsid w:val="0027319A"/>
    <w:rsid w:val="0027350D"/>
    <w:rsid w:val="00273F9E"/>
    <w:rsid w:val="00274708"/>
    <w:rsid w:val="00274D3C"/>
    <w:rsid w:val="00276040"/>
    <w:rsid w:val="00276242"/>
    <w:rsid w:val="002763FD"/>
    <w:rsid w:val="00276646"/>
    <w:rsid w:val="00276ABB"/>
    <w:rsid w:val="00276AE2"/>
    <w:rsid w:val="00276B9C"/>
    <w:rsid w:val="00277319"/>
    <w:rsid w:val="002774ED"/>
    <w:rsid w:val="0028012C"/>
    <w:rsid w:val="00280190"/>
    <w:rsid w:val="002801E9"/>
    <w:rsid w:val="00280CFE"/>
    <w:rsid w:val="00281326"/>
    <w:rsid w:val="0028168B"/>
    <w:rsid w:val="0028172B"/>
    <w:rsid w:val="002819E0"/>
    <w:rsid w:val="00281DFB"/>
    <w:rsid w:val="00281F04"/>
    <w:rsid w:val="0028253F"/>
    <w:rsid w:val="002825FC"/>
    <w:rsid w:val="00282E72"/>
    <w:rsid w:val="002831B2"/>
    <w:rsid w:val="0028355A"/>
    <w:rsid w:val="002835EC"/>
    <w:rsid w:val="002836BE"/>
    <w:rsid w:val="00283D57"/>
    <w:rsid w:val="00283FCE"/>
    <w:rsid w:val="0028411F"/>
    <w:rsid w:val="00284741"/>
    <w:rsid w:val="002849CE"/>
    <w:rsid w:val="00284D1E"/>
    <w:rsid w:val="002850AF"/>
    <w:rsid w:val="002855BD"/>
    <w:rsid w:val="00285658"/>
    <w:rsid w:val="00285778"/>
    <w:rsid w:val="0028590A"/>
    <w:rsid w:val="00285C9F"/>
    <w:rsid w:val="00286A2D"/>
    <w:rsid w:val="00286D6B"/>
    <w:rsid w:val="00287115"/>
    <w:rsid w:val="002872E7"/>
    <w:rsid w:val="00287721"/>
    <w:rsid w:val="00287BBF"/>
    <w:rsid w:val="00287C0F"/>
    <w:rsid w:val="002902E3"/>
    <w:rsid w:val="00290412"/>
    <w:rsid w:val="0029043B"/>
    <w:rsid w:val="002905A9"/>
    <w:rsid w:val="00290C63"/>
    <w:rsid w:val="002910C6"/>
    <w:rsid w:val="00291CCC"/>
    <w:rsid w:val="00291EFB"/>
    <w:rsid w:val="00292303"/>
    <w:rsid w:val="00292355"/>
    <w:rsid w:val="00292A32"/>
    <w:rsid w:val="00292C74"/>
    <w:rsid w:val="00292F09"/>
    <w:rsid w:val="00293076"/>
    <w:rsid w:val="00293B62"/>
    <w:rsid w:val="00293EA2"/>
    <w:rsid w:val="0029414A"/>
    <w:rsid w:val="0029421A"/>
    <w:rsid w:val="0029451E"/>
    <w:rsid w:val="00294C8E"/>
    <w:rsid w:val="0029520D"/>
    <w:rsid w:val="00295253"/>
    <w:rsid w:val="002953CA"/>
    <w:rsid w:val="00295884"/>
    <w:rsid w:val="00296944"/>
    <w:rsid w:val="00296E73"/>
    <w:rsid w:val="00297072"/>
    <w:rsid w:val="00297120"/>
    <w:rsid w:val="002978C6"/>
    <w:rsid w:val="00297A04"/>
    <w:rsid w:val="00297EB8"/>
    <w:rsid w:val="00297F60"/>
    <w:rsid w:val="00297FFD"/>
    <w:rsid w:val="002A040F"/>
    <w:rsid w:val="002A04F8"/>
    <w:rsid w:val="002A058D"/>
    <w:rsid w:val="002A071C"/>
    <w:rsid w:val="002A0C55"/>
    <w:rsid w:val="002A0F81"/>
    <w:rsid w:val="002A19D7"/>
    <w:rsid w:val="002A19F0"/>
    <w:rsid w:val="002A1C66"/>
    <w:rsid w:val="002A1EAF"/>
    <w:rsid w:val="002A1F96"/>
    <w:rsid w:val="002A22D3"/>
    <w:rsid w:val="002A252B"/>
    <w:rsid w:val="002A343C"/>
    <w:rsid w:val="002A3932"/>
    <w:rsid w:val="002A3999"/>
    <w:rsid w:val="002A39C7"/>
    <w:rsid w:val="002A3A5F"/>
    <w:rsid w:val="002A3AA0"/>
    <w:rsid w:val="002A3E9D"/>
    <w:rsid w:val="002A4A59"/>
    <w:rsid w:val="002A524E"/>
    <w:rsid w:val="002A532B"/>
    <w:rsid w:val="002A56AE"/>
    <w:rsid w:val="002A59D4"/>
    <w:rsid w:val="002A618D"/>
    <w:rsid w:val="002A6DC7"/>
    <w:rsid w:val="002A73F8"/>
    <w:rsid w:val="002A762A"/>
    <w:rsid w:val="002A78F1"/>
    <w:rsid w:val="002A7BD2"/>
    <w:rsid w:val="002A7F39"/>
    <w:rsid w:val="002B0617"/>
    <w:rsid w:val="002B0699"/>
    <w:rsid w:val="002B0904"/>
    <w:rsid w:val="002B0F98"/>
    <w:rsid w:val="002B109B"/>
    <w:rsid w:val="002B128D"/>
    <w:rsid w:val="002B1524"/>
    <w:rsid w:val="002B1AEC"/>
    <w:rsid w:val="002B1E5E"/>
    <w:rsid w:val="002B20FB"/>
    <w:rsid w:val="002B22AB"/>
    <w:rsid w:val="002B25BA"/>
    <w:rsid w:val="002B28F3"/>
    <w:rsid w:val="002B2AEF"/>
    <w:rsid w:val="002B2AF4"/>
    <w:rsid w:val="002B36C2"/>
    <w:rsid w:val="002B3B12"/>
    <w:rsid w:val="002B4307"/>
    <w:rsid w:val="002B4436"/>
    <w:rsid w:val="002B47E9"/>
    <w:rsid w:val="002B4C00"/>
    <w:rsid w:val="002B51C7"/>
    <w:rsid w:val="002B56A9"/>
    <w:rsid w:val="002B5C18"/>
    <w:rsid w:val="002B6DB0"/>
    <w:rsid w:val="002B7CAF"/>
    <w:rsid w:val="002B7E9F"/>
    <w:rsid w:val="002C0589"/>
    <w:rsid w:val="002C05F8"/>
    <w:rsid w:val="002C08B3"/>
    <w:rsid w:val="002C0912"/>
    <w:rsid w:val="002C120D"/>
    <w:rsid w:val="002C153E"/>
    <w:rsid w:val="002C170B"/>
    <w:rsid w:val="002C1B37"/>
    <w:rsid w:val="002C1ECB"/>
    <w:rsid w:val="002C1FD0"/>
    <w:rsid w:val="002C2200"/>
    <w:rsid w:val="002C2939"/>
    <w:rsid w:val="002C2D12"/>
    <w:rsid w:val="002C31CA"/>
    <w:rsid w:val="002C3A03"/>
    <w:rsid w:val="002C3B96"/>
    <w:rsid w:val="002C3EF8"/>
    <w:rsid w:val="002C4022"/>
    <w:rsid w:val="002C467D"/>
    <w:rsid w:val="002C46BF"/>
    <w:rsid w:val="002C481C"/>
    <w:rsid w:val="002C482F"/>
    <w:rsid w:val="002C4B29"/>
    <w:rsid w:val="002C4C28"/>
    <w:rsid w:val="002C5117"/>
    <w:rsid w:val="002C5A15"/>
    <w:rsid w:val="002C6781"/>
    <w:rsid w:val="002C6841"/>
    <w:rsid w:val="002C6C5D"/>
    <w:rsid w:val="002C71C7"/>
    <w:rsid w:val="002C730A"/>
    <w:rsid w:val="002C7A35"/>
    <w:rsid w:val="002C7C40"/>
    <w:rsid w:val="002C7E6B"/>
    <w:rsid w:val="002D0778"/>
    <w:rsid w:val="002D0D1A"/>
    <w:rsid w:val="002D1076"/>
    <w:rsid w:val="002D13BB"/>
    <w:rsid w:val="002D1658"/>
    <w:rsid w:val="002D1748"/>
    <w:rsid w:val="002D1934"/>
    <w:rsid w:val="002D19A8"/>
    <w:rsid w:val="002D1D3C"/>
    <w:rsid w:val="002D36D1"/>
    <w:rsid w:val="002D378C"/>
    <w:rsid w:val="002D39EC"/>
    <w:rsid w:val="002D3A34"/>
    <w:rsid w:val="002D3DC4"/>
    <w:rsid w:val="002D415B"/>
    <w:rsid w:val="002D435C"/>
    <w:rsid w:val="002D4F8D"/>
    <w:rsid w:val="002D4FB0"/>
    <w:rsid w:val="002D507E"/>
    <w:rsid w:val="002D51BB"/>
    <w:rsid w:val="002D5672"/>
    <w:rsid w:val="002D5D40"/>
    <w:rsid w:val="002D5E6E"/>
    <w:rsid w:val="002D631B"/>
    <w:rsid w:val="002D63C7"/>
    <w:rsid w:val="002D674C"/>
    <w:rsid w:val="002D694C"/>
    <w:rsid w:val="002D6CC7"/>
    <w:rsid w:val="002D72DB"/>
    <w:rsid w:val="002D72EB"/>
    <w:rsid w:val="002D7692"/>
    <w:rsid w:val="002D76B0"/>
    <w:rsid w:val="002D7976"/>
    <w:rsid w:val="002D7B7A"/>
    <w:rsid w:val="002D7F2A"/>
    <w:rsid w:val="002E0702"/>
    <w:rsid w:val="002E0960"/>
    <w:rsid w:val="002E0D98"/>
    <w:rsid w:val="002E155C"/>
    <w:rsid w:val="002E1609"/>
    <w:rsid w:val="002E1803"/>
    <w:rsid w:val="002E18DD"/>
    <w:rsid w:val="002E1C9D"/>
    <w:rsid w:val="002E1FD8"/>
    <w:rsid w:val="002E245E"/>
    <w:rsid w:val="002E2D99"/>
    <w:rsid w:val="002E3A2A"/>
    <w:rsid w:val="002E3E79"/>
    <w:rsid w:val="002E3F55"/>
    <w:rsid w:val="002E3FC9"/>
    <w:rsid w:val="002E4111"/>
    <w:rsid w:val="002E4559"/>
    <w:rsid w:val="002E486F"/>
    <w:rsid w:val="002E4907"/>
    <w:rsid w:val="002E4C25"/>
    <w:rsid w:val="002E537F"/>
    <w:rsid w:val="002E5776"/>
    <w:rsid w:val="002E5A33"/>
    <w:rsid w:val="002E623E"/>
    <w:rsid w:val="002E65DF"/>
    <w:rsid w:val="002E6A59"/>
    <w:rsid w:val="002E6ACD"/>
    <w:rsid w:val="002E6D51"/>
    <w:rsid w:val="002E6E16"/>
    <w:rsid w:val="002E6EC2"/>
    <w:rsid w:val="002E75C8"/>
    <w:rsid w:val="002E7629"/>
    <w:rsid w:val="002E77FC"/>
    <w:rsid w:val="002E7CDC"/>
    <w:rsid w:val="002F0744"/>
    <w:rsid w:val="002F08E4"/>
    <w:rsid w:val="002F1731"/>
    <w:rsid w:val="002F1992"/>
    <w:rsid w:val="002F1BCD"/>
    <w:rsid w:val="002F1BDD"/>
    <w:rsid w:val="002F2780"/>
    <w:rsid w:val="002F27C9"/>
    <w:rsid w:val="002F2870"/>
    <w:rsid w:val="002F29F4"/>
    <w:rsid w:val="002F2FEF"/>
    <w:rsid w:val="002F3242"/>
    <w:rsid w:val="002F3388"/>
    <w:rsid w:val="002F360F"/>
    <w:rsid w:val="002F3706"/>
    <w:rsid w:val="002F3A8C"/>
    <w:rsid w:val="002F40D9"/>
    <w:rsid w:val="002F49F4"/>
    <w:rsid w:val="002F4A24"/>
    <w:rsid w:val="002F5189"/>
    <w:rsid w:val="002F5880"/>
    <w:rsid w:val="002F5945"/>
    <w:rsid w:val="002F5F0A"/>
    <w:rsid w:val="002F5F69"/>
    <w:rsid w:val="002F5F99"/>
    <w:rsid w:val="002F6605"/>
    <w:rsid w:val="002F6897"/>
    <w:rsid w:val="002F6A18"/>
    <w:rsid w:val="002F6FB4"/>
    <w:rsid w:val="002F7419"/>
    <w:rsid w:val="002F77BD"/>
    <w:rsid w:val="002F79BD"/>
    <w:rsid w:val="002F7A53"/>
    <w:rsid w:val="002F7A9A"/>
    <w:rsid w:val="002F7AFC"/>
    <w:rsid w:val="002F7E1F"/>
    <w:rsid w:val="003000EA"/>
    <w:rsid w:val="00300519"/>
    <w:rsid w:val="003008F5"/>
    <w:rsid w:val="0030116B"/>
    <w:rsid w:val="0030152A"/>
    <w:rsid w:val="0030204D"/>
    <w:rsid w:val="003023F3"/>
    <w:rsid w:val="003025DD"/>
    <w:rsid w:val="00302840"/>
    <w:rsid w:val="0030295A"/>
    <w:rsid w:val="00302986"/>
    <w:rsid w:val="00302B3F"/>
    <w:rsid w:val="00302B5C"/>
    <w:rsid w:val="00302C0B"/>
    <w:rsid w:val="00302ECE"/>
    <w:rsid w:val="003049EE"/>
    <w:rsid w:val="0030527D"/>
    <w:rsid w:val="0030675B"/>
    <w:rsid w:val="00306FF6"/>
    <w:rsid w:val="003070D8"/>
    <w:rsid w:val="00307933"/>
    <w:rsid w:val="00307B2F"/>
    <w:rsid w:val="00307F21"/>
    <w:rsid w:val="00307FC8"/>
    <w:rsid w:val="003106D1"/>
    <w:rsid w:val="003109ED"/>
    <w:rsid w:val="003112FD"/>
    <w:rsid w:val="003116C0"/>
    <w:rsid w:val="003121D7"/>
    <w:rsid w:val="0031271D"/>
    <w:rsid w:val="003128AB"/>
    <w:rsid w:val="0031294F"/>
    <w:rsid w:val="003129E9"/>
    <w:rsid w:val="00312ADA"/>
    <w:rsid w:val="00312E2F"/>
    <w:rsid w:val="00313BA4"/>
    <w:rsid w:val="00313CEC"/>
    <w:rsid w:val="003143EF"/>
    <w:rsid w:val="003143F5"/>
    <w:rsid w:val="0031514F"/>
    <w:rsid w:val="00315794"/>
    <w:rsid w:val="003159F9"/>
    <w:rsid w:val="00315B2F"/>
    <w:rsid w:val="00315C0F"/>
    <w:rsid w:val="00315D25"/>
    <w:rsid w:val="00315F38"/>
    <w:rsid w:val="003169BD"/>
    <w:rsid w:val="003169D1"/>
    <w:rsid w:val="00317599"/>
    <w:rsid w:val="00317658"/>
    <w:rsid w:val="003179CF"/>
    <w:rsid w:val="00317A18"/>
    <w:rsid w:val="00317FDA"/>
    <w:rsid w:val="00320402"/>
    <w:rsid w:val="00320BCD"/>
    <w:rsid w:val="00320F02"/>
    <w:rsid w:val="00321446"/>
    <w:rsid w:val="003218FC"/>
    <w:rsid w:val="003219E1"/>
    <w:rsid w:val="00321A4B"/>
    <w:rsid w:val="00321C29"/>
    <w:rsid w:val="00322469"/>
    <w:rsid w:val="003226C0"/>
    <w:rsid w:val="00322FEF"/>
    <w:rsid w:val="0032325E"/>
    <w:rsid w:val="003234B1"/>
    <w:rsid w:val="003238A8"/>
    <w:rsid w:val="00323B8C"/>
    <w:rsid w:val="00323F0C"/>
    <w:rsid w:val="00324449"/>
    <w:rsid w:val="00324925"/>
    <w:rsid w:val="003249A4"/>
    <w:rsid w:val="00324AB7"/>
    <w:rsid w:val="003251FC"/>
    <w:rsid w:val="0032538A"/>
    <w:rsid w:val="003253E1"/>
    <w:rsid w:val="003255B1"/>
    <w:rsid w:val="003256F9"/>
    <w:rsid w:val="00325849"/>
    <w:rsid w:val="00325E71"/>
    <w:rsid w:val="00325F11"/>
    <w:rsid w:val="00326172"/>
    <w:rsid w:val="003262F4"/>
    <w:rsid w:val="00326F18"/>
    <w:rsid w:val="00326F45"/>
    <w:rsid w:val="00327157"/>
    <w:rsid w:val="00327495"/>
    <w:rsid w:val="003277CE"/>
    <w:rsid w:val="00330319"/>
    <w:rsid w:val="0033045C"/>
    <w:rsid w:val="0033063C"/>
    <w:rsid w:val="003306F0"/>
    <w:rsid w:val="00330AFF"/>
    <w:rsid w:val="00330C47"/>
    <w:rsid w:val="00330F75"/>
    <w:rsid w:val="00331417"/>
    <w:rsid w:val="00331E15"/>
    <w:rsid w:val="0033317B"/>
    <w:rsid w:val="00333183"/>
    <w:rsid w:val="0033364F"/>
    <w:rsid w:val="00333A06"/>
    <w:rsid w:val="00333D2C"/>
    <w:rsid w:val="00334202"/>
    <w:rsid w:val="003346E9"/>
    <w:rsid w:val="003347D4"/>
    <w:rsid w:val="0033491F"/>
    <w:rsid w:val="00334FF8"/>
    <w:rsid w:val="00335480"/>
    <w:rsid w:val="003358CD"/>
    <w:rsid w:val="003358E7"/>
    <w:rsid w:val="00335E26"/>
    <w:rsid w:val="00336B04"/>
    <w:rsid w:val="00336CBA"/>
    <w:rsid w:val="00337D61"/>
    <w:rsid w:val="00337E4F"/>
    <w:rsid w:val="003402B2"/>
    <w:rsid w:val="003408A6"/>
    <w:rsid w:val="003408CA"/>
    <w:rsid w:val="0034119A"/>
    <w:rsid w:val="0034122F"/>
    <w:rsid w:val="003417D7"/>
    <w:rsid w:val="003419A5"/>
    <w:rsid w:val="00342237"/>
    <w:rsid w:val="003427F2"/>
    <w:rsid w:val="00342AFB"/>
    <w:rsid w:val="0034322A"/>
    <w:rsid w:val="00343311"/>
    <w:rsid w:val="00344655"/>
    <w:rsid w:val="00344CE3"/>
    <w:rsid w:val="00344FB5"/>
    <w:rsid w:val="0034530D"/>
    <w:rsid w:val="00345EE5"/>
    <w:rsid w:val="0034615B"/>
    <w:rsid w:val="0034634A"/>
    <w:rsid w:val="0034676D"/>
    <w:rsid w:val="003469B3"/>
    <w:rsid w:val="003469DE"/>
    <w:rsid w:val="00346D53"/>
    <w:rsid w:val="003472B2"/>
    <w:rsid w:val="00347ADB"/>
    <w:rsid w:val="00347D25"/>
    <w:rsid w:val="0035012E"/>
    <w:rsid w:val="003501AE"/>
    <w:rsid w:val="003508DD"/>
    <w:rsid w:val="0035179A"/>
    <w:rsid w:val="0035186D"/>
    <w:rsid w:val="00351938"/>
    <w:rsid w:val="00351E57"/>
    <w:rsid w:val="003522A3"/>
    <w:rsid w:val="003523EE"/>
    <w:rsid w:val="00352CB8"/>
    <w:rsid w:val="0035307A"/>
    <w:rsid w:val="0035332A"/>
    <w:rsid w:val="003534B0"/>
    <w:rsid w:val="003535C7"/>
    <w:rsid w:val="003535EA"/>
    <w:rsid w:val="00353848"/>
    <w:rsid w:val="0035389E"/>
    <w:rsid w:val="00353BC6"/>
    <w:rsid w:val="00353F60"/>
    <w:rsid w:val="00354875"/>
    <w:rsid w:val="00354A24"/>
    <w:rsid w:val="00354C6D"/>
    <w:rsid w:val="003551FE"/>
    <w:rsid w:val="0035542D"/>
    <w:rsid w:val="00355DA8"/>
    <w:rsid w:val="00356550"/>
    <w:rsid w:val="003566C2"/>
    <w:rsid w:val="0035675A"/>
    <w:rsid w:val="00356911"/>
    <w:rsid w:val="00356935"/>
    <w:rsid w:val="0035694C"/>
    <w:rsid w:val="00356D82"/>
    <w:rsid w:val="0035703C"/>
    <w:rsid w:val="003574B1"/>
    <w:rsid w:val="003574C5"/>
    <w:rsid w:val="00360CC5"/>
    <w:rsid w:val="00361515"/>
    <w:rsid w:val="003616E8"/>
    <w:rsid w:val="00361C89"/>
    <w:rsid w:val="00361D90"/>
    <w:rsid w:val="003631D3"/>
    <w:rsid w:val="00363786"/>
    <w:rsid w:val="003638AD"/>
    <w:rsid w:val="00363965"/>
    <w:rsid w:val="003641F2"/>
    <w:rsid w:val="003646A9"/>
    <w:rsid w:val="00364AB8"/>
    <w:rsid w:val="00364BB8"/>
    <w:rsid w:val="00364C96"/>
    <w:rsid w:val="00364EF5"/>
    <w:rsid w:val="00365011"/>
    <w:rsid w:val="00365452"/>
    <w:rsid w:val="00365520"/>
    <w:rsid w:val="0036705C"/>
    <w:rsid w:val="00367653"/>
    <w:rsid w:val="00367A50"/>
    <w:rsid w:val="00367C81"/>
    <w:rsid w:val="00367F3B"/>
    <w:rsid w:val="00367FA7"/>
    <w:rsid w:val="00370453"/>
    <w:rsid w:val="003704F8"/>
    <w:rsid w:val="00370591"/>
    <w:rsid w:val="003706B4"/>
    <w:rsid w:val="00370D20"/>
    <w:rsid w:val="00370DD8"/>
    <w:rsid w:val="003713FF"/>
    <w:rsid w:val="003714B2"/>
    <w:rsid w:val="0037191E"/>
    <w:rsid w:val="00371B1A"/>
    <w:rsid w:val="00371E20"/>
    <w:rsid w:val="0037208F"/>
    <w:rsid w:val="0037222E"/>
    <w:rsid w:val="00372478"/>
    <w:rsid w:val="003724BA"/>
    <w:rsid w:val="00372CFF"/>
    <w:rsid w:val="00372E8D"/>
    <w:rsid w:val="0037349E"/>
    <w:rsid w:val="00373A38"/>
    <w:rsid w:val="00373C89"/>
    <w:rsid w:val="0037405C"/>
    <w:rsid w:val="003741CA"/>
    <w:rsid w:val="003743ED"/>
    <w:rsid w:val="00374AFE"/>
    <w:rsid w:val="003751BC"/>
    <w:rsid w:val="00375562"/>
    <w:rsid w:val="00375D2F"/>
    <w:rsid w:val="00375DBA"/>
    <w:rsid w:val="00376777"/>
    <w:rsid w:val="00376B41"/>
    <w:rsid w:val="00377237"/>
    <w:rsid w:val="00377F7D"/>
    <w:rsid w:val="00377FAD"/>
    <w:rsid w:val="00377FD8"/>
    <w:rsid w:val="00380364"/>
    <w:rsid w:val="00380DBB"/>
    <w:rsid w:val="00381329"/>
    <w:rsid w:val="0038146D"/>
    <w:rsid w:val="003814FD"/>
    <w:rsid w:val="00381A4B"/>
    <w:rsid w:val="00382A4B"/>
    <w:rsid w:val="00382B8F"/>
    <w:rsid w:val="0038344F"/>
    <w:rsid w:val="00384047"/>
    <w:rsid w:val="003840DD"/>
    <w:rsid w:val="0038478C"/>
    <w:rsid w:val="003847A1"/>
    <w:rsid w:val="003847AE"/>
    <w:rsid w:val="00384DE0"/>
    <w:rsid w:val="003851CF"/>
    <w:rsid w:val="00385680"/>
    <w:rsid w:val="00385BF6"/>
    <w:rsid w:val="00385DD1"/>
    <w:rsid w:val="003869D2"/>
    <w:rsid w:val="00387194"/>
    <w:rsid w:val="0038794E"/>
    <w:rsid w:val="00387AA1"/>
    <w:rsid w:val="003900E0"/>
    <w:rsid w:val="00390310"/>
    <w:rsid w:val="00390505"/>
    <w:rsid w:val="00391075"/>
    <w:rsid w:val="00391098"/>
    <w:rsid w:val="00391216"/>
    <w:rsid w:val="00391CDC"/>
    <w:rsid w:val="00391D40"/>
    <w:rsid w:val="00392066"/>
    <w:rsid w:val="003922E3"/>
    <w:rsid w:val="003925E2"/>
    <w:rsid w:val="00392DB1"/>
    <w:rsid w:val="00392E2A"/>
    <w:rsid w:val="00393196"/>
    <w:rsid w:val="00393462"/>
    <w:rsid w:val="003938F7"/>
    <w:rsid w:val="00393AA1"/>
    <w:rsid w:val="00393F2E"/>
    <w:rsid w:val="0039402B"/>
    <w:rsid w:val="00394082"/>
    <w:rsid w:val="003946AD"/>
    <w:rsid w:val="003947F9"/>
    <w:rsid w:val="00394832"/>
    <w:rsid w:val="00394DF2"/>
    <w:rsid w:val="00394FC7"/>
    <w:rsid w:val="00395303"/>
    <w:rsid w:val="0039537F"/>
    <w:rsid w:val="003955E0"/>
    <w:rsid w:val="0039577A"/>
    <w:rsid w:val="0039587C"/>
    <w:rsid w:val="0039647B"/>
    <w:rsid w:val="0039650B"/>
    <w:rsid w:val="0039651F"/>
    <w:rsid w:val="0039656F"/>
    <w:rsid w:val="0039670E"/>
    <w:rsid w:val="00396841"/>
    <w:rsid w:val="00396AFC"/>
    <w:rsid w:val="00396B6B"/>
    <w:rsid w:val="00397077"/>
    <w:rsid w:val="00397260"/>
    <w:rsid w:val="00397C5B"/>
    <w:rsid w:val="003A01A2"/>
    <w:rsid w:val="003A0237"/>
    <w:rsid w:val="003A062A"/>
    <w:rsid w:val="003A0922"/>
    <w:rsid w:val="003A0C2F"/>
    <w:rsid w:val="003A0CAE"/>
    <w:rsid w:val="003A12E3"/>
    <w:rsid w:val="003A1893"/>
    <w:rsid w:val="003A2AC7"/>
    <w:rsid w:val="003A2C16"/>
    <w:rsid w:val="003A3A91"/>
    <w:rsid w:val="003A3C2B"/>
    <w:rsid w:val="003A4224"/>
    <w:rsid w:val="003A4250"/>
    <w:rsid w:val="003A45AB"/>
    <w:rsid w:val="003A4EE2"/>
    <w:rsid w:val="003A565F"/>
    <w:rsid w:val="003A57E2"/>
    <w:rsid w:val="003A5C28"/>
    <w:rsid w:val="003A5E35"/>
    <w:rsid w:val="003A5E38"/>
    <w:rsid w:val="003A6020"/>
    <w:rsid w:val="003A6034"/>
    <w:rsid w:val="003A67E2"/>
    <w:rsid w:val="003A67EF"/>
    <w:rsid w:val="003A6951"/>
    <w:rsid w:val="003A6A06"/>
    <w:rsid w:val="003A6DE4"/>
    <w:rsid w:val="003A7526"/>
    <w:rsid w:val="003A77AF"/>
    <w:rsid w:val="003A77F5"/>
    <w:rsid w:val="003A7B13"/>
    <w:rsid w:val="003A7E76"/>
    <w:rsid w:val="003B0316"/>
    <w:rsid w:val="003B089A"/>
    <w:rsid w:val="003B10CF"/>
    <w:rsid w:val="003B1E23"/>
    <w:rsid w:val="003B271E"/>
    <w:rsid w:val="003B27F2"/>
    <w:rsid w:val="003B29E2"/>
    <w:rsid w:val="003B2C0A"/>
    <w:rsid w:val="003B32C7"/>
    <w:rsid w:val="003B343B"/>
    <w:rsid w:val="003B352C"/>
    <w:rsid w:val="003B3F09"/>
    <w:rsid w:val="003B4131"/>
    <w:rsid w:val="003B41A8"/>
    <w:rsid w:val="003B430B"/>
    <w:rsid w:val="003B4B6A"/>
    <w:rsid w:val="003B5045"/>
    <w:rsid w:val="003B51EA"/>
    <w:rsid w:val="003B5B3D"/>
    <w:rsid w:val="003B6247"/>
    <w:rsid w:val="003B6D3C"/>
    <w:rsid w:val="003B6D8E"/>
    <w:rsid w:val="003B6EB4"/>
    <w:rsid w:val="003B71B4"/>
    <w:rsid w:val="003B7265"/>
    <w:rsid w:val="003B7A91"/>
    <w:rsid w:val="003C0645"/>
    <w:rsid w:val="003C07DC"/>
    <w:rsid w:val="003C0C3F"/>
    <w:rsid w:val="003C1500"/>
    <w:rsid w:val="003C1A04"/>
    <w:rsid w:val="003C1B7C"/>
    <w:rsid w:val="003C2308"/>
    <w:rsid w:val="003C243E"/>
    <w:rsid w:val="003C27C1"/>
    <w:rsid w:val="003C2D81"/>
    <w:rsid w:val="003C3287"/>
    <w:rsid w:val="003C39FD"/>
    <w:rsid w:val="003C3BFA"/>
    <w:rsid w:val="003C4708"/>
    <w:rsid w:val="003C4A79"/>
    <w:rsid w:val="003C5112"/>
    <w:rsid w:val="003C5462"/>
    <w:rsid w:val="003C5E48"/>
    <w:rsid w:val="003C62DE"/>
    <w:rsid w:val="003C6DB4"/>
    <w:rsid w:val="003C7845"/>
    <w:rsid w:val="003C7DBB"/>
    <w:rsid w:val="003D04D6"/>
    <w:rsid w:val="003D0B88"/>
    <w:rsid w:val="003D0F00"/>
    <w:rsid w:val="003D13EA"/>
    <w:rsid w:val="003D14E3"/>
    <w:rsid w:val="003D162B"/>
    <w:rsid w:val="003D1682"/>
    <w:rsid w:val="003D263E"/>
    <w:rsid w:val="003D2CB5"/>
    <w:rsid w:val="003D2D4D"/>
    <w:rsid w:val="003D2DA0"/>
    <w:rsid w:val="003D3141"/>
    <w:rsid w:val="003D338C"/>
    <w:rsid w:val="003D38F6"/>
    <w:rsid w:val="003D3AA7"/>
    <w:rsid w:val="003D3B9C"/>
    <w:rsid w:val="003D3E96"/>
    <w:rsid w:val="003D4367"/>
    <w:rsid w:val="003D43BD"/>
    <w:rsid w:val="003D43C1"/>
    <w:rsid w:val="003D454D"/>
    <w:rsid w:val="003D46D6"/>
    <w:rsid w:val="003D4D72"/>
    <w:rsid w:val="003D5235"/>
    <w:rsid w:val="003D5299"/>
    <w:rsid w:val="003D550E"/>
    <w:rsid w:val="003D56B2"/>
    <w:rsid w:val="003D5826"/>
    <w:rsid w:val="003D5D1F"/>
    <w:rsid w:val="003D5FB4"/>
    <w:rsid w:val="003D7437"/>
    <w:rsid w:val="003D7DB3"/>
    <w:rsid w:val="003D7ED0"/>
    <w:rsid w:val="003E03F8"/>
    <w:rsid w:val="003E04FD"/>
    <w:rsid w:val="003E09B0"/>
    <w:rsid w:val="003E0EA9"/>
    <w:rsid w:val="003E132E"/>
    <w:rsid w:val="003E138A"/>
    <w:rsid w:val="003E249D"/>
    <w:rsid w:val="003E25ED"/>
    <w:rsid w:val="003E2A14"/>
    <w:rsid w:val="003E2B46"/>
    <w:rsid w:val="003E32D3"/>
    <w:rsid w:val="003E368F"/>
    <w:rsid w:val="003E38E9"/>
    <w:rsid w:val="003E39DB"/>
    <w:rsid w:val="003E4264"/>
    <w:rsid w:val="003E46E8"/>
    <w:rsid w:val="003E4EB0"/>
    <w:rsid w:val="003E5D98"/>
    <w:rsid w:val="003E5E7A"/>
    <w:rsid w:val="003E622B"/>
    <w:rsid w:val="003E6290"/>
    <w:rsid w:val="003E6709"/>
    <w:rsid w:val="003E6A1F"/>
    <w:rsid w:val="003E6AF6"/>
    <w:rsid w:val="003E6CA4"/>
    <w:rsid w:val="003E6F68"/>
    <w:rsid w:val="003E77BC"/>
    <w:rsid w:val="003E7AD1"/>
    <w:rsid w:val="003E7B2C"/>
    <w:rsid w:val="003E7FED"/>
    <w:rsid w:val="003F098C"/>
    <w:rsid w:val="003F0F01"/>
    <w:rsid w:val="003F13C0"/>
    <w:rsid w:val="003F15E6"/>
    <w:rsid w:val="003F199B"/>
    <w:rsid w:val="003F1B58"/>
    <w:rsid w:val="003F2297"/>
    <w:rsid w:val="003F229D"/>
    <w:rsid w:val="003F2421"/>
    <w:rsid w:val="003F2867"/>
    <w:rsid w:val="003F2968"/>
    <w:rsid w:val="003F29B2"/>
    <w:rsid w:val="003F2BEB"/>
    <w:rsid w:val="003F2DDD"/>
    <w:rsid w:val="003F2E35"/>
    <w:rsid w:val="003F3658"/>
    <w:rsid w:val="003F376B"/>
    <w:rsid w:val="003F3A32"/>
    <w:rsid w:val="003F4193"/>
    <w:rsid w:val="003F4563"/>
    <w:rsid w:val="003F45E9"/>
    <w:rsid w:val="003F473E"/>
    <w:rsid w:val="003F4752"/>
    <w:rsid w:val="003F517F"/>
    <w:rsid w:val="003F5332"/>
    <w:rsid w:val="003F5493"/>
    <w:rsid w:val="003F61FB"/>
    <w:rsid w:val="003F6410"/>
    <w:rsid w:val="003F7270"/>
    <w:rsid w:val="003F7272"/>
    <w:rsid w:val="003F72D3"/>
    <w:rsid w:val="003F7990"/>
    <w:rsid w:val="003F7A36"/>
    <w:rsid w:val="003F7FA3"/>
    <w:rsid w:val="004006F2"/>
    <w:rsid w:val="00400900"/>
    <w:rsid w:val="0040110A"/>
    <w:rsid w:val="004013FB"/>
    <w:rsid w:val="004019A8"/>
    <w:rsid w:val="00401B3E"/>
    <w:rsid w:val="00401FB8"/>
    <w:rsid w:val="004020B9"/>
    <w:rsid w:val="004023C4"/>
    <w:rsid w:val="0040251C"/>
    <w:rsid w:val="00402FD5"/>
    <w:rsid w:val="004030C3"/>
    <w:rsid w:val="0040345D"/>
    <w:rsid w:val="00403501"/>
    <w:rsid w:val="00403969"/>
    <w:rsid w:val="00403971"/>
    <w:rsid w:val="00403EBB"/>
    <w:rsid w:val="004041E4"/>
    <w:rsid w:val="00404DCE"/>
    <w:rsid w:val="004051EC"/>
    <w:rsid w:val="00405CC1"/>
    <w:rsid w:val="00406C59"/>
    <w:rsid w:val="00406E66"/>
    <w:rsid w:val="00407354"/>
    <w:rsid w:val="004073D2"/>
    <w:rsid w:val="00407561"/>
    <w:rsid w:val="00407D74"/>
    <w:rsid w:val="00407E9D"/>
    <w:rsid w:val="00410515"/>
    <w:rsid w:val="004105A2"/>
    <w:rsid w:val="004109DB"/>
    <w:rsid w:val="004119B5"/>
    <w:rsid w:val="00411C50"/>
    <w:rsid w:val="00412806"/>
    <w:rsid w:val="00412DCC"/>
    <w:rsid w:val="004130FC"/>
    <w:rsid w:val="00413992"/>
    <w:rsid w:val="004142A4"/>
    <w:rsid w:val="0041439E"/>
    <w:rsid w:val="004144A2"/>
    <w:rsid w:val="00414BE8"/>
    <w:rsid w:val="00415096"/>
    <w:rsid w:val="004157AB"/>
    <w:rsid w:val="00415865"/>
    <w:rsid w:val="00415995"/>
    <w:rsid w:val="00415B6B"/>
    <w:rsid w:val="00415F7A"/>
    <w:rsid w:val="004163CD"/>
    <w:rsid w:val="00416BF4"/>
    <w:rsid w:val="00416C81"/>
    <w:rsid w:val="00416DAC"/>
    <w:rsid w:val="00417237"/>
    <w:rsid w:val="004172CE"/>
    <w:rsid w:val="004172E2"/>
    <w:rsid w:val="004173E8"/>
    <w:rsid w:val="004177AF"/>
    <w:rsid w:val="00417E0D"/>
    <w:rsid w:val="00420821"/>
    <w:rsid w:val="00420C53"/>
    <w:rsid w:val="00420D33"/>
    <w:rsid w:val="00421006"/>
    <w:rsid w:val="00421028"/>
    <w:rsid w:val="004218D6"/>
    <w:rsid w:val="00421EAB"/>
    <w:rsid w:val="0042231B"/>
    <w:rsid w:val="00422AA4"/>
    <w:rsid w:val="00422F92"/>
    <w:rsid w:val="0042342E"/>
    <w:rsid w:val="00423464"/>
    <w:rsid w:val="00423786"/>
    <w:rsid w:val="00423930"/>
    <w:rsid w:val="00423A8F"/>
    <w:rsid w:val="00424EED"/>
    <w:rsid w:val="00425221"/>
    <w:rsid w:val="00425369"/>
    <w:rsid w:val="004261BB"/>
    <w:rsid w:val="004263C9"/>
    <w:rsid w:val="00426C5F"/>
    <w:rsid w:val="0042702E"/>
    <w:rsid w:val="0042751A"/>
    <w:rsid w:val="004277D1"/>
    <w:rsid w:val="00427906"/>
    <w:rsid w:val="00427FE3"/>
    <w:rsid w:val="0043088B"/>
    <w:rsid w:val="00430EE3"/>
    <w:rsid w:val="0043109B"/>
    <w:rsid w:val="00431211"/>
    <w:rsid w:val="00431467"/>
    <w:rsid w:val="00431992"/>
    <w:rsid w:val="0043210D"/>
    <w:rsid w:val="00432E33"/>
    <w:rsid w:val="0043300D"/>
    <w:rsid w:val="004334FE"/>
    <w:rsid w:val="0043366D"/>
    <w:rsid w:val="00433720"/>
    <w:rsid w:val="004337A3"/>
    <w:rsid w:val="0043399F"/>
    <w:rsid w:val="00433E25"/>
    <w:rsid w:val="00433EE1"/>
    <w:rsid w:val="00434AED"/>
    <w:rsid w:val="00435188"/>
    <w:rsid w:val="00435EF8"/>
    <w:rsid w:val="004360CA"/>
    <w:rsid w:val="00436123"/>
    <w:rsid w:val="00436650"/>
    <w:rsid w:val="00436697"/>
    <w:rsid w:val="00436CDC"/>
    <w:rsid w:val="00437128"/>
    <w:rsid w:val="004372A7"/>
    <w:rsid w:val="0043735D"/>
    <w:rsid w:val="00437922"/>
    <w:rsid w:val="004403C1"/>
    <w:rsid w:val="00440808"/>
    <w:rsid w:val="004411EE"/>
    <w:rsid w:val="00441719"/>
    <w:rsid w:val="00441901"/>
    <w:rsid w:val="004424B5"/>
    <w:rsid w:val="00442937"/>
    <w:rsid w:val="00442A09"/>
    <w:rsid w:val="00443404"/>
    <w:rsid w:val="0044374A"/>
    <w:rsid w:val="004438C1"/>
    <w:rsid w:val="00443DCE"/>
    <w:rsid w:val="00443ED9"/>
    <w:rsid w:val="004441D4"/>
    <w:rsid w:val="00444201"/>
    <w:rsid w:val="004448BA"/>
    <w:rsid w:val="004448D4"/>
    <w:rsid w:val="00444C8F"/>
    <w:rsid w:val="004450FB"/>
    <w:rsid w:val="00445303"/>
    <w:rsid w:val="00445760"/>
    <w:rsid w:val="00445840"/>
    <w:rsid w:val="00445898"/>
    <w:rsid w:val="00445D1B"/>
    <w:rsid w:val="00446119"/>
    <w:rsid w:val="0044664A"/>
    <w:rsid w:val="00446866"/>
    <w:rsid w:val="00446A74"/>
    <w:rsid w:val="00446BF8"/>
    <w:rsid w:val="00446C95"/>
    <w:rsid w:val="00446DD4"/>
    <w:rsid w:val="00446EA5"/>
    <w:rsid w:val="0044710A"/>
    <w:rsid w:val="004475B8"/>
    <w:rsid w:val="004478B9"/>
    <w:rsid w:val="00447BBE"/>
    <w:rsid w:val="00450609"/>
    <w:rsid w:val="00450772"/>
    <w:rsid w:val="00450ACB"/>
    <w:rsid w:val="00450EE2"/>
    <w:rsid w:val="0045190D"/>
    <w:rsid w:val="00451C86"/>
    <w:rsid w:val="0045210E"/>
    <w:rsid w:val="00452752"/>
    <w:rsid w:val="00452BA6"/>
    <w:rsid w:val="00453279"/>
    <w:rsid w:val="00453284"/>
    <w:rsid w:val="00453376"/>
    <w:rsid w:val="00453784"/>
    <w:rsid w:val="004538CD"/>
    <w:rsid w:val="004538FB"/>
    <w:rsid w:val="00453970"/>
    <w:rsid w:val="00453B2E"/>
    <w:rsid w:val="00453C2A"/>
    <w:rsid w:val="00453E24"/>
    <w:rsid w:val="00453E97"/>
    <w:rsid w:val="00454232"/>
    <w:rsid w:val="004545DB"/>
    <w:rsid w:val="00454887"/>
    <w:rsid w:val="00454E56"/>
    <w:rsid w:val="004551FD"/>
    <w:rsid w:val="0045532A"/>
    <w:rsid w:val="004554EA"/>
    <w:rsid w:val="004556A2"/>
    <w:rsid w:val="0045606A"/>
    <w:rsid w:val="004560AA"/>
    <w:rsid w:val="00456967"/>
    <w:rsid w:val="00456974"/>
    <w:rsid w:val="00456F41"/>
    <w:rsid w:val="00456FA5"/>
    <w:rsid w:val="00457242"/>
    <w:rsid w:val="00457747"/>
    <w:rsid w:val="0045790B"/>
    <w:rsid w:val="00457D2F"/>
    <w:rsid w:val="0046035A"/>
    <w:rsid w:val="00460503"/>
    <w:rsid w:val="004609B5"/>
    <w:rsid w:val="00460E28"/>
    <w:rsid w:val="00461311"/>
    <w:rsid w:val="00461784"/>
    <w:rsid w:val="0046181F"/>
    <w:rsid w:val="004618A1"/>
    <w:rsid w:val="00461B5F"/>
    <w:rsid w:val="00461FBA"/>
    <w:rsid w:val="004620F7"/>
    <w:rsid w:val="0046216F"/>
    <w:rsid w:val="00462DD3"/>
    <w:rsid w:val="0046312F"/>
    <w:rsid w:val="004631EA"/>
    <w:rsid w:val="004632DA"/>
    <w:rsid w:val="004636DB"/>
    <w:rsid w:val="0046394E"/>
    <w:rsid w:val="0046404E"/>
    <w:rsid w:val="004642CA"/>
    <w:rsid w:val="0046443A"/>
    <w:rsid w:val="0046484B"/>
    <w:rsid w:val="00464E9E"/>
    <w:rsid w:val="00465599"/>
    <w:rsid w:val="004659B2"/>
    <w:rsid w:val="004660AB"/>
    <w:rsid w:val="00466102"/>
    <w:rsid w:val="00466C75"/>
    <w:rsid w:val="00466FE2"/>
    <w:rsid w:val="00467368"/>
    <w:rsid w:val="004673FE"/>
    <w:rsid w:val="00467A3E"/>
    <w:rsid w:val="004703AD"/>
    <w:rsid w:val="0047054A"/>
    <w:rsid w:val="004708EB"/>
    <w:rsid w:val="00470B39"/>
    <w:rsid w:val="00470E03"/>
    <w:rsid w:val="00470E0C"/>
    <w:rsid w:val="00471157"/>
    <w:rsid w:val="004711FB"/>
    <w:rsid w:val="004712D7"/>
    <w:rsid w:val="004719B1"/>
    <w:rsid w:val="00471D40"/>
    <w:rsid w:val="004725B1"/>
    <w:rsid w:val="0047264A"/>
    <w:rsid w:val="00472C10"/>
    <w:rsid w:val="0047390A"/>
    <w:rsid w:val="00473A5F"/>
    <w:rsid w:val="00473C36"/>
    <w:rsid w:val="00474B6E"/>
    <w:rsid w:val="00474BC0"/>
    <w:rsid w:val="004751D3"/>
    <w:rsid w:val="00475B12"/>
    <w:rsid w:val="00475BBF"/>
    <w:rsid w:val="00476059"/>
    <w:rsid w:val="00476253"/>
    <w:rsid w:val="004762CA"/>
    <w:rsid w:val="00476373"/>
    <w:rsid w:val="0047675A"/>
    <w:rsid w:val="00476791"/>
    <w:rsid w:val="0047680C"/>
    <w:rsid w:val="00476957"/>
    <w:rsid w:val="00476CF7"/>
    <w:rsid w:val="00476D1F"/>
    <w:rsid w:val="00476DF8"/>
    <w:rsid w:val="00477786"/>
    <w:rsid w:val="00477BEA"/>
    <w:rsid w:val="0048009C"/>
    <w:rsid w:val="004803A6"/>
    <w:rsid w:val="00480438"/>
    <w:rsid w:val="004805D0"/>
    <w:rsid w:val="00480ABB"/>
    <w:rsid w:val="00480BB2"/>
    <w:rsid w:val="00480E9C"/>
    <w:rsid w:val="004814A9"/>
    <w:rsid w:val="004817CD"/>
    <w:rsid w:val="00481AC0"/>
    <w:rsid w:val="00481F03"/>
    <w:rsid w:val="0048250A"/>
    <w:rsid w:val="00482828"/>
    <w:rsid w:val="00482DAF"/>
    <w:rsid w:val="0048329F"/>
    <w:rsid w:val="00483399"/>
    <w:rsid w:val="0048359F"/>
    <w:rsid w:val="00483768"/>
    <w:rsid w:val="0048376C"/>
    <w:rsid w:val="00483992"/>
    <w:rsid w:val="00483B38"/>
    <w:rsid w:val="00483D33"/>
    <w:rsid w:val="00484E01"/>
    <w:rsid w:val="0048507F"/>
    <w:rsid w:val="004851C9"/>
    <w:rsid w:val="004853E1"/>
    <w:rsid w:val="004854E8"/>
    <w:rsid w:val="0048610A"/>
    <w:rsid w:val="004864D9"/>
    <w:rsid w:val="00486555"/>
    <w:rsid w:val="00486724"/>
    <w:rsid w:val="004873BF"/>
    <w:rsid w:val="004874EF"/>
    <w:rsid w:val="00490557"/>
    <w:rsid w:val="00490766"/>
    <w:rsid w:val="00490807"/>
    <w:rsid w:val="00490A45"/>
    <w:rsid w:val="0049178B"/>
    <w:rsid w:val="00491AC4"/>
    <w:rsid w:val="00491FE4"/>
    <w:rsid w:val="004924A2"/>
    <w:rsid w:val="004926BC"/>
    <w:rsid w:val="00492E1A"/>
    <w:rsid w:val="0049306F"/>
    <w:rsid w:val="004931EA"/>
    <w:rsid w:val="004937DD"/>
    <w:rsid w:val="004939AD"/>
    <w:rsid w:val="00493BC9"/>
    <w:rsid w:val="00493FDC"/>
    <w:rsid w:val="004941A1"/>
    <w:rsid w:val="004946F1"/>
    <w:rsid w:val="00494B1E"/>
    <w:rsid w:val="00494B6D"/>
    <w:rsid w:val="00494D33"/>
    <w:rsid w:val="00494DC6"/>
    <w:rsid w:val="00494EA8"/>
    <w:rsid w:val="004950E4"/>
    <w:rsid w:val="00495379"/>
    <w:rsid w:val="0049552B"/>
    <w:rsid w:val="0049634C"/>
    <w:rsid w:val="00496452"/>
    <w:rsid w:val="00496AC9"/>
    <w:rsid w:val="00496BF9"/>
    <w:rsid w:val="00496CF9"/>
    <w:rsid w:val="0049773B"/>
    <w:rsid w:val="00497A59"/>
    <w:rsid w:val="00497F48"/>
    <w:rsid w:val="004A03AA"/>
    <w:rsid w:val="004A03B9"/>
    <w:rsid w:val="004A0803"/>
    <w:rsid w:val="004A0EED"/>
    <w:rsid w:val="004A101E"/>
    <w:rsid w:val="004A10D7"/>
    <w:rsid w:val="004A11E9"/>
    <w:rsid w:val="004A192A"/>
    <w:rsid w:val="004A1A2A"/>
    <w:rsid w:val="004A1FFC"/>
    <w:rsid w:val="004A239E"/>
    <w:rsid w:val="004A239F"/>
    <w:rsid w:val="004A23E3"/>
    <w:rsid w:val="004A243A"/>
    <w:rsid w:val="004A256C"/>
    <w:rsid w:val="004A295D"/>
    <w:rsid w:val="004A2E8A"/>
    <w:rsid w:val="004A36F7"/>
    <w:rsid w:val="004A370B"/>
    <w:rsid w:val="004A3776"/>
    <w:rsid w:val="004A4159"/>
    <w:rsid w:val="004A4412"/>
    <w:rsid w:val="004A4A57"/>
    <w:rsid w:val="004A4BBE"/>
    <w:rsid w:val="004A5342"/>
    <w:rsid w:val="004A57A5"/>
    <w:rsid w:val="004A57F6"/>
    <w:rsid w:val="004A5BF7"/>
    <w:rsid w:val="004A5C07"/>
    <w:rsid w:val="004A5CC7"/>
    <w:rsid w:val="004A60EF"/>
    <w:rsid w:val="004A61EF"/>
    <w:rsid w:val="004A631F"/>
    <w:rsid w:val="004A650F"/>
    <w:rsid w:val="004A6609"/>
    <w:rsid w:val="004A699B"/>
    <w:rsid w:val="004A6A2C"/>
    <w:rsid w:val="004A6C42"/>
    <w:rsid w:val="004A6E87"/>
    <w:rsid w:val="004A7529"/>
    <w:rsid w:val="004A7967"/>
    <w:rsid w:val="004A7D7D"/>
    <w:rsid w:val="004A7E9A"/>
    <w:rsid w:val="004A7EC4"/>
    <w:rsid w:val="004A7FAF"/>
    <w:rsid w:val="004B0299"/>
    <w:rsid w:val="004B0453"/>
    <w:rsid w:val="004B0635"/>
    <w:rsid w:val="004B06BA"/>
    <w:rsid w:val="004B1514"/>
    <w:rsid w:val="004B1844"/>
    <w:rsid w:val="004B1AF4"/>
    <w:rsid w:val="004B1EE6"/>
    <w:rsid w:val="004B2281"/>
    <w:rsid w:val="004B23E8"/>
    <w:rsid w:val="004B28FA"/>
    <w:rsid w:val="004B2A30"/>
    <w:rsid w:val="004B34D8"/>
    <w:rsid w:val="004B3EB2"/>
    <w:rsid w:val="004B3F34"/>
    <w:rsid w:val="004B4F71"/>
    <w:rsid w:val="004B4FDE"/>
    <w:rsid w:val="004B546D"/>
    <w:rsid w:val="004B54CA"/>
    <w:rsid w:val="004B5F2A"/>
    <w:rsid w:val="004B5F97"/>
    <w:rsid w:val="004B6360"/>
    <w:rsid w:val="004B6754"/>
    <w:rsid w:val="004B6822"/>
    <w:rsid w:val="004B714D"/>
    <w:rsid w:val="004B728C"/>
    <w:rsid w:val="004B7551"/>
    <w:rsid w:val="004B75EE"/>
    <w:rsid w:val="004B77D2"/>
    <w:rsid w:val="004C0A5C"/>
    <w:rsid w:val="004C0D22"/>
    <w:rsid w:val="004C0E70"/>
    <w:rsid w:val="004C1650"/>
    <w:rsid w:val="004C2361"/>
    <w:rsid w:val="004C24FB"/>
    <w:rsid w:val="004C28FE"/>
    <w:rsid w:val="004C33D7"/>
    <w:rsid w:val="004C33E5"/>
    <w:rsid w:val="004C34D8"/>
    <w:rsid w:val="004C38AE"/>
    <w:rsid w:val="004C3CFF"/>
    <w:rsid w:val="004C436C"/>
    <w:rsid w:val="004C4B54"/>
    <w:rsid w:val="004C4F16"/>
    <w:rsid w:val="004C5769"/>
    <w:rsid w:val="004C5AE5"/>
    <w:rsid w:val="004C5EAF"/>
    <w:rsid w:val="004C5FAB"/>
    <w:rsid w:val="004C6166"/>
    <w:rsid w:val="004C630F"/>
    <w:rsid w:val="004C634A"/>
    <w:rsid w:val="004C6619"/>
    <w:rsid w:val="004C6813"/>
    <w:rsid w:val="004C72EA"/>
    <w:rsid w:val="004C7514"/>
    <w:rsid w:val="004C7920"/>
    <w:rsid w:val="004D036D"/>
    <w:rsid w:val="004D05A5"/>
    <w:rsid w:val="004D073E"/>
    <w:rsid w:val="004D0F44"/>
    <w:rsid w:val="004D0F7E"/>
    <w:rsid w:val="004D1107"/>
    <w:rsid w:val="004D2007"/>
    <w:rsid w:val="004D206D"/>
    <w:rsid w:val="004D25C7"/>
    <w:rsid w:val="004D2781"/>
    <w:rsid w:val="004D2A67"/>
    <w:rsid w:val="004D3148"/>
    <w:rsid w:val="004D4089"/>
    <w:rsid w:val="004D43FA"/>
    <w:rsid w:val="004D455A"/>
    <w:rsid w:val="004D45A6"/>
    <w:rsid w:val="004D486E"/>
    <w:rsid w:val="004D4CB6"/>
    <w:rsid w:val="004D4D16"/>
    <w:rsid w:val="004D4F74"/>
    <w:rsid w:val="004D6956"/>
    <w:rsid w:val="004D6F6D"/>
    <w:rsid w:val="004D70D9"/>
    <w:rsid w:val="004D70DE"/>
    <w:rsid w:val="004D71D6"/>
    <w:rsid w:val="004D75F5"/>
    <w:rsid w:val="004D77B4"/>
    <w:rsid w:val="004D77D2"/>
    <w:rsid w:val="004E0295"/>
    <w:rsid w:val="004E06FD"/>
    <w:rsid w:val="004E0D53"/>
    <w:rsid w:val="004E110F"/>
    <w:rsid w:val="004E13F2"/>
    <w:rsid w:val="004E1512"/>
    <w:rsid w:val="004E16FB"/>
    <w:rsid w:val="004E1B97"/>
    <w:rsid w:val="004E1CAA"/>
    <w:rsid w:val="004E1DC7"/>
    <w:rsid w:val="004E27DF"/>
    <w:rsid w:val="004E291B"/>
    <w:rsid w:val="004E2F35"/>
    <w:rsid w:val="004E3EB2"/>
    <w:rsid w:val="004E400A"/>
    <w:rsid w:val="004E4115"/>
    <w:rsid w:val="004E413F"/>
    <w:rsid w:val="004E4630"/>
    <w:rsid w:val="004E495E"/>
    <w:rsid w:val="004E4DEF"/>
    <w:rsid w:val="004E5061"/>
    <w:rsid w:val="004E543E"/>
    <w:rsid w:val="004E54C4"/>
    <w:rsid w:val="004E582F"/>
    <w:rsid w:val="004E58B0"/>
    <w:rsid w:val="004E5B91"/>
    <w:rsid w:val="004E63D3"/>
    <w:rsid w:val="004E65F6"/>
    <w:rsid w:val="004E668C"/>
    <w:rsid w:val="004E6DEF"/>
    <w:rsid w:val="004E6E58"/>
    <w:rsid w:val="004E74DF"/>
    <w:rsid w:val="004E7FE9"/>
    <w:rsid w:val="004F022B"/>
    <w:rsid w:val="004F0906"/>
    <w:rsid w:val="004F1187"/>
    <w:rsid w:val="004F14ED"/>
    <w:rsid w:val="004F15C2"/>
    <w:rsid w:val="004F15C5"/>
    <w:rsid w:val="004F17B6"/>
    <w:rsid w:val="004F1957"/>
    <w:rsid w:val="004F1A13"/>
    <w:rsid w:val="004F2130"/>
    <w:rsid w:val="004F25D4"/>
    <w:rsid w:val="004F2A55"/>
    <w:rsid w:val="004F320B"/>
    <w:rsid w:val="004F33D0"/>
    <w:rsid w:val="004F3FA1"/>
    <w:rsid w:val="004F4179"/>
    <w:rsid w:val="004F4284"/>
    <w:rsid w:val="004F4ABF"/>
    <w:rsid w:val="004F4C2B"/>
    <w:rsid w:val="004F4D9D"/>
    <w:rsid w:val="004F5397"/>
    <w:rsid w:val="004F556B"/>
    <w:rsid w:val="004F5760"/>
    <w:rsid w:val="004F5B91"/>
    <w:rsid w:val="004F5F12"/>
    <w:rsid w:val="004F5F32"/>
    <w:rsid w:val="004F642D"/>
    <w:rsid w:val="004F6C4A"/>
    <w:rsid w:val="004F71C4"/>
    <w:rsid w:val="004F75D4"/>
    <w:rsid w:val="004F75E5"/>
    <w:rsid w:val="004F7AEA"/>
    <w:rsid w:val="005002FF"/>
    <w:rsid w:val="0050084F"/>
    <w:rsid w:val="00501790"/>
    <w:rsid w:val="00501CDE"/>
    <w:rsid w:val="00502099"/>
    <w:rsid w:val="005023EE"/>
    <w:rsid w:val="005023FD"/>
    <w:rsid w:val="00502ADE"/>
    <w:rsid w:val="005032F3"/>
    <w:rsid w:val="00503635"/>
    <w:rsid w:val="00503854"/>
    <w:rsid w:val="00503948"/>
    <w:rsid w:val="00504508"/>
    <w:rsid w:val="005045D9"/>
    <w:rsid w:val="00504CBC"/>
    <w:rsid w:val="00504CE1"/>
    <w:rsid w:val="00505867"/>
    <w:rsid w:val="00505B72"/>
    <w:rsid w:val="005066B1"/>
    <w:rsid w:val="005067A9"/>
    <w:rsid w:val="005068C8"/>
    <w:rsid w:val="00506DDB"/>
    <w:rsid w:val="00506E14"/>
    <w:rsid w:val="00506F94"/>
    <w:rsid w:val="00507115"/>
    <w:rsid w:val="00507148"/>
    <w:rsid w:val="00507395"/>
    <w:rsid w:val="00507555"/>
    <w:rsid w:val="005078A3"/>
    <w:rsid w:val="00507BF3"/>
    <w:rsid w:val="00507CF9"/>
    <w:rsid w:val="00507E5B"/>
    <w:rsid w:val="00510541"/>
    <w:rsid w:val="00510A77"/>
    <w:rsid w:val="00510D9E"/>
    <w:rsid w:val="00511789"/>
    <w:rsid w:val="005122DF"/>
    <w:rsid w:val="00512697"/>
    <w:rsid w:val="0051284F"/>
    <w:rsid w:val="005128DC"/>
    <w:rsid w:val="00512D00"/>
    <w:rsid w:val="00513099"/>
    <w:rsid w:val="00513123"/>
    <w:rsid w:val="0051410F"/>
    <w:rsid w:val="00514670"/>
    <w:rsid w:val="00514C8E"/>
    <w:rsid w:val="0051538D"/>
    <w:rsid w:val="0051555E"/>
    <w:rsid w:val="005156ED"/>
    <w:rsid w:val="0051595C"/>
    <w:rsid w:val="005159EE"/>
    <w:rsid w:val="00515A25"/>
    <w:rsid w:val="0051614D"/>
    <w:rsid w:val="005164A9"/>
    <w:rsid w:val="00516584"/>
    <w:rsid w:val="00516913"/>
    <w:rsid w:val="00516967"/>
    <w:rsid w:val="00516F9D"/>
    <w:rsid w:val="005170AB"/>
    <w:rsid w:val="005175A1"/>
    <w:rsid w:val="005179EE"/>
    <w:rsid w:val="00517A14"/>
    <w:rsid w:val="00517B5F"/>
    <w:rsid w:val="00517E34"/>
    <w:rsid w:val="005202E1"/>
    <w:rsid w:val="005204E5"/>
    <w:rsid w:val="005207EB"/>
    <w:rsid w:val="00520B4B"/>
    <w:rsid w:val="0052116C"/>
    <w:rsid w:val="0052121A"/>
    <w:rsid w:val="005216A2"/>
    <w:rsid w:val="00521C0E"/>
    <w:rsid w:val="00521DAB"/>
    <w:rsid w:val="00521ED8"/>
    <w:rsid w:val="005221C6"/>
    <w:rsid w:val="00522258"/>
    <w:rsid w:val="005225D2"/>
    <w:rsid w:val="005226A6"/>
    <w:rsid w:val="005227F2"/>
    <w:rsid w:val="00522E9C"/>
    <w:rsid w:val="005235B4"/>
    <w:rsid w:val="00523AD2"/>
    <w:rsid w:val="00523CE0"/>
    <w:rsid w:val="00523D0B"/>
    <w:rsid w:val="00523FB5"/>
    <w:rsid w:val="005241C3"/>
    <w:rsid w:val="00524605"/>
    <w:rsid w:val="005246A2"/>
    <w:rsid w:val="005247D0"/>
    <w:rsid w:val="00524968"/>
    <w:rsid w:val="0052544B"/>
    <w:rsid w:val="00525934"/>
    <w:rsid w:val="00525ACA"/>
    <w:rsid w:val="005260F0"/>
    <w:rsid w:val="00526242"/>
    <w:rsid w:val="00526351"/>
    <w:rsid w:val="00526865"/>
    <w:rsid w:val="00526961"/>
    <w:rsid w:val="00526E3B"/>
    <w:rsid w:val="0052751F"/>
    <w:rsid w:val="005275D8"/>
    <w:rsid w:val="005279FD"/>
    <w:rsid w:val="00527D0D"/>
    <w:rsid w:val="005300E0"/>
    <w:rsid w:val="005303FE"/>
    <w:rsid w:val="00530AAB"/>
    <w:rsid w:val="00530B07"/>
    <w:rsid w:val="00530E21"/>
    <w:rsid w:val="00530F8F"/>
    <w:rsid w:val="005318A9"/>
    <w:rsid w:val="00531929"/>
    <w:rsid w:val="00531B44"/>
    <w:rsid w:val="00532437"/>
    <w:rsid w:val="00532599"/>
    <w:rsid w:val="00533132"/>
    <w:rsid w:val="00533768"/>
    <w:rsid w:val="00533A7E"/>
    <w:rsid w:val="00533AAE"/>
    <w:rsid w:val="00533BF4"/>
    <w:rsid w:val="0053410E"/>
    <w:rsid w:val="005345C0"/>
    <w:rsid w:val="005349F6"/>
    <w:rsid w:val="00534A91"/>
    <w:rsid w:val="00534DC4"/>
    <w:rsid w:val="005356A2"/>
    <w:rsid w:val="00535A82"/>
    <w:rsid w:val="00535C95"/>
    <w:rsid w:val="00536854"/>
    <w:rsid w:val="0053688E"/>
    <w:rsid w:val="00536ADE"/>
    <w:rsid w:val="005378FC"/>
    <w:rsid w:val="00537DE5"/>
    <w:rsid w:val="00540044"/>
    <w:rsid w:val="0054095F"/>
    <w:rsid w:val="005409CB"/>
    <w:rsid w:val="00540B95"/>
    <w:rsid w:val="00540CAA"/>
    <w:rsid w:val="00540D0F"/>
    <w:rsid w:val="00540D22"/>
    <w:rsid w:val="00541315"/>
    <w:rsid w:val="00541C6A"/>
    <w:rsid w:val="00541D91"/>
    <w:rsid w:val="00542111"/>
    <w:rsid w:val="00542326"/>
    <w:rsid w:val="00542D4B"/>
    <w:rsid w:val="00542E5F"/>
    <w:rsid w:val="005433FE"/>
    <w:rsid w:val="00543922"/>
    <w:rsid w:val="00543D0A"/>
    <w:rsid w:val="00543F57"/>
    <w:rsid w:val="00544893"/>
    <w:rsid w:val="0054496F"/>
    <w:rsid w:val="00544A25"/>
    <w:rsid w:val="005453A1"/>
    <w:rsid w:val="005454AB"/>
    <w:rsid w:val="0054552D"/>
    <w:rsid w:val="00545918"/>
    <w:rsid w:val="005459FB"/>
    <w:rsid w:val="00546802"/>
    <w:rsid w:val="00546A25"/>
    <w:rsid w:val="00546ED5"/>
    <w:rsid w:val="005470D0"/>
    <w:rsid w:val="0054738D"/>
    <w:rsid w:val="005475A2"/>
    <w:rsid w:val="00547B1F"/>
    <w:rsid w:val="00550660"/>
    <w:rsid w:val="005506CE"/>
    <w:rsid w:val="00551CAB"/>
    <w:rsid w:val="005523D7"/>
    <w:rsid w:val="00552C3F"/>
    <w:rsid w:val="00552D2B"/>
    <w:rsid w:val="00552D37"/>
    <w:rsid w:val="005535D6"/>
    <w:rsid w:val="00553600"/>
    <w:rsid w:val="00553733"/>
    <w:rsid w:val="00553764"/>
    <w:rsid w:val="00553835"/>
    <w:rsid w:val="00553D1E"/>
    <w:rsid w:val="005540EC"/>
    <w:rsid w:val="00554117"/>
    <w:rsid w:val="005544FF"/>
    <w:rsid w:val="005546D0"/>
    <w:rsid w:val="00554D92"/>
    <w:rsid w:val="005551C1"/>
    <w:rsid w:val="00555516"/>
    <w:rsid w:val="00555AD9"/>
    <w:rsid w:val="00555BF0"/>
    <w:rsid w:val="00555FB1"/>
    <w:rsid w:val="00556664"/>
    <w:rsid w:val="005573F4"/>
    <w:rsid w:val="005578AE"/>
    <w:rsid w:val="00557A9A"/>
    <w:rsid w:val="00557B52"/>
    <w:rsid w:val="00557D14"/>
    <w:rsid w:val="00557F1D"/>
    <w:rsid w:val="00561D3D"/>
    <w:rsid w:val="00562165"/>
    <w:rsid w:val="00562208"/>
    <w:rsid w:val="00562267"/>
    <w:rsid w:val="00562336"/>
    <w:rsid w:val="00562346"/>
    <w:rsid w:val="005624F2"/>
    <w:rsid w:val="00562893"/>
    <w:rsid w:val="00562986"/>
    <w:rsid w:val="0056299E"/>
    <w:rsid w:val="00563004"/>
    <w:rsid w:val="00563385"/>
    <w:rsid w:val="0056344C"/>
    <w:rsid w:val="00563FDC"/>
    <w:rsid w:val="005640B3"/>
    <w:rsid w:val="005644C9"/>
    <w:rsid w:val="00564A82"/>
    <w:rsid w:val="005652F6"/>
    <w:rsid w:val="00565855"/>
    <w:rsid w:val="00566013"/>
    <w:rsid w:val="00566322"/>
    <w:rsid w:val="0056633B"/>
    <w:rsid w:val="005667CE"/>
    <w:rsid w:val="00566BA7"/>
    <w:rsid w:val="00566BBD"/>
    <w:rsid w:val="00566F4B"/>
    <w:rsid w:val="00566FD7"/>
    <w:rsid w:val="0056734E"/>
    <w:rsid w:val="005676A5"/>
    <w:rsid w:val="00567700"/>
    <w:rsid w:val="00567953"/>
    <w:rsid w:val="00567985"/>
    <w:rsid w:val="00567B32"/>
    <w:rsid w:val="005703F3"/>
    <w:rsid w:val="005705E4"/>
    <w:rsid w:val="00570944"/>
    <w:rsid w:val="00570C6D"/>
    <w:rsid w:val="005710E8"/>
    <w:rsid w:val="00571AE6"/>
    <w:rsid w:val="00571B19"/>
    <w:rsid w:val="00571D15"/>
    <w:rsid w:val="0057261E"/>
    <w:rsid w:val="00573120"/>
    <w:rsid w:val="005733F3"/>
    <w:rsid w:val="005740B8"/>
    <w:rsid w:val="00574349"/>
    <w:rsid w:val="005743B8"/>
    <w:rsid w:val="00574737"/>
    <w:rsid w:val="00574B0D"/>
    <w:rsid w:val="00574D10"/>
    <w:rsid w:val="00574F5C"/>
    <w:rsid w:val="00574F6D"/>
    <w:rsid w:val="00574FD8"/>
    <w:rsid w:val="005757C9"/>
    <w:rsid w:val="00575F10"/>
    <w:rsid w:val="0057655B"/>
    <w:rsid w:val="005767BD"/>
    <w:rsid w:val="005767ED"/>
    <w:rsid w:val="00576CE3"/>
    <w:rsid w:val="00577067"/>
    <w:rsid w:val="0058013D"/>
    <w:rsid w:val="0058052E"/>
    <w:rsid w:val="00580807"/>
    <w:rsid w:val="00580A6A"/>
    <w:rsid w:val="00580B60"/>
    <w:rsid w:val="00580E19"/>
    <w:rsid w:val="0058145D"/>
    <w:rsid w:val="005816C7"/>
    <w:rsid w:val="00581B0C"/>
    <w:rsid w:val="00581EF1"/>
    <w:rsid w:val="00582254"/>
    <w:rsid w:val="00582A44"/>
    <w:rsid w:val="00582CFD"/>
    <w:rsid w:val="00583129"/>
    <w:rsid w:val="00583B5A"/>
    <w:rsid w:val="00583C6C"/>
    <w:rsid w:val="0058444D"/>
    <w:rsid w:val="00584A31"/>
    <w:rsid w:val="00584A6D"/>
    <w:rsid w:val="00584D61"/>
    <w:rsid w:val="00585013"/>
    <w:rsid w:val="00585F6B"/>
    <w:rsid w:val="005873E6"/>
    <w:rsid w:val="00587E79"/>
    <w:rsid w:val="00590307"/>
    <w:rsid w:val="0059189A"/>
    <w:rsid w:val="00591D1B"/>
    <w:rsid w:val="00591E8C"/>
    <w:rsid w:val="00591EA1"/>
    <w:rsid w:val="00592524"/>
    <w:rsid w:val="0059269B"/>
    <w:rsid w:val="005926D4"/>
    <w:rsid w:val="00592714"/>
    <w:rsid w:val="00592838"/>
    <w:rsid w:val="00592942"/>
    <w:rsid w:val="00592FFF"/>
    <w:rsid w:val="0059354D"/>
    <w:rsid w:val="0059370D"/>
    <w:rsid w:val="0059373B"/>
    <w:rsid w:val="00593C35"/>
    <w:rsid w:val="00594290"/>
    <w:rsid w:val="005942A7"/>
    <w:rsid w:val="00594C17"/>
    <w:rsid w:val="00594D06"/>
    <w:rsid w:val="00594DAC"/>
    <w:rsid w:val="00594F7A"/>
    <w:rsid w:val="00595010"/>
    <w:rsid w:val="00595133"/>
    <w:rsid w:val="005953A4"/>
    <w:rsid w:val="0059573E"/>
    <w:rsid w:val="00595C40"/>
    <w:rsid w:val="00596100"/>
    <w:rsid w:val="005964F1"/>
    <w:rsid w:val="005967B9"/>
    <w:rsid w:val="00596AA6"/>
    <w:rsid w:val="00596D85"/>
    <w:rsid w:val="00596E28"/>
    <w:rsid w:val="005979D9"/>
    <w:rsid w:val="00597B04"/>
    <w:rsid w:val="00597FCD"/>
    <w:rsid w:val="005A075C"/>
    <w:rsid w:val="005A0784"/>
    <w:rsid w:val="005A07D6"/>
    <w:rsid w:val="005A0A53"/>
    <w:rsid w:val="005A10D9"/>
    <w:rsid w:val="005A1267"/>
    <w:rsid w:val="005A148C"/>
    <w:rsid w:val="005A1587"/>
    <w:rsid w:val="005A1AAC"/>
    <w:rsid w:val="005A1CB7"/>
    <w:rsid w:val="005A1CC3"/>
    <w:rsid w:val="005A22D5"/>
    <w:rsid w:val="005A38C4"/>
    <w:rsid w:val="005A3F68"/>
    <w:rsid w:val="005A4250"/>
    <w:rsid w:val="005A4576"/>
    <w:rsid w:val="005A47CF"/>
    <w:rsid w:val="005A4EF9"/>
    <w:rsid w:val="005A55C3"/>
    <w:rsid w:val="005A5F15"/>
    <w:rsid w:val="005A5F4F"/>
    <w:rsid w:val="005A6A33"/>
    <w:rsid w:val="005A6BE9"/>
    <w:rsid w:val="005A6D5D"/>
    <w:rsid w:val="005A77BC"/>
    <w:rsid w:val="005A7EAA"/>
    <w:rsid w:val="005A7F56"/>
    <w:rsid w:val="005B000E"/>
    <w:rsid w:val="005B03BE"/>
    <w:rsid w:val="005B0477"/>
    <w:rsid w:val="005B071B"/>
    <w:rsid w:val="005B0A08"/>
    <w:rsid w:val="005B0A66"/>
    <w:rsid w:val="005B0B4A"/>
    <w:rsid w:val="005B15DA"/>
    <w:rsid w:val="005B19B8"/>
    <w:rsid w:val="005B1B6E"/>
    <w:rsid w:val="005B1BA7"/>
    <w:rsid w:val="005B1D9A"/>
    <w:rsid w:val="005B288E"/>
    <w:rsid w:val="005B29BE"/>
    <w:rsid w:val="005B2B07"/>
    <w:rsid w:val="005B2B23"/>
    <w:rsid w:val="005B332E"/>
    <w:rsid w:val="005B34CC"/>
    <w:rsid w:val="005B387D"/>
    <w:rsid w:val="005B3954"/>
    <w:rsid w:val="005B3FBF"/>
    <w:rsid w:val="005B41AC"/>
    <w:rsid w:val="005B4343"/>
    <w:rsid w:val="005B4504"/>
    <w:rsid w:val="005B47AC"/>
    <w:rsid w:val="005B55D2"/>
    <w:rsid w:val="005B5662"/>
    <w:rsid w:val="005B56FE"/>
    <w:rsid w:val="005B597E"/>
    <w:rsid w:val="005B5A5E"/>
    <w:rsid w:val="005B5DB1"/>
    <w:rsid w:val="005B60AB"/>
    <w:rsid w:val="005B6CC0"/>
    <w:rsid w:val="005B6D99"/>
    <w:rsid w:val="005B7407"/>
    <w:rsid w:val="005B7C73"/>
    <w:rsid w:val="005B7F0D"/>
    <w:rsid w:val="005C074B"/>
    <w:rsid w:val="005C0859"/>
    <w:rsid w:val="005C0D62"/>
    <w:rsid w:val="005C1118"/>
    <w:rsid w:val="005C1B32"/>
    <w:rsid w:val="005C1D01"/>
    <w:rsid w:val="005C25AF"/>
    <w:rsid w:val="005C2765"/>
    <w:rsid w:val="005C33DE"/>
    <w:rsid w:val="005C34EE"/>
    <w:rsid w:val="005C4460"/>
    <w:rsid w:val="005C4648"/>
    <w:rsid w:val="005C479E"/>
    <w:rsid w:val="005C4CA1"/>
    <w:rsid w:val="005C4CAB"/>
    <w:rsid w:val="005C54B4"/>
    <w:rsid w:val="005C59CD"/>
    <w:rsid w:val="005C5A88"/>
    <w:rsid w:val="005C5E9D"/>
    <w:rsid w:val="005C5F4B"/>
    <w:rsid w:val="005C6783"/>
    <w:rsid w:val="005C685C"/>
    <w:rsid w:val="005C6A27"/>
    <w:rsid w:val="005C6EA1"/>
    <w:rsid w:val="005C714A"/>
    <w:rsid w:val="005C76C3"/>
    <w:rsid w:val="005C7810"/>
    <w:rsid w:val="005C7ADF"/>
    <w:rsid w:val="005D02C7"/>
    <w:rsid w:val="005D0D05"/>
    <w:rsid w:val="005D116C"/>
    <w:rsid w:val="005D1C64"/>
    <w:rsid w:val="005D20AE"/>
    <w:rsid w:val="005D22FA"/>
    <w:rsid w:val="005D24BE"/>
    <w:rsid w:val="005D274B"/>
    <w:rsid w:val="005D2A40"/>
    <w:rsid w:val="005D2A93"/>
    <w:rsid w:val="005D2F27"/>
    <w:rsid w:val="005D35F3"/>
    <w:rsid w:val="005D39D2"/>
    <w:rsid w:val="005D3A56"/>
    <w:rsid w:val="005D3AE2"/>
    <w:rsid w:val="005D3E34"/>
    <w:rsid w:val="005D40B3"/>
    <w:rsid w:val="005D45FF"/>
    <w:rsid w:val="005D4A45"/>
    <w:rsid w:val="005D4C41"/>
    <w:rsid w:val="005D5098"/>
    <w:rsid w:val="005D511E"/>
    <w:rsid w:val="005D564B"/>
    <w:rsid w:val="005D579C"/>
    <w:rsid w:val="005D59A0"/>
    <w:rsid w:val="005D5B38"/>
    <w:rsid w:val="005D5C8B"/>
    <w:rsid w:val="005D62EE"/>
    <w:rsid w:val="005D6ADF"/>
    <w:rsid w:val="005D7346"/>
    <w:rsid w:val="005D7487"/>
    <w:rsid w:val="005D7AE7"/>
    <w:rsid w:val="005D7C55"/>
    <w:rsid w:val="005D7CB7"/>
    <w:rsid w:val="005E01E1"/>
    <w:rsid w:val="005E0ACE"/>
    <w:rsid w:val="005E101C"/>
    <w:rsid w:val="005E118E"/>
    <w:rsid w:val="005E12DA"/>
    <w:rsid w:val="005E17F9"/>
    <w:rsid w:val="005E18DE"/>
    <w:rsid w:val="005E196D"/>
    <w:rsid w:val="005E2797"/>
    <w:rsid w:val="005E376A"/>
    <w:rsid w:val="005E51BC"/>
    <w:rsid w:val="005E5323"/>
    <w:rsid w:val="005E5518"/>
    <w:rsid w:val="005E5E04"/>
    <w:rsid w:val="005E600B"/>
    <w:rsid w:val="005E60CB"/>
    <w:rsid w:val="005E612B"/>
    <w:rsid w:val="005E626E"/>
    <w:rsid w:val="005E636A"/>
    <w:rsid w:val="005E6AB4"/>
    <w:rsid w:val="005E73F5"/>
    <w:rsid w:val="005E7504"/>
    <w:rsid w:val="005E76DC"/>
    <w:rsid w:val="005E7F19"/>
    <w:rsid w:val="005F00BD"/>
    <w:rsid w:val="005F0129"/>
    <w:rsid w:val="005F016E"/>
    <w:rsid w:val="005F0717"/>
    <w:rsid w:val="005F0AB0"/>
    <w:rsid w:val="005F0ACE"/>
    <w:rsid w:val="005F0C55"/>
    <w:rsid w:val="005F0F21"/>
    <w:rsid w:val="005F14A9"/>
    <w:rsid w:val="005F1BA3"/>
    <w:rsid w:val="005F25F7"/>
    <w:rsid w:val="005F297D"/>
    <w:rsid w:val="005F2B9B"/>
    <w:rsid w:val="005F3C3E"/>
    <w:rsid w:val="005F3EA0"/>
    <w:rsid w:val="005F40D0"/>
    <w:rsid w:val="005F454B"/>
    <w:rsid w:val="005F4CCA"/>
    <w:rsid w:val="005F508B"/>
    <w:rsid w:val="005F5B23"/>
    <w:rsid w:val="005F6004"/>
    <w:rsid w:val="005F6551"/>
    <w:rsid w:val="00600428"/>
    <w:rsid w:val="00600916"/>
    <w:rsid w:val="00600B67"/>
    <w:rsid w:val="00600C85"/>
    <w:rsid w:val="00600D32"/>
    <w:rsid w:val="006013ED"/>
    <w:rsid w:val="006016C1"/>
    <w:rsid w:val="006018D4"/>
    <w:rsid w:val="00601913"/>
    <w:rsid w:val="00601BBF"/>
    <w:rsid w:val="00602380"/>
    <w:rsid w:val="00602521"/>
    <w:rsid w:val="0060257C"/>
    <w:rsid w:val="0060273B"/>
    <w:rsid w:val="00603384"/>
    <w:rsid w:val="0060382D"/>
    <w:rsid w:val="0060384D"/>
    <w:rsid w:val="00603CC2"/>
    <w:rsid w:val="00603E70"/>
    <w:rsid w:val="00604018"/>
    <w:rsid w:val="0060479A"/>
    <w:rsid w:val="00604C7E"/>
    <w:rsid w:val="006055E6"/>
    <w:rsid w:val="006059BB"/>
    <w:rsid w:val="00605BF2"/>
    <w:rsid w:val="0060612C"/>
    <w:rsid w:val="006063AC"/>
    <w:rsid w:val="00606562"/>
    <w:rsid w:val="00606648"/>
    <w:rsid w:val="00606AC1"/>
    <w:rsid w:val="00606B0E"/>
    <w:rsid w:val="00607045"/>
    <w:rsid w:val="006079A6"/>
    <w:rsid w:val="00607E52"/>
    <w:rsid w:val="00607FBA"/>
    <w:rsid w:val="0061014A"/>
    <w:rsid w:val="006103DE"/>
    <w:rsid w:val="006104E2"/>
    <w:rsid w:val="0061062B"/>
    <w:rsid w:val="00610DC6"/>
    <w:rsid w:val="0061134F"/>
    <w:rsid w:val="00611A5E"/>
    <w:rsid w:val="00611B69"/>
    <w:rsid w:val="00611BA8"/>
    <w:rsid w:val="00611C4E"/>
    <w:rsid w:val="00611CA6"/>
    <w:rsid w:val="006120CB"/>
    <w:rsid w:val="006121B2"/>
    <w:rsid w:val="0061295F"/>
    <w:rsid w:val="0061304C"/>
    <w:rsid w:val="00613993"/>
    <w:rsid w:val="006139F2"/>
    <w:rsid w:val="00613AA3"/>
    <w:rsid w:val="00613D17"/>
    <w:rsid w:val="006142D3"/>
    <w:rsid w:val="006142EF"/>
    <w:rsid w:val="006148DE"/>
    <w:rsid w:val="006156EF"/>
    <w:rsid w:val="00615EF2"/>
    <w:rsid w:val="00615FB5"/>
    <w:rsid w:val="00616A3E"/>
    <w:rsid w:val="0061735A"/>
    <w:rsid w:val="00617DA6"/>
    <w:rsid w:val="00617E22"/>
    <w:rsid w:val="00617F24"/>
    <w:rsid w:val="00620659"/>
    <w:rsid w:val="006208A8"/>
    <w:rsid w:val="006209BE"/>
    <w:rsid w:val="006209C5"/>
    <w:rsid w:val="006210DC"/>
    <w:rsid w:val="006212CB"/>
    <w:rsid w:val="0062149B"/>
    <w:rsid w:val="0062168E"/>
    <w:rsid w:val="00621EA1"/>
    <w:rsid w:val="006224B9"/>
    <w:rsid w:val="0062252F"/>
    <w:rsid w:val="00622FA5"/>
    <w:rsid w:val="00622FE8"/>
    <w:rsid w:val="006232FE"/>
    <w:rsid w:val="0062364F"/>
    <w:rsid w:val="00624048"/>
    <w:rsid w:val="0062443C"/>
    <w:rsid w:val="006246E8"/>
    <w:rsid w:val="006247E9"/>
    <w:rsid w:val="00624A78"/>
    <w:rsid w:val="00624CF7"/>
    <w:rsid w:val="00624D93"/>
    <w:rsid w:val="00624DD5"/>
    <w:rsid w:val="00624F84"/>
    <w:rsid w:val="00624FC3"/>
    <w:rsid w:val="006258FC"/>
    <w:rsid w:val="00625925"/>
    <w:rsid w:val="006267CF"/>
    <w:rsid w:val="0063006D"/>
    <w:rsid w:val="006305A0"/>
    <w:rsid w:val="00630865"/>
    <w:rsid w:val="00630ACC"/>
    <w:rsid w:val="0063167E"/>
    <w:rsid w:val="00631ABC"/>
    <w:rsid w:val="00631E0F"/>
    <w:rsid w:val="0063209D"/>
    <w:rsid w:val="006328BF"/>
    <w:rsid w:val="00632A4A"/>
    <w:rsid w:val="00633093"/>
    <w:rsid w:val="00633A20"/>
    <w:rsid w:val="00633FCB"/>
    <w:rsid w:val="0063487F"/>
    <w:rsid w:val="00634A7D"/>
    <w:rsid w:val="00634ACD"/>
    <w:rsid w:val="00634C88"/>
    <w:rsid w:val="00634F94"/>
    <w:rsid w:val="0063506B"/>
    <w:rsid w:val="0063567B"/>
    <w:rsid w:val="00635755"/>
    <w:rsid w:val="006357B1"/>
    <w:rsid w:val="00635E28"/>
    <w:rsid w:val="00635F47"/>
    <w:rsid w:val="00636436"/>
    <w:rsid w:val="0063646C"/>
    <w:rsid w:val="00636544"/>
    <w:rsid w:val="00636638"/>
    <w:rsid w:val="00636B57"/>
    <w:rsid w:val="00636DCD"/>
    <w:rsid w:val="00637250"/>
    <w:rsid w:val="00637381"/>
    <w:rsid w:val="00637454"/>
    <w:rsid w:val="00637518"/>
    <w:rsid w:val="006378EA"/>
    <w:rsid w:val="006379F8"/>
    <w:rsid w:val="00637B8F"/>
    <w:rsid w:val="0064091F"/>
    <w:rsid w:val="00640998"/>
    <w:rsid w:val="00640B04"/>
    <w:rsid w:val="0064112A"/>
    <w:rsid w:val="00641269"/>
    <w:rsid w:val="00641382"/>
    <w:rsid w:val="0064139B"/>
    <w:rsid w:val="006417C1"/>
    <w:rsid w:val="006417E7"/>
    <w:rsid w:val="006418B2"/>
    <w:rsid w:val="00641AE6"/>
    <w:rsid w:val="00641CA6"/>
    <w:rsid w:val="00641E80"/>
    <w:rsid w:val="00641EBE"/>
    <w:rsid w:val="00642369"/>
    <w:rsid w:val="006430EC"/>
    <w:rsid w:val="0064321B"/>
    <w:rsid w:val="006434DA"/>
    <w:rsid w:val="0064420E"/>
    <w:rsid w:val="00644ABA"/>
    <w:rsid w:val="00644E9A"/>
    <w:rsid w:val="0064502B"/>
    <w:rsid w:val="00645420"/>
    <w:rsid w:val="00645A24"/>
    <w:rsid w:val="00645AB8"/>
    <w:rsid w:val="00645DD2"/>
    <w:rsid w:val="00645F1B"/>
    <w:rsid w:val="0064617F"/>
    <w:rsid w:val="00646AA8"/>
    <w:rsid w:val="00646BC4"/>
    <w:rsid w:val="00646D0F"/>
    <w:rsid w:val="00646D95"/>
    <w:rsid w:val="006472D8"/>
    <w:rsid w:val="006479E8"/>
    <w:rsid w:val="00647EF5"/>
    <w:rsid w:val="00650015"/>
    <w:rsid w:val="00650711"/>
    <w:rsid w:val="006507E1"/>
    <w:rsid w:val="00650BF9"/>
    <w:rsid w:val="00650CF5"/>
    <w:rsid w:val="006513C9"/>
    <w:rsid w:val="0065160A"/>
    <w:rsid w:val="006516FF"/>
    <w:rsid w:val="00651884"/>
    <w:rsid w:val="00651979"/>
    <w:rsid w:val="006524EE"/>
    <w:rsid w:val="006529CE"/>
    <w:rsid w:val="00652CD0"/>
    <w:rsid w:val="0065355B"/>
    <w:rsid w:val="0065371E"/>
    <w:rsid w:val="0065389C"/>
    <w:rsid w:val="006539E0"/>
    <w:rsid w:val="00654093"/>
    <w:rsid w:val="00654096"/>
    <w:rsid w:val="0065456C"/>
    <w:rsid w:val="00654C99"/>
    <w:rsid w:val="00654D50"/>
    <w:rsid w:val="00654FD5"/>
    <w:rsid w:val="00655368"/>
    <w:rsid w:val="00655433"/>
    <w:rsid w:val="0065546F"/>
    <w:rsid w:val="00655ACF"/>
    <w:rsid w:val="00655B87"/>
    <w:rsid w:val="00655EB2"/>
    <w:rsid w:val="0065649C"/>
    <w:rsid w:val="006569EB"/>
    <w:rsid w:val="00656E11"/>
    <w:rsid w:val="0065702C"/>
    <w:rsid w:val="00657359"/>
    <w:rsid w:val="0065769B"/>
    <w:rsid w:val="00657A70"/>
    <w:rsid w:val="00657C0D"/>
    <w:rsid w:val="00657E5C"/>
    <w:rsid w:val="006600FF"/>
    <w:rsid w:val="00660199"/>
    <w:rsid w:val="00660353"/>
    <w:rsid w:val="0066048B"/>
    <w:rsid w:val="0066108D"/>
    <w:rsid w:val="00661283"/>
    <w:rsid w:val="00661A92"/>
    <w:rsid w:val="00661FA6"/>
    <w:rsid w:val="00662404"/>
    <w:rsid w:val="006624FC"/>
    <w:rsid w:val="00662A55"/>
    <w:rsid w:val="00662D3E"/>
    <w:rsid w:val="00662ECF"/>
    <w:rsid w:val="00663CB9"/>
    <w:rsid w:val="00663FED"/>
    <w:rsid w:val="0066438D"/>
    <w:rsid w:val="00664580"/>
    <w:rsid w:val="0066521E"/>
    <w:rsid w:val="00665335"/>
    <w:rsid w:val="00665847"/>
    <w:rsid w:val="00665EC3"/>
    <w:rsid w:val="00665F0E"/>
    <w:rsid w:val="006664E5"/>
    <w:rsid w:val="00666C1C"/>
    <w:rsid w:val="00666EBD"/>
    <w:rsid w:val="00667501"/>
    <w:rsid w:val="00667E32"/>
    <w:rsid w:val="0067052B"/>
    <w:rsid w:val="006705D1"/>
    <w:rsid w:val="006705D2"/>
    <w:rsid w:val="006706A2"/>
    <w:rsid w:val="006709CC"/>
    <w:rsid w:val="00670EC1"/>
    <w:rsid w:val="00671068"/>
    <w:rsid w:val="0067135A"/>
    <w:rsid w:val="00671DB8"/>
    <w:rsid w:val="006723E0"/>
    <w:rsid w:val="00672E19"/>
    <w:rsid w:val="00673151"/>
    <w:rsid w:val="0067351A"/>
    <w:rsid w:val="00673821"/>
    <w:rsid w:val="00673C24"/>
    <w:rsid w:val="00673CF4"/>
    <w:rsid w:val="006744A4"/>
    <w:rsid w:val="006744A8"/>
    <w:rsid w:val="00674960"/>
    <w:rsid w:val="006749BC"/>
    <w:rsid w:val="00674AFB"/>
    <w:rsid w:val="006750FF"/>
    <w:rsid w:val="006751E6"/>
    <w:rsid w:val="00675ABA"/>
    <w:rsid w:val="0067626E"/>
    <w:rsid w:val="0067658C"/>
    <w:rsid w:val="00676870"/>
    <w:rsid w:val="006769DE"/>
    <w:rsid w:val="00676CCD"/>
    <w:rsid w:val="00676F9C"/>
    <w:rsid w:val="0067703D"/>
    <w:rsid w:val="006771D5"/>
    <w:rsid w:val="006772E8"/>
    <w:rsid w:val="00680062"/>
    <w:rsid w:val="0068024C"/>
    <w:rsid w:val="00681133"/>
    <w:rsid w:val="0068120E"/>
    <w:rsid w:val="00681339"/>
    <w:rsid w:val="006814A8"/>
    <w:rsid w:val="00681ABF"/>
    <w:rsid w:val="00681D5C"/>
    <w:rsid w:val="00681E35"/>
    <w:rsid w:val="0068244B"/>
    <w:rsid w:val="006824BE"/>
    <w:rsid w:val="0068264A"/>
    <w:rsid w:val="00682897"/>
    <w:rsid w:val="00682D23"/>
    <w:rsid w:val="00682E88"/>
    <w:rsid w:val="00683162"/>
    <w:rsid w:val="00683361"/>
    <w:rsid w:val="006838B1"/>
    <w:rsid w:val="00683A65"/>
    <w:rsid w:val="00683FF5"/>
    <w:rsid w:val="0068486C"/>
    <w:rsid w:val="00684C07"/>
    <w:rsid w:val="00684F2F"/>
    <w:rsid w:val="006854C7"/>
    <w:rsid w:val="006854CA"/>
    <w:rsid w:val="00685BC1"/>
    <w:rsid w:val="00685E04"/>
    <w:rsid w:val="00685E25"/>
    <w:rsid w:val="00685EEB"/>
    <w:rsid w:val="00685F6C"/>
    <w:rsid w:val="00686506"/>
    <w:rsid w:val="00686600"/>
    <w:rsid w:val="0068698A"/>
    <w:rsid w:val="00686D2F"/>
    <w:rsid w:val="0068726E"/>
    <w:rsid w:val="00687836"/>
    <w:rsid w:val="006906C6"/>
    <w:rsid w:val="00690D91"/>
    <w:rsid w:val="00691342"/>
    <w:rsid w:val="00691530"/>
    <w:rsid w:val="006915CF"/>
    <w:rsid w:val="006918F7"/>
    <w:rsid w:val="00692574"/>
    <w:rsid w:val="006925DA"/>
    <w:rsid w:val="00692905"/>
    <w:rsid w:val="00692E80"/>
    <w:rsid w:val="00692FA7"/>
    <w:rsid w:val="006931F5"/>
    <w:rsid w:val="006937BC"/>
    <w:rsid w:val="006939E0"/>
    <w:rsid w:val="00694440"/>
    <w:rsid w:val="0069482B"/>
    <w:rsid w:val="006949FE"/>
    <w:rsid w:val="00694D4F"/>
    <w:rsid w:val="00695150"/>
    <w:rsid w:val="006953D5"/>
    <w:rsid w:val="006955CC"/>
    <w:rsid w:val="006955D5"/>
    <w:rsid w:val="00695871"/>
    <w:rsid w:val="006959A1"/>
    <w:rsid w:val="0069656B"/>
    <w:rsid w:val="00697E55"/>
    <w:rsid w:val="00697F4E"/>
    <w:rsid w:val="00697F52"/>
    <w:rsid w:val="006A00D6"/>
    <w:rsid w:val="006A0A52"/>
    <w:rsid w:val="006A0AB6"/>
    <w:rsid w:val="006A118B"/>
    <w:rsid w:val="006A1398"/>
    <w:rsid w:val="006A1562"/>
    <w:rsid w:val="006A1D9E"/>
    <w:rsid w:val="006A1DF5"/>
    <w:rsid w:val="006A2609"/>
    <w:rsid w:val="006A2CF7"/>
    <w:rsid w:val="006A31C4"/>
    <w:rsid w:val="006A360B"/>
    <w:rsid w:val="006A3908"/>
    <w:rsid w:val="006A3B43"/>
    <w:rsid w:val="006A4051"/>
    <w:rsid w:val="006A411C"/>
    <w:rsid w:val="006A47BA"/>
    <w:rsid w:val="006A4D57"/>
    <w:rsid w:val="006A50C3"/>
    <w:rsid w:val="006A563D"/>
    <w:rsid w:val="006A5952"/>
    <w:rsid w:val="006A5F59"/>
    <w:rsid w:val="006A62BB"/>
    <w:rsid w:val="006A6320"/>
    <w:rsid w:val="006A6869"/>
    <w:rsid w:val="006A76FA"/>
    <w:rsid w:val="006B036B"/>
    <w:rsid w:val="006B10DC"/>
    <w:rsid w:val="006B1966"/>
    <w:rsid w:val="006B1CBB"/>
    <w:rsid w:val="006B2883"/>
    <w:rsid w:val="006B297E"/>
    <w:rsid w:val="006B2B86"/>
    <w:rsid w:val="006B3168"/>
    <w:rsid w:val="006B31A4"/>
    <w:rsid w:val="006B320B"/>
    <w:rsid w:val="006B344B"/>
    <w:rsid w:val="006B3901"/>
    <w:rsid w:val="006B3A04"/>
    <w:rsid w:val="006B3A7D"/>
    <w:rsid w:val="006B3D61"/>
    <w:rsid w:val="006B4D54"/>
    <w:rsid w:val="006B4D6D"/>
    <w:rsid w:val="006B52D9"/>
    <w:rsid w:val="006B53A6"/>
    <w:rsid w:val="006B54AA"/>
    <w:rsid w:val="006B570F"/>
    <w:rsid w:val="006B5862"/>
    <w:rsid w:val="006B59BE"/>
    <w:rsid w:val="006B5D03"/>
    <w:rsid w:val="006B5EC1"/>
    <w:rsid w:val="006B5F67"/>
    <w:rsid w:val="006B60EC"/>
    <w:rsid w:val="006B61F4"/>
    <w:rsid w:val="006B69E8"/>
    <w:rsid w:val="006B6A87"/>
    <w:rsid w:val="006B7243"/>
    <w:rsid w:val="006B7585"/>
    <w:rsid w:val="006C05AC"/>
    <w:rsid w:val="006C0640"/>
    <w:rsid w:val="006C0E65"/>
    <w:rsid w:val="006C11F9"/>
    <w:rsid w:val="006C18E9"/>
    <w:rsid w:val="006C1C65"/>
    <w:rsid w:val="006C23F7"/>
    <w:rsid w:val="006C24E1"/>
    <w:rsid w:val="006C272E"/>
    <w:rsid w:val="006C2828"/>
    <w:rsid w:val="006C2ECA"/>
    <w:rsid w:val="006C2FC9"/>
    <w:rsid w:val="006C3647"/>
    <w:rsid w:val="006C38C4"/>
    <w:rsid w:val="006C3A85"/>
    <w:rsid w:val="006C3BA4"/>
    <w:rsid w:val="006C3F0D"/>
    <w:rsid w:val="006C5A73"/>
    <w:rsid w:val="006C5D67"/>
    <w:rsid w:val="006C5DD3"/>
    <w:rsid w:val="006C5EAB"/>
    <w:rsid w:val="006C6657"/>
    <w:rsid w:val="006C6AA6"/>
    <w:rsid w:val="006C6F99"/>
    <w:rsid w:val="006C718C"/>
    <w:rsid w:val="006C7511"/>
    <w:rsid w:val="006C75E4"/>
    <w:rsid w:val="006C7965"/>
    <w:rsid w:val="006C79AE"/>
    <w:rsid w:val="006C7B32"/>
    <w:rsid w:val="006D00ED"/>
    <w:rsid w:val="006D01B3"/>
    <w:rsid w:val="006D1AE8"/>
    <w:rsid w:val="006D1B69"/>
    <w:rsid w:val="006D1D9B"/>
    <w:rsid w:val="006D1F7A"/>
    <w:rsid w:val="006D243F"/>
    <w:rsid w:val="006D2CEE"/>
    <w:rsid w:val="006D2E05"/>
    <w:rsid w:val="006D30DD"/>
    <w:rsid w:val="006D4015"/>
    <w:rsid w:val="006D4037"/>
    <w:rsid w:val="006D438B"/>
    <w:rsid w:val="006D439E"/>
    <w:rsid w:val="006D4632"/>
    <w:rsid w:val="006D4BEF"/>
    <w:rsid w:val="006D4FDE"/>
    <w:rsid w:val="006D4FE6"/>
    <w:rsid w:val="006D50F1"/>
    <w:rsid w:val="006D55EE"/>
    <w:rsid w:val="006D57F0"/>
    <w:rsid w:val="006D5C20"/>
    <w:rsid w:val="006D5C96"/>
    <w:rsid w:val="006D5CA1"/>
    <w:rsid w:val="006D5F8B"/>
    <w:rsid w:val="006D642C"/>
    <w:rsid w:val="006D6D57"/>
    <w:rsid w:val="006D7235"/>
    <w:rsid w:val="006D733E"/>
    <w:rsid w:val="006E01FD"/>
    <w:rsid w:val="006E0385"/>
    <w:rsid w:val="006E03A0"/>
    <w:rsid w:val="006E04FA"/>
    <w:rsid w:val="006E068B"/>
    <w:rsid w:val="006E0693"/>
    <w:rsid w:val="006E0834"/>
    <w:rsid w:val="006E0C11"/>
    <w:rsid w:val="006E0DE0"/>
    <w:rsid w:val="006E1050"/>
    <w:rsid w:val="006E1466"/>
    <w:rsid w:val="006E277A"/>
    <w:rsid w:val="006E2E38"/>
    <w:rsid w:val="006E3948"/>
    <w:rsid w:val="006E39D1"/>
    <w:rsid w:val="006E3C0E"/>
    <w:rsid w:val="006E3EC7"/>
    <w:rsid w:val="006E4422"/>
    <w:rsid w:val="006E4AAE"/>
    <w:rsid w:val="006E51AE"/>
    <w:rsid w:val="006E54C8"/>
    <w:rsid w:val="006E5A5A"/>
    <w:rsid w:val="006E60BB"/>
    <w:rsid w:val="006E6EE6"/>
    <w:rsid w:val="006E722E"/>
    <w:rsid w:val="006E744F"/>
    <w:rsid w:val="006E77C1"/>
    <w:rsid w:val="006E79F6"/>
    <w:rsid w:val="006F0124"/>
    <w:rsid w:val="006F089A"/>
    <w:rsid w:val="006F08F0"/>
    <w:rsid w:val="006F0993"/>
    <w:rsid w:val="006F0EF5"/>
    <w:rsid w:val="006F0F86"/>
    <w:rsid w:val="006F1352"/>
    <w:rsid w:val="006F171F"/>
    <w:rsid w:val="006F1F53"/>
    <w:rsid w:val="006F238D"/>
    <w:rsid w:val="006F2547"/>
    <w:rsid w:val="006F255D"/>
    <w:rsid w:val="006F287C"/>
    <w:rsid w:val="006F2980"/>
    <w:rsid w:val="006F2DFD"/>
    <w:rsid w:val="006F3017"/>
    <w:rsid w:val="006F3367"/>
    <w:rsid w:val="006F3A05"/>
    <w:rsid w:val="006F3BCD"/>
    <w:rsid w:val="006F3BE8"/>
    <w:rsid w:val="006F3C55"/>
    <w:rsid w:val="006F3D2B"/>
    <w:rsid w:val="006F43EA"/>
    <w:rsid w:val="006F441F"/>
    <w:rsid w:val="006F4663"/>
    <w:rsid w:val="006F4A36"/>
    <w:rsid w:val="006F4C2E"/>
    <w:rsid w:val="006F6010"/>
    <w:rsid w:val="006F60D8"/>
    <w:rsid w:val="006F6277"/>
    <w:rsid w:val="006F651D"/>
    <w:rsid w:val="006F684B"/>
    <w:rsid w:val="006F69CC"/>
    <w:rsid w:val="006F728D"/>
    <w:rsid w:val="006F7538"/>
    <w:rsid w:val="006F7AF9"/>
    <w:rsid w:val="006F7F64"/>
    <w:rsid w:val="007001AD"/>
    <w:rsid w:val="007004FB"/>
    <w:rsid w:val="007006B4"/>
    <w:rsid w:val="0070080D"/>
    <w:rsid w:val="00700B21"/>
    <w:rsid w:val="00700D08"/>
    <w:rsid w:val="00700D47"/>
    <w:rsid w:val="00700DA9"/>
    <w:rsid w:val="00701087"/>
    <w:rsid w:val="00701352"/>
    <w:rsid w:val="00701D19"/>
    <w:rsid w:val="00701FED"/>
    <w:rsid w:val="0070210F"/>
    <w:rsid w:val="00702401"/>
    <w:rsid w:val="00702571"/>
    <w:rsid w:val="00702A9C"/>
    <w:rsid w:val="00702B17"/>
    <w:rsid w:val="0070373B"/>
    <w:rsid w:val="0070387C"/>
    <w:rsid w:val="0070389F"/>
    <w:rsid w:val="007039A3"/>
    <w:rsid w:val="00703CCC"/>
    <w:rsid w:val="007042A5"/>
    <w:rsid w:val="0070447C"/>
    <w:rsid w:val="00705737"/>
    <w:rsid w:val="007067B7"/>
    <w:rsid w:val="00706815"/>
    <w:rsid w:val="00706929"/>
    <w:rsid w:val="00706F45"/>
    <w:rsid w:val="00707293"/>
    <w:rsid w:val="007100CB"/>
    <w:rsid w:val="007102D8"/>
    <w:rsid w:val="00710341"/>
    <w:rsid w:val="00710A94"/>
    <w:rsid w:val="00711100"/>
    <w:rsid w:val="00711AE8"/>
    <w:rsid w:val="00711BE3"/>
    <w:rsid w:val="00711DBE"/>
    <w:rsid w:val="007124A2"/>
    <w:rsid w:val="00712801"/>
    <w:rsid w:val="00713199"/>
    <w:rsid w:val="00713B82"/>
    <w:rsid w:val="00713BFC"/>
    <w:rsid w:val="00713C55"/>
    <w:rsid w:val="007148DF"/>
    <w:rsid w:val="00714B4A"/>
    <w:rsid w:val="00714CD0"/>
    <w:rsid w:val="00714DBD"/>
    <w:rsid w:val="00714DDD"/>
    <w:rsid w:val="00714F2C"/>
    <w:rsid w:val="00715562"/>
    <w:rsid w:val="0071596E"/>
    <w:rsid w:val="00715CB5"/>
    <w:rsid w:val="00715CC9"/>
    <w:rsid w:val="00715D6B"/>
    <w:rsid w:val="00716774"/>
    <w:rsid w:val="00716C55"/>
    <w:rsid w:val="00716C94"/>
    <w:rsid w:val="00716E0E"/>
    <w:rsid w:val="00717139"/>
    <w:rsid w:val="007172E6"/>
    <w:rsid w:val="007172EF"/>
    <w:rsid w:val="0071744C"/>
    <w:rsid w:val="007176A0"/>
    <w:rsid w:val="00717759"/>
    <w:rsid w:val="0072040D"/>
    <w:rsid w:val="00720681"/>
    <w:rsid w:val="007207DA"/>
    <w:rsid w:val="0072156D"/>
    <w:rsid w:val="007216BD"/>
    <w:rsid w:val="007217D4"/>
    <w:rsid w:val="00721F8B"/>
    <w:rsid w:val="00721FA6"/>
    <w:rsid w:val="0072207C"/>
    <w:rsid w:val="00722556"/>
    <w:rsid w:val="0072259F"/>
    <w:rsid w:val="00722861"/>
    <w:rsid w:val="00722D9D"/>
    <w:rsid w:val="00722E0E"/>
    <w:rsid w:val="007233EE"/>
    <w:rsid w:val="007238DC"/>
    <w:rsid w:val="00724799"/>
    <w:rsid w:val="00725520"/>
    <w:rsid w:val="00725E89"/>
    <w:rsid w:val="00725F21"/>
    <w:rsid w:val="0072608D"/>
    <w:rsid w:val="007260AC"/>
    <w:rsid w:val="00726345"/>
    <w:rsid w:val="00726CC9"/>
    <w:rsid w:val="00726D4F"/>
    <w:rsid w:val="00727676"/>
    <w:rsid w:val="00727947"/>
    <w:rsid w:val="0073040C"/>
    <w:rsid w:val="00730628"/>
    <w:rsid w:val="0073098B"/>
    <w:rsid w:val="00730DF0"/>
    <w:rsid w:val="0073115E"/>
    <w:rsid w:val="00731441"/>
    <w:rsid w:val="00731723"/>
    <w:rsid w:val="00731846"/>
    <w:rsid w:val="00731941"/>
    <w:rsid w:val="0073215C"/>
    <w:rsid w:val="007328EF"/>
    <w:rsid w:val="00733146"/>
    <w:rsid w:val="007331C0"/>
    <w:rsid w:val="007335A5"/>
    <w:rsid w:val="00733638"/>
    <w:rsid w:val="0073388D"/>
    <w:rsid w:val="00733E59"/>
    <w:rsid w:val="00733F24"/>
    <w:rsid w:val="00733F3E"/>
    <w:rsid w:val="007344CF"/>
    <w:rsid w:val="007344E0"/>
    <w:rsid w:val="007345BF"/>
    <w:rsid w:val="0073473B"/>
    <w:rsid w:val="00734BD9"/>
    <w:rsid w:val="00734D36"/>
    <w:rsid w:val="00734F92"/>
    <w:rsid w:val="00735157"/>
    <w:rsid w:val="00735C02"/>
    <w:rsid w:val="00735E28"/>
    <w:rsid w:val="00736706"/>
    <w:rsid w:val="00737286"/>
    <w:rsid w:val="00737CA8"/>
    <w:rsid w:val="00737F1C"/>
    <w:rsid w:val="0074023F"/>
    <w:rsid w:val="00740C0F"/>
    <w:rsid w:val="007412EF"/>
    <w:rsid w:val="00741682"/>
    <w:rsid w:val="0074194B"/>
    <w:rsid w:val="00741BFF"/>
    <w:rsid w:val="0074234A"/>
    <w:rsid w:val="00742500"/>
    <w:rsid w:val="00742625"/>
    <w:rsid w:val="00742704"/>
    <w:rsid w:val="007429D9"/>
    <w:rsid w:val="00742B43"/>
    <w:rsid w:val="00742BB2"/>
    <w:rsid w:val="00742FF7"/>
    <w:rsid w:val="007430BF"/>
    <w:rsid w:val="007432EA"/>
    <w:rsid w:val="007436D5"/>
    <w:rsid w:val="00743E57"/>
    <w:rsid w:val="007445C5"/>
    <w:rsid w:val="007446BE"/>
    <w:rsid w:val="00744DD2"/>
    <w:rsid w:val="00744F26"/>
    <w:rsid w:val="007450D5"/>
    <w:rsid w:val="0074543B"/>
    <w:rsid w:val="00745518"/>
    <w:rsid w:val="00745656"/>
    <w:rsid w:val="007456FD"/>
    <w:rsid w:val="00745CD7"/>
    <w:rsid w:val="007462E3"/>
    <w:rsid w:val="0074693A"/>
    <w:rsid w:val="007469AA"/>
    <w:rsid w:val="00746B48"/>
    <w:rsid w:val="00747097"/>
    <w:rsid w:val="007472F1"/>
    <w:rsid w:val="007473F4"/>
    <w:rsid w:val="007473F5"/>
    <w:rsid w:val="007475F4"/>
    <w:rsid w:val="00747620"/>
    <w:rsid w:val="00747783"/>
    <w:rsid w:val="007479F3"/>
    <w:rsid w:val="00750571"/>
    <w:rsid w:val="0075091F"/>
    <w:rsid w:val="00750AC6"/>
    <w:rsid w:val="00751514"/>
    <w:rsid w:val="007516F9"/>
    <w:rsid w:val="00751D78"/>
    <w:rsid w:val="00751D7C"/>
    <w:rsid w:val="0075225D"/>
    <w:rsid w:val="007525AE"/>
    <w:rsid w:val="00753475"/>
    <w:rsid w:val="00753627"/>
    <w:rsid w:val="007539A7"/>
    <w:rsid w:val="00753E88"/>
    <w:rsid w:val="00754137"/>
    <w:rsid w:val="0075430F"/>
    <w:rsid w:val="00754CC3"/>
    <w:rsid w:val="007552E6"/>
    <w:rsid w:val="00755FFD"/>
    <w:rsid w:val="00756560"/>
    <w:rsid w:val="00757656"/>
    <w:rsid w:val="0075770B"/>
    <w:rsid w:val="00757C99"/>
    <w:rsid w:val="00757CBA"/>
    <w:rsid w:val="00757D18"/>
    <w:rsid w:val="00757F6B"/>
    <w:rsid w:val="00760292"/>
    <w:rsid w:val="0076075D"/>
    <w:rsid w:val="007611C7"/>
    <w:rsid w:val="00761D69"/>
    <w:rsid w:val="00762090"/>
    <w:rsid w:val="007620C0"/>
    <w:rsid w:val="007622AC"/>
    <w:rsid w:val="00762815"/>
    <w:rsid w:val="00762D01"/>
    <w:rsid w:val="00763212"/>
    <w:rsid w:val="007633AB"/>
    <w:rsid w:val="0076356B"/>
    <w:rsid w:val="0076379F"/>
    <w:rsid w:val="00763E94"/>
    <w:rsid w:val="00763F99"/>
    <w:rsid w:val="00763FBD"/>
    <w:rsid w:val="007641DB"/>
    <w:rsid w:val="007646FC"/>
    <w:rsid w:val="00764720"/>
    <w:rsid w:val="007648A8"/>
    <w:rsid w:val="00764A32"/>
    <w:rsid w:val="00764B62"/>
    <w:rsid w:val="00765296"/>
    <w:rsid w:val="0076537B"/>
    <w:rsid w:val="00766306"/>
    <w:rsid w:val="00766668"/>
    <w:rsid w:val="00766B53"/>
    <w:rsid w:val="00766FA7"/>
    <w:rsid w:val="007671C6"/>
    <w:rsid w:val="007672BF"/>
    <w:rsid w:val="007673E5"/>
    <w:rsid w:val="007673EE"/>
    <w:rsid w:val="00767441"/>
    <w:rsid w:val="00767AEF"/>
    <w:rsid w:val="00767B83"/>
    <w:rsid w:val="00767DF3"/>
    <w:rsid w:val="00770005"/>
    <w:rsid w:val="0077010C"/>
    <w:rsid w:val="00770413"/>
    <w:rsid w:val="00770510"/>
    <w:rsid w:val="00770EB5"/>
    <w:rsid w:val="00770F4F"/>
    <w:rsid w:val="00770F71"/>
    <w:rsid w:val="00770FDB"/>
    <w:rsid w:val="007710D9"/>
    <w:rsid w:val="0077122F"/>
    <w:rsid w:val="007713B0"/>
    <w:rsid w:val="00771A1A"/>
    <w:rsid w:val="00772ADB"/>
    <w:rsid w:val="00772B0A"/>
    <w:rsid w:val="00772C93"/>
    <w:rsid w:val="00772E1F"/>
    <w:rsid w:val="00772F8B"/>
    <w:rsid w:val="007730CC"/>
    <w:rsid w:val="0077401E"/>
    <w:rsid w:val="00774583"/>
    <w:rsid w:val="007749BF"/>
    <w:rsid w:val="00774B34"/>
    <w:rsid w:val="00774CA5"/>
    <w:rsid w:val="0077582D"/>
    <w:rsid w:val="0077621C"/>
    <w:rsid w:val="007765E8"/>
    <w:rsid w:val="0077687D"/>
    <w:rsid w:val="00776E8C"/>
    <w:rsid w:val="007772AC"/>
    <w:rsid w:val="00777A8B"/>
    <w:rsid w:val="00777C66"/>
    <w:rsid w:val="007800B4"/>
    <w:rsid w:val="0078043C"/>
    <w:rsid w:val="007805D9"/>
    <w:rsid w:val="0078097C"/>
    <w:rsid w:val="0078099F"/>
    <w:rsid w:val="00780F70"/>
    <w:rsid w:val="00781171"/>
    <w:rsid w:val="007815A1"/>
    <w:rsid w:val="00781EF6"/>
    <w:rsid w:val="00781F79"/>
    <w:rsid w:val="0078226C"/>
    <w:rsid w:val="00782692"/>
    <w:rsid w:val="0078346E"/>
    <w:rsid w:val="0078384B"/>
    <w:rsid w:val="00784AC0"/>
    <w:rsid w:val="00785156"/>
    <w:rsid w:val="00785179"/>
    <w:rsid w:val="00785C57"/>
    <w:rsid w:val="00785EC0"/>
    <w:rsid w:val="00785FB6"/>
    <w:rsid w:val="00786386"/>
    <w:rsid w:val="007864C0"/>
    <w:rsid w:val="00786A47"/>
    <w:rsid w:val="00786E60"/>
    <w:rsid w:val="00786EA0"/>
    <w:rsid w:val="007877E8"/>
    <w:rsid w:val="00787954"/>
    <w:rsid w:val="00787BB0"/>
    <w:rsid w:val="00790981"/>
    <w:rsid w:val="00790CCE"/>
    <w:rsid w:val="00790F3B"/>
    <w:rsid w:val="00790FF6"/>
    <w:rsid w:val="00791880"/>
    <w:rsid w:val="00791911"/>
    <w:rsid w:val="00791A19"/>
    <w:rsid w:val="00791C9F"/>
    <w:rsid w:val="0079204C"/>
    <w:rsid w:val="0079205E"/>
    <w:rsid w:val="0079225B"/>
    <w:rsid w:val="0079255F"/>
    <w:rsid w:val="00793024"/>
    <w:rsid w:val="0079306A"/>
    <w:rsid w:val="0079377A"/>
    <w:rsid w:val="00793A0B"/>
    <w:rsid w:val="00793A31"/>
    <w:rsid w:val="00793C4C"/>
    <w:rsid w:val="00793CC4"/>
    <w:rsid w:val="007941C7"/>
    <w:rsid w:val="007943E1"/>
    <w:rsid w:val="007946D3"/>
    <w:rsid w:val="00794877"/>
    <w:rsid w:val="007948CD"/>
    <w:rsid w:val="00795185"/>
    <w:rsid w:val="007953D3"/>
    <w:rsid w:val="00795848"/>
    <w:rsid w:val="007959B6"/>
    <w:rsid w:val="00795A1B"/>
    <w:rsid w:val="00795B37"/>
    <w:rsid w:val="00795B6F"/>
    <w:rsid w:val="007968A1"/>
    <w:rsid w:val="00796ADB"/>
    <w:rsid w:val="00796CE5"/>
    <w:rsid w:val="00796E07"/>
    <w:rsid w:val="00797794"/>
    <w:rsid w:val="00797B9B"/>
    <w:rsid w:val="00797D81"/>
    <w:rsid w:val="007A0227"/>
    <w:rsid w:val="007A04ED"/>
    <w:rsid w:val="007A0D94"/>
    <w:rsid w:val="007A0F41"/>
    <w:rsid w:val="007A11AA"/>
    <w:rsid w:val="007A1236"/>
    <w:rsid w:val="007A1258"/>
    <w:rsid w:val="007A1758"/>
    <w:rsid w:val="007A1800"/>
    <w:rsid w:val="007A1A6E"/>
    <w:rsid w:val="007A1AC6"/>
    <w:rsid w:val="007A1F3D"/>
    <w:rsid w:val="007A25CC"/>
    <w:rsid w:val="007A25FA"/>
    <w:rsid w:val="007A282B"/>
    <w:rsid w:val="007A2AD5"/>
    <w:rsid w:val="007A3042"/>
    <w:rsid w:val="007A3201"/>
    <w:rsid w:val="007A32B0"/>
    <w:rsid w:val="007A3E22"/>
    <w:rsid w:val="007A4689"/>
    <w:rsid w:val="007A4B72"/>
    <w:rsid w:val="007A4BC2"/>
    <w:rsid w:val="007A526D"/>
    <w:rsid w:val="007A54A2"/>
    <w:rsid w:val="007A5E6A"/>
    <w:rsid w:val="007A5FEF"/>
    <w:rsid w:val="007A7307"/>
    <w:rsid w:val="007A73D2"/>
    <w:rsid w:val="007A7B47"/>
    <w:rsid w:val="007A7BB3"/>
    <w:rsid w:val="007A7E47"/>
    <w:rsid w:val="007A7E98"/>
    <w:rsid w:val="007B00B4"/>
    <w:rsid w:val="007B02BA"/>
    <w:rsid w:val="007B07EB"/>
    <w:rsid w:val="007B09E0"/>
    <w:rsid w:val="007B0B09"/>
    <w:rsid w:val="007B0D0F"/>
    <w:rsid w:val="007B1420"/>
    <w:rsid w:val="007B1672"/>
    <w:rsid w:val="007B17FB"/>
    <w:rsid w:val="007B19C3"/>
    <w:rsid w:val="007B1AD6"/>
    <w:rsid w:val="007B1D43"/>
    <w:rsid w:val="007B2034"/>
    <w:rsid w:val="007B248E"/>
    <w:rsid w:val="007B258F"/>
    <w:rsid w:val="007B2696"/>
    <w:rsid w:val="007B2A0A"/>
    <w:rsid w:val="007B304E"/>
    <w:rsid w:val="007B3617"/>
    <w:rsid w:val="007B3691"/>
    <w:rsid w:val="007B3983"/>
    <w:rsid w:val="007B3D69"/>
    <w:rsid w:val="007B3DCF"/>
    <w:rsid w:val="007B493B"/>
    <w:rsid w:val="007B4B97"/>
    <w:rsid w:val="007B5205"/>
    <w:rsid w:val="007B534C"/>
    <w:rsid w:val="007B56A6"/>
    <w:rsid w:val="007B59C6"/>
    <w:rsid w:val="007B5B63"/>
    <w:rsid w:val="007B5CDE"/>
    <w:rsid w:val="007B6263"/>
    <w:rsid w:val="007B6403"/>
    <w:rsid w:val="007B644C"/>
    <w:rsid w:val="007B65EE"/>
    <w:rsid w:val="007B6BBA"/>
    <w:rsid w:val="007B789C"/>
    <w:rsid w:val="007B7A8E"/>
    <w:rsid w:val="007C05BF"/>
    <w:rsid w:val="007C073D"/>
    <w:rsid w:val="007C0CA7"/>
    <w:rsid w:val="007C0DDF"/>
    <w:rsid w:val="007C101B"/>
    <w:rsid w:val="007C11F6"/>
    <w:rsid w:val="007C17E7"/>
    <w:rsid w:val="007C1ED1"/>
    <w:rsid w:val="007C226B"/>
    <w:rsid w:val="007C245A"/>
    <w:rsid w:val="007C25BD"/>
    <w:rsid w:val="007C2C46"/>
    <w:rsid w:val="007C2FD8"/>
    <w:rsid w:val="007C3A1F"/>
    <w:rsid w:val="007C3FDF"/>
    <w:rsid w:val="007C4044"/>
    <w:rsid w:val="007C4E29"/>
    <w:rsid w:val="007C5ADD"/>
    <w:rsid w:val="007C5B76"/>
    <w:rsid w:val="007C5FE5"/>
    <w:rsid w:val="007C63B3"/>
    <w:rsid w:val="007C63FF"/>
    <w:rsid w:val="007C65BB"/>
    <w:rsid w:val="007C6C4C"/>
    <w:rsid w:val="007C6D11"/>
    <w:rsid w:val="007C6DCB"/>
    <w:rsid w:val="007C6E91"/>
    <w:rsid w:val="007C6EF9"/>
    <w:rsid w:val="007C700D"/>
    <w:rsid w:val="007C741F"/>
    <w:rsid w:val="007C75E1"/>
    <w:rsid w:val="007C7954"/>
    <w:rsid w:val="007C7F9B"/>
    <w:rsid w:val="007D0559"/>
    <w:rsid w:val="007D0A47"/>
    <w:rsid w:val="007D0CB1"/>
    <w:rsid w:val="007D0E38"/>
    <w:rsid w:val="007D1395"/>
    <w:rsid w:val="007D13A5"/>
    <w:rsid w:val="007D16A1"/>
    <w:rsid w:val="007D1727"/>
    <w:rsid w:val="007D193D"/>
    <w:rsid w:val="007D22B8"/>
    <w:rsid w:val="007D2676"/>
    <w:rsid w:val="007D29EB"/>
    <w:rsid w:val="007D2CF5"/>
    <w:rsid w:val="007D33AC"/>
    <w:rsid w:val="007D3424"/>
    <w:rsid w:val="007D4361"/>
    <w:rsid w:val="007D439F"/>
    <w:rsid w:val="007D4406"/>
    <w:rsid w:val="007D470E"/>
    <w:rsid w:val="007D5259"/>
    <w:rsid w:val="007D599E"/>
    <w:rsid w:val="007D5E82"/>
    <w:rsid w:val="007D5F4F"/>
    <w:rsid w:val="007D6230"/>
    <w:rsid w:val="007D6443"/>
    <w:rsid w:val="007D6475"/>
    <w:rsid w:val="007D6644"/>
    <w:rsid w:val="007D6C0B"/>
    <w:rsid w:val="007D751A"/>
    <w:rsid w:val="007D7C18"/>
    <w:rsid w:val="007D7C41"/>
    <w:rsid w:val="007D7C70"/>
    <w:rsid w:val="007E0542"/>
    <w:rsid w:val="007E05CB"/>
    <w:rsid w:val="007E07EB"/>
    <w:rsid w:val="007E0C8D"/>
    <w:rsid w:val="007E15CC"/>
    <w:rsid w:val="007E173A"/>
    <w:rsid w:val="007E1762"/>
    <w:rsid w:val="007E1A61"/>
    <w:rsid w:val="007E1D47"/>
    <w:rsid w:val="007E28EB"/>
    <w:rsid w:val="007E2E3B"/>
    <w:rsid w:val="007E3006"/>
    <w:rsid w:val="007E3639"/>
    <w:rsid w:val="007E3DF1"/>
    <w:rsid w:val="007E40C7"/>
    <w:rsid w:val="007E43D0"/>
    <w:rsid w:val="007E492F"/>
    <w:rsid w:val="007E4CFD"/>
    <w:rsid w:val="007E4D1C"/>
    <w:rsid w:val="007E4FC5"/>
    <w:rsid w:val="007E5055"/>
    <w:rsid w:val="007E537A"/>
    <w:rsid w:val="007E5958"/>
    <w:rsid w:val="007E5D58"/>
    <w:rsid w:val="007E5FC8"/>
    <w:rsid w:val="007E67AD"/>
    <w:rsid w:val="007E6A96"/>
    <w:rsid w:val="007E6C5F"/>
    <w:rsid w:val="007E6C86"/>
    <w:rsid w:val="007E6F43"/>
    <w:rsid w:val="007E73CD"/>
    <w:rsid w:val="007E7774"/>
    <w:rsid w:val="007F0301"/>
    <w:rsid w:val="007F06CD"/>
    <w:rsid w:val="007F0719"/>
    <w:rsid w:val="007F0A9E"/>
    <w:rsid w:val="007F170B"/>
    <w:rsid w:val="007F179C"/>
    <w:rsid w:val="007F1D15"/>
    <w:rsid w:val="007F2548"/>
    <w:rsid w:val="007F25E1"/>
    <w:rsid w:val="007F279C"/>
    <w:rsid w:val="007F282A"/>
    <w:rsid w:val="007F30DB"/>
    <w:rsid w:val="007F3105"/>
    <w:rsid w:val="007F385D"/>
    <w:rsid w:val="007F3D3B"/>
    <w:rsid w:val="007F3F03"/>
    <w:rsid w:val="007F414A"/>
    <w:rsid w:val="007F4334"/>
    <w:rsid w:val="007F49F1"/>
    <w:rsid w:val="007F4B20"/>
    <w:rsid w:val="007F4D48"/>
    <w:rsid w:val="007F4DF7"/>
    <w:rsid w:val="007F5015"/>
    <w:rsid w:val="007F5336"/>
    <w:rsid w:val="007F607F"/>
    <w:rsid w:val="007F64E8"/>
    <w:rsid w:val="007F683C"/>
    <w:rsid w:val="007F68A9"/>
    <w:rsid w:val="007F6988"/>
    <w:rsid w:val="007F7902"/>
    <w:rsid w:val="007F7A58"/>
    <w:rsid w:val="008001FF"/>
    <w:rsid w:val="00800290"/>
    <w:rsid w:val="008007F5"/>
    <w:rsid w:val="00800DDB"/>
    <w:rsid w:val="00800F9B"/>
    <w:rsid w:val="008016F5"/>
    <w:rsid w:val="00801C30"/>
    <w:rsid w:val="00801DDD"/>
    <w:rsid w:val="00801E42"/>
    <w:rsid w:val="00801F02"/>
    <w:rsid w:val="00802688"/>
    <w:rsid w:val="00802976"/>
    <w:rsid w:val="00802A6B"/>
    <w:rsid w:val="00802B12"/>
    <w:rsid w:val="00802EC2"/>
    <w:rsid w:val="00802F05"/>
    <w:rsid w:val="00802FEC"/>
    <w:rsid w:val="008030FD"/>
    <w:rsid w:val="00803B2D"/>
    <w:rsid w:val="00803C0B"/>
    <w:rsid w:val="00803E0A"/>
    <w:rsid w:val="008041C7"/>
    <w:rsid w:val="008044E1"/>
    <w:rsid w:val="00804629"/>
    <w:rsid w:val="00804982"/>
    <w:rsid w:val="00804F16"/>
    <w:rsid w:val="00805C15"/>
    <w:rsid w:val="00806C8D"/>
    <w:rsid w:val="0080725C"/>
    <w:rsid w:val="0080736B"/>
    <w:rsid w:val="008075D2"/>
    <w:rsid w:val="008078A1"/>
    <w:rsid w:val="00807B9E"/>
    <w:rsid w:val="00810143"/>
    <w:rsid w:val="0081036F"/>
    <w:rsid w:val="00810665"/>
    <w:rsid w:val="00810F43"/>
    <w:rsid w:val="00811759"/>
    <w:rsid w:val="00811852"/>
    <w:rsid w:val="00811B8F"/>
    <w:rsid w:val="00811DC3"/>
    <w:rsid w:val="00812140"/>
    <w:rsid w:val="00812364"/>
    <w:rsid w:val="00812E82"/>
    <w:rsid w:val="00812F72"/>
    <w:rsid w:val="00813533"/>
    <w:rsid w:val="0081390E"/>
    <w:rsid w:val="008146F2"/>
    <w:rsid w:val="00814A4B"/>
    <w:rsid w:val="00814A4E"/>
    <w:rsid w:val="008151BA"/>
    <w:rsid w:val="00815936"/>
    <w:rsid w:val="00815EAE"/>
    <w:rsid w:val="00815FF5"/>
    <w:rsid w:val="00815FFD"/>
    <w:rsid w:val="0081659D"/>
    <w:rsid w:val="008165CC"/>
    <w:rsid w:val="00816667"/>
    <w:rsid w:val="0081685E"/>
    <w:rsid w:val="00816BE2"/>
    <w:rsid w:val="00816C96"/>
    <w:rsid w:val="0081705D"/>
    <w:rsid w:val="008171BC"/>
    <w:rsid w:val="008179E6"/>
    <w:rsid w:val="0082027C"/>
    <w:rsid w:val="00820523"/>
    <w:rsid w:val="00820928"/>
    <w:rsid w:val="00820A9A"/>
    <w:rsid w:val="00820E89"/>
    <w:rsid w:val="00821423"/>
    <w:rsid w:val="00821836"/>
    <w:rsid w:val="00821855"/>
    <w:rsid w:val="00821AFA"/>
    <w:rsid w:val="00822177"/>
    <w:rsid w:val="00822B2D"/>
    <w:rsid w:val="00822C32"/>
    <w:rsid w:val="00822E20"/>
    <w:rsid w:val="00822FD9"/>
    <w:rsid w:val="00823008"/>
    <w:rsid w:val="0082303C"/>
    <w:rsid w:val="008231AE"/>
    <w:rsid w:val="008233B5"/>
    <w:rsid w:val="0082341C"/>
    <w:rsid w:val="00823511"/>
    <w:rsid w:val="0082383F"/>
    <w:rsid w:val="00824057"/>
    <w:rsid w:val="00824149"/>
    <w:rsid w:val="008244BC"/>
    <w:rsid w:val="008255A6"/>
    <w:rsid w:val="00825A1D"/>
    <w:rsid w:val="00825F19"/>
    <w:rsid w:val="008262DB"/>
    <w:rsid w:val="008264EC"/>
    <w:rsid w:val="00827639"/>
    <w:rsid w:val="00827777"/>
    <w:rsid w:val="00827BFD"/>
    <w:rsid w:val="00827C76"/>
    <w:rsid w:val="00827F0B"/>
    <w:rsid w:val="00830035"/>
    <w:rsid w:val="00830097"/>
    <w:rsid w:val="008306BF"/>
    <w:rsid w:val="00830830"/>
    <w:rsid w:val="00831161"/>
    <w:rsid w:val="008314B0"/>
    <w:rsid w:val="00833ADA"/>
    <w:rsid w:val="00833B2D"/>
    <w:rsid w:val="008340E0"/>
    <w:rsid w:val="00834212"/>
    <w:rsid w:val="00834A91"/>
    <w:rsid w:val="00834B76"/>
    <w:rsid w:val="00834CDC"/>
    <w:rsid w:val="008351F5"/>
    <w:rsid w:val="00835229"/>
    <w:rsid w:val="00835508"/>
    <w:rsid w:val="00835845"/>
    <w:rsid w:val="00835FB8"/>
    <w:rsid w:val="00836734"/>
    <w:rsid w:val="008369AF"/>
    <w:rsid w:val="00836AA3"/>
    <w:rsid w:val="00836C92"/>
    <w:rsid w:val="008370CF"/>
    <w:rsid w:val="00837114"/>
    <w:rsid w:val="008371CD"/>
    <w:rsid w:val="0083725C"/>
    <w:rsid w:val="00837895"/>
    <w:rsid w:val="0084084C"/>
    <w:rsid w:val="00840FF9"/>
    <w:rsid w:val="00841136"/>
    <w:rsid w:val="0084121E"/>
    <w:rsid w:val="008416B1"/>
    <w:rsid w:val="008417B9"/>
    <w:rsid w:val="00841FEA"/>
    <w:rsid w:val="00842057"/>
    <w:rsid w:val="008424CD"/>
    <w:rsid w:val="00842CA3"/>
    <w:rsid w:val="008431A7"/>
    <w:rsid w:val="008431E8"/>
    <w:rsid w:val="008437E1"/>
    <w:rsid w:val="00843A5E"/>
    <w:rsid w:val="00843D47"/>
    <w:rsid w:val="00844024"/>
    <w:rsid w:val="00844770"/>
    <w:rsid w:val="00845C54"/>
    <w:rsid w:val="008460D5"/>
    <w:rsid w:val="008463AF"/>
    <w:rsid w:val="008467AA"/>
    <w:rsid w:val="00846E94"/>
    <w:rsid w:val="00846F31"/>
    <w:rsid w:val="00846F74"/>
    <w:rsid w:val="00847A7E"/>
    <w:rsid w:val="00847AE9"/>
    <w:rsid w:val="0085013C"/>
    <w:rsid w:val="008502F3"/>
    <w:rsid w:val="00850D2B"/>
    <w:rsid w:val="00850DAF"/>
    <w:rsid w:val="008512FB"/>
    <w:rsid w:val="0085170A"/>
    <w:rsid w:val="00851DCB"/>
    <w:rsid w:val="00851FCC"/>
    <w:rsid w:val="00852055"/>
    <w:rsid w:val="00852BC0"/>
    <w:rsid w:val="00852E32"/>
    <w:rsid w:val="00853549"/>
    <w:rsid w:val="00853770"/>
    <w:rsid w:val="008551B0"/>
    <w:rsid w:val="00855C5C"/>
    <w:rsid w:val="00855C7E"/>
    <w:rsid w:val="00855E2F"/>
    <w:rsid w:val="00856639"/>
    <w:rsid w:val="00856923"/>
    <w:rsid w:val="00856A09"/>
    <w:rsid w:val="00856B08"/>
    <w:rsid w:val="0085748E"/>
    <w:rsid w:val="00857875"/>
    <w:rsid w:val="00857BA7"/>
    <w:rsid w:val="00860098"/>
    <w:rsid w:val="00860443"/>
    <w:rsid w:val="008606B4"/>
    <w:rsid w:val="0086070F"/>
    <w:rsid w:val="008609D5"/>
    <w:rsid w:val="00860F43"/>
    <w:rsid w:val="00861739"/>
    <w:rsid w:val="008617A0"/>
    <w:rsid w:val="00861DED"/>
    <w:rsid w:val="008624D3"/>
    <w:rsid w:val="00862A06"/>
    <w:rsid w:val="00862D84"/>
    <w:rsid w:val="00862DFB"/>
    <w:rsid w:val="008630DD"/>
    <w:rsid w:val="008633B3"/>
    <w:rsid w:val="00863B79"/>
    <w:rsid w:val="00863E70"/>
    <w:rsid w:val="00863EE0"/>
    <w:rsid w:val="00864079"/>
    <w:rsid w:val="008645FA"/>
    <w:rsid w:val="0086463D"/>
    <w:rsid w:val="00864747"/>
    <w:rsid w:val="00864DA5"/>
    <w:rsid w:val="008651ED"/>
    <w:rsid w:val="00865D4F"/>
    <w:rsid w:val="00866228"/>
    <w:rsid w:val="0086680C"/>
    <w:rsid w:val="00866826"/>
    <w:rsid w:val="00866A7D"/>
    <w:rsid w:val="00866F60"/>
    <w:rsid w:val="008670D9"/>
    <w:rsid w:val="00867509"/>
    <w:rsid w:val="00867FE0"/>
    <w:rsid w:val="00870F67"/>
    <w:rsid w:val="00870FE5"/>
    <w:rsid w:val="008716E6"/>
    <w:rsid w:val="00872192"/>
    <w:rsid w:val="00872345"/>
    <w:rsid w:val="00872BB2"/>
    <w:rsid w:val="00874074"/>
    <w:rsid w:val="00874124"/>
    <w:rsid w:val="00874266"/>
    <w:rsid w:val="00874407"/>
    <w:rsid w:val="0087467A"/>
    <w:rsid w:val="00874A0C"/>
    <w:rsid w:val="00874B14"/>
    <w:rsid w:val="00874C5E"/>
    <w:rsid w:val="00874D65"/>
    <w:rsid w:val="0087507D"/>
    <w:rsid w:val="0087591A"/>
    <w:rsid w:val="00875F86"/>
    <w:rsid w:val="00876499"/>
    <w:rsid w:val="00876541"/>
    <w:rsid w:val="00876811"/>
    <w:rsid w:val="008768DB"/>
    <w:rsid w:val="008773F9"/>
    <w:rsid w:val="00877412"/>
    <w:rsid w:val="00877582"/>
    <w:rsid w:val="0087764A"/>
    <w:rsid w:val="0087770E"/>
    <w:rsid w:val="00877A97"/>
    <w:rsid w:val="00877B19"/>
    <w:rsid w:val="008804F3"/>
    <w:rsid w:val="00880C55"/>
    <w:rsid w:val="00881255"/>
    <w:rsid w:val="00881473"/>
    <w:rsid w:val="00881B7D"/>
    <w:rsid w:val="00881D39"/>
    <w:rsid w:val="0088271C"/>
    <w:rsid w:val="00882732"/>
    <w:rsid w:val="00882BA7"/>
    <w:rsid w:val="00882CB3"/>
    <w:rsid w:val="00882E99"/>
    <w:rsid w:val="00882EDA"/>
    <w:rsid w:val="008833E1"/>
    <w:rsid w:val="00883609"/>
    <w:rsid w:val="00883791"/>
    <w:rsid w:val="00884626"/>
    <w:rsid w:val="00884B5F"/>
    <w:rsid w:val="00884C5F"/>
    <w:rsid w:val="008856BE"/>
    <w:rsid w:val="00885FD9"/>
    <w:rsid w:val="00886AF9"/>
    <w:rsid w:val="00886E1D"/>
    <w:rsid w:val="008874FF"/>
    <w:rsid w:val="00887738"/>
    <w:rsid w:val="00887FEC"/>
    <w:rsid w:val="00890346"/>
    <w:rsid w:val="00890704"/>
    <w:rsid w:val="00890A30"/>
    <w:rsid w:val="00890F13"/>
    <w:rsid w:val="00891010"/>
    <w:rsid w:val="00891B61"/>
    <w:rsid w:val="00892635"/>
    <w:rsid w:val="00892C55"/>
    <w:rsid w:val="00892F55"/>
    <w:rsid w:val="00893490"/>
    <w:rsid w:val="008936EF"/>
    <w:rsid w:val="00893B94"/>
    <w:rsid w:val="00893F1C"/>
    <w:rsid w:val="008940E1"/>
    <w:rsid w:val="00894341"/>
    <w:rsid w:val="008947A8"/>
    <w:rsid w:val="00894D35"/>
    <w:rsid w:val="00895182"/>
    <w:rsid w:val="00895535"/>
    <w:rsid w:val="00895573"/>
    <w:rsid w:val="008956EE"/>
    <w:rsid w:val="00895C56"/>
    <w:rsid w:val="0089622E"/>
    <w:rsid w:val="00896394"/>
    <w:rsid w:val="008968B5"/>
    <w:rsid w:val="00896B8C"/>
    <w:rsid w:val="00896D5B"/>
    <w:rsid w:val="00897230"/>
    <w:rsid w:val="008A00EC"/>
    <w:rsid w:val="008A0422"/>
    <w:rsid w:val="008A0835"/>
    <w:rsid w:val="008A0C92"/>
    <w:rsid w:val="008A1329"/>
    <w:rsid w:val="008A21E2"/>
    <w:rsid w:val="008A285D"/>
    <w:rsid w:val="008A2903"/>
    <w:rsid w:val="008A29A4"/>
    <w:rsid w:val="008A29C6"/>
    <w:rsid w:val="008A2C2D"/>
    <w:rsid w:val="008A2DCB"/>
    <w:rsid w:val="008A37CB"/>
    <w:rsid w:val="008A3E1F"/>
    <w:rsid w:val="008A4210"/>
    <w:rsid w:val="008A46D3"/>
    <w:rsid w:val="008A658B"/>
    <w:rsid w:val="008A68B2"/>
    <w:rsid w:val="008A6DEC"/>
    <w:rsid w:val="008A708D"/>
    <w:rsid w:val="008A7298"/>
    <w:rsid w:val="008A753A"/>
    <w:rsid w:val="008A7E50"/>
    <w:rsid w:val="008B0F20"/>
    <w:rsid w:val="008B1CE3"/>
    <w:rsid w:val="008B2485"/>
    <w:rsid w:val="008B2AA9"/>
    <w:rsid w:val="008B2C96"/>
    <w:rsid w:val="008B2F33"/>
    <w:rsid w:val="008B35DE"/>
    <w:rsid w:val="008B395D"/>
    <w:rsid w:val="008B403A"/>
    <w:rsid w:val="008B46C3"/>
    <w:rsid w:val="008B5312"/>
    <w:rsid w:val="008B541F"/>
    <w:rsid w:val="008B5BA9"/>
    <w:rsid w:val="008B5F92"/>
    <w:rsid w:val="008B6324"/>
    <w:rsid w:val="008B65AC"/>
    <w:rsid w:val="008B70AD"/>
    <w:rsid w:val="008B72C0"/>
    <w:rsid w:val="008B7417"/>
    <w:rsid w:val="008B77D3"/>
    <w:rsid w:val="008B79D9"/>
    <w:rsid w:val="008B7B14"/>
    <w:rsid w:val="008B7F6D"/>
    <w:rsid w:val="008B7FF3"/>
    <w:rsid w:val="008C01CF"/>
    <w:rsid w:val="008C0256"/>
    <w:rsid w:val="008C0E65"/>
    <w:rsid w:val="008C1144"/>
    <w:rsid w:val="008C1164"/>
    <w:rsid w:val="008C1198"/>
    <w:rsid w:val="008C16A3"/>
    <w:rsid w:val="008C1F86"/>
    <w:rsid w:val="008C2505"/>
    <w:rsid w:val="008C26E2"/>
    <w:rsid w:val="008C2EE2"/>
    <w:rsid w:val="008C3574"/>
    <w:rsid w:val="008C38CA"/>
    <w:rsid w:val="008C3C1E"/>
    <w:rsid w:val="008C411A"/>
    <w:rsid w:val="008C42A5"/>
    <w:rsid w:val="008C46FA"/>
    <w:rsid w:val="008C499F"/>
    <w:rsid w:val="008C49B9"/>
    <w:rsid w:val="008C4E99"/>
    <w:rsid w:val="008C51B6"/>
    <w:rsid w:val="008C5274"/>
    <w:rsid w:val="008C5312"/>
    <w:rsid w:val="008C5F89"/>
    <w:rsid w:val="008C60AE"/>
    <w:rsid w:val="008C612F"/>
    <w:rsid w:val="008C63B7"/>
    <w:rsid w:val="008C6490"/>
    <w:rsid w:val="008C68A2"/>
    <w:rsid w:val="008C760D"/>
    <w:rsid w:val="008C7FEF"/>
    <w:rsid w:val="008D05EA"/>
    <w:rsid w:val="008D078E"/>
    <w:rsid w:val="008D0FAA"/>
    <w:rsid w:val="008D1083"/>
    <w:rsid w:val="008D119D"/>
    <w:rsid w:val="008D199E"/>
    <w:rsid w:val="008D1B8B"/>
    <w:rsid w:val="008D1C30"/>
    <w:rsid w:val="008D1E88"/>
    <w:rsid w:val="008D2147"/>
    <w:rsid w:val="008D214E"/>
    <w:rsid w:val="008D2EB1"/>
    <w:rsid w:val="008D30D3"/>
    <w:rsid w:val="008D37C8"/>
    <w:rsid w:val="008D3A6F"/>
    <w:rsid w:val="008D3E31"/>
    <w:rsid w:val="008D42ED"/>
    <w:rsid w:val="008D439D"/>
    <w:rsid w:val="008D43EF"/>
    <w:rsid w:val="008D4604"/>
    <w:rsid w:val="008D4785"/>
    <w:rsid w:val="008D4D39"/>
    <w:rsid w:val="008D4FCD"/>
    <w:rsid w:val="008D5162"/>
    <w:rsid w:val="008D51A7"/>
    <w:rsid w:val="008D54B4"/>
    <w:rsid w:val="008D5505"/>
    <w:rsid w:val="008D5754"/>
    <w:rsid w:val="008D59C4"/>
    <w:rsid w:val="008D5C4F"/>
    <w:rsid w:val="008D5F0E"/>
    <w:rsid w:val="008D64F7"/>
    <w:rsid w:val="008D6EC4"/>
    <w:rsid w:val="008D734F"/>
    <w:rsid w:val="008D7379"/>
    <w:rsid w:val="008D748E"/>
    <w:rsid w:val="008D74A6"/>
    <w:rsid w:val="008D78EE"/>
    <w:rsid w:val="008D7A8E"/>
    <w:rsid w:val="008D7AEE"/>
    <w:rsid w:val="008D7DC5"/>
    <w:rsid w:val="008E034A"/>
    <w:rsid w:val="008E09DC"/>
    <w:rsid w:val="008E0C4A"/>
    <w:rsid w:val="008E1027"/>
    <w:rsid w:val="008E1059"/>
    <w:rsid w:val="008E1E83"/>
    <w:rsid w:val="008E206D"/>
    <w:rsid w:val="008E212F"/>
    <w:rsid w:val="008E214B"/>
    <w:rsid w:val="008E23CC"/>
    <w:rsid w:val="008E23F6"/>
    <w:rsid w:val="008E2CEA"/>
    <w:rsid w:val="008E2E49"/>
    <w:rsid w:val="008E2EB4"/>
    <w:rsid w:val="008E47A7"/>
    <w:rsid w:val="008E486F"/>
    <w:rsid w:val="008E4D85"/>
    <w:rsid w:val="008E57B3"/>
    <w:rsid w:val="008E60E6"/>
    <w:rsid w:val="008E6236"/>
    <w:rsid w:val="008E6871"/>
    <w:rsid w:val="008E757B"/>
    <w:rsid w:val="008E76C0"/>
    <w:rsid w:val="008F052D"/>
    <w:rsid w:val="008F06C2"/>
    <w:rsid w:val="008F08AE"/>
    <w:rsid w:val="008F0BED"/>
    <w:rsid w:val="008F0E76"/>
    <w:rsid w:val="008F0EA4"/>
    <w:rsid w:val="008F1021"/>
    <w:rsid w:val="008F1720"/>
    <w:rsid w:val="008F181F"/>
    <w:rsid w:val="008F1974"/>
    <w:rsid w:val="008F1A8F"/>
    <w:rsid w:val="008F21AB"/>
    <w:rsid w:val="008F272B"/>
    <w:rsid w:val="008F3797"/>
    <w:rsid w:val="008F3B6F"/>
    <w:rsid w:val="008F3DCA"/>
    <w:rsid w:val="008F3E3C"/>
    <w:rsid w:val="008F436A"/>
    <w:rsid w:val="008F43B4"/>
    <w:rsid w:val="008F44B2"/>
    <w:rsid w:val="008F46BF"/>
    <w:rsid w:val="008F6187"/>
    <w:rsid w:val="008F6355"/>
    <w:rsid w:val="008F674F"/>
    <w:rsid w:val="008F6937"/>
    <w:rsid w:val="008F6A8D"/>
    <w:rsid w:val="008F6D8B"/>
    <w:rsid w:val="008F6E56"/>
    <w:rsid w:val="008F70AA"/>
    <w:rsid w:val="008F737C"/>
    <w:rsid w:val="008F73E6"/>
    <w:rsid w:val="008F7630"/>
    <w:rsid w:val="008F79A4"/>
    <w:rsid w:val="008F7C72"/>
    <w:rsid w:val="008F7C8D"/>
    <w:rsid w:val="009000A8"/>
    <w:rsid w:val="009000C2"/>
    <w:rsid w:val="009002E4"/>
    <w:rsid w:val="00900451"/>
    <w:rsid w:val="0090046D"/>
    <w:rsid w:val="00900911"/>
    <w:rsid w:val="00900DD9"/>
    <w:rsid w:val="00900EA8"/>
    <w:rsid w:val="009011C8"/>
    <w:rsid w:val="00901235"/>
    <w:rsid w:val="009014A7"/>
    <w:rsid w:val="00901EE5"/>
    <w:rsid w:val="0090212A"/>
    <w:rsid w:val="00902284"/>
    <w:rsid w:val="00902476"/>
    <w:rsid w:val="00902601"/>
    <w:rsid w:val="00902666"/>
    <w:rsid w:val="00902DAE"/>
    <w:rsid w:val="00903247"/>
    <w:rsid w:val="009032D3"/>
    <w:rsid w:val="009035D7"/>
    <w:rsid w:val="00903840"/>
    <w:rsid w:val="009041AD"/>
    <w:rsid w:val="00904207"/>
    <w:rsid w:val="0090493D"/>
    <w:rsid w:val="00904F74"/>
    <w:rsid w:val="00905159"/>
    <w:rsid w:val="0090524F"/>
    <w:rsid w:val="009058A2"/>
    <w:rsid w:val="00905946"/>
    <w:rsid w:val="00905DAB"/>
    <w:rsid w:val="00905E17"/>
    <w:rsid w:val="009060BB"/>
    <w:rsid w:val="00906265"/>
    <w:rsid w:val="00906A0A"/>
    <w:rsid w:val="00906B92"/>
    <w:rsid w:val="00906D42"/>
    <w:rsid w:val="0090732F"/>
    <w:rsid w:val="00907534"/>
    <w:rsid w:val="00907919"/>
    <w:rsid w:val="0091005B"/>
    <w:rsid w:val="00910814"/>
    <w:rsid w:val="00911536"/>
    <w:rsid w:val="0091174E"/>
    <w:rsid w:val="00911E96"/>
    <w:rsid w:val="00911F67"/>
    <w:rsid w:val="009123E5"/>
    <w:rsid w:val="009128D6"/>
    <w:rsid w:val="00912E4A"/>
    <w:rsid w:val="00913559"/>
    <w:rsid w:val="00913655"/>
    <w:rsid w:val="0091432F"/>
    <w:rsid w:val="00914394"/>
    <w:rsid w:val="00914554"/>
    <w:rsid w:val="009147A1"/>
    <w:rsid w:val="00914B3A"/>
    <w:rsid w:val="00914E53"/>
    <w:rsid w:val="00915483"/>
    <w:rsid w:val="0091559B"/>
    <w:rsid w:val="009156AD"/>
    <w:rsid w:val="00915817"/>
    <w:rsid w:val="009158A3"/>
    <w:rsid w:val="009159E1"/>
    <w:rsid w:val="00915B7D"/>
    <w:rsid w:val="00915C13"/>
    <w:rsid w:val="009164E9"/>
    <w:rsid w:val="00916C77"/>
    <w:rsid w:val="009173B8"/>
    <w:rsid w:val="009178F6"/>
    <w:rsid w:val="009179B9"/>
    <w:rsid w:val="00917F35"/>
    <w:rsid w:val="0092054D"/>
    <w:rsid w:val="009206F8"/>
    <w:rsid w:val="009212DB"/>
    <w:rsid w:val="00921983"/>
    <w:rsid w:val="00921AA1"/>
    <w:rsid w:val="00922125"/>
    <w:rsid w:val="00922753"/>
    <w:rsid w:val="009228CA"/>
    <w:rsid w:val="00922CBF"/>
    <w:rsid w:val="00922E45"/>
    <w:rsid w:val="009237E6"/>
    <w:rsid w:val="009238B3"/>
    <w:rsid w:val="00923FB4"/>
    <w:rsid w:val="009246C3"/>
    <w:rsid w:val="00924BEF"/>
    <w:rsid w:val="00924EA9"/>
    <w:rsid w:val="00924F09"/>
    <w:rsid w:val="00924F47"/>
    <w:rsid w:val="00925C3B"/>
    <w:rsid w:val="00925C4D"/>
    <w:rsid w:val="00925F85"/>
    <w:rsid w:val="00925F8B"/>
    <w:rsid w:val="00926299"/>
    <w:rsid w:val="0092659B"/>
    <w:rsid w:val="009265C1"/>
    <w:rsid w:val="009265CC"/>
    <w:rsid w:val="0092690F"/>
    <w:rsid w:val="0093048D"/>
    <w:rsid w:val="00930BC8"/>
    <w:rsid w:val="0093109F"/>
    <w:rsid w:val="009311DD"/>
    <w:rsid w:val="00931204"/>
    <w:rsid w:val="00931B6F"/>
    <w:rsid w:val="00931C05"/>
    <w:rsid w:val="00931CE2"/>
    <w:rsid w:val="00931E75"/>
    <w:rsid w:val="009323D7"/>
    <w:rsid w:val="0093282E"/>
    <w:rsid w:val="00933114"/>
    <w:rsid w:val="0093323E"/>
    <w:rsid w:val="009335A3"/>
    <w:rsid w:val="009336B4"/>
    <w:rsid w:val="00933CAE"/>
    <w:rsid w:val="00933D8F"/>
    <w:rsid w:val="009342CA"/>
    <w:rsid w:val="009343CC"/>
    <w:rsid w:val="009347FB"/>
    <w:rsid w:val="00934B45"/>
    <w:rsid w:val="00934D2F"/>
    <w:rsid w:val="00934F62"/>
    <w:rsid w:val="00934F8E"/>
    <w:rsid w:val="0093524D"/>
    <w:rsid w:val="00935415"/>
    <w:rsid w:val="00935730"/>
    <w:rsid w:val="009359A0"/>
    <w:rsid w:val="009359CE"/>
    <w:rsid w:val="00935FB9"/>
    <w:rsid w:val="0093623D"/>
    <w:rsid w:val="00937BB4"/>
    <w:rsid w:val="00937F0B"/>
    <w:rsid w:val="00937FDF"/>
    <w:rsid w:val="00937FEE"/>
    <w:rsid w:val="00940058"/>
    <w:rsid w:val="0094007C"/>
    <w:rsid w:val="0094021E"/>
    <w:rsid w:val="00940479"/>
    <w:rsid w:val="009404F3"/>
    <w:rsid w:val="00940855"/>
    <w:rsid w:val="009410F0"/>
    <w:rsid w:val="009413CE"/>
    <w:rsid w:val="009414B0"/>
    <w:rsid w:val="00942013"/>
    <w:rsid w:val="00942690"/>
    <w:rsid w:val="009427CC"/>
    <w:rsid w:val="009431A7"/>
    <w:rsid w:val="00943FA0"/>
    <w:rsid w:val="00944066"/>
    <w:rsid w:val="0094471C"/>
    <w:rsid w:val="00944779"/>
    <w:rsid w:val="009459D9"/>
    <w:rsid w:val="00945BDD"/>
    <w:rsid w:val="009464DD"/>
    <w:rsid w:val="00946A31"/>
    <w:rsid w:val="00946AED"/>
    <w:rsid w:val="00946EB7"/>
    <w:rsid w:val="009474FE"/>
    <w:rsid w:val="0094795C"/>
    <w:rsid w:val="009479B7"/>
    <w:rsid w:val="009479C6"/>
    <w:rsid w:val="00950896"/>
    <w:rsid w:val="0095090B"/>
    <w:rsid w:val="00950AA8"/>
    <w:rsid w:val="00950B6A"/>
    <w:rsid w:val="009511E1"/>
    <w:rsid w:val="0095131B"/>
    <w:rsid w:val="009514A9"/>
    <w:rsid w:val="009514C5"/>
    <w:rsid w:val="0095154B"/>
    <w:rsid w:val="00951754"/>
    <w:rsid w:val="00951C61"/>
    <w:rsid w:val="00951D94"/>
    <w:rsid w:val="009523B0"/>
    <w:rsid w:val="0095243B"/>
    <w:rsid w:val="009527FA"/>
    <w:rsid w:val="00953240"/>
    <w:rsid w:val="009533F3"/>
    <w:rsid w:val="00954128"/>
    <w:rsid w:val="00954811"/>
    <w:rsid w:val="00954A7B"/>
    <w:rsid w:val="00954B47"/>
    <w:rsid w:val="0095500F"/>
    <w:rsid w:val="00955E13"/>
    <w:rsid w:val="00955EDD"/>
    <w:rsid w:val="00956614"/>
    <w:rsid w:val="009568BF"/>
    <w:rsid w:val="00956B8A"/>
    <w:rsid w:val="00957282"/>
    <w:rsid w:val="009574D7"/>
    <w:rsid w:val="009577C0"/>
    <w:rsid w:val="0096024B"/>
    <w:rsid w:val="00960820"/>
    <w:rsid w:val="00960A5A"/>
    <w:rsid w:val="0096121F"/>
    <w:rsid w:val="00961416"/>
    <w:rsid w:val="009616A2"/>
    <w:rsid w:val="009617F0"/>
    <w:rsid w:val="009620CD"/>
    <w:rsid w:val="00962160"/>
    <w:rsid w:val="00962400"/>
    <w:rsid w:val="00962619"/>
    <w:rsid w:val="00962651"/>
    <w:rsid w:val="0096288F"/>
    <w:rsid w:val="00962A6B"/>
    <w:rsid w:val="00962B43"/>
    <w:rsid w:val="00962DC7"/>
    <w:rsid w:val="00963308"/>
    <w:rsid w:val="0096398F"/>
    <w:rsid w:val="009639E2"/>
    <w:rsid w:val="00963E15"/>
    <w:rsid w:val="00963FFA"/>
    <w:rsid w:val="00964261"/>
    <w:rsid w:val="00964545"/>
    <w:rsid w:val="00964FA4"/>
    <w:rsid w:val="009653F4"/>
    <w:rsid w:val="009656D9"/>
    <w:rsid w:val="009657ED"/>
    <w:rsid w:val="009659CA"/>
    <w:rsid w:val="00965CC8"/>
    <w:rsid w:val="00965F9C"/>
    <w:rsid w:val="00966792"/>
    <w:rsid w:val="00966C7F"/>
    <w:rsid w:val="0096701F"/>
    <w:rsid w:val="00967472"/>
    <w:rsid w:val="00967627"/>
    <w:rsid w:val="0097005C"/>
    <w:rsid w:val="0097037F"/>
    <w:rsid w:val="00970901"/>
    <w:rsid w:val="009709BF"/>
    <w:rsid w:val="00970ABB"/>
    <w:rsid w:val="00970B9B"/>
    <w:rsid w:val="00971950"/>
    <w:rsid w:val="00971D3B"/>
    <w:rsid w:val="00971F34"/>
    <w:rsid w:val="009720F0"/>
    <w:rsid w:val="0097286F"/>
    <w:rsid w:val="0097359B"/>
    <w:rsid w:val="009745AF"/>
    <w:rsid w:val="00974B81"/>
    <w:rsid w:val="00974C89"/>
    <w:rsid w:val="00974CAA"/>
    <w:rsid w:val="00975244"/>
    <w:rsid w:val="0097629D"/>
    <w:rsid w:val="009767AC"/>
    <w:rsid w:val="009768EA"/>
    <w:rsid w:val="0097709B"/>
    <w:rsid w:val="009770B4"/>
    <w:rsid w:val="009770E1"/>
    <w:rsid w:val="0097762F"/>
    <w:rsid w:val="00977CB6"/>
    <w:rsid w:val="009805B0"/>
    <w:rsid w:val="00980A58"/>
    <w:rsid w:val="00980B04"/>
    <w:rsid w:val="00980BBB"/>
    <w:rsid w:val="009811A2"/>
    <w:rsid w:val="00981224"/>
    <w:rsid w:val="00981F2C"/>
    <w:rsid w:val="009822C3"/>
    <w:rsid w:val="00982553"/>
    <w:rsid w:val="009825B4"/>
    <w:rsid w:val="0098268A"/>
    <w:rsid w:val="009827F5"/>
    <w:rsid w:val="00982997"/>
    <w:rsid w:val="00983284"/>
    <w:rsid w:val="00983293"/>
    <w:rsid w:val="009839EA"/>
    <w:rsid w:val="00983A9F"/>
    <w:rsid w:val="00984C57"/>
    <w:rsid w:val="00985CF1"/>
    <w:rsid w:val="00986195"/>
    <w:rsid w:val="00986A9B"/>
    <w:rsid w:val="00986B05"/>
    <w:rsid w:val="00986BCC"/>
    <w:rsid w:val="00986BFD"/>
    <w:rsid w:val="00986C27"/>
    <w:rsid w:val="00986DF6"/>
    <w:rsid w:val="00986EC7"/>
    <w:rsid w:val="00987168"/>
    <w:rsid w:val="009872ED"/>
    <w:rsid w:val="00987B3F"/>
    <w:rsid w:val="00987E96"/>
    <w:rsid w:val="00987EA1"/>
    <w:rsid w:val="00990033"/>
    <w:rsid w:val="0099005C"/>
    <w:rsid w:val="009902AB"/>
    <w:rsid w:val="00990403"/>
    <w:rsid w:val="009906D1"/>
    <w:rsid w:val="0099143A"/>
    <w:rsid w:val="0099182B"/>
    <w:rsid w:val="009918DF"/>
    <w:rsid w:val="00992028"/>
    <w:rsid w:val="0099239E"/>
    <w:rsid w:val="009928C9"/>
    <w:rsid w:val="00992D0D"/>
    <w:rsid w:val="0099319B"/>
    <w:rsid w:val="0099448B"/>
    <w:rsid w:val="0099457D"/>
    <w:rsid w:val="00995022"/>
    <w:rsid w:val="0099506D"/>
    <w:rsid w:val="0099544A"/>
    <w:rsid w:val="00995F8E"/>
    <w:rsid w:val="0099643B"/>
    <w:rsid w:val="009964FE"/>
    <w:rsid w:val="00996554"/>
    <w:rsid w:val="009966A3"/>
    <w:rsid w:val="00996832"/>
    <w:rsid w:val="00996F8E"/>
    <w:rsid w:val="00997051"/>
    <w:rsid w:val="009971DE"/>
    <w:rsid w:val="009974B0"/>
    <w:rsid w:val="00997E96"/>
    <w:rsid w:val="00997EC3"/>
    <w:rsid w:val="00997F0F"/>
    <w:rsid w:val="009A0696"/>
    <w:rsid w:val="009A0BF2"/>
    <w:rsid w:val="009A0E87"/>
    <w:rsid w:val="009A10BF"/>
    <w:rsid w:val="009A10C9"/>
    <w:rsid w:val="009A13D3"/>
    <w:rsid w:val="009A1419"/>
    <w:rsid w:val="009A1648"/>
    <w:rsid w:val="009A1681"/>
    <w:rsid w:val="009A1A75"/>
    <w:rsid w:val="009A2418"/>
    <w:rsid w:val="009A25B1"/>
    <w:rsid w:val="009A25F1"/>
    <w:rsid w:val="009A4693"/>
    <w:rsid w:val="009A4BCD"/>
    <w:rsid w:val="009A6691"/>
    <w:rsid w:val="009A6699"/>
    <w:rsid w:val="009A676D"/>
    <w:rsid w:val="009A74BA"/>
    <w:rsid w:val="009A7894"/>
    <w:rsid w:val="009A7FE6"/>
    <w:rsid w:val="009B0418"/>
    <w:rsid w:val="009B1207"/>
    <w:rsid w:val="009B18D1"/>
    <w:rsid w:val="009B1BD9"/>
    <w:rsid w:val="009B1D65"/>
    <w:rsid w:val="009B247A"/>
    <w:rsid w:val="009B285B"/>
    <w:rsid w:val="009B2ABA"/>
    <w:rsid w:val="009B2D83"/>
    <w:rsid w:val="009B3034"/>
    <w:rsid w:val="009B368D"/>
    <w:rsid w:val="009B390D"/>
    <w:rsid w:val="009B4010"/>
    <w:rsid w:val="009B4108"/>
    <w:rsid w:val="009B41F5"/>
    <w:rsid w:val="009B4C36"/>
    <w:rsid w:val="009B4EC5"/>
    <w:rsid w:val="009B52BC"/>
    <w:rsid w:val="009B583E"/>
    <w:rsid w:val="009B58E5"/>
    <w:rsid w:val="009B5B1A"/>
    <w:rsid w:val="009B6724"/>
    <w:rsid w:val="009B6C99"/>
    <w:rsid w:val="009B70CD"/>
    <w:rsid w:val="009B7320"/>
    <w:rsid w:val="009B7E24"/>
    <w:rsid w:val="009C0239"/>
    <w:rsid w:val="009C0725"/>
    <w:rsid w:val="009C0807"/>
    <w:rsid w:val="009C09A6"/>
    <w:rsid w:val="009C09C3"/>
    <w:rsid w:val="009C102D"/>
    <w:rsid w:val="009C10FF"/>
    <w:rsid w:val="009C1687"/>
    <w:rsid w:val="009C186B"/>
    <w:rsid w:val="009C19E2"/>
    <w:rsid w:val="009C217E"/>
    <w:rsid w:val="009C2582"/>
    <w:rsid w:val="009C28E9"/>
    <w:rsid w:val="009C2EC4"/>
    <w:rsid w:val="009C320F"/>
    <w:rsid w:val="009C3D41"/>
    <w:rsid w:val="009C42ED"/>
    <w:rsid w:val="009C50E2"/>
    <w:rsid w:val="009C514D"/>
    <w:rsid w:val="009C5280"/>
    <w:rsid w:val="009C5444"/>
    <w:rsid w:val="009C56DC"/>
    <w:rsid w:val="009C5725"/>
    <w:rsid w:val="009C5C54"/>
    <w:rsid w:val="009C69AD"/>
    <w:rsid w:val="009C6A72"/>
    <w:rsid w:val="009C6CC2"/>
    <w:rsid w:val="009C6EB7"/>
    <w:rsid w:val="009C701A"/>
    <w:rsid w:val="009C72BD"/>
    <w:rsid w:val="009D033C"/>
    <w:rsid w:val="009D03B9"/>
    <w:rsid w:val="009D048E"/>
    <w:rsid w:val="009D0D14"/>
    <w:rsid w:val="009D1C42"/>
    <w:rsid w:val="009D1E8F"/>
    <w:rsid w:val="009D1EA1"/>
    <w:rsid w:val="009D20CA"/>
    <w:rsid w:val="009D240E"/>
    <w:rsid w:val="009D3B92"/>
    <w:rsid w:val="009D408C"/>
    <w:rsid w:val="009D46A1"/>
    <w:rsid w:val="009D484C"/>
    <w:rsid w:val="009D4B1D"/>
    <w:rsid w:val="009D4D30"/>
    <w:rsid w:val="009D4FE5"/>
    <w:rsid w:val="009D50B1"/>
    <w:rsid w:val="009D563A"/>
    <w:rsid w:val="009D5EFF"/>
    <w:rsid w:val="009D5F99"/>
    <w:rsid w:val="009D6026"/>
    <w:rsid w:val="009D63AE"/>
    <w:rsid w:val="009D659C"/>
    <w:rsid w:val="009D6AEC"/>
    <w:rsid w:val="009D6B4F"/>
    <w:rsid w:val="009D6B65"/>
    <w:rsid w:val="009D6D31"/>
    <w:rsid w:val="009D7045"/>
    <w:rsid w:val="009D71A1"/>
    <w:rsid w:val="009D73DD"/>
    <w:rsid w:val="009D75AC"/>
    <w:rsid w:val="009D7BD7"/>
    <w:rsid w:val="009D7C0A"/>
    <w:rsid w:val="009E04F5"/>
    <w:rsid w:val="009E077C"/>
    <w:rsid w:val="009E0BB8"/>
    <w:rsid w:val="009E1750"/>
    <w:rsid w:val="009E1A97"/>
    <w:rsid w:val="009E1D1D"/>
    <w:rsid w:val="009E2498"/>
    <w:rsid w:val="009E2528"/>
    <w:rsid w:val="009E32F2"/>
    <w:rsid w:val="009E390D"/>
    <w:rsid w:val="009E3BD0"/>
    <w:rsid w:val="009E3EAF"/>
    <w:rsid w:val="009E3F11"/>
    <w:rsid w:val="009E44F7"/>
    <w:rsid w:val="009E4E22"/>
    <w:rsid w:val="009E4E91"/>
    <w:rsid w:val="009E52CB"/>
    <w:rsid w:val="009E53DD"/>
    <w:rsid w:val="009E54A1"/>
    <w:rsid w:val="009E5EDC"/>
    <w:rsid w:val="009E7457"/>
    <w:rsid w:val="009E755F"/>
    <w:rsid w:val="009E7A16"/>
    <w:rsid w:val="009E7D10"/>
    <w:rsid w:val="009F050E"/>
    <w:rsid w:val="009F09CB"/>
    <w:rsid w:val="009F0D79"/>
    <w:rsid w:val="009F0D88"/>
    <w:rsid w:val="009F0ED2"/>
    <w:rsid w:val="009F10FF"/>
    <w:rsid w:val="009F1391"/>
    <w:rsid w:val="009F14C4"/>
    <w:rsid w:val="009F15AA"/>
    <w:rsid w:val="009F168E"/>
    <w:rsid w:val="009F18D5"/>
    <w:rsid w:val="009F1D29"/>
    <w:rsid w:val="009F1E47"/>
    <w:rsid w:val="009F1FD0"/>
    <w:rsid w:val="009F298B"/>
    <w:rsid w:val="009F2A3D"/>
    <w:rsid w:val="009F3196"/>
    <w:rsid w:val="009F31F5"/>
    <w:rsid w:val="009F3487"/>
    <w:rsid w:val="009F348A"/>
    <w:rsid w:val="009F380E"/>
    <w:rsid w:val="009F396E"/>
    <w:rsid w:val="009F4096"/>
    <w:rsid w:val="009F4A73"/>
    <w:rsid w:val="009F4BDD"/>
    <w:rsid w:val="009F5F06"/>
    <w:rsid w:val="009F6183"/>
    <w:rsid w:val="009F6453"/>
    <w:rsid w:val="009F6E56"/>
    <w:rsid w:val="009F7086"/>
    <w:rsid w:val="009F716E"/>
    <w:rsid w:val="009F72E5"/>
    <w:rsid w:val="009F7777"/>
    <w:rsid w:val="009F79B8"/>
    <w:rsid w:val="009F7BB3"/>
    <w:rsid w:val="00A00322"/>
    <w:rsid w:val="00A00CF1"/>
    <w:rsid w:val="00A00D64"/>
    <w:rsid w:val="00A013E8"/>
    <w:rsid w:val="00A01B24"/>
    <w:rsid w:val="00A01DC0"/>
    <w:rsid w:val="00A023B9"/>
    <w:rsid w:val="00A026FE"/>
    <w:rsid w:val="00A02AC0"/>
    <w:rsid w:val="00A02E6F"/>
    <w:rsid w:val="00A02ECD"/>
    <w:rsid w:val="00A02EF5"/>
    <w:rsid w:val="00A02F7C"/>
    <w:rsid w:val="00A03137"/>
    <w:rsid w:val="00A039FA"/>
    <w:rsid w:val="00A0400B"/>
    <w:rsid w:val="00A0416D"/>
    <w:rsid w:val="00A041FF"/>
    <w:rsid w:val="00A04C2E"/>
    <w:rsid w:val="00A04D49"/>
    <w:rsid w:val="00A058D6"/>
    <w:rsid w:val="00A05B25"/>
    <w:rsid w:val="00A06273"/>
    <w:rsid w:val="00A071C6"/>
    <w:rsid w:val="00A073A3"/>
    <w:rsid w:val="00A07691"/>
    <w:rsid w:val="00A07EBD"/>
    <w:rsid w:val="00A106CD"/>
    <w:rsid w:val="00A107D0"/>
    <w:rsid w:val="00A10AE7"/>
    <w:rsid w:val="00A10C96"/>
    <w:rsid w:val="00A11113"/>
    <w:rsid w:val="00A11617"/>
    <w:rsid w:val="00A11E7D"/>
    <w:rsid w:val="00A11F10"/>
    <w:rsid w:val="00A12290"/>
    <w:rsid w:val="00A12491"/>
    <w:rsid w:val="00A1255C"/>
    <w:rsid w:val="00A12714"/>
    <w:rsid w:val="00A136C4"/>
    <w:rsid w:val="00A13C1D"/>
    <w:rsid w:val="00A145B6"/>
    <w:rsid w:val="00A14704"/>
    <w:rsid w:val="00A1504A"/>
    <w:rsid w:val="00A15132"/>
    <w:rsid w:val="00A15577"/>
    <w:rsid w:val="00A157D0"/>
    <w:rsid w:val="00A1600F"/>
    <w:rsid w:val="00A16494"/>
    <w:rsid w:val="00A164E4"/>
    <w:rsid w:val="00A16893"/>
    <w:rsid w:val="00A16A4F"/>
    <w:rsid w:val="00A16ADA"/>
    <w:rsid w:val="00A16EAC"/>
    <w:rsid w:val="00A173D0"/>
    <w:rsid w:val="00A175E0"/>
    <w:rsid w:val="00A17805"/>
    <w:rsid w:val="00A17ECF"/>
    <w:rsid w:val="00A20024"/>
    <w:rsid w:val="00A2064E"/>
    <w:rsid w:val="00A20EA2"/>
    <w:rsid w:val="00A21D47"/>
    <w:rsid w:val="00A21E6F"/>
    <w:rsid w:val="00A2216D"/>
    <w:rsid w:val="00A223E8"/>
    <w:rsid w:val="00A22540"/>
    <w:rsid w:val="00A22984"/>
    <w:rsid w:val="00A22B98"/>
    <w:rsid w:val="00A22E62"/>
    <w:rsid w:val="00A2344C"/>
    <w:rsid w:val="00A238A8"/>
    <w:rsid w:val="00A23EAC"/>
    <w:rsid w:val="00A2448E"/>
    <w:rsid w:val="00A246D0"/>
    <w:rsid w:val="00A2493A"/>
    <w:rsid w:val="00A2494C"/>
    <w:rsid w:val="00A24A23"/>
    <w:rsid w:val="00A24C2D"/>
    <w:rsid w:val="00A24EBB"/>
    <w:rsid w:val="00A24F12"/>
    <w:rsid w:val="00A2508D"/>
    <w:rsid w:val="00A257F4"/>
    <w:rsid w:val="00A25B0D"/>
    <w:rsid w:val="00A25BAF"/>
    <w:rsid w:val="00A25DAD"/>
    <w:rsid w:val="00A26772"/>
    <w:rsid w:val="00A267A1"/>
    <w:rsid w:val="00A27632"/>
    <w:rsid w:val="00A2782C"/>
    <w:rsid w:val="00A27B11"/>
    <w:rsid w:val="00A30035"/>
    <w:rsid w:val="00A3015A"/>
    <w:rsid w:val="00A302DE"/>
    <w:rsid w:val="00A30393"/>
    <w:rsid w:val="00A303CF"/>
    <w:rsid w:val="00A3042C"/>
    <w:rsid w:val="00A30750"/>
    <w:rsid w:val="00A30F42"/>
    <w:rsid w:val="00A30F79"/>
    <w:rsid w:val="00A316AF"/>
    <w:rsid w:val="00A3199C"/>
    <w:rsid w:val="00A319D6"/>
    <w:rsid w:val="00A31CC6"/>
    <w:rsid w:val="00A32248"/>
    <w:rsid w:val="00A3293A"/>
    <w:rsid w:val="00A32EE3"/>
    <w:rsid w:val="00A33444"/>
    <w:rsid w:val="00A3365F"/>
    <w:rsid w:val="00A33685"/>
    <w:rsid w:val="00A33778"/>
    <w:rsid w:val="00A342AB"/>
    <w:rsid w:val="00A34381"/>
    <w:rsid w:val="00A34615"/>
    <w:rsid w:val="00A34670"/>
    <w:rsid w:val="00A34CA0"/>
    <w:rsid w:val="00A34EFF"/>
    <w:rsid w:val="00A3511A"/>
    <w:rsid w:val="00A354E0"/>
    <w:rsid w:val="00A35778"/>
    <w:rsid w:val="00A359AD"/>
    <w:rsid w:val="00A365CE"/>
    <w:rsid w:val="00A36AB6"/>
    <w:rsid w:val="00A36F2B"/>
    <w:rsid w:val="00A36FB7"/>
    <w:rsid w:val="00A37DC9"/>
    <w:rsid w:val="00A40196"/>
    <w:rsid w:val="00A4034C"/>
    <w:rsid w:val="00A40954"/>
    <w:rsid w:val="00A40C30"/>
    <w:rsid w:val="00A40FA2"/>
    <w:rsid w:val="00A4146A"/>
    <w:rsid w:val="00A41529"/>
    <w:rsid w:val="00A42003"/>
    <w:rsid w:val="00A4220E"/>
    <w:rsid w:val="00A42217"/>
    <w:rsid w:val="00A425E8"/>
    <w:rsid w:val="00A42680"/>
    <w:rsid w:val="00A42913"/>
    <w:rsid w:val="00A42915"/>
    <w:rsid w:val="00A4304A"/>
    <w:rsid w:val="00A436D4"/>
    <w:rsid w:val="00A43A43"/>
    <w:rsid w:val="00A4479E"/>
    <w:rsid w:val="00A450F2"/>
    <w:rsid w:val="00A452AE"/>
    <w:rsid w:val="00A45822"/>
    <w:rsid w:val="00A45D48"/>
    <w:rsid w:val="00A45F9D"/>
    <w:rsid w:val="00A47144"/>
    <w:rsid w:val="00A473C8"/>
    <w:rsid w:val="00A47431"/>
    <w:rsid w:val="00A4750A"/>
    <w:rsid w:val="00A475F0"/>
    <w:rsid w:val="00A47607"/>
    <w:rsid w:val="00A47823"/>
    <w:rsid w:val="00A47836"/>
    <w:rsid w:val="00A47B60"/>
    <w:rsid w:val="00A47B83"/>
    <w:rsid w:val="00A47CE8"/>
    <w:rsid w:val="00A50344"/>
    <w:rsid w:val="00A509C4"/>
    <w:rsid w:val="00A5149F"/>
    <w:rsid w:val="00A5224C"/>
    <w:rsid w:val="00A52326"/>
    <w:rsid w:val="00A5239A"/>
    <w:rsid w:val="00A53210"/>
    <w:rsid w:val="00A532EA"/>
    <w:rsid w:val="00A5338C"/>
    <w:rsid w:val="00A534DC"/>
    <w:rsid w:val="00A5389C"/>
    <w:rsid w:val="00A5444D"/>
    <w:rsid w:val="00A546C7"/>
    <w:rsid w:val="00A547AC"/>
    <w:rsid w:val="00A54A12"/>
    <w:rsid w:val="00A54F38"/>
    <w:rsid w:val="00A55223"/>
    <w:rsid w:val="00A55289"/>
    <w:rsid w:val="00A55371"/>
    <w:rsid w:val="00A55452"/>
    <w:rsid w:val="00A55A07"/>
    <w:rsid w:val="00A5619E"/>
    <w:rsid w:val="00A5666F"/>
    <w:rsid w:val="00A567C6"/>
    <w:rsid w:val="00A56FB9"/>
    <w:rsid w:val="00A57DB1"/>
    <w:rsid w:val="00A60386"/>
    <w:rsid w:val="00A60B31"/>
    <w:rsid w:val="00A61235"/>
    <w:rsid w:val="00A6134D"/>
    <w:rsid w:val="00A61743"/>
    <w:rsid w:val="00A6180D"/>
    <w:rsid w:val="00A61858"/>
    <w:rsid w:val="00A61A17"/>
    <w:rsid w:val="00A622C6"/>
    <w:rsid w:val="00A62449"/>
    <w:rsid w:val="00A62C1C"/>
    <w:rsid w:val="00A62CF3"/>
    <w:rsid w:val="00A62D76"/>
    <w:rsid w:val="00A635C8"/>
    <w:rsid w:val="00A6383E"/>
    <w:rsid w:val="00A639BD"/>
    <w:rsid w:val="00A63B81"/>
    <w:rsid w:val="00A6401F"/>
    <w:rsid w:val="00A6424B"/>
    <w:rsid w:val="00A647C2"/>
    <w:rsid w:val="00A65424"/>
    <w:rsid w:val="00A65942"/>
    <w:rsid w:val="00A65BFC"/>
    <w:rsid w:val="00A65E22"/>
    <w:rsid w:val="00A66C0F"/>
    <w:rsid w:val="00A66CED"/>
    <w:rsid w:val="00A66D28"/>
    <w:rsid w:val="00A6707D"/>
    <w:rsid w:val="00A67CEA"/>
    <w:rsid w:val="00A67D00"/>
    <w:rsid w:val="00A70A01"/>
    <w:rsid w:val="00A70EB4"/>
    <w:rsid w:val="00A70F5B"/>
    <w:rsid w:val="00A71872"/>
    <w:rsid w:val="00A72698"/>
    <w:rsid w:val="00A726CE"/>
    <w:rsid w:val="00A727B4"/>
    <w:rsid w:val="00A72BCE"/>
    <w:rsid w:val="00A72E44"/>
    <w:rsid w:val="00A73699"/>
    <w:rsid w:val="00A73FCC"/>
    <w:rsid w:val="00A74428"/>
    <w:rsid w:val="00A74960"/>
    <w:rsid w:val="00A74A33"/>
    <w:rsid w:val="00A74D11"/>
    <w:rsid w:val="00A74D1C"/>
    <w:rsid w:val="00A74DF5"/>
    <w:rsid w:val="00A74FC2"/>
    <w:rsid w:val="00A75187"/>
    <w:rsid w:val="00A75485"/>
    <w:rsid w:val="00A75529"/>
    <w:rsid w:val="00A758F5"/>
    <w:rsid w:val="00A75938"/>
    <w:rsid w:val="00A7598E"/>
    <w:rsid w:val="00A75B93"/>
    <w:rsid w:val="00A76311"/>
    <w:rsid w:val="00A764B0"/>
    <w:rsid w:val="00A768B3"/>
    <w:rsid w:val="00A77537"/>
    <w:rsid w:val="00A77672"/>
    <w:rsid w:val="00A77B00"/>
    <w:rsid w:val="00A77CB4"/>
    <w:rsid w:val="00A807D8"/>
    <w:rsid w:val="00A80C71"/>
    <w:rsid w:val="00A80E76"/>
    <w:rsid w:val="00A811A3"/>
    <w:rsid w:val="00A8121E"/>
    <w:rsid w:val="00A81343"/>
    <w:rsid w:val="00A8196D"/>
    <w:rsid w:val="00A81972"/>
    <w:rsid w:val="00A81E75"/>
    <w:rsid w:val="00A81F7B"/>
    <w:rsid w:val="00A823C0"/>
    <w:rsid w:val="00A82560"/>
    <w:rsid w:val="00A82876"/>
    <w:rsid w:val="00A82ADA"/>
    <w:rsid w:val="00A82D24"/>
    <w:rsid w:val="00A82D64"/>
    <w:rsid w:val="00A82E0C"/>
    <w:rsid w:val="00A82EF0"/>
    <w:rsid w:val="00A82F2E"/>
    <w:rsid w:val="00A830A3"/>
    <w:rsid w:val="00A8326A"/>
    <w:rsid w:val="00A838C2"/>
    <w:rsid w:val="00A83AE4"/>
    <w:rsid w:val="00A8483D"/>
    <w:rsid w:val="00A84BA6"/>
    <w:rsid w:val="00A8511A"/>
    <w:rsid w:val="00A85D89"/>
    <w:rsid w:val="00A866E2"/>
    <w:rsid w:val="00A86740"/>
    <w:rsid w:val="00A86825"/>
    <w:rsid w:val="00A87B89"/>
    <w:rsid w:val="00A87DFA"/>
    <w:rsid w:val="00A900A0"/>
    <w:rsid w:val="00A9031D"/>
    <w:rsid w:val="00A90680"/>
    <w:rsid w:val="00A90B2E"/>
    <w:rsid w:val="00A913C5"/>
    <w:rsid w:val="00A913F4"/>
    <w:rsid w:val="00A9163B"/>
    <w:rsid w:val="00A91AEF"/>
    <w:rsid w:val="00A91CDD"/>
    <w:rsid w:val="00A9254C"/>
    <w:rsid w:val="00A92641"/>
    <w:rsid w:val="00A92E2C"/>
    <w:rsid w:val="00A92EBA"/>
    <w:rsid w:val="00A930B6"/>
    <w:rsid w:val="00A939BF"/>
    <w:rsid w:val="00A94074"/>
    <w:rsid w:val="00A940C8"/>
    <w:rsid w:val="00A941FB"/>
    <w:rsid w:val="00A941FC"/>
    <w:rsid w:val="00A9431D"/>
    <w:rsid w:val="00A94B8D"/>
    <w:rsid w:val="00A94D8A"/>
    <w:rsid w:val="00A94E3E"/>
    <w:rsid w:val="00A94FC3"/>
    <w:rsid w:val="00A956B4"/>
    <w:rsid w:val="00A95E97"/>
    <w:rsid w:val="00A960EC"/>
    <w:rsid w:val="00A967B9"/>
    <w:rsid w:val="00A97B04"/>
    <w:rsid w:val="00AA02CA"/>
    <w:rsid w:val="00AA076E"/>
    <w:rsid w:val="00AA09C5"/>
    <w:rsid w:val="00AA0E30"/>
    <w:rsid w:val="00AA0F10"/>
    <w:rsid w:val="00AA10E0"/>
    <w:rsid w:val="00AA1575"/>
    <w:rsid w:val="00AA1763"/>
    <w:rsid w:val="00AA1ADC"/>
    <w:rsid w:val="00AA1D9A"/>
    <w:rsid w:val="00AA20E0"/>
    <w:rsid w:val="00AA2205"/>
    <w:rsid w:val="00AA2AC0"/>
    <w:rsid w:val="00AA3485"/>
    <w:rsid w:val="00AA3659"/>
    <w:rsid w:val="00AA3BF9"/>
    <w:rsid w:val="00AA431B"/>
    <w:rsid w:val="00AA45B6"/>
    <w:rsid w:val="00AA45E2"/>
    <w:rsid w:val="00AA54F7"/>
    <w:rsid w:val="00AA57DA"/>
    <w:rsid w:val="00AA5BBF"/>
    <w:rsid w:val="00AA5D57"/>
    <w:rsid w:val="00AA5D6C"/>
    <w:rsid w:val="00AA61D4"/>
    <w:rsid w:val="00AA62F2"/>
    <w:rsid w:val="00AA630A"/>
    <w:rsid w:val="00AA6DFD"/>
    <w:rsid w:val="00AA6E63"/>
    <w:rsid w:val="00AA712B"/>
    <w:rsid w:val="00AA7513"/>
    <w:rsid w:val="00AA76C0"/>
    <w:rsid w:val="00AA7AA0"/>
    <w:rsid w:val="00AA7CF2"/>
    <w:rsid w:val="00AA7F43"/>
    <w:rsid w:val="00AB0196"/>
    <w:rsid w:val="00AB01F2"/>
    <w:rsid w:val="00AB0627"/>
    <w:rsid w:val="00AB0F1F"/>
    <w:rsid w:val="00AB0F98"/>
    <w:rsid w:val="00AB13BC"/>
    <w:rsid w:val="00AB17B8"/>
    <w:rsid w:val="00AB188F"/>
    <w:rsid w:val="00AB1CF4"/>
    <w:rsid w:val="00AB1DE0"/>
    <w:rsid w:val="00AB2092"/>
    <w:rsid w:val="00AB2398"/>
    <w:rsid w:val="00AB24E6"/>
    <w:rsid w:val="00AB35B2"/>
    <w:rsid w:val="00AB3744"/>
    <w:rsid w:val="00AB39C6"/>
    <w:rsid w:val="00AB4757"/>
    <w:rsid w:val="00AB479F"/>
    <w:rsid w:val="00AB49F8"/>
    <w:rsid w:val="00AB4EE4"/>
    <w:rsid w:val="00AB4F34"/>
    <w:rsid w:val="00AB55D3"/>
    <w:rsid w:val="00AB5C17"/>
    <w:rsid w:val="00AB5F8B"/>
    <w:rsid w:val="00AB63E3"/>
    <w:rsid w:val="00AB6A8E"/>
    <w:rsid w:val="00AB6DC8"/>
    <w:rsid w:val="00AB72D4"/>
    <w:rsid w:val="00AB7F1D"/>
    <w:rsid w:val="00AC06E2"/>
    <w:rsid w:val="00AC0CE8"/>
    <w:rsid w:val="00AC0EE8"/>
    <w:rsid w:val="00AC0EF8"/>
    <w:rsid w:val="00AC0F20"/>
    <w:rsid w:val="00AC13E9"/>
    <w:rsid w:val="00AC1617"/>
    <w:rsid w:val="00AC164B"/>
    <w:rsid w:val="00AC169D"/>
    <w:rsid w:val="00AC18CD"/>
    <w:rsid w:val="00AC1A8A"/>
    <w:rsid w:val="00AC1F6A"/>
    <w:rsid w:val="00AC236F"/>
    <w:rsid w:val="00AC261E"/>
    <w:rsid w:val="00AC267F"/>
    <w:rsid w:val="00AC3131"/>
    <w:rsid w:val="00AC31A2"/>
    <w:rsid w:val="00AC31CB"/>
    <w:rsid w:val="00AC3578"/>
    <w:rsid w:val="00AC3C56"/>
    <w:rsid w:val="00AC443B"/>
    <w:rsid w:val="00AC4532"/>
    <w:rsid w:val="00AC4772"/>
    <w:rsid w:val="00AC4A52"/>
    <w:rsid w:val="00AC55C9"/>
    <w:rsid w:val="00AC5B33"/>
    <w:rsid w:val="00AC5D63"/>
    <w:rsid w:val="00AC6906"/>
    <w:rsid w:val="00AC728B"/>
    <w:rsid w:val="00AC78DF"/>
    <w:rsid w:val="00AD023A"/>
    <w:rsid w:val="00AD0E91"/>
    <w:rsid w:val="00AD0FC6"/>
    <w:rsid w:val="00AD10BF"/>
    <w:rsid w:val="00AD11E4"/>
    <w:rsid w:val="00AD1A8E"/>
    <w:rsid w:val="00AD20EE"/>
    <w:rsid w:val="00AD286C"/>
    <w:rsid w:val="00AD2A35"/>
    <w:rsid w:val="00AD2AC5"/>
    <w:rsid w:val="00AD36E5"/>
    <w:rsid w:val="00AD4071"/>
    <w:rsid w:val="00AD46D7"/>
    <w:rsid w:val="00AD4810"/>
    <w:rsid w:val="00AD561F"/>
    <w:rsid w:val="00AD5E6E"/>
    <w:rsid w:val="00AD6594"/>
    <w:rsid w:val="00AD66F0"/>
    <w:rsid w:val="00AD6709"/>
    <w:rsid w:val="00AD6770"/>
    <w:rsid w:val="00AD71C3"/>
    <w:rsid w:val="00AD7359"/>
    <w:rsid w:val="00AD79CE"/>
    <w:rsid w:val="00AD7FE9"/>
    <w:rsid w:val="00AE057B"/>
    <w:rsid w:val="00AE0625"/>
    <w:rsid w:val="00AE070F"/>
    <w:rsid w:val="00AE0746"/>
    <w:rsid w:val="00AE07CB"/>
    <w:rsid w:val="00AE17BE"/>
    <w:rsid w:val="00AE17E5"/>
    <w:rsid w:val="00AE17EE"/>
    <w:rsid w:val="00AE19FC"/>
    <w:rsid w:val="00AE1A24"/>
    <w:rsid w:val="00AE1AC8"/>
    <w:rsid w:val="00AE1D9A"/>
    <w:rsid w:val="00AE1EB3"/>
    <w:rsid w:val="00AE1F97"/>
    <w:rsid w:val="00AE1FE3"/>
    <w:rsid w:val="00AE435B"/>
    <w:rsid w:val="00AE45B2"/>
    <w:rsid w:val="00AE4EEC"/>
    <w:rsid w:val="00AE5070"/>
    <w:rsid w:val="00AE51B9"/>
    <w:rsid w:val="00AE560B"/>
    <w:rsid w:val="00AE5AE6"/>
    <w:rsid w:val="00AE5C4D"/>
    <w:rsid w:val="00AE6172"/>
    <w:rsid w:val="00AE66C3"/>
    <w:rsid w:val="00AE67F9"/>
    <w:rsid w:val="00AE6FF7"/>
    <w:rsid w:val="00AE73AB"/>
    <w:rsid w:val="00AE75D5"/>
    <w:rsid w:val="00AE784A"/>
    <w:rsid w:val="00AF0937"/>
    <w:rsid w:val="00AF09DC"/>
    <w:rsid w:val="00AF0A5D"/>
    <w:rsid w:val="00AF15CD"/>
    <w:rsid w:val="00AF17DE"/>
    <w:rsid w:val="00AF1DD0"/>
    <w:rsid w:val="00AF24DC"/>
    <w:rsid w:val="00AF29A2"/>
    <w:rsid w:val="00AF2AA0"/>
    <w:rsid w:val="00AF2C97"/>
    <w:rsid w:val="00AF2FE9"/>
    <w:rsid w:val="00AF30CC"/>
    <w:rsid w:val="00AF366F"/>
    <w:rsid w:val="00AF399C"/>
    <w:rsid w:val="00AF3BE2"/>
    <w:rsid w:val="00AF3FC3"/>
    <w:rsid w:val="00AF4625"/>
    <w:rsid w:val="00AF4648"/>
    <w:rsid w:val="00AF4CDC"/>
    <w:rsid w:val="00AF5277"/>
    <w:rsid w:val="00AF597B"/>
    <w:rsid w:val="00AF5BCD"/>
    <w:rsid w:val="00AF5C05"/>
    <w:rsid w:val="00AF5FC2"/>
    <w:rsid w:val="00AF6139"/>
    <w:rsid w:val="00AF746F"/>
    <w:rsid w:val="00AF7697"/>
    <w:rsid w:val="00AF7A9E"/>
    <w:rsid w:val="00AF7D56"/>
    <w:rsid w:val="00B003CF"/>
    <w:rsid w:val="00B00BD3"/>
    <w:rsid w:val="00B00E91"/>
    <w:rsid w:val="00B00FD7"/>
    <w:rsid w:val="00B01257"/>
    <w:rsid w:val="00B01517"/>
    <w:rsid w:val="00B01CD5"/>
    <w:rsid w:val="00B0208E"/>
    <w:rsid w:val="00B02294"/>
    <w:rsid w:val="00B02AF1"/>
    <w:rsid w:val="00B02B37"/>
    <w:rsid w:val="00B0331E"/>
    <w:rsid w:val="00B034EE"/>
    <w:rsid w:val="00B038BB"/>
    <w:rsid w:val="00B039B2"/>
    <w:rsid w:val="00B03F3F"/>
    <w:rsid w:val="00B041D5"/>
    <w:rsid w:val="00B04638"/>
    <w:rsid w:val="00B04855"/>
    <w:rsid w:val="00B048B6"/>
    <w:rsid w:val="00B04B6F"/>
    <w:rsid w:val="00B04F67"/>
    <w:rsid w:val="00B052C1"/>
    <w:rsid w:val="00B05505"/>
    <w:rsid w:val="00B05512"/>
    <w:rsid w:val="00B05573"/>
    <w:rsid w:val="00B0563D"/>
    <w:rsid w:val="00B05E10"/>
    <w:rsid w:val="00B05E41"/>
    <w:rsid w:val="00B070B6"/>
    <w:rsid w:val="00B077A3"/>
    <w:rsid w:val="00B0780C"/>
    <w:rsid w:val="00B07DC4"/>
    <w:rsid w:val="00B07E07"/>
    <w:rsid w:val="00B10522"/>
    <w:rsid w:val="00B10B99"/>
    <w:rsid w:val="00B10E2E"/>
    <w:rsid w:val="00B10F3C"/>
    <w:rsid w:val="00B10F60"/>
    <w:rsid w:val="00B1164D"/>
    <w:rsid w:val="00B118A1"/>
    <w:rsid w:val="00B11904"/>
    <w:rsid w:val="00B11A65"/>
    <w:rsid w:val="00B120E4"/>
    <w:rsid w:val="00B122C1"/>
    <w:rsid w:val="00B1312F"/>
    <w:rsid w:val="00B13168"/>
    <w:rsid w:val="00B132ED"/>
    <w:rsid w:val="00B13552"/>
    <w:rsid w:val="00B13969"/>
    <w:rsid w:val="00B139FB"/>
    <w:rsid w:val="00B13A3C"/>
    <w:rsid w:val="00B13B35"/>
    <w:rsid w:val="00B13B5A"/>
    <w:rsid w:val="00B1433D"/>
    <w:rsid w:val="00B148C2"/>
    <w:rsid w:val="00B14A1E"/>
    <w:rsid w:val="00B1567C"/>
    <w:rsid w:val="00B156F6"/>
    <w:rsid w:val="00B15F2F"/>
    <w:rsid w:val="00B161BF"/>
    <w:rsid w:val="00B165A2"/>
    <w:rsid w:val="00B16A01"/>
    <w:rsid w:val="00B176F9"/>
    <w:rsid w:val="00B17EE6"/>
    <w:rsid w:val="00B20194"/>
    <w:rsid w:val="00B20977"/>
    <w:rsid w:val="00B21399"/>
    <w:rsid w:val="00B21560"/>
    <w:rsid w:val="00B21AC6"/>
    <w:rsid w:val="00B21ADC"/>
    <w:rsid w:val="00B21B5C"/>
    <w:rsid w:val="00B22B83"/>
    <w:rsid w:val="00B231AE"/>
    <w:rsid w:val="00B23519"/>
    <w:rsid w:val="00B23723"/>
    <w:rsid w:val="00B237B2"/>
    <w:rsid w:val="00B239E5"/>
    <w:rsid w:val="00B23AD6"/>
    <w:rsid w:val="00B23D13"/>
    <w:rsid w:val="00B244BB"/>
    <w:rsid w:val="00B24512"/>
    <w:rsid w:val="00B24737"/>
    <w:rsid w:val="00B249F1"/>
    <w:rsid w:val="00B24F5D"/>
    <w:rsid w:val="00B256C7"/>
    <w:rsid w:val="00B267BF"/>
    <w:rsid w:val="00B26910"/>
    <w:rsid w:val="00B26986"/>
    <w:rsid w:val="00B26AEB"/>
    <w:rsid w:val="00B27172"/>
    <w:rsid w:val="00B27C95"/>
    <w:rsid w:val="00B27E58"/>
    <w:rsid w:val="00B303D8"/>
    <w:rsid w:val="00B30B2F"/>
    <w:rsid w:val="00B3106A"/>
    <w:rsid w:val="00B313AA"/>
    <w:rsid w:val="00B31855"/>
    <w:rsid w:val="00B3237B"/>
    <w:rsid w:val="00B32B74"/>
    <w:rsid w:val="00B33005"/>
    <w:rsid w:val="00B330B6"/>
    <w:rsid w:val="00B33586"/>
    <w:rsid w:val="00B33651"/>
    <w:rsid w:val="00B33887"/>
    <w:rsid w:val="00B33C92"/>
    <w:rsid w:val="00B344A6"/>
    <w:rsid w:val="00B34599"/>
    <w:rsid w:val="00B3494B"/>
    <w:rsid w:val="00B34CE1"/>
    <w:rsid w:val="00B34EB8"/>
    <w:rsid w:val="00B34F53"/>
    <w:rsid w:val="00B352D5"/>
    <w:rsid w:val="00B35488"/>
    <w:rsid w:val="00B35ACE"/>
    <w:rsid w:val="00B365BE"/>
    <w:rsid w:val="00B36B66"/>
    <w:rsid w:val="00B375E0"/>
    <w:rsid w:val="00B4008A"/>
    <w:rsid w:val="00B4010F"/>
    <w:rsid w:val="00B40883"/>
    <w:rsid w:val="00B40F83"/>
    <w:rsid w:val="00B4121B"/>
    <w:rsid w:val="00B41657"/>
    <w:rsid w:val="00B416FC"/>
    <w:rsid w:val="00B41BE3"/>
    <w:rsid w:val="00B42322"/>
    <w:rsid w:val="00B424DB"/>
    <w:rsid w:val="00B425AF"/>
    <w:rsid w:val="00B427FA"/>
    <w:rsid w:val="00B428DE"/>
    <w:rsid w:val="00B433EA"/>
    <w:rsid w:val="00B435FF"/>
    <w:rsid w:val="00B436C4"/>
    <w:rsid w:val="00B437C6"/>
    <w:rsid w:val="00B43959"/>
    <w:rsid w:val="00B43BD9"/>
    <w:rsid w:val="00B43C70"/>
    <w:rsid w:val="00B43EB7"/>
    <w:rsid w:val="00B43F3B"/>
    <w:rsid w:val="00B4495F"/>
    <w:rsid w:val="00B449E7"/>
    <w:rsid w:val="00B44C28"/>
    <w:rsid w:val="00B45001"/>
    <w:rsid w:val="00B4519C"/>
    <w:rsid w:val="00B4522C"/>
    <w:rsid w:val="00B452DA"/>
    <w:rsid w:val="00B46260"/>
    <w:rsid w:val="00B462F8"/>
    <w:rsid w:val="00B46856"/>
    <w:rsid w:val="00B46941"/>
    <w:rsid w:val="00B46ACB"/>
    <w:rsid w:val="00B46D6D"/>
    <w:rsid w:val="00B46DA8"/>
    <w:rsid w:val="00B470C7"/>
    <w:rsid w:val="00B4752F"/>
    <w:rsid w:val="00B47901"/>
    <w:rsid w:val="00B47D80"/>
    <w:rsid w:val="00B47DBF"/>
    <w:rsid w:val="00B47EC1"/>
    <w:rsid w:val="00B5037D"/>
    <w:rsid w:val="00B50E85"/>
    <w:rsid w:val="00B50FF5"/>
    <w:rsid w:val="00B510AE"/>
    <w:rsid w:val="00B514CF"/>
    <w:rsid w:val="00B516AE"/>
    <w:rsid w:val="00B51D83"/>
    <w:rsid w:val="00B51FFB"/>
    <w:rsid w:val="00B5205A"/>
    <w:rsid w:val="00B521C6"/>
    <w:rsid w:val="00B52647"/>
    <w:rsid w:val="00B52893"/>
    <w:rsid w:val="00B53B2E"/>
    <w:rsid w:val="00B53B90"/>
    <w:rsid w:val="00B53BD9"/>
    <w:rsid w:val="00B548D6"/>
    <w:rsid w:val="00B54A7B"/>
    <w:rsid w:val="00B551AC"/>
    <w:rsid w:val="00B56427"/>
    <w:rsid w:val="00B5671B"/>
    <w:rsid w:val="00B570B3"/>
    <w:rsid w:val="00B574DC"/>
    <w:rsid w:val="00B574F2"/>
    <w:rsid w:val="00B57A9D"/>
    <w:rsid w:val="00B57D41"/>
    <w:rsid w:val="00B60127"/>
    <w:rsid w:val="00B60A5B"/>
    <w:rsid w:val="00B60D7A"/>
    <w:rsid w:val="00B60DA9"/>
    <w:rsid w:val="00B61070"/>
    <w:rsid w:val="00B612F8"/>
    <w:rsid w:val="00B61468"/>
    <w:rsid w:val="00B61490"/>
    <w:rsid w:val="00B619C1"/>
    <w:rsid w:val="00B624F0"/>
    <w:rsid w:val="00B62627"/>
    <w:rsid w:val="00B6278B"/>
    <w:rsid w:val="00B62802"/>
    <w:rsid w:val="00B629CB"/>
    <w:rsid w:val="00B62BC0"/>
    <w:rsid w:val="00B62C22"/>
    <w:rsid w:val="00B62E35"/>
    <w:rsid w:val="00B62ECA"/>
    <w:rsid w:val="00B63156"/>
    <w:rsid w:val="00B632FA"/>
    <w:rsid w:val="00B63701"/>
    <w:rsid w:val="00B63E50"/>
    <w:rsid w:val="00B63F2C"/>
    <w:rsid w:val="00B6405A"/>
    <w:rsid w:val="00B642E6"/>
    <w:rsid w:val="00B6455D"/>
    <w:rsid w:val="00B64699"/>
    <w:rsid w:val="00B65696"/>
    <w:rsid w:val="00B65AB1"/>
    <w:rsid w:val="00B65B86"/>
    <w:rsid w:val="00B662F1"/>
    <w:rsid w:val="00B664E8"/>
    <w:rsid w:val="00B6696C"/>
    <w:rsid w:val="00B66A85"/>
    <w:rsid w:val="00B66CC3"/>
    <w:rsid w:val="00B66E55"/>
    <w:rsid w:val="00B6748E"/>
    <w:rsid w:val="00B674E7"/>
    <w:rsid w:val="00B676AE"/>
    <w:rsid w:val="00B678FB"/>
    <w:rsid w:val="00B703CC"/>
    <w:rsid w:val="00B704DA"/>
    <w:rsid w:val="00B70B71"/>
    <w:rsid w:val="00B70C65"/>
    <w:rsid w:val="00B70ECB"/>
    <w:rsid w:val="00B71DAC"/>
    <w:rsid w:val="00B720C6"/>
    <w:rsid w:val="00B72239"/>
    <w:rsid w:val="00B72636"/>
    <w:rsid w:val="00B72F09"/>
    <w:rsid w:val="00B72F0C"/>
    <w:rsid w:val="00B730FF"/>
    <w:rsid w:val="00B73530"/>
    <w:rsid w:val="00B7354A"/>
    <w:rsid w:val="00B73F9D"/>
    <w:rsid w:val="00B74316"/>
    <w:rsid w:val="00B7431E"/>
    <w:rsid w:val="00B74471"/>
    <w:rsid w:val="00B75277"/>
    <w:rsid w:val="00B75815"/>
    <w:rsid w:val="00B75830"/>
    <w:rsid w:val="00B759A6"/>
    <w:rsid w:val="00B75B0F"/>
    <w:rsid w:val="00B7616D"/>
    <w:rsid w:val="00B76881"/>
    <w:rsid w:val="00B76D5B"/>
    <w:rsid w:val="00B76E9A"/>
    <w:rsid w:val="00B773ED"/>
    <w:rsid w:val="00B77502"/>
    <w:rsid w:val="00B77733"/>
    <w:rsid w:val="00B77F13"/>
    <w:rsid w:val="00B80126"/>
    <w:rsid w:val="00B813B3"/>
    <w:rsid w:val="00B81518"/>
    <w:rsid w:val="00B815EA"/>
    <w:rsid w:val="00B81885"/>
    <w:rsid w:val="00B81ACD"/>
    <w:rsid w:val="00B81C50"/>
    <w:rsid w:val="00B81F17"/>
    <w:rsid w:val="00B81F7D"/>
    <w:rsid w:val="00B827FB"/>
    <w:rsid w:val="00B82A96"/>
    <w:rsid w:val="00B82D7A"/>
    <w:rsid w:val="00B8306F"/>
    <w:rsid w:val="00B830B7"/>
    <w:rsid w:val="00B83AF2"/>
    <w:rsid w:val="00B84150"/>
    <w:rsid w:val="00B8462B"/>
    <w:rsid w:val="00B84766"/>
    <w:rsid w:val="00B849D2"/>
    <w:rsid w:val="00B855D7"/>
    <w:rsid w:val="00B858AA"/>
    <w:rsid w:val="00B85B61"/>
    <w:rsid w:val="00B8647E"/>
    <w:rsid w:val="00B8692F"/>
    <w:rsid w:val="00B86B08"/>
    <w:rsid w:val="00B87671"/>
    <w:rsid w:val="00B879D4"/>
    <w:rsid w:val="00B87C4A"/>
    <w:rsid w:val="00B900EB"/>
    <w:rsid w:val="00B90B0F"/>
    <w:rsid w:val="00B90DAB"/>
    <w:rsid w:val="00B91182"/>
    <w:rsid w:val="00B914E7"/>
    <w:rsid w:val="00B91630"/>
    <w:rsid w:val="00B91954"/>
    <w:rsid w:val="00B91DD2"/>
    <w:rsid w:val="00B930DE"/>
    <w:rsid w:val="00B93183"/>
    <w:rsid w:val="00B93315"/>
    <w:rsid w:val="00B9358C"/>
    <w:rsid w:val="00B936D0"/>
    <w:rsid w:val="00B9395C"/>
    <w:rsid w:val="00B9488D"/>
    <w:rsid w:val="00B94D83"/>
    <w:rsid w:val="00B953AA"/>
    <w:rsid w:val="00B954D8"/>
    <w:rsid w:val="00B955C5"/>
    <w:rsid w:val="00B9598C"/>
    <w:rsid w:val="00B95DFE"/>
    <w:rsid w:val="00B95E45"/>
    <w:rsid w:val="00B95F06"/>
    <w:rsid w:val="00B968C2"/>
    <w:rsid w:val="00B96FC6"/>
    <w:rsid w:val="00B97122"/>
    <w:rsid w:val="00B971EA"/>
    <w:rsid w:val="00B977D8"/>
    <w:rsid w:val="00B97883"/>
    <w:rsid w:val="00B97E9A"/>
    <w:rsid w:val="00BA0316"/>
    <w:rsid w:val="00BA0752"/>
    <w:rsid w:val="00BA07F3"/>
    <w:rsid w:val="00BA0AAF"/>
    <w:rsid w:val="00BA0D5F"/>
    <w:rsid w:val="00BA106B"/>
    <w:rsid w:val="00BA16E9"/>
    <w:rsid w:val="00BA1DF6"/>
    <w:rsid w:val="00BA2653"/>
    <w:rsid w:val="00BA304F"/>
    <w:rsid w:val="00BA32D5"/>
    <w:rsid w:val="00BA3A1D"/>
    <w:rsid w:val="00BA411A"/>
    <w:rsid w:val="00BA4661"/>
    <w:rsid w:val="00BA4A4C"/>
    <w:rsid w:val="00BA53F8"/>
    <w:rsid w:val="00BA5596"/>
    <w:rsid w:val="00BA560F"/>
    <w:rsid w:val="00BA6409"/>
    <w:rsid w:val="00BA6634"/>
    <w:rsid w:val="00BA6766"/>
    <w:rsid w:val="00BA6B9B"/>
    <w:rsid w:val="00BA6F21"/>
    <w:rsid w:val="00BA79E7"/>
    <w:rsid w:val="00BA7AD1"/>
    <w:rsid w:val="00BA7ADA"/>
    <w:rsid w:val="00BB01BB"/>
    <w:rsid w:val="00BB0339"/>
    <w:rsid w:val="00BB0348"/>
    <w:rsid w:val="00BB0899"/>
    <w:rsid w:val="00BB1418"/>
    <w:rsid w:val="00BB157E"/>
    <w:rsid w:val="00BB15CF"/>
    <w:rsid w:val="00BB1B5B"/>
    <w:rsid w:val="00BB1E3C"/>
    <w:rsid w:val="00BB217A"/>
    <w:rsid w:val="00BB3480"/>
    <w:rsid w:val="00BB38E2"/>
    <w:rsid w:val="00BB3B34"/>
    <w:rsid w:val="00BB3BC9"/>
    <w:rsid w:val="00BB3C2D"/>
    <w:rsid w:val="00BB4180"/>
    <w:rsid w:val="00BB42AA"/>
    <w:rsid w:val="00BB473B"/>
    <w:rsid w:val="00BB4776"/>
    <w:rsid w:val="00BB4783"/>
    <w:rsid w:val="00BB495E"/>
    <w:rsid w:val="00BB4A31"/>
    <w:rsid w:val="00BB4C78"/>
    <w:rsid w:val="00BB4CA8"/>
    <w:rsid w:val="00BB4DF4"/>
    <w:rsid w:val="00BB5495"/>
    <w:rsid w:val="00BB5742"/>
    <w:rsid w:val="00BB5793"/>
    <w:rsid w:val="00BB591F"/>
    <w:rsid w:val="00BB59D4"/>
    <w:rsid w:val="00BB5EBD"/>
    <w:rsid w:val="00BB6343"/>
    <w:rsid w:val="00BB639D"/>
    <w:rsid w:val="00BB660F"/>
    <w:rsid w:val="00BB672E"/>
    <w:rsid w:val="00BB6AB9"/>
    <w:rsid w:val="00BB71B5"/>
    <w:rsid w:val="00BB793C"/>
    <w:rsid w:val="00BC041C"/>
    <w:rsid w:val="00BC05EF"/>
    <w:rsid w:val="00BC1A2A"/>
    <w:rsid w:val="00BC1F91"/>
    <w:rsid w:val="00BC2641"/>
    <w:rsid w:val="00BC2FAF"/>
    <w:rsid w:val="00BC3155"/>
    <w:rsid w:val="00BC3468"/>
    <w:rsid w:val="00BC34A8"/>
    <w:rsid w:val="00BC37EF"/>
    <w:rsid w:val="00BC381D"/>
    <w:rsid w:val="00BC392B"/>
    <w:rsid w:val="00BC3F80"/>
    <w:rsid w:val="00BC4210"/>
    <w:rsid w:val="00BC4770"/>
    <w:rsid w:val="00BC4EE4"/>
    <w:rsid w:val="00BC4F54"/>
    <w:rsid w:val="00BC5250"/>
    <w:rsid w:val="00BC54AD"/>
    <w:rsid w:val="00BC5659"/>
    <w:rsid w:val="00BC5D9F"/>
    <w:rsid w:val="00BC6102"/>
    <w:rsid w:val="00BC61C7"/>
    <w:rsid w:val="00BC63F7"/>
    <w:rsid w:val="00BC6DAA"/>
    <w:rsid w:val="00BD0044"/>
    <w:rsid w:val="00BD0273"/>
    <w:rsid w:val="00BD0873"/>
    <w:rsid w:val="00BD0DCA"/>
    <w:rsid w:val="00BD0E67"/>
    <w:rsid w:val="00BD12B2"/>
    <w:rsid w:val="00BD16BA"/>
    <w:rsid w:val="00BD1919"/>
    <w:rsid w:val="00BD1AD9"/>
    <w:rsid w:val="00BD1D72"/>
    <w:rsid w:val="00BD1DB3"/>
    <w:rsid w:val="00BD22E1"/>
    <w:rsid w:val="00BD24D8"/>
    <w:rsid w:val="00BD2613"/>
    <w:rsid w:val="00BD264B"/>
    <w:rsid w:val="00BD2726"/>
    <w:rsid w:val="00BD272C"/>
    <w:rsid w:val="00BD2823"/>
    <w:rsid w:val="00BD36C4"/>
    <w:rsid w:val="00BD38C1"/>
    <w:rsid w:val="00BD461D"/>
    <w:rsid w:val="00BD5020"/>
    <w:rsid w:val="00BD61FB"/>
    <w:rsid w:val="00BD639C"/>
    <w:rsid w:val="00BD661B"/>
    <w:rsid w:val="00BD669E"/>
    <w:rsid w:val="00BD6A7C"/>
    <w:rsid w:val="00BD6E44"/>
    <w:rsid w:val="00BD706A"/>
    <w:rsid w:val="00BD71DC"/>
    <w:rsid w:val="00BD7D06"/>
    <w:rsid w:val="00BE07CC"/>
    <w:rsid w:val="00BE0871"/>
    <w:rsid w:val="00BE0DB8"/>
    <w:rsid w:val="00BE115B"/>
    <w:rsid w:val="00BE12F1"/>
    <w:rsid w:val="00BE144C"/>
    <w:rsid w:val="00BE14B5"/>
    <w:rsid w:val="00BE1830"/>
    <w:rsid w:val="00BE1B44"/>
    <w:rsid w:val="00BE1CB2"/>
    <w:rsid w:val="00BE1FD1"/>
    <w:rsid w:val="00BE2D3B"/>
    <w:rsid w:val="00BE2E2C"/>
    <w:rsid w:val="00BE3616"/>
    <w:rsid w:val="00BE393D"/>
    <w:rsid w:val="00BE3B10"/>
    <w:rsid w:val="00BE4041"/>
    <w:rsid w:val="00BE4877"/>
    <w:rsid w:val="00BE4A42"/>
    <w:rsid w:val="00BE4B23"/>
    <w:rsid w:val="00BE4D8B"/>
    <w:rsid w:val="00BE50A2"/>
    <w:rsid w:val="00BE5913"/>
    <w:rsid w:val="00BE5933"/>
    <w:rsid w:val="00BE5A52"/>
    <w:rsid w:val="00BE5C3B"/>
    <w:rsid w:val="00BE6883"/>
    <w:rsid w:val="00BE68AB"/>
    <w:rsid w:val="00BE6A2D"/>
    <w:rsid w:val="00BE77EA"/>
    <w:rsid w:val="00BE7A72"/>
    <w:rsid w:val="00BE7B82"/>
    <w:rsid w:val="00BE7FFD"/>
    <w:rsid w:val="00BF013F"/>
    <w:rsid w:val="00BF0239"/>
    <w:rsid w:val="00BF0547"/>
    <w:rsid w:val="00BF0A90"/>
    <w:rsid w:val="00BF0BF6"/>
    <w:rsid w:val="00BF10A6"/>
    <w:rsid w:val="00BF1400"/>
    <w:rsid w:val="00BF1788"/>
    <w:rsid w:val="00BF17F6"/>
    <w:rsid w:val="00BF2F03"/>
    <w:rsid w:val="00BF3418"/>
    <w:rsid w:val="00BF3B01"/>
    <w:rsid w:val="00BF3C70"/>
    <w:rsid w:val="00BF3CB1"/>
    <w:rsid w:val="00BF3F0C"/>
    <w:rsid w:val="00BF450C"/>
    <w:rsid w:val="00BF463F"/>
    <w:rsid w:val="00BF46E3"/>
    <w:rsid w:val="00BF4890"/>
    <w:rsid w:val="00BF4A16"/>
    <w:rsid w:val="00BF4BE6"/>
    <w:rsid w:val="00BF4C5B"/>
    <w:rsid w:val="00BF4D2D"/>
    <w:rsid w:val="00BF57C7"/>
    <w:rsid w:val="00BF596F"/>
    <w:rsid w:val="00BF60EB"/>
    <w:rsid w:val="00BF640D"/>
    <w:rsid w:val="00BF6B6C"/>
    <w:rsid w:val="00BF721B"/>
    <w:rsid w:val="00BF7C32"/>
    <w:rsid w:val="00BF7CE8"/>
    <w:rsid w:val="00BF7E98"/>
    <w:rsid w:val="00C00126"/>
    <w:rsid w:val="00C00158"/>
    <w:rsid w:val="00C00230"/>
    <w:rsid w:val="00C003C1"/>
    <w:rsid w:val="00C007FB"/>
    <w:rsid w:val="00C00D44"/>
    <w:rsid w:val="00C0241A"/>
    <w:rsid w:val="00C02C8E"/>
    <w:rsid w:val="00C0315F"/>
    <w:rsid w:val="00C0382E"/>
    <w:rsid w:val="00C03C23"/>
    <w:rsid w:val="00C03FBA"/>
    <w:rsid w:val="00C04810"/>
    <w:rsid w:val="00C04C78"/>
    <w:rsid w:val="00C05168"/>
    <w:rsid w:val="00C0536C"/>
    <w:rsid w:val="00C05801"/>
    <w:rsid w:val="00C05902"/>
    <w:rsid w:val="00C05944"/>
    <w:rsid w:val="00C05E2D"/>
    <w:rsid w:val="00C05EEA"/>
    <w:rsid w:val="00C06688"/>
    <w:rsid w:val="00C06A37"/>
    <w:rsid w:val="00C06ED4"/>
    <w:rsid w:val="00C0715F"/>
    <w:rsid w:val="00C071D8"/>
    <w:rsid w:val="00C076E0"/>
    <w:rsid w:val="00C079A7"/>
    <w:rsid w:val="00C079CF"/>
    <w:rsid w:val="00C07F0E"/>
    <w:rsid w:val="00C100F5"/>
    <w:rsid w:val="00C1011C"/>
    <w:rsid w:val="00C1123A"/>
    <w:rsid w:val="00C1154E"/>
    <w:rsid w:val="00C115B8"/>
    <w:rsid w:val="00C11C17"/>
    <w:rsid w:val="00C11DC3"/>
    <w:rsid w:val="00C11E7E"/>
    <w:rsid w:val="00C12235"/>
    <w:rsid w:val="00C12273"/>
    <w:rsid w:val="00C1258F"/>
    <w:rsid w:val="00C12A0C"/>
    <w:rsid w:val="00C12F12"/>
    <w:rsid w:val="00C12FCC"/>
    <w:rsid w:val="00C1371D"/>
    <w:rsid w:val="00C13BF3"/>
    <w:rsid w:val="00C1407C"/>
    <w:rsid w:val="00C150CC"/>
    <w:rsid w:val="00C1543D"/>
    <w:rsid w:val="00C157BF"/>
    <w:rsid w:val="00C15A2E"/>
    <w:rsid w:val="00C15C2E"/>
    <w:rsid w:val="00C15CBF"/>
    <w:rsid w:val="00C173E3"/>
    <w:rsid w:val="00C1766E"/>
    <w:rsid w:val="00C178DD"/>
    <w:rsid w:val="00C203DE"/>
    <w:rsid w:val="00C2088A"/>
    <w:rsid w:val="00C21702"/>
    <w:rsid w:val="00C21D97"/>
    <w:rsid w:val="00C21DB6"/>
    <w:rsid w:val="00C21F6F"/>
    <w:rsid w:val="00C22637"/>
    <w:rsid w:val="00C22719"/>
    <w:rsid w:val="00C22BAE"/>
    <w:rsid w:val="00C23076"/>
    <w:rsid w:val="00C2313D"/>
    <w:rsid w:val="00C2338A"/>
    <w:rsid w:val="00C23B84"/>
    <w:rsid w:val="00C2519A"/>
    <w:rsid w:val="00C2550D"/>
    <w:rsid w:val="00C256A6"/>
    <w:rsid w:val="00C25A14"/>
    <w:rsid w:val="00C25EF7"/>
    <w:rsid w:val="00C26123"/>
    <w:rsid w:val="00C2617D"/>
    <w:rsid w:val="00C262B8"/>
    <w:rsid w:val="00C2695D"/>
    <w:rsid w:val="00C26B79"/>
    <w:rsid w:val="00C27327"/>
    <w:rsid w:val="00C273BE"/>
    <w:rsid w:val="00C2796A"/>
    <w:rsid w:val="00C27BEB"/>
    <w:rsid w:val="00C27DC3"/>
    <w:rsid w:val="00C27E91"/>
    <w:rsid w:val="00C301B7"/>
    <w:rsid w:val="00C30310"/>
    <w:rsid w:val="00C30356"/>
    <w:rsid w:val="00C30809"/>
    <w:rsid w:val="00C309B3"/>
    <w:rsid w:val="00C30B33"/>
    <w:rsid w:val="00C3160A"/>
    <w:rsid w:val="00C31722"/>
    <w:rsid w:val="00C31766"/>
    <w:rsid w:val="00C31C07"/>
    <w:rsid w:val="00C31C57"/>
    <w:rsid w:val="00C31E26"/>
    <w:rsid w:val="00C31E5E"/>
    <w:rsid w:val="00C322A4"/>
    <w:rsid w:val="00C3343D"/>
    <w:rsid w:val="00C33677"/>
    <w:rsid w:val="00C3391F"/>
    <w:rsid w:val="00C33BCB"/>
    <w:rsid w:val="00C33BEF"/>
    <w:rsid w:val="00C33DC9"/>
    <w:rsid w:val="00C34048"/>
    <w:rsid w:val="00C3406C"/>
    <w:rsid w:val="00C342DD"/>
    <w:rsid w:val="00C34447"/>
    <w:rsid w:val="00C3474A"/>
    <w:rsid w:val="00C34DDD"/>
    <w:rsid w:val="00C34DFE"/>
    <w:rsid w:val="00C34F4F"/>
    <w:rsid w:val="00C354E4"/>
    <w:rsid w:val="00C35607"/>
    <w:rsid w:val="00C35F66"/>
    <w:rsid w:val="00C36680"/>
    <w:rsid w:val="00C36719"/>
    <w:rsid w:val="00C36F37"/>
    <w:rsid w:val="00C37CD0"/>
    <w:rsid w:val="00C4007A"/>
    <w:rsid w:val="00C404D5"/>
    <w:rsid w:val="00C406A8"/>
    <w:rsid w:val="00C40ABF"/>
    <w:rsid w:val="00C40B10"/>
    <w:rsid w:val="00C40BA1"/>
    <w:rsid w:val="00C40ED8"/>
    <w:rsid w:val="00C41B67"/>
    <w:rsid w:val="00C41BEC"/>
    <w:rsid w:val="00C41D97"/>
    <w:rsid w:val="00C41F20"/>
    <w:rsid w:val="00C4256E"/>
    <w:rsid w:val="00C427CE"/>
    <w:rsid w:val="00C42DD4"/>
    <w:rsid w:val="00C42FAC"/>
    <w:rsid w:val="00C435A3"/>
    <w:rsid w:val="00C4361F"/>
    <w:rsid w:val="00C4393F"/>
    <w:rsid w:val="00C44390"/>
    <w:rsid w:val="00C444F6"/>
    <w:rsid w:val="00C44511"/>
    <w:rsid w:val="00C4462B"/>
    <w:rsid w:val="00C448A5"/>
    <w:rsid w:val="00C44D66"/>
    <w:rsid w:val="00C45AA5"/>
    <w:rsid w:val="00C45F4E"/>
    <w:rsid w:val="00C4661A"/>
    <w:rsid w:val="00C46BB3"/>
    <w:rsid w:val="00C46BFD"/>
    <w:rsid w:val="00C475EC"/>
    <w:rsid w:val="00C47DCD"/>
    <w:rsid w:val="00C47E23"/>
    <w:rsid w:val="00C47F66"/>
    <w:rsid w:val="00C502A1"/>
    <w:rsid w:val="00C50585"/>
    <w:rsid w:val="00C50A11"/>
    <w:rsid w:val="00C50C4D"/>
    <w:rsid w:val="00C50E67"/>
    <w:rsid w:val="00C511C8"/>
    <w:rsid w:val="00C5138D"/>
    <w:rsid w:val="00C51404"/>
    <w:rsid w:val="00C518CC"/>
    <w:rsid w:val="00C51A23"/>
    <w:rsid w:val="00C51B1B"/>
    <w:rsid w:val="00C51DE2"/>
    <w:rsid w:val="00C527F6"/>
    <w:rsid w:val="00C52982"/>
    <w:rsid w:val="00C532B4"/>
    <w:rsid w:val="00C53624"/>
    <w:rsid w:val="00C54677"/>
    <w:rsid w:val="00C54678"/>
    <w:rsid w:val="00C547C6"/>
    <w:rsid w:val="00C547F5"/>
    <w:rsid w:val="00C548FD"/>
    <w:rsid w:val="00C54FC3"/>
    <w:rsid w:val="00C55139"/>
    <w:rsid w:val="00C554F6"/>
    <w:rsid w:val="00C55C28"/>
    <w:rsid w:val="00C55D3F"/>
    <w:rsid w:val="00C5602B"/>
    <w:rsid w:val="00C560BA"/>
    <w:rsid w:val="00C56284"/>
    <w:rsid w:val="00C5630E"/>
    <w:rsid w:val="00C569C2"/>
    <w:rsid w:val="00C572BE"/>
    <w:rsid w:val="00C5766D"/>
    <w:rsid w:val="00C57931"/>
    <w:rsid w:val="00C57B9C"/>
    <w:rsid w:val="00C57C9B"/>
    <w:rsid w:val="00C6020D"/>
    <w:rsid w:val="00C604C2"/>
    <w:rsid w:val="00C60818"/>
    <w:rsid w:val="00C60C0B"/>
    <w:rsid w:val="00C60C80"/>
    <w:rsid w:val="00C61C2F"/>
    <w:rsid w:val="00C61F67"/>
    <w:rsid w:val="00C61FE9"/>
    <w:rsid w:val="00C622EE"/>
    <w:rsid w:val="00C623C8"/>
    <w:rsid w:val="00C62884"/>
    <w:rsid w:val="00C628FD"/>
    <w:rsid w:val="00C6362A"/>
    <w:rsid w:val="00C6397C"/>
    <w:rsid w:val="00C63CD4"/>
    <w:rsid w:val="00C644A7"/>
    <w:rsid w:val="00C648EA"/>
    <w:rsid w:val="00C65562"/>
    <w:rsid w:val="00C65A97"/>
    <w:rsid w:val="00C6645D"/>
    <w:rsid w:val="00C66841"/>
    <w:rsid w:val="00C669E4"/>
    <w:rsid w:val="00C66D16"/>
    <w:rsid w:val="00C67B8F"/>
    <w:rsid w:val="00C67DEF"/>
    <w:rsid w:val="00C70367"/>
    <w:rsid w:val="00C70959"/>
    <w:rsid w:val="00C7095A"/>
    <w:rsid w:val="00C71998"/>
    <w:rsid w:val="00C72095"/>
    <w:rsid w:val="00C73291"/>
    <w:rsid w:val="00C737DE"/>
    <w:rsid w:val="00C73829"/>
    <w:rsid w:val="00C7385B"/>
    <w:rsid w:val="00C73A60"/>
    <w:rsid w:val="00C74C61"/>
    <w:rsid w:val="00C74E3E"/>
    <w:rsid w:val="00C75099"/>
    <w:rsid w:val="00C750DA"/>
    <w:rsid w:val="00C75471"/>
    <w:rsid w:val="00C75F95"/>
    <w:rsid w:val="00C76205"/>
    <w:rsid w:val="00C762E7"/>
    <w:rsid w:val="00C765D2"/>
    <w:rsid w:val="00C7696D"/>
    <w:rsid w:val="00C76ADF"/>
    <w:rsid w:val="00C77A2B"/>
    <w:rsid w:val="00C77C45"/>
    <w:rsid w:val="00C77F30"/>
    <w:rsid w:val="00C809B7"/>
    <w:rsid w:val="00C80F1F"/>
    <w:rsid w:val="00C80FF8"/>
    <w:rsid w:val="00C810CE"/>
    <w:rsid w:val="00C81359"/>
    <w:rsid w:val="00C814F8"/>
    <w:rsid w:val="00C81540"/>
    <w:rsid w:val="00C81698"/>
    <w:rsid w:val="00C818C7"/>
    <w:rsid w:val="00C8197B"/>
    <w:rsid w:val="00C81E99"/>
    <w:rsid w:val="00C81F2C"/>
    <w:rsid w:val="00C82290"/>
    <w:rsid w:val="00C8274D"/>
    <w:rsid w:val="00C827CB"/>
    <w:rsid w:val="00C829F3"/>
    <w:rsid w:val="00C82E95"/>
    <w:rsid w:val="00C83027"/>
    <w:rsid w:val="00C8313B"/>
    <w:rsid w:val="00C83174"/>
    <w:rsid w:val="00C83458"/>
    <w:rsid w:val="00C83736"/>
    <w:rsid w:val="00C83799"/>
    <w:rsid w:val="00C83816"/>
    <w:rsid w:val="00C83BA4"/>
    <w:rsid w:val="00C83C66"/>
    <w:rsid w:val="00C84085"/>
    <w:rsid w:val="00C841A1"/>
    <w:rsid w:val="00C84771"/>
    <w:rsid w:val="00C8484B"/>
    <w:rsid w:val="00C84B09"/>
    <w:rsid w:val="00C84CD8"/>
    <w:rsid w:val="00C84DDA"/>
    <w:rsid w:val="00C853FD"/>
    <w:rsid w:val="00C85410"/>
    <w:rsid w:val="00C858E2"/>
    <w:rsid w:val="00C85CD5"/>
    <w:rsid w:val="00C85E81"/>
    <w:rsid w:val="00C85ED3"/>
    <w:rsid w:val="00C860E9"/>
    <w:rsid w:val="00C86912"/>
    <w:rsid w:val="00C87389"/>
    <w:rsid w:val="00C8780B"/>
    <w:rsid w:val="00C903B1"/>
    <w:rsid w:val="00C90B60"/>
    <w:rsid w:val="00C90DE8"/>
    <w:rsid w:val="00C91312"/>
    <w:rsid w:val="00C9149E"/>
    <w:rsid w:val="00C9150F"/>
    <w:rsid w:val="00C91A85"/>
    <w:rsid w:val="00C91A8C"/>
    <w:rsid w:val="00C91C20"/>
    <w:rsid w:val="00C93074"/>
    <w:rsid w:val="00C93931"/>
    <w:rsid w:val="00C943FE"/>
    <w:rsid w:val="00C94613"/>
    <w:rsid w:val="00C94E40"/>
    <w:rsid w:val="00C95073"/>
    <w:rsid w:val="00C950C9"/>
    <w:rsid w:val="00C95174"/>
    <w:rsid w:val="00C951C9"/>
    <w:rsid w:val="00C953AC"/>
    <w:rsid w:val="00C955AC"/>
    <w:rsid w:val="00C95C41"/>
    <w:rsid w:val="00C964D9"/>
    <w:rsid w:val="00C96626"/>
    <w:rsid w:val="00C96842"/>
    <w:rsid w:val="00C970D8"/>
    <w:rsid w:val="00C975EF"/>
    <w:rsid w:val="00C97627"/>
    <w:rsid w:val="00C978E8"/>
    <w:rsid w:val="00C97E03"/>
    <w:rsid w:val="00CA0225"/>
    <w:rsid w:val="00CA0359"/>
    <w:rsid w:val="00CA07D1"/>
    <w:rsid w:val="00CA0ADF"/>
    <w:rsid w:val="00CA0FBC"/>
    <w:rsid w:val="00CA1079"/>
    <w:rsid w:val="00CA120A"/>
    <w:rsid w:val="00CA13C2"/>
    <w:rsid w:val="00CA18AB"/>
    <w:rsid w:val="00CA1BB1"/>
    <w:rsid w:val="00CA2373"/>
    <w:rsid w:val="00CA248E"/>
    <w:rsid w:val="00CA252F"/>
    <w:rsid w:val="00CA288A"/>
    <w:rsid w:val="00CA28D6"/>
    <w:rsid w:val="00CA2E9A"/>
    <w:rsid w:val="00CA3448"/>
    <w:rsid w:val="00CA3794"/>
    <w:rsid w:val="00CA45FF"/>
    <w:rsid w:val="00CA48FE"/>
    <w:rsid w:val="00CA4B2B"/>
    <w:rsid w:val="00CA4FC2"/>
    <w:rsid w:val="00CA5400"/>
    <w:rsid w:val="00CA6171"/>
    <w:rsid w:val="00CA63DE"/>
    <w:rsid w:val="00CA6D04"/>
    <w:rsid w:val="00CA71F3"/>
    <w:rsid w:val="00CA73DF"/>
    <w:rsid w:val="00CA7C5E"/>
    <w:rsid w:val="00CA7D9B"/>
    <w:rsid w:val="00CA7EF4"/>
    <w:rsid w:val="00CB02CB"/>
    <w:rsid w:val="00CB064D"/>
    <w:rsid w:val="00CB0915"/>
    <w:rsid w:val="00CB0A16"/>
    <w:rsid w:val="00CB0D08"/>
    <w:rsid w:val="00CB13A8"/>
    <w:rsid w:val="00CB14E8"/>
    <w:rsid w:val="00CB160C"/>
    <w:rsid w:val="00CB16E6"/>
    <w:rsid w:val="00CB1A98"/>
    <w:rsid w:val="00CB25D3"/>
    <w:rsid w:val="00CB295D"/>
    <w:rsid w:val="00CB2B17"/>
    <w:rsid w:val="00CB2B8D"/>
    <w:rsid w:val="00CB2C55"/>
    <w:rsid w:val="00CB2F57"/>
    <w:rsid w:val="00CB3483"/>
    <w:rsid w:val="00CB3BB0"/>
    <w:rsid w:val="00CB40C1"/>
    <w:rsid w:val="00CB42FE"/>
    <w:rsid w:val="00CB4D0D"/>
    <w:rsid w:val="00CB4D75"/>
    <w:rsid w:val="00CB52AE"/>
    <w:rsid w:val="00CB5390"/>
    <w:rsid w:val="00CB546E"/>
    <w:rsid w:val="00CB5825"/>
    <w:rsid w:val="00CB5BEE"/>
    <w:rsid w:val="00CB6489"/>
    <w:rsid w:val="00CB675B"/>
    <w:rsid w:val="00CB73D7"/>
    <w:rsid w:val="00CB7F17"/>
    <w:rsid w:val="00CC00E0"/>
    <w:rsid w:val="00CC028C"/>
    <w:rsid w:val="00CC0440"/>
    <w:rsid w:val="00CC0445"/>
    <w:rsid w:val="00CC1124"/>
    <w:rsid w:val="00CC113E"/>
    <w:rsid w:val="00CC17E2"/>
    <w:rsid w:val="00CC18E1"/>
    <w:rsid w:val="00CC1942"/>
    <w:rsid w:val="00CC1BA6"/>
    <w:rsid w:val="00CC1CAD"/>
    <w:rsid w:val="00CC1FAC"/>
    <w:rsid w:val="00CC20AA"/>
    <w:rsid w:val="00CC2536"/>
    <w:rsid w:val="00CC25B8"/>
    <w:rsid w:val="00CC2606"/>
    <w:rsid w:val="00CC26AD"/>
    <w:rsid w:val="00CC314D"/>
    <w:rsid w:val="00CC3A23"/>
    <w:rsid w:val="00CC3ED5"/>
    <w:rsid w:val="00CC420C"/>
    <w:rsid w:val="00CC4AC9"/>
    <w:rsid w:val="00CC5020"/>
    <w:rsid w:val="00CC5245"/>
    <w:rsid w:val="00CC58A9"/>
    <w:rsid w:val="00CC611F"/>
    <w:rsid w:val="00CC6B4E"/>
    <w:rsid w:val="00CC6C32"/>
    <w:rsid w:val="00CC6C9E"/>
    <w:rsid w:val="00CC6DE6"/>
    <w:rsid w:val="00CC6DFC"/>
    <w:rsid w:val="00CC73C4"/>
    <w:rsid w:val="00CC7916"/>
    <w:rsid w:val="00CC79B9"/>
    <w:rsid w:val="00CC7CAB"/>
    <w:rsid w:val="00CC7E80"/>
    <w:rsid w:val="00CC7EAF"/>
    <w:rsid w:val="00CD0020"/>
    <w:rsid w:val="00CD00BE"/>
    <w:rsid w:val="00CD0529"/>
    <w:rsid w:val="00CD1497"/>
    <w:rsid w:val="00CD1B3F"/>
    <w:rsid w:val="00CD2312"/>
    <w:rsid w:val="00CD27D6"/>
    <w:rsid w:val="00CD2D89"/>
    <w:rsid w:val="00CD3060"/>
    <w:rsid w:val="00CD3211"/>
    <w:rsid w:val="00CD338C"/>
    <w:rsid w:val="00CD3FD0"/>
    <w:rsid w:val="00CD45A5"/>
    <w:rsid w:val="00CD4ABE"/>
    <w:rsid w:val="00CD4D03"/>
    <w:rsid w:val="00CD4DA7"/>
    <w:rsid w:val="00CD54BA"/>
    <w:rsid w:val="00CD5BBB"/>
    <w:rsid w:val="00CD5F50"/>
    <w:rsid w:val="00CD5FA0"/>
    <w:rsid w:val="00CD60F1"/>
    <w:rsid w:val="00CD64F2"/>
    <w:rsid w:val="00CD66C0"/>
    <w:rsid w:val="00CD689B"/>
    <w:rsid w:val="00CD69BB"/>
    <w:rsid w:val="00CD6A71"/>
    <w:rsid w:val="00CD6CAC"/>
    <w:rsid w:val="00CD7678"/>
    <w:rsid w:val="00CD7BFD"/>
    <w:rsid w:val="00CD7ECF"/>
    <w:rsid w:val="00CE00F7"/>
    <w:rsid w:val="00CE084A"/>
    <w:rsid w:val="00CE108C"/>
    <w:rsid w:val="00CE1557"/>
    <w:rsid w:val="00CE1D81"/>
    <w:rsid w:val="00CE23F8"/>
    <w:rsid w:val="00CE241B"/>
    <w:rsid w:val="00CE244C"/>
    <w:rsid w:val="00CE2695"/>
    <w:rsid w:val="00CE2EDB"/>
    <w:rsid w:val="00CE329B"/>
    <w:rsid w:val="00CE3632"/>
    <w:rsid w:val="00CE369A"/>
    <w:rsid w:val="00CE36A5"/>
    <w:rsid w:val="00CE44E5"/>
    <w:rsid w:val="00CE4910"/>
    <w:rsid w:val="00CE4B14"/>
    <w:rsid w:val="00CE4B2E"/>
    <w:rsid w:val="00CE53B2"/>
    <w:rsid w:val="00CE55F7"/>
    <w:rsid w:val="00CE562E"/>
    <w:rsid w:val="00CE57D9"/>
    <w:rsid w:val="00CE5E51"/>
    <w:rsid w:val="00CE62E7"/>
    <w:rsid w:val="00CE698B"/>
    <w:rsid w:val="00CE6AB5"/>
    <w:rsid w:val="00CE6B35"/>
    <w:rsid w:val="00CE6B63"/>
    <w:rsid w:val="00CE7001"/>
    <w:rsid w:val="00CE70E8"/>
    <w:rsid w:val="00CE71DF"/>
    <w:rsid w:val="00CE7340"/>
    <w:rsid w:val="00CE7BAD"/>
    <w:rsid w:val="00CE7E27"/>
    <w:rsid w:val="00CF0230"/>
    <w:rsid w:val="00CF0BE8"/>
    <w:rsid w:val="00CF0E5C"/>
    <w:rsid w:val="00CF102E"/>
    <w:rsid w:val="00CF1950"/>
    <w:rsid w:val="00CF1B07"/>
    <w:rsid w:val="00CF3354"/>
    <w:rsid w:val="00CF35FD"/>
    <w:rsid w:val="00CF36FA"/>
    <w:rsid w:val="00CF3B9A"/>
    <w:rsid w:val="00CF4064"/>
    <w:rsid w:val="00CF428B"/>
    <w:rsid w:val="00CF4536"/>
    <w:rsid w:val="00CF5726"/>
    <w:rsid w:val="00CF5888"/>
    <w:rsid w:val="00CF5D43"/>
    <w:rsid w:val="00CF653E"/>
    <w:rsid w:val="00CF6774"/>
    <w:rsid w:val="00CF6A45"/>
    <w:rsid w:val="00CF6A7B"/>
    <w:rsid w:val="00CF6EAA"/>
    <w:rsid w:val="00CF6F97"/>
    <w:rsid w:val="00CF707D"/>
    <w:rsid w:val="00CF78B2"/>
    <w:rsid w:val="00CF798A"/>
    <w:rsid w:val="00D001F6"/>
    <w:rsid w:val="00D00514"/>
    <w:rsid w:val="00D00602"/>
    <w:rsid w:val="00D0064D"/>
    <w:rsid w:val="00D009F1"/>
    <w:rsid w:val="00D00D92"/>
    <w:rsid w:val="00D01132"/>
    <w:rsid w:val="00D011C7"/>
    <w:rsid w:val="00D01506"/>
    <w:rsid w:val="00D0150E"/>
    <w:rsid w:val="00D015D1"/>
    <w:rsid w:val="00D01884"/>
    <w:rsid w:val="00D01E0B"/>
    <w:rsid w:val="00D0270C"/>
    <w:rsid w:val="00D02A84"/>
    <w:rsid w:val="00D02BE5"/>
    <w:rsid w:val="00D035F6"/>
    <w:rsid w:val="00D03940"/>
    <w:rsid w:val="00D03C98"/>
    <w:rsid w:val="00D03D1E"/>
    <w:rsid w:val="00D040C7"/>
    <w:rsid w:val="00D04261"/>
    <w:rsid w:val="00D04753"/>
    <w:rsid w:val="00D04C30"/>
    <w:rsid w:val="00D04FE5"/>
    <w:rsid w:val="00D0502E"/>
    <w:rsid w:val="00D050F1"/>
    <w:rsid w:val="00D05ABA"/>
    <w:rsid w:val="00D05FC8"/>
    <w:rsid w:val="00D064E5"/>
    <w:rsid w:val="00D065FC"/>
    <w:rsid w:val="00D06EC2"/>
    <w:rsid w:val="00D0708A"/>
    <w:rsid w:val="00D0710C"/>
    <w:rsid w:val="00D0718A"/>
    <w:rsid w:val="00D0733C"/>
    <w:rsid w:val="00D07BBF"/>
    <w:rsid w:val="00D07C74"/>
    <w:rsid w:val="00D07DCC"/>
    <w:rsid w:val="00D10545"/>
    <w:rsid w:val="00D1086C"/>
    <w:rsid w:val="00D108DA"/>
    <w:rsid w:val="00D108F1"/>
    <w:rsid w:val="00D10C28"/>
    <w:rsid w:val="00D10CAB"/>
    <w:rsid w:val="00D10D39"/>
    <w:rsid w:val="00D11092"/>
    <w:rsid w:val="00D1120B"/>
    <w:rsid w:val="00D11B99"/>
    <w:rsid w:val="00D11CDF"/>
    <w:rsid w:val="00D11EF7"/>
    <w:rsid w:val="00D11FD5"/>
    <w:rsid w:val="00D1202A"/>
    <w:rsid w:val="00D1219E"/>
    <w:rsid w:val="00D126D5"/>
    <w:rsid w:val="00D1299D"/>
    <w:rsid w:val="00D130EF"/>
    <w:rsid w:val="00D131E8"/>
    <w:rsid w:val="00D1321E"/>
    <w:rsid w:val="00D1359F"/>
    <w:rsid w:val="00D13AA2"/>
    <w:rsid w:val="00D13EAB"/>
    <w:rsid w:val="00D13F9F"/>
    <w:rsid w:val="00D14038"/>
    <w:rsid w:val="00D14567"/>
    <w:rsid w:val="00D14850"/>
    <w:rsid w:val="00D14B94"/>
    <w:rsid w:val="00D14D1C"/>
    <w:rsid w:val="00D14EB0"/>
    <w:rsid w:val="00D16FA3"/>
    <w:rsid w:val="00D17931"/>
    <w:rsid w:val="00D20087"/>
    <w:rsid w:val="00D20189"/>
    <w:rsid w:val="00D201A0"/>
    <w:rsid w:val="00D20277"/>
    <w:rsid w:val="00D20B63"/>
    <w:rsid w:val="00D21163"/>
    <w:rsid w:val="00D21256"/>
    <w:rsid w:val="00D213CD"/>
    <w:rsid w:val="00D217D7"/>
    <w:rsid w:val="00D21927"/>
    <w:rsid w:val="00D219AE"/>
    <w:rsid w:val="00D21B48"/>
    <w:rsid w:val="00D21D88"/>
    <w:rsid w:val="00D21F8E"/>
    <w:rsid w:val="00D22A9A"/>
    <w:rsid w:val="00D2346F"/>
    <w:rsid w:val="00D23D49"/>
    <w:rsid w:val="00D23F44"/>
    <w:rsid w:val="00D241B0"/>
    <w:rsid w:val="00D24272"/>
    <w:rsid w:val="00D24412"/>
    <w:rsid w:val="00D24786"/>
    <w:rsid w:val="00D24E49"/>
    <w:rsid w:val="00D24F1D"/>
    <w:rsid w:val="00D25118"/>
    <w:rsid w:val="00D25616"/>
    <w:rsid w:val="00D25785"/>
    <w:rsid w:val="00D2583B"/>
    <w:rsid w:val="00D2594B"/>
    <w:rsid w:val="00D259D4"/>
    <w:rsid w:val="00D25AAB"/>
    <w:rsid w:val="00D25B1F"/>
    <w:rsid w:val="00D25BE8"/>
    <w:rsid w:val="00D25DF2"/>
    <w:rsid w:val="00D25F94"/>
    <w:rsid w:val="00D2653D"/>
    <w:rsid w:val="00D26C13"/>
    <w:rsid w:val="00D26C1F"/>
    <w:rsid w:val="00D26E96"/>
    <w:rsid w:val="00D272E7"/>
    <w:rsid w:val="00D27831"/>
    <w:rsid w:val="00D27EB3"/>
    <w:rsid w:val="00D302C8"/>
    <w:rsid w:val="00D304AD"/>
    <w:rsid w:val="00D307ED"/>
    <w:rsid w:val="00D30F06"/>
    <w:rsid w:val="00D31304"/>
    <w:rsid w:val="00D31870"/>
    <w:rsid w:val="00D31B9D"/>
    <w:rsid w:val="00D31C06"/>
    <w:rsid w:val="00D3252C"/>
    <w:rsid w:val="00D32A7C"/>
    <w:rsid w:val="00D32CDE"/>
    <w:rsid w:val="00D32DC1"/>
    <w:rsid w:val="00D33068"/>
    <w:rsid w:val="00D33977"/>
    <w:rsid w:val="00D33AC8"/>
    <w:rsid w:val="00D33BB8"/>
    <w:rsid w:val="00D33E78"/>
    <w:rsid w:val="00D34290"/>
    <w:rsid w:val="00D343FF"/>
    <w:rsid w:val="00D34E23"/>
    <w:rsid w:val="00D34EC8"/>
    <w:rsid w:val="00D354F8"/>
    <w:rsid w:val="00D35639"/>
    <w:rsid w:val="00D35760"/>
    <w:rsid w:val="00D35A17"/>
    <w:rsid w:val="00D35A4B"/>
    <w:rsid w:val="00D35A5C"/>
    <w:rsid w:val="00D35E0A"/>
    <w:rsid w:val="00D3616E"/>
    <w:rsid w:val="00D361EB"/>
    <w:rsid w:val="00D36CF3"/>
    <w:rsid w:val="00D36FF1"/>
    <w:rsid w:val="00D373FA"/>
    <w:rsid w:val="00D37E33"/>
    <w:rsid w:val="00D404A6"/>
    <w:rsid w:val="00D40ABA"/>
    <w:rsid w:val="00D4112B"/>
    <w:rsid w:val="00D41226"/>
    <w:rsid w:val="00D41E69"/>
    <w:rsid w:val="00D41E99"/>
    <w:rsid w:val="00D42023"/>
    <w:rsid w:val="00D42254"/>
    <w:rsid w:val="00D42287"/>
    <w:rsid w:val="00D426A0"/>
    <w:rsid w:val="00D4407F"/>
    <w:rsid w:val="00D44E51"/>
    <w:rsid w:val="00D44E55"/>
    <w:rsid w:val="00D45488"/>
    <w:rsid w:val="00D45B5B"/>
    <w:rsid w:val="00D46C19"/>
    <w:rsid w:val="00D46DC0"/>
    <w:rsid w:val="00D47733"/>
    <w:rsid w:val="00D47738"/>
    <w:rsid w:val="00D47AFE"/>
    <w:rsid w:val="00D47D83"/>
    <w:rsid w:val="00D47E99"/>
    <w:rsid w:val="00D50249"/>
    <w:rsid w:val="00D5052A"/>
    <w:rsid w:val="00D50536"/>
    <w:rsid w:val="00D5077F"/>
    <w:rsid w:val="00D507E2"/>
    <w:rsid w:val="00D507F4"/>
    <w:rsid w:val="00D50DCE"/>
    <w:rsid w:val="00D511F2"/>
    <w:rsid w:val="00D51230"/>
    <w:rsid w:val="00D51868"/>
    <w:rsid w:val="00D519CF"/>
    <w:rsid w:val="00D51B0B"/>
    <w:rsid w:val="00D5235A"/>
    <w:rsid w:val="00D523D3"/>
    <w:rsid w:val="00D52598"/>
    <w:rsid w:val="00D52B23"/>
    <w:rsid w:val="00D52B65"/>
    <w:rsid w:val="00D52BE6"/>
    <w:rsid w:val="00D52C73"/>
    <w:rsid w:val="00D535ED"/>
    <w:rsid w:val="00D53E55"/>
    <w:rsid w:val="00D54E74"/>
    <w:rsid w:val="00D5519A"/>
    <w:rsid w:val="00D556A3"/>
    <w:rsid w:val="00D55BC5"/>
    <w:rsid w:val="00D561A8"/>
    <w:rsid w:val="00D56C14"/>
    <w:rsid w:val="00D56CBB"/>
    <w:rsid w:val="00D57394"/>
    <w:rsid w:val="00D5747B"/>
    <w:rsid w:val="00D57A04"/>
    <w:rsid w:val="00D57BB3"/>
    <w:rsid w:val="00D57DDF"/>
    <w:rsid w:val="00D60413"/>
    <w:rsid w:val="00D604AD"/>
    <w:rsid w:val="00D6077D"/>
    <w:rsid w:val="00D6085E"/>
    <w:rsid w:val="00D60B76"/>
    <w:rsid w:val="00D60D71"/>
    <w:rsid w:val="00D61666"/>
    <w:rsid w:val="00D61814"/>
    <w:rsid w:val="00D61AA3"/>
    <w:rsid w:val="00D61D9D"/>
    <w:rsid w:val="00D61FA6"/>
    <w:rsid w:val="00D6235E"/>
    <w:rsid w:val="00D628D5"/>
    <w:rsid w:val="00D63A4D"/>
    <w:rsid w:val="00D63D30"/>
    <w:rsid w:val="00D6426D"/>
    <w:rsid w:val="00D642B8"/>
    <w:rsid w:val="00D645BB"/>
    <w:rsid w:val="00D645EE"/>
    <w:rsid w:val="00D64614"/>
    <w:rsid w:val="00D6498B"/>
    <w:rsid w:val="00D658EC"/>
    <w:rsid w:val="00D65AB2"/>
    <w:rsid w:val="00D65CAE"/>
    <w:rsid w:val="00D65F4A"/>
    <w:rsid w:val="00D665E5"/>
    <w:rsid w:val="00D66E3B"/>
    <w:rsid w:val="00D66EEC"/>
    <w:rsid w:val="00D672D7"/>
    <w:rsid w:val="00D67334"/>
    <w:rsid w:val="00D67415"/>
    <w:rsid w:val="00D67E0D"/>
    <w:rsid w:val="00D70E35"/>
    <w:rsid w:val="00D715ED"/>
    <w:rsid w:val="00D7160D"/>
    <w:rsid w:val="00D72732"/>
    <w:rsid w:val="00D730E6"/>
    <w:rsid w:val="00D732FE"/>
    <w:rsid w:val="00D740C2"/>
    <w:rsid w:val="00D74240"/>
    <w:rsid w:val="00D74735"/>
    <w:rsid w:val="00D74ADC"/>
    <w:rsid w:val="00D74B7F"/>
    <w:rsid w:val="00D74ED1"/>
    <w:rsid w:val="00D759FD"/>
    <w:rsid w:val="00D763C7"/>
    <w:rsid w:val="00D765AA"/>
    <w:rsid w:val="00D76E6A"/>
    <w:rsid w:val="00D77548"/>
    <w:rsid w:val="00D77A6B"/>
    <w:rsid w:val="00D77F58"/>
    <w:rsid w:val="00D8059E"/>
    <w:rsid w:val="00D80951"/>
    <w:rsid w:val="00D80AB2"/>
    <w:rsid w:val="00D80ADB"/>
    <w:rsid w:val="00D80F7B"/>
    <w:rsid w:val="00D81537"/>
    <w:rsid w:val="00D8225E"/>
    <w:rsid w:val="00D82446"/>
    <w:rsid w:val="00D8270A"/>
    <w:rsid w:val="00D827AD"/>
    <w:rsid w:val="00D82872"/>
    <w:rsid w:val="00D82945"/>
    <w:rsid w:val="00D82C30"/>
    <w:rsid w:val="00D83174"/>
    <w:rsid w:val="00D83348"/>
    <w:rsid w:val="00D83622"/>
    <w:rsid w:val="00D83C31"/>
    <w:rsid w:val="00D83D49"/>
    <w:rsid w:val="00D8450A"/>
    <w:rsid w:val="00D84C58"/>
    <w:rsid w:val="00D84D39"/>
    <w:rsid w:val="00D84D94"/>
    <w:rsid w:val="00D84E4A"/>
    <w:rsid w:val="00D85D21"/>
    <w:rsid w:val="00D85E2E"/>
    <w:rsid w:val="00D85F82"/>
    <w:rsid w:val="00D85FC3"/>
    <w:rsid w:val="00D863B7"/>
    <w:rsid w:val="00D866E1"/>
    <w:rsid w:val="00D86796"/>
    <w:rsid w:val="00D86DDE"/>
    <w:rsid w:val="00D872F2"/>
    <w:rsid w:val="00D87815"/>
    <w:rsid w:val="00D87864"/>
    <w:rsid w:val="00D90059"/>
    <w:rsid w:val="00D90324"/>
    <w:rsid w:val="00D9057D"/>
    <w:rsid w:val="00D90C94"/>
    <w:rsid w:val="00D9169F"/>
    <w:rsid w:val="00D9179C"/>
    <w:rsid w:val="00D91BD9"/>
    <w:rsid w:val="00D91D62"/>
    <w:rsid w:val="00D91E94"/>
    <w:rsid w:val="00D92416"/>
    <w:rsid w:val="00D9254A"/>
    <w:rsid w:val="00D93809"/>
    <w:rsid w:val="00D9386B"/>
    <w:rsid w:val="00D938B6"/>
    <w:rsid w:val="00D93905"/>
    <w:rsid w:val="00D93B61"/>
    <w:rsid w:val="00D93CDA"/>
    <w:rsid w:val="00D93E3C"/>
    <w:rsid w:val="00D93FAE"/>
    <w:rsid w:val="00D950ED"/>
    <w:rsid w:val="00D96C3D"/>
    <w:rsid w:val="00D9791A"/>
    <w:rsid w:val="00D97929"/>
    <w:rsid w:val="00D97B0C"/>
    <w:rsid w:val="00D97C90"/>
    <w:rsid w:val="00DA0AA2"/>
    <w:rsid w:val="00DA0E03"/>
    <w:rsid w:val="00DA0F2E"/>
    <w:rsid w:val="00DA10C9"/>
    <w:rsid w:val="00DA211D"/>
    <w:rsid w:val="00DA2814"/>
    <w:rsid w:val="00DA2DAF"/>
    <w:rsid w:val="00DA2FEB"/>
    <w:rsid w:val="00DA303B"/>
    <w:rsid w:val="00DA30C3"/>
    <w:rsid w:val="00DA324C"/>
    <w:rsid w:val="00DA33AF"/>
    <w:rsid w:val="00DA3826"/>
    <w:rsid w:val="00DA3B51"/>
    <w:rsid w:val="00DA3C07"/>
    <w:rsid w:val="00DA4452"/>
    <w:rsid w:val="00DA576D"/>
    <w:rsid w:val="00DA6094"/>
    <w:rsid w:val="00DA64C2"/>
    <w:rsid w:val="00DA6729"/>
    <w:rsid w:val="00DA712A"/>
    <w:rsid w:val="00DA716E"/>
    <w:rsid w:val="00DA7602"/>
    <w:rsid w:val="00DA7C33"/>
    <w:rsid w:val="00DA7D07"/>
    <w:rsid w:val="00DA7E49"/>
    <w:rsid w:val="00DB040E"/>
    <w:rsid w:val="00DB0A75"/>
    <w:rsid w:val="00DB0DD4"/>
    <w:rsid w:val="00DB0E06"/>
    <w:rsid w:val="00DB13AB"/>
    <w:rsid w:val="00DB1669"/>
    <w:rsid w:val="00DB2090"/>
    <w:rsid w:val="00DB276E"/>
    <w:rsid w:val="00DB2BE2"/>
    <w:rsid w:val="00DB4582"/>
    <w:rsid w:val="00DB4A6B"/>
    <w:rsid w:val="00DB4E7B"/>
    <w:rsid w:val="00DB4F94"/>
    <w:rsid w:val="00DB55C9"/>
    <w:rsid w:val="00DB565D"/>
    <w:rsid w:val="00DB581D"/>
    <w:rsid w:val="00DB5ACF"/>
    <w:rsid w:val="00DB647E"/>
    <w:rsid w:val="00DB64FC"/>
    <w:rsid w:val="00DB692A"/>
    <w:rsid w:val="00DB6BB3"/>
    <w:rsid w:val="00DB7211"/>
    <w:rsid w:val="00DB73CC"/>
    <w:rsid w:val="00DB7714"/>
    <w:rsid w:val="00DB7F46"/>
    <w:rsid w:val="00DC03EF"/>
    <w:rsid w:val="00DC03FA"/>
    <w:rsid w:val="00DC07D4"/>
    <w:rsid w:val="00DC0930"/>
    <w:rsid w:val="00DC0E03"/>
    <w:rsid w:val="00DC1376"/>
    <w:rsid w:val="00DC18F4"/>
    <w:rsid w:val="00DC209A"/>
    <w:rsid w:val="00DC2204"/>
    <w:rsid w:val="00DC22E6"/>
    <w:rsid w:val="00DC2427"/>
    <w:rsid w:val="00DC2818"/>
    <w:rsid w:val="00DC2BCD"/>
    <w:rsid w:val="00DC2DC8"/>
    <w:rsid w:val="00DC2FEB"/>
    <w:rsid w:val="00DC36C7"/>
    <w:rsid w:val="00DC36CD"/>
    <w:rsid w:val="00DC37DB"/>
    <w:rsid w:val="00DC40BA"/>
    <w:rsid w:val="00DC4265"/>
    <w:rsid w:val="00DC4428"/>
    <w:rsid w:val="00DC4B24"/>
    <w:rsid w:val="00DC4C2C"/>
    <w:rsid w:val="00DC5190"/>
    <w:rsid w:val="00DC5B89"/>
    <w:rsid w:val="00DC67C9"/>
    <w:rsid w:val="00DC6FAC"/>
    <w:rsid w:val="00DC71C2"/>
    <w:rsid w:val="00DC72C5"/>
    <w:rsid w:val="00DC7859"/>
    <w:rsid w:val="00DC7944"/>
    <w:rsid w:val="00DC7AEC"/>
    <w:rsid w:val="00DC7C05"/>
    <w:rsid w:val="00DD03A4"/>
    <w:rsid w:val="00DD13F5"/>
    <w:rsid w:val="00DD17C5"/>
    <w:rsid w:val="00DD1969"/>
    <w:rsid w:val="00DD1A9B"/>
    <w:rsid w:val="00DD1FDB"/>
    <w:rsid w:val="00DD3248"/>
    <w:rsid w:val="00DD3828"/>
    <w:rsid w:val="00DD3C6E"/>
    <w:rsid w:val="00DD44C8"/>
    <w:rsid w:val="00DD4708"/>
    <w:rsid w:val="00DD4946"/>
    <w:rsid w:val="00DD4E91"/>
    <w:rsid w:val="00DD51FC"/>
    <w:rsid w:val="00DD52C4"/>
    <w:rsid w:val="00DD5B00"/>
    <w:rsid w:val="00DD5E27"/>
    <w:rsid w:val="00DD62F9"/>
    <w:rsid w:val="00DD643E"/>
    <w:rsid w:val="00DD650A"/>
    <w:rsid w:val="00DD6A19"/>
    <w:rsid w:val="00DD72E6"/>
    <w:rsid w:val="00DD7628"/>
    <w:rsid w:val="00DD783F"/>
    <w:rsid w:val="00DD7AF6"/>
    <w:rsid w:val="00DD7C04"/>
    <w:rsid w:val="00DE0DB7"/>
    <w:rsid w:val="00DE1134"/>
    <w:rsid w:val="00DE1631"/>
    <w:rsid w:val="00DE18EC"/>
    <w:rsid w:val="00DE1F6D"/>
    <w:rsid w:val="00DE2211"/>
    <w:rsid w:val="00DE2695"/>
    <w:rsid w:val="00DE2A0C"/>
    <w:rsid w:val="00DE3187"/>
    <w:rsid w:val="00DE32D3"/>
    <w:rsid w:val="00DE3617"/>
    <w:rsid w:val="00DE3B4F"/>
    <w:rsid w:val="00DE3CF0"/>
    <w:rsid w:val="00DE445E"/>
    <w:rsid w:val="00DE488D"/>
    <w:rsid w:val="00DE53EF"/>
    <w:rsid w:val="00DE5677"/>
    <w:rsid w:val="00DE595C"/>
    <w:rsid w:val="00DE6402"/>
    <w:rsid w:val="00DE7400"/>
    <w:rsid w:val="00DE75A3"/>
    <w:rsid w:val="00DE79A7"/>
    <w:rsid w:val="00DE7CFF"/>
    <w:rsid w:val="00DE7F9F"/>
    <w:rsid w:val="00DF0A8F"/>
    <w:rsid w:val="00DF1746"/>
    <w:rsid w:val="00DF175C"/>
    <w:rsid w:val="00DF1F98"/>
    <w:rsid w:val="00DF231B"/>
    <w:rsid w:val="00DF29D5"/>
    <w:rsid w:val="00DF2C00"/>
    <w:rsid w:val="00DF325B"/>
    <w:rsid w:val="00DF3730"/>
    <w:rsid w:val="00DF3A8E"/>
    <w:rsid w:val="00DF3E7A"/>
    <w:rsid w:val="00DF3F8F"/>
    <w:rsid w:val="00DF4BB3"/>
    <w:rsid w:val="00DF4C50"/>
    <w:rsid w:val="00DF4F34"/>
    <w:rsid w:val="00DF4FCE"/>
    <w:rsid w:val="00DF53F2"/>
    <w:rsid w:val="00DF58E8"/>
    <w:rsid w:val="00DF5E48"/>
    <w:rsid w:val="00DF6185"/>
    <w:rsid w:val="00DF61A9"/>
    <w:rsid w:val="00DF6636"/>
    <w:rsid w:val="00DF67F1"/>
    <w:rsid w:val="00DF69A5"/>
    <w:rsid w:val="00DF69CD"/>
    <w:rsid w:val="00DF6EE2"/>
    <w:rsid w:val="00DF6F9F"/>
    <w:rsid w:val="00DF71EA"/>
    <w:rsid w:val="00DF7D1E"/>
    <w:rsid w:val="00DF7E82"/>
    <w:rsid w:val="00DF7EE1"/>
    <w:rsid w:val="00E0094E"/>
    <w:rsid w:val="00E00AB9"/>
    <w:rsid w:val="00E00FEF"/>
    <w:rsid w:val="00E01129"/>
    <w:rsid w:val="00E01753"/>
    <w:rsid w:val="00E021C2"/>
    <w:rsid w:val="00E02FB0"/>
    <w:rsid w:val="00E030F2"/>
    <w:rsid w:val="00E03428"/>
    <w:rsid w:val="00E0348F"/>
    <w:rsid w:val="00E0353D"/>
    <w:rsid w:val="00E039C4"/>
    <w:rsid w:val="00E03D4B"/>
    <w:rsid w:val="00E03E16"/>
    <w:rsid w:val="00E03E47"/>
    <w:rsid w:val="00E0414B"/>
    <w:rsid w:val="00E043CC"/>
    <w:rsid w:val="00E0449F"/>
    <w:rsid w:val="00E045C2"/>
    <w:rsid w:val="00E04A78"/>
    <w:rsid w:val="00E04F5A"/>
    <w:rsid w:val="00E0583B"/>
    <w:rsid w:val="00E05EE2"/>
    <w:rsid w:val="00E069B5"/>
    <w:rsid w:val="00E06FA7"/>
    <w:rsid w:val="00E07B78"/>
    <w:rsid w:val="00E07C83"/>
    <w:rsid w:val="00E07E04"/>
    <w:rsid w:val="00E104A8"/>
    <w:rsid w:val="00E105A9"/>
    <w:rsid w:val="00E10892"/>
    <w:rsid w:val="00E10905"/>
    <w:rsid w:val="00E11998"/>
    <w:rsid w:val="00E12036"/>
    <w:rsid w:val="00E125C1"/>
    <w:rsid w:val="00E12D25"/>
    <w:rsid w:val="00E1307A"/>
    <w:rsid w:val="00E130AD"/>
    <w:rsid w:val="00E134DF"/>
    <w:rsid w:val="00E13E5B"/>
    <w:rsid w:val="00E14245"/>
    <w:rsid w:val="00E147A9"/>
    <w:rsid w:val="00E14B40"/>
    <w:rsid w:val="00E14C2E"/>
    <w:rsid w:val="00E15601"/>
    <w:rsid w:val="00E15AFB"/>
    <w:rsid w:val="00E1623A"/>
    <w:rsid w:val="00E1643C"/>
    <w:rsid w:val="00E165F2"/>
    <w:rsid w:val="00E16ED9"/>
    <w:rsid w:val="00E17547"/>
    <w:rsid w:val="00E175E4"/>
    <w:rsid w:val="00E17637"/>
    <w:rsid w:val="00E17D74"/>
    <w:rsid w:val="00E201D7"/>
    <w:rsid w:val="00E20202"/>
    <w:rsid w:val="00E202A6"/>
    <w:rsid w:val="00E206F9"/>
    <w:rsid w:val="00E208B9"/>
    <w:rsid w:val="00E20DE8"/>
    <w:rsid w:val="00E20E57"/>
    <w:rsid w:val="00E212BB"/>
    <w:rsid w:val="00E2132F"/>
    <w:rsid w:val="00E2141B"/>
    <w:rsid w:val="00E21680"/>
    <w:rsid w:val="00E216D3"/>
    <w:rsid w:val="00E21D11"/>
    <w:rsid w:val="00E21D77"/>
    <w:rsid w:val="00E2240E"/>
    <w:rsid w:val="00E227AF"/>
    <w:rsid w:val="00E22921"/>
    <w:rsid w:val="00E23279"/>
    <w:rsid w:val="00E23473"/>
    <w:rsid w:val="00E2377D"/>
    <w:rsid w:val="00E2406B"/>
    <w:rsid w:val="00E243FA"/>
    <w:rsid w:val="00E246D8"/>
    <w:rsid w:val="00E24E2D"/>
    <w:rsid w:val="00E24E44"/>
    <w:rsid w:val="00E251B8"/>
    <w:rsid w:val="00E25252"/>
    <w:rsid w:val="00E25D30"/>
    <w:rsid w:val="00E25F6E"/>
    <w:rsid w:val="00E261A3"/>
    <w:rsid w:val="00E262EE"/>
    <w:rsid w:val="00E2634F"/>
    <w:rsid w:val="00E26623"/>
    <w:rsid w:val="00E2668F"/>
    <w:rsid w:val="00E26B0C"/>
    <w:rsid w:val="00E26E10"/>
    <w:rsid w:val="00E2712F"/>
    <w:rsid w:val="00E272F2"/>
    <w:rsid w:val="00E27600"/>
    <w:rsid w:val="00E27891"/>
    <w:rsid w:val="00E27939"/>
    <w:rsid w:val="00E279AD"/>
    <w:rsid w:val="00E279D8"/>
    <w:rsid w:val="00E27B69"/>
    <w:rsid w:val="00E27EBF"/>
    <w:rsid w:val="00E302C2"/>
    <w:rsid w:val="00E3055E"/>
    <w:rsid w:val="00E3064C"/>
    <w:rsid w:val="00E3081C"/>
    <w:rsid w:val="00E308E3"/>
    <w:rsid w:val="00E30B51"/>
    <w:rsid w:val="00E30D24"/>
    <w:rsid w:val="00E30D2A"/>
    <w:rsid w:val="00E31034"/>
    <w:rsid w:val="00E3105A"/>
    <w:rsid w:val="00E3134C"/>
    <w:rsid w:val="00E31422"/>
    <w:rsid w:val="00E3167B"/>
    <w:rsid w:val="00E31A43"/>
    <w:rsid w:val="00E31C7D"/>
    <w:rsid w:val="00E31E1C"/>
    <w:rsid w:val="00E323E4"/>
    <w:rsid w:val="00E32506"/>
    <w:rsid w:val="00E3252B"/>
    <w:rsid w:val="00E329BF"/>
    <w:rsid w:val="00E34892"/>
    <w:rsid w:val="00E34FFF"/>
    <w:rsid w:val="00E3557B"/>
    <w:rsid w:val="00E35A30"/>
    <w:rsid w:val="00E36244"/>
    <w:rsid w:val="00E369F2"/>
    <w:rsid w:val="00E36C16"/>
    <w:rsid w:val="00E36CD3"/>
    <w:rsid w:val="00E36FF2"/>
    <w:rsid w:val="00E379B1"/>
    <w:rsid w:val="00E37CBD"/>
    <w:rsid w:val="00E37CD3"/>
    <w:rsid w:val="00E40358"/>
    <w:rsid w:val="00E4049B"/>
    <w:rsid w:val="00E4053A"/>
    <w:rsid w:val="00E41463"/>
    <w:rsid w:val="00E41B45"/>
    <w:rsid w:val="00E42139"/>
    <w:rsid w:val="00E437B8"/>
    <w:rsid w:val="00E43FF3"/>
    <w:rsid w:val="00E44583"/>
    <w:rsid w:val="00E4481C"/>
    <w:rsid w:val="00E459E9"/>
    <w:rsid w:val="00E45F73"/>
    <w:rsid w:val="00E46066"/>
    <w:rsid w:val="00E46BD6"/>
    <w:rsid w:val="00E46FB9"/>
    <w:rsid w:val="00E471FB"/>
    <w:rsid w:val="00E4761F"/>
    <w:rsid w:val="00E47AF2"/>
    <w:rsid w:val="00E504D0"/>
    <w:rsid w:val="00E50649"/>
    <w:rsid w:val="00E50FD9"/>
    <w:rsid w:val="00E51051"/>
    <w:rsid w:val="00E518D4"/>
    <w:rsid w:val="00E51979"/>
    <w:rsid w:val="00E522C2"/>
    <w:rsid w:val="00E522FF"/>
    <w:rsid w:val="00E52398"/>
    <w:rsid w:val="00E5351A"/>
    <w:rsid w:val="00E535D2"/>
    <w:rsid w:val="00E53C76"/>
    <w:rsid w:val="00E541A4"/>
    <w:rsid w:val="00E548A4"/>
    <w:rsid w:val="00E549ED"/>
    <w:rsid w:val="00E54F91"/>
    <w:rsid w:val="00E55082"/>
    <w:rsid w:val="00E55CEB"/>
    <w:rsid w:val="00E55E91"/>
    <w:rsid w:val="00E55F32"/>
    <w:rsid w:val="00E56169"/>
    <w:rsid w:val="00E561B0"/>
    <w:rsid w:val="00E563BE"/>
    <w:rsid w:val="00E56CFE"/>
    <w:rsid w:val="00E56F3F"/>
    <w:rsid w:val="00E57587"/>
    <w:rsid w:val="00E57B3F"/>
    <w:rsid w:val="00E60E7D"/>
    <w:rsid w:val="00E6122F"/>
    <w:rsid w:val="00E615EA"/>
    <w:rsid w:val="00E61795"/>
    <w:rsid w:val="00E61864"/>
    <w:rsid w:val="00E618E3"/>
    <w:rsid w:val="00E61C67"/>
    <w:rsid w:val="00E62147"/>
    <w:rsid w:val="00E62512"/>
    <w:rsid w:val="00E62642"/>
    <w:rsid w:val="00E62805"/>
    <w:rsid w:val="00E62968"/>
    <w:rsid w:val="00E62F22"/>
    <w:rsid w:val="00E62FA1"/>
    <w:rsid w:val="00E63198"/>
    <w:rsid w:val="00E63454"/>
    <w:rsid w:val="00E639AD"/>
    <w:rsid w:val="00E6432E"/>
    <w:rsid w:val="00E643FF"/>
    <w:rsid w:val="00E6455A"/>
    <w:rsid w:val="00E6492B"/>
    <w:rsid w:val="00E64BBB"/>
    <w:rsid w:val="00E64F02"/>
    <w:rsid w:val="00E65374"/>
    <w:rsid w:val="00E65C05"/>
    <w:rsid w:val="00E6607D"/>
    <w:rsid w:val="00E66217"/>
    <w:rsid w:val="00E662D3"/>
    <w:rsid w:val="00E66402"/>
    <w:rsid w:val="00E664D8"/>
    <w:rsid w:val="00E66BAF"/>
    <w:rsid w:val="00E67038"/>
    <w:rsid w:val="00E6709B"/>
    <w:rsid w:val="00E67A04"/>
    <w:rsid w:val="00E67B99"/>
    <w:rsid w:val="00E700D0"/>
    <w:rsid w:val="00E70241"/>
    <w:rsid w:val="00E703DE"/>
    <w:rsid w:val="00E7068F"/>
    <w:rsid w:val="00E70892"/>
    <w:rsid w:val="00E70E75"/>
    <w:rsid w:val="00E7103C"/>
    <w:rsid w:val="00E7142B"/>
    <w:rsid w:val="00E71645"/>
    <w:rsid w:val="00E71686"/>
    <w:rsid w:val="00E71926"/>
    <w:rsid w:val="00E71A45"/>
    <w:rsid w:val="00E7208A"/>
    <w:rsid w:val="00E7227A"/>
    <w:rsid w:val="00E722C0"/>
    <w:rsid w:val="00E72529"/>
    <w:rsid w:val="00E72D48"/>
    <w:rsid w:val="00E73210"/>
    <w:rsid w:val="00E7347A"/>
    <w:rsid w:val="00E739F3"/>
    <w:rsid w:val="00E73FE0"/>
    <w:rsid w:val="00E74407"/>
    <w:rsid w:val="00E74561"/>
    <w:rsid w:val="00E747F1"/>
    <w:rsid w:val="00E74813"/>
    <w:rsid w:val="00E74A09"/>
    <w:rsid w:val="00E74B9A"/>
    <w:rsid w:val="00E74DF4"/>
    <w:rsid w:val="00E74F9B"/>
    <w:rsid w:val="00E74FCC"/>
    <w:rsid w:val="00E753A6"/>
    <w:rsid w:val="00E753BD"/>
    <w:rsid w:val="00E7595E"/>
    <w:rsid w:val="00E760B3"/>
    <w:rsid w:val="00E7670F"/>
    <w:rsid w:val="00E77311"/>
    <w:rsid w:val="00E776CF"/>
    <w:rsid w:val="00E778B6"/>
    <w:rsid w:val="00E77C06"/>
    <w:rsid w:val="00E8060E"/>
    <w:rsid w:val="00E811D0"/>
    <w:rsid w:val="00E81BF1"/>
    <w:rsid w:val="00E82366"/>
    <w:rsid w:val="00E828FC"/>
    <w:rsid w:val="00E8296E"/>
    <w:rsid w:val="00E82E67"/>
    <w:rsid w:val="00E8361A"/>
    <w:rsid w:val="00E85189"/>
    <w:rsid w:val="00E85402"/>
    <w:rsid w:val="00E861B9"/>
    <w:rsid w:val="00E86269"/>
    <w:rsid w:val="00E8645A"/>
    <w:rsid w:val="00E86A2D"/>
    <w:rsid w:val="00E86D88"/>
    <w:rsid w:val="00E86D9B"/>
    <w:rsid w:val="00E86D9E"/>
    <w:rsid w:val="00E86FBE"/>
    <w:rsid w:val="00E87022"/>
    <w:rsid w:val="00E8739E"/>
    <w:rsid w:val="00E87989"/>
    <w:rsid w:val="00E87DE9"/>
    <w:rsid w:val="00E90031"/>
    <w:rsid w:val="00E904AB"/>
    <w:rsid w:val="00E90920"/>
    <w:rsid w:val="00E9120D"/>
    <w:rsid w:val="00E9172B"/>
    <w:rsid w:val="00E918C2"/>
    <w:rsid w:val="00E91CFF"/>
    <w:rsid w:val="00E929B2"/>
    <w:rsid w:val="00E92BA9"/>
    <w:rsid w:val="00E93560"/>
    <w:rsid w:val="00E93649"/>
    <w:rsid w:val="00E93C17"/>
    <w:rsid w:val="00E93C95"/>
    <w:rsid w:val="00E9409C"/>
    <w:rsid w:val="00E94310"/>
    <w:rsid w:val="00E94752"/>
    <w:rsid w:val="00E94E33"/>
    <w:rsid w:val="00E95AEB"/>
    <w:rsid w:val="00E9625F"/>
    <w:rsid w:val="00E97639"/>
    <w:rsid w:val="00E9784E"/>
    <w:rsid w:val="00E978CB"/>
    <w:rsid w:val="00E97AD0"/>
    <w:rsid w:val="00EA0178"/>
    <w:rsid w:val="00EA01D4"/>
    <w:rsid w:val="00EA052B"/>
    <w:rsid w:val="00EA076A"/>
    <w:rsid w:val="00EA0859"/>
    <w:rsid w:val="00EA09DA"/>
    <w:rsid w:val="00EA0AFB"/>
    <w:rsid w:val="00EA0E22"/>
    <w:rsid w:val="00EA0F18"/>
    <w:rsid w:val="00EA14F0"/>
    <w:rsid w:val="00EA17BD"/>
    <w:rsid w:val="00EA1B89"/>
    <w:rsid w:val="00EA1D0A"/>
    <w:rsid w:val="00EA212D"/>
    <w:rsid w:val="00EA2233"/>
    <w:rsid w:val="00EA24C8"/>
    <w:rsid w:val="00EA2605"/>
    <w:rsid w:val="00EA266F"/>
    <w:rsid w:val="00EA3274"/>
    <w:rsid w:val="00EA3480"/>
    <w:rsid w:val="00EA419E"/>
    <w:rsid w:val="00EA41B0"/>
    <w:rsid w:val="00EA4202"/>
    <w:rsid w:val="00EA4AC0"/>
    <w:rsid w:val="00EA4C02"/>
    <w:rsid w:val="00EA4C33"/>
    <w:rsid w:val="00EA4EF6"/>
    <w:rsid w:val="00EA5707"/>
    <w:rsid w:val="00EA57C4"/>
    <w:rsid w:val="00EA61CC"/>
    <w:rsid w:val="00EA665A"/>
    <w:rsid w:val="00EA717E"/>
    <w:rsid w:val="00EA78C5"/>
    <w:rsid w:val="00EA7C9B"/>
    <w:rsid w:val="00EB03E8"/>
    <w:rsid w:val="00EB1059"/>
    <w:rsid w:val="00EB1306"/>
    <w:rsid w:val="00EB159E"/>
    <w:rsid w:val="00EB16DF"/>
    <w:rsid w:val="00EB1AFA"/>
    <w:rsid w:val="00EB2047"/>
    <w:rsid w:val="00EB2227"/>
    <w:rsid w:val="00EB3107"/>
    <w:rsid w:val="00EB3142"/>
    <w:rsid w:val="00EB31C9"/>
    <w:rsid w:val="00EB33A6"/>
    <w:rsid w:val="00EB3A65"/>
    <w:rsid w:val="00EB4151"/>
    <w:rsid w:val="00EB43FC"/>
    <w:rsid w:val="00EB50EB"/>
    <w:rsid w:val="00EB52A2"/>
    <w:rsid w:val="00EB546D"/>
    <w:rsid w:val="00EB59EE"/>
    <w:rsid w:val="00EB5B1D"/>
    <w:rsid w:val="00EB602C"/>
    <w:rsid w:val="00EB6637"/>
    <w:rsid w:val="00EB668D"/>
    <w:rsid w:val="00EB6966"/>
    <w:rsid w:val="00EB6D47"/>
    <w:rsid w:val="00EB6DAA"/>
    <w:rsid w:val="00EB761A"/>
    <w:rsid w:val="00EB7704"/>
    <w:rsid w:val="00EB79F8"/>
    <w:rsid w:val="00EB7F00"/>
    <w:rsid w:val="00EC0371"/>
    <w:rsid w:val="00EC0673"/>
    <w:rsid w:val="00EC10B6"/>
    <w:rsid w:val="00EC1467"/>
    <w:rsid w:val="00EC2096"/>
    <w:rsid w:val="00EC23C7"/>
    <w:rsid w:val="00EC2A9A"/>
    <w:rsid w:val="00EC2AB8"/>
    <w:rsid w:val="00EC2DF4"/>
    <w:rsid w:val="00EC2FF3"/>
    <w:rsid w:val="00EC34AE"/>
    <w:rsid w:val="00EC3B16"/>
    <w:rsid w:val="00EC3C87"/>
    <w:rsid w:val="00EC4281"/>
    <w:rsid w:val="00EC46B4"/>
    <w:rsid w:val="00EC4F75"/>
    <w:rsid w:val="00EC5047"/>
    <w:rsid w:val="00EC5D7F"/>
    <w:rsid w:val="00EC5DEF"/>
    <w:rsid w:val="00EC66C6"/>
    <w:rsid w:val="00EC69FA"/>
    <w:rsid w:val="00EC6AE3"/>
    <w:rsid w:val="00EC6BB8"/>
    <w:rsid w:val="00EC6D87"/>
    <w:rsid w:val="00EC70E1"/>
    <w:rsid w:val="00EC79AA"/>
    <w:rsid w:val="00EC7A54"/>
    <w:rsid w:val="00EC7F81"/>
    <w:rsid w:val="00ED00CF"/>
    <w:rsid w:val="00ED0577"/>
    <w:rsid w:val="00ED0EF2"/>
    <w:rsid w:val="00ED0FF8"/>
    <w:rsid w:val="00ED1198"/>
    <w:rsid w:val="00ED13D1"/>
    <w:rsid w:val="00ED14D6"/>
    <w:rsid w:val="00ED171F"/>
    <w:rsid w:val="00ED17F3"/>
    <w:rsid w:val="00ED1900"/>
    <w:rsid w:val="00ED1927"/>
    <w:rsid w:val="00ED1B9E"/>
    <w:rsid w:val="00ED2462"/>
    <w:rsid w:val="00ED2D3F"/>
    <w:rsid w:val="00ED2E40"/>
    <w:rsid w:val="00ED3182"/>
    <w:rsid w:val="00ED3404"/>
    <w:rsid w:val="00ED3750"/>
    <w:rsid w:val="00ED3B1B"/>
    <w:rsid w:val="00ED3F4D"/>
    <w:rsid w:val="00ED42A1"/>
    <w:rsid w:val="00ED4B40"/>
    <w:rsid w:val="00ED5ADC"/>
    <w:rsid w:val="00ED5BFE"/>
    <w:rsid w:val="00ED6061"/>
    <w:rsid w:val="00ED6754"/>
    <w:rsid w:val="00ED679D"/>
    <w:rsid w:val="00ED6BEF"/>
    <w:rsid w:val="00ED6CDE"/>
    <w:rsid w:val="00ED7BEF"/>
    <w:rsid w:val="00EE0294"/>
    <w:rsid w:val="00EE065F"/>
    <w:rsid w:val="00EE0A7F"/>
    <w:rsid w:val="00EE0DF9"/>
    <w:rsid w:val="00EE0F2D"/>
    <w:rsid w:val="00EE0F9A"/>
    <w:rsid w:val="00EE10A4"/>
    <w:rsid w:val="00EE125E"/>
    <w:rsid w:val="00EE1D42"/>
    <w:rsid w:val="00EE1D46"/>
    <w:rsid w:val="00EE2110"/>
    <w:rsid w:val="00EE2676"/>
    <w:rsid w:val="00EE27F6"/>
    <w:rsid w:val="00EE29B0"/>
    <w:rsid w:val="00EE2F27"/>
    <w:rsid w:val="00EE2F84"/>
    <w:rsid w:val="00EE3C0B"/>
    <w:rsid w:val="00EE3E06"/>
    <w:rsid w:val="00EE42B4"/>
    <w:rsid w:val="00EE4528"/>
    <w:rsid w:val="00EE46DB"/>
    <w:rsid w:val="00EE486C"/>
    <w:rsid w:val="00EE4A31"/>
    <w:rsid w:val="00EE4A66"/>
    <w:rsid w:val="00EE4BA5"/>
    <w:rsid w:val="00EE4F26"/>
    <w:rsid w:val="00EE5582"/>
    <w:rsid w:val="00EE5B56"/>
    <w:rsid w:val="00EE5BE7"/>
    <w:rsid w:val="00EE5D45"/>
    <w:rsid w:val="00EE617C"/>
    <w:rsid w:val="00EE624E"/>
    <w:rsid w:val="00EE63E7"/>
    <w:rsid w:val="00EE68BF"/>
    <w:rsid w:val="00EE6939"/>
    <w:rsid w:val="00EE6F2A"/>
    <w:rsid w:val="00EE6F82"/>
    <w:rsid w:val="00EE6F86"/>
    <w:rsid w:val="00EE7B02"/>
    <w:rsid w:val="00EE7D8D"/>
    <w:rsid w:val="00EE7DB8"/>
    <w:rsid w:val="00EE7E6D"/>
    <w:rsid w:val="00EF02F3"/>
    <w:rsid w:val="00EF05C0"/>
    <w:rsid w:val="00EF0B7D"/>
    <w:rsid w:val="00EF0C13"/>
    <w:rsid w:val="00EF0DA4"/>
    <w:rsid w:val="00EF0DC7"/>
    <w:rsid w:val="00EF16C5"/>
    <w:rsid w:val="00EF1D06"/>
    <w:rsid w:val="00EF27A0"/>
    <w:rsid w:val="00EF317A"/>
    <w:rsid w:val="00EF3191"/>
    <w:rsid w:val="00EF392A"/>
    <w:rsid w:val="00EF3931"/>
    <w:rsid w:val="00EF3ED0"/>
    <w:rsid w:val="00EF42E4"/>
    <w:rsid w:val="00EF51C1"/>
    <w:rsid w:val="00EF5418"/>
    <w:rsid w:val="00EF5B43"/>
    <w:rsid w:val="00EF5CD0"/>
    <w:rsid w:val="00EF6E37"/>
    <w:rsid w:val="00EF70D0"/>
    <w:rsid w:val="00EF7476"/>
    <w:rsid w:val="00EF7893"/>
    <w:rsid w:val="00EF7CE7"/>
    <w:rsid w:val="00F0018E"/>
    <w:rsid w:val="00F007C5"/>
    <w:rsid w:val="00F00B4A"/>
    <w:rsid w:val="00F00FE6"/>
    <w:rsid w:val="00F0123A"/>
    <w:rsid w:val="00F018C4"/>
    <w:rsid w:val="00F01D6C"/>
    <w:rsid w:val="00F01DFC"/>
    <w:rsid w:val="00F01ED6"/>
    <w:rsid w:val="00F0225E"/>
    <w:rsid w:val="00F022DF"/>
    <w:rsid w:val="00F03352"/>
    <w:rsid w:val="00F03C8E"/>
    <w:rsid w:val="00F04889"/>
    <w:rsid w:val="00F04CF0"/>
    <w:rsid w:val="00F04F21"/>
    <w:rsid w:val="00F068D0"/>
    <w:rsid w:val="00F06E90"/>
    <w:rsid w:val="00F06F8A"/>
    <w:rsid w:val="00F07820"/>
    <w:rsid w:val="00F07ABF"/>
    <w:rsid w:val="00F07DAD"/>
    <w:rsid w:val="00F1031B"/>
    <w:rsid w:val="00F10590"/>
    <w:rsid w:val="00F1085F"/>
    <w:rsid w:val="00F10E1B"/>
    <w:rsid w:val="00F110EC"/>
    <w:rsid w:val="00F116BA"/>
    <w:rsid w:val="00F1192E"/>
    <w:rsid w:val="00F11A7A"/>
    <w:rsid w:val="00F11E51"/>
    <w:rsid w:val="00F1207F"/>
    <w:rsid w:val="00F12165"/>
    <w:rsid w:val="00F12B9F"/>
    <w:rsid w:val="00F12FA3"/>
    <w:rsid w:val="00F13B26"/>
    <w:rsid w:val="00F13BB4"/>
    <w:rsid w:val="00F13F3C"/>
    <w:rsid w:val="00F140D1"/>
    <w:rsid w:val="00F141B9"/>
    <w:rsid w:val="00F1432E"/>
    <w:rsid w:val="00F14599"/>
    <w:rsid w:val="00F147E4"/>
    <w:rsid w:val="00F14D3C"/>
    <w:rsid w:val="00F14DEA"/>
    <w:rsid w:val="00F14FC4"/>
    <w:rsid w:val="00F154AC"/>
    <w:rsid w:val="00F155CC"/>
    <w:rsid w:val="00F157E0"/>
    <w:rsid w:val="00F15ABB"/>
    <w:rsid w:val="00F1689A"/>
    <w:rsid w:val="00F16B31"/>
    <w:rsid w:val="00F16E07"/>
    <w:rsid w:val="00F1705B"/>
    <w:rsid w:val="00F17161"/>
    <w:rsid w:val="00F17261"/>
    <w:rsid w:val="00F179BF"/>
    <w:rsid w:val="00F17C15"/>
    <w:rsid w:val="00F17D1D"/>
    <w:rsid w:val="00F20774"/>
    <w:rsid w:val="00F20BC0"/>
    <w:rsid w:val="00F21218"/>
    <w:rsid w:val="00F217D8"/>
    <w:rsid w:val="00F21B23"/>
    <w:rsid w:val="00F21E82"/>
    <w:rsid w:val="00F21EE7"/>
    <w:rsid w:val="00F22053"/>
    <w:rsid w:val="00F220B9"/>
    <w:rsid w:val="00F22225"/>
    <w:rsid w:val="00F22542"/>
    <w:rsid w:val="00F228A0"/>
    <w:rsid w:val="00F2378F"/>
    <w:rsid w:val="00F23CC9"/>
    <w:rsid w:val="00F23D3F"/>
    <w:rsid w:val="00F23FA4"/>
    <w:rsid w:val="00F245D5"/>
    <w:rsid w:val="00F24609"/>
    <w:rsid w:val="00F24B79"/>
    <w:rsid w:val="00F2514E"/>
    <w:rsid w:val="00F253EE"/>
    <w:rsid w:val="00F25940"/>
    <w:rsid w:val="00F25A14"/>
    <w:rsid w:val="00F25C42"/>
    <w:rsid w:val="00F25F0F"/>
    <w:rsid w:val="00F26233"/>
    <w:rsid w:val="00F264D9"/>
    <w:rsid w:val="00F26E13"/>
    <w:rsid w:val="00F27130"/>
    <w:rsid w:val="00F27148"/>
    <w:rsid w:val="00F2759D"/>
    <w:rsid w:val="00F2763D"/>
    <w:rsid w:val="00F27EFB"/>
    <w:rsid w:val="00F301EC"/>
    <w:rsid w:val="00F30488"/>
    <w:rsid w:val="00F305D5"/>
    <w:rsid w:val="00F306B2"/>
    <w:rsid w:val="00F30C0F"/>
    <w:rsid w:val="00F30C81"/>
    <w:rsid w:val="00F3110C"/>
    <w:rsid w:val="00F31117"/>
    <w:rsid w:val="00F31566"/>
    <w:rsid w:val="00F31825"/>
    <w:rsid w:val="00F31CFE"/>
    <w:rsid w:val="00F31D2C"/>
    <w:rsid w:val="00F320AC"/>
    <w:rsid w:val="00F32A5E"/>
    <w:rsid w:val="00F333FB"/>
    <w:rsid w:val="00F3356F"/>
    <w:rsid w:val="00F33902"/>
    <w:rsid w:val="00F33962"/>
    <w:rsid w:val="00F33C79"/>
    <w:rsid w:val="00F34310"/>
    <w:rsid w:val="00F346D2"/>
    <w:rsid w:val="00F34F33"/>
    <w:rsid w:val="00F351A1"/>
    <w:rsid w:val="00F353B0"/>
    <w:rsid w:val="00F353C0"/>
    <w:rsid w:val="00F3545D"/>
    <w:rsid w:val="00F35867"/>
    <w:rsid w:val="00F359A1"/>
    <w:rsid w:val="00F36161"/>
    <w:rsid w:val="00F365C0"/>
    <w:rsid w:val="00F366F1"/>
    <w:rsid w:val="00F36757"/>
    <w:rsid w:val="00F36AED"/>
    <w:rsid w:val="00F36DEF"/>
    <w:rsid w:val="00F37441"/>
    <w:rsid w:val="00F37E2C"/>
    <w:rsid w:val="00F40867"/>
    <w:rsid w:val="00F40C07"/>
    <w:rsid w:val="00F40C4F"/>
    <w:rsid w:val="00F40E75"/>
    <w:rsid w:val="00F4123A"/>
    <w:rsid w:val="00F41705"/>
    <w:rsid w:val="00F41837"/>
    <w:rsid w:val="00F4213A"/>
    <w:rsid w:val="00F4213B"/>
    <w:rsid w:val="00F4232C"/>
    <w:rsid w:val="00F42426"/>
    <w:rsid w:val="00F42B9C"/>
    <w:rsid w:val="00F42D2E"/>
    <w:rsid w:val="00F42E63"/>
    <w:rsid w:val="00F42EEE"/>
    <w:rsid w:val="00F435E6"/>
    <w:rsid w:val="00F438C4"/>
    <w:rsid w:val="00F440AE"/>
    <w:rsid w:val="00F443E8"/>
    <w:rsid w:val="00F445EF"/>
    <w:rsid w:val="00F44883"/>
    <w:rsid w:val="00F448E6"/>
    <w:rsid w:val="00F44D93"/>
    <w:rsid w:val="00F44DCE"/>
    <w:rsid w:val="00F4509A"/>
    <w:rsid w:val="00F456FA"/>
    <w:rsid w:val="00F4572E"/>
    <w:rsid w:val="00F45CEB"/>
    <w:rsid w:val="00F45FEA"/>
    <w:rsid w:val="00F4614B"/>
    <w:rsid w:val="00F46284"/>
    <w:rsid w:val="00F46C4C"/>
    <w:rsid w:val="00F479DB"/>
    <w:rsid w:val="00F47AB8"/>
    <w:rsid w:val="00F47DAE"/>
    <w:rsid w:val="00F5005D"/>
    <w:rsid w:val="00F50990"/>
    <w:rsid w:val="00F51209"/>
    <w:rsid w:val="00F513D5"/>
    <w:rsid w:val="00F51705"/>
    <w:rsid w:val="00F51EB1"/>
    <w:rsid w:val="00F520D0"/>
    <w:rsid w:val="00F52451"/>
    <w:rsid w:val="00F526F3"/>
    <w:rsid w:val="00F529A7"/>
    <w:rsid w:val="00F531FA"/>
    <w:rsid w:val="00F5377B"/>
    <w:rsid w:val="00F541AA"/>
    <w:rsid w:val="00F54245"/>
    <w:rsid w:val="00F54FC7"/>
    <w:rsid w:val="00F554EA"/>
    <w:rsid w:val="00F55506"/>
    <w:rsid w:val="00F56AD9"/>
    <w:rsid w:val="00F56FF0"/>
    <w:rsid w:val="00F579FD"/>
    <w:rsid w:val="00F57DA0"/>
    <w:rsid w:val="00F57F94"/>
    <w:rsid w:val="00F6071A"/>
    <w:rsid w:val="00F60B72"/>
    <w:rsid w:val="00F60E24"/>
    <w:rsid w:val="00F60F7E"/>
    <w:rsid w:val="00F60FC2"/>
    <w:rsid w:val="00F62206"/>
    <w:rsid w:val="00F62479"/>
    <w:rsid w:val="00F62A77"/>
    <w:rsid w:val="00F62E13"/>
    <w:rsid w:val="00F6303B"/>
    <w:rsid w:val="00F637F7"/>
    <w:rsid w:val="00F63C3E"/>
    <w:rsid w:val="00F64563"/>
    <w:rsid w:val="00F64881"/>
    <w:rsid w:val="00F64923"/>
    <w:rsid w:val="00F64A9A"/>
    <w:rsid w:val="00F64E15"/>
    <w:rsid w:val="00F64F60"/>
    <w:rsid w:val="00F65073"/>
    <w:rsid w:val="00F656A8"/>
    <w:rsid w:val="00F65AED"/>
    <w:rsid w:val="00F66057"/>
    <w:rsid w:val="00F66353"/>
    <w:rsid w:val="00F665A9"/>
    <w:rsid w:val="00F6679F"/>
    <w:rsid w:val="00F66A74"/>
    <w:rsid w:val="00F66A91"/>
    <w:rsid w:val="00F670F7"/>
    <w:rsid w:val="00F671C9"/>
    <w:rsid w:val="00F67441"/>
    <w:rsid w:val="00F67786"/>
    <w:rsid w:val="00F67ED5"/>
    <w:rsid w:val="00F700CD"/>
    <w:rsid w:val="00F70796"/>
    <w:rsid w:val="00F70BEA"/>
    <w:rsid w:val="00F71600"/>
    <w:rsid w:val="00F71799"/>
    <w:rsid w:val="00F724C7"/>
    <w:rsid w:val="00F729AF"/>
    <w:rsid w:val="00F72EC2"/>
    <w:rsid w:val="00F72EDA"/>
    <w:rsid w:val="00F72F3E"/>
    <w:rsid w:val="00F731CE"/>
    <w:rsid w:val="00F73231"/>
    <w:rsid w:val="00F73583"/>
    <w:rsid w:val="00F73773"/>
    <w:rsid w:val="00F7402F"/>
    <w:rsid w:val="00F7415E"/>
    <w:rsid w:val="00F7476F"/>
    <w:rsid w:val="00F74A5A"/>
    <w:rsid w:val="00F7515E"/>
    <w:rsid w:val="00F752C4"/>
    <w:rsid w:val="00F75551"/>
    <w:rsid w:val="00F75784"/>
    <w:rsid w:val="00F76345"/>
    <w:rsid w:val="00F7636E"/>
    <w:rsid w:val="00F77882"/>
    <w:rsid w:val="00F77F98"/>
    <w:rsid w:val="00F80563"/>
    <w:rsid w:val="00F806C5"/>
    <w:rsid w:val="00F80852"/>
    <w:rsid w:val="00F80EC5"/>
    <w:rsid w:val="00F81626"/>
    <w:rsid w:val="00F81D90"/>
    <w:rsid w:val="00F8244F"/>
    <w:rsid w:val="00F824BE"/>
    <w:rsid w:val="00F82618"/>
    <w:rsid w:val="00F82753"/>
    <w:rsid w:val="00F8287B"/>
    <w:rsid w:val="00F82A8D"/>
    <w:rsid w:val="00F82E1A"/>
    <w:rsid w:val="00F82F18"/>
    <w:rsid w:val="00F83073"/>
    <w:rsid w:val="00F83FBE"/>
    <w:rsid w:val="00F84649"/>
    <w:rsid w:val="00F848BD"/>
    <w:rsid w:val="00F84D94"/>
    <w:rsid w:val="00F85598"/>
    <w:rsid w:val="00F858BE"/>
    <w:rsid w:val="00F86264"/>
    <w:rsid w:val="00F8692F"/>
    <w:rsid w:val="00F86976"/>
    <w:rsid w:val="00F869A8"/>
    <w:rsid w:val="00F873D2"/>
    <w:rsid w:val="00F8746C"/>
    <w:rsid w:val="00F9016E"/>
    <w:rsid w:val="00F90895"/>
    <w:rsid w:val="00F908C8"/>
    <w:rsid w:val="00F90AE3"/>
    <w:rsid w:val="00F9144C"/>
    <w:rsid w:val="00F9170F"/>
    <w:rsid w:val="00F91914"/>
    <w:rsid w:val="00F9219D"/>
    <w:rsid w:val="00F922BD"/>
    <w:rsid w:val="00F925B5"/>
    <w:rsid w:val="00F92920"/>
    <w:rsid w:val="00F92C3A"/>
    <w:rsid w:val="00F93F00"/>
    <w:rsid w:val="00F942B9"/>
    <w:rsid w:val="00F9455D"/>
    <w:rsid w:val="00F94843"/>
    <w:rsid w:val="00F948E6"/>
    <w:rsid w:val="00F94C54"/>
    <w:rsid w:val="00F9517D"/>
    <w:rsid w:val="00F9565D"/>
    <w:rsid w:val="00F95745"/>
    <w:rsid w:val="00F95914"/>
    <w:rsid w:val="00F95E0D"/>
    <w:rsid w:val="00F96223"/>
    <w:rsid w:val="00F9642C"/>
    <w:rsid w:val="00F96596"/>
    <w:rsid w:val="00F96ACA"/>
    <w:rsid w:val="00F96DC2"/>
    <w:rsid w:val="00F9750D"/>
    <w:rsid w:val="00F97FA3"/>
    <w:rsid w:val="00FA0901"/>
    <w:rsid w:val="00FA0EF3"/>
    <w:rsid w:val="00FA1273"/>
    <w:rsid w:val="00FA1557"/>
    <w:rsid w:val="00FA2A51"/>
    <w:rsid w:val="00FA2C05"/>
    <w:rsid w:val="00FA2F4D"/>
    <w:rsid w:val="00FA2F55"/>
    <w:rsid w:val="00FA3065"/>
    <w:rsid w:val="00FA34D2"/>
    <w:rsid w:val="00FA375A"/>
    <w:rsid w:val="00FA3C76"/>
    <w:rsid w:val="00FA3CF6"/>
    <w:rsid w:val="00FA3E35"/>
    <w:rsid w:val="00FA3E62"/>
    <w:rsid w:val="00FA3F64"/>
    <w:rsid w:val="00FA41A4"/>
    <w:rsid w:val="00FA45B8"/>
    <w:rsid w:val="00FA46B3"/>
    <w:rsid w:val="00FA4B40"/>
    <w:rsid w:val="00FA4BDC"/>
    <w:rsid w:val="00FA5894"/>
    <w:rsid w:val="00FA5F3F"/>
    <w:rsid w:val="00FA61BB"/>
    <w:rsid w:val="00FA6577"/>
    <w:rsid w:val="00FA6B53"/>
    <w:rsid w:val="00FB13E0"/>
    <w:rsid w:val="00FB1588"/>
    <w:rsid w:val="00FB1703"/>
    <w:rsid w:val="00FB1763"/>
    <w:rsid w:val="00FB242F"/>
    <w:rsid w:val="00FB27D7"/>
    <w:rsid w:val="00FB2807"/>
    <w:rsid w:val="00FB2B25"/>
    <w:rsid w:val="00FB2C47"/>
    <w:rsid w:val="00FB2CD8"/>
    <w:rsid w:val="00FB3359"/>
    <w:rsid w:val="00FB3922"/>
    <w:rsid w:val="00FB3B84"/>
    <w:rsid w:val="00FB3FE4"/>
    <w:rsid w:val="00FB422D"/>
    <w:rsid w:val="00FB48D7"/>
    <w:rsid w:val="00FB4B64"/>
    <w:rsid w:val="00FB5217"/>
    <w:rsid w:val="00FB5553"/>
    <w:rsid w:val="00FB58B1"/>
    <w:rsid w:val="00FB5F1F"/>
    <w:rsid w:val="00FB784C"/>
    <w:rsid w:val="00FB7F36"/>
    <w:rsid w:val="00FC003A"/>
    <w:rsid w:val="00FC01DB"/>
    <w:rsid w:val="00FC079A"/>
    <w:rsid w:val="00FC082B"/>
    <w:rsid w:val="00FC0CC2"/>
    <w:rsid w:val="00FC11A6"/>
    <w:rsid w:val="00FC1226"/>
    <w:rsid w:val="00FC1EDD"/>
    <w:rsid w:val="00FC1F6B"/>
    <w:rsid w:val="00FC2103"/>
    <w:rsid w:val="00FC21D3"/>
    <w:rsid w:val="00FC2279"/>
    <w:rsid w:val="00FC236D"/>
    <w:rsid w:val="00FC2BE4"/>
    <w:rsid w:val="00FC39DB"/>
    <w:rsid w:val="00FC3A2C"/>
    <w:rsid w:val="00FC3AA7"/>
    <w:rsid w:val="00FC3ABA"/>
    <w:rsid w:val="00FC3BC3"/>
    <w:rsid w:val="00FC3E5C"/>
    <w:rsid w:val="00FC3EBF"/>
    <w:rsid w:val="00FC48EA"/>
    <w:rsid w:val="00FC4B8B"/>
    <w:rsid w:val="00FC4C7C"/>
    <w:rsid w:val="00FC55F8"/>
    <w:rsid w:val="00FC5B15"/>
    <w:rsid w:val="00FC5EA1"/>
    <w:rsid w:val="00FC5FEF"/>
    <w:rsid w:val="00FC65F1"/>
    <w:rsid w:val="00FC713E"/>
    <w:rsid w:val="00FC7373"/>
    <w:rsid w:val="00FC78D9"/>
    <w:rsid w:val="00FC7B36"/>
    <w:rsid w:val="00FC7CCF"/>
    <w:rsid w:val="00FD02D6"/>
    <w:rsid w:val="00FD06D7"/>
    <w:rsid w:val="00FD0A59"/>
    <w:rsid w:val="00FD0D73"/>
    <w:rsid w:val="00FD19F4"/>
    <w:rsid w:val="00FD1EA8"/>
    <w:rsid w:val="00FD25B9"/>
    <w:rsid w:val="00FD2832"/>
    <w:rsid w:val="00FD295F"/>
    <w:rsid w:val="00FD298B"/>
    <w:rsid w:val="00FD308B"/>
    <w:rsid w:val="00FD321B"/>
    <w:rsid w:val="00FD35BE"/>
    <w:rsid w:val="00FD39E1"/>
    <w:rsid w:val="00FD3AB3"/>
    <w:rsid w:val="00FD3D04"/>
    <w:rsid w:val="00FD453D"/>
    <w:rsid w:val="00FD456B"/>
    <w:rsid w:val="00FD46A2"/>
    <w:rsid w:val="00FD4E37"/>
    <w:rsid w:val="00FD4EA4"/>
    <w:rsid w:val="00FD4EE6"/>
    <w:rsid w:val="00FD5F21"/>
    <w:rsid w:val="00FD61D8"/>
    <w:rsid w:val="00FD62F0"/>
    <w:rsid w:val="00FD678F"/>
    <w:rsid w:val="00FD68B8"/>
    <w:rsid w:val="00FD6A5A"/>
    <w:rsid w:val="00FD6E64"/>
    <w:rsid w:val="00FD701B"/>
    <w:rsid w:val="00FD72D5"/>
    <w:rsid w:val="00FD78F2"/>
    <w:rsid w:val="00FD7EFF"/>
    <w:rsid w:val="00FD7FEC"/>
    <w:rsid w:val="00FE06A9"/>
    <w:rsid w:val="00FE0815"/>
    <w:rsid w:val="00FE09E4"/>
    <w:rsid w:val="00FE13CB"/>
    <w:rsid w:val="00FE199D"/>
    <w:rsid w:val="00FE1EF2"/>
    <w:rsid w:val="00FE26DF"/>
    <w:rsid w:val="00FE26ED"/>
    <w:rsid w:val="00FE2851"/>
    <w:rsid w:val="00FE3217"/>
    <w:rsid w:val="00FE32B0"/>
    <w:rsid w:val="00FE367C"/>
    <w:rsid w:val="00FE3771"/>
    <w:rsid w:val="00FE3977"/>
    <w:rsid w:val="00FE3B55"/>
    <w:rsid w:val="00FE3B58"/>
    <w:rsid w:val="00FE3CF8"/>
    <w:rsid w:val="00FE3DE1"/>
    <w:rsid w:val="00FE3EC2"/>
    <w:rsid w:val="00FE460F"/>
    <w:rsid w:val="00FE4A0D"/>
    <w:rsid w:val="00FE4BDD"/>
    <w:rsid w:val="00FE5463"/>
    <w:rsid w:val="00FE56B2"/>
    <w:rsid w:val="00FE5910"/>
    <w:rsid w:val="00FE5A38"/>
    <w:rsid w:val="00FE5ADD"/>
    <w:rsid w:val="00FE5BDA"/>
    <w:rsid w:val="00FE62CF"/>
    <w:rsid w:val="00FE6370"/>
    <w:rsid w:val="00FE66E4"/>
    <w:rsid w:val="00FE6864"/>
    <w:rsid w:val="00FE6980"/>
    <w:rsid w:val="00FE6C8B"/>
    <w:rsid w:val="00FE6F00"/>
    <w:rsid w:val="00FE77BC"/>
    <w:rsid w:val="00FE7BC1"/>
    <w:rsid w:val="00FE7C89"/>
    <w:rsid w:val="00FE7D17"/>
    <w:rsid w:val="00FE7D66"/>
    <w:rsid w:val="00FF00F6"/>
    <w:rsid w:val="00FF00F8"/>
    <w:rsid w:val="00FF0153"/>
    <w:rsid w:val="00FF01BC"/>
    <w:rsid w:val="00FF03C8"/>
    <w:rsid w:val="00FF0718"/>
    <w:rsid w:val="00FF07F1"/>
    <w:rsid w:val="00FF1577"/>
    <w:rsid w:val="00FF1A99"/>
    <w:rsid w:val="00FF2178"/>
    <w:rsid w:val="00FF2191"/>
    <w:rsid w:val="00FF239C"/>
    <w:rsid w:val="00FF27D5"/>
    <w:rsid w:val="00FF2B4C"/>
    <w:rsid w:val="00FF3496"/>
    <w:rsid w:val="00FF3E81"/>
    <w:rsid w:val="00FF3E95"/>
    <w:rsid w:val="00FF3EB5"/>
    <w:rsid w:val="00FF46AB"/>
    <w:rsid w:val="00FF46BD"/>
    <w:rsid w:val="00FF49F4"/>
    <w:rsid w:val="00FF4A38"/>
    <w:rsid w:val="00FF4A39"/>
    <w:rsid w:val="00FF4A91"/>
    <w:rsid w:val="00FF4D18"/>
    <w:rsid w:val="00FF4D5E"/>
    <w:rsid w:val="00FF521E"/>
    <w:rsid w:val="00FF568E"/>
    <w:rsid w:val="00FF577C"/>
    <w:rsid w:val="00FF5B09"/>
    <w:rsid w:val="00FF5CCF"/>
    <w:rsid w:val="00FF5F58"/>
    <w:rsid w:val="00FF60D5"/>
    <w:rsid w:val="00FF622F"/>
    <w:rsid w:val="00FF6704"/>
    <w:rsid w:val="00FF6E36"/>
    <w:rsid w:val="00FF791D"/>
    <w:rsid w:val="00FF7CE8"/>
    <w:rsid w:val="00FF7F37"/>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14:docId w14:val="5F22EC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AU" w:eastAsia="en-AU" w:bidi="ar-SA"/>
      </w:rPr>
    </w:rPrDefault>
    <w:pPrDefault/>
  </w:docDefaults>
  <w:latentStyles w:defLockedState="1" w:defUIPriority="99" w:defSemiHidden="1" w:defUnhideWhenUsed="1" w:defQFormat="0" w:count="267">
    <w:lsdException w:name="Normal" w:locked="0" w:semiHidden="0" w:uiPriority="0" w:unhideWhenUsed="0" w:qFormat="1"/>
    <w:lsdException w:name="heading 1" w:locked="0" w:semiHidden="0" w:unhideWhenUsed="0" w:qFormat="1"/>
    <w:lsdException w:name="heading 2" w:locked="0" w:semiHidden="0" w:uiPriority="0" w:unhideWhenUsed="0" w:qFormat="1"/>
    <w:lsdException w:name="heading 3" w:locked="0" w:semiHidden="0" w:unhideWhenUsed="0" w:qFormat="1"/>
    <w:lsdException w:name="heading 4" w:locked="0" w:semiHidden="0" w:uiPriority="9" w:unhideWhenUsed="0" w:qFormat="1"/>
    <w:lsdException w:name="heading 5" w:locked="0" w:semiHidden="0" w:unhideWhenUsed="0" w:qFormat="1"/>
    <w:lsdException w:name="heading 6" w:locked="0" w:semiHidden="0" w:uiPriority="9" w:unhideWhenUsed="0" w:qFormat="1"/>
    <w:lsdException w:name="heading 7" w:locked="0" w:semiHidden="0" w:unhideWhenUsed="0" w:qFormat="1"/>
    <w:lsdException w:name="heading 8" w:locked="0" w:semiHidden="0" w:unhideWhenUsed="0" w:qFormat="1"/>
    <w:lsdException w:name="heading 9" w:locked="0" w:semiHidden="0" w:unhideWhenUsed="0" w:qFormat="1"/>
    <w:lsdException w:name="toc 1" w:uiPriority="39" w:qFormat="1"/>
    <w:lsdException w:name="toc 2" w:uiPriority="39" w:qFormat="1"/>
    <w:lsdException w:name="toc 3" w:uiPriority="39" w:qFormat="1"/>
    <w:lsdException w:name="toc 4" w:uiPriority="39"/>
    <w:lsdException w:name="toc 6" w:locked="0" w:semiHidden="0" w:uiPriority="0" w:unhideWhenUsed="0"/>
    <w:lsdException w:name="toc 7" w:locked="0" w:semiHidden="0" w:uiPriority="0" w:unhideWhenUsed="0"/>
    <w:lsdException w:name="toc 8" w:locked="0" w:semiHidden="0" w:uiPriority="0" w:unhideWhenUsed="0"/>
    <w:lsdException w:name="toc 9" w:locked="0" w:semiHidden="0" w:uiPriority="0" w:unhideWhenUsed="0"/>
    <w:lsdException w:name="caption" w:locked="0" w:semiHidden="0" w:uiPriority="35" w:unhideWhenUsed="0" w:qFormat="1"/>
    <w:lsdException w:name="footnote reference" w:uiPriority="0"/>
    <w:lsdException w:name="Title" w:locked="0" w:semiHidden="0" w:unhideWhenUsed="0"/>
    <w:lsdException w:name="Default Paragraph Font" w:locked="0" w:semiHidden="0" w:uiPriority="1" w:unhideWhenUsed="0"/>
    <w:lsdException w:name="Subtitle" w:locked="0" w:semiHidden="0" w:uiPriority="0" w:unhideWhenUsed="0"/>
    <w:lsdException w:name="Strong" w:locked="0" w:semiHidden="0" w:uiPriority="22" w:unhideWhenUsed="0" w:qFormat="1"/>
    <w:lsdException w:name="Emphasis" w:locked="0" w:semiHidden="0" w:uiPriority="20" w:unhideWhenUsed="0" w:qFormat="1"/>
    <w:lsdException w:name="Table Classic 1" w:uiPriority="0"/>
    <w:lsdException w:name="Table Grid" w:locked="0" w:semiHidden="0" w:uiPriority="59" w:unhideWhenUsed="0"/>
    <w:lsdException w:name="Placeholder Text" w:locked="0" w:unhideWhenUsed="0"/>
    <w:lsdException w:name="No Spacing" w:locked="0" w:semiHidden="0" w:unhideWhenUsed="0"/>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lsdException w:name="Intense Quote" w:locked="0" w:semiHidden="0" w:uiPriority="30" w:unhideWhenUsed="0"/>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lsdException w:name="Intense Emphasis" w:locked="0" w:semiHidden="0" w:uiPriority="21" w:unhideWhenUsed="0"/>
    <w:lsdException w:name="Subtle Reference" w:locked="0" w:semiHidden="0" w:uiPriority="31" w:unhideWhenUsed="0"/>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1825AB"/>
    <w:pPr>
      <w:spacing w:before="120" w:after="120"/>
      <w:jc w:val="both"/>
    </w:pPr>
    <w:rPr>
      <w:rFonts w:ascii="Arial" w:hAnsi="Arial"/>
      <w:szCs w:val="20"/>
      <w:lang w:val="en-GB" w:eastAsia="en-US"/>
    </w:rPr>
  </w:style>
  <w:style w:type="paragraph" w:styleId="Heading1">
    <w:name w:val="heading 1"/>
    <w:basedOn w:val="Normal"/>
    <w:next w:val="Normal"/>
    <w:link w:val="Heading1Char"/>
    <w:autoRedefine/>
    <w:uiPriority w:val="99"/>
    <w:qFormat/>
    <w:rsid w:val="008617A0"/>
    <w:pPr>
      <w:keepNext/>
      <w:pageBreakBefore/>
      <w:numPr>
        <w:numId w:val="42"/>
      </w:numPr>
      <w:spacing w:after="480"/>
      <w:outlineLvl w:val="0"/>
    </w:pPr>
    <w:rPr>
      <w:rFonts w:cs="Arial"/>
      <w:b/>
      <w:kern w:val="28"/>
      <w:sz w:val="36"/>
      <w:szCs w:val="28"/>
      <w:lang w:val="en-AU"/>
    </w:rPr>
  </w:style>
  <w:style w:type="paragraph" w:styleId="Heading2">
    <w:name w:val="heading 2"/>
    <w:aliases w:val="h2,2nd Level Heading"/>
    <w:basedOn w:val="Normal"/>
    <w:next w:val="Normal"/>
    <w:link w:val="Heading2Char1"/>
    <w:qFormat/>
    <w:rsid w:val="00CD2D89"/>
    <w:pPr>
      <w:keepNext/>
      <w:keepLines/>
      <w:numPr>
        <w:ilvl w:val="1"/>
        <w:numId w:val="42"/>
      </w:numPr>
      <w:spacing w:before="240"/>
      <w:outlineLvl w:val="1"/>
    </w:pPr>
    <w:rPr>
      <w:rFonts w:eastAsiaTheme="majorEastAsia" w:cstheme="majorBidi"/>
      <w:b/>
      <w:bCs/>
      <w:sz w:val="26"/>
      <w:szCs w:val="26"/>
      <w:lang w:val="en-AU"/>
    </w:rPr>
  </w:style>
  <w:style w:type="paragraph" w:styleId="Heading3">
    <w:name w:val="heading 3"/>
    <w:aliases w:val="3rd Level Heading"/>
    <w:basedOn w:val="Normal"/>
    <w:next w:val="Normal"/>
    <w:link w:val="Heading3Char"/>
    <w:autoRedefine/>
    <w:uiPriority w:val="99"/>
    <w:qFormat/>
    <w:rsid w:val="00A3042C"/>
    <w:pPr>
      <w:keepNext/>
      <w:numPr>
        <w:numId w:val="35"/>
      </w:numPr>
      <w:tabs>
        <w:tab w:val="left" w:pos="1260"/>
      </w:tabs>
      <w:outlineLvl w:val="2"/>
    </w:pPr>
    <w:rPr>
      <w:rFonts w:eastAsia="SimSun" w:cs="Arial"/>
      <w:b/>
      <w:sz w:val="24"/>
      <w:szCs w:val="24"/>
      <w:lang w:val="en-AU"/>
    </w:rPr>
  </w:style>
  <w:style w:type="paragraph" w:styleId="Heading4">
    <w:name w:val="heading 4"/>
    <w:aliases w:val="4th Level Heading"/>
    <w:basedOn w:val="Caption"/>
    <w:next w:val="Normal"/>
    <w:link w:val="Heading4Char"/>
    <w:uiPriority w:val="9"/>
    <w:qFormat/>
    <w:rsid w:val="0010223B"/>
    <w:pPr>
      <w:numPr>
        <w:ilvl w:val="3"/>
        <w:numId w:val="42"/>
      </w:numPr>
      <w:outlineLvl w:val="3"/>
    </w:pPr>
    <w:rPr>
      <w:i/>
      <w:sz w:val="22"/>
    </w:rPr>
  </w:style>
  <w:style w:type="paragraph" w:styleId="Heading5">
    <w:name w:val="heading 5"/>
    <w:basedOn w:val="Normal"/>
    <w:next w:val="Normal"/>
    <w:link w:val="Heading5Char"/>
    <w:autoRedefine/>
    <w:uiPriority w:val="99"/>
    <w:qFormat/>
    <w:rsid w:val="007F0719"/>
    <w:pPr>
      <w:keepNext/>
      <w:numPr>
        <w:ilvl w:val="4"/>
        <w:numId w:val="42"/>
      </w:numPr>
      <w:outlineLvl w:val="4"/>
    </w:pPr>
    <w:rPr>
      <w:rFonts w:ascii="Gill Sans MT" w:hAnsi="Gill Sans MT"/>
      <w:b/>
      <w:color w:val="000000"/>
    </w:rPr>
  </w:style>
  <w:style w:type="paragraph" w:styleId="Heading6">
    <w:name w:val="heading 6"/>
    <w:basedOn w:val="subappendix"/>
    <w:next w:val="Normal"/>
    <w:link w:val="Heading6Char"/>
    <w:uiPriority w:val="9"/>
    <w:qFormat/>
    <w:rsid w:val="007C2FD8"/>
    <w:pPr>
      <w:numPr>
        <w:numId w:val="0"/>
      </w:numPr>
      <w:ind w:left="426"/>
      <w:outlineLvl w:val="5"/>
    </w:pPr>
  </w:style>
  <w:style w:type="paragraph" w:styleId="Heading7">
    <w:name w:val="heading 7"/>
    <w:basedOn w:val="subappendix"/>
    <w:next w:val="Normal"/>
    <w:link w:val="Heading7Char"/>
    <w:uiPriority w:val="99"/>
    <w:qFormat/>
    <w:rsid w:val="00C85410"/>
    <w:pPr>
      <w:outlineLvl w:val="6"/>
    </w:pPr>
  </w:style>
  <w:style w:type="paragraph" w:styleId="Heading8">
    <w:name w:val="heading 8"/>
    <w:basedOn w:val="Normal"/>
    <w:next w:val="Normal"/>
    <w:link w:val="Heading8Char"/>
    <w:uiPriority w:val="99"/>
    <w:qFormat/>
    <w:rsid w:val="00B83AF2"/>
    <w:pPr>
      <w:numPr>
        <w:ilvl w:val="7"/>
        <w:numId w:val="42"/>
      </w:numPr>
      <w:spacing w:before="240" w:after="60"/>
      <w:outlineLvl w:val="7"/>
    </w:pPr>
    <w:rPr>
      <w:rFonts w:ascii="Calibri" w:hAnsi="Calibri"/>
      <w:i/>
      <w:iCs/>
      <w:sz w:val="24"/>
      <w:szCs w:val="24"/>
    </w:rPr>
  </w:style>
  <w:style w:type="paragraph" w:styleId="Heading9">
    <w:name w:val="heading 9"/>
    <w:basedOn w:val="Normal"/>
    <w:next w:val="Normal"/>
    <w:link w:val="Heading9Char"/>
    <w:uiPriority w:val="99"/>
    <w:qFormat/>
    <w:rsid w:val="00B83AF2"/>
    <w:pPr>
      <w:keepNext/>
      <w:numPr>
        <w:ilvl w:val="8"/>
        <w:numId w:val="42"/>
      </w:numPr>
      <w:outlineLvl w:val="8"/>
    </w:pPr>
    <w:rPr>
      <w:rFonts w:ascii="Cambria" w:hAnsi="Cambria"/>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8617A0"/>
    <w:rPr>
      <w:rFonts w:ascii="Arial" w:hAnsi="Arial" w:cs="Arial"/>
      <w:b/>
      <w:kern w:val="28"/>
      <w:sz w:val="36"/>
      <w:szCs w:val="28"/>
      <w:lang w:eastAsia="en-US"/>
    </w:rPr>
  </w:style>
  <w:style w:type="character" w:customStyle="1" w:styleId="Heading2Char">
    <w:name w:val="Heading 2 Char"/>
    <w:aliases w:val="h2 Char,2nd Level Heading Char"/>
    <w:basedOn w:val="DefaultParagraphFont"/>
    <w:locked/>
    <w:rsid w:val="002D1934"/>
    <w:rPr>
      <w:rFonts w:ascii="Arial" w:hAnsi="Arial"/>
      <w:b/>
      <w:color w:val="000000" w:themeColor="text1"/>
      <w:sz w:val="28"/>
      <w:szCs w:val="20"/>
      <w:lang w:val="en-GB" w:eastAsia="en-US"/>
    </w:rPr>
  </w:style>
  <w:style w:type="character" w:customStyle="1" w:styleId="Heading3Char">
    <w:name w:val="Heading 3 Char"/>
    <w:aliases w:val="3rd Level Heading Char"/>
    <w:basedOn w:val="DefaultParagraphFont"/>
    <w:link w:val="Heading3"/>
    <w:uiPriority w:val="99"/>
    <w:locked/>
    <w:rsid w:val="00A3042C"/>
    <w:rPr>
      <w:rFonts w:ascii="Arial" w:eastAsia="SimSun" w:hAnsi="Arial" w:cs="Arial"/>
      <w:b/>
      <w:sz w:val="24"/>
      <w:szCs w:val="24"/>
      <w:lang w:eastAsia="en-US"/>
    </w:rPr>
  </w:style>
  <w:style w:type="character" w:customStyle="1" w:styleId="Heading4Char">
    <w:name w:val="Heading 4 Char"/>
    <w:aliases w:val="4th Level Heading Char"/>
    <w:basedOn w:val="DefaultParagraphFont"/>
    <w:link w:val="Heading4"/>
    <w:uiPriority w:val="9"/>
    <w:locked/>
    <w:rsid w:val="0010223B"/>
    <w:rPr>
      <w:rFonts w:ascii="Arial" w:eastAsia="SimSun" w:hAnsi="Arial"/>
      <w:i/>
      <w:lang w:val="en-US" w:eastAsia="en-US"/>
    </w:rPr>
  </w:style>
  <w:style w:type="character" w:customStyle="1" w:styleId="Heading5Char">
    <w:name w:val="Heading 5 Char"/>
    <w:basedOn w:val="DefaultParagraphFont"/>
    <w:link w:val="Heading5"/>
    <w:uiPriority w:val="99"/>
    <w:locked/>
    <w:rsid w:val="007F0719"/>
    <w:rPr>
      <w:rFonts w:ascii="Gill Sans MT" w:hAnsi="Gill Sans MT"/>
      <w:b/>
      <w:color w:val="000000"/>
      <w:szCs w:val="20"/>
      <w:lang w:val="en-GB" w:eastAsia="en-US"/>
    </w:rPr>
  </w:style>
  <w:style w:type="character" w:customStyle="1" w:styleId="Heading6Char">
    <w:name w:val="Heading 6 Char"/>
    <w:basedOn w:val="DefaultParagraphFont"/>
    <w:link w:val="Heading6"/>
    <w:uiPriority w:val="9"/>
    <w:locked/>
    <w:rsid w:val="007C2FD8"/>
    <w:rPr>
      <w:rFonts w:ascii="Arial" w:hAnsi="Arial"/>
      <w:b/>
      <w:sz w:val="28"/>
      <w:szCs w:val="20"/>
      <w:lang w:val="en-GB" w:eastAsia="en-US"/>
    </w:rPr>
  </w:style>
  <w:style w:type="character" w:customStyle="1" w:styleId="Heading7Char">
    <w:name w:val="Heading 7 Char"/>
    <w:basedOn w:val="DefaultParagraphFont"/>
    <w:link w:val="Heading7"/>
    <w:uiPriority w:val="99"/>
    <w:locked/>
    <w:rsid w:val="00C85410"/>
    <w:rPr>
      <w:rFonts w:ascii="Arial" w:hAnsi="Arial"/>
      <w:b/>
      <w:sz w:val="28"/>
      <w:szCs w:val="20"/>
      <w:lang w:val="en-GB" w:eastAsia="en-US"/>
    </w:rPr>
  </w:style>
  <w:style w:type="character" w:customStyle="1" w:styleId="Heading8Char">
    <w:name w:val="Heading 8 Char"/>
    <w:basedOn w:val="DefaultParagraphFont"/>
    <w:link w:val="Heading8"/>
    <w:uiPriority w:val="99"/>
    <w:locked/>
    <w:rsid w:val="00D24E49"/>
    <w:rPr>
      <w:rFonts w:ascii="Calibri" w:hAnsi="Calibri"/>
      <w:i/>
      <w:iCs/>
      <w:sz w:val="24"/>
      <w:szCs w:val="24"/>
      <w:lang w:val="en-GB" w:eastAsia="en-US"/>
    </w:rPr>
  </w:style>
  <w:style w:type="character" w:customStyle="1" w:styleId="Heading9Char">
    <w:name w:val="Heading 9 Char"/>
    <w:basedOn w:val="DefaultParagraphFont"/>
    <w:link w:val="Heading9"/>
    <w:uiPriority w:val="99"/>
    <w:locked/>
    <w:rsid w:val="00D24E49"/>
    <w:rPr>
      <w:rFonts w:ascii="Cambria" w:hAnsi="Cambria"/>
      <w:sz w:val="20"/>
      <w:szCs w:val="20"/>
      <w:lang w:val="en-GB" w:eastAsia="en-US"/>
    </w:rPr>
  </w:style>
  <w:style w:type="paragraph" w:customStyle="1" w:styleId="References">
    <w:name w:val="References"/>
    <w:basedOn w:val="Normal"/>
    <w:rsid w:val="002D39EC"/>
    <w:pPr>
      <w:ind w:left="288" w:hanging="288"/>
    </w:pPr>
    <w:rPr>
      <w:szCs w:val="22"/>
      <w:lang w:val="en-AU"/>
    </w:rPr>
  </w:style>
  <w:style w:type="character" w:styleId="CommentReference">
    <w:name w:val="annotation reference"/>
    <w:basedOn w:val="DefaultParagraphFont"/>
    <w:uiPriority w:val="99"/>
    <w:rsid w:val="00CE562E"/>
    <w:rPr>
      <w:rFonts w:cs="Times New Roman"/>
      <w:sz w:val="28"/>
    </w:rPr>
  </w:style>
  <w:style w:type="paragraph" w:styleId="CommentText">
    <w:name w:val="annotation text"/>
    <w:basedOn w:val="Normal"/>
    <w:link w:val="CommentTextChar"/>
    <w:uiPriority w:val="99"/>
    <w:rsid w:val="00F82F18"/>
    <w:pPr>
      <w:numPr>
        <w:numId w:val="1"/>
      </w:numPr>
    </w:pPr>
    <w:rPr>
      <w:rFonts w:ascii="Gill Sans MT" w:hAnsi="Gill Sans MT"/>
      <w:sz w:val="20"/>
      <w:lang w:val="en-AU" w:eastAsia="en-AU"/>
    </w:rPr>
  </w:style>
  <w:style w:type="character" w:customStyle="1" w:styleId="CommentTextChar">
    <w:name w:val="Comment Text Char"/>
    <w:basedOn w:val="DefaultParagraphFont"/>
    <w:link w:val="CommentText"/>
    <w:uiPriority w:val="99"/>
    <w:locked/>
    <w:rsid w:val="001B0F0D"/>
    <w:rPr>
      <w:rFonts w:ascii="Gill Sans MT" w:hAnsi="Gill Sans MT"/>
      <w:sz w:val="20"/>
      <w:szCs w:val="20"/>
    </w:rPr>
  </w:style>
  <w:style w:type="paragraph" w:styleId="Footer">
    <w:name w:val="footer"/>
    <w:basedOn w:val="Normal"/>
    <w:link w:val="FooterChar"/>
    <w:uiPriority w:val="99"/>
    <w:rsid w:val="00F82F18"/>
    <w:pPr>
      <w:tabs>
        <w:tab w:val="center" w:pos="4153"/>
        <w:tab w:val="right" w:pos="8306"/>
      </w:tabs>
      <w:spacing w:line="320" w:lineRule="exact"/>
    </w:pPr>
    <w:rPr>
      <w:rFonts w:ascii="Gill Sans MT" w:hAnsi="Gill Sans MT"/>
      <w:sz w:val="20"/>
    </w:rPr>
  </w:style>
  <w:style w:type="character" w:customStyle="1" w:styleId="FooterChar">
    <w:name w:val="Footer Char"/>
    <w:basedOn w:val="DefaultParagraphFont"/>
    <w:link w:val="Footer"/>
    <w:uiPriority w:val="99"/>
    <w:locked/>
    <w:rsid w:val="00D24E49"/>
    <w:rPr>
      <w:rFonts w:ascii="Gill Sans MT" w:hAnsi="Gill Sans MT" w:cs="Times New Roman"/>
      <w:sz w:val="20"/>
      <w:lang w:val="en-GB" w:eastAsia="en-US"/>
    </w:rPr>
  </w:style>
  <w:style w:type="paragraph" w:customStyle="1" w:styleId="Reportsummary">
    <w:name w:val="Report summary"/>
    <w:basedOn w:val="Normal"/>
    <w:uiPriority w:val="99"/>
    <w:rsid w:val="00454E56"/>
    <w:pPr>
      <w:tabs>
        <w:tab w:val="num" w:pos="432"/>
      </w:tabs>
      <w:spacing w:after="240"/>
      <w:ind w:left="432" w:hanging="432"/>
    </w:pPr>
    <w:rPr>
      <w:sz w:val="24"/>
    </w:rPr>
  </w:style>
  <w:style w:type="paragraph" w:customStyle="1" w:styleId="Reportrefs">
    <w:name w:val="Report refs"/>
    <w:basedOn w:val="Normal"/>
    <w:uiPriority w:val="99"/>
    <w:rsid w:val="00454E56"/>
    <w:pPr>
      <w:spacing w:after="180"/>
      <w:ind w:left="432" w:hanging="432"/>
    </w:pPr>
    <w:rPr>
      <w:sz w:val="24"/>
    </w:rPr>
  </w:style>
  <w:style w:type="paragraph" w:styleId="TOC4">
    <w:name w:val="toc 4"/>
    <w:basedOn w:val="Normal"/>
    <w:next w:val="Normal"/>
    <w:autoRedefine/>
    <w:uiPriority w:val="39"/>
    <w:rsid w:val="00AF7697"/>
    <w:pPr>
      <w:tabs>
        <w:tab w:val="left" w:pos="1440"/>
        <w:tab w:val="right" w:leader="dot" w:pos="9072"/>
      </w:tabs>
      <w:ind w:left="567"/>
    </w:pPr>
    <w:rPr>
      <w:noProof/>
      <w:szCs w:val="24"/>
      <w:lang w:val="en-AU"/>
    </w:rPr>
  </w:style>
  <w:style w:type="paragraph" w:customStyle="1" w:styleId="Figure">
    <w:name w:val="Figure"/>
    <w:basedOn w:val="Normal"/>
    <w:link w:val="FigureChar"/>
    <w:qFormat/>
    <w:rsid w:val="00A073A3"/>
    <w:rPr>
      <w:rFonts w:ascii="Arial Narrow" w:hAnsi="Arial Narrow"/>
    </w:rPr>
  </w:style>
  <w:style w:type="character" w:customStyle="1" w:styleId="FigureChar">
    <w:name w:val="Figure Char"/>
    <w:link w:val="Figure"/>
    <w:locked/>
    <w:rsid w:val="003E6AF6"/>
    <w:rPr>
      <w:rFonts w:ascii="Arial Narrow" w:hAnsi="Arial Narrow"/>
      <w:sz w:val="22"/>
      <w:lang w:val="en-GB" w:eastAsia="en-US"/>
    </w:rPr>
  </w:style>
  <w:style w:type="paragraph" w:customStyle="1" w:styleId="Table">
    <w:name w:val="Table"/>
    <w:basedOn w:val="Normal"/>
    <w:link w:val="TableChar"/>
    <w:rsid w:val="00812140"/>
    <w:rPr>
      <w:rFonts w:ascii="Arial Narrow" w:hAnsi="Arial Narrow"/>
    </w:rPr>
  </w:style>
  <w:style w:type="character" w:customStyle="1" w:styleId="TableChar">
    <w:name w:val="Table Char"/>
    <w:link w:val="Table"/>
    <w:locked/>
    <w:rsid w:val="003E6AF6"/>
    <w:rPr>
      <w:rFonts w:ascii="Arial Narrow" w:hAnsi="Arial Narrow"/>
      <w:sz w:val="22"/>
      <w:lang w:val="en-GB" w:eastAsia="en-US"/>
    </w:rPr>
  </w:style>
  <w:style w:type="paragraph" w:customStyle="1" w:styleId="Infopage">
    <w:name w:val="Info page"/>
    <w:basedOn w:val="Normal"/>
    <w:uiPriority w:val="99"/>
    <w:rsid w:val="00F50990"/>
    <w:rPr>
      <w:rFonts w:ascii="Arial Narrow" w:hAnsi="Arial Narrow"/>
      <w:szCs w:val="22"/>
    </w:rPr>
  </w:style>
  <w:style w:type="paragraph" w:styleId="TOC1">
    <w:name w:val="toc 1"/>
    <w:basedOn w:val="Normal"/>
    <w:next w:val="Normal"/>
    <w:autoRedefine/>
    <w:uiPriority w:val="39"/>
    <w:qFormat/>
    <w:rsid w:val="00EA3274"/>
    <w:rPr>
      <w:noProof/>
    </w:rPr>
  </w:style>
  <w:style w:type="paragraph" w:customStyle="1" w:styleId="TableContents">
    <w:name w:val="Table Contents"/>
    <w:basedOn w:val="Normal"/>
    <w:uiPriority w:val="99"/>
    <w:rsid w:val="00454E56"/>
    <w:pPr>
      <w:suppressLineNumbers/>
      <w:suppressAutoHyphens/>
      <w:spacing w:after="142" w:line="276" w:lineRule="auto"/>
    </w:pPr>
    <w:rPr>
      <w:rFonts w:ascii="Trebuchet MS" w:hAnsi="Trebuchet MS"/>
      <w:sz w:val="21"/>
      <w:lang w:val="en-US"/>
    </w:rPr>
  </w:style>
  <w:style w:type="paragraph" w:styleId="NormalWeb">
    <w:name w:val="Normal (Web)"/>
    <w:basedOn w:val="Normal"/>
    <w:uiPriority w:val="99"/>
    <w:rsid w:val="00B83AF2"/>
    <w:pPr>
      <w:spacing w:before="100" w:beforeAutospacing="1" w:after="100" w:afterAutospacing="1"/>
    </w:pPr>
    <w:rPr>
      <w:rFonts w:ascii="Times New Roman" w:hAnsi="Times New Roman"/>
      <w:sz w:val="24"/>
      <w:szCs w:val="24"/>
      <w:lang w:val="en-AU" w:eastAsia="en-AU"/>
    </w:rPr>
  </w:style>
  <w:style w:type="character" w:styleId="Hyperlink">
    <w:name w:val="Hyperlink"/>
    <w:basedOn w:val="DefaultParagraphFont"/>
    <w:uiPriority w:val="99"/>
    <w:rsid w:val="00B83AF2"/>
    <w:rPr>
      <w:rFonts w:cs="Times New Roman"/>
      <w:color w:val="0000FF"/>
      <w:u w:val="single"/>
    </w:rPr>
  </w:style>
  <w:style w:type="paragraph" w:customStyle="1" w:styleId="name1">
    <w:name w:val="name1"/>
    <w:basedOn w:val="Normal"/>
    <w:uiPriority w:val="99"/>
    <w:rsid w:val="00B83AF2"/>
    <w:pPr>
      <w:keepNext/>
      <w:tabs>
        <w:tab w:val="left" w:pos="284"/>
        <w:tab w:val="left" w:pos="567"/>
        <w:tab w:val="left" w:pos="851"/>
        <w:tab w:val="left" w:pos="1134"/>
      </w:tabs>
    </w:pPr>
    <w:rPr>
      <w:rFonts w:eastAsia="MS Mincho"/>
      <w:b/>
      <w:sz w:val="20"/>
      <w:lang w:val="en-AU"/>
    </w:rPr>
  </w:style>
  <w:style w:type="paragraph" w:styleId="DocumentMap">
    <w:name w:val="Document Map"/>
    <w:basedOn w:val="Normal"/>
    <w:link w:val="DocumentMapChar"/>
    <w:uiPriority w:val="99"/>
    <w:semiHidden/>
    <w:rsid w:val="00EB03E8"/>
    <w:pPr>
      <w:shd w:val="clear" w:color="auto" w:fill="000080"/>
    </w:pPr>
    <w:rPr>
      <w:rFonts w:ascii="Times New Roman" w:hAnsi="Times New Roman"/>
      <w:sz w:val="2"/>
    </w:rPr>
  </w:style>
  <w:style w:type="character" w:customStyle="1" w:styleId="DocumentMapChar">
    <w:name w:val="Document Map Char"/>
    <w:basedOn w:val="DefaultParagraphFont"/>
    <w:link w:val="DocumentMap"/>
    <w:uiPriority w:val="99"/>
    <w:semiHidden/>
    <w:locked/>
    <w:rsid w:val="00D24E49"/>
    <w:rPr>
      <w:rFonts w:cs="Times New Roman"/>
      <w:sz w:val="2"/>
      <w:lang w:val="en-GB" w:eastAsia="en-US"/>
    </w:rPr>
  </w:style>
  <w:style w:type="paragraph" w:styleId="BalloonText">
    <w:name w:val="Balloon Text"/>
    <w:basedOn w:val="Normal"/>
    <w:link w:val="BalloonTextChar"/>
    <w:uiPriority w:val="99"/>
    <w:rsid w:val="00CE562E"/>
    <w:rPr>
      <w:rFonts w:ascii="Times New Roman" w:hAnsi="Times New Roman"/>
      <w:sz w:val="16"/>
    </w:rPr>
  </w:style>
  <w:style w:type="character" w:customStyle="1" w:styleId="BalloonTextChar">
    <w:name w:val="Balloon Text Char"/>
    <w:basedOn w:val="DefaultParagraphFont"/>
    <w:link w:val="BalloonText"/>
    <w:uiPriority w:val="99"/>
    <w:locked/>
    <w:rsid w:val="00CE562E"/>
    <w:rPr>
      <w:rFonts w:cs="Times New Roman"/>
      <w:sz w:val="16"/>
      <w:lang w:val="en-GB" w:eastAsia="en-US"/>
    </w:rPr>
  </w:style>
  <w:style w:type="paragraph" w:styleId="Title">
    <w:name w:val="Title"/>
    <w:basedOn w:val="Normal"/>
    <w:link w:val="TitleChar"/>
    <w:uiPriority w:val="99"/>
    <w:rsid w:val="00FD46A2"/>
    <w:pPr>
      <w:jc w:val="center"/>
    </w:pPr>
    <w:rPr>
      <w:rFonts w:ascii="Cambria" w:hAnsi="Cambria"/>
      <w:b/>
      <w:bCs/>
      <w:kern w:val="28"/>
      <w:sz w:val="32"/>
      <w:szCs w:val="32"/>
    </w:rPr>
  </w:style>
  <w:style w:type="character" w:customStyle="1" w:styleId="TitleChar">
    <w:name w:val="Title Char"/>
    <w:basedOn w:val="DefaultParagraphFont"/>
    <w:link w:val="Title"/>
    <w:uiPriority w:val="99"/>
    <w:locked/>
    <w:rsid w:val="00D24E49"/>
    <w:rPr>
      <w:rFonts w:ascii="Cambria" w:hAnsi="Cambria" w:cs="Times New Roman"/>
      <w:b/>
      <w:kern w:val="28"/>
      <w:sz w:val="32"/>
      <w:lang w:val="en-GB" w:eastAsia="en-US"/>
    </w:rPr>
  </w:style>
  <w:style w:type="character" w:styleId="PageNumber">
    <w:name w:val="page number"/>
    <w:basedOn w:val="DefaultParagraphFont"/>
    <w:uiPriority w:val="99"/>
    <w:rsid w:val="00FD46A2"/>
    <w:rPr>
      <w:rFonts w:cs="Times New Roman"/>
    </w:rPr>
  </w:style>
  <w:style w:type="paragraph" w:styleId="TOC2">
    <w:name w:val="toc 2"/>
    <w:basedOn w:val="Normal"/>
    <w:next w:val="Normal"/>
    <w:autoRedefine/>
    <w:uiPriority w:val="39"/>
    <w:qFormat/>
    <w:rsid w:val="004A699B"/>
    <w:pPr>
      <w:ind w:left="220"/>
    </w:pPr>
  </w:style>
  <w:style w:type="paragraph" w:styleId="TOC3">
    <w:name w:val="toc 3"/>
    <w:basedOn w:val="Normal"/>
    <w:next w:val="Normal"/>
    <w:autoRedefine/>
    <w:uiPriority w:val="39"/>
    <w:qFormat/>
    <w:rsid w:val="005C54B4"/>
    <w:pPr>
      <w:tabs>
        <w:tab w:val="left" w:pos="880"/>
        <w:tab w:val="right" w:leader="dot" w:pos="9061"/>
      </w:tabs>
      <w:ind w:left="567"/>
      <w:jc w:val="left"/>
    </w:pPr>
  </w:style>
  <w:style w:type="paragraph" w:styleId="TOC5">
    <w:name w:val="toc 5"/>
    <w:basedOn w:val="Normal"/>
    <w:next w:val="Normal"/>
    <w:autoRedefine/>
    <w:uiPriority w:val="99"/>
    <w:rsid w:val="004A699B"/>
    <w:pPr>
      <w:ind w:left="880"/>
    </w:pPr>
  </w:style>
  <w:style w:type="paragraph" w:customStyle="1" w:styleId="StyleTitleOptimum">
    <w:name w:val="Style Title + Optimum"/>
    <w:basedOn w:val="Title"/>
    <w:uiPriority w:val="99"/>
    <w:rsid w:val="00FD46A2"/>
    <w:rPr>
      <w:rFonts w:ascii="Arial Black" w:hAnsi="Arial Black"/>
      <w:b w:val="0"/>
    </w:rPr>
  </w:style>
  <w:style w:type="paragraph" w:customStyle="1" w:styleId="StyleHeading5Optimum">
    <w:name w:val="Style Heading 5 + Optimum"/>
    <w:basedOn w:val="Heading5"/>
    <w:uiPriority w:val="99"/>
    <w:rsid w:val="00FD46A2"/>
    <w:pPr>
      <w:spacing w:after="60"/>
    </w:pPr>
    <w:rPr>
      <w:bCs/>
      <w:i/>
      <w:sz w:val="32"/>
    </w:rPr>
  </w:style>
  <w:style w:type="paragraph" w:customStyle="1" w:styleId="StyleHeading4After6pt">
    <w:name w:val="Style Heading 4 + After:  6 pt"/>
    <w:basedOn w:val="Heading4"/>
    <w:uiPriority w:val="99"/>
    <w:rsid w:val="00FD46A2"/>
    <w:rPr>
      <w:b/>
      <w:bCs/>
      <w:i w:val="0"/>
      <w:iCs/>
    </w:rPr>
  </w:style>
  <w:style w:type="character" w:customStyle="1" w:styleId="pubref">
    <w:name w:val="pubref"/>
    <w:rsid w:val="00FD46A2"/>
  </w:style>
  <w:style w:type="paragraph" w:styleId="FootnoteText">
    <w:name w:val="footnote text"/>
    <w:basedOn w:val="Normal"/>
    <w:link w:val="FootnoteTextChar"/>
    <w:uiPriority w:val="99"/>
    <w:rsid w:val="00FD46A2"/>
    <w:rPr>
      <w:rFonts w:ascii="Gill Sans MT" w:hAnsi="Gill Sans MT"/>
      <w:sz w:val="20"/>
    </w:rPr>
  </w:style>
  <w:style w:type="character" w:customStyle="1" w:styleId="FootnoteTextChar">
    <w:name w:val="Footnote Text Char"/>
    <w:basedOn w:val="DefaultParagraphFont"/>
    <w:link w:val="FootnoteText"/>
    <w:uiPriority w:val="99"/>
    <w:locked/>
    <w:rsid w:val="00D24E49"/>
    <w:rPr>
      <w:rFonts w:ascii="Gill Sans MT" w:hAnsi="Gill Sans MT" w:cs="Times New Roman"/>
      <w:sz w:val="20"/>
      <w:lang w:val="en-GB" w:eastAsia="en-US"/>
    </w:rPr>
  </w:style>
  <w:style w:type="paragraph" w:styleId="ListBullet2">
    <w:name w:val="List Bullet 2"/>
    <w:basedOn w:val="Normal"/>
    <w:uiPriority w:val="99"/>
    <w:rsid w:val="00FD46A2"/>
    <w:pPr>
      <w:tabs>
        <w:tab w:val="num" w:pos="432"/>
      </w:tabs>
      <w:ind w:left="432" w:hanging="432"/>
    </w:pPr>
    <w:rPr>
      <w:rFonts w:ascii="Optimum" w:hAnsi="Optimum"/>
      <w:szCs w:val="24"/>
      <w:lang w:val="en-AU"/>
    </w:rPr>
  </w:style>
  <w:style w:type="paragraph" w:styleId="PlainText">
    <w:name w:val="Plain Text"/>
    <w:basedOn w:val="Normal"/>
    <w:link w:val="PlainTextChar"/>
    <w:uiPriority w:val="99"/>
    <w:rsid w:val="00FD46A2"/>
    <w:rPr>
      <w:rFonts w:ascii="Courier New" w:hAnsi="Courier New"/>
      <w:sz w:val="20"/>
    </w:rPr>
  </w:style>
  <w:style w:type="character" w:customStyle="1" w:styleId="PlainTextChar">
    <w:name w:val="Plain Text Char"/>
    <w:basedOn w:val="DefaultParagraphFont"/>
    <w:link w:val="PlainText"/>
    <w:uiPriority w:val="99"/>
    <w:locked/>
    <w:rsid w:val="00D24E49"/>
    <w:rPr>
      <w:rFonts w:ascii="Courier New" w:hAnsi="Courier New" w:cs="Times New Roman"/>
      <w:sz w:val="20"/>
      <w:lang w:val="en-GB" w:eastAsia="en-US"/>
    </w:rPr>
  </w:style>
  <w:style w:type="paragraph" w:customStyle="1" w:styleId="references0">
    <w:name w:val="references"/>
    <w:basedOn w:val="Normal"/>
    <w:uiPriority w:val="99"/>
    <w:rsid w:val="00FD46A2"/>
    <w:pPr>
      <w:spacing w:before="100" w:beforeAutospacing="1" w:after="100" w:afterAutospacing="1"/>
    </w:pPr>
    <w:rPr>
      <w:rFonts w:ascii="Arial Unicode MS" w:eastAsia="Arial Unicode MS" w:hAnsi="Arial Unicode MS" w:cs="Arial Unicode MS"/>
      <w:sz w:val="24"/>
      <w:szCs w:val="24"/>
      <w:lang w:val="en-AU"/>
    </w:rPr>
  </w:style>
  <w:style w:type="paragraph" w:customStyle="1" w:styleId="Heading54">
    <w:name w:val="Heading 54"/>
    <w:basedOn w:val="Heading5"/>
    <w:uiPriority w:val="99"/>
    <w:rsid w:val="00FD46A2"/>
    <w:pPr>
      <w:keepNext w:val="0"/>
      <w:spacing w:before="240" w:after="60"/>
    </w:pPr>
    <w:rPr>
      <w:rFonts w:ascii="Times New Roman" w:hAnsi="Times New Roman"/>
      <w:bCs/>
      <w:i/>
      <w:iCs/>
      <w:sz w:val="24"/>
      <w:szCs w:val="24"/>
      <w:u w:val="single"/>
      <w:lang w:val="en-AU"/>
    </w:rPr>
  </w:style>
  <w:style w:type="paragraph" w:customStyle="1" w:styleId="xl551">
    <w:name w:val="xl551"/>
    <w:basedOn w:val="Normal"/>
    <w:uiPriority w:val="99"/>
    <w:rsid w:val="00FD46A2"/>
    <w:pPr>
      <w:pBdr>
        <w:top w:val="single" w:sz="8" w:space="0" w:color="auto"/>
        <w:left w:val="single" w:sz="8" w:space="0" w:color="auto"/>
        <w:right w:val="single" w:sz="4" w:space="0" w:color="C0C0C0"/>
      </w:pBdr>
      <w:spacing w:before="100" w:beforeAutospacing="1" w:after="100" w:afterAutospacing="1"/>
      <w:jc w:val="center"/>
      <w:textAlignment w:val="center"/>
    </w:pPr>
    <w:rPr>
      <w:rFonts w:eastAsia="Arial Unicode MS" w:cs="Arial"/>
      <w:color w:val="000000"/>
      <w:sz w:val="18"/>
      <w:szCs w:val="18"/>
      <w:lang w:val="en-AU"/>
    </w:rPr>
  </w:style>
  <w:style w:type="paragraph" w:customStyle="1" w:styleId="xl741">
    <w:name w:val="xl741"/>
    <w:basedOn w:val="Normal"/>
    <w:uiPriority w:val="99"/>
    <w:rsid w:val="00FD46A2"/>
    <w:pPr>
      <w:pBdr>
        <w:bottom w:val="single" w:sz="8" w:space="0" w:color="auto"/>
      </w:pBdr>
      <w:spacing w:before="100" w:beforeAutospacing="1" w:after="100" w:afterAutospacing="1"/>
    </w:pPr>
    <w:rPr>
      <w:rFonts w:ascii="Arial Unicode MS" w:eastAsia="Arial Unicode MS" w:hAnsi="Arial Unicode MS" w:cs="Arial Unicode MS"/>
      <w:sz w:val="24"/>
      <w:szCs w:val="24"/>
      <w:lang w:val="en-AU"/>
    </w:rPr>
  </w:style>
  <w:style w:type="paragraph" w:customStyle="1" w:styleId="xl251">
    <w:name w:val="xl251"/>
    <w:basedOn w:val="Normal"/>
    <w:uiPriority w:val="99"/>
    <w:rsid w:val="00FD46A2"/>
    <w:pPr>
      <w:spacing w:before="100" w:beforeAutospacing="1" w:after="100" w:afterAutospacing="1"/>
      <w:jc w:val="center"/>
      <w:textAlignment w:val="center"/>
    </w:pPr>
    <w:rPr>
      <w:rFonts w:eastAsia="Arial Unicode MS" w:cs="Arial"/>
      <w:sz w:val="16"/>
      <w:szCs w:val="16"/>
      <w:lang w:val="en-AU"/>
    </w:rPr>
  </w:style>
  <w:style w:type="character" w:styleId="Strong">
    <w:name w:val="Strong"/>
    <w:basedOn w:val="DefaultParagraphFont"/>
    <w:uiPriority w:val="22"/>
    <w:qFormat/>
    <w:rsid w:val="00FD46A2"/>
    <w:rPr>
      <w:rFonts w:cs="Times New Roman"/>
      <w:b/>
    </w:rPr>
  </w:style>
  <w:style w:type="paragraph" w:customStyle="1" w:styleId="Style2">
    <w:name w:val="Style2"/>
    <w:basedOn w:val="Heading5"/>
    <w:uiPriority w:val="99"/>
    <w:rsid w:val="00FD46A2"/>
    <w:pPr>
      <w:keepNext w:val="0"/>
      <w:spacing w:before="240" w:after="60"/>
    </w:pPr>
    <w:rPr>
      <w:rFonts w:ascii="Times New Roman" w:hAnsi="Times New Roman"/>
      <w:bCs/>
      <w:i/>
      <w:iCs/>
      <w:sz w:val="24"/>
      <w:szCs w:val="24"/>
      <w:u w:val="single"/>
      <w:lang w:val="en-AU"/>
    </w:rPr>
  </w:style>
  <w:style w:type="paragraph" w:customStyle="1" w:styleId="Style3">
    <w:name w:val="Style3"/>
    <w:basedOn w:val="Heading5"/>
    <w:uiPriority w:val="99"/>
    <w:rsid w:val="00FD46A2"/>
    <w:pPr>
      <w:keepNext w:val="0"/>
      <w:spacing w:before="240" w:after="60"/>
    </w:pPr>
    <w:rPr>
      <w:rFonts w:ascii="Times New Roman" w:hAnsi="Times New Roman"/>
      <w:bCs/>
      <w:i/>
      <w:iCs/>
      <w:sz w:val="24"/>
      <w:szCs w:val="24"/>
      <w:u w:val="single"/>
      <w:lang w:val="en-AU"/>
    </w:rPr>
  </w:style>
  <w:style w:type="paragraph" w:customStyle="1" w:styleId="Style4">
    <w:name w:val="Style4"/>
    <w:basedOn w:val="Heading5"/>
    <w:autoRedefine/>
    <w:uiPriority w:val="99"/>
    <w:rsid w:val="00FD46A2"/>
    <w:pPr>
      <w:keepNext w:val="0"/>
      <w:spacing w:before="240" w:after="60"/>
    </w:pPr>
    <w:rPr>
      <w:rFonts w:ascii="Times New Roman" w:hAnsi="Times New Roman"/>
      <w:bCs/>
      <w:i/>
      <w:iCs/>
      <w:sz w:val="24"/>
      <w:szCs w:val="24"/>
      <w:u w:val="single"/>
      <w:lang w:val="en-AU"/>
    </w:rPr>
  </w:style>
  <w:style w:type="paragraph" w:styleId="BodyTextIndent">
    <w:name w:val="Body Text Indent"/>
    <w:basedOn w:val="Normal"/>
    <w:link w:val="BodyTextIndentChar"/>
    <w:uiPriority w:val="99"/>
    <w:rsid w:val="00FD46A2"/>
    <w:pPr>
      <w:ind w:left="283"/>
    </w:pPr>
    <w:rPr>
      <w:rFonts w:ascii="Gill Sans MT" w:hAnsi="Gill Sans MT"/>
      <w:sz w:val="20"/>
    </w:rPr>
  </w:style>
  <w:style w:type="character" w:customStyle="1" w:styleId="BodyTextIndentChar">
    <w:name w:val="Body Text Indent Char"/>
    <w:basedOn w:val="DefaultParagraphFont"/>
    <w:link w:val="BodyTextIndent"/>
    <w:uiPriority w:val="99"/>
    <w:locked/>
    <w:rsid w:val="00D24E49"/>
    <w:rPr>
      <w:rFonts w:ascii="Gill Sans MT" w:hAnsi="Gill Sans MT" w:cs="Times New Roman"/>
      <w:sz w:val="20"/>
      <w:lang w:val="en-GB" w:eastAsia="en-US"/>
    </w:rPr>
  </w:style>
  <w:style w:type="paragraph" w:customStyle="1" w:styleId="TOCfig-table">
    <w:name w:val="TOC fig-table"/>
    <w:basedOn w:val="Normal"/>
    <w:uiPriority w:val="99"/>
    <w:rsid w:val="00FD46A2"/>
    <w:pPr>
      <w:tabs>
        <w:tab w:val="left" w:pos="1152"/>
        <w:tab w:val="right" w:leader="dot" w:pos="8640"/>
      </w:tabs>
      <w:ind w:left="1152" w:right="720" w:hanging="1152"/>
    </w:pPr>
    <w:rPr>
      <w:b/>
      <w:sz w:val="20"/>
    </w:rPr>
  </w:style>
  <w:style w:type="table" w:styleId="TableGrid">
    <w:name w:val="Table Grid"/>
    <w:basedOn w:val="TableNormal"/>
    <w:uiPriority w:val="59"/>
    <w:rsid w:val="00FD46A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rsid w:val="00EA3274"/>
    <w:pPr>
      <w:tabs>
        <w:tab w:val="right" w:leader="dot" w:pos="9061"/>
      </w:tabs>
      <w:ind w:left="440" w:hanging="440"/>
    </w:pPr>
    <w:rPr>
      <w:bCs/>
      <w:noProof/>
      <w:sz w:val="20"/>
    </w:rPr>
  </w:style>
  <w:style w:type="paragraph" w:styleId="Header">
    <w:name w:val="header"/>
    <w:basedOn w:val="Normal"/>
    <w:link w:val="HeaderChar"/>
    <w:uiPriority w:val="99"/>
    <w:rsid w:val="00E24E44"/>
    <w:pPr>
      <w:pBdr>
        <w:bottom w:val="single" w:sz="4" w:space="1" w:color="auto"/>
      </w:pBdr>
      <w:tabs>
        <w:tab w:val="right" w:pos="8496"/>
      </w:tabs>
    </w:pPr>
    <w:rPr>
      <w:rFonts w:ascii="Gill Sans MT" w:hAnsi="Gill Sans MT"/>
      <w:sz w:val="20"/>
    </w:rPr>
  </w:style>
  <w:style w:type="character" w:customStyle="1" w:styleId="HeaderChar">
    <w:name w:val="Header Char"/>
    <w:basedOn w:val="DefaultParagraphFont"/>
    <w:link w:val="Header"/>
    <w:uiPriority w:val="99"/>
    <w:locked/>
    <w:rsid w:val="00D24E49"/>
    <w:rPr>
      <w:rFonts w:ascii="Gill Sans MT" w:hAnsi="Gill Sans MT" w:cs="Times New Roman"/>
      <w:sz w:val="20"/>
      <w:lang w:val="en-GB" w:eastAsia="en-US"/>
    </w:rPr>
  </w:style>
  <w:style w:type="paragraph" w:customStyle="1" w:styleId="Head4">
    <w:name w:val="Head 4"/>
    <w:basedOn w:val="Heading3"/>
    <w:uiPriority w:val="99"/>
    <w:rsid w:val="00E24E44"/>
    <w:pPr>
      <w:spacing w:after="240"/>
      <w:outlineLvl w:val="9"/>
    </w:pPr>
    <w:rPr>
      <w:b w:val="0"/>
      <w:smallCaps/>
      <w:sz w:val="22"/>
      <w:u w:val="single"/>
    </w:rPr>
  </w:style>
  <w:style w:type="paragraph" w:customStyle="1" w:styleId="Bodytxt">
    <w:name w:val="Body txt"/>
    <w:basedOn w:val="Normal"/>
    <w:uiPriority w:val="99"/>
    <w:rsid w:val="00E24E44"/>
    <w:pPr>
      <w:spacing w:line="320" w:lineRule="exact"/>
    </w:pPr>
  </w:style>
  <w:style w:type="paragraph" w:styleId="BodyText">
    <w:name w:val="Body Text"/>
    <w:basedOn w:val="Normal"/>
    <w:link w:val="BodyTextChar"/>
    <w:uiPriority w:val="99"/>
    <w:rsid w:val="00E24E44"/>
    <w:pPr>
      <w:autoSpaceDE w:val="0"/>
      <w:autoSpaceDN w:val="0"/>
      <w:adjustRightInd w:val="0"/>
      <w:spacing w:line="360" w:lineRule="auto"/>
    </w:pPr>
    <w:rPr>
      <w:rFonts w:ascii="Gill Sans MT" w:hAnsi="Gill Sans MT"/>
      <w:sz w:val="20"/>
    </w:rPr>
  </w:style>
  <w:style w:type="character" w:customStyle="1" w:styleId="BodyTextChar">
    <w:name w:val="Body Text Char"/>
    <w:basedOn w:val="DefaultParagraphFont"/>
    <w:link w:val="BodyText"/>
    <w:uiPriority w:val="99"/>
    <w:locked/>
    <w:rsid w:val="00D24E49"/>
    <w:rPr>
      <w:rFonts w:ascii="Gill Sans MT" w:hAnsi="Gill Sans MT" w:cs="Times New Roman"/>
      <w:sz w:val="20"/>
      <w:lang w:val="en-GB" w:eastAsia="en-US"/>
    </w:rPr>
  </w:style>
  <w:style w:type="character" w:customStyle="1" w:styleId="CharChar">
    <w:name w:val="Char Char"/>
    <w:uiPriority w:val="99"/>
    <w:rsid w:val="00E24E44"/>
    <w:rPr>
      <w:rFonts w:ascii="Arial" w:hAnsi="Arial"/>
      <w:b/>
      <w:kern w:val="32"/>
      <w:sz w:val="32"/>
      <w:lang w:val="en-AU" w:eastAsia="en-US"/>
    </w:rPr>
  </w:style>
  <w:style w:type="paragraph" w:styleId="BodyTextIndent2">
    <w:name w:val="Body Text Indent 2"/>
    <w:basedOn w:val="Normal"/>
    <w:link w:val="BodyTextIndent2Char"/>
    <w:uiPriority w:val="99"/>
    <w:rsid w:val="00E24E44"/>
    <w:pPr>
      <w:tabs>
        <w:tab w:val="left" w:pos="993"/>
      </w:tabs>
      <w:ind w:left="1704" w:hanging="1704"/>
    </w:pPr>
    <w:rPr>
      <w:rFonts w:ascii="Gill Sans MT" w:hAnsi="Gill Sans MT"/>
      <w:sz w:val="20"/>
    </w:rPr>
  </w:style>
  <w:style w:type="character" w:customStyle="1" w:styleId="BodyTextIndent2Char">
    <w:name w:val="Body Text Indent 2 Char"/>
    <w:basedOn w:val="DefaultParagraphFont"/>
    <w:link w:val="BodyTextIndent2"/>
    <w:uiPriority w:val="99"/>
    <w:locked/>
    <w:rsid w:val="00D24E49"/>
    <w:rPr>
      <w:rFonts w:ascii="Gill Sans MT" w:hAnsi="Gill Sans MT" w:cs="Times New Roman"/>
      <w:sz w:val="20"/>
      <w:lang w:val="en-GB" w:eastAsia="en-US"/>
    </w:rPr>
  </w:style>
  <w:style w:type="character" w:customStyle="1" w:styleId="CaptionChar">
    <w:name w:val="Caption Char"/>
    <w:aliases w:val="Caption Char Char Char,Caption Char1 Char,Caption Char4 Char1 Char,Caption Char1 Char5 Char Char,Caption Char4 Char Char2 Char Char,Caption Char1 Char2 Char Char4 Char Char,Caption Char4 Char Char Char1 Char2 Char Char,Tables Char"/>
    <w:uiPriority w:val="35"/>
    <w:rsid w:val="00E24E44"/>
    <w:rPr>
      <w:rFonts w:eastAsia="SimSun"/>
      <w:sz w:val="24"/>
      <w:lang w:val="en-GB" w:eastAsia="en-US"/>
    </w:rPr>
  </w:style>
  <w:style w:type="paragraph" w:styleId="BodyText2">
    <w:name w:val="Body Text 2"/>
    <w:basedOn w:val="Normal"/>
    <w:link w:val="BodyText2Char"/>
    <w:uiPriority w:val="99"/>
    <w:rsid w:val="00E24E44"/>
    <w:pPr>
      <w:spacing w:line="480" w:lineRule="auto"/>
    </w:pPr>
    <w:rPr>
      <w:rFonts w:ascii="Times New Roman" w:hAnsi="Times New Roman"/>
      <w:sz w:val="24"/>
      <w:szCs w:val="24"/>
      <w:lang w:val="en-AU"/>
    </w:rPr>
  </w:style>
  <w:style w:type="character" w:customStyle="1" w:styleId="BodyText2Char">
    <w:name w:val="Body Text 2 Char"/>
    <w:basedOn w:val="DefaultParagraphFont"/>
    <w:link w:val="BodyText2"/>
    <w:uiPriority w:val="99"/>
    <w:locked/>
    <w:rsid w:val="00E24E44"/>
    <w:rPr>
      <w:rFonts w:cs="Times New Roman"/>
      <w:sz w:val="24"/>
      <w:lang w:val="en-AU" w:eastAsia="en-US"/>
    </w:rPr>
  </w:style>
  <w:style w:type="character" w:styleId="Emphasis">
    <w:name w:val="Emphasis"/>
    <w:basedOn w:val="DefaultParagraphFont"/>
    <w:uiPriority w:val="20"/>
    <w:qFormat/>
    <w:rsid w:val="00E24E44"/>
    <w:rPr>
      <w:rFonts w:cs="Times New Roman"/>
      <w:i/>
    </w:rPr>
  </w:style>
  <w:style w:type="character" w:customStyle="1" w:styleId="CharChar1">
    <w:name w:val="Char Char1"/>
    <w:uiPriority w:val="99"/>
    <w:rsid w:val="00E24E44"/>
    <w:rPr>
      <w:rFonts w:ascii="Arial" w:eastAsia="MS Mincho" w:hAnsi="Arial"/>
      <w:b/>
      <w:kern w:val="32"/>
      <w:sz w:val="32"/>
      <w:lang w:val="en-AU" w:eastAsia="ja-JP"/>
    </w:rPr>
  </w:style>
  <w:style w:type="paragraph" w:styleId="BodyTextIndent3">
    <w:name w:val="Body Text Indent 3"/>
    <w:basedOn w:val="Normal"/>
    <w:link w:val="BodyTextIndent3Char"/>
    <w:uiPriority w:val="99"/>
    <w:rsid w:val="00E24E44"/>
    <w:pPr>
      <w:ind w:left="283"/>
    </w:pPr>
    <w:rPr>
      <w:rFonts w:ascii="Gill Sans MT" w:hAnsi="Gill Sans MT"/>
      <w:sz w:val="16"/>
      <w:szCs w:val="16"/>
    </w:rPr>
  </w:style>
  <w:style w:type="character" w:customStyle="1" w:styleId="BodyTextIndent3Char">
    <w:name w:val="Body Text Indent 3 Char"/>
    <w:basedOn w:val="DefaultParagraphFont"/>
    <w:link w:val="BodyTextIndent3"/>
    <w:uiPriority w:val="99"/>
    <w:locked/>
    <w:rsid w:val="00D24E49"/>
    <w:rPr>
      <w:rFonts w:ascii="Gill Sans MT" w:hAnsi="Gill Sans MT" w:cs="Times New Roman"/>
      <w:sz w:val="16"/>
      <w:lang w:val="en-GB" w:eastAsia="en-US"/>
    </w:rPr>
  </w:style>
  <w:style w:type="paragraph" w:styleId="CommentSubject">
    <w:name w:val="annotation subject"/>
    <w:basedOn w:val="CommentText"/>
    <w:next w:val="CommentText"/>
    <w:link w:val="CommentSubjectChar"/>
    <w:uiPriority w:val="99"/>
    <w:semiHidden/>
    <w:rsid w:val="00E24E44"/>
    <w:rPr>
      <w:b/>
      <w:bCs/>
    </w:rPr>
  </w:style>
  <w:style w:type="character" w:customStyle="1" w:styleId="CommentSubjectChar">
    <w:name w:val="Comment Subject Char"/>
    <w:basedOn w:val="CommentTextChar"/>
    <w:link w:val="CommentSubject"/>
    <w:uiPriority w:val="99"/>
    <w:semiHidden/>
    <w:locked/>
    <w:rsid w:val="00D24E49"/>
    <w:rPr>
      <w:rFonts w:ascii="Gill Sans MT" w:hAnsi="Gill Sans MT"/>
      <w:b/>
      <w:bCs/>
      <w:sz w:val="20"/>
      <w:szCs w:val="20"/>
    </w:rPr>
  </w:style>
  <w:style w:type="paragraph" w:styleId="Caption">
    <w:name w:val="caption"/>
    <w:aliases w:val="Figures,Caption Char Char,Caption Char1,Caption Char4 Char1,Caption Char1 Char5 Char,Caption Char4 Char Char2 Char,Caption Char1 Char2 Char Char4 Char,Caption Char4 Char Char Char1 Char2 Char,Caption Char1 Char Char Char1 Char Char3 Char,Tables"/>
    <w:basedOn w:val="Normal"/>
    <w:next w:val="Normal"/>
    <w:autoRedefine/>
    <w:uiPriority w:val="35"/>
    <w:qFormat/>
    <w:rsid w:val="0012424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ind w:right="232"/>
    </w:pPr>
    <w:rPr>
      <w:rFonts w:eastAsia="SimSun"/>
      <w:sz w:val="18"/>
      <w:szCs w:val="22"/>
      <w:lang w:val="en-US"/>
    </w:rPr>
  </w:style>
  <w:style w:type="paragraph" w:customStyle="1" w:styleId="Captions">
    <w:name w:val="Captions"/>
    <w:basedOn w:val="Normal"/>
    <w:uiPriority w:val="99"/>
    <w:semiHidden/>
    <w:rsid w:val="00E24E44"/>
    <w:rPr>
      <w:rFonts w:ascii="Times New Roman" w:hAnsi="Times New Roman"/>
      <w:i/>
      <w:sz w:val="24"/>
      <w:szCs w:val="24"/>
      <w:lang w:val="en-AU"/>
    </w:rPr>
  </w:style>
  <w:style w:type="paragraph" w:customStyle="1" w:styleId="Pa3">
    <w:name w:val="Pa3"/>
    <w:basedOn w:val="Normal"/>
    <w:next w:val="Normal"/>
    <w:uiPriority w:val="99"/>
    <w:rsid w:val="00E24E44"/>
    <w:pPr>
      <w:autoSpaceDE w:val="0"/>
      <w:autoSpaceDN w:val="0"/>
      <w:adjustRightInd w:val="0"/>
      <w:spacing w:line="161" w:lineRule="atLeast"/>
    </w:pPr>
    <w:rPr>
      <w:rFonts w:ascii="Minion Pro" w:eastAsia="MS Mincho" w:hAnsi="Minion Pro"/>
      <w:sz w:val="24"/>
      <w:szCs w:val="24"/>
      <w:lang w:val="en-AU" w:eastAsia="ja-JP"/>
    </w:rPr>
  </w:style>
  <w:style w:type="character" w:customStyle="1" w:styleId="A3">
    <w:name w:val="A3"/>
    <w:uiPriority w:val="99"/>
    <w:rsid w:val="00E24E44"/>
    <w:rPr>
      <w:color w:val="221E1F"/>
      <w:sz w:val="22"/>
    </w:rPr>
  </w:style>
  <w:style w:type="paragraph" w:customStyle="1" w:styleId="default">
    <w:name w:val="default"/>
    <w:basedOn w:val="Normal"/>
    <w:uiPriority w:val="99"/>
    <w:rsid w:val="00E24E44"/>
    <w:pPr>
      <w:autoSpaceDE w:val="0"/>
      <w:autoSpaceDN w:val="0"/>
    </w:pPr>
    <w:rPr>
      <w:rFonts w:ascii="Times New Roman" w:eastAsia="MS Mincho" w:hAnsi="Times New Roman"/>
      <w:color w:val="000000"/>
      <w:sz w:val="24"/>
      <w:szCs w:val="24"/>
      <w:lang w:val="en-AU" w:eastAsia="ja-JP"/>
    </w:rPr>
  </w:style>
  <w:style w:type="character" w:customStyle="1" w:styleId="ant1">
    <w:name w:val="ant1"/>
    <w:uiPriority w:val="99"/>
    <w:rsid w:val="00E561B0"/>
  </w:style>
  <w:style w:type="paragraph" w:customStyle="1" w:styleId="table0">
    <w:name w:val="table"/>
    <w:basedOn w:val="Normal"/>
    <w:uiPriority w:val="99"/>
    <w:rsid w:val="00312ADA"/>
    <w:rPr>
      <w:rFonts w:ascii="Arial Narrow" w:hAnsi="Arial Narrow"/>
      <w:szCs w:val="22"/>
      <w:lang w:val="en-AU" w:eastAsia="en-AU"/>
    </w:rPr>
  </w:style>
  <w:style w:type="character" w:styleId="FootnoteReference">
    <w:name w:val="footnote reference"/>
    <w:aliases w:val="Footnote symbol"/>
    <w:basedOn w:val="DefaultParagraphFont"/>
    <w:rsid w:val="00CC1124"/>
    <w:rPr>
      <w:rFonts w:cs="Times New Roman"/>
      <w:vertAlign w:val="superscript"/>
    </w:rPr>
  </w:style>
  <w:style w:type="character" w:customStyle="1" w:styleId="authors5">
    <w:name w:val="authors5"/>
    <w:uiPriority w:val="99"/>
    <w:rsid w:val="00337D61"/>
  </w:style>
  <w:style w:type="character" w:styleId="FollowedHyperlink">
    <w:name w:val="FollowedHyperlink"/>
    <w:basedOn w:val="DefaultParagraphFont"/>
    <w:uiPriority w:val="99"/>
    <w:rsid w:val="00A67D00"/>
    <w:rPr>
      <w:rFonts w:cs="Times New Roman"/>
      <w:color w:val="800080"/>
      <w:u w:val="single"/>
    </w:rPr>
  </w:style>
  <w:style w:type="paragraph" w:styleId="ListParagraph">
    <w:name w:val="List Paragraph"/>
    <w:basedOn w:val="Normal"/>
    <w:link w:val="ListParagraphChar"/>
    <w:uiPriority w:val="34"/>
    <w:qFormat/>
    <w:rsid w:val="00C05902"/>
    <w:pPr>
      <w:ind w:left="720"/>
      <w:contextualSpacing/>
    </w:pPr>
    <w:rPr>
      <w:szCs w:val="24"/>
      <w:lang w:eastAsia="en-GB"/>
    </w:rPr>
  </w:style>
  <w:style w:type="paragraph" w:customStyle="1" w:styleId="Default0">
    <w:name w:val="Default"/>
    <w:rsid w:val="00857BA7"/>
    <w:pPr>
      <w:autoSpaceDE w:val="0"/>
      <w:autoSpaceDN w:val="0"/>
      <w:adjustRightInd w:val="0"/>
    </w:pPr>
    <w:rPr>
      <w:rFonts w:ascii="Calibri" w:hAnsi="Calibri" w:cs="Calibri"/>
      <w:color w:val="000000"/>
      <w:sz w:val="24"/>
      <w:szCs w:val="24"/>
      <w:lang w:val="en-GB" w:eastAsia="en-GB"/>
    </w:rPr>
  </w:style>
  <w:style w:type="paragraph" w:styleId="Revision">
    <w:name w:val="Revision"/>
    <w:hidden/>
    <w:uiPriority w:val="99"/>
    <w:semiHidden/>
    <w:rsid w:val="00B62BC0"/>
    <w:rPr>
      <w:rFonts w:ascii="Gill Sans MT" w:hAnsi="Gill Sans MT"/>
      <w:szCs w:val="20"/>
      <w:lang w:val="en-GB" w:eastAsia="en-US"/>
    </w:rPr>
  </w:style>
  <w:style w:type="paragraph" w:styleId="NoSpacing">
    <w:name w:val="No Spacing"/>
    <w:link w:val="NoSpacingChar"/>
    <w:uiPriority w:val="99"/>
    <w:rsid w:val="0034322A"/>
    <w:rPr>
      <w:rFonts w:ascii="Gill Sans MT" w:hAnsi="Gill Sans MT"/>
      <w:szCs w:val="20"/>
      <w:lang w:val="en-GB" w:eastAsia="en-US"/>
    </w:rPr>
  </w:style>
  <w:style w:type="character" w:customStyle="1" w:styleId="Heading2Char1">
    <w:name w:val="Heading 2 Char1"/>
    <w:aliases w:val="h2 Char1,2nd Level Heading Char1"/>
    <w:basedOn w:val="DefaultParagraphFont"/>
    <w:link w:val="Heading2"/>
    <w:rsid w:val="00CD2D89"/>
    <w:rPr>
      <w:rFonts w:ascii="Arial" w:eastAsiaTheme="majorEastAsia" w:hAnsi="Arial" w:cstheme="majorBidi"/>
      <w:b/>
      <w:bCs/>
      <w:sz w:val="26"/>
      <w:szCs w:val="26"/>
      <w:lang w:eastAsia="en-US"/>
    </w:rPr>
  </w:style>
  <w:style w:type="character" w:styleId="SubtleReference">
    <w:name w:val="Subtle Reference"/>
    <w:basedOn w:val="DefaultParagraphFont"/>
    <w:uiPriority w:val="31"/>
    <w:rsid w:val="00A74428"/>
    <w:rPr>
      <w:rFonts w:ascii="Arial Narrow" w:hAnsi="Arial Narrow"/>
      <w:smallCaps/>
      <w:color w:val="000000" w:themeColor="text1"/>
      <w:sz w:val="20"/>
      <w:u w:val="none"/>
    </w:rPr>
  </w:style>
  <w:style w:type="character" w:styleId="IntenseReference">
    <w:name w:val="Intense Reference"/>
    <w:aliases w:val="fig tab body"/>
    <w:basedOn w:val="FigureChar"/>
    <w:uiPriority w:val="32"/>
    <w:qFormat/>
    <w:rsid w:val="00403971"/>
    <w:rPr>
      <w:rFonts w:ascii="Arial" w:hAnsi="Arial"/>
      <w:b w:val="0"/>
      <w:bCs/>
      <w:caps w:val="0"/>
      <w:smallCaps w:val="0"/>
      <w:color w:val="000000" w:themeColor="text1"/>
      <w:spacing w:val="0"/>
      <w:w w:val="100"/>
      <w:sz w:val="18"/>
      <w:u w:val="none"/>
      <w:lang w:val="en-GB" w:eastAsia="en-US"/>
    </w:rPr>
  </w:style>
  <w:style w:type="character" w:customStyle="1" w:styleId="cit-issue1">
    <w:name w:val="cit-issue1"/>
    <w:basedOn w:val="DefaultParagraphFont"/>
    <w:rsid w:val="00554D92"/>
    <w:rPr>
      <w:vanish/>
      <w:webHidden w:val="0"/>
      <w:specVanish w:val="0"/>
    </w:rPr>
  </w:style>
  <w:style w:type="character" w:customStyle="1" w:styleId="cit-vol2">
    <w:name w:val="cit-vol2"/>
    <w:basedOn w:val="DefaultParagraphFont"/>
    <w:rsid w:val="00554D92"/>
  </w:style>
  <w:style w:type="character" w:customStyle="1" w:styleId="cit-elocation">
    <w:name w:val="cit-elocation"/>
    <w:basedOn w:val="DefaultParagraphFont"/>
    <w:rsid w:val="00554D92"/>
  </w:style>
  <w:style w:type="character" w:customStyle="1" w:styleId="cit-sep2">
    <w:name w:val="cit-sep2"/>
    <w:basedOn w:val="DefaultParagraphFont"/>
    <w:rsid w:val="00554D92"/>
  </w:style>
  <w:style w:type="character" w:customStyle="1" w:styleId="cit-doi3">
    <w:name w:val="cit-doi3"/>
    <w:basedOn w:val="DefaultParagraphFont"/>
    <w:rsid w:val="00554D92"/>
  </w:style>
  <w:style w:type="character" w:customStyle="1" w:styleId="ListParagraphChar">
    <w:name w:val="List Paragraph Char"/>
    <w:basedOn w:val="DefaultParagraphFont"/>
    <w:link w:val="ListParagraph"/>
    <w:uiPriority w:val="34"/>
    <w:locked/>
    <w:rsid w:val="00C05902"/>
    <w:rPr>
      <w:rFonts w:ascii="Arial" w:hAnsi="Arial"/>
      <w:szCs w:val="24"/>
      <w:lang w:val="en-GB" w:eastAsia="en-GB"/>
    </w:rPr>
  </w:style>
  <w:style w:type="paragraph" w:styleId="Bibliography">
    <w:name w:val="Bibliography"/>
    <w:basedOn w:val="Normal"/>
    <w:next w:val="Normal"/>
    <w:uiPriority w:val="37"/>
    <w:unhideWhenUsed/>
    <w:rsid w:val="007D0E38"/>
  </w:style>
  <w:style w:type="paragraph" w:styleId="BlockText">
    <w:name w:val="Block Text"/>
    <w:basedOn w:val="Normal"/>
    <w:uiPriority w:val="99"/>
    <w:unhideWhenUsed/>
    <w:locked/>
    <w:rsid w:val="007D0E38"/>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3">
    <w:name w:val="Body Text 3"/>
    <w:basedOn w:val="Normal"/>
    <w:link w:val="BodyText3Char"/>
    <w:uiPriority w:val="99"/>
    <w:unhideWhenUsed/>
    <w:locked/>
    <w:rsid w:val="007D0E38"/>
    <w:rPr>
      <w:sz w:val="16"/>
      <w:szCs w:val="16"/>
    </w:rPr>
  </w:style>
  <w:style w:type="character" w:customStyle="1" w:styleId="BodyText3Char">
    <w:name w:val="Body Text 3 Char"/>
    <w:basedOn w:val="DefaultParagraphFont"/>
    <w:link w:val="BodyText3"/>
    <w:uiPriority w:val="99"/>
    <w:rsid w:val="007D0E38"/>
    <w:rPr>
      <w:rFonts w:ascii="Arial" w:hAnsi="Arial"/>
      <w:sz w:val="16"/>
      <w:szCs w:val="16"/>
      <w:lang w:val="en-GB" w:eastAsia="en-US"/>
    </w:rPr>
  </w:style>
  <w:style w:type="paragraph" w:styleId="BodyTextFirstIndent">
    <w:name w:val="Body Text First Indent"/>
    <w:basedOn w:val="BodyText"/>
    <w:link w:val="BodyTextFirstIndentChar"/>
    <w:uiPriority w:val="99"/>
    <w:semiHidden/>
    <w:unhideWhenUsed/>
    <w:locked/>
    <w:rsid w:val="007D0E38"/>
    <w:pPr>
      <w:autoSpaceDE/>
      <w:autoSpaceDN/>
      <w:adjustRightInd/>
      <w:spacing w:line="240" w:lineRule="auto"/>
      <w:ind w:firstLine="360"/>
    </w:pPr>
    <w:rPr>
      <w:rFonts w:ascii="Arial" w:hAnsi="Arial"/>
      <w:sz w:val="22"/>
    </w:rPr>
  </w:style>
  <w:style w:type="character" w:customStyle="1" w:styleId="BodyTextFirstIndentChar">
    <w:name w:val="Body Text First Indent Char"/>
    <w:basedOn w:val="BodyTextChar"/>
    <w:link w:val="BodyTextFirstIndent"/>
    <w:uiPriority w:val="99"/>
    <w:semiHidden/>
    <w:rsid w:val="007D0E38"/>
    <w:rPr>
      <w:rFonts w:ascii="Arial" w:hAnsi="Arial" w:cs="Times New Roman"/>
      <w:sz w:val="20"/>
      <w:szCs w:val="20"/>
      <w:lang w:val="en-GB" w:eastAsia="en-US"/>
    </w:rPr>
  </w:style>
  <w:style w:type="paragraph" w:styleId="BodyTextFirstIndent2">
    <w:name w:val="Body Text First Indent 2"/>
    <w:basedOn w:val="BodyTextIndent"/>
    <w:link w:val="BodyTextFirstIndent2Char"/>
    <w:uiPriority w:val="99"/>
    <w:semiHidden/>
    <w:unhideWhenUsed/>
    <w:locked/>
    <w:rsid w:val="007D0E38"/>
    <w:pPr>
      <w:spacing w:after="0"/>
      <w:ind w:left="360" w:firstLine="360"/>
    </w:pPr>
    <w:rPr>
      <w:rFonts w:ascii="Arial" w:hAnsi="Arial"/>
      <w:sz w:val="22"/>
    </w:rPr>
  </w:style>
  <w:style w:type="character" w:customStyle="1" w:styleId="BodyTextFirstIndent2Char">
    <w:name w:val="Body Text First Indent 2 Char"/>
    <w:basedOn w:val="BodyTextIndentChar"/>
    <w:link w:val="BodyTextFirstIndent2"/>
    <w:uiPriority w:val="99"/>
    <w:semiHidden/>
    <w:rsid w:val="007D0E38"/>
    <w:rPr>
      <w:rFonts w:ascii="Arial" w:hAnsi="Arial" w:cs="Times New Roman"/>
      <w:sz w:val="20"/>
      <w:szCs w:val="20"/>
      <w:lang w:val="en-GB" w:eastAsia="en-US"/>
    </w:rPr>
  </w:style>
  <w:style w:type="paragraph" w:styleId="Closing">
    <w:name w:val="Closing"/>
    <w:basedOn w:val="Normal"/>
    <w:link w:val="ClosingChar"/>
    <w:uiPriority w:val="99"/>
    <w:semiHidden/>
    <w:unhideWhenUsed/>
    <w:locked/>
    <w:rsid w:val="007D0E38"/>
    <w:pPr>
      <w:ind w:left="4252"/>
    </w:pPr>
  </w:style>
  <w:style w:type="character" w:customStyle="1" w:styleId="ClosingChar">
    <w:name w:val="Closing Char"/>
    <w:basedOn w:val="DefaultParagraphFont"/>
    <w:link w:val="Closing"/>
    <w:uiPriority w:val="99"/>
    <w:semiHidden/>
    <w:rsid w:val="007D0E38"/>
    <w:rPr>
      <w:rFonts w:ascii="Arial" w:hAnsi="Arial"/>
      <w:szCs w:val="20"/>
      <w:lang w:val="en-GB" w:eastAsia="en-US"/>
    </w:rPr>
  </w:style>
  <w:style w:type="paragraph" w:styleId="Date">
    <w:name w:val="Date"/>
    <w:basedOn w:val="Normal"/>
    <w:next w:val="Normal"/>
    <w:link w:val="DateChar"/>
    <w:uiPriority w:val="99"/>
    <w:unhideWhenUsed/>
    <w:locked/>
    <w:rsid w:val="007D0E38"/>
  </w:style>
  <w:style w:type="character" w:customStyle="1" w:styleId="DateChar">
    <w:name w:val="Date Char"/>
    <w:basedOn w:val="DefaultParagraphFont"/>
    <w:link w:val="Date"/>
    <w:uiPriority w:val="99"/>
    <w:rsid w:val="007D0E38"/>
    <w:rPr>
      <w:rFonts w:ascii="Arial" w:hAnsi="Arial"/>
      <w:szCs w:val="20"/>
      <w:lang w:val="en-GB" w:eastAsia="en-US"/>
    </w:rPr>
  </w:style>
  <w:style w:type="paragraph" w:styleId="E-mailSignature">
    <w:name w:val="E-mail Signature"/>
    <w:basedOn w:val="Normal"/>
    <w:link w:val="E-mailSignatureChar"/>
    <w:uiPriority w:val="99"/>
    <w:semiHidden/>
    <w:unhideWhenUsed/>
    <w:locked/>
    <w:rsid w:val="007D0E38"/>
  </w:style>
  <w:style w:type="character" w:customStyle="1" w:styleId="E-mailSignatureChar">
    <w:name w:val="E-mail Signature Char"/>
    <w:basedOn w:val="DefaultParagraphFont"/>
    <w:link w:val="E-mailSignature"/>
    <w:uiPriority w:val="99"/>
    <w:semiHidden/>
    <w:rsid w:val="007D0E38"/>
    <w:rPr>
      <w:rFonts w:ascii="Arial" w:hAnsi="Arial"/>
      <w:szCs w:val="20"/>
      <w:lang w:val="en-GB" w:eastAsia="en-US"/>
    </w:rPr>
  </w:style>
  <w:style w:type="paragraph" w:styleId="EndnoteText">
    <w:name w:val="endnote text"/>
    <w:basedOn w:val="Normal"/>
    <w:link w:val="EndnoteTextChar"/>
    <w:uiPriority w:val="99"/>
    <w:semiHidden/>
    <w:unhideWhenUsed/>
    <w:locked/>
    <w:rsid w:val="007D0E38"/>
    <w:rPr>
      <w:sz w:val="20"/>
    </w:rPr>
  </w:style>
  <w:style w:type="character" w:customStyle="1" w:styleId="EndnoteTextChar">
    <w:name w:val="Endnote Text Char"/>
    <w:basedOn w:val="DefaultParagraphFont"/>
    <w:link w:val="EndnoteText"/>
    <w:uiPriority w:val="99"/>
    <w:semiHidden/>
    <w:rsid w:val="007D0E38"/>
    <w:rPr>
      <w:rFonts w:ascii="Arial" w:hAnsi="Arial"/>
      <w:sz w:val="20"/>
      <w:szCs w:val="20"/>
      <w:lang w:val="en-GB" w:eastAsia="en-US"/>
    </w:rPr>
  </w:style>
  <w:style w:type="paragraph" w:styleId="EnvelopeAddress">
    <w:name w:val="envelope address"/>
    <w:basedOn w:val="Normal"/>
    <w:uiPriority w:val="99"/>
    <w:semiHidden/>
    <w:unhideWhenUsed/>
    <w:locked/>
    <w:rsid w:val="007D0E38"/>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locked/>
    <w:rsid w:val="007D0E38"/>
    <w:rPr>
      <w:rFonts w:asciiTheme="majorHAnsi" w:eastAsiaTheme="majorEastAsia" w:hAnsiTheme="majorHAnsi" w:cstheme="majorBidi"/>
      <w:sz w:val="20"/>
    </w:rPr>
  </w:style>
  <w:style w:type="paragraph" w:styleId="HTMLAddress">
    <w:name w:val="HTML Address"/>
    <w:basedOn w:val="Normal"/>
    <w:link w:val="HTMLAddressChar"/>
    <w:uiPriority w:val="99"/>
    <w:semiHidden/>
    <w:unhideWhenUsed/>
    <w:locked/>
    <w:rsid w:val="007D0E38"/>
    <w:rPr>
      <w:i/>
      <w:iCs/>
    </w:rPr>
  </w:style>
  <w:style w:type="character" w:customStyle="1" w:styleId="HTMLAddressChar">
    <w:name w:val="HTML Address Char"/>
    <w:basedOn w:val="DefaultParagraphFont"/>
    <w:link w:val="HTMLAddress"/>
    <w:uiPriority w:val="99"/>
    <w:semiHidden/>
    <w:rsid w:val="007D0E38"/>
    <w:rPr>
      <w:rFonts w:ascii="Arial" w:hAnsi="Arial"/>
      <w:i/>
      <w:iCs/>
      <w:szCs w:val="20"/>
      <w:lang w:val="en-GB" w:eastAsia="en-US"/>
    </w:rPr>
  </w:style>
  <w:style w:type="paragraph" w:styleId="HTMLPreformatted">
    <w:name w:val="HTML Preformatted"/>
    <w:basedOn w:val="Normal"/>
    <w:link w:val="HTMLPreformattedChar"/>
    <w:uiPriority w:val="99"/>
    <w:unhideWhenUsed/>
    <w:locked/>
    <w:rsid w:val="007D0E38"/>
    <w:rPr>
      <w:rFonts w:ascii="Consolas" w:hAnsi="Consolas" w:cs="Consolas"/>
      <w:sz w:val="20"/>
    </w:rPr>
  </w:style>
  <w:style w:type="character" w:customStyle="1" w:styleId="HTMLPreformattedChar">
    <w:name w:val="HTML Preformatted Char"/>
    <w:basedOn w:val="DefaultParagraphFont"/>
    <w:link w:val="HTMLPreformatted"/>
    <w:uiPriority w:val="99"/>
    <w:rsid w:val="007D0E38"/>
    <w:rPr>
      <w:rFonts w:ascii="Consolas" w:hAnsi="Consolas" w:cs="Consolas"/>
      <w:sz w:val="20"/>
      <w:szCs w:val="20"/>
      <w:lang w:val="en-GB" w:eastAsia="en-US"/>
    </w:rPr>
  </w:style>
  <w:style w:type="paragraph" w:styleId="Index1">
    <w:name w:val="index 1"/>
    <w:basedOn w:val="Normal"/>
    <w:next w:val="Normal"/>
    <w:autoRedefine/>
    <w:uiPriority w:val="99"/>
    <w:semiHidden/>
    <w:unhideWhenUsed/>
    <w:locked/>
    <w:rsid w:val="007D0E38"/>
    <w:pPr>
      <w:ind w:left="220" w:hanging="220"/>
    </w:pPr>
  </w:style>
  <w:style w:type="paragraph" w:styleId="Index2">
    <w:name w:val="index 2"/>
    <w:basedOn w:val="Normal"/>
    <w:next w:val="Normal"/>
    <w:autoRedefine/>
    <w:uiPriority w:val="99"/>
    <w:semiHidden/>
    <w:unhideWhenUsed/>
    <w:locked/>
    <w:rsid w:val="007D0E38"/>
    <w:pPr>
      <w:ind w:left="440" w:hanging="220"/>
    </w:pPr>
  </w:style>
  <w:style w:type="paragraph" w:styleId="Index3">
    <w:name w:val="index 3"/>
    <w:basedOn w:val="Normal"/>
    <w:next w:val="Normal"/>
    <w:autoRedefine/>
    <w:uiPriority w:val="99"/>
    <w:semiHidden/>
    <w:unhideWhenUsed/>
    <w:locked/>
    <w:rsid w:val="007D0E38"/>
    <w:pPr>
      <w:ind w:left="660" w:hanging="220"/>
    </w:pPr>
  </w:style>
  <w:style w:type="paragraph" w:styleId="Index4">
    <w:name w:val="index 4"/>
    <w:basedOn w:val="Normal"/>
    <w:next w:val="Normal"/>
    <w:autoRedefine/>
    <w:uiPriority w:val="99"/>
    <w:semiHidden/>
    <w:unhideWhenUsed/>
    <w:locked/>
    <w:rsid w:val="007D0E38"/>
    <w:pPr>
      <w:ind w:left="880" w:hanging="220"/>
    </w:pPr>
  </w:style>
  <w:style w:type="paragraph" w:styleId="Index5">
    <w:name w:val="index 5"/>
    <w:basedOn w:val="Normal"/>
    <w:next w:val="Normal"/>
    <w:autoRedefine/>
    <w:uiPriority w:val="99"/>
    <w:semiHidden/>
    <w:unhideWhenUsed/>
    <w:locked/>
    <w:rsid w:val="007D0E38"/>
    <w:pPr>
      <w:ind w:left="1100" w:hanging="220"/>
    </w:pPr>
  </w:style>
  <w:style w:type="paragraph" w:styleId="Index6">
    <w:name w:val="index 6"/>
    <w:basedOn w:val="Normal"/>
    <w:next w:val="Normal"/>
    <w:autoRedefine/>
    <w:uiPriority w:val="99"/>
    <w:semiHidden/>
    <w:unhideWhenUsed/>
    <w:locked/>
    <w:rsid w:val="007D0E38"/>
    <w:pPr>
      <w:ind w:left="1320" w:hanging="220"/>
    </w:pPr>
  </w:style>
  <w:style w:type="paragraph" w:styleId="Index7">
    <w:name w:val="index 7"/>
    <w:basedOn w:val="Normal"/>
    <w:next w:val="Normal"/>
    <w:autoRedefine/>
    <w:uiPriority w:val="99"/>
    <w:semiHidden/>
    <w:unhideWhenUsed/>
    <w:locked/>
    <w:rsid w:val="007D0E38"/>
    <w:pPr>
      <w:ind w:left="1540" w:hanging="220"/>
    </w:pPr>
  </w:style>
  <w:style w:type="paragraph" w:styleId="Index8">
    <w:name w:val="index 8"/>
    <w:basedOn w:val="Normal"/>
    <w:next w:val="Normal"/>
    <w:autoRedefine/>
    <w:uiPriority w:val="99"/>
    <w:semiHidden/>
    <w:unhideWhenUsed/>
    <w:locked/>
    <w:rsid w:val="007D0E38"/>
    <w:pPr>
      <w:ind w:left="1760" w:hanging="220"/>
    </w:pPr>
  </w:style>
  <w:style w:type="paragraph" w:styleId="Index9">
    <w:name w:val="index 9"/>
    <w:basedOn w:val="Normal"/>
    <w:next w:val="Normal"/>
    <w:autoRedefine/>
    <w:uiPriority w:val="99"/>
    <w:semiHidden/>
    <w:unhideWhenUsed/>
    <w:locked/>
    <w:rsid w:val="007D0E38"/>
    <w:pPr>
      <w:ind w:left="1980" w:hanging="220"/>
    </w:pPr>
  </w:style>
  <w:style w:type="paragraph" w:styleId="IndexHeading">
    <w:name w:val="index heading"/>
    <w:basedOn w:val="Normal"/>
    <w:next w:val="Index1"/>
    <w:uiPriority w:val="99"/>
    <w:semiHidden/>
    <w:unhideWhenUsed/>
    <w:locked/>
    <w:rsid w:val="007D0E38"/>
    <w:rPr>
      <w:rFonts w:asciiTheme="majorHAnsi" w:eastAsiaTheme="majorEastAsia" w:hAnsiTheme="majorHAnsi" w:cstheme="majorBidi"/>
      <w:b/>
      <w:bCs/>
    </w:rPr>
  </w:style>
  <w:style w:type="paragraph" w:styleId="IntenseQuote">
    <w:name w:val="Intense Quote"/>
    <w:basedOn w:val="Normal"/>
    <w:next w:val="Normal"/>
    <w:link w:val="IntenseQuoteChar"/>
    <w:uiPriority w:val="30"/>
    <w:rsid w:val="007D0E38"/>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7D0E38"/>
    <w:rPr>
      <w:rFonts w:ascii="Arial" w:hAnsi="Arial"/>
      <w:b/>
      <w:bCs/>
      <w:i/>
      <w:iCs/>
      <w:color w:val="4F81BD" w:themeColor="accent1"/>
      <w:szCs w:val="20"/>
      <w:lang w:val="en-GB" w:eastAsia="en-US"/>
    </w:rPr>
  </w:style>
  <w:style w:type="paragraph" w:styleId="List">
    <w:name w:val="List"/>
    <w:basedOn w:val="Normal"/>
    <w:uiPriority w:val="99"/>
    <w:semiHidden/>
    <w:unhideWhenUsed/>
    <w:locked/>
    <w:rsid w:val="007D0E38"/>
    <w:pPr>
      <w:ind w:left="283" w:hanging="283"/>
      <w:contextualSpacing/>
    </w:pPr>
  </w:style>
  <w:style w:type="paragraph" w:styleId="List2">
    <w:name w:val="List 2"/>
    <w:basedOn w:val="Normal"/>
    <w:uiPriority w:val="99"/>
    <w:semiHidden/>
    <w:unhideWhenUsed/>
    <w:locked/>
    <w:rsid w:val="007D0E38"/>
    <w:pPr>
      <w:ind w:left="566" w:hanging="283"/>
      <w:contextualSpacing/>
    </w:pPr>
  </w:style>
  <w:style w:type="paragraph" w:styleId="List3">
    <w:name w:val="List 3"/>
    <w:basedOn w:val="Normal"/>
    <w:uiPriority w:val="99"/>
    <w:semiHidden/>
    <w:unhideWhenUsed/>
    <w:locked/>
    <w:rsid w:val="007D0E38"/>
    <w:pPr>
      <w:ind w:left="849" w:hanging="283"/>
      <w:contextualSpacing/>
    </w:pPr>
  </w:style>
  <w:style w:type="paragraph" w:styleId="List4">
    <w:name w:val="List 4"/>
    <w:basedOn w:val="Normal"/>
    <w:uiPriority w:val="99"/>
    <w:semiHidden/>
    <w:unhideWhenUsed/>
    <w:locked/>
    <w:rsid w:val="007D0E38"/>
    <w:pPr>
      <w:ind w:left="1132" w:hanging="283"/>
      <w:contextualSpacing/>
    </w:pPr>
  </w:style>
  <w:style w:type="paragraph" w:styleId="List5">
    <w:name w:val="List 5"/>
    <w:basedOn w:val="Normal"/>
    <w:uiPriority w:val="99"/>
    <w:semiHidden/>
    <w:unhideWhenUsed/>
    <w:locked/>
    <w:rsid w:val="007D0E38"/>
    <w:pPr>
      <w:ind w:left="1415" w:hanging="283"/>
      <w:contextualSpacing/>
    </w:pPr>
  </w:style>
  <w:style w:type="paragraph" w:styleId="ListBullet">
    <w:name w:val="List Bullet"/>
    <w:basedOn w:val="Normal"/>
    <w:uiPriority w:val="99"/>
    <w:unhideWhenUsed/>
    <w:locked/>
    <w:rsid w:val="007D0E38"/>
    <w:pPr>
      <w:numPr>
        <w:numId w:val="3"/>
      </w:numPr>
      <w:contextualSpacing/>
    </w:pPr>
  </w:style>
  <w:style w:type="paragraph" w:styleId="ListBullet3">
    <w:name w:val="List Bullet 3"/>
    <w:basedOn w:val="Normal"/>
    <w:uiPriority w:val="99"/>
    <w:semiHidden/>
    <w:unhideWhenUsed/>
    <w:locked/>
    <w:rsid w:val="007D0E38"/>
    <w:pPr>
      <w:numPr>
        <w:numId w:val="4"/>
      </w:numPr>
      <w:contextualSpacing/>
    </w:pPr>
  </w:style>
  <w:style w:type="paragraph" w:styleId="ListBullet4">
    <w:name w:val="List Bullet 4"/>
    <w:basedOn w:val="Normal"/>
    <w:uiPriority w:val="99"/>
    <w:semiHidden/>
    <w:unhideWhenUsed/>
    <w:locked/>
    <w:rsid w:val="007D0E38"/>
    <w:pPr>
      <w:numPr>
        <w:numId w:val="5"/>
      </w:numPr>
      <w:contextualSpacing/>
    </w:pPr>
  </w:style>
  <w:style w:type="paragraph" w:styleId="ListBullet5">
    <w:name w:val="List Bullet 5"/>
    <w:basedOn w:val="Normal"/>
    <w:uiPriority w:val="99"/>
    <w:semiHidden/>
    <w:unhideWhenUsed/>
    <w:locked/>
    <w:rsid w:val="007D0E38"/>
    <w:pPr>
      <w:numPr>
        <w:numId w:val="6"/>
      </w:numPr>
      <w:contextualSpacing/>
    </w:pPr>
  </w:style>
  <w:style w:type="paragraph" w:styleId="ListContinue">
    <w:name w:val="List Continue"/>
    <w:basedOn w:val="Normal"/>
    <w:uiPriority w:val="99"/>
    <w:semiHidden/>
    <w:unhideWhenUsed/>
    <w:locked/>
    <w:rsid w:val="007D0E38"/>
    <w:pPr>
      <w:ind w:left="283"/>
      <w:contextualSpacing/>
    </w:pPr>
  </w:style>
  <w:style w:type="paragraph" w:styleId="ListContinue2">
    <w:name w:val="List Continue 2"/>
    <w:basedOn w:val="Normal"/>
    <w:uiPriority w:val="99"/>
    <w:semiHidden/>
    <w:unhideWhenUsed/>
    <w:locked/>
    <w:rsid w:val="007D0E38"/>
    <w:pPr>
      <w:ind w:left="566"/>
      <w:contextualSpacing/>
    </w:pPr>
  </w:style>
  <w:style w:type="paragraph" w:styleId="ListContinue3">
    <w:name w:val="List Continue 3"/>
    <w:basedOn w:val="Normal"/>
    <w:uiPriority w:val="99"/>
    <w:semiHidden/>
    <w:unhideWhenUsed/>
    <w:locked/>
    <w:rsid w:val="007D0E38"/>
    <w:pPr>
      <w:ind w:left="849"/>
      <w:contextualSpacing/>
    </w:pPr>
  </w:style>
  <w:style w:type="paragraph" w:styleId="ListContinue4">
    <w:name w:val="List Continue 4"/>
    <w:basedOn w:val="Normal"/>
    <w:uiPriority w:val="99"/>
    <w:semiHidden/>
    <w:unhideWhenUsed/>
    <w:locked/>
    <w:rsid w:val="007D0E38"/>
    <w:pPr>
      <w:ind w:left="1132"/>
      <w:contextualSpacing/>
    </w:pPr>
  </w:style>
  <w:style w:type="paragraph" w:styleId="ListContinue5">
    <w:name w:val="List Continue 5"/>
    <w:basedOn w:val="Normal"/>
    <w:uiPriority w:val="99"/>
    <w:semiHidden/>
    <w:unhideWhenUsed/>
    <w:locked/>
    <w:rsid w:val="007D0E38"/>
    <w:pPr>
      <w:ind w:left="1415"/>
      <w:contextualSpacing/>
    </w:pPr>
  </w:style>
  <w:style w:type="paragraph" w:styleId="ListNumber">
    <w:name w:val="List Number"/>
    <w:basedOn w:val="Normal"/>
    <w:uiPriority w:val="99"/>
    <w:semiHidden/>
    <w:unhideWhenUsed/>
    <w:locked/>
    <w:rsid w:val="007D0E38"/>
    <w:pPr>
      <w:numPr>
        <w:numId w:val="7"/>
      </w:numPr>
      <w:contextualSpacing/>
    </w:pPr>
  </w:style>
  <w:style w:type="paragraph" w:styleId="ListNumber2">
    <w:name w:val="List Number 2"/>
    <w:basedOn w:val="Normal"/>
    <w:uiPriority w:val="99"/>
    <w:semiHidden/>
    <w:unhideWhenUsed/>
    <w:locked/>
    <w:rsid w:val="007D0E38"/>
    <w:pPr>
      <w:numPr>
        <w:numId w:val="8"/>
      </w:numPr>
      <w:contextualSpacing/>
    </w:pPr>
  </w:style>
  <w:style w:type="paragraph" w:styleId="ListNumber3">
    <w:name w:val="List Number 3"/>
    <w:basedOn w:val="Normal"/>
    <w:uiPriority w:val="99"/>
    <w:semiHidden/>
    <w:unhideWhenUsed/>
    <w:locked/>
    <w:rsid w:val="007D0E38"/>
    <w:pPr>
      <w:numPr>
        <w:numId w:val="9"/>
      </w:numPr>
      <w:contextualSpacing/>
    </w:pPr>
  </w:style>
  <w:style w:type="paragraph" w:styleId="ListNumber4">
    <w:name w:val="List Number 4"/>
    <w:basedOn w:val="Normal"/>
    <w:uiPriority w:val="99"/>
    <w:semiHidden/>
    <w:unhideWhenUsed/>
    <w:locked/>
    <w:rsid w:val="007D0E38"/>
    <w:pPr>
      <w:numPr>
        <w:numId w:val="10"/>
      </w:numPr>
      <w:contextualSpacing/>
    </w:pPr>
  </w:style>
  <w:style w:type="paragraph" w:styleId="ListNumber5">
    <w:name w:val="List Number 5"/>
    <w:basedOn w:val="Normal"/>
    <w:uiPriority w:val="99"/>
    <w:semiHidden/>
    <w:unhideWhenUsed/>
    <w:locked/>
    <w:rsid w:val="007D0E38"/>
    <w:pPr>
      <w:numPr>
        <w:numId w:val="11"/>
      </w:numPr>
      <w:contextualSpacing/>
    </w:pPr>
  </w:style>
  <w:style w:type="paragraph" w:styleId="MacroText">
    <w:name w:val="macro"/>
    <w:link w:val="MacroTextChar"/>
    <w:uiPriority w:val="99"/>
    <w:semiHidden/>
    <w:unhideWhenUsed/>
    <w:locked/>
    <w:rsid w:val="007D0E38"/>
    <w:pPr>
      <w:tabs>
        <w:tab w:val="left" w:pos="480"/>
        <w:tab w:val="left" w:pos="960"/>
        <w:tab w:val="left" w:pos="1440"/>
        <w:tab w:val="left" w:pos="1920"/>
        <w:tab w:val="left" w:pos="2400"/>
        <w:tab w:val="left" w:pos="2880"/>
        <w:tab w:val="left" w:pos="3360"/>
        <w:tab w:val="left" w:pos="3840"/>
        <w:tab w:val="left" w:pos="4320"/>
      </w:tabs>
    </w:pPr>
    <w:rPr>
      <w:rFonts w:ascii="Consolas" w:hAnsi="Consolas" w:cs="Consolas"/>
      <w:sz w:val="20"/>
      <w:szCs w:val="20"/>
      <w:lang w:val="en-GB" w:eastAsia="en-US"/>
    </w:rPr>
  </w:style>
  <w:style w:type="character" w:customStyle="1" w:styleId="MacroTextChar">
    <w:name w:val="Macro Text Char"/>
    <w:basedOn w:val="DefaultParagraphFont"/>
    <w:link w:val="MacroText"/>
    <w:uiPriority w:val="99"/>
    <w:semiHidden/>
    <w:rsid w:val="007D0E38"/>
    <w:rPr>
      <w:rFonts w:ascii="Consolas" w:hAnsi="Consolas" w:cs="Consolas"/>
      <w:sz w:val="20"/>
      <w:szCs w:val="20"/>
      <w:lang w:val="en-GB" w:eastAsia="en-US"/>
    </w:rPr>
  </w:style>
  <w:style w:type="paragraph" w:styleId="MessageHeader">
    <w:name w:val="Message Header"/>
    <w:basedOn w:val="Normal"/>
    <w:link w:val="MessageHeaderChar"/>
    <w:uiPriority w:val="99"/>
    <w:semiHidden/>
    <w:unhideWhenUsed/>
    <w:locked/>
    <w:rsid w:val="007D0E38"/>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7D0E38"/>
    <w:rPr>
      <w:rFonts w:asciiTheme="majorHAnsi" w:eastAsiaTheme="majorEastAsia" w:hAnsiTheme="majorHAnsi" w:cstheme="majorBidi"/>
      <w:sz w:val="24"/>
      <w:szCs w:val="24"/>
      <w:shd w:val="pct20" w:color="auto" w:fill="auto"/>
      <w:lang w:val="en-GB" w:eastAsia="en-US"/>
    </w:rPr>
  </w:style>
  <w:style w:type="paragraph" w:styleId="NormalIndent">
    <w:name w:val="Normal Indent"/>
    <w:basedOn w:val="Normal"/>
    <w:uiPriority w:val="99"/>
    <w:semiHidden/>
    <w:unhideWhenUsed/>
    <w:locked/>
    <w:rsid w:val="007D0E38"/>
    <w:pPr>
      <w:ind w:left="720"/>
    </w:pPr>
  </w:style>
  <w:style w:type="paragraph" w:styleId="NoteHeading">
    <w:name w:val="Note Heading"/>
    <w:basedOn w:val="Normal"/>
    <w:next w:val="Normal"/>
    <w:link w:val="NoteHeadingChar"/>
    <w:uiPriority w:val="99"/>
    <w:semiHidden/>
    <w:unhideWhenUsed/>
    <w:locked/>
    <w:rsid w:val="007D0E38"/>
  </w:style>
  <w:style w:type="character" w:customStyle="1" w:styleId="NoteHeadingChar">
    <w:name w:val="Note Heading Char"/>
    <w:basedOn w:val="DefaultParagraphFont"/>
    <w:link w:val="NoteHeading"/>
    <w:uiPriority w:val="99"/>
    <w:semiHidden/>
    <w:rsid w:val="007D0E38"/>
    <w:rPr>
      <w:rFonts w:ascii="Arial" w:hAnsi="Arial"/>
      <w:szCs w:val="20"/>
      <w:lang w:val="en-GB" w:eastAsia="en-US"/>
    </w:rPr>
  </w:style>
  <w:style w:type="paragraph" w:styleId="Quote">
    <w:name w:val="Quote"/>
    <w:basedOn w:val="Normal"/>
    <w:next w:val="Normal"/>
    <w:link w:val="QuoteChar"/>
    <w:uiPriority w:val="29"/>
    <w:rsid w:val="007D0E38"/>
    <w:rPr>
      <w:i/>
      <w:iCs/>
      <w:color w:val="000000" w:themeColor="text1"/>
    </w:rPr>
  </w:style>
  <w:style w:type="character" w:customStyle="1" w:styleId="QuoteChar">
    <w:name w:val="Quote Char"/>
    <w:basedOn w:val="DefaultParagraphFont"/>
    <w:link w:val="Quote"/>
    <w:uiPriority w:val="29"/>
    <w:rsid w:val="007D0E38"/>
    <w:rPr>
      <w:rFonts w:ascii="Arial" w:hAnsi="Arial"/>
      <w:i/>
      <w:iCs/>
      <w:color w:val="000000" w:themeColor="text1"/>
      <w:szCs w:val="20"/>
      <w:lang w:val="en-GB" w:eastAsia="en-US"/>
    </w:rPr>
  </w:style>
  <w:style w:type="paragraph" w:styleId="Salutation">
    <w:name w:val="Salutation"/>
    <w:basedOn w:val="Normal"/>
    <w:next w:val="Normal"/>
    <w:link w:val="SalutationChar"/>
    <w:uiPriority w:val="99"/>
    <w:semiHidden/>
    <w:unhideWhenUsed/>
    <w:locked/>
    <w:rsid w:val="007D0E38"/>
  </w:style>
  <w:style w:type="character" w:customStyle="1" w:styleId="SalutationChar">
    <w:name w:val="Salutation Char"/>
    <w:basedOn w:val="DefaultParagraphFont"/>
    <w:link w:val="Salutation"/>
    <w:uiPriority w:val="99"/>
    <w:semiHidden/>
    <w:rsid w:val="007D0E38"/>
    <w:rPr>
      <w:rFonts w:ascii="Arial" w:hAnsi="Arial"/>
      <w:szCs w:val="20"/>
      <w:lang w:val="en-GB" w:eastAsia="en-US"/>
    </w:rPr>
  </w:style>
  <w:style w:type="paragraph" w:styleId="Signature">
    <w:name w:val="Signature"/>
    <w:basedOn w:val="Normal"/>
    <w:link w:val="SignatureChar"/>
    <w:uiPriority w:val="99"/>
    <w:semiHidden/>
    <w:unhideWhenUsed/>
    <w:locked/>
    <w:rsid w:val="007D0E38"/>
    <w:pPr>
      <w:ind w:left="4252"/>
    </w:pPr>
  </w:style>
  <w:style w:type="character" w:customStyle="1" w:styleId="SignatureChar">
    <w:name w:val="Signature Char"/>
    <w:basedOn w:val="DefaultParagraphFont"/>
    <w:link w:val="Signature"/>
    <w:uiPriority w:val="99"/>
    <w:semiHidden/>
    <w:rsid w:val="007D0E38"/>
    <w:rPr>
      <w:rFonts w:ascii="Arial" w:hAnsi="Arial"/>
      <w:szCs w:val="20"/>
      <w:lang w:val="en-GB" w:eastAsia="en-US"/>
    </w:rPr>
  </w:style>
  <w:style w:type="paragraph" w:styleId="Subtitle">
    <w:name w:val="Subtitle"/>
    <w:basedOn w:val="Normal"/>
    <w:next w:val="Normal"/>
    <w:link w:val="SubtitleChar"/>
    <w:rsid w:val="007D0E38"/>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rsid w:val="007D0E38"/>
    <w:rPr>
      <w:rFonts w:asciiTheme="majorHAnsi" w:eastAsiaTheme="majorEastAsia" w:hAnsiTheme="majorHAnsi" w:cstheme="majorBidi"/>
      <w:i/>
      <w:iCs/>
      <w:color w:val="4F81BD" w:themeColor="accent1"/>
      <w:spacing w:val="15"/>
      <w:sz w:val="24"/>
      <w:szCs w:val="24"/>
      <w:lang w:val="en-GB" w:eastAsia="en-US"/>
    </w:rPr>
  </w:style>
  <w:style w:type="paragraph" w:styleId="TableofAuthorities">
    <w:name w:val="table of authorities"/>
    <w:basedOn w:val="Normal"/>
    <w:next w:val="Normal"/>
    <w:uiPriority w:val="99"/>
    <w:semiHidden/>
    <w:unhideWhenUsed/>
    <w:locked/>
    <w:rsid w:val="007D0E38"/>
    <w:pPr>
      <w:ind w:left="220" w:hanging="220"/>
    </w:pPr>
  </w:style>
  <w:style w:type="paragraph" w:styleId="TOAHeading">
    <w:name w:val="toa heading"/>
    <w:basedOn w:val="Normal"/>
    <w:next w:val="Normal"/>
    <w:uiPriority w:val="99"/>
    <w:semiHidden/>
    <w:unhideWhenUsed/>
    <w:locked/>
    <w:rsid w:val="007D0E38"/>
    <w:rPr>
      <w:rFonts w:asciiTheme="majorHAnsi" w:eastAsiaTheme="majorEastAsia" w:hAnsiTheme="majorHAnsi" w:cstheme="majorBidi"/>
      <w:b/>
      <w:bCs/>
      <w:sz w:val="24"/>
      <w:szCs w:val="24"/>
    </w:rPr>
  </w:style>
  <w:style w:type="paragraph" w:styleId="TOC6">
    <w:name w:val="toc 6"/>
    <w:basedOn w:val="Normal"/>
    <w:next w:val="Normal"/>
    <w:autoRedefine/>
    <w:rsid w:val="007D0E38"/>
    <w:pPr>
      <w:spacing w:after="100"/>
      <w:ind w:left="1100"/>
    </w:pPr>
  </w:style>
  <w:style w:type="paragraph" w:styleId="TOC7">
    <w:name w:val="toc 7"/>
    <w:basedOn w:val="Normal"/>
    <w:next w:val="Normal"/>
    <w:autoRedefine/>
    <w:rsid w:val="007D0E38"/>
    <w:pPr>
      <w:spacing w:after="100"/>
      <w:ind w:left="1320"/>
    </w:pPr>
  </w:style>
  <w:style w:type="paragraph" w:styleId="TOC8">
    <w:name w:val="toc 8"/>
    <w:basedOn w:val="Normal"/>
    <w:next w:val="Normal"/>
    <w:autoRedefine/>
    <w:rsid w:val="007D0E38"/>
    <w:pPr>
      <w:spacing w:after="100"/>
      <w:ind w:left="1540"/>
    </w:pPr>
  </w:style>
  <w:style w:type="paragraph" w:styleId="TOC9">
    <w:name w:val="toc 9"/>
    <w:basedOn w:val="Normal"/>
    <w:next w:val="Normal"/>
    <w:autoRedefine/>
    <w:rsid w:val="007D0E38"/>
    <w:pPr>
      <w:spacing w:after="100"/>
      <w:ind w:left="1760"/>
    </w:pPr>
  </w:style>
  <w:style w:type="paragraph" w:styleId="TOCHeading">
    <w:name w:val="TOC Heading"/>
    <w:basedOn w:val="Heading1"/>
    <w:next w:val="Normal"/>
    <w:uiPriority w:val="39"/>
    <w:unhideWhenUsed/>
    <w:qFormat/>
    <w:rsid w:val="007D0E38"/>
    <w:pPr>
      <w:keepLines/>
      <w:spacing w:before="480" w:after="0"/>
      <w:jc w:val="left"/>
      <w:outlineLvl w:val="9"/>
    </w:pPr>
    <w:rPr>
      <w:rFonts w:asciiTheme="majorHAnsi" w:eastAsiaTheme="majorEastAsia" w:hAnsiTheme="majorHAnsi" w:cstheme="majorBidi"/>
      <w:bCs/>
      <w:color w:val="365F91" w:themeColor="accent1" w:themeShade="BF"/>
      <w:kern w:val="0"/>
      <w:sz w:val="28"/>
    </w:rPr>
  </w:style>
  <w:style w:type="paragraph" w:customStyle="1" w:styleId="List-bullet-Council">
    <w:name w:val="List-bullet-Council"/>
    <w:basedOn w:val="Normal"/>
    <w:rsid w:val="00C406A8"/>
    <w:pPr>
      <w:spacing w:after="40"/>
      <w:ind w:left="360" w:hanging="360"/>
    </w:pPr>
    <w:rPr>
      <w:rFonts w:ascii="Gill Sans MT" w:hAnsi="Gill Sans MT"/>
      <w:sz w:val="20"/>
      <w:lang w:val="en-AU"/>
    </w:rPr>
  </w:style>
  <w:style w:type="character" w:customStyle="1" w:styleId="math">
    <w:name w:val="math"/>
    <w:basedOn w:val="DefaultParagraphFont"/>
    <w:rsid w:val="00E94E33"/>
  </w:style>
  <w:style w:type="character" w:customStyle="1" w:styleId="st">
    <w:name w:val="st"/>
    <w:basedOn w:val="DefaultParagraphFont"/>
    <w:rsid w:val="00E94E33"/>
  </w:style>
  <w:style w:type="paragraph" w:customStyle="1" w:styleId="Imprint">
    <w:name w:val="Imprint"/>
    <w:basedOn w:val="Normal"/>
    <w:rsid w:val="00E94E33"/>
    <w:rPr>
      <w:rFonts w:cs="Arial"/>
      <w:sz w:val="18"/>
      <w:szCs w:val="18"/>
      <w:lang w:val="en-US"/>
    </w:rPr>
  </w:style>
  <w:style w:type="numbering" w:customStyle="1" w:styleId="NoList1">
    <w:name w:val="No List1"/>
    <w:next w:val="NoList"/>
    <w:uiPriority w:val="99"/>
    <w:semiHidden/>
    <w:unhideWhenUsed/>
    <w:rsid w:val="00E94E33"/>
  </w:style>
  <w:style w:type="table" w:customStyle="1" w:styleId="TableGrid1">
    <w:name w:val="Table Grid1"/>
    <w:basedOn w:val="TableNormal"/>
    <w:next w:val="TableGrid"/>
    <w:uiPriority w:val="59"/>
    <w:rsid w:val="00E94E33"/>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5">
    <w:name w:val="xl65"/>
    <w:basedOn w:val="Normal"/>
    <w:rsid w:val="00E94E33"/>
    <w:pPr>
      <w:spacing w:before="100" w:beforeAutospacing="1" w:after="100" w:afterAutospacing="1"/>
    </w:pPr>
    <w:rPr>
      <w:rFonts w:ascii="Times New Roman" w:hAnsi="Times New Roman"/>
      <w:sz w:val="20"/>
      <w:lang w:val="en-AU" w:eastAsia="en-AU"/>
    </w:rPr>
  </w:style>
  <w:style w:type="paragraph" w:customStyle="1" w:styleId="xl66">
    <w:name w:val="xl66"/>
    <w:basedOn w:val="Normal"/>
    <w:rsid w:val="00E94E33"/>
    <w:pPr>
      <w:shd w:val="clear" w:color="000000" w:fill="A6A6A6"/>
      <w:spacing w:before="100" w:beforeAutospacing="1" w:after="100" w:afterAutospacing="1"/>
    </w:pPr>
    <w:rPr>
      <w:rFonts w:ascii="Times New Roman" w:hAnsi="Times New Roman"/>
      <w:b/>
      <w:bCs/>
      <w:sz w:val="20"/>
      <w:lang w:val="en-AU" w:eastAsia="en-AU"/>
    </w:rPr>
  </w:style>
  <w:style w:type="table" w:styleId="LightGrid">
    <w:name w:val="Light Grid"/>
    <w:basedOn w:val="TableNormal"/>
    <w:uiPriority w:val="62"/>
    <w:rsid w:val="00E94E33"/>
    <w:rPr>
      <w:rFonts w:asciiTheme="minorHAnsi" w:eastAsiaTheme="minorHAnsi" w:hAnsiTheme="minorHAnsi" w:cstheme="minorBidi"/>
      <w:lang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E94E33"/>
    <w:rPr>
      <w:rFonts w:asciiTheme="minorHAnsi" w:eastAsiaTheme="minorHAnsi" w:hAnsiTheme="minorHAnsi" w:cstheme="minorBidi"/>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NoList2">
    <w:name w:val="No List2"/>
    <w:next w:val="NoList"/>
    <w:uiPriority w:val="99"/>
    <w:semiHidden/>
    <w:unhideWhenUsed/>
    <w:rsid w:val="00B624F0"/>
  </w:style>
  <w:style w:type="paragraph" w:customStyle="1" w:styleId="DocDefaults">
    <w:name w:val="DocDefaults"/>
    <w:rsid w:val="00B624F0"/>
    <w:rPr>
      <w:sz w:val="20"/>
      <w:szCs w:val="20"/>
      <w:lang w:val="en-US" w:eastAsia="en-US"/>
    </w:rPr>
  </w:style>
  <w:style w:type="character" w:customStyle="1" w:styleId="apple-style-span">
    <w:name w:val="apple-style-span"/>
    <w:basedOn w:val="DefaultParagraphFont"/>
    <w:rsid w:val="00913559"/>
  </w:style>
  <w:style w:type="character" w:customStyle="1" w:styleId="apple-converted-space">
    <w:name w:val="apple-converted-space"/>
    <w:basedOn w:val="DefaultParagraphFont"/>
    <w:rsid w:val="00913559"/>
  </w:style>
  <w:style w:type="paragraph" w:customStyle="1" w:styleId="CM51">
    <w:name w:val="CM51"/>
    <w:basedOn w:val="Default0"/>
    <w:next w:val="Default0"/>
    <w:uiPriority w:val="99"/>
    <w:rsid w:val="00747097"/>
    <w:rPr>
      <w:rFonts w:ascii="Times New Roman" w:eastAsiaTheme="minorHAnsi" w:hAnsi="Times New Roman" w:cs="Times New Roman"/>
      <w:color w:val="auto"/>
      <w:lang w:val="en-AU" w:eastAsia="en-US"/>
    </w:rPr>
  </w:style>
  <w:style w:type="paragraph" w:customStyle="1" w:styleId="CM6">
    <w:name w:val="CM6"/>
    <w:basedOn w:val="Default0"/>
    <w:next w:val="Default0"/>
    <w:uiPriority w:val="99"/>
    <w:rsid w:val="00747097"/>
    <w:pPr>
      <w:spacing w:line="288" w:lineRule="atLeast"/>
    </w:pPr>
    <w:rPr>
      <w:rFonts w:ascii="Arial" w:eastAsiaTheme="minorHAnsi" w:hAnsi="Arial" w:cs="Arial"/>
      <w:color w:val="auto"/>
      <w:lang w:val="en-AU" w:eastAsia="en-US"/>
    </w:rPr>
  </w:style>
  <w:style w:type="paragraph" w:customStyle="1" w:styleId="CM114">
    <w:name w:val="CM114"/>
    <w:basedOn w:val="Default0"/>
    <w:next w:val="Default0"/>
    <w:uiPriority w:val="99"/>
    <w:rsid w:val="00747097"/>
    <w:rPr>
      <w:rFonts w:ascii="Arial" w:eastAsiaTheme="minorHAnsi" w:hAnsi="Arial" w:cs="Arial"/>
      <w:color w:val="auto"/>
      <w:lang w:val="en-AU" w:eastAsia="en-US"/>
    </w:rPr>
  </w:style>
  <w:style w:type="paragraph" w:customStyle="1" w:styleId="CM4">
    <w:name w:val="CM4"/>
    <w:basedOn w:val="Default0"/>
    <w:next w:val="Default0"/>
    <w:uiPriority w:val="99"/>
    <w:rsid w:val="00747097"/>
    <w:pPr>
      <w:spacing w:line="288" w:lineRule="atLeast"/>
    </w:pPr>
    <w:rPr>
      <w:rFonts w:ascii="Arial" w:eastAsiaTheme="minorHAnsi" w:hAnsi="Arial" w:cs="Arial"/>
      <w:color w:val="auto"/>
      <w:lang w:val="en-AU" w:eastAsia="en-US"/>
    </w:rPr>
  </w:style>
  <w:style w:type="paragraph" w:customStyle="1" w:styleId="CM34">
    <w:name w:val="CM34"/>
    <w:basedOn w:val="Default0"/>
    <w:next w:val="Default0"/>
    <w:uiPriority w:val="99"/>
    <w:rsid w:val="00747097"/>
    <w:pPr>
      <w:spacing w:line="283" w:lineRule="atLeast"/>
    </w:pPr>
    <w:rPr>
      <w:rFonts w:ascii="Times New Roman" w:eastAsiaTheme="minorHAnsi" w:hAnsi="Times New Roman" w:cs="Times New Roman"/>
      <w:color w:val="auto"/>
      <w:lang w:val="en-AU" w:eastAsia="en-US"/>
    </w:rPr>
  </w:style>
  <w:style w:type="character" w:styleId="EndnoteReference">
    <w:name w:val="endnote reference"/>
    <w:basedOn w:val="DefaultParagraphFont"/>
    <w:uiPriority w:val="99"/>
    <w:semiHidden/>
    <w:unhideWhenUsed/>
    <w:locked/>
    <w:rsid w:val="00F96ACA"/>
    <w:rPr>
      <w:vertAlign w:val="superscript"/>
    </w:rPr>
  </w:style>
  <w:style w:type="character" w:customStyle="1" w:styleId="pbtocarticletitle1">
    <w:name w:val="pb_toc_article_title1"/>
    <w:basedOn w:val="DefaultParagraphFont"/>
    <w:rsid w:val="00443DCE"/>
    <w:rPr>
      <w:rFonts w:ascii="Verdana" w:hAnsi="Verdana" w:hint="default"/>
      <w:b/>
      <w:bCs/>
      <w:color w:val="000000"/>
    </w:rPr>
  </w:style>
  <w:style w:type="character" w:customStyle="1" w:styleId="pbtocauthors1">
    <w:name w:val="pb_toc_authors1"/>
    <w:basedOn w:val="DefaultParagraphFont"/>
    <w:rsid w:val="00443DCE"/>
    <w:rPr>
      <w:rFonts w:ascii="Verdana" w:hAnsi="Verdana" w:hint="default"/>
      <w:b w:val="0"/>
      <w:bCs w:val="0"/>
      <w:color w:val="000000"/>
    </w:rPr>
  </w:style>
  <w:style w:type="character" w:customStyle="1" w:styleId="pbtocpages1">
    <w:name w:val="pb_toc_pages1"/>
    <w:basedOn w:val="DefaultParagraphFont"/>
    <w:rsid w:val="00443DCE"/>
    <w:rPr>
      <w:rFonts w:ascii="Verdana" w:hAnsi="Verdana" w:hint="default"/>
      <w:b w:val="0"/>
      <w:bCs w:val="0"/>
      <w:color w:val="000000"/>
    </w:rPr>
  </w:style>
  <w:style w:type="character" w:customStyle="1" w:styleId="style1">
    <w:name w:val="style1"/>
    <w:basedOn w:val="DefaultParagraphFont"/>
    <w:rsid w:val="00443DCE"/>
    <w:rPr>
      <w:rFonts w:ascii="Arial" w:hAnsi="Arial" w:cs="Arial" w:hint="default"/>
      <w:b/>
      <w:bCs/>
      <w:i w:val="0"/>
      <w:iCs w:val="0"/>
    </w:rPr>
  </w:style>
  <w:style w:type="character" w:styleId="BookTitle">
    <w:name w:val="Book Title"/>
    <w:uiPriority w:val="33"/>
    <w:qFormat/>
    <w:rsid w:val="001254DC"/>
    <w:rPr>
      <w:rFonts w:asciiTheme="majorHAnsi" w:eastAsiaTheme="majorEastAsia" w:hAnsiTheme="majorHAnsi" w:cstheme="majorBidi"/>
      <w:i w:val="0"/>
      <w:iCs/>
      <w:sz w:val="20"/>
      <w:szCs w:val="20"/>
    </w:rPr>
  </w:style>
  <w:style w:type="paragraph" w:customStyle="1" w:styleId="Style10">
    <w:name w:val="Style1"/>
    <w:basedOn w:val="Normal"/>
    <w:semiHidden/>
    <w:rsid w:val="00F4614B"/>
    <w:pPr>
      <w:spacing w:after="240"/>
    </w:pPr>
    <w:rPr>
      <w:rFonts w:asciiTheme="minorHAnsi" w:hAnsiTheme="minorHAnsi" w:cstheme="minorHAnsi"/>
      <w:b/>
      <w:caps/>
      <w:szCs w:val="22"/>
      <w:lang w:val="en-AU" w:eastAsia="en-AU"/>
    </w:rPr>
  </w:style>
  <w:style w:type="paragraph" w:customStyle="1" w:styleId="tableandfigureheader">
    <w:name w:val="table and figure header"/>
    <w:basedOn w:val="Title"/>
    <w:link w:val="tableandfigureheaderChar"/>
    <w:semiHidden/>
    <w:rsid w:val="00F4614B"/>
    <w:pPr>
      <w:jc w:val="both"/>
    </w:pPr>
    <w:rPr>
      <w:rFonts w:ascii="Times New Roman" w:hAnsi="Times New Roman"/>
      <w:b w:val="0"/>
      <w:kern w:val="0"/>
      <w:sz w:val="20"/>
      <w:szCs w:val="20"/>
      <w:lang w:val="en-AU"/>
    </w:rPr>
  </w:style>
  <w:style w:type="character" w:customStyle="1" w:styleId="tableandfigureheaderChar">
    <w:name w:val="table and figure header Char"/>
    <w:basedOn w:val="DefaultParagraphFont"/>
    <w:link w:val="tableandfigureheader"/>
    <w:semiHidden/>
    <w:rsid w:val="00F4614B"/>
    <w:rPr>
      <w:bCs/>
      <w:sz w:val="20"/>
      <w:szCs w:val="20"/>
      <w:lang w:eastAsia="en-US"/>
    </w:rPr>
  </w:style>
  <w:style w:type="paragraph" w:customStyle="1" w:styleId="Titleheading">
    <w:name w:val="Title heading"/>
    <w:basedOn w:val="Normal"/>
    <w:rsid w:val="00F4614B"/>
    <w:pPr>
      <w:spacing w:after="240"/>
    </w:pPr>
    <w:rPr>
      <w:rFonts w:cstheme="minorHAnsi"/>
      <w:b/>
      <w:color w:val="47CCFF"/>
      <w:sz w:val="48"/>
      <w:szCs w:val="48"/>
      <w:lang w:val="en-AU"/>
    </w:rPr>
  </w:style>
  <w:style w:type="paragraph" w:customStyle="1" w:styleId="Body">
    <w:name w:val="Body"/>
    <w:basedOn w:val="Normal"/>
    <w:rsid w:val="00F4614B"/>
    <w:pPr>
      <w:spacing w:after="240" w:line="260" w:lineRule="exact"/>
    </w:pPr>
    <w:rPr>
      <w:rFonts w:cstheme="minorHAnsi"/>
      <w:color w:val="000000"/>
      <w:szCs w:val="22"/>
      <w:lang w:val="en-AU"/>
    </w:rPr>
  </w:style>
  <w:style w:type="character" w:customStyle="1" w:styleId="Bold-character">
    <w:name w:val="Bold - character"/>
    <w:rsid w:val="00F4614B"/>
    <w:rPr>
      <w:b/>
    </w:rPr>
  </w:style>
  <w:style w:type="numbering" w:customStyle="1" w:styleId="Body-bullets">
    <w:name w:val="Body - bullets"/>
    <w:rsid w:val="00F4614B"/>
    <w:pPr>
      <w:numPr>
        <w:numId w:val="17"/>
      </w:numPr>
    </w:pPr>
  </w:style>
  <w:style w:type="paragraph" w:customStyle="1" w:styleId="Caption-standard">
    <w:name w:val="Caption - standard"/>
    <w:basedOn w:val="Body"/>
    <w:rsid w:val="00F4614B"/>
    <w:pPr>
      <w:jc w:val="left"/>
    </w:pPr>
    <w:rPr>
      <w:rFonts w:cs="Times New Roman"/>
      <w:sz w:val="20"/>
      <w:szCs w:val="20"/>
    </w:rPr>
  </w:style>
  <w:style w:type="paragraph" w:customStyle="1" w:styleId="Body-numbered">
    <w:name w:val="Body - numbered"/>
    <w:basedOn w:val="Body"/>
    <w:rsid w:val="00F4614B"/>
    <w:pPr>
      <w:numPr>
        <w:numId w:val="18"/>
      </w:numPr>
      <w:jc w:val="left"/>
    </w:pPr>
    <w:rPr>
      <w:rFonts w:cs="Times New Roman"/>
    </w:rPr>
  </w:style>
  <w:style w:type="character" w:customStyle="1" w:styleId="Italics-character">
    <w:name w:val="Italics - character"/>
    <w:rsid w:val="00F4614B"/>
    <w:rPr>
      <w:i/>
    </w:rPr>
  </w:style>
  <w:style w:type="character" w:customStyle="1" w:styleId="Superscript-character">
    <w:name w:val="Superscript - character"/>
    <w:rsid w:val="00F4614B"/>
    <w:rPr>
      <w:dstrike w:val="0"/>
      <w:vertAlign w:val="superscript"/>
    </w:rPr>
  </w:style>
  <w:style w:type="paragraph" w:customStyle="1" w:styleId="Titlesub-heading">
    <w:name w:val="Title sub-heading"/>
    <w:basedOn w:val="Normal"/>
    <w:rsid w:val="00F4614B"/>
    <w:pPr>
      <w:spacing w:after="240"/>
    </w:pPr>
    <w:rPr>
      <w:color w:val="636267"/>
      <w:sz w:val="48"/>
      <w:szCs w:val="48"/>
      <w:lang w:val="en-AU"/>
    </w:rPr>
  </w:style>
  <w:style w:type="paragraph" w:customStyle="1" w:styleId="Heading10">
    <w:name w:val="Heading1"/>
    <w:basedOn w:val="Normal"/>
    <w:rsid w:val="00F4614B"/>
    <w:pPr>
      <w:spacing w:after="240"/>
    </w:pPr>
    <w:rPr>
      <w:b/>
      <w:bCs/>
      <w:lang w:val="en-AU" w:eastAsia="en-AU"/>
    </w:rPr>
  </w:style>
  <w:style w:type="character" w:customStyle="1" w:styleId="Heading20">
    <w:name w:val="Heading2"/>
    <w:rsid w:val="00830830"/>
    <w:rPr>
      <w:color w:val="auto"/>
      <w:lang w:val="en-AU"/>
    </w:rPr>
  </w:style>
  <w:style w:type="paragraph" w:customStyle="1" w:styleId="Heading30">
    <w:name w:val="Heading3"/>
    <w:basedOn w:val="Heading3"/>
    <w:qFormat/>
    <w:rsid w:val="00EE0294"/>
    <w:pPr>
      <w:numPr>
        <w:numId w:val="0"/>
      </w:numPr>
    </w:pPr>
    <w:rPr>
      <w:i/>
    </w:rPr>
  </w:style>
  <w:style w:type="character" w:customStyle="1" w:styleId="style100">
    <w:name w:val="style10"/>
    <w:basedOn w:val="DefaultParagraphFont"/>
    <w:rsid w:val="00F4614B"/>
  </w:style>
  <w:style w:type="character" w:customStyle="1" w:styleId="normaltextbold1">
    <w:name w:val="normaltextbold1"/>
    <w:rsid w:val="00F4614B"/>
    <w:rPr>
      <w:rFonts w:ascii="Verdana" w:hAnsi="Verdana" w:hint="default"/>
      <w:b/>
      <w:bCs/>
      <w:color w:val="000000"/>
      <w:sz w:val="19"/>
      <w:szCs w:val="19"/>
      <w:shd w:val="clear" w:color="auto" w:fill="auto"/>
    </w:rPr>
  </w:style>
  <w:style w:type="table" w:styleId="TableClassic1">
    <w:name w:val="Table Classic 1"/>
    <w:basedOn w:val="TableNormal"/>
    <w:locked/>
    <w:rsid w:val="00F4614B"/>
    <w:pPr>
      <w:jc w:val="both"/>
    </w:pPr>
    <w:rPr>
      <w:sz w:val="20"/>
      <w:szCs w:val="20"/>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maincenter">
    <w:name w:val="main_center"/>
    <w:basedOn w:val="DefaultParagraphFont"/>
    <w:rsid w:val="00F4614B"/>
  </w:style>
  <w:style w:type="character" w:customStyle="1" w:styleId="NoSpacingChar">
    <w:name w:val="No Spacing Char"/>
    <w:basedOn w:val="DefaultParagraphFont"/>
    <w:link w:val="NoSpacing"/>
    <w:uiPriority w:val="99"/>
    <w:rsid w:val="00F4614B"/>
    <w:rPr>
      <w:rFonts w:ascii="Gill Sans MT" w:hAnsi="Gill Sans MT"/>
      <w:szCs w:val="20"/>
      <w:lang w:val="en-GB" w:eastAsia="en-US"/>
    </w:rPr>
  </w:style>
  <w:style w:type="character" w:styleId="SubtleEmphasis">
    <w:name w:val="Subtle Emphasis"/>
    <w:uiPriority w:val="19"/>
    <w:rsid w:val="00F4614B"/>
    <w:rPr>
      <w:i/>
    </w:rPr>
  </w:style>
  <w:style w:type="character" w:styleId="IntenseEmphasis">
    <w:name w:val="Intense Emphasis"/>
    <w:uiPriority w:val="21"/>
    <w:rsid w:val="00F4614B"/>
    <w:rPr>
      <w:b/>
      <w:i/>
      <w:color w:val="C0504D" w:themeColor="accent2"/>
      <w:spacing w:val="10"/>
    </w:rPr>
  </w:style>
  <w:style w:type="paragraph" w:customStyle="1" w:styleId="Dotindent">
    <w:name w:val="Dot&amp;indent"/>
    <w:basedOn w:val="Normal"/>
    <w:link w:val="DotindentChar"/>
    <w:rsid w:val="00F4614B"/>
    <w:pPr>
      <w:numPr>
        <w:numId w:val="19"/>
      </w:numPr>
      <w:spacing w:after="200" w:line="276" w:lineRule="auto"/>
    </w:pPr>
    <w:rPr>
      <w:rFonts w:asciiTheme="minorHAnsi" w:eastAsiaTheme="minorHAnsi" w:hAnsiTheme="minorHAnsi" w:cstheme="minorBidi"/>
      <w:szCs w:val="22"/>
      <w:lang w:val="en-AU"/>
    </w:rPr>
  </w:style>
  <w:style w:type="character" w:customStyle="1" w:styleId="DotindentChar">
    <w:name w:val="Dot&amp;indent Char"/>
    <w:basedOn w:val="DefaultParagraphFont"/>
    <w:link w:val="Dotindent"/>
    <w:rsid w:val="00F4614B"/>
    <w:rPr>
      <w:rFonts w:asciiTheme="minorHAnsi" w:eastAsiaTheme="minorHAnsi" w:hAnsiTheme="minorHAnsi" w:cstheme="minorBidi"/>
      <w:lang w:eastAsia="en-US"/>
    </w:rPr>
  </w:style>
  <w:style w:type="paragraph" w:customStyle="1" w:styleId="TableHeading1">
    <w:name w:val="Table Heading 1"/>
    <w:rsid w:val="00F4614B"/>
    <w:pPr>
      <w:spacing w:before="60" w:after="100"/>
      <w:ind w:left="85" w:right="85"/>
    </w:pPr>
    <w:rPr>
      <w:rFonts w:ascii="Arial" w:hAnsi="Arial"/>
      <w:b/>
      <w:sz w:val="20"/>
      <w:szCs w:val="20"/>
    </w:rPr>
  </w:style>
  <w:style w:type="character" w:customStyle="1" w:styleId="SuperScript">
    <w:name w:val="SuperScript"/>
    <w:rsid w:val="00F4614B"/>
    <w:rPr>
      <w:dstrike w:val="0"/>
      <w:vertAlign w:val="superscript"/>
    </w:rPr>
  </w:style>
  <w:style w:type="paragraph" w:customStyle="1" w:styleId="EndNoteBibliographyTitle">
    <w:name w:val="EndNote Bibliography Title"/>
    <w:basedOn w:val="Normal"/>
    <w:link w:val="EndNoteBibliographyTitleChar"/>
    <w:rsid w:val="00F4614B"/>
    <w:pPr>
      <w:spacing w:line="276" w:lineRule="auto"/>
      <w:jc w:val="center"/>
    </w:pPr>
    <w:rPr>
      <w:rFonts w:ascii="Calibri" w:eastAsiaTheme="minorHAnsi" w:hAnsi="Calibri" w:cstheme="minorBidi"/>
      <w:noProof/>
      <w:szCs w:val="22"/>
      <w:lang w:val="en-US"/>
    </w:rPr>
  </w:style>
  <w:style w:type="character" w:customStyle="1" w:styleId="EndNoteBibliographyTitleChar">
    <w:name w:val="EndNote Bibliography Title Char"/>
    <w:basedOn w:val="DefaultParagraphFont"/>
    <w:link w:val="EndNoteBibliographyTitle"/>
    <w:rsid w:val="00F4614B"/>
    <w:rPr>
      <w:rFonts w:ascii="Calibri" w:eastAsiaTheme="minorHAnsi" w:hAnsi="Calibri" w:cstheme="minorBidi"/>
      <w:noProof/>
      <w:lang w:val="en-US" w:eastAsia="en-US"/>
    </w:rPr>
  </w:style>
  <w:style w:type="paragraph" w:customStyle="1" w:styleId="EndNoteBibliography">
    <w:name w:val="EndNote Bibliography"/>
    <w:basedOn w:val="Normal"/>
    <w:link w:val="EndNoteBibliographyChar"/>
    <w:rsid w:val="00F4614B"/>
    <w:pPr>
      <w:spacing w:after="200"/>
    </w:pPr>
    <w:rPr>
      <w:rFonts w:ascii="Calibri" w:eastAsiaTheme="minorHAnsi" w:hAnsi="Calibri" w:cstheme="minorBidi"/>
      <w:noProof/>
      <w:szCs w:val="22"/>
      <w:lang w:val="en-US"/>
    </w:rPr>
  </w:style>
  <w:style w:type="character" w:customStyle="1" w:styleId="EndNoteBibliographyChar">
    <w:name w:val="EndNote Bibliography Char"/>
    <w:basedOn w:val="DefaultParagraphFont"/>
    <w:link w:val="EndNoteBibliography"/>
    <w:rsid w:val="00F4614B"/>
    <w:rPr>
      <w:rFonts w:ascii="Calibri" w:eastAsiaTheme="minorHAnsi" w:hAnsi="Calibri" w:cstheme="minorBidi"/>
      <w:noProof/>
      <w:lang w:val="en-US" w:eastAsia="en-US"/>
    </w:rPr>
  </w:style>
  <w:style w:type="paragraph" w:customStyle="1" w:styleId="Figurecaption">
    <w:name w:val="Figure caption"/>
    <w:basedOn w:val="Normal"/>
    <w:link w:val="FigurecaptionCharChar"/>
    <w:rsid w:val="00F4614B"/>
    <w:pPr>
      <w:numPr>
        <w:numId w:val="20"/>
      </w:numPr>
      <w:spacing w:before="240" w:line="80" w:lineRule="atLeast"/>
      <w:ind w:left="0" w:firstLine="0"/>
      <w:jc w:val="center"/>
    </w:pPr>
    <w:rPr>
      <w:color w:val="17365D" w:themeColor="text2" w:themeShade="BF"/>
      <w:szCs w:val="24"/>
    </w:rPr>
  </w:style>
  <w:style w:type="paragraph" w:customStyle="1" w:styleId="Bodystyle">
    <w:name w:val="Body style"/>
    <w:basedOn w:val="Normal"/>
    <w:rsid w:val="00F4614B"/>
    <w:pPr>
      <w:spacing w:after="240"/>
    </w:pPr>
    <w:rPr>
      <w:szCs w:val="24"/>
      <w:lang w:val="en-AU"/>
    </w:rPr>
  </w:style>
  <w:style w:type="character" w:customStyle="1" w:styleId="FigurecaptionCharChar">
    <w:name w:val="Figure caption Char Char"/>
    <w:basedOn w:val="DefaultParagraphFont"/>
    <w:link w:val="Figurecaption"/>
    <w:rsid w:val="00F4614B"/>
    <w:rPr>
      <w:rFonts w:ascii="Arial" w:hAnsi="Arial"/>
      <w:color w:val="17365D" w:themeColor="text2" w:themeShade="BF"/>
      <w:szCs w:val="24"/>
      <w:lang w:val="en-GB" w:eastAsia="en-US"/>
    </w:rPr>
  </w:style>
  <w:style w:type="character" w:customStyle="1" w:styleId="current-selection">
    <w:name w:val="current-selection"/>
    <w:basedOn w:val="DefaultParagraphFont"/>
    <w:rsid w:val="00F4614B"/>
  </w:style>
  <w:style w:type="character" w:customStyle="1" w:styleId="highlight">
    <w:name w:val="highlight"/>
    <w:basedOn w:val="DefaultParagraphFont"/>
    <w:rsid w:val="00F4614B"/>
  </w:style>
  <w:style w:type="character" w:customStyle="1" w:styleId="ff1">
    <w:name w:val="ff1"/>
    <w:basedOn w:val="DefaultParagraphFont"/>
    <w:rsid w:val="00F4614B"/>
  </w:style>
  <w:style w:type="character" w:customStyle="1" w:styleId="ipa1">
    <w:name w:val="ipa1"/>
    <w:rsid w:val="00F4614B"/>
    <w:rPr>
      <w:rFonts w:ascii="Arial Unicode MS" w:eastAsia="Arial Unicode MS" w:hAnsi="Arial Unicode MS" w:cs="Arial Unicode MS" w:hint="eastAsia"/>
    </w:rPr>
  </w:style>
  <w:style w:type="character" w:customStyle="1" w:styleId="plainlinks">
    <w:name w:val="plainlinks"/>
    <w:basedOn w:val="DefaultParagraphFont"/>
    <w:rsid w:val="00F4614B"/>
  </w:style>
  <w:style w:type="character" w:customStyle="1" w:styleId="geo-dms1">
    <w:name w:val="geo-dms1"/>
    <w:rsid w:val="00F4614B"/>
    <w:rPr>
      <w:vanish w:val="0"/>
      <w:webHidden w:val="0"/>
      <w:specVanish/>
    </w:rPr>
  </w:style>
  <w:style w:type="character" w:customStyle="1" w:styleId="latitude1">
    <w:name w:val="latitude1"/>
    <w:basedOn w:val="DefaultParagraphFont"/>
    <w:rsid w:val="00F4614B"/>
  </w:style>
  <w:style w:type="character" w:customStyle="1" w:styleId="longitude1">
    <w:name w:val="longitude1"/>
    <w:basedOn w:val="DefaultParagraphFont"/>
    <w:rsid w:val="00F4614B"/>
  </w:style>
  <w:style w:type="character" w:customStyle="1" w:styleId="geo-multi-punct1">
    <w:name w:val="geo-multi-punct1"/>
    <w:rsid w:val="00F4614B"/>
    <w:rPr>
      <w:vanish/>
      <w:webHidden w:val="0"/>
      <w:specVanish/>
    </w:rPr>
  </w:style>
  <w:style w:type="character" w:customStyle="1" w:styleId="geo-nondefault1">
    <w:name w:val="geo-nondefault1"/>
    <w:rsid w:val="00F4614B"/>
    <w:rPr>
      <w:vanish/>
      <w:webHidden w:val="0"/>
      <w:specVanish/>
    </w:rPr>
  </w:style>
  <w:style w:type="character" w:customStyle="1" w:styleId="geo-dec1">
    <w:name w:val="geo-dec1"/>
    <w:rsid w:val="00F4614B"/>
    <w:rPr>
      <w:vanish w:val="0"/>
      <w:webHidden w:val="0"/>
      <w:specVanish/>
    </w:rPr>
  </w:style>
  <w:style w:type="character" w:customStyle="1" w:styleId="geo">
    <w:name w:val="geo"/>
    <w:basedOn w:val="DefaultParagraphFont"/>
    <w:rsid w:val="00F4614B"/>
  </w:style>
  <w:style w:type="paragraph" w:customStyle="1" w:styleId="ParaFirst8">
    <w:name w:val="ParaFirst/8"/>
    <w:basedOn w:val="Normal"/>
    <w:rsid w:val="00F4614B"/>
    <w:pPr>
      <w:spacing w:line="300" w:lineRule="exact"/>
    </w:pPr>
    <w:rPr>
      <w:rFonts w:ascii="Times New Roman" w:hAnsi="Times New Roman"/>
      <w:sz w:val="20"/>
      <w:lang w:val="en-AU"/>
    </w:rPr>
  </w:style>
  <w:style w:type="paragraph" w:customStyle="1" w:styleId="MediumGrid1-Accent21">
    <w:name w:val="Medium Grid 1 - Accent 21"/>
    <w:basedOn w:val="Normal"/>
    <w:rsid w:val="00F4614B"/>
    <w:pPr>
      <w:spacing w:line="120" w:lineRule="atLeast"/>
      <w:contextualSpacing/>
    </w:pPr>
    <w:rPr>
      <w:rFonts w:ascii="Calibri" w:hAnsi="Calibri"/>
      <w:sz w:val="20"/>
      <w:szCs w:val="22"/>
      <w:lang w:val="en-US" w:bidi="en-US"/>
    </w:rPr>
  </w:style>
  <w:style w:type="paragraph" w:customStyle="1" w:styleId="indenthang1">
    <w:name w:val="indenthang1"/>
    <w:basedOn w:val="Normal"/>
    <w:link w:val="indenthang1Char"/>
    <w:rsid w:val="00F4614B"/>
    <w:pPr>
      <w:spacing w:before="100" w:after="100" w:line="120" w:lineRule="atLeast"/>
      <w:ind w:left="480" w:hanging="168"/>
    </w:pPr>
    <w:rPr>
      <w:sz w:val="20"/>
      <w:szCs w:val="24"/>
      <w:lang w:val="en-US"/>
    </w:rPr>
  </w:style>
  <w:style w:type="character" w:customStyle="1" w:styleId="indenthang1Char">
    <w:name w:val="indenthang1 Char"/>
    <w:basedOn w:val="DefaultParagraphFont"/>
    <w:link w:val="indenthang1"/>
    <w:rsid w:val="00F4614B"/>
    <w:rPr>
      <w:rFonts w:ascii="Arial" w:hAnsi="Arial"/>
      <w:sz w:val="20"/>
      <w:szCs w:val="24"/>
      <w:lang w:val="en-US" w:eastAsia="en-US"/>
    </w:rPr>
  </w:style>
  <w:style w:type="character" w:customStyle="1" w:styleId="esrielement1">
    <w:name w:val="esrielement1"/>
    <w:basedOn w:val="DefaultParagraphFont"/>
    <w:rsid w:val="00F4614B"/>
    <w:rPr>
      <w:b w:val="0"/>
      <w:bCs w:val="0"/>
      <w:smallCaps/>
      <w:color w:val="006400"/>
      <w:sz w:val="22"/>
      <w:szCs w:val="22"/>
    </w:rPr>
  </w:style>
  <w:style w:type="character" w:customStyle="1" w:styleId="code1">
    <w:name w:val="code1"/>
    <w:basedOn w:val="DefaultParagraphFont"/>
    <w:rsid w:val="00F4614B"/>
    <w:rPr>
      <w:rFonts w:ascii="Courier New" w:hAnsi="Courier New" w:cs="Courier New" w:hint="default"/>
    </w:rPr>
  </w:style>
  <w:style w:type="paragraph" w:customStyle="1" w:styleId="xl67">
    <w:name w:val="xl67"/>
    <w:basedOn w:val="Normal"/>
    <w:rsid w:val="00F4614B"/>
    <w:pPr>
      <w:pBdr>
        <w:top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68">
    <w:name w:val="xl68"/>
    <w:basedOn w:val="Normal"/>
    <w:rsid w:val="00F4614B"/>
    <w:pPr>
      <w:pBdr>
        <w:top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69">
    <w:name w:val="xl69"/>
    <w:basedOn w:val="Normal"/>
    <w:rsid w:val="00F4614B"/>
    <w:pPr>
      <w:pBdr>
        <w:top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0">
    <w:name w:val="xl70"/>
    <w:basedOn w:val="Normal"/>
    <w:rsid w:val="00F4614B"/>
    <w:pPr>
      <w:spacing w:before="100" w:beforeAutospacing="1" w:after="100" w:afterAutospacing="1" w:line="120" w:lineRule="atLeast"/>
      <w:jc w:val="center"/>
      <w:textAlignment w:val="center"/>
    </w:pPr>
    <w:rPr>
      <w:rFonts w:cs="Arial"/>
      <w:sz w:val="20"/>
      <w:lang w:val="en-AU" w:eastAsia="en-AU"/>
    </w:rPr>
  </w:style>
  <w:style w:type="paragraph" w:customStyle="1" w:styleId="xl71">
    <w:name w:val="xl71"/>
    <w:basedOn w:val="Normal"/>
    <w:rsid w:val="00F4614B"/>
    <w:pPr>
      <w:spacing w:before="100" w:beforeAutospacing="1" w:after="100" w:afterAutospacing="1" w:line="120" w:lineRule="atLeast"/>
      <w:jc w:val="center"/>
      <w:textAlignment w:val="center"/>
    </w:pPr>
    <w:rPr>
      <w:rFonts w:cs="Arial"/>
      <w:sz w:val="20"/>
      <w:lang w:val="en-AU" w:eastAsia="en-AU"/>
    </w:rPr>
  </w:style>
  <w:style w:type="paragraph" w:customStyle="1" w:styleId="xl72">
    <w:name w:val="xl72"/>
    <w:basedOn w:val="Normal"/>
    <w:rsid w:val="00F4614B"/>
    <w:pPr>
      <w:spacing w:before="100" w:beforeAutospacing="1" w:after="100" w:afterAutospacing="1" w:line="120" w:lineRule="atLeast"/>
      <w:jc w:val="center"/>
      <w:textAlignment w:val="center"/>
    </w:pPr>
    <w:rPr>
      <w:rFonts w:cs="Arial"/>
      <w:sz w:val="20"/>
      <w:lang w:val="en-AU" w:eastAsia="en-AU"/>
    </w:rPr>
  </w:style>
  <w:style w:type="paragraph" w:customStyle="1" w:styleId="xl73">
    <w:name w:val="xl73"/>
    <w:basedOn w:val="Normal"/>
    <w:rsid w:val="00F4614B"/>
    <w:pPr>
      <w:pBdr>
        <w:bottom w:val="single" w:sz="4"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4">
    <w:name w:val="xl74"/>
    <w:basedOn w:val="Normal"/>
    <w:rsid w:val="00F4614B"/>
    <w:pPr>
      <w:pBdr>
        <w:bottom w:val="single" w:sz="4"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5">
    <w:name w:val="xl75"/>
    <w:basedOn w:val="Normal"/>
    <w:rsid w:val="00F4614B"/>
    <w:pPr>
      <w:pBdr>
        <w:bottom w:val="single" w:sz="4"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6">
    <w:name w:val="xl76"/>
    <w:basedOn w:val="Normal"/>
    <w:rsid w:val="00F4614B"/>
    <w:pPr>
      <w:pBdr>
        <w:bottom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7">
    <w:name w:val="xl77"/>
    <w:basedOn w:val="Normal"/>
    <w:rsid w:val="00F4614B"/>
    <w:pPr>
      <w:pBdr>
        <w:bottom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8">
    <w:name w:val="xl78"/>
    <w:basedOn w:val="Normal"/>
    <w:rsid w:val="00F4614B"/>
    <w:pPr>
      <w:pBdr>
        <w:bottom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9">
    <w:name w:val="xl79"/>
    <w:basedOn w:val="Normal"/>
    <w:rsid w:val="00F4614B"/>
    <w:pP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80">
    <w:name w:val="xl80"/>
    <w:basedOn w:val="Normal"/>
    <w:rsid w:val="00F4614B"/>
    <w:pPr>
      <w:pBdr>
        <w:bottom w:val="single" w:sz="4" w:space="0" w:color="auto"/>
      </w:pBdr>
      <w:spacing w:before="100" w:beforeAutospacing="1" w:after="100" w:afterAutospacing="1" w:line="120" w:lineRule="atLeast"/>
    </w:pPr>
    <w:rPr>
      <w:rFonts w:ascii="Times New Roman" w:hAnsi="Times New Roman"/>
      <w:sz w:val="24"/>
      <w:szCs w:val="24"/>
      <w:lang w:val="en-AU" w:eastAsia="en-AU"/>
    </w:rPr>
  </w:style>
  <w:style w:type="paragraph" w:customStyle="1" w:styleId="xl63">
    <w:name w:val="xl63"/>
    <w:basedOn w:val="Normal"/>
    <w:rsid w:val="00F4614B"/>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120" w:lineRule="atLeast"/>
      <w:jc w:val="center"/>
    </w:pPr>
    <w:rPr>
      <w:rFonts w:ascii="Times New Roman" w:hAnsi="Times New Roman"/>
      <w:color w:val="000000"/>
      <w:sz w:val="20"/>
      <w:lang w:eastAsia="en-GB"/>
    </w:rPr>
  </w:style>
  <w:style w:type="paragraph" w:customStyle="1" w:styleId="xl64">
    <w:name w:val="xl64"/>
    <w:basedOn w:val="Normal"/>
    <w:rsid w:val="00F4614B"/>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120" w:lineRule="atLeast"/>
      <w:jc w:val="center"/>
    </w:pPr>
    <w:rPr>
      <w:rFonts w:ascii="Times New Roman" w:hAnsi="Times New Roman"/>
      <w:color w:val="000000"/>
      <w:sz w:val="20"/>
      <w:lang w:eastAsia="en-GB"/>
    </w:rPr>
  </w:style>
  <w:style w:type="paragraph" w:customStyle="1" w:styleId="Title1">
    <w:name w:val="Title1"/>
    <w:basedOn w:val="Normal"/>
    <w:rsid w:val="00F4614B"/>
    <w:pPr>
      <w:spacing w:before="100" w:beforeAutospacing="1" w:after="100" w:afterAutospacing="1" w:line="120" w:lineRule="atLeast"/>
    </w:pPr>
    <w:rPr>
      <w:rFonts w:ascii="Times New Roman" w:eastAsiaTheme="minorEastAsia" w:hAnsi="Times New Roman"/>
      <w:b/>
      <w:bCs/>
      <w:sz w:val="40"/>
      <w:szCs w:val="40"/>
      <w:lang w:val="en-US"/>
    </w:rPr>
  </w:style>
  <w:style w:type="paragraph" w:customStyle="1" w:styleId="font0">
    <w:name w:val="font0"/>
    <w:basedOn w:val="Normal"/>
    <w:rsid w:val="00F4614B"/>
    <w:pPr>
      <w:spacing w:before="100" w:beforeAutospacing="1" w:after="100" w:afterAutospacing="1" w:line="120" w:lineRule="atLeast"/>
    </w:pPr>
    <w:rPr>
      <w:rFonts w:ascii="Calibri" w:hAnsi="Calibri"/>
      <w:color w:val="000000"/>
      <w:szCs w:val="22"/>
      <w:lang w:val="en-AU" w:eastAsia="en-AU"/>
    </w:rPr>
  </w:style>
  <w:style w:type="paragraph" w:customStyle="1" w:styleId="font5">
    <w:name w:val="font5"/>
    <w:basedOn w:val="Normal"/>
    <w:rsid w:val="00F4614B"/>
    <w:pPr>
      <w:spacing w:before="100" w:beforeAutospacing="1" w:after="100" w:afterAutospacing="1" w:line="120" w:lineRule="atLeast"/>
    </w:pPr>
    <w:rPr>
      <w:rFonts w:ascii="Calibri" w:hAnsi="Calibri"/>
      <w:color w:val="000000"/>
      <w:szCs w:val="22"/>
      <w:lang w:val="en-AU" w:eastAsia="en-AU"/>
    </w:rPr>
  </w:style>
  <w:style w:type="paragraph" w:customStyle="1" w:styleId="font6">
    <w:name w:val="font6"/>
    <w:basedOn w:val="Normal"/>
    <w:rsid w:val="00F4614B"/>
    <w:pPr>
      <w:spacing w:before="100" w:beforeAutospacing="1" w:after="100" w:afterAutospacing="1" w:line="120" w:lineRule="atLeast"/>
    </w:pPr>
    <w:rPr>
      <w:rFonts w:ascii="Calibri" w:hAnsi="Calibri"/>
      <w:color w:val="000000"/>
      <w:szCs w:val="22"/>
      <w:lang w:val="en-AU" w:eastAsia="en-AU"/>
    </w:rPr>
  </w:style>
  <w:style w:type="paragraph" w:customStyle="1" w:styleId="xl81">
    <w:name w:val="xl81"/>
    <w:basedOn w:val="Normal"/>
    <w:rsid w:val="00F4614B"/>
    <w:pPr>
      <w:pBdr>
        <w:left w:val="single" w:sz="4" w:space="0" w:color="auto"/>
        <w:bottom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82">
    <w:name w:val="xl82"/>
    <w:basedOn w:val="Normal"/>
    <w:rsid w:val="00F4614B"/>
    <w:pPr>
      <w:pBdr>
        <w:top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83">
    <w:name w:val="xl83"/>
    <w:basedOn w:val="Normal"/>
    <w:rsid w:val="00F4614B"/>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font7">
    <w:name w:val="font7"/>
    <w:basedOn w:val="Normal"/>
    <w:rsid w:val="00F4614B"/>
    <w:pPr>
      <w:spacing w:before="100" w:beforeAutospacing="1" w:after="100" w:afterAutospacing="1" w:line="120" w:lineRule="atLeast"/>
    </w:pPr>
    <w:rPr>
      <w:rFonts w:ascii="Calibri" w:hAnsi="Calibri"/>
      <w:color w:val="000000"/>
      <w:sz w:val="20"/>
      <w:lang w:val="en-AU" w:eastAsia="en-AU"/>
    </w:rPr>
  </w:style>
  <w:style w:type="character" w:styleId="PlaceholderText">
    <w:name w:val="Placeholder Text"/>
    <w:basedOn w:val="DefaultParagraphFont"/>
    <w:uiPriority w:val="99"/>
    <w:semiHidden/>
    <w:rsid w:val="00F4614B"/>
    <w:rPr>
      <w:color w:val="808080"/>
    </w:rPr>
  </w:style>
  <w:style w:type="paragraph" w:customStyle="1" w:styleId="xl84">
    <w:name w:val="xl84"/>
    <w:basedOn w:val="Normal"/>
    <w:rsid w:val="00F4614B"/>
    <w:pP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85">
    <w:name w:val="xl85"/>
    <w:basedOn w:val="Normal"/>
    <w:rsid w:val="00F4614B"/>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86">
    <w:name w:val="xl86"/>
    <w:basedOn w:val="Normal"/>
    <w:rsid w:val="00F4614B"/>
    <w:pPr>
      <w:pBdr>
        <w:top w:val="single" w:sz="4" w:space="0" w:color="auto"/>
        <w:lef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87">
    <w:name w:val="xl87"/>
    <w:basedOn w:val="Normal"/>
    <w:rsid w:val="00F4614B"/>
    <w:pPr>
      <w:pBdr>
        <w:top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88">
    <w:name w:val="xl88"/>
    <w:basedOn w:val="Normal"/>
    <w:rsid w:val="00F4614B"/>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89">
    <w:name w:val="xl89"/>
    <w:basedOn w:val="Normal"/>
    <w:rsid w:val="00F4614B"/>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90">
    <w:name w:val="xl90"/>
    <w:basedOn w:val="Normal"/>
    <w:rsid w:val="00F4614B"/>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91">
    <w:name w:val="xl91"/>
    <w:basedOn w:val="Normal"/>
    <w:rsid w:val="00F4614B"/>
    <w:pPr>
      <w:pBdr>
        <w:top w:val="single" w:sz="4" w:space="0" w:color="auto"/>
        <w:lef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92">
    <w:name w:val="xl92"/>
    <w:basedOn w:val="Normal"/>
    <w:rsid w:val="00F4614B"/>
    <w:pPr>
      <w:pBdr>
        <w:top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93">
    <w:name w:val="xl93"/>
    <w:basedOn w:val="Normal"/>
    <w:rsid w:val="00F4614B"/>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94">
    <w:name w:val="xl94"/>
    <w:basedOn w:val="Normal"/>
    <w:rsid w:val="00F4614B"/>
    <w:pPr>
      <w:pBdr>
        <w:top w:val="single" w:sz="4" w:space="0" w:color="auto"/>
        <w:right w:val="single" w:sz="4" w:space="0" w:color="auto"/>
      </w:pBdr>
      <w:shd w:val="clear" w:color="000000" w:fill="F2F2F2"/>
      <w:spacing w:before="100" w:beforeAutospacing="1" w:after="100" w:afterAutospacing="1" w:line="120" w:lineRule="atLeast"/>
      <w:jc w:val="center"/>
    </w:pPr>
    <w:rPr>
      <w:rFonts w:ascii="Times New Roman" w:hAnsi="Times New Roman"/>
      <w:b/>
      <w:bCs/>
      <w:i/>
      <w:iCs/>
      <w:sz w:val="24"/>
      <w:szCs w:val="24"/>
      <w:lang w:val="en-AU" w:eastAsia="en-AU"/>
    </w:rPr>
  </w:style>
  <w:style w:type="paragraph" w:customStyle="1" w:styleId="xl95">
    <w:name w:val="xl95"/>
    <w:basedOn w:val="Normal"/>
    <w:rsid w:val="00F4614B"/>
    <w:pPr>
      <w:pBdr>
        <w:top w:val="single" w:sz="4" w:space="0" w:color="auto"/>
        <w:left w:val="single" w:sz="4" w:space="0" w:color="auto"/>
      </w:pBdr>
      <w:shd w:val="clear" w:color="000000" w:fill="0070C0"/>
      <w:spacing w:before="100" w:beforeAutospacing="1" w:after="100" w:afterAutospacing="1" w:line="120" w:lineRule="atLeast"/>
      <w:jc w:val="center"/>
    </w:pPr>
    <w:rPr>
      <w:rFonts w:ascii="Times New Roman" w:hAnsi="Times New Roman"/>
      <w:b/>
      <w:bCs/>
      <w:color w:val="FFFFFF"/>
      <w:sz w:val="24"/>
      <w:szCs w:val="24"/>
      <w:lang w:val="en-AU" w:eastAsia="en-AU"/>
    </w:rPr>
  </w:style>
  <w:style w:type="paragraph" w:customStyle="1" w:styleId="xl96">
    <w:name w:val="xl96"/>
    <w:basedOn w:val="Normal"/>
    <w:rsid w:val="00F4614B"/>
    <w:pPr>
      <w:pBdr>
        <w:top w:val="single" w:sz="4" w:space="0" w:color="auto"/>
      </w:pBdr>
      <w:shd w:val="clear" w:color="000000" w:fill="00B050"/>
      <w:spacing w:before="100" w:beforeAutospacing="1" w:after="100" w:afterAutospacing="1" w:line="120" w:lineRule="atLeast"/>
      <w:jc w:val="center"/>
    </w:pPr>
    <w:rPr>
      <w:rFonts w:ascii="Times New Roman" w:hAnsi="Times New Roman"/>
      <w:b/>
      <w:bCs/>
      <w:color w:val="FFFFFF"/>
      <w:sz w:val="24"/>
      <w:szCs w:val="24"/>
      <w:lang w:val="en-AU" w:eastAsia="en-AU"/>
    </w:rPr>
  </w:style>
  <w:style w:type="paragraph" w:customStyle="1" w:styleId="xl97">
    <w:name w:val="xl97"/>
    <w:basedOn w:val="Normal"/>
    <w:rsid w:val="00F4614B"/>
    <w:pPr>
      <w:pBdr>
        <w:top w:val="single" w:sz="4" w:space="0" w:color="auto"/>
      </w:pBdr>
      <w:shd w:val="clear" w:color="000000" w:fill="FF0000"/>
      <w:spacing w:before="100" w:beforeAutospacing="1" w:after="100" w:afterAutospacing="1" w:line="120" w:lineRule="atLeast"/>
      <w:jc w:val="center"/>
    </w:pPr>
    <w:rPr>
      <w:rFonts w:ascii="Times New Roman" w:hAnsi="Times New Roman"/>
      <w:b/>
      <w:bCs/>
      <w:color w:val="FFFFFF"/>
      <w:sz w:val="24"/>
      <w:szCs w:val="24"/>
      <w:lang w:val="en-AU" w:eastAsia="en-AU"/>
    </w:rPr>
  </w:style>
  <w:style w:type="paragraph" w:customStyle="1" w:styleId="xl98">
    <w:name w:val="xl98"/>
    <w:basedOn w:val="Normal"/>
    <w:rsid w:val="00F4614B"/>
    <w:pPr>
      <w:pBdr>
        <w:top w:val="single" w:sz="4" w:space="0" w:color="auto"/>
      </w:pBdr>
      <w:shd w:val="clear" w:color="000000" w:fill="C00000"/>
      <w:spacing w:before="100" w:beforeAutospacing="1" w:after="100" w:afterAutospacing="1" w:line="120" w:lineRule="atLeast"/>
      <w:jc w:val="center"/>
    </w:pPr>
    <w:rPr>
      <w:rFonts w:ascii="Times New Roman" w:hAnsi="Times New Roman"/>
      <w:b/>
      <w:bCs/>
      <w:color w:val="FFFFFF"/>
      <w:sz w:val="24"/>
      <w:szCs w:val="24"/>
      <w:lang w:val="en-AU" w:eastAsia="en-AU"/>
    </w:rPr>
  </w:style>
  <w:style w:type="paragraph" w:customStyle="1" w:styleId="xl99">
    <w:name w:val="xl99"/>
    <w:basedOn w:val="Normal"/>
    <w:rsid w:val="00F4614B"/>
    <w:pPr>
      <w:pBdr>
        <w:top w:val="single" w:sz="4" w:space="0" w:color="auto"/>
        <w:lef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00">
    <w:name w:val="xl100"/>
    <w:basedOn w:val="Normal"/>
    <w:rsid w:val="00F4614B"/>
    <w:pPr>
      <w:pBdr>
        <w:top w:val="single" w:sz="4" w:space="0" w:color="auto"/>
        <w:left w:val="single" w:sz="4" w:space="0" w:color="auto"/>
        <w:right w:val="single" w:sz="4" w:space="0" w:color="auto"/>
      </w:pBdr>
      <w:spacing w:before="100" w:beforeAutospacing="1" w:after="100" w:afterAutospacing="1" w:line="120" w:lineRule="atLeast"/>
      <w:jc w:val="center"/>
    </w:pPr>
    <w:rPr>
      <w:rFonts w:ascii="Times New Roman" w:hAnsi="Times New Roman"/>
      <w:b/>
      <w:bCs/>
      <w:sz w:val="24"/>
      <w:szCs w:val="24"/>
      <w:lang w:val="en-AU" w:eastAsia="en-AU"/>
    </w:rPr>
  </w:style>
  <w:style w:type="paragraph" w:customStyle="1" w:styleId="xl101">
    <w:name w:val="xl101"/>
    <w:basedOn w:val="Normal"/>
    <w:rsid w:val="00F4614B"/>
    <w:pPr>
      <w:pBdr>
        <w:top w:val="single" w:sz="4" w:space="0" w:color="auto"/>
        <w:left w:val="single" w:sz="4" w:space="0" w:color="auto"/>
      </w:pBdr>
      <w:spacing w:before="100" w:beforeAutospacing="1" w:after="100" w:afterAutospacing="1" w:line="120" w:lineRule="atLeast"/>
      <w:jc w:val="center"/>
    </w:pPr>
    <w:rPr>
      <w:rFonts w:ascii="Times New Roman" w:hAnsi="Times New Roman"/>
      <w:b/>
      <w:bCs/>
      <w:sz w:val="24"/>
      <w:szCs w:val="24"/>
      <w:lang w:val="en-AU" w:eastAsia="en-AU"/>
    </w:rPr>
  </w:style>
  <w:style w:type="paragraph" w:customStyle="1" w:styleId="xl102">
    <w:name w:val="xl102"/>
    <w:basedOn w:val="Normal"/>
    <w:rsid w:val="00F4614B"/>
    <w:pPr>
      <w:pBdr>
        <w:top w:val="single" w:sz="4" w:space="0" w:color="auto"/>
      </w:pBdr>
      <w:spacing w:before="100" w:beforeAutospacing="1" w:after="100" w:afterAutospacing="1" w:line="120" w:lineRule="atLeast"/>
      <w:jc w:val="center"/>
    </w:pPr>
    <w:rPr>
      <w:rFonts w:ascii="Times New Roman" w:hAnsi="Times New Roman"/>
      <w:b/>
      <w:bCs/>
      <w:sz w:val="24"/>
      <w:szCs w:val="24"/>
      <w:lang w:val="en-AU" w:eastAsia="en-AU"/>
    </w:rPr>
  </w:style>
  <w:style w:type="paragraph" w:customStyle="1" w:styleId="xl103">
    <w:name w:val="xl103"/>
    <w:basedOn w:val="Normal"/>
    <w:rsid w:val="00F4614B"/>
    <w:pPr>
      <w:pBdr>
        <w:top w:val="single" w:sz="4" w:space="0" w:color="auto"/>
        <w:right w:val="single" w:sz="4" w:space="0" w:color="auto"/>
      </w:pBdr>
      <w:shd w:val="clear" w:color="000000" w:fill="F2F2F2"/>
      <w:spacing w:before="100" w:beforeAutospacing="1" w:after="100" w:afterAutospacing="1" w:line="120" w:lineRule="atLeast"/>
      <w:jc w:val="center"/>
    </w:pPr>
    <w:rPr>
      <w:rFonts w:ascii="Times New Roman" w:hAnsi="Times New Roman"/>
      <w:b/>
      <w:bCs/>
      <w:sz w:val="24"/>
      <w:szCs w:val="24"/>
      <w:lang w:val="en-AU" w:eastAsia="en-AU"/>
    </w:rPr>
  </w:style>
  <w:style w:type="paragraph" w:customStyle="1" w:styleId="xl104">
    <w:name w:val="xl104"/>
    <w:basedOn w:val="Normal"/>
    <w:rsid w:val="00F4614B"/>
    <w:pPr>
      <w:pBdr>
        <w:left w:val="single" w:sz="4" w:space="0" w:color="auto"/>
        <w:bottom w:val="double" w:sz="6"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05">
    <w:name w:val="xl105"/>
    <w:basedOn w:val="Normal"/>
    <w:rsid w:val="00F4614B"/>
    <w:pPr>
      <w:pBdr>
        <w:lef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06">
    <w:name w:val="xl106"/>
    <w:basedOn w:val="Normal"/>
    <w:rsid w:val="00F4614B"/>
    <w:pPr>
      <w:pBdr>
        <w:left w:val="single" w:sz="4" w:space="0" w:color="auto"/>
        <w:bottom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07">
    <w:name w:val="xl107"/>
    <w:basedOn w:val="Normal"/>
    <w:rsid w:val="00F4614B"/>
    <w:pPr>
      <w:pBdr>
        <w:left w:val="single" w:sz="4" w:space="0" w:color="auto"/>
        <w:bottom w:val="single" w:sz="4" w:space="0" w:color="auto"/>
        <w:right w:val="single" w:sz="4" w:space="0" w:color="auto"/>
      </w:pBdr>
      <w:spacing w:before="100" w:beforeAutospacing="1" w:after="100" w:afterAutospacing="1" w:line="120" w:lineRule="atLeast"/>
      <w:jc w:val="center"/>
    </w:pPr>
    <w:rPr>
      <w:rFonts w:ascii="Times New Roman" w:hAnsi="Times New Roman"/>
      <w:sz w:val="24"/>
      <w:szCs w:val="24"/>
      <w:lang w:val="en-AU" w:eastAsia="en-AU"/>
    </w:rPr>
  </w:style>
  <w:style w:type="paragraph" w:customStyle="1" w:styleId="xl108">
    <w:name w:val="xl108"/>
    <w:basedOn w:val="Normal"/>
    <w:rsid w:val="00F4614B"/>
    <w:pPr>
      <w:pBdr>
        <w:top w:val="single" w:sz="4" w:space="0" w:color="auto"/>
        <w:right w:val="single" w:sz="4" w:space="0" w:color="auto"/>
      </w:pBdr>
      <w:spacing w:before="100" w:beforeAutospacing="1" w:after="100" w:afterAutospacing="1" w:line="120" w:lineRule="atLeast"/>
      <w:jc w:val="center"/>
    </w:pPr>
    <w:rPr>
      <w:rFonts w:ascii="Times New Roman" w:hAnsi="Times New Roman"/>
      <w:b/>
      <w:bCs/>
      <w:sz w:val="24"/>
      <w:szCs w:val="24"/>
      <w:lang w:val="en-AU" w:eastAsia="en-AU"/>
    </w:rPr>
  </w:style>
  <w:style w:type="paragraph" w:customStyle="1" w:styleId="xl109">
    <w:name w:val="xl109"/>
    <w:basedOn w:val="Normal"/>
    <w:rsid w:val="00F4614B"/>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10">
    <w:name w:val="xl110"/>
    <w:basedOn w:val="Normal"/>
    <w:rsid w:val="00F4614B"/>
    <w:pPr>
      <w:pBdr>
        <w:left w:val="single" w:sz="4" w:space="0" w:color="auto"/>
        <w:bottom w:val="double" w:sz="6" w:space="0" w:color="auto"/>
        <w:righ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11">
    <w:name w:val="xl111"/>
    <w:basedOn w:val="Normal"/>
    <w:rsid w:val="00F4614B"/>
    <w:pPr>
      <w:pBdr>
        <w:lef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12">
    <w:name w:val="xl112"/>
    <w:basedOn w:val="Normal"/>
    <w:rsid w:val="00F4614B"/>
    <w:pPr>
      <w:pBdr>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13">
    <w:name w:val="xl113"/>
    <w:basedOn w:val="Normal"/>
    <w:rsid w:val="00F4614B"/>
    <w:pPr>
      <w:pBdr>
        <w:left w:val="single" w:sz="4" w:space="0" w:color="auto"/>
        <w:bottom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14">
    <w:name w:val="xl114"/>
    <w:basedOn w:val="Normal"/>
    <w:rsid w:val="00F4614B"/>
    <w:pPr>
      <w:pBdr>
        <w:left w:val="single" w:sz="4" w:space="0" w:color="auto"/>
        <w:bottom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15">
    <w:name w:val="xl115"/>
    <w:basedOn w:val="Normal"/>
    <w:rsid w:val="00F4614B"/>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16">
    <w:name w:val="xl116"/>
    <w:basedOn w:val="Normal"/>
    <w:rsid w:val="00F4614B"/>
    <w:pPr>
      <w:pBdr>
        <w:left w:val="single" w:sz="4" w:space="0" w:color="auto"/>
        <w:bottom w:val="double" w:sz="6"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17">
    <w:name w:val="xl117"/>
    <w:basedOn w:val="Normal"/>
    <w:rsid w:val="00F4614B"/>
    <w:pPr>
      <w:pBdr>
        <w:top w:val="single" w:sz="4" w:space="0" w:color="auto"/>
        <w:left w:val="single" w:sz="4" w:space="0" w:color="auto"/>
      </w:pBdr>
      <w:spacing w:before="100" w:beforeAutospacing="1" w:after="100" w:afterAutospacing="1" w:line="120" w:lineRule="atLeast"/>
      <w:jc w:val="center"/>
    </w:pPr>
    <w:rPr>
      <w:rFonts w:ascii="Times New Roman" w:hAnsi="Times New Roman"/>
      <w:b/>
      <w:bCs/>
      <w:sz w:val="24"/>
      <w:szCs w:val="24"/>
      <w:lang w:val="en-AU" w:eastAsia="en-AU"/>
    </w:rPr>
  </w:style>
  <w:style w:type="numbering" w:customStyle="1" w:styleId="Style5">
    <w:name w:val="Style5"/>
    <w:uiPriority w:val="99"/>
    <w:rsid w:val="00F4614B"/>
    <w:pPr>
      <w:numPr>
        <w:numId w:val="21"/>
      </w:numPr>
    </w:pPr>
  </w:style>
  <w:style w:type="character" w:customStyle="1" w:styleId="A1">
    <w:name w:val="A1"/>
    <w:uiPriority w:val="99"/>
    <w:rsid w:val="00F4614B"/>
    <w:rPr>
      <w:rFonts w:cs="Myriad Pro"/>
      <w:color w:val="211D1E"/>
      <w:sz w:val="18"/>
      <w:szCs w:val="18"/>
    </w:rPr>
  </w:style>
  <w:style w:type="character" w:customStyle="1" w:styleId="A2">
    <w:name w:val="A2"/>
    <w:uiPriority w:val="99"/>
    <w:rsid w:val="00F4614B"/>
    <w:rPr>
      <w:rFonts w:cs="Myriad Pro"/>
      <w:color w:val="211D1E"/>
      <w:sz w:val="11"/>
      <w:szCs w:val="11"/>
    </w:rPr>
  </w:style>
  <w:style w:type="table" w:styleId="LightShading-Accent5">
    <w:name w:val="Light Shading Accent 5"/>
    <w:basedOn w:val="TableNormal"/>
    <w:uiPriority w:val="60"/>
    <w:rsid w:val="00F4614B"/>
    <w:rPr>
      <w:rFonts w:asciiTheme="minorHAnsi" w:eastAsiaTheme="minorHAnsi" w:hAnsiTheme="minorHAnsi" w:cstheme="minorBidi"/>
      <w:color w:val="31849B" w:themeColor="accent5" w:themeShade="BF"/>
      <w:lang w:eastAsia="en-US"/>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List-Accent5">
    <w:name w:val="Light List Accent 5"/>
    <w:basedOn w:val="TableNormal"/>
    <w:uiPriority w:val="61"/>
    <w:rsid w:val="00F4614B"/>
    <w:rPr>
      <w:rFonts w:asciiTheme="minorHAnsi" w:eastAsiaTheme="minorHAnsi" w:hAnsiTheme="minorHAnsi" w:cstheme="minorBidi"/>
      <w:lang w:eastAsia="en-US"/>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Shading">
    <w:name w:val="Light Shading"/>
    <w:basedOn w:val="TableNormal"/>
    <w:uiPriority w:val="60"/>
    <w:rsid w:val="00F4614B"/>
    <w:rPr>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List1-Accent5">
    <w:name w:val="Medium List 1 Accent 5"/>
    <w:basedOn w:val="TableNormal"/>
    <w:uiPriority w:val="65"/>
    <w:rsid w:val="00F4614B"/>
    <w:rPr>
      <w:color w:val="000000" w:themeColor="text1"/>
      <w:sz w:val="20"/>
      <w:szCs w:val="20"/>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Shading1-Accent5">
    <w:name w:val="Medium Shading 1 Accent 5"/>
    <w:basedOn w:val="TableNormal"/>
    <w:uiPriority w:val="63"/>
    <w:rsid w:val="00F4614B"/>
    <w:rPr>
      <w:rFonts w:asciiTheme="minorHAnsi" w:eastAsiaTheme="minorHAnsi" w:hAnsiTheme="minorHAnsi" w:cstheme="minorBidi"/>
      <w:lang w:eastAsia="en-US"/>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character" w:customStyle="1" w:styleId="A16">
    <w:name w:val="A16"/>
    <w:uiPriority w:val="99"/>
    <w:rsid w:val="00F4614B"/>
    <w:rPr>
      <w:rFonts w:ascii="Myriad Pro" w:hAnsi="Myriad Pro" w:cs="Myriad Pro"/>
      <w:color w:val="221E1F"/>
      <w:sz w:val="14"/>
      <w:szCs w:val="14"/>
    </w:rPr>
  </w:style>
  <w:style w:type="character" w:customStyle="1" w:styleId="A17">
    <w:name w:val="A17"/>
    <w:uiPriority w:val="99"/>
    <w:rsid w:val="00F4614B"/>
    <w:rPr>
      <w:rFonts w:ascii="Myriad Pro" w:hAnsi="Myriad Pro" w:cs="Myriad Pro"/>
      <w:color w:val="221E1F"/>
      <w:sz w:val="9"/>
      <w:szCs w:val="9"/>
    </w:rPr>
  </w:style>
  <w:style w:type="paragraph" w:customStyle="1" w:styleId="MHeading1">
    <w:name w:val="M_Heading1"/>
    <w:basedOn w:val="Normal"/>
    <w:rsid w:val="00F4614B"/>
    <w:pPr>
      <w:spacing w:before="240" w:after="240" w:line="340" w:lineRule="atLeast"/>
    </w:pPr>
    <w:rPr>
      <w:rFonts w:ascii="Times New Roman" w:hAnsi="Times New Roman"/>
      <w:b/>
      <w:color w:val="000000"/>
      <w:sz w:val="24"/>
      <w:lang w:val="en-US" w:eastAsia="de-DE"/>
    </w:rPr>
  </w:style>
  <w:style w:type="paragraph" w:customStyle="1" w:styleId="MText">
    <w:name w:val="M_Text"/>
    <w:basedOn w:val="Normal"/>
    <w:rsid w:val="00F4614B"/>
    <w:pPr>
      <w:spacing w:line="340" w:lineRule="atLeast"/>
      <w:ind w:firstLine="284"/>
    </w:pPr>
    <w:rPr>
      <w:rFonts w:ascii="Times New Roman" w:hAnsi="Times New Roman"/>
      <w:color w:val="000000"/>
      <w:sz w:val="24"/>
      <w:lang w:val="en-US" w:eastAsia="de-DE"/>
    </w:rPr>
  </w:style>
  <w:style w:type="paragraph" w:customStyle="1" w:styleId="MHeading2">
    <w:name w:val="M_Heading2"/>
    <w:basedOn w:val="Normal"/>
    <w:rsid w:val="00F4614B"/>
    <w:pPr>
      <w:spacing w:before="240" w:after="240" w:line="340" w:lineRule="atLeast"/>
    </w:pPr>
    <w:rPr>
      <w:rFonts w:ascii="Times New Roman" w:hAnsi="Times New Roman"/>
      <w:i/>
      <w:color w:val="000000"/>
      <w:sz w:val="24"/>
      <w:lang w:val="en-US" w:eastAsia="de-DE"/>
    </w:rPr>
  </w:style>
  <w:style w:type="paragraph" w:customStyle="1" w:styleId="MISSN">
    <w:name w:val="M_ISSN"/>
    <w:basedOn w:val="Normal"/>
    <w:rsid w:val="00F4614B"/>
    <w:pPr>
      <w:spacing w:after="520" w:line="340" w:lineRule="atLeast"/>
      <w:jc w:val="right"/>
    </w:pPr>
    <w:rPr>
      <w:rFonts w:ascii="Times New Roman" w:hAnsi="Times New Roman"/>
      <w:color w:val="000000"/>
      <w:sz w:val="24"/>
      <w:lang w:val="en-US" w:eastAsia="de-DE"/>
    </w:rPr>
  </w:style>
  <w:style w:type="numbering" w:customStyle="1" w:styleId="Style6">
    <w:name w:val="Style6"/>
    <w:uiPriority w:val="99"/>
    <w:rsid w:val="00B62802"/>
    <w:pPr>
      <w:numPr>
        <w:numId w:val="25"/>
      </w:numPr>
    </w:pPr>
  </w:style>
  <w:style w:type="paragraph" w:customStyle="1" w:styleId="normaltext">
    <w:name w:val="normaltext"/>
    <w:basedOn w:val="Normal"/>
    <w:rsid w:val="00885FD9"/>
    <w:pPr>
      <w:spacing w:before="100" w:beforeAutospacing="1" w:after="100" w:afterAutospacing="1"/>
      <w:jc w:val="left"/>
    </w:pPr>
    <w:rPr>
      <w:rFonts w:ascii="Times New Roman" w:hAnsi="Times New Roman"/>
      <w:sz w:val="24"/>
      <w:szCs w:val="24"/>
      <w:lang w:val="en-US"/>
    </w:rPr>
  </w:style>
  <w:style w:type="character" w:customStyle="1" w:styleId="st1">
    <w:name w:val="st1"/>
    <w:basedOn w:val="DefaultParagraphFont"/>
    <w:rsid w:val="008645FA"/>
  </w:style>
  <w:style w:type="paragraph" w:customStyle="1" w:styleId="appendixheading">
    <w:name w:val="appendix heading"/>
    <w:next w:val="Normal"/>
    <w:qFormat/>
    <w:rsid w:val="00C27BEB"/>
    <w:pPr>
      <w:pageBreakBefore/>
      <w:numPr>
        <w:numId w:val="27"/>
      </w:numPr>
      <w:tabs>
        <w:tab w:val="left" w:pos="1701"/>
      </w:tabs>
      <w:spacing w:before="240" w:after="120"/>
      <w:outlineLvl w:val="0"/>
    </w:pPr>
    <w:rPr>
      <w:rFonts w:ascii="Arial" w:eastAsia="MS Mincho" w:hAnsi="Arial"/>
      <w:b/>
      <w:sz w:val="32"/>
      <w:szCs w:val="20"/>
      <w:lang w:eastAsia="en-US"/>
    </w:rPr>
  </w:style>
  <w:style w:type="paragraph" w:customStyle="1" w:styleId="subappendix">
    <w:name w:val="sub appendix"/>
    <w:next w:val="Normal"/>
    <w:qFormat/>
    <w:rsid w:val="00C27BEB"/>
    <w:pPr>
      <w:numPr>
        <w:numId w:val="28"/>
      </w:numPr>
    </w:pPr>
    <w:rPr>
      <w:rFonts w:ascii="Arial" w:hAnsi="Arial"/>
      <w:b/>
      <w:sz w:val="28"/>
      <w:szCs w:val="20"/>
      <w:lang w:val="en-GB" w:eastAsia="en-US"/>
    </w:rPr>
  </w:style>
  <w:style w:type="character" w:customStyle="1" w:styleId="A10">
    <w:name w:val="A10"/>
    <w:uiPriority w:val="99"/>
    <w:rsid w:val="00846F31"/>
    <w:rPr>
      <w:rFonts w:cs="Myriad Pro"/>
      <w:color w:val="221E1F"/>
      <w:sz w:val="15"/>
      <w:szCs w:val="15"/>
    </w:rPr>
  </w:style>
  <w:style w:type="paragraph" w:customStyle="1" w:styleId="Headers">
    <w:name w:val="Headers"/>
    <w:basedOn w:val="Normal"/>
    <w:link w:val="HeadersChar"/>
    <w:qFormat/>
    <w:rsid w:val="001825AB"/>
    <w:pPr>
      <w:spacing w:after="360"/>
      <w:jc w:val="center"/>
    </w:pPr>
    <w:rPr>
      <w:rFonts w:cs="Arial"/>
      <w:b/>
      <w:color w:val="0070C0"/>
      <w:sz w:val="36"/>
      <w:szCs w:val="36"/>
      <w:lang w:val="en-AU"/>
    </w:rPr>
  </w:style>
  <w:style w:type="character" w:customStyle="1" w:styleId="HeadersChar">
    <w:name w:val="Headers Char"/>
    <w:basedOn w:val="DefaultParagraphFont"/>
    <w:link w:val="Headers"/>
    <w:rsid w:val="001825AB"/>
    <w:rPr>
      <w:rFonts w:ascii="Arial" w:hAnsi="Arial" w:cs="Arial"/>
      <w:b/>
      <w:color w:val="0070C0"/>
      <w:sz w:val="36"/>
      <w:szCs w:val="36"/>
      <w:lang w:eastAsia="en-US"/>
    </w:rPr>
  </w:style>
  <w:style w:type="character" w:customStyle="1" w:styleId="CommentTextChar1">
    <w:name w:val="Comment Text Char1"/>
    <w:uiPriority w:val="99"/>
    <w:rsid w:val="008502F3"/>
    <w:rPr>
      <w:rFonts w:eastAsia="Times New Roman"/>
      <w:color w:val="000000"/>
      <w:lang w:val="en-US" w:eastAsia="de-DE"/>
    </w:rPr>
  </w:style>
  <w:style w:type="paragraph" w:customStyle="1" w:styleId="Figuremessage">
    <w:name w:val="Figure message"/>
    <w:basedOn w:val="Normal"/>
    <w:link w:val="FiguremessageChar"/>
    <w:qFormat/>
    <w:rsid w:val="002A7F39"/>
    <w:pPr>
      <w:shd w:val="clear" w:color="auto" w:fill="DBE5F1" w:themeFill="accent1" w:themeFillTint="33"/>
      <w:spacing w:before="0" w:after="0"/>
      <w:jc w:val="left"/>
    </w:pPr>
    <w:rPr>
      <w:rFonts w:ascii="Segoe UI" w:eastAsia="Calibri" w:hAnsi="Segoe UI" w:cs="Segoe UI"/>
      <w:sz w:val="18"/>
      <w:szCs w:val="18"/>
      <w:lang w:val="en-AU"/>
    </w:rPr>
  </w:style>
  <w:style w:type="character" w:customStyle="1" w:styleId="FiguremessageChar">
    <w:name w:val="Figure message Char"/>
    <w:link w:val="Figuremessage"/>
    <w:rsid w:val="002A7F39"/>
    <w:rPr>
      <w:rFonts w:ascii="Segoe UI" w:eastAsia="Calibri" w:hAnsi="Segoe UI" w:cs="Segoe UI"/>
      <w:sz w:val="18"/>
      <w:szCs w:val="18"/>
      <w:shd w:val="clear" w:color="auto" w:fill="DBE5F1" w:themeFill="accent1" w:themeFillTint="33"/>
      <w:lang w:eastAsia="en-US"/>
    </w:rPr>
  </w:style>
  <w:style w:type="paragraph" w:customStyle="1" w:styleId="equation">
    <w:name w:val="equation"/>
    <w:basedOn w:val="Normal"/>
    <w:link w:val="equationChar"/>
    <w:qFormat/>
    <w:rsid w:val="00B66CC3"/>
    <w:pPr>
      <w:tabs>
        <w:tab w:val="right" w:pos="8931"/>
      </w:tabs>
      <w:spacing w:after="240" w:line="360" w:lineRule="auto"/>
      <w:ind w:left="567"/>
    </w:pPr>
    <w:rPr>
      <w:rFonts w:ascii="Cambria Math" w:hAnsi="Cambria Math" w:cstheme="minorHAnsi"/>
      <w:i/>
      <w:iCs/>
      <w:sz w:val="24"/>
      <w:szCs w:val="24"/>
      <w:lang w:val="en-AU" w:eastAsia="en-AU"/>
    </w:rPr>
  </w:style>
  <w:style w:type="character" w:customStyle="1" w:styleId="equationChar">
    <w:name w:val="equation Char"/>
    <w:basedOn w:val="DefaultParagraphFont"/>
    <w:link w:val="equation"/>
    <w:rsid w:val="00B66CC3"/>
    <w:rPr>
      <w:rFonts w:ascii="Cambria Math" w:hAnsi="Cambria Math" w:cstheme="minorHAnsi"/>
      <w:i/>
      <w:iCs/>
      <w:sz w:val="24"/>
      <w:szCs w:val="24"/>
    </w:rPr>
  </w:style>
  <w:style w:type="character" w:customStyle="1" w:styleId="ColorfulList-Accent1Char">
    <w:name w:val="Colorful List - Accent 1 Char"/>
    <w:basedOn w:val="DefaultParagraphFont"/>
    <w:link w:val="ColorfulList-Accent1"/>
    <w:uiPriority w:val="34"/>
    <w:locked/>
    <w:rsid w:val="00475BBF"/>
  </w:style>
  <w:style w:type="table" w:styleId="ColorfulList-Accent1">
    <w:name w:val="Colorful List Accent 1"/>
    <w:basedOn w:val="TableNormal"/>
    <w:link w:val="ColorfulList-Accent1Char"/>
    <w:uiPriority w:val="34"/>
    <w:rsid w:val="00475BBF"/>
    <w:tblPr>
      <w:tblStyleRowBandSize w:val="1"/>
      <w:tblStyleColBandSize w:val="1"/>
    </w:tblPr>
    <w:tcPr>
      <w:shd w:val="clear" w:color="auto" w:fill="EDF2F8" w:themeFill="accent1" w:themeFillTint="19"/>
    </w:tcPr>
    <w:tblStylePr w:type="firstRow">
      <w:tblPr/>
      <w:tcPr>
        <w:tcBorders>
          <w:bottom w:val="single" w:sz="12" w:space="0" w:color="FFFFFF" w:themeColor="background1"/>
        </w:tcBorders>
        <w:shd w:val="clear" w:color="auto" w:fill="9E3A38"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AU" w:eastAsia="en-AU" w:bidi="ar-SA"/>
      </w:rPr>
    </w:rPrDefault>
    <w:pPrDefault/>
  </w:docDefaults>
  <w:latentStyles w:defLockedState="1" w:defUIPriority="99" w:defSemiHidden="1" w:defUnhideWhenUsed="1" w:defQFormat="0" w:count="267">
    <w:lsdException w:name="Normal" w:locked="0" w:semiHidden="0" w:uiPriority="0" w:unhideWhenUsed="0" w:qFormat="1"/>
    <w:lsdException w:name="heading 1" w:locked="0" w:semiHidden="0" w:unhideWhenUsed="0" w:qFormat="1"/>
    <w:lsdException w:name="heading 2" w:locked="0" w:semiHidden="0" w:uiPriority="0" w:unhideWhenUsed="0" w:qFormat="1"/>
    <w:lsdException w:name="heading 3" w:locked="0" w:semiHidden="0" w:unhideWhenUsed="0" w:qFormat="1"/>
    <w:lsdException w:name="heading 4" w:locked="0" w:semiHidden="0" w:uiPriority="9" w:unhideWhenUsed="0" w:qFormat="1"/>
    <w:lsdException w:name="heading 5" w:locked="0" w:semiHidden="0" w:unhideWhenUsed="0" w:qFormat="1"/>
    <w:lsdException w:name="heading 6" w:locked="0" w:semiHidden="0" w:uiPriority="9" w:unhideWhenUsed="0" w:qFormat="1"/>
    <w:lsdException w:name="heading 7" w:locked="0" w:semiHidden="0" w:unhideWhenUsed="0" w:qFormat="1"/>
    <w:lsdException w:name="heading 8" w:locked="0" w:semiHidden="0" w:unhideWhenUsed="0" w:qFormat="1"/>
    <w:lsdException w:name="heading 9" w:locked="0" w:semiHidden="0" w:unhideWhenUsed="0" w:qFormat="1"/>
    <w:lsdException w:name="toc 1" w:uiPriority="39" w:qFormat="1"/>
    <w:lsdException w:name="toc 2" w:uiPriority="39" w:qFormat="1"/>
    <w:lsdException w:name="toc 3" w:uiPriority="39" w:qFormat="1"/>
    <w:lsdException w:name="toc 4" w:uiPriority="39"/>
    <w:lsdException w:name="toc 6" w:locked="0" w:semiHidden="0" w:uiPriority="0" w:unhideWhenUsed="0"/>
    <w:lsdException w:name="toc 7" w:locked="0" w:semiHidden="0" w:uiPriority="0" w:unhideWhenUsed="0"/>
    <w:lsdException w:name="toc 8" w:locked="0" w:semiHidden="0" w:uiPriority="0" w:unhideWhenUsed="0"/>
    <w:lsdException w:name="toc 9" w:locked="0" w:semiHidden="0" w:uiPriority="0" w:unhideWhenUsed="0"/>
    <w:lsdException w:name="caption" w:locked="0" w:semiHidden="0" w:uiPriority="35" w:unhideWhenUsed="0" w:qFormat="1"/>
    <w:lsdException w:name="footnote reference" w:uiPriority="0"/>
    <w:lsdException w:name="Title" w:locked="0" w:semiHidden="0" w:unhideWhenUsed="0"/>
    <w:lsdException w:name="Default Paragraph Font" w:locked="0" w:semiHidden="0" w:uiPriority="1" w:unhideWhenUsed="0"/>
    <w:lsdException w:name="Subtitle" w:locked="0" w:semiHidden="0" w:uiPriority="0" w:unhideWhenUsed="0"/>
    <w:lsdException w:name="Strong" w:locked="0" w:semiHidden="0" w:uiPriority="22" w:unhideWhenUsed="0" w:qFormat="1"/>
    <w:lsdException w:name="Emphasis" w:locked="0" w:semiHidden="0" w:uiPriority="20" w:unhideWhenUsed="0" w:qFormat="1"/>
    <w:lsdException w:name="Table Classic 1" w:uiPriority="0"/>
    <w:lsdException w:name="Table Grid" w:locked="0" w:semiHidden="0" w:uiPriority="59" w:unhideWhenUsed="0"/>
    <w:lsdException w:name="Placeholder Text" w:locked="0" w:unhideWhenUsed="0"/>
    <w:lsdException w:name="No Spacing" w:locked="0" w:semiHidden="0" w:unhideWhenUsed="0"/>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lsdException w:name="Intense Quote" w:locked="0" w:semiHidden="0" w:uiPriority="30" w:unhideWhenUsed="0"/>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lsdException w:name="Intense Emphasis" w:locked="0" w:semiHidden="0" w:uiPriority="21" w:unhideWhenUsed="0"/>
    <w:lsdException w:name="Subtle Reference" w:locked="0" w:semiHidden="0" w:uiPriority="31" w:unhideWhenUsed="0"/>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1825AB"/>
    <w:pPr>
      <w:spacing w:before="120" w:after="120"/>
      <w:jc w:val="both"/>
    </w:pPr>
    <w:rPr>
      <w:rFonts w:ascii="Arial" w:hAnsi="Arial"/>
      <w:szCs w:val="20"/>
      <w:lang w:val="en-GB" w:eastAsia="en-US"/>
    </w:rPr>
  </w:style>
  <w:style w:type="paragraph" w:styleId="Heading1">
    <w:name w:val="heading 1"/>
    <w:basedOn w:val="Normal"/>
    <w:next w:val="Normal"/>
    <w:link w:val="Heading1Char"/>
    <w:autoRedefine/>
    <w:uiPriority w:val="99"/>
    <w:qFormat/>
    <w:rsid w:val="008617A0"/>
    <w:pPr>
      <w:keepNext/>
      <w:pageBreakBefore/>
      <w:numPr>
        <w:numId w:val="42"/>
      </w:numPr>
      <w:spacing w:after="480"/>
      <w:outlineLvl w:val="0"/>
    </w:pPr>
    <w:rPr>
      <w:rFonts w:cs="Arial"/>
      <w:b/>
      <w:kern w:val="28"/>
      <w:sz w:val="36"/>
      <w:szCs w:val="28"/>
      <w:lang w:val="en-AU"/>
    </w:rPr>
  </w:style>
  <w:style w:type="paragraph" w:styleId="Heading2">
    <w:name w:val="heading 2"/>
    <w:aliases w:val="h2,2nd Level Heading"/>
    <w:basedOn w:val="Normal"/>
    <w:next w:val="Normal"/>
    <w:link w:val="Heading2Char1"/>
    <w:qFormat/>
    <w:rsid w:val="00CD2D89"/>
    <w:pPr>
      <w:keepNext/>
      <w:keepLines/>
      <w:numPr>
        <w:ilvl w:val="1"/>
        <w:numId w:val="42"/>
      </w:numPr>
      <w:spacing w:before="240"/>
      <w:outlineLvl w:val="1"/>
    </w:pPr>
    <w:rPr>
      <w:rFonts w:eastAsiaTheme="majorEastAsia" w:cstheme="majorBidi"/>
      <w:b/>
      <w:bCs/>
      <w:sz w:val="26"/>
      <w:szCs w:val="26"/>
      <w:lang w:val="en-AU"/>
    </w:rPr>
  </w:style>
  <w:style w:type="paragraph" w:styleId="Heading3">
    <w:name w:val="heading 3"/>
    <w:aliases w:val="3rd Level Heading"/>
    <w:basedOn w:val="Normal"/>
    <w:next w:val="Normal"/>
    <w:link w:val="Heading3Char"/>
    <w:autoRedefine/>
    <w:uiPriority w:val="99"/>
    <w:qFormat/>
    <w:rsid w:val="00A3042C"/>
    <w:pPr>
      <w:keepNext/>
      <w:numPr>
        <w:numId w:val="35"/>
      </w:numPr>
      <w:tabs>
        <w:tab w:val="left" w:pos="1260"/>
      </w:tabs>
      <w:outlineLvl w:val="2"/>
    </w:pPr>
    <w:rPr>
      <w:rFonts w:eastAsia="SimSun" w:cs="Arial"/>
      <w:b/>
      <w:sz w:val="24"/>
      <w:szCs w:val="24"/>
      <w:lang w:val="en-AU"/>
    </w:rPr>
  </w:style>
  <w:style w:type="paragraph" w:styleId="Heading4">
    <w:name w:val="heading 4"/>
    <w:aliases w:val="4th Level Heading"/>
    <w:basedOn w:val="Caption"/>
    <w:next w:val="Normal"/>
    <w:link w:val="Heading4Char"/>
    <w:uiPriority w:val="9"/>
    <w:qFormat/>
    <w:rsid w:val="0010223B"/>
    <w:pPr>
      <w:numPr>
        <w:ilvl w:val="3"/>
        <w:numId w:val="42"/>
      </w:numPr>
      <w:outlineLvl w:val="3"/>
    </w:pPr>
    <w:rPr>
      <w:i/>
      <w:sz w:val="22"/>
    </w:rPr>
  </w:style>
  <w:style w:type="paragraph" w:styleId="Heading5">
    <w:name w:val="heading 5"/>
    <w:basedOn w:val="Normal"/>
    <w:next w:val="Normal"/>
    <w:link w:val="Heading5Char"/>
    <w:autoRedefine/>
    <w:uiPriority w:val="99"/>
    <w:qFormat/>
    <w:rsid w:val="007F0719"/>
    <w:pPr>
      <w:keepNext/>
      <w:numPr>
        <w:ilvl w:val="4"/>
        <w:numId w:val="42"/>
      </w:numPr>
      <w:outlineLvl w:val="4"/>
    </w:pPr>
    <w:rPr>
      <w:rFonts w:ascii="Gill Sans MT" w:hAnsi="Gill Sans MT"/>
      <w:b/>
      <w:color w:val="000000"/>
    </w:rPr>
  </w:style>
  <w:style w:type="paragraph" w:styleId="Heading6">
    <w:name w:val="heading 6"/>
    <w:basedOn w:val="subappendix"/>
    <w:next w:val="Normal"/>
    <w:link w:val="Heading6Char"/>
    <w:uiPriority w:val="9"/>
    <w:qFormat/>
    <w:rsid w:val="007C2FD8"/>
    <w:pPr>
      <w:numPr>
        <w:numId w:val="0"/>
      </w:numPr>
      <w:ind w:left="426"/>
      <w:outlineLvl w:val="5"/>
    </w:pPr>
  </w:style>
  <w:style w:type="paragraph" w:styleId="Heading7">
    <w:name w:val="heading 7"/>
    <w:basedOn w:val="subappendix"/>
    <w:next w:val="Normal"/>
    <w:link w:val="Heading7Char"/>
    <w:uiPriority w:val="99"/>
    <w:qFormat/>
    <w:rsid w:val="00C85410"/>
    <w:pPr>
      <w:outlineLvl w:val="6"/>
    </w:pPr>
  </w:style>
  <w:style w:type="paragraph" w:styleId="Heading8">
    <w:name w:val="heading 8"/>
    <w:basedOn w:val="Normal"/>
    <w:next w:val="Normal"/>
    <w:link w:val="Heading8Char"/>
    <w:uiPriority w:val="99"/>
    <w:qFormat/>
    <w:rsid w:val="00B83AF2"/>
    <w:pPr>
      <w:numPr>
        <w:ilvl w:val="7"/>
        <w:numId w:val="42"/>
      </w:numPr>
      <w:spacing w:before="240" w:after="60"/>
      <w:outlineLvl w:val="7"/>
    </w:pPr>
    <w:rPr>
      <w:rFonts w:ascii="Calibri" w:hAnsi="Calibri"/>
      <w:i/>
      <w:iCs/>
      <w:sz w:val="24"/>
      <w:szCs w:val="24"/>
    </w:rPr>
  </w:style>
  <w:style w:type="paragraph" w:styleId="Heading9">
    <w:name w:val="heading 9"/>
    <w:basedOn w:val="Normal"/>
    <w:next w:val="Normal"/>
    <w:link w:val="Heading9Char"/>
    <w:uiPriority w:val="99"/>
    <w:qFormat/>
    <w:rsid w:val="00B83AF2"/>
    <w:pPr>
      <w:keepNext/>
      <w:numPr>
        <w:ilvl w:val="8"/>
        <w:numId w:val="42"/>
      </w:numPr>
      <w:outlineLvl w:val="8"/>
    </w:pPr>
    <w:rPr>
      <w:rFonts w:ascii="Cambria" w:hAnsi="Cambria"/>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8617A0"/>
    <w:rPr>
      <w:rFonts w:ascii="Arial" w:hAnsi="Arial" w:cs="Arial"/>
      <w:b/>
      <w:kern w:val="28"/>
      <w:sz w:val="36"/>
      <w:szCs w:val="28"/>
      <w:lang w:eastAsia="en-US"/>
    </w:rPr>
  </w:style>
  <w:style w:type="character" w:customStyle="1" w:styleId="Heading2Char">
    <w:name w:val="Heading 2 Char"/>
    <w:aliases w:val="h2 Char,2nd Level Heading Char"/>
    <w:basedOn w:val="DefaultParagraphFont"/>
    <w:locked/>
    <w:rsid w:val="002D1934"/>
    <w:rPr>
      <w:rFonts w:ascii="Arial" w:hAnsi="Arial"/>
      <w:b/>
      <w:color w:val="000000" w:themeColor="text1"/>
      <w:sz w:val="28"/>
      <w:szCs w:val="20"/>
      <w:lang w:val="en-GB" w:eastAsia="en-US"/>
    </w:rPr>
  </w:style>
  <w:style w:type="character" w:customStyle="1" w:styleId="Heading3Char">
    <w:name w:val="Heading 3 Char"/>
    <w:aliases w:val="3rd Level Heading Char"/>
    <w:basedOn w:val="DefaultParagraphFont"/>
    <w:link w:val="Heading3"/>
    <w:uiPriority w:val="99"/>
    <w:locked/>
    <w:rsid w:val="00A3042C"/>
    <w:rPr>
      <w:rFonts w:ascii="Arial" w:eastAsia="SimSun" w:hAnsi="Arial" w:cs="Arial"/>
      <w:b/>
      <w:sz w:val="24"/>
      <w:szCs w:val="24"/>
      <w:lang w:eastAsia="en-US"/>
    </w:rPr>
  </w:style>
  <w:style w:type="character" w:customStyle="1" w:styleId="Heading4Char">
    <w:name w:val="Heading 4 Char"/>
    <w:aliases w:val="4th Level Heading Char"/>
    <w:basedOn w:val="DefaultParagraphFont"/>
    <w:link w:val="Heading4"/>
    <w:uiPriority w:val="9"/>
    <w:locked/>
    <w:rsid w:val="0010223B"/>
    <w:rPr>
      <w:rFonts w:ascii="Arial" w:eastAsia="SimSun" w:hAnsi="Arial"/>
      <w:i/>
      <w:lang w:val="en-US" w:eastAsia="en-US"/>
    </w:rPr>
  </w:style>
  <w:style w:type="character" w:customStyle="1" w:styleId="Heading5Char">
    <w:name w:val="Heading 5 Char"/>
    <w:basedOn w:val="DefaultParagraphFont"/>
    <w:link w:val="Heading5"/>
    <w:uiPriority w:val="99"/>
    <w:locked/>
    <w:rsid w:val="007F0719"/>
    <w:rPr>
      <w:rFonts w:ascii="Gill Sans MT" w:hAnsi="Gill Sans MT"/>
      <w:b/>
      <w:color w:val="000000"/>
      <w:szCs w:val="20"/>
      <w:lang w:val="en-GB" w:eastAsia="en-US"/>
    </w:rPr>
  </w:style>
  <w:style w:type="character" w:customStyle="1" w:styleId="Heading6Char">
    <w:name w:val="Heading 6 Char"/>
    <w:basedOn w:val="DefaultParagraphFont"/>
    <w:link w:val="Heading6"/>
    <w:uiPriority w:val="9"/>
    <w:locked/>
    <w:rsid w:val="007C2FD8"/>
    <w:rPr>
      <w:rFonts w:ascii="Arial" w:hAnsi="Arial"/>
      <w:b/>
      <w:sz w:val="28"/>
      <w:szCs w:val="20"/>
      <w:lang w:val="en-GB" w:eastAsia="en-US"/>
    </w:rPr>
  </w:style>
  <w:style w:type="character" w:customStyle="1" w:styleId="Heading7Char">
    <w:name w:val="Heading 7 Char"/>
    <w:basedOn w:val="DefaultParagraphFont"/>
    <w:link w:val="Heading7"/>
    <w:uiPriority w:val="99"/>
    <w:locked/>
    <w:rsid w:val="00C85410"/>
    <w:rPr>
      <w:rFonts w:ascii="Arial" w:hAnsi="Arial"/>
      <w:b/>
      <w:sz w:val="28"/>
      <w:szCs w:val="20"/>
      <w:lang w:val="en-GB" w:eastAsia="en-US"/>
    </w:rPr>
  </w:style>
  <w:style w:type="character" w:customStyle="1" w:styleId="Heading8Char">
    <w:name w:val="Heading 8 Char"/>
    <w:basedOn w:val="DefaultParagraphFont"/>
    <w:link w:val="Heading8"/>
    <w:uiPriority w:val="99"/>
    <w:locked/>
    <w:rsid w:val="00D24E49"/>
    <w:rPr>
      <w:rFonts w:ascii="Calibri" w:hAnsi="Calibri"/>
      <w:i/>
      <w:iCs/>
      <w:sz w:val="24"/>
      <w:szCs w:val="24"/>
      <w:lang w:val="en-GB" w:eastAsia="en-US"/>
    </w:rPr>
  </w:style>
  <w:style w:type="character" w:customStyle="1" w:styleId="Heading9Char">
    <w:name w:val="Heading 9 Char"/>
    <w:basedOn w:val="DefaultParagraphFont"/>
    <w:link w:val="Heading9"/>
    <w:uiPriority w:val="99"/>
    <w:locked/>
    <w:rsid w:val="00D24E49"/>
    <w:rPr>
      <w:rFonts w:ascii="Cambria" w:hAnsi="Cambria"/>
      <w:sz w:val="20"/>
      <w:szCs w:val="20"/>
      <w:lang w:val="en-GB" w:eastAsia="en-US"/>
    </w:rPr>
  </w:style>
  <w:style w:type="paragraph" w:customStyle="1" w:styleId="References">
    <w:name w:val="References"/>
    <w:basedOn w:val="Normal"/>
    <w:rsid w:val="002D39EC"/>
    <w:pPr>
      <w:ind w:left="288" w:hanging="288"/>
    </w:pPr>
    <w:rPr>
      <w:szCs w:val="22"/>
      <w:lang w:val="en-AU"/>
    </w:rPr>
  </w:style>
  <w:style w:type="character" w:styleId="CommentReference">
    <w:name w:val="annotation reference"/>
    <w:basedOn w:val="DefaultParagraphFont"/>
    <w:uiPriority w:val="99"/>
    <w:rsid w:val="00CE562E"/>
    <w:rPr>
      <w:rFonts w:cs="Times New Roman"/>
      <w:sz w:val="28"/>
    </w:rPr>
  </w:style>
  <w:style w:type="paragraph" w:styleId="CommentText">
    <w:name w:val="annotation text"/>
    <w:basedOn w:val="Normal"/>
    <w:link w:val="CommentTextChar"/>
    <w:uiPriority w:val="99"/>
    <w:rsid w:val="00F82F18"/>
    <w:pPr>
      <w:numPr>
        <w:numId w:val="1"/>
      </w:numPr>
    </w:pPr>
    <w:rPr>
      <w:rFonts w:ascii="Gill Sans MT" w:hAnsi="Gill Sans MT"/>
      <w:sz w:val="20"/>
      <w:lang w:val="en-AU" w:eastAsia="en-AU"/>
    </w:rPr>
  </w:style>
  <w:style w:type="character" w:customStyle="1" w:styleId="CommentTextChar">
    <w:name w:val="Comment Text Char"/>
    <w:basedOn w:val="DefaultParagraphFont"/>
    <w:link w:val="CommentText"/>
    <w:uiPriority w:val="99"/>
    <w:locked/>
    <w:rsid w:val="001B0F0D"/>
    <w:rPr>
      <w:rFonts w:ascii="Gill Sans MT" w:hAnsi="Gill Sans MT"/>
      <w:sz w:val="20"/>
      <w:szCs w:val="20"/>
    </w:rPr>
  </w:style>
  <w:style w:type="paragraph" w:styleId="Footer">
    <w:name w:val="footer"/>
    <w:basedOn w:val="Normal"/>
    <w:link w:val="FooterChar"/>
    <w:uiPriority w:val="99"/>
    <w:rsid w:val="00F82F18"/>
    <w:pPr>
      <w:tabs>
        <w:tab w:val="center" w:pos="4153"/>
        <w:tab w:val="right" w:pos="8306"/>
      </w:tabs>
      <w:spacing w:line="320" w:lineRule="exact"/>
    </w:pPr>
    <w:rPr>
      <w:rFonts w:ascii="Gill Sans MT" w:hAnsi="Gill Sans MT"/>
      <w:sz w:val="20"/>
    </w:rPr>
  </w:style>
  <w:style w:type="character" w:customStyle="1" w:styleId="FooterChar">
    <w:name w:val="Footer Char"/>
    <w:basedOn w:val="DefaultParagraphFont"/>
    <w:link w:val="Footer"/>
    <w:uiPriority w:val="99"/>
    <w:locked/>
    <w:rsid w:val="00D24E49"/>
    <w:rPr>
      <w:rFonts w:ascii="Gill Sans MT" w:hAnsi="Gill Sans MT" w:cs="Times New Roman"/>
      <w:sz w:val="20"/>
      <w:lang w:val="en-GB" w:eastAsia="en-US"/>
    </w:rPr>
  </w:style>
  <w:style w:type="paragraph" w:customStyle="1" w:styleId="Reportsummary">
    <w:name w:val="Report summary"/>
    <w:basedOn w:val="Normal"/>
    <w:uiPriority w:val="99"/>
    <w:rsid w:val="00454E56"/>
    <w:pPr>
      <w:tabs>
        <w:tab w:val="num" w:pos="432"/>
      </w:tabs>
      <w:spacing w:after="240"/>
      <w:ind w:left="432" w:hanging="432"/>
    </w:pPr>
    <w:rPr>
      <w:sz w:val="24"/>
    </w:rPr>
  </w:style>
  <w:style w:type="paragraph" w:customStyle="1" w:styleId="Reportrefs">
    <w:name w:val="Report refs"/>
    <w:basedOn w:val="Normal"/>
    <w:uiPriority w:val="99"/>
    <w:rsid w:val="00454E56"/>
    <w:pPr>
      <w:spacing w:after="180"/>
      <w:ind w:left="432" w:hanging="432"/>
    </w:pPr>
    <w:rPr>
      <w:sz w:val="24"/>
    </w:rPr>
  </w:style>
  <w:style w:type="paragraph" w:styleId="TOC4">
    <w:name w:val="toc 4"/>
    <w:basedOn w:val="Normal"/>
    <w:next w:val="Normal"/>
    <w:autoRedefine/>
    <w:uiPriority w:val="39"/>
    <w:rsid w:val="00AF7697"/>
    <w:pPr>
      <w:tabs>
        <w:tab w:val="left" w:pos="1440"/>
        <w:tab w:val="right" w:leader="dot" w:pos="9072"/>
      </w:tabs>
      <w:ind w:left="567"/>
    </w:pPr>
    <w:rPr>
      <w:noProof/>
      <w:szCs w:val="24"/>
      <w:lang w:val="en-AU"/>
    </w:rPr>
  </w:style>
  <w:style w:type="paragraph" w:customStyle="1" w:styleId="Figure">
    <w:name w:val="Figure"/>
    <w:basedOn w:val="Normal"/>
    <w:link w:val="FigureChar"/>
    <w:qFormat/>
    <w:rsid w:val="00A073A3"/>
    <w:rPr>
      <w:rFonts w:ascii="Arial Narrow" w:hAnsi="Arial Narrow"/>
    </w:rPr>
  </w:style>
  <w:style w:type="character" w:customStyle="1" w:styleId="FigureChar">
    <w:name w:val="Figure Char"/>
    <w:link w:val="Figure"/>
    <w:locked/>
    <w:rsid w:val="003E6AF6"/>
    <w:rPr>
      <w:rFonts w:ascii="Arial Narrow" w:hAnsi="Arial Narrow"/>
      <w:sz w:val="22"/>
      <w:lang w:val="en-GB" w:eastAsia="en-US"/>
    </w:rPr>
  </w:style>
  <w:style w:type="paragraph" w:customStyle="1" w:styleId="Table">
    <w:name w:val="Table"/>
    <w:basedOn w:val="Normal"/>
    <w:link w:val="TableChar"/>
    <w:rsid w:val="00812140"/>
    <w:rPr>
      <w:rFonts w:ascii="Arial Narrow" w:hAnsi="Arial Narrow"/>
    </w:rPr>
  </w:style>
  <w:style w:type="character" w:customStyle="1" w:styleId="TableChar">
    <w:name w:val="Table Char"/>
    <w:link w:val="Table"/>
    <w:locked/>
    <w:rsid w:val="003E6AF6"/>
    <w:rPr>
      <w:rFonts w:ascii="Arial Narrow" w:hAnsi="Arial Narrow"/>
      <w:sz w:val="22"/>
      <w:lang w:val="en-GB" w:eastAsia="en-US"/>
    </w:rPr>
  </w:style>
  <w:style w:type="paragraph" w:customStyle="1" w:styleId="Infopage">
    <w:name w:val="Info page"/>
    <w:basedOn w:val="Normal"/>
    <w:uiPriority w:val="99"/>
    <w:rsid w:val="00F50990"/>
    <w:rPr>
      <w:rFonts w:ascii="Arial Narrow" w:hAnsi="Arial Narrow"/>
      <w:szCs w:val="22"/>
    </w:rPr>
  </w:style>
  <w:style w:type="paragraph" w:styleId="TOC1">
    <w:name w:val="toc 1"/>
    <w:basedOn w:val="Normal"/>
    <w:next w:val="Normal"/>
    <w:autoRedefine/>
    <w:uiPriority w:val="39"/>
    <w:qFormat/>
    <w:rsid w:val="00EA3274"/>
    <w:rPr>
      <w:noProof/>
    </w:rPr>
  </w:style>
  <w:style w:type="paragraph" w:customStyle="1" w:styleId="TableContents">
    <w:name w:val="Table Contents"/>
    <w:basedOn w:val="Normal"/>
    <w:uiPriority w:val="99"/>
    <w:rsid w:val="00454E56"/>
    <w:pPr>
      <w:suppressLineNumbers/>
      <w:suppressAutoHyphens/>
      <w:spacing w:after="142" w:line="276" w:lineRule="auto"/>
    </w:pPr>
    <w:rPr>
      <w:rFonts w:ascii="Trebuchet MS" w:hAnsi="Trebuchet MS"/>
      <w:sz w:val="21"/>
      <w:lang w:val="en-US"/>
    </w:rPr>
  </w:style>
  <w:style w:type="paragraph" w:styleId="NormalWeb">
    <w:name w:val="Normal (Web)"/>
    <w:basedOn w:val="Normal"/>
    <w:uiPriority w:val="99"/>
    <w:rsid w:val="00B83AF2"/>
    <w:pPr>
      <w:spacing w:before="100" w:beforeAutospacing="1" w:after="100" w:afterAutospacing="1"/>
    </w:pPr>
    <w:rPr>
      <w:rFonts w:ascii="Times New Roman" w:hAnsi="Times New Roman"/>
      <w:sz w:val="24"/>
      <w:szCs w:val="24"/>
      <w:lang w:val="en-AU" w:eastAsia="en-AU"/>
    </w:rPr>
  </w:style>
  <w:style w:type="character" w:styleId="Hyperlink">
    <w:name w:val="Hyperlink"/>
    <w:basedOn w:val="DefaultParagraphFont"/>
    <w:uiPriority w:val="99"/>
    <w:rsid w:val="00B83AF2"/>
    <w:rPr>
      <w:rFonts w:cs="Times New Roman"/>
      <w:color w:val="0000FF"/>
      <w:u w:val="single"/>
    </w:rPr>
  </w:style>
  <w:style w:type="paragraph" w:customStyle="1" w:styleId="name1">
    <w:name w:val="name1"/>
    <w:basedOn w:val="Normal"/>
    <w:uiPriority w:val="99"/>
    <w:rsid w:val="00B83AF2"/>
    <w:pPr>
      <w:keepNext/>
      <w:tabs>
        <w:tab w:val="left" w:pos="284"/>
        <w:tab w:val="left" w:pos="567"/>
        <w:tab w:val="left" w:pos="851"/>
        <w:tab w:val="left" w:pos="1134"/>
      </w:tabs>
    </w:pPr>
    <w:rPr>
      <w:rFonts w:eastAsia="MS Mincho"/>
      <w:b/>
      <w:sz w:val="20"/>
      <w:lang w:val="en-AU"/>
    </w:rPr>
  </w:style>
  <w:style w:type="paragraph" w:styleId="DocumentMap">
    <w:name w:val="Document Map"/>
    <w:basedOn w:val="Normal"/>
    <w:link w:val="DocumentMapChar"/>
    <w:uiPriority w:val="99"/>
    <w:semiHidden/>
    <w:rsid w:val="00EB03E8"/>
    <w:pPr>
      <w:shd w:val="clear" w:color="auto" w:fill="000080"/>
    </w:pPr>
    <w:rPr>
      <w:rFonts w:ascii="Times New Roman" w:hAnsi="Times New Roman"/>
      <w:sz w:val="2"/>
    </w:rPr>
  </w:style>
  <w:style w:type="character" w:customStyle="1" w:styleId="DocumentMapChar">
    <w:name w:val="Document Map Char"/>
    <w:basedOn w:val="DefaultParagraphFont"/>
    <w:link w:val="DocumentMap"/>
    <w:uiPriority w:val="99"/>
    <w:semiHidden/>
    <w:locked/>
    <w:rsid w:val="00D24E49"/>
    <w:rPr>
      <w:rFonts w:cs="Times New Roman"/>
      <w:sz w:val="2"/>
      <w:lang w:val="en-GB" w:eastAsia="en-US"/>
    </w:rPr>
  </w:style>
  <w:style w:type="paragraph" w:styleId="BalloonText">
    <w:name w:val="Balloon Text"/>
    <w:basedOn w:val="Normal"/>
    <w:link w:val="BalloonTextChar"/>
    <w:uiPriority w:val="99"/>
    <w:rsid w:val="00CE562E"/>
    <w:rPr>
      <w:rFonts w:ascii="Times New Roman" w:hAnsi="Times New Roman"/>
      <w:sz w:val="16"/>
    </w:rPr>
  </w:style>
  <w:style w:type="character" w:customStyle="1" w:styleId="BalloonTextChar">
    <w:name w:val="Balloon Text Char"/>
    <w:basedOn w:val="DefaultParagraphFont"/>
    <w:link w:val="BalloonText"/>
    <w:uiPriority w:val="99"/>
    <w:locked/>
    <w:rsid w:val="00CE562E"/>
    <w:rPr>
      <w:rFonts w:cs="Times New Roman"/>
      <w:sz w:val="16"/>
      <w:lang w:val="en-GB" w:eastAsia="en-US"/>
    </w:rPr>
  </w:style>
  <w:style w:type="paragraph" w:styleId="Title">
    <w:name w:val="Title"/>
    <w:basedOn w:val="Normal"/>
    <w:link w:val="TitleChar"/>
    <w:uiPriority w:val="99"/>
    <w:rsid w:val="00FD46A2"/>
    <w:pPr>
      <w:jc w:val="center"/>
    </w:pPr>
    <w:rPr>
      <w:rFonts w:ascii="Cambria" w:hAnsi="Cambria"/>
      <w:b/>
      <w:bCs/>
      <w:kern w:val="28"/>
      <w:sz w:val="32"/>
      <w:szCs w:val="32"/>
    </w:rPr>
  </w:style>
  <w:style w:type="character" w:customStyle="1" w:styleId="TitleChar">
    <w:name w:val="Title Char"/>
    <w:basedOn w:val="DefaultParagraphFont"/>
    <w:link w:val="Title"/>
    <w:uiPriority w:val="99"/>
    <w:locked/>
    <w:rsid w:val="00D24E49"/>
    <w:rPr>
      <w:rFonts w:ascii="Cambria" w:hAnsi="Cambria" w:cs="Times New Roman"/>
      <w:b/>
      <w:kern w:val="28"/>
      <w:sz w:val="32"/>
      <w:lang w:val="en-GB" w:eastAsia="en-US"/>
    </w:rPr>
  </w:style>
  <w:style w:type="character" w:styleId="PageNumber">
    <w:name w:val="page number"/>
    <w:basedOn w:val="DefaultParagraphFont"/>
    <w:uiPriority w:val="99"/>
    <w:rsid w:val="00FD46A2"/>
    <w:rPr>
      <w:rFonts w:cs="Times New Roman"/>
    </w:rPr>
  </w:style>
  <w:style w:type="paragraph" w:styleId="TOC2">
    <w:name w:val="toc 2"/>
    <w:basedOn w:val="Normal"/>
    <w:next w:val="Normal"/>
    <w:autoRedefine/>
    <w:uiPriority w:val="39"/>
    <w:qFormat/>
    <w:rsid w:val="004A699B"/>
    <w:pPr>
      <w:ind w:left="220"/>
    </w:pPr>
  </w:style>
  <w:style w:type="paragraph" w:styleId="TOC3">
    <w:name w:val="toc 3"/>
    <w:basedOn w:val="Normal"/>
    <w:next w:val="Normal"/>
    <w:autoRedefine/>
    <w:uiPriority w:val="39"/>
    <w:qFormat/>
    <w:rsid w:val="005C54B4"/>
    <w:pPr>
      <w:tabs>
        <w:tab w:val="left" w:pos="880"/>
        <w:tab w:val="right" w:leader="dot" w:pos="9061"/>
      </w:tabs>
      <w:ind w:left="567"/>
      <w:jc w:val="left"/>
    </w:pPr>
  </w:style>
  <w:style w:type="paragraph" w:styleId="TOC5">
    <w:name w:val="toc 5"/>
    <w:basedOn w:val="Normal"/>
    <w:next w:val="Normal"/>
    <w:autoRedefine/>
    <w:uiPriority w:val="99"/>
    <w:rsid w:val="004A699B"/>
    <w:pPr>
      <w:ind w:left="880"/>
    </w:pPr>
  </w:style>
  <w:style w:type="paragraph" w:customStyle="1" w:styleId="StyleTitleOptimum">
    <w:name w:val="Style Title + Optimum"/>
    <w:basedOn w:val="Title"/>
    <w:uiPriority w:val="99"/>
    <w:rsid w:val="00FD46A2"/>
    <w:rPr>
      <w:rFonts w:ascii="Arial Black" w:hAnsi="Arial Black"/>
      <w:b w:val="0"/>
    </w:rPr>
  </w:style>
  <w:style w:type="paragraph" w:customStyle="1" w:styleId="StyleHeading5Optimum">
    <w:name w:val="Style Heading 5 + Optimum"/>
    <w:basedOn w:val="Heading5"/>
    <w:uiPriority w:val="99"/>
    <w:rsid w:val="00FD46A2"/>
    <w:pPr>
      <w:spacing w:after="60"/>
    </w:pPr>
    <w:rPr>
      <w:bCs/>
      <w:i/>
      <w:sz w:val="32"/>
    </w:rPr>
  </w:style>
  <w:style w:type="paragraph" w:customStyle="1" w:styleId="StyleHeading4After6pt">
    <w:name w:val="Style Heading 4 + After:  6 pt"/>
    <w:basedOn w:val="Heading4"/>
    <w:uiPriority w:val="99"/>
    <w:rsid w:val="00FD46A2"/>
    <w:rPr>
      <w:b/>
      <w:bCs/>
      <w:i w:val="0"/>
      <w:iCs/>
    </w:rPr>
  </w:style>
  <w:style w:type="character" w:customStyle="1" w:styleId="pubref">
    <w:name w:val="pubref"/>
    <w:rsid w:val="00FD46A2"/>
  </w:style>
  <w:style w:type="paragraph" w:styleId="FootnoteText">
    <w:name w:val="footnote text"/>
    <w:basedOn w:val="Normal"/>
    <w:link w:val="FootnoteTextChar"/>
    <w:uiPriority w:val="99"/>
    <w:rsid w:val="00FD46A2"/>
    <w:rPr>
      <w:rFonts w:ascii="Gill Sans MT" w:hAnsi="Gill Sans MT"/>
      <w:sz w:val="20"/>
    </w:rPr>
  </w:style>
  <w:style w:type="character" w:customStyle="1" w:styleId="FootnoteTextChar">
    <w:name w:val="Footnote Text Char"/>
    <w:basedOn w:val="DefaultParagraphFont"/>
    <w:link w:val="FootnoteText"/>
    <w:uiPriority w:val="99"/>
    <w:locked/>
    <w:rsid w:val="00D24E49"/>
    <w:rPr>
      <w:rFonts w:ascii="Gill Sans MT" w:hAnsi="Gill Sans MT" w:cs="Times New Roman"/>
      <w:sz w:val="20"/>
      <w:lang w:val="en-GB" w:eastAsia="en-US"/>
    </w:rPr>
  </w:style>
  <w:style w:type="paragraph" w:styleId="ListBullet2">
    <w:name w:val="List Bullet 2"/>
    <w:basedOn w:val="Normal"/>
    <w:uiPriority w:val="99"/>
    <w:rsid w:val="00FD46A2"/>
    <w:pPr>
      <w:tabs>
        <w:tab w:val="num" w:pos="432"/>
      </w:tabs>
      <w:ind w:left="432" w:hanging="432"/>
    </w:pPr>
    <w:rPr>
      <w:rFonts w:ascii="Optimum" w:hAnsi="Optimum"/>
      <w:szCs w:val="24"/>
      <w:lang w:val="en-AU"/>
    </w:rPr>
  </w:style>
  <w:style w:type="paragraph" w:styleId="PlainText">
    <w:name w:val="Plain Text"/>
    <w:basedOn w:val="Normal"/>
    <w:link w:val="PlainTextChar"/>
    <w:uiPriority w:val="99"/>
    <w:rsid w:val="00FD46A2"/>
    <w:rPr>
      <w:rFonts w:ascii="Courier New" w:hAnsi="Courier New"/>
      <w:sz w:val="20"/>
    </w:rPr>
  </w:style>
  <w:style w:type="character" w:customStyle="1" w:styleId="PlainTextChar">
    <w:name w:val="Plain Text Char"/>
    <w:basedOn w:val="DefaultParagraphFont"/>
    <w:link w:val="PlainText"/>
    <w:uiPriority w:val="99"/>
    <w:locked/>
    <w:rsid w:val="00D24E49"/>
    <w:rPr>
      <w:rFonts w:ascii="Courier New" w:hAnsi="Courier New" w:cs="Times New Roman"/>
      <w:sz w:val="20"/>
      <w:lang w:val="en-GB" w:eastAsia="en-US"/>
    </w:rPr>
  </w:style>
  <w:style w:type="paragraph" w:customStyle="1" w:styleId="references0">
    <w:name w:val="references"/>
    <w:basedOn w:val="Normal"/>
    <w:uiPriority w:val="99"/>
    <w:rsid w:val="00FD46A2"/>
    <w:pPr>
      <w:spacing w:before="100" w:beforeAutospacing="1" w:after="100" w:afterAutospacing="1"/>
    </w:pPr>
    <w:rPr>
      <w:rFonts w:ascii="Arial Unicode MS" w:eastAsia="Arial Unicode MS" w:hAnsi="Arial Unicode MS" w:cs="Arial Unicode MS"/>
      <w:sz w:val="24"/>
      <w:szCs w:val="24"/>
      <w:lang w:val="en-AU"/>
    </w:rPr>
  </w:style>
  <w:style w:type="paragraph" w:customStyle="1" w:styleId="Heading54">
    <w:name w:val="Heading 54"/>
    <w:basedOn w:val="Heading5"/>
    <w:uiPriority w:val="99"/>
    <w:rsid w:val="00FD46A2"/>
    <w:pPr>
      <w:keepNext w:val="0"/>
      <w:spacing w:before="240" w:after="60"/>
    </w:pPr>
    <w:rPr>
      <w:rFonts w:ascii="Times New Roman" w:hAnsi="Times New Roman"/>
      <w:bCs/>
      <w:i/>
      <w:iCs/>
      <w:sz w:val="24"/>
      <w:szCs w:val="24"/>
      <w:u w:val="single"/>
      <w:lang w:val="en-AU"/>
    </w:rPr>
  </w:style>
  <w:style w:type="paragraph" w:customStyle="1" w:styleId="xl551">
    <w:name w:val="xl551"/>
    <w:basedOn w:val="Normal"/>
    <w:uiPriority w:val="99"/>
    <w:rsid w:val="00FD46A2"/>
    <w:pPr>
      <w:pBdr>
        <w:top w:val="single" w:sz="8" w:space="0" w:color="auto"/>
        <w:left w:val="single" w:sz="8" w:space="0" w:color="auto"/>
        <w:right w:val="single" w:sz="4" w:space="0" w:color="C0C0C0"/>
      </w:pBdr>
      <w:spacing w:before="100" w:beforeAutospacing="1" w:after="100" w:afterAutospacing="1"/>
      <w:jc w:val="center"/>
      <w:textAlignment w:val="center"/>
    </w:pPr>
    <w:rPr>
      <w:rFonts w:eastAsia="Arial Unicode MS" w:cs="Arial"/>
      <w:color w:val="000000"/>
      <w:sz w:val="18"/>
      <w:szCs w:val="18"/>
      <w:lang w:val="en-AU"/>
    </w:rPr>
  </w:style>
  <w:style w:type="paragraph" w:customStyle="1" w:styleId="xl741">
    <w:name w:val="xl741"/>
    <w:basedOn w:val="Normal"/>
    <w:uiPriority w:val="99"/>
    <w:rsid w:val="00FD46A2"/>
    <w:pPr>
      <w:pBdr>
        <w:bottom w:val="single" w:sz="8" w:space="0" w:color="auto"/>
      </w:pBdr>
      <w:spacing w:before="100" w:beforeAutospacing="1" w:after="100" w:afterAutospacing="1"/>
    </w:pPr>
    <w:rPr>
      <w:rFonts w:ascii="Arial Unicode MS" w:eastAsia="Arial Unicode MS" w:hAnsi="Arial Unicode MS" w:cs="Arial Unicode MS"/>
      <w:sz w:val="24"/>
      <w:szCs w:val="24"/>
      <w:lang w:val="en-AU"/>
    </w:rPr>
  </w:style>
  <w:style w:type="paragraph" w:customStyle="1" w:styleId="xl251">
    <w:name w:val="xl251"/>
    <w:basedOn w:val="Normal"/>
    <w:uiPriority w:val="99"/>
    <w:rsid w:val="00FD46A2"/>
    <w:pPr>
      <w:spacing w:before="100" w:beforeAutospacing="1" w:after="100" w:afterAutospacing="1"/>
      <w:jc w:val="center"/>
      <w:textAlignment w:val="center"/>
    </w:pPr>
    <w:rPr>
      <w:rFonts w:eastAsia="Arial Unicode MS" w:cs="Arial"/>
      <w:sz w:val="16"/>
      <w:szCs w:val="16"/>
      <w:lang w:val="en-AU"/>
    </w:rPr>
  </w:style>
  <w:style w:type="character" w:styleId="Strong">
    <w:name w:val="Strong"/>
    <w:basedOn w:val="DefaultParagraphFont"/>
    <w:uiPriority w:val="22"/>
    <w:qFormat/>
    <w:rsid w:val="00FD46A2"/>
    <w:rPr>
      <w:rFonts w:cs="Times New Roman"/>
      <w:b/>
    </w:rPr>
  </w:style>
  <w:style w:type="paragraph" w:customStyle="1" w:styleId="Style2">
    <w:name w:val="Style2"/>
    <w:basedOn w:val="Heading5"/>
    <w:uiPriority w:val="99"/>
    <w:rsid w:val="00FD46A2"/>
    <w:pPr>
      <w:keepNext w:val="0"/>
      <w:spacing w:before="240" w:after="60"/>
    </w:pPr>
    <w:rPr>
      <w:rFonts w:ascii="Times New Roman" w:hAnsi="Times New Roman"/>
      <w:bCs/>
      <w:i/>
      <w:iCs/>
      <w:sz w:val="24"/>
      <w:szCs w:val="24"/>
      <w:u w:val="single"/>
      <w:lang w:val="en-AU"/>
    </w:rPr>
  </w:style>
  <w:style w:type="paragraph" w:customStyle="1" w:styleId="Style3">
    <w:name w:val="Style3"/>
    <w:basedOn w:val="Heading5"/>
    <w:uiPriority w:val="99"/>
    <w:rsid w:val="00FD46A2"/>
    <w:pPr>
      <w:keepNext w:val="0"/>
      <w:spacing w:before="240" w:after="60"/>
    </w:pPr>
    <w:rPr>
      <w:rFonts w:ascii="Times New Roman" w:hAnsi="Times New Roman"/>
      <w:bCs/>
      <w:i/>
      <w:iCs/>
      <w:sz w:val="24"/>
      <w:szCs w:val="24"/>
      <w:u w:val="single"/>
      <w:lang w:val="en-AU"/>
    </w:rPr>
  </w:style>
  <w:style w:type="paragraph" w:customStyle="1" w:styleId="Style4">
    <w:name w:val="Style4"/>
    <w:basedOn w:val="Heading5"/>
    <w:autoRedefine/>
    <w:uiPriority w:val="99"/>
    <w:rsid w:val="00FD46A2"/>
    <w:pPr>
      <w:keepNext w:val="0"/>
      <w:spacing w:before="240" w:after="60"/>
    </w:pPr>
    <w:rPr>
      <w:rFonts w:ascii="Times New Roman" w:hAnsi="Times New Roman"/>
      <w:bCs/>
      <w:i/>
      <w:iCs/>
      <w:sz w:val="24"/>
      <w:szCs w:val="24"/>
      <w:u w:val="single"/>
      <w:lang w:val="en-AU"/>
    </w:rPr>
  </w:style>
  <w:style w:type="paragraph" w:styleId="BodyTextIndent">
    <w:name w:val="Body Text Indent"/>
    <w:basedOn w:val="Normal"/>
    <w:link w:val="BodyTextIndentChar"/>
    <w:uiPriority w:val="99"/>
    <w:rsid w:val="00FD46A2"/>
    <w:pPr>
      <w:ind w:left="283"/>
    </w:pPr>
    <w:rPr>
      <w:rFonts w:ascii="Gill Sans MT" w:hAnsi="Gill Sans MT"/>
      <w:sz w:val="20"/>
    </w:rPr>
  </w:style>
  <w:style w:type="character" w:customStyle="1" w:styleId="BodyTextIndentChar">
    <w:name w:val="Body Text Indent Char"/>
    <w:basedOn w:val="DefaultParagraphFont"/>
    <w:link w:val="BodyTextIndent"/>
    <w:uiPriority w:val="99"/>
    <w:locked/>
    <w:rsid w:val="00D24E49"/>
    <w:rPr>
      <w:rFonts w:ascii="Gill Sans MT" w:hAnsi="Gill Sans MT" w:cs="Times New Roman"/>
      <w:sz w:val="20"/>
      <w:lang w:val="en-GB" w:eastAsia="en-US"/>
    </w:rPr>
  </w:style>
  <w:style w:type="paragraph" w:customStyle="1" w:styleId="TOCfig-table">
    <w:name w:val="TOC fig-table"/>
    <w:basedOn w:val="Normal"/>
    <w:uiPriority w:val="99"/>
    <w:rsid w:val="00FD46A2"/>
    <w:pPr>
      <w:tabs>
        <w:tab w:val="left" w:pos="1152"/>
        <w:tab w:val="right" w:leader="dot" w:pos="8640"/>
      </w:tabs>
      <w:ind w:left="1152" w:right="720" w:hanging="1152"/>
    </w:pPr>
    <w:rPr>
      <w:b/>
      <w:sz w:val="20"/>
    </w:rPr>
  </w:style>
  <w:style w:type="table" w:styleId="TableGrid">
    <w:name w:val="Table Grid"/>
    <w:basedOn w:val="TableNormal"/>
    <w:uiPriority w:val="59"/>
    <w:rsid w:val="00FD46A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rsid w:val="00EA3274"/>
    <w:pPr>
      <w:tabs>
        <w:tab w:val="right" w:leader="dot" w:pos="9061"/>
      </w:tabs>
      <w:ind w:left="440" w:hanging="440"/>
    </w:pPr>
    <w:rPr>
      <w:bCs/>
      <w:noProof/>
      <w:sz w:val="20"/>
    </w:rPr>
  </w:style>
  <w:style w:type="paragraph" w:styleId="Header">
    <w:name w:val="header"/>
    <w:basedOn w:val="Normal"/>
    <w:link w:val="HeaderChar"/>
    <w:uiPriority w:val="99"/>
    <w:rsid w:val="00E24E44"/>
    <w:pPr>
      <w:pBdr>
        <w:bottom w:val="single" w:sz="4" w:space="1" w:color="auto"/>
      </w:pBdr>
      <w:tabs>
        <w:tab w:val="right" w:pos="8496"/>
      </w:tabs>
    </w:pPr>
    <w:rPr>
      <w:rFonts w:ascii="Gill Sans MT" w:hAnsi="Gill Sans MT"/>
      <w:sz w:val="20"/>
    </w:rPr>
  </w:style>
  <w:style w:type="character" w:customStyle="1" w:styleId="HeaderChar">
    <w:name w:val="Header Char"/>
    <w:basedOn w:val="DefaultParagraphFont"/>
    <w:link w:val="Header"/>
    <w:uiPriority w:val="99"/>
    <w:locked/>
    <w:rsid w:val="00D24E49"/>
    <w:rPr>
      <w:rFonts w:ascii="Gill Sans MT" w:hAnsi="Gill Sans MT" w:cs="Times New Roman"/>
      <w:sz w:val="20"/>
      <w:lang w:val="en-GB" w:eastAsia="en-US"/>
    </w:rPr>
  </w:style>
  <w:style w:type="paragraph" w:customStyle="1" w:styleId="Head4">
    <w:name w:val="Head 4"/>
    <w:basedOn w:val="Heading3"/>
    <w:uiPriority w:val="99"/>
    <w:rsid w:val="00E24E44"/>
    <w:pPr>
      <w:spacing w:after="240"/>
      <w:outlineLvl w:val="9"/>
    </w:pPr>
    <w:rPr>
      <w:b w:val="0"/>
      <w:smallCaps/>
      <w:sz w:val="22"/>
      <w:u w:val="single"/>
    </w:rPr>
  </w:style>
  <w:style w:type="paragraph" w:customStyle="1" w:styleId="Bodytxt">
    <w:name w:val="Body txt"/>
    <w:basedOn w:val="Normal"/>
    <w:uiPriority w:val="99"/>
    <w:rsid w:val="00E24E44"/>
    <w:pPr>
      <w:spacing w:line="320" w:lineRule="exact"/>
    </w:pPr>
  </w:style>
  <w:style w:type="paragraph" w:styleId="BodyText">
    <w:name w:val="Body Text"/>
    <w:basedOn w:val="Normal"/>
    <w:link w:val="BodyTextChar"/>
    <w:uiPriority w:val="99"/>
    <w:rsid w:val="00E24E44"/>
    <w:pPr>
      <w:autoSpaceDE w:val="0"/>
      <w:autoSpaceDN w:val="0"/>
      <w:adjustRightInd w:val="0"/>
      <w:spacing w:line="360" w:lineRule="auto"/>
    </w:pPr>
    <w:rPr>
      <w:rFonts w:ascii="Gill Sans MT" w:hAnsi="Gill Sans MT"/>
      <w:sz w:val="20"/>
    </w:rPr>
  </w:style>
  <w:style w:type="character" w:customStyle="1" w:styleId="BodyTextChar">
    <w:name w:val="Body Text Char"/>
    <w:basedOn w:val="DefaultParagraphFont"/>
    <w:link w:val="BodyText"/>
    <w:uiPriority w:val="99"/>
    <w:locked/>
    <w:rsid w:val="00D24E49"/>
    <w:rPr>
      <w:rFonts w:ascii="Gill Sans MT" w:hAnsi="Gill Sans MT" w:cs="Times New Roman"/>
      <w:sz w:val="20"/>
      <w:lang w:val="en-GB" w:eastAsia="en-US"/>
    </w:rPr>
  </w:style>
  <w:style w:type="character" w:customStyle="1" w:styleId="CharChar">
    <w:name w:val="Char Char"/>
    <w:uiPriority w:val="99"/>
    <w:rsid w:val="00E24E44"/>
    <w:rPr>
      <w:rFonts w:ascii="Arial" w:hAnsi="Arial"/>
      <w:b/>
      <w:kern w:val="32"/>
      <w:sz w:val="32"/>
      <w:lang w:val="en-AU" w:eastAsia="en-US"/>
    </w:rPr>
  </w:style>
  <w:style w:type="paragraph" w:styleId="BodyTextIndent2">
    <w:name w:val="Body Text Indent 2"/>
    <w:basedOn w:val="Normal"/>
    <w:link w:val="BodyTextIndent2Char"/>
    <w:uiPriority w:val="99"/>
    <w:rsid w:val="00E24E44"/>
    <w:pPr>
      <w:tabs>
        <w:tab w:val="left" w:pos="993"/>
      </w:tabs>
      <w:ind w:left="1704" w:hanging="1704"/>
    </w:pPr>
    <w:rPr>
      <w:rFonts w:ascii="Gill Sans MT" w:hAnsi="Gill Sans MT"/>
      <w:sz w:val="20"/>
    </w:rPr>
  </w:style>
  <w:style w:type="character" w:customStyle="1" w:styleId="BodyTextIndent2Char">
    <w:name w:val="Body Text Indent 2 Char"/>
    <w:basedOn w:val="DefaultParagraphFont"/>
    <w:link w:val="BodyTextIndent2"/>
    <w:uiPriority w:val="99"/>
    <w:locked/>
    <w:rsid w:val="00D24E49"/>
    <w:rPr>
      <w:rFonts w:ascii="Gill Sans MT" w:hAnsi="Gill Sans MT" w:cs="Times New Roman"/>
      <w:sz w:val="20"/>
      <w:lang w:val="en-GB" w:eastAsia="en-US"/>
    </w:rPr>
  </w:style>
  <w:style w:type="character" w:customStyle="1" w:styleId="CaptionChar">
    <w:name w:val="Caption Char"/>
    <w:aliases w:val="Caption Char Char Char,Caption Char1 Char,Caption Char4 Char1 Char,Caption Char1 Char5 Char Char,Caption Char4 Char Char2 Char Char,Caption Char1 Char2 Char Char4 Char Char,Caption Char4 Char Char Char1 Char2 Char Char,Tables Char"/>
    <w:uiPriority w:val="35"/>
    <w:rsid w:val="00E24E44"/>
    <w:rPr>
      <w:rFonts w:eastAsia="SimSun"/>
      <w:sz w:val="24"/>
      <w:lang w:val="en-GB" w:eastAsia="en-US"/>
    </w:rPr>
  </w:style>
  <w:style w:type="paragraph" w:styleId="BodyText2">
    <w:name w:val="Body Text 2"/>
    <w:basedOn w:val="Normal"/>
    <w:link w:val="BodyText2Char"/>
    <w:uiPriority w:val="99"/>
    <w:rsid w:val="00E24E44"/>
    <w:pPr>
      <w:spacing w:line="480" w:lineRule="auto"/>
    </w:pPr>
    <w:rPr>
      <w:rFonts w:ascii="Times New Roman" w:hAnsi="Times New Roman"/>
      <w:sz w:val="24"/>
      <w:szCs w:val="24"/>
      <w:lang w:val="en-AU"/>
    </w:rPr>
  </w:style>
  <w:style w:type="character" w:customStyle="1" w:styleId="BodyText2Char">
    <w:name w:val="Body Text 2 Char"/>
    <w:basedOn w:val="DefaultParagraphFont"/>
    <w:link w:val="BodyText2"/>
    <w:uiPriority w:val="99"/>
    <w:locked/>
    <w:rsid w:val="00E24E44"/>
    <w:rPr>
      <w:rFonts w:cs="Times New Roman"/>
      <w:sz w:val="24"/>
      <w:lang w:val="en-AU" w:eastAsia="en-US"/>
    </w:rPr>
  </w:style>
  <w:style w:type="character" w:styleId="Emphasis">
    <w:name w:val="Emphasis"/>
    <w:basedOn w:val="DefaultParagraphFont"/>
    <w:uiPriority w:val="20"/>
    <w:qFormat/>
    <w:rsid w:val="00E24E44"/>
    <w:rPr>
      <w:rFonts w:cs="Times New Roman"/>
      <w:i/>
    </w:rPr>
  </w:style>
  <w:style w:type="character" w:customStyle="1" w:styleId="CharChar1">
    <w:name w:val="Char Char1"/>
    <w:uiPriority w:val="99"/>
    <w:rsid w:val="00E24E44"/>
    <w:rPr>
      <w:rFonts w:ascii="Arial" w:eastAsia="MS Mincho" w:hAnsi="Arial"/>
      <w:b/>
      <w:kern w:val="32"/>
      <w:sz w:val="32"/>
      <w:lang w:val="en-AU" w:eastAsia="ja-JP"/>
    </w:rPr>
  </w:style>
  <w:style w:type="paragraph" w:styleId="BodyTextIndent3">
    <w:name w:val="Body Text Indent 3"/>
    <w:basedOn w:val="Normal"/>
    <w:link w:val="BodyTextIndent3Char"/>
    <w:uiPriority w:val="99"/>
    <w:rsid w:val="00E24E44"/>
    <w:pPr>
      <w:ind w:left="283"/>
    </w:pPr>
    <w:rPr>
      <w:rFonts w:ascii="Gill Sans MT" w:hAnsi="Gill Sans MT"/>
      <w:sz w:val="16"/>
      <w:szCs w:val="16"/>
    </w:rPr>
  </w:style>
  <w:style w:type="character" w:customStyle="1" w:styleId="BodyTextIndent3Char">
    <w:name w:val="Body Text Indent 3 Char"/>
    <w:basedOn w:val="DefaultParagraphFont"/>
    <w:link w:val="BodyTextIndent3"/>
    <w:uiPriority w:val="99"/>
    <w:locked/>
    <w:rsid w:val="00D24E49"/>
    <w:rPr>
      <w:rFonts w:ascii="Gill Sans MT" w:hAnsi="Gill Sans MT" w:cs="Times New Roman"/>
      <w:sz w:val="16"/>
      <w:lang w:val="en-GB" w:eastAsia="en-US"/>
    </w:rPr>
  </w:style>
  <w:style w:type="paragraph" w:styleId="CommentSubject">
    <w:name w:val="annotation subject"/>
    <w:basedOn w:val="CommentText"/>
    <w:next w:val="CommentText"/>
    <w:link w:val="CommentSubjectChar"/>
    <w:uiPriority w:val="99"/>
    <w:semiHidden/>
    <w:rsid w:val="00E24E44"/>
    <w:rPr>
      <w:b/>
      <w:bCs/>
    </w:rPr>
  </w:style>
  <w:style w:type="character" w:customStyle="1" w:styleId="CommentSubjectChar">
    <w:name w:val="Comment Subject Char"/>
    <w:basedOn w:val="CommentTextChar"/>
    <w:link w:val="CommentSubject"/>
    <w:uiPriority w:val="99"/>
    <w:semiHidden/>
    <w:locked/>
    <w:rsid w:val="00D24E49"/>
    <w:rPr>
      <w:rFonts w:ascii="Gill Sans MT" w:hAnsi="Gill Sans MT"/>
      <w:b/>
      <w:bCs/>
      <w:sz w:val="20"/>
      <w:szCs w:val="20"/>
    </w:rPr>
  </w:style>
  <w:style w:type="paragraph" w:styleId="Caption">
    <w:name w:val="caption"/>
    <w:aliases w:val="Figures,Caption Char Char,Caption Char1,Caption Char4 Char1,Caption Char1 Char5 Char,Caption Char4 Char Char2 Char,Caption Char1 Char2 Char Char4 Char,Caption Char4 Char Char Char1 Char2 Char,Caption Char1 Char Char Char1 Char Char3 Char,Tables"/>
    <w:basedOn w:val="Normal"/>
    <w:next w:val="Normal"/>
    <w:autoRedefine/>
    <w:uiPriority w:val="35"/>
    <w:qFormat/>
    <w:rsid w:val="0012424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ind w:right="232"/>
    </w:pPr>
    <w:rPr>
      <w:rFonts w:eastAsia="SimSun"/>
      <w:sz w:val="18"/>
      <w:szCs w:val="22"/>
      <w:lang w:val="en-US"/>
    </w:rPr>
  </w:style>
  <w:style w:type="paragraph" w:customStyle="1" w:styleId="Captions">
    <w:name w:val="Captions"/>
    <w:basedOn w:val="Normal"/>
    <w:uiPriority w:val="99"/>
    <w:semiHidden/>
    <w:rsid w:val="00E24E44"/>
    <w:rPr>
      <w:rFonts w:ascii="Times New Roman" w:hAnsi="Times New Roman"/>
      <w:i/>
      <w:sz w:val="24"/>
      <w:szCs w:val="24"/>
      <w:lang w:val="en-AU"/>
    </w:rPr>
  </w:style>
  <w:style w:type="paragraph" w:customStyle="1" w:styleId="Pa3">
    <w:name w:val="Pa3"/>
    <w:basedOn w:val="Normal"/>
    <w:next w:val="Normal"/>
    <w:uiPriority w:val="99"/>
    <w:rsid w:val="00E24E44"/>
    <w:pPr>
      <w:autoSpaceDE w:val="0"/>
      <w:autoSpaceDN w:val="0"/>
      <w:adjustRightInd w:val="0"/>
      <w:spacing w:line="161" w:lineRule="atLeast"/>
    </w:pPr>
    <w:rPr>
      <w:rFonts w:ascii="Minion Pro" w:eastAsia="MS Mincho" w:hAnsi="Minion Pro"/>
      <w:sz w:val="24"/>
      <w:szCs w:val="24"/>
      <w:lang w:val="en-AU" w:eastAsia="ja-JP"/>
    </w:rPr>
  </w:style>
  <w:style w:type="character" w:customStyle="1" w:styleId="A3">
    <w:name w:val="A3"/>
    <w:uiPriority w:val="99"/>
    <w:rsid w:val="00E24E44"/>
    <w:rPr>
      <w:color w:val="221E1F"/>
      <w:sz w:val="22"/>
    </w:rPr>
  </w:style>
  <w:style w:type="paragraph" w:customStyle="1" w:styleId="default">
    <w:name w:val="default"/>
    <w:basedOn w:val="Normal"/>
    <w:uiPriority w:val="99"/>
    <w:rsid w:val="00E24E44"/>
    <w:pPr>
      <w:autoSpaceDE w:val="0"/>
      <w:autoSpaceDN w:val="0"/>
    </w:pPr>
    <w:rPr>
      <w:rFonts w:ascii="Times New Roman" w:eastAsia="MS Mincho" w:hAnsi="Times New Roman"/>
      <w:color w:val="000000"/>
      <w:sz w:val="24"/>
      <w:szCs w:val="24"/>
      <w:lang w:val="en-AU" w:eastAsia="ja-JP"/>
    </w:rPr>
  </w:style>
  <w:style w:type="character" w:customStyle="1" w:styleId="ant1">
    <w:name w:val="ant1"/>
    <w:uiPriority w:val="99"/>
    <w:rsid w:val="00E561B0"/>
  </w:style>
  <w:style w:type="paragraph" w:customStyle="1" w:styleId="table0">
    <w:name w:val="table"/>
    <w:basedOn w:val="Normal"/>
    <w:uiPriority w:val="99"/>
    <w:rsid w:val="00312ADA"/>
    <w:rPr>
      <w:rFonts w:ascii="Arial Narrow" w:hAnsi="Arial Narrow"/>
      <w:szCs w:val="22"/>
      <w:lang w:val="en-AU" w:eastAsia="en-AU"/>
    </w:rPr>
  </w:style>
  <w:style w:type="character" w:styleId="FootnoteReference">
    <w:name w:val="footnote reference"/>
    <w:aliases w:val="Footnote symbol"/>
    <w:basedOn w:val="DefaultParagraphFont"/>
    <w:rsid w:val="00CC1124"/>
    <w:rPr>
      <w:rFonts w:cs="Times New Roman"/>
      <w:vertAlign w:val="superscript"/>
    </w:rPr>
  </w:style>
  <w:style w:type="character" w:customStyle="1" w:styleId="authors5">
    <w:name w:val="authors5"/>
    <w:uiPriority w:val="99"/>
    <w:rsid w:val="00337D61"/>
  </w:style>
  <w:style w:type="character" w:styleId="FollowedHyperlink">
    <w:name w:val="FollowedHyperlink"/>
    <w:basedOn w:val="DefaultParagraphFont"/>
    <w:uiPriority w:val="99"/>
    <w:rsid w:val="00A67D00"/>
    <w:rPr>
      <w:rFonts w:cs="Times New Roman"/>
      <w:color w:val="800080"/>
      <w:u w:val="single"/>
    </w:rPr>
  </w:style>
  <w:style w:type="paragraph" w:styleId="ListParagraph">
    <w:name w:val="List Paragraph"/>
    <w:basedOn w:val="Normal"/>
    <w:link w:val="ListParagraphChar"/>
    <w:uiPriority w:val="34"/>
    <w:qFormat/>
    <w:rsid w:val="00C05902"/>
    <w:pPr>
      <w:ind w:left="720"/>
      <w:contextualSpacing/>
    </w:pPr>
    <w:rPr>
      <w:szCs w:val="24"/>
      <w:lang w:eastAsia="en-GB"/>
    </w:rPr>
  </w:style>
  <w:style w:type="paragraph" w:customStyle="1" w:styleId="Default0">
    <w:name w:val="Default"/>
    <w:rsid w:val="00857BA7"/>
    <w:pPr>
      <w:autoSpaceDE w:val="0"/>
      <w:autoSpaceDN w:val="0"/>
      <w:adjustRightInd w:val="0"/>
    </w:pPr>
    <w:rPr>
      <w:rFonts w:ascii="Calibri" w:hAnsi="Calibri" w:cs="Calibri"/>
      <w:color w:val="000000"/>
      <w:sz w:val="24"/>
      <w:szCs w:val="24"/>
      <w:lang w:val="en-GB" w:eastAsia="en-GB"/>
    </w:rPr>
  </w:style>
  <w:style w:type="paragraph" w:styleId="Revision">
    <w:name w:val="Revision"/>
    <w:hidden/>
    <w:uiPriority w:val="99"/>
    <w:semiHidden/>
    <w:rsid w:val="00B62BC0"/>
    <w:rPr>
      <w:rFonts w:ascii="Gill Sans MT" w:hAnsi="Gill Sans MT"/>
      <w:szCs w:val="20"/>
      <w:lang w:val="en-GB" w:eastAsia="en-US"/>
    </w:rPr>
  </w:style>
  <w:style w:type="paragraph" w:styleId="NoSpacing">
    <w:name w:val="No Spacing"/>
    <w:link w:val="NoSpacingChar"/>
    <w:uiPriority w:val="99"/>
    <w:rsid w:val="0034322A"/>
    <w:rPr>
      <w:rFonts w:ascii="Gill Sans MT" w:hAnsi="Gill Sans MT"/>
      <w:szCs w:val="20"/>
      <w:lang w:val="en-GB" w:eastAsia="en-US"/>
    </w:rPr>
  </w:style>
  <w:style w:type="character" w:customStyle="1" w:styleId="Heading2Char1">
    <w:name w:val="Heading 2 Char1"/>
    <w:aliases w:val="h2 Char1,2nd Level Heading Char1"/>
    <w:basedOn w:val="DefaultParagraphFont"/>
    <w:link w:val="Heading2"/>
    <w:rsid w:val="00CD2D89"/>
    <w:rPr>
      <w:rFonts w:ascii="Arial" w:eastAsiaTheme="majorEastAsia" w:hAnsi="Arial" w:cstheme="majorBidi"/>
      <w:b/>
      <w:bCs/>
      <w:sz w:val="26"/>
      <w:szCs w:val="26"/>
      <w:lang w:eastAsia="en-US"/>
    </w:rPr>
  </w:style>
  <w:style w:type="character" w:styleId="SubtleReference">
    <w:name w:val="Subtle Reference"/>
    <w:basedOn w:val="DefaultParagraphFont"/>
    <w:uiPriority w:val="31"/>
    <w:rsid w:val="00A74428"/>
    <w:rPr>
      <w:rFonts w:ascii="Arial Narrow" w:hAnsi="Arial Narrow"/>
      <w:smallCaps/>
      <w:color w:val="000000" w:themeColor="text1"/>
      <w:sz w:val="20"/>
      <w:u w:val="none"/>
    </w:rPr>
  </w:style>
  <w:style w:type="character" w:styleId="IntenseReference">
    <w:name w:val="Intense Reference"/>
    <w:aliases w:val="fig tab body"/>
    <w:basedOn w:val="FigureChar"/>
    <w:uiPriority w:val="32"/>
    <w:qFormat/>
    <w:rsid w:val="00403971"/>
    <w:rPr>
      <w:rFonts w:ascii="Arial" w:hAnsi="Arial"/>
      <w:b w:val="0"/>
      <w:bCs/>
      <w:caps w:val="0"/>
      <w:smallCaps w:val="0"/>
      <w:color w:val="000000" w:themeColor="text1"/>
      <w:spacing w:val="0"/>
      <w:w w:val="100"/>
      <w:sz w:val="18"/>
      <w:u w:val="none"/>
      <w:lang w:val="en-GB" w:eastAsia="en-US"/>
    </w:rPr>
  </w:style>
  <w:style w:type="character" w:customStyle="1" w:styleId="cit-issue1">
    <w:name w:val="cit-issue1"/>
    <w:basedOn w:val="DefaultParagraphFont"/>
    <w:rsid w:val="00554D92"/>
    <w:rPr>
      <w:vanish/>
      <w:webHidden w:val="0"/>
      <w:specVanish w:val="0"/>
    </w:rPr>
  </w:style>
  <w:style w:type="character" w:customStyle="1" w:styleId="cit-vol2">
    <w:name w:val="cit-vol2"/>
    <w:basedOn w:val="DefaultParagraphFont"/>
    <w:rsid w:val="00554D92"/>
  </w:style>
  <w:style w:type="character" w:customStyle="1" w:styleId="cit-elocation">
    <w:name w:val="cit-elocation"/>
    <w:basedOn w:val="DefaultParagraphFont"/>
    <w:rsid w:val="00554D92"/>
  </w:style>
  <w:style w:type="character" w:customStyle="1" w:styleId="cit-sep2">
    <w:name w:val="cit-sep2"/>
    <w:basedOn w:val="DefaultParagraphFont"/>
    <w:rsid w:val="00554D92"/>
  </w:style>
  <w:style w:type="character" w:customStyle="1" w:styleId="cit-doi3">
    <w:name w:val="cit-doi3"/>
    <w:basedOn w:val="DefaultParagraphFont"/>
    <w:rsid w:val="00554D92"/>
  </w:style>
  <w:style w:type="character" w:customStyle="1" w:styleId="ListParagraphChar">
    <w:name w:val="List Paragraph Char"/>
    <w:basedOn w:val="DefaultParagraphFont"/>
    <w:link w:val="ListParagraph"/>
    <w:uiPriority w:val="34"/>
    <w:locked/>
    <w:rsid w:val="00C05902"/>
    <w:rPr>
      <w:rFonts w:ascii="Arial" w:hAnsi="Arial"/>
      <w:szCs w:val="24"/>
      <w:lang w:val="en-GB" w:eastAsia="en-GB"/>
    </w:rPr>
  </w:style>
  <w:style w:type="paragraph" w:styleId="Bibliography">
    <w:name w:val="Bibliography"/>
    <w:basedOn w:val="Normal"/>
    <w:next w:val="Normal"/>
    <w:uiPriority w:val="37"/>
    <w:unhideWhenUsed/>
    <w:rsid w:val="007D0E38"/>
  </w:style>
  <w:style w:type="paragraph" w:styleId="BlockText">
    <w:name w:val="Block Text"/>
    <w:basedOn w:val="Normal"/>
    <w:uiPriority w:val="99"/>
    <w:unhideWhenUsed/>
    <w:locked/>
    <w:rsid w:val="007D0E38"/>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3">
    <w:name w:val="Body Text 3"/>
    <w:basedOn w:val="Normal"/>
    <w:link w:val="BodyText3Char"/>
    <w:uiPriority w:val="99"/>
    <w:unhideWhenUsed/>
    <w:locked/>
    <w:rsid w:val="007D0E38"/>
    <w:rPr>
      <w:sz w:val="16"/>
      <w:szCs w:val="16"/>
    </w:rPr>
  </w:style>
  <w:style w:type="character" w:customStyle="1" w:styleId="BodyText3Char">
    <w:name w:val="Body Text 3 Char"/>
    <w:basedOn w:val="DefaultParagraphFont"/>
    <w:link w:val="BodyText3"/>
    <w:uiPriority w:val="99"/>
    <w:rsid w:val="007D0E38"/>
    <w:rPr>
      <w:rFonts w:ascii="Arial" w:hAnsi="Arial"/>
      <w:sz w:val="16"/>
      <w:szCs w:val="16"/>
      <w:lang w:val="en-GB" w:eastAsia="en-US"/>
    </w:rPr>
  </w:style>
  <w:style w:type="paragraph" w:styleId="BodyTextFirstIndent">
    <w:name w:val="Body Text First Indent"/>
    <w:basedOn w:val="BodyText"/>
    <w:link w:val="BodyTextFirstIndentChar"/>
    <w:uiPriority w:val="99"/>
    <w:semiHidden/>
    <w:unhideWhenUsed/>
    <w:locked/>
    <w:rsid w:val="007D0E38"/>
    <w:pPr>
      <w:autoSpaceDE/>
      <w:autoSpaceDN/>
      <w:adjustRightInd/>
      <w:spacing w:line="240" w:lineRule="auto"/>
      <w:ind w:firstLine="360"/>
    </w:pPr>
    <w:rPr>
      <w:rFonts w:ascii="Arial" w:hAnsi="Arial"/>
      <w:sz w:val="22"/>
    </w:rPr>
  </w:style>
  <w:style w:type="character" w:customStyle="1" w:styleId="BodyTextFirstIndentChar">
    <w:name w:val="Body Text First Indent Char"/>
    <w:basedOn w:val="BodyTextChar"/>
    <w:link w:val="BodyTextFirstIndent"/>
    <w:uiPriority w:val="99"/>
    <w:semiHidden/>
    <w:rsid w:val="007D0E38"/>
    <w:rPr>
      <w:rFonts w:ascii="Arial" w:hAnsi="Arial" w:cs="Times New Roman"/>
      <w:sz w:val="20"/>
      <w:szCs w:val="20"/>
      <w:lang w:val="en-GB" w:eastAsia="en-US"/>
    </w:rPr>
  </w:style>
  <w:style w:type="paragraph" w:styleId="BodyTextFirstIndent2">
    <w:name w:val="Body Text First Indent 2"/>
    <w:basedOn w:val="BodyTextIndent"/>
    <w:link w:val="BodyTextFirstIndent2Char"/>
    <w:uiPriority w:val="99"/>
    <w:semiHidden/>
    <w:unhideWhenUsed/>
    <w:locked/>
    <w:rsid w:val="007D0E38"/>
    <w:pPr>
      <w:spacing w:after="0"/>
      <w:ind w:left="360" w:firstLine="360"/>
    </w:pPr>
    <w:rPr>
      <w:rFonts w:ascii="Arial" w:hAnsi="Arial"/>
      <w:sz w:val="22"/>
    </w:rPr>
  </w:style>
  <w:style w:type="character" w:customStyle="1" w:styleId="BodyTextFirstIndent2Char">
    <w:name w:val="Body Text First Indent 2 Char"/>
    <w:basedOn w:val="BodyTextIndentChar"/>
    <w:link w:val="BodyTextFirstIndent2"/>
    <w:uiPriority w:val="99"/>
    <w:semiHidden/>
    <w:rsid w:val="007D0E38"/>
    <w:rPr>
      <w:rFonts w:ascii="Arial" w:hAnsi="Arial" w:cs="Times New Roman"/>
      <w:sz w:val="20"/>
      <w:szCs w:val="20"/>
      <w:lang w:val="en-GB" w:eastAsia="en-US"/>
    </w:rPr>
  </w:style>
  <w:style w:type="paragraph" w:styleId="Closing">
    <w:name w:val="Closing"/>
    <w:basedOn w:val="Normal"/>
    <w:link w:val="ClosingChar"/>
    <w:uiPriority w:val="99"/>
    <w:semiHidden/>
    <w:unhideWhenUsed/>
    <w:locked/>
    <w:rsid w:val="007D0E38"/>
    <w:pPr>
      <w:ind w:left="4252"/>
    </w:pPr>
  </w:style>
  <w:style w:type="character" w:customStyle="1" w:styleId="ClosingChar">
    <w:name w:val="Closing Char"/>
    <w:basedOn w:val="DefaultParagraphFont"/>
    <w:link w:val="Closing"/>
    <w:uiPriority w:val="99"/>
    <w:semiHidden/>
    <w:rsid w:val="007D0E38"/>
    <w:rPr>
      <w:rFonts w:ascii="Arial" w:hAnsi="Arial"/>
      <w:szCs w:val="20"/>
      <w:lang w:val="en-GB" w:eastAsia="en-US"/>
    </w:rPr>
  </w:style>
  <w:style w:type="paragraph" w:styleId="Date">
    <w:name w:val="Date"/>
    <w:basedOn w:val="Normal"/>
    <w:next w:val="Normal"/>
    <w:link w:val="DateChar"/>
    <w:uiPriority w:val="99"/>
    <w:unhideWhenUsed/>
    <w:locked/>
    <w:rsid w:val="007D0E38"/>
  </w:style>
  <w:style w:type="character" w:customStyle="1" w:styleId="DateChar">
    <w:name w:val="Date Char"/>
    <w:basedOn w:val="DefaultParagraphFont"/>
    <w:link w:val="Date"/>
    <w:uiPriority w:val="99"/>
    <w:rsid w:val="007D0E38"/>
    <w:rPr>
      <w:rFonts w:ascii="Arial" w:hAnsi="Arial"/>
      <w:szCs w:val="20"/>
      <w:lang w:val="en-GB" w:eastAsia="en-US"/>
    </w:rPr>
  </w:style>
  <w:style w:type="paragraph" w:styleId="E-mailSignature">
    <w:name w:val="E-mail Signature"/>
    <w:basedOn w:val="Normal"/>
    <w:link w:val="E-mailSignatureChar"/>
    <w:uiPriority w:val="99"/>
    <w:semiHidden/>
    <w:unhideWhenUsed/>
    <w:locked/>
    <w:rsid w:val="007D0E38"/>
  </w:style>
  <w:style w:type="character" w:customStyle="1" w:styleId="E-mailSignatureChar">
    <w:name w:val="E-mail Signature Char"/>
    <w:basedOn w:val="DefaultParagraphFont"/>
    <w:link w:val="E-mailSignature"/>
    <w:uiPriority w:val="99"/>
    <w:semiHidden/>
    <w:rsid w:val="007D0E38"/>
    <w:rPr>
      <w:rFonts w:ascii="Arial" w:hAnsi="Arial"/>
      <w:szCs w:val="20"/>
      <w:lang w:val="en-GB" w:eastAsia="en-US"/>
    </w:rPr>
  </w:style>
  <w:style w:type="paragraph" w:styleId="EndnoteText">
    <w:name w:val="endnote text"/>
    <w:basedOn w:val="Normal"/>
    <w:link w:val="EndnoteTextChar"/>
    <w:uiPriority w:val="99"/>
    <w:semiHidden/>
    <w:unhideWhenUsed/>
    <w:locked/>
    <w:rsid w:val="007D0E38"/>
    <w:rPr>
      <w:sz w:val="20"/>
    </w:rPr>
  </w:style>
  <w:style w:type="character" w:customStyle="1" w:styleId="EndnoteTextChar">
    <w:name w:val="Endnote Text Char"/>
    <w:basedOn w:val="DefaultParagraphFont"/>
    <w:link w:val="EndnoteText"/>
    <w:uiPriority w:val="99"/>
    <w:semiHidden/>
    <w:rsid w:val="007D0E38"/>
    <w:rPr>
      <w:rFonts w:ascii="Arial" w:hAnsi="Arial"/>
      <w:sz w:val="20"/>
      <w:szCs w:val="20"/>
      <w:lang w:val="en-GB" w:eastAsia="en-US"/>
    </w:rPr>
  </w:style>
  <w:style w:type="paragraph" w:styleId="EnvelopeAddress">
    <w:name w:val="envelope address"/>
    <w:basedOn w:val="Normal"/>
    <w:uiPriority w:val="99"/>
    <w:semiHidden/>
    <w:unhideWhenUsed/>
    <w:locked/>
    <w:rsid w:val="007D0E38"/>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locked/>
    <w:rsid w:val="007D0E38"/>
    <w:rPr>
      <w:rFonts w:asciiTheme="majorHAnsi" w:eastAsiaTheme="majorEastAsia" w:hAnsiTheme="majorHAnsi" w:cstheme="majorBidi"/>
      <w:sz w:val="20"/>
    </w:rPr>
  </w:style>
  <w:style w:type="paragraph" w:styleId="HTMLAddress">
    <w:name w:val="HTML Address"/>
    <w:basedOn w:val="Normal"/>
    <w:link w:val="HTMLAddressChar"/>
    <w:uiPriority w:val="99"/>
    <w:semiHidden/>
    <w:unhideWhenUsed/>
    <w:locked/>
    <w:rsid w:val="007D0E38"/>
    <w:rPr>
      <w:i/>
      <w:iCs/>
    </w:rPr>
  </w:style>
  <w:style w:type="character" w:customStyle="1" w:styleId="HTMLAddressChar">
    <w:name w:val="HTML Address Char"/>
    <w:basedOn w:val="DefaultParagraphFont"/>
    <w:link w:val="HTMLAddress"/>
    <w:uiPriority w:val="99"/>
    <w:semiHidden/>
    <w:rsid w:val="007D0E38"/>
    <w:rPr>
      <w:rFonts w:ascii="Arial" w:hAnsi="Arial"/>
      <w:i/>
      <w:iCs/>
      <w:szCs w:val="20"/>
      <w:lang w:val="en-GB" w:eastAsia="en-US"/>
    </w:rPr>
  </w:style>
  <w:style w:type="paragraph" w:styleId="HTMLPreformatted">
    <w:name w:val="HTML Preformatted"/>
    <w:basedOn w:val="Normal"/>
    <w:link w:val="HTMLPreformattedChar"/>
    <w:uiPriority w:val="99"/>
    <w:unhideWhenUsed/>
    <w:locked/>
    <w:rsid w:val="007D0E38"/>
    <w:rPr>
      <w:rFonts w:ascii="Consolas" w:hAnsi="Consolas" w:cs="Consolas"/>
      <w:sz w:val="20"/>
    </w:rPr>
  </w:style>
  <w:style w:type="character" w:customStyle="1" w:styleId="HTMLPreformattedChar">
    <w:name w:val="HTML Preformatted Char"/>
    <w:basedOn w:val="DefaultParagraphFont"/>
    <w:link w:val="HTMLPreformatted"/>
    <w:uiPriority w:val="99"/>
    <w:rsid w:val="007D0E38"/>
    <w:rPr>
      <w:rFonts w:ascii="Consolas" w:hAnsi="Consolas" w:cs="Consolas"/>
      <w:sz w:val="20"/>
      <w:szCs w:val="20"/>
      <w:lang w:val="en-GB" w:eastAsia="en-US"/>
    </w:rPr>
  </w:style>
  <w:style w:type="paragraph" w:styleId="Index1">
    <w:name w:val="index 1"/>
    <w:basedOn w:val="Normal"/>
    <w:next w:val="Normal"/>
    <w:autoRedefine/>
    <w:uiPriority w:val="99"/>
    <w:semiHidden/>
    <w:unhideWhenUsed/>
    <w:locked/>
    <w:rsid w:val="007D0E38"/>
    <w:pPr>
      <w:ind w:left="220" w:hanging="220"/>
    </w:pPr>
  </w:style>
  <w:style w:type="paragraph" w:styleId="Index2">
    <w:name w:val="index 2"/>
    <w:basedOn w:val="Normal"/>
    <w:next w:val="Normal"/>
    <w:autoRedefine/>
    <w:uiPriority w:val="99"/>
    <w:semiHidden/>
    <w:unhideWhenUsed/>
    <w:locked/>
    <w:rsid w:val="007D0E38"/>
    <w:pPr>
      <w:ind w:left="440" w:hanging="220"/>
    </w:pPr>
  </w:style>
  <w:style w:type="paragraph" w:styleId="Index3">
    <w:name w:val="index 3"/>
    <w:basedOn w:val="Normal"/>
    <w:next w:val="Normal"/>
    <w:autoRedefine/>
    <w:uiPriority w:val="99"/>
    <w:semiHidden/>
    <w:unhideWhenUsed/>
    <w:locked/>
    <w:rsid w:val="007D0E38"/>
    <w:pPr>
      <w:ind w:left="660" w:hanging="220"/>
    </w:pPr>
  </w:style>
  <w:style w:type="paragraph" w:styleId="Index4">
    <w:name w:val="index 4"/>
    <w:basedOn w:val="Normal"/>
    <w:next w:val="Normal"/>
    <w:autoRedefine/>
    <w:uiPriority w:val="99"/>
    <w:semiHidden/>
    <w:unhideWhenUsed/>
    <w:locked/>
    <w:rsid w:val="007D0E38"/>
    <w:pPr>
      <w:ind w:left="880" w:hanging="220"/>
    </w:pPr>
  </w:style>
  <w:style w:type="paragraph" w:styleId="Index5">
    <w:name w:val="index 5"/>
    <w:basedOn w:val="Normal"/>
    <w:next w:val="Normal"/>
    <w:autoRedefine/>
    <w:uiPriority w:val="99"/>
    <w:semiHidden/>
    <w:unhideWhenUsed/>
    <w:locked/>
    <w:rsid w:val="007D0E38"/>
    <w:pPr>
      <w:ind w:left="1100" w:hanging="220"/>
    </w:pPr>
  </w:style>
  <w:style w:type="paragraph" w:styleId="Index6">
    <w:name w:val="index 6"/>
    <w:basedOn w:val="Normal"/>
    <w:next w:val="Normal"/>
    <w:autoRedefine/>
    <w:uiPriority w:val="99"/>
    <w:semiHidden/>
    <w:unhideWhenUsed/>
    <w:locked/>
    <w:rsid w:val="007D0E38"/>
    <w:pPr>
      <w:ind w:left="1320" w:hanging="220"/>
    </w:pPr>
  </w:style>
  <w:style w:type="paragraph" w:styleId="Index7">
    <w:name w:val="index 7"/>
    <w:basedOn w:val="Normal"/>
    <w:next w:val="Normal"/>
    <w:autoRedefine/>
    <w:uiPriority w:val="99"/>
    <w:semiHidden/>
    <w:unhideWhenUsed/>
    <w:locked/>
    <w:rsid w:val="007D0E38"/>
    <w:pPr>
      <w:ind w:left="1540" w:hanging="220"/>
    </w:pPr>
  </w:style>
  <w:style w:type="paragraph" w:styleId="Index8">
    <w:name w:val="index 8"/>
    <w:basedOn w:val="Normal"/>
    <w:next w:val="Normal"/>
    <w:autoRedefine/>
    <w:uiPriority w:val="99"/>
    <w:semiHidden/>
    <w:unhideWhenUsed/>
    <w:locked/>
    <w:rsid w:val="007D0E38"/>
    <w:pPr>
      <w:ind w:left="1760" w:hanging="220"/>
    </w:pPr>
  </w:style>
  <w:style w:type="paragraph" w:styleId="Index9">
    <w:name w:val="index 9"/>
    <w:basedOn w:val="Normal"/>
    <w:next w:val="Normal"/>
    <w:autoRedefine/>
    <w:uiPriority w:val="99"/>
    <w:semiHidden/>
    <w:unhideWhenUsed/>
    <w:locked/>
    <w:rsid w:val="007D0E38"/>
    <w:pPr>
      <w:ind w:left="1980" w:hanging="220"/>
    </w:pPr>
  </w:style>
  <w:style w:type="paragraph" w:styleId="IndexHeading">
    <w:name w:val="index heading"/>
    <w:basedOn w:val="Normal"/>
    <w:next w:val="Index1"/>
    <w:uiPriority w:val="99"/>
    <w:semiHidden/>
    <w:unhideWhenUsed/>
    <w:locked/>
    <w:rsid w:val="007D0E38"/>
    <w:rPr>
      <w:rFonts w:asciiTheme="majorHAnsi" w:eastAsiaTheme="majorEastAsia" w:hAnsiTheme="majorHAnsi" w:cstheme="majorBidi"/>
      <w:b/>
      <w:bCs/>
    </w:rPr>
  </w:style>
  <w:style w:type="paragraph" w:styleId="IntenseQuote">
    <w:name w:val="Intense Quote"/>
    <w:basedOn w:val="Normal"/>
    <w:next w:val="Normal"/>
    <w:link w:val="IntenseQuoteChar"/>
    <w:uiPriority w:val="30"/>
    <w:rsid w:val="007D0E38"/>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7D0E38"/>
    <w:rPr>
      <w:rFonts w:ascii="Arial" w:hAnsi="Arial"/>
      <w:b/>
      <w:bCs/>
      <w:i/>
      <w:iCs/>
      <w:color w:val="4F81BD" w:themeColor="accent1"/>
      <w:szCs w:val="20"/>
      <w:lang w:val="en-GB" w:eastAsia="en-US"/>
    </w:rPr>
  </w:style>
  <w:style w:type="paragraph" w:styleId="List">
    <w:name w:val="List"/>
    <w:basedOn w:val="Normal"/>
    <w:uiPriority w:val="99"/>
    <w:semiHidden/>
    <w:unhideWhenUsed/>
    <w:locked/>
    <w:rsid w:val="007D0E38"/>
    <w:pPr>
      <w:ind w:left="283" w:hanging="283"/>
      <w:contextualSpacing/>
    </w:pPr>
  </w:style>
  <w:style w:type="paragraph" w:styleId="List2">
    <w:name w:val="List 2"/>
    <w:basedOn w:val="Normal"/>
    <w:uiPriority w:val="99"/>
    <w:semiHidden/>
    <w:unhideWhenUsed/>
    <w:locked/>
    <w:rsid w:val="007D0E38"/>
    <w:pPr>
      <w:ind w:left="566" w:hanging="283"/>
      <w:contextualSpacing/>
    </w:pPr>
  </w:style>
  <w:style w:type="paragraph" w:styleId="List3">
    <w:name w:val="List 3"/>
    <w:basedOn w:val="Normal"/>
    <w:uiPriority w:val="99"/>
    <w:semiHidden/>
    <w:unhideWhenUsed/>
    <w:locked/>
    <w:rsid w:val="007D0E38"/>
    <w:pPr>
      <w:ind w:left="849" w:hanging="283"/>
      <w:contextualSpacing/>
    </w:pPr>
  </w:style>
  <w:style w:type="paragraph" w:styleId="List4">
    <w:name w:val="List 4"/>
    <w:basedOn w:val="Normal"/>
    <w:uiPriority w:val="99"/>
    <w:semiHidden/>
    <w:unhideWhenUsed/>
    <w:locked/>
    <w:rsid w:val="007D0E38"/>
    <w:pPr>
      <w:ind w:left="1132" w:hanging="283"/>
      <w:contextualSpacing/>
    </w:pPr>
  </w:style>
  <w:style w:type="paragraph" w:styleId="List5">
    <w:name w:val="List 5"/>
    <w:basedOn w:val="Normal"/>
    <w:uiPriority w:val="99"/>
    <w:semiHidden/>
    <w:unhideWhenUsed/>
    <w:locked/>
    <w:rsid w:val="007D0E38"/>
    <w:pPr>
      <w:ind w:left="1415" w:hanging="283"/>
      <w:contextualSpacing/>
    </w:pPr>
  </w:style>
  <w:style w:type="paragraph" w:styleId="ListBullet">
    <w:name w:val="List Bullet"/>
    <w:basedOn w:val="Normal"/>
    <w:uiPriority w:val="99"/>
    <w:unhideWhenUsed/>
    <w:locked/>
    <w:rsid w:val="007D0E38"/>
    <w:pPr>
      <w:numPr>
        <w:numId w:val="3"/>
      </w:numPr>
      <w:contextualSpacing/>
    </w:pPr>
  </w:style>
  <w:style w:type="paragraph" w:styleId="ListBullet3">
    <w:name w:val="List Bullet 3"/>
    <w:basedOn w:val="Normal"/>
    <w:uiPriority w:val="99"/>
    <w:semiHidden/>
    <w:unhideWhenUsed/>
    <w:locked/>
    <w:rsid w:val="007D0E38"/>
    <w:pPr>
      <w:numPr>
        <w:numId w:val="4"/>
      </w:numPr>
      <w:contextualSpacing/>
    </w:pPr>
  </w:style>
  <w:style w:type="paragraph" w:styleId="ListBullet4">
    <w:name w:val="List Bullet 4"/>
    <w:basedOn w:val="Normal"/>
    <w:uiPriority w:val="99"/>
    <w:semiHidden/>
    <w:unhideWhenUsed/>
    <w:locked/>
    <w:rsid w:val="007D0E38"/>
    <w:pPr>
      <w:numPr>
        <w:numId w:val="5"/>
      </w:numPr>
      <w:contextualSpacing/>
    </w:pPr>
  </w:style>
  <w:style w:type="paragraph" w:styleId="ListBullet5">
    <w:name w:val="List Bullet 5"/>
    <w:basedOn w:val="Normal"/>
    <w:uiPriority w:val="99"/>
    <w:semiHidden/>
    <w:unhideWhenUsed/>
    <w:locked/>
    <w:rsid w:val="007D0E38"/>
    <w:pPr>
      <w:numPr>
        <w:numId w:val="6"/>
      </w:numPr>
      <w:contextualSpacing/>
    </w:pPr>
  </w:style>
  <w:style w:type="paragraph" w:styleId="ListContinue">
    <w:name w:val="List Continue"/>
    <w:basedOn w:val="Normal"/>
    <w:uiPriority w:val="99"/>
    <w:semiHidden/>
    <w:unhideWhenUsed/>
    <w:locked/>
    <w:rsid w:val="007D0E38"/>
    <w:pPr>
      <w:ind w:left="283"/>
      <w:contextualSpacing/>
    </w:pPr>
  </w:style>
  <w:style w:type="paragraph" w:styleId="ListContinue2">
    <w:name w:val="List Continue 2"/>
    <w:basedOn w:val="Normal"/>
    <w:uiPriority w:val="99"/>
    <w:semiHidden/>
    <w:unhideWhenUsed/>
    <w:locked/>
    <w:rsid w:val="007D0E38"/>
    <w:pPr>
      <w:ind w:left="566"/>
      <w:contextualSpacing/>
    </w:pPr>
  </w:style>
  <w:style w:type="paragraph" w:styleId="ListContinue3">
    <w:name w:val="List Continue 3"/>
    <w:basedOn w:val="Normal"/>
    <w:uiPriority w:val="99"/>
    <w:semiHidden/>
    <w:unhideWhenUsed/>
    <w:locked/>
    <w:rsid w:val="007D0E38"/>
    <w:pPr>
      <w:ind w:left="849"/>
      <w:contextualSpacing/>
    </w:pPr>
  </w:style>
  <w:style w:type="paragraph" w:styleId="ListContinue4">
    <w:name w:val="List Continue 4"/>
    <w:basedOn w:val="Normal"/>
    <w:uiPriority w:val="99"/>
    <w:semiHidden/>
    <w:unhideWhenUsed/>
    <w:locked/>
    <w:rsid w:val="007D0E38"/>
    <w:pPr>
      <w:ind w:left="1132"/>
      <w:contextualSpacing/>
    </w:pPr>
  </w:style>
  <w:style w:type="paragraph" w:styleId="ListContinue5">
    <w:name w:val="List Continue 5"/>
    <w:basedOn w:val="Normal"/>
    <w:uiPriority w:val="99"/>
    <w:semiHidden/>
    <w:unhideWhenUsed/>
    <w:locked/>
    <w:rsid w:val="007D0E38"/>
    <w:pPr>
      <w:ind w:left="1415"/>
      <w:contextualSpacing/>
    </w:pPr>
  </w:style>
  <w:style w:type="paragraph" w:styleId="ListNumber">
    <w:name w:val="List Number"/>
    <w:basedOn w:val="Normal"/>
    <w:uiPriority w:val="99"/>
    <w:semiHidden/>
    <w:unhideWhenUsed/>
    <w:locked/>
    <w:rsid w:val="007D0E38"/>
    <w:pPr>
      <w:numPr>
        <w:numId w:val="7"/>
      </w:numPr>
      <w:contextualSpacing/>
    </w:pPr>
  </w:style>
  <w:style w:type="paragraph" w:styleId="ListNumber2">
    <w:name w:val="List Number 2"/>
    <w:basedOn w:val="Normal"/>
    <w:uiPriority w:val="99"/>
    <w:semiHidden/>
    <w:unhideWhenUsed/>
    <w:locked/>
    <w:rsid w:val="007D0E38"/>
    <w:pPr>
      <w:numPr>
        <w:numId w:val="8"/>
      </w:numPr>
      <w:contextualSpacing/>
    </w:pPr>
  </w:style>
  <w:style w:type="paragraph" w:styleId="ListNumber3">
    <w:name w:val="List Number 3"/>
    <w:basedOn w:val="Normal"/>
    <w:uiPriority w:val="99"/>
    <w:semiHidden/>
    <w:unhideWhenUsed/>
    <w:locked/>
    <w:rsid w:val="007D0E38"/>
    <w:pPr>
      <w:numPr>
        <w:numId w:val="9"/>
      </w:numPr>
      <w:contextualSpacing/>
    </w:pPr>
  </w:style>
  <w:style w:type="paragraph" w:styleId="ListNumber4">
    <w:name w:val="List Number 4"/>
    <w:basedOn w:val="Normal"/>
    <w:uiPriority w:val="99"/>
    <w:semiHidden/>
    <w:unhideWhenUsed/>
    <w:locked/>
    <w:rsid w:val="007D0E38"/>
    <w:pPr>
      <w:numPr>
        <w:numId w:val="10"/>
      </w:numPr>
      <w:contextualSpacing/>
    </w:pPr>
  </w:style>
  <w:style w:type="paragraph" w:styleId="ListNumber5">
    <w:name w:val="List Number 5"/>
    <w:basedOn w:val="Normal"/>
    <w:uiPriority w:val="99"/>
    <w:semiHidden/>
    <w:unhideWhenUsed/>
    <w:locked/>
    <w:rsid w:val="007D0E38"/>
    <w:pPr>
      <w:numPr>
        <w:numId w:val="11"/>
      </w:numPr>
      <w:contextualSpacing/>
    </w:pPr>
  </w:style>
  <w:style w:type="paragraph" w:styleId="MacroText">
    <w:name w:val="macro"/>
    <w:link w:val="MacroTextChar"/>
    <w:uiPriority w:val="99"/>
    <w:semiHidden/>
    <w:unhideWhenUsed/>
    <w:locked/>
    <w:rsid w:val="007D0E38"/>
    <w:pPr>
      <w:tabs>
        <w:tab w:val="left" w:pos="480"/>
        <w:tab w:val="left" w:pos="960"/>
        <w:tab w:val="left" w:pos="1440"/>
        <w:tab w:val="left" w:pos="1920"/>
        <w:tab w:val="left" w:pos="2400"/>
        <w:tab w:val="left" w:pos="2880"/>
        <w:tab w:val="left" w:pos="3360"/>
        <w:tab w:val="left" w:pos="3840"/>
        <w:tab w:val="left" w:pos="4320"/>
      </w:tabs>
    </w:pPr>
    <w:rPr>
      <w:rFonts w:ascii="Consolas" w:hAnsi="Consolas" w:cs="Consolas"/>
      <w:sz w:val="20"/>
      <w:szCs w:val="20"/>
      <w:lang w:val="en-GB" w:eastAsia="en-US"/>
    </w:rPr>
  </w:style>
  <w:style w:type="character" w:customStyle="1" w:styleId="MacroTextChar">
    <w:name w:val="Macro Text Char"/>
    <w:basedOn w:val="DefaultParagraphFont"/>
    <w:link w:val="MacroText"/>
    <w:uiPriority w:val="99"/>
    <w:semiHidden/>
    <w:rsid w:val="007D0E38"/>
    <w:rPr>
      <w:rFonts w:ascii="Consolas" w:hAnsi="Consolas" w:cs="Consolas"/>
      <w:sz w:val="20"/>
      <w:szCs w:val="20"/>
      <w:lang w:val="en-GB" w:eastAsia="en-US"/>
    </w:rPr>
  </w:style>
  <w:style w:type="paragraph" w:styleId="MessageHeader">
    <w:name w:val="Message Header"/>
    <w:basedOn w:val="Normal"/>
    <w:link w:val="MessageHeaderChar"/>
    <w:uiPriority w:val="99"/>
    <w:semiHidden/>
    <w:unhideWhenUsed/>
    <w:locked/>
    <w:rsid w:val="007D0E38"/>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7D0E38"/>
    <w:rPr>
      <w:rFonts w:asciiTheme="majorHAnsi" w:eastAsiaTheme="majorEastAsia" w:hAnsiTheme="majorHAnsi" w:cstheme="majorBidi"/>
      <w:sz w:val="24"/>
      <w:szCs w:val="24"/>
      <w:shd w:val="pct20" w:color="auto" w:fill="auto"/>
      <w:lang w:val="en-GB" w:eastAsia="en-US"/>
    </w:rPr>
  </w:style>
  <w:style w:type="paragraph" w:styleId="NormalIndent">
    <w:name w:val="Normal Indent"/>
    <w:basedOn w:val="Normal"/>
    <w:uiPriority w:val="99"/>
    <w:semiHidden/>
    <w:unhideWhenUsed/>
    <w:locked/>
    <w:rsid w:val="007D0E38"/>
    <w:pPr>
      <w:ind w:left="720"/>
    </w:pPr>
  </w:style>
  <w:style w:type="paragraph" w:styleId="NoteHeading">
    <w:name w:val="Note Heading"/>
    <w:basedOn w:val="Normal"/>
    <w:next w:val="Normal"/>
    <w:link w:val="NoteHeadingChar"/>
    <w:uiPriority w:val="99"/>
    <w:semiHidden/>
    <w:unhideWhenUsed/>
    <w:locked/>
    <w:rsid w:val="007D0E38"/>
  </w:style>
  <w:style w:type="character" w:customStyle="1" w:styleId="NoteHeadingChar">
    <w:name w:val="Note Heading Char"/>
    <w:basedOn w:val="DefaultParagraphFont"/>
    <w:link w:val="NoteHeading"/>
    <w:uiPriority w:val="99"/>
    <w:semiHidden/>
    <w:rsid w:val="007D0E38"/>
    <w:rPr>
      <w:rFonts w:ascii="Arial" w:hAnsi="Arial"/>
      <w:szCs w:val="20"/>
      <w:lang w:val="en-GB" w:eastAsia="en-US"/>
    </w:rPr>
  </w:style>
  <w:style w:type="paragraph" w:styleId="Quote">
    <w:name w:val="Quote"/>
    <w:basedOn w:val="Normal"/>
    <w:next w:val="Normal"/>
    <w:link w:val="QuoteChar"/>
    <w:uiPriority w:val="29"/>
    <w:rsid w:val="007D0E38"/>
    <w:rPr>
      <w:i/>
      <w:iCs/>
      <w:color w:val="000000" w:themeColor="text1"/>
    </w:rPr>
  </w:style>
  <w:style w:type="character" w:customStyle="1" w:styleId="QuoteChar">
    <w:name w:val="Quote Char"/>
    <w:basedOn w:val="DefaultParagraphFont"/>
    <w:link w:val="Quote"/>
    <w:uiPriority w:val="29"/>
    <w:rsid w:val="007D0E38"/>
    <w:rPr>
      <w:rFonts w:ascii="Arial" w:hAnsi="Arial"/>
      <w:i/>
      <w:iCs/>
      <w:color w:val="000000" w:themeColor="text1"/>
      <w:szCs w:val="20"/>
      <w:lang w:val="en-GB" w:eastAsia="en-US"/>
    </w:rPr>
  </w:style>
  <w:style w:type="paragraph" w:styleId="Salutation">
    <w:name w:val="Salutation"/>
    <w:basedOn w:val="Normal"/>
    <w:next w:val="Normal"/>
    <w:link w:val="SalutationChar"/>
    <w:uiPriority w:val="99"/>
    <w:semiHidden/>
    <w:unhideWhenUsed/>
    <w:locked/>
    <w:rsid w:val="007D0E38"/>
  </w:style>
  <w:style w:type="character" w:customStyle="1" w:styleId="SalutationChar">
    <w:name w:val="Salutation Char"/>
    <w:basedOn w:val="DefaultParagraphFont"/>
    <w:link w:val="Salutation"/>
    <w:uiPriority w:val="99"/>
    <w:semiHidden/>
    <w:rsid w:val="007D0E38"/>
    <w:rPr>
      <w:rFonts w:ascii="Arial" w:hAnsi="Arial"/>
      <w:szCs w:val="20"/>
      <w:lang w:val="en-GB" w:eastAsia="en-US"/>
    </w:rPr>
  </w:style>
  <w:style w:type="paragraph" w:styleId="Signature">
    <w:name w:val="Signature"/>
    <w:basedOn w:val="Normal"/>
    <w:link w:val="SignatureChar"/>
    <w:uiPriority w:val="99"/>
    <w:semiHidden/>
    <w:unhideWhenUsed/>
    <w:locked/>
    <w:rsid w:val="007D0E38"/>
    <w:pPr>
      <w:ind w:left="4252"/>
    </w:pPr>
  </w:style>
  <w:style w:type="character" w:customStyle="1" w:styleId="SignatureChar">
    <w:name w:val="Signature Char"/>
    <w:basedOn w:val="DefaultParagraphFont"/>
    <w:link w:val="Signature"/>
    <w:uiPriority w:val="99"/>
    <w:semiHidden/>
    <w:rsid w:val="007D0E38"/>
    <w:rPr>
      <w:rFonts w:ascii="Arial" w:hAnsi="Arial"/>
      <w:szCs w:val="20"/>
      <w:lang w:val="en-GB" w:eastAsia="en-US"/>
    </w:rPr>
  </w:style>
  <w:style w:type="paragraph" w:styleId="Subtitle">
    <w:name w:val="Subtitle"/>
    <w:basedOn w:val="Normal"/>
    <w:next w:val="Normal"/>
    <w:link w:val="SubtitleChar"/>
    <w:rsid w:val="007D0E38"/>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rsid w:val="007D0E38"/>
    <w:rPr>
      <w:rFonts w:asciiTheme="majorHAnsi" w:eastAsiaTheme="majorEastAsia" w:hAnsiTheme="majorHAnsi" w:cstheme="majorBidi"/>
      <w:i/>
      <w:iCs/>
      <w:color w:val="4F81BD" w:themeColor="accent1"/>
      <w:spacing w:val="15"/>
      <w:sz w:val="24"/>
      <w:szCs w:val="24"/>
      <w:lang w:val="en-GB" w:eastAsia="en-US"/>
    </w:rPr>
  </w:style>
  <w:style w:type="paragraph" w:styleId="TableofAuthorities">
    <w:name w:val="table of authorities"/>
    <w:basedOn w:val="Normal"/>
    <w:next w:val="Normal"/>
    <w:uiPriority w:val="99"/>
    <w:semiHidden/>
    <w:unhideWhenUsed/>
    <w:locked/>
    <w:rsid w:val="007D0E38"/>
    <w:pPr>
      <w:ind w:left="220" w:hanging="220"/>
    </w:pPr>
  </w:style>
  <w:style w:type="paragraph" w:styleId="TOAHeading">
    <w:name w:val="toa heading"/>
    <w:basedOn w:val="Normal"/>
    <w:next w:val="Normal"/>
    <w:uiPriority w:val="99"/>
    <w:semiHidden/>
    <w:unhideWhenUsed/>
    <w:locked/>
    <w:rsid w:val="007D0E38"/>
    <w:rPr>
      <w:rFonts w:asciiTheme="majorHAnsi" w:eastAsiaTheme="majorEastAsia" w:hAnsiTheme="majorHAnsi" w:cstheme="majorBidi"/>
      <w:b/>
      <w:bCs/>
      <w:sz w:val="24"/>
      <w:szCs w:val="24"/>
    </w:rPr>
  </w:style>
  <w:style w:type="paragraph" w:styleId="TOC6">
    <w:name w:val="toc 6"/>
    <w:basedOn w:val="Normal"/>
    <w:next w:val="Normal"/>
    <w:autoRedefine/>
    <w:rsid w:val="007D0E38"/>
    <w:pPr>
      <w:spacing w:after="100"/>
      <w:ind w:left="1100"/>
    </w:pPr>
  </w:style>
  <w:style w:type="paragraph" w:styleId="TOC7">
    <w:name w:val="toc 7"/>
    <w:basedOn w:val="Normal"/>
    <w:next w:val="Normal"/>
    <w:autoRedefine/>
    <w:rsid w:val="007D0E38"/>
    <w:pPr>
      <w:spacing w:after="100"/>
      <w:ind w:left="1320"/>
    </w:pPr>
  </w:style>
  <w:style w:type="paragraph" w:styleId="TOC8">
    <w:name w:val="toc 8"/>
    <w:basedOn w:val="Normal"/>
    <w:next w:val="Normal"/>
    <w:autoRedefine/>
    <w:rsid w:val="007D0E38"/>
    <w:pPr>
      <w:spacing w:after="100"/>
      <w:ind w:left="1540"/>
    </w:pPr>
  </w:style>
  <w:style w:type="paragraph" w:styleId="TOC9">
    <w:name w:val="toc 9"/>
    <w:basedOn w:val="Normal"/>
    <w:next w:val="Normal"/>
    <w:autoRedefine/>
    <w:rsid w:val="007D0E38"/>
    <w:pPr>
      <w:spacing w:after="100"/>
      <w:ind w:left="1760"/>
    </w:pPr>
  </w:style>
  <w:style w:type="paragraph" w:styleId="TOCHeading">
    <w:name w:val="TOC Heading"/>
    <w:basedOn w:val="Heading1"/>
    <w:next w:val="Normal"/>
    <w:uiPriority w:val="39"/>
    <w:unhideWhenUsed/>
    <w:qFormat/>
    <w:rsid w:val="007D0E38"/>
    <w:pPr>
      <w:keepLines/>
      <w:spacing w:before="480" w:after="0"/>
      <w:jc w:val="left"/>
      <w:outlineLvl w:val="9"/>
    </w:pPr>
    <w:rPr>
      <w:rFonts w:asciiTheme="majorHAnsi" w:eastAsiaTheme="majorEastAsia" w:hAnsiTheme="majorHAnsi" w:cstheme="majorBidi"/>
      <w:bCs/>
      <w:color w:val="365F91" w:themeColor="accent1" w:themeShade="BF"/>
      <w:kern w:val="0"/>
      <w:sz w:val="28"/>
    </w:rPr>
  </w:style>
  <w:style w:type="paragraph" w:customStyle="1" w:styleId="List-bullet-Council">
    <w:name w:val="List-bullet-Council"/>
    <w:basedOn w:val="Normal"/>
    <w:rsid w:val="00C406A8"/>
    <w:pPr>
      <w:spacing w:after="40"/>
      <w:ind w:left="360" w:hanging="360"/>
    </w:pPr>
    <w:rPr>
      <w:rFonts w:ascii="Gill Sans MT" w:hAnsi="Gill Sans MT"/>
      <w:sz w:val="20"/>
      <w:lang w:val="en-AU"/>
    </w:rPr>
  </w:style>
  <w:style w:type="character" w:customStyle="1" w:styleId="math">
    <w:name w:val="math"/>
    <w:basedOn w:val="DefaultParagraphFont"/>
    <w:rsid w:val="00E94E33"/>
  </w:style>
  <w:style w:type="character" w:customStyle="1" w:styleId="st">
    <w:name w:val="st"/>
    <w:basedOn w:val="DefaultParagraphFont"/>
    <w:rsid w:val="00E94E33"/>
  </w:style>
  <w:style w:type="paragraph" w:customStyle="1" w:styleId="Imprint">
    <w:name w:val="Imprint"/>
    <w:basedOn w:val="Normal"/>
    <w:rsid w:val="00E94E33"/>
    <w:rPr>
      <w:rFonts w:cs="Arial"/>
      <w:sz w:val="18"/>
      <w:szCs w:val="18"/>
      <w:lang w:val="en-US"/>
    </w:rPr>
  </w:style>
  <w:style w:type="numbering" w:customStyle="1" w:styleId="NoList1">
    <w:name w:val="No List1"/>
    <w:next w:val="NoList"/>
    <w:uiPriority w:val="99"/>
    <w:semiHidden/>
    <w:unhideWhenUsed/>
    <w:rsid w:val="00E94E33"/>
  </w:style>
  <w:style w:type="table" w:customStyle="1" w:styleId="TableGrid1">
    <w:name w:val="Table Grid1"/>
    <w:basedOn w:val="TableNormal"/>
    <w:next w:val="TableGrid"/>
    <w:uiPriority w:val="59"/>
    <w:rsid w:val="00E94E33"/>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5">
    <w:name w:val="xl65"/>
    <w:basedOn w:val="Normal"/>
    <w:rsid w:val="00E94E33"/>
    <w:pPr>
      <w:spacing w:before="100" w:beforeAutospacing="1" w:after="100" w:afterAutospacing="1"/>
    </w:pPr>
    <w:rPr>
      <w:rFonts w:ascii="Times New Roman" w:hAnsi="Times New Roman"/>
      <w:sz w:val="20"/>
      <w:lang w:val="en-AU" w:eastAsia="en-AU"/>
    </w:rPr>
  </w:style>
  <w:style w:type="paragraph" w:customStyle="1" w:styleId="xl66">
    <w:name w:val="xl66"/>
    <w:basedOn w:val="Normal"/>
    <w:rsid w:val="00E94E33"/>
    <w:pPr>
      <w:shd w:val="clear" w:color="000000" w:fill="A6A6A6"/>
      <w:spacing w:before="100" w:beforeAutospacing="1" w:after="100" w:afterAutospacing="1"/>
    </w:pPr>
    <w:rPr>
      <w:rFonts w:ascii="Times New Roman" w:hAnsi="Times New Roman"/>
      <w:b/>
      <w:bCs/>
      <w:sz w:val="20"/>
      <w:lang w:val="en-AU" w:eastAsia="en-AU"/>
    </w:rPr>
  </w:style>
  <w:style w:type="table" w:styleId="LightGrid">
    <w:name w:val="Light Grid"/>
    <w:basedOn w:val="TableNormal"/>
    <w:uiPriority w:val="62"/>
    <w:rsid w:val="00E94E33"/>
    <w:rPr>
      <w:rFonts w:asciiTheme="minorHAnsi" w:eastAsiaTheme="minorHAnsi" w:hAnsiTheme="minorHAnsi" w:cstheme="minorBidi"/>
      <w:lang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E94E33"/>
    <w:rPr>
      <w:rFonts w:asciiTheme="minorHAnsi" w:eastAsiaTheme="minorHAnsi" w:hAnsiTheme="minorHAnsi" w:cstheme="minorBidi"/>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NoList2">
    <w:name w:val="No List2"/>
    <w:next w:val="NoList"/>
    <w:uiPriority w:val="99"/>
    <w:semiHidden/>
    <w:unhideWhenUsed/>
    <w:rsid w:val="00B624F0"/>
  </w:style>
  <w:style w:type="paragraph" w:customStyle="1" w:styleId="DocDefaults">
    <w:name w:val="DocDefaults"/>
    <w:rsid w:val="00B624F0"/>
    <w:rPr>
      <w:sz w:val="20"/>
      <w:szCs w:val="20"/>
      <w:lang w:val="en-US" w:eastAsia="en-US"/>
    </w:rPr>
  </w:style>
  <w:style w:type="character" w:customStyle="1" w:styleId="apple-style-span">
    <w:name w:val="apple-style-span"/>
    <w:basedOn w:val="DefaultParagraphFont"/>
    <w:rsid w:val="00913559"/>
  </w:style>
  <w:style w:type="character" w:customStyle="1" w:styleId="apple-converted-space">
    <w:name w:val="apple-converted-space"/>
    <w:basedOn w:val="DefaultParagraphFont"/>
    <w:rsid w:val="00913559"/>
  </w:style>
  <w:style w:type="paragraph" w:customStyle="1" w:styleId="CM51">
    <w:name w:val="CM51"/>
    <w:basedOn w:val="Default0"/>
    <w:next w:val="Default0"/>
    <w:uiPriority w:val="99"/>
    <w:rsid w:val="00747097"/>
    <w:rPr>
      <w:rFonts w:ascii="Times New Roman" w:eastAsiaTheme="minorHAnsi" w:hAnsi="Times New Roman" w:cs="Times New Roman"/>
      <w:color w:val="auto"/>
      <w:lang w:val="en-AU" w:eastAsia="en-US"/>
    </w:rPr>
  </w:style>
  <w:style w:type="paragraph" w:customStyle="1" w:styleId="CM6">
    <w:name w:val="CM6"/>
    <w:basedOn w:val="Default0"/>
    <w:next w:val="Default0"/>
    <w:uiPriority w:val="99"/>
    <w:rsid w:val="00747097"/>
    <w:pPr>
      <w:spacing w:line="288" w:lineRule="atLeast"/>
    </w:pPr>
    <w:rPr>
      <w:rFonts w:ascii="Arial" w:eastAsiaTheme="minorHAnsi" w:hAnsi="Arial" w:cs="Arial"/>
      <w:color w:val="auto"/>
      <w:lang w:val="en-AU" w:eastAsia="en-US"/>
    </w:rPr>
  </w:style>
  <w:style w:type="paragraph" w:customStyle="1" w:styleId="CM114">
    <w:name w:val="CM114"/>
    <w:basedOn w:val="Default0"/>
    <w:next w:val="Default0"/>
    <w:uiPriority w:val="99"/>
    <w:rsid w:val="00747097"/>
    <w:rPr>
      <w:rFonts w:ascii="Arial" w:eastAsiaTheme="minorHAnsi" w:hAnsi="Arial" w:cs="Arial"/>
      <w:color w:val="auto"/>
      <w:lang w:val="en-AU" w:eastAsia="en-US"/>
    </w:rPr>
  </w:style>
  <w:style w:type="paragraph" w:customStyle="1" w:styleId="CM4">
    <w:name w:val="CM4"/>
    <w:basedOn w:val="Default0"/>
    <w:next w:val="Default0"/>
    <w:uiPriority w:val="99"/>
    <w:rsid w:val="00747097"/>
    <w:pPr>
      <w:spacing w:line="288" w:lineRule="atLeast"/>
    </w:pPr>
    <w:rPr>
      <w:rFonts w:ascii="Arial" w:eastAsiaTheme="minorHAnsi" w:hAnsi="Arial" w:cs="Arial"/>
      <w:color w:val="auto"/>
      <w:lang w:val="en-AU" w:eastAsia="en-US"/>
    </w:rPr>
  </w:style>
  <w:style w:type="paragraph" w:customStyle="1" w:styleId="CM34">
    <w:name w:val="CM34"/>
    <w:basedOn w:val="Default0"/>
    <w:next w:val="Default0"/>
    <w:uiPriority w:val="99"/>
    <w:rsid w:val="00747097"/>
    <w:pPr>
      <w:spacing w:line="283" w:lineRule="atLeast"/>
    </w:pPr>
    <w:rPr>
      <w:rFonts w:ascii="Times New Roman" w:eastAsiaTheme="minorHAnsi" w:hAnsi="Times New Roman" w:cs="Times New Roman"/>
      <w:color w:val="auto"/>
      <w:lang w:val="en-AU" w:eastAsia="en-US"/>
    </w:rPr>
  </w:style>
  <w:style w:type="character" w:styleId="EndnoteReference">
    <w:name w:val="endnote reference"/>
    <w:basedOn w:val="DefaultParagraphFont"/>
    <w:uiPriority w:val="99"/>
    <w:semiHidden/>
    <w:unhideWhenUsed/>
    <w:locked/>
    <w:rsid w:val="00F96ACA"/>
    <w:rPr>
      <w:vertAlign w:val="superscript"/>
    </w:rPr>
  </w:style>
  <w:style w:type="character" w:customStyle="1" w:styleId="pbtocarticletitle1">
    <w:name w:val="pb_toc_article_title1"/>
    <w:basedOn w:val="DefaultParagraphFont"/>
    <w:rsid w:val="00443DCE"/>
    <w:rPr>
      <w:rFonts w:ascii="Verdana" w:hAnsi="Verdana" w:hint="default"/>
      <w:b/>
      <w:bCs/>
      <w:color w:val="000000"/>
    </w:rPr>
  </w:style>
  <w:style w:type="character" w:customStyle="1" w:styleId="pbtocauthors1">
    <w:name w:val="pb_toc_authors1"/>
    <w:basedOn w:val="DefaultParagraphFont"/>
    <w:rsid w:val="00443DCE"/>
    <w:rPr>
      <w:rFonts w:ascii="Verdana" w:hAnsi="Verdana" w:hint="default"/>
      <w:b w:val="0"/>
      <w:bCs w:val="0"/>
      <w:color w:val="000000"/>
    </w:rPr>
  </w:style>
  <w:style w:type="character" w:customStyle="1" w:styleId="pbtocpages1">
    <w:name w:val="pb_toc_pages1"/>
    <w:basedOn w:val="DefaultParagraphFont"/>
    <w:rsid w:val="00443DCE"/>
    <w:rPr>
      <w:rFonts w:ascii="Verdana" w:hAnsi="Verdana" w:hint="default"/>
      <w:b w:val="0"/>
      <w:bCs w:val="0"/>
      <w:color w:val="000000"/>
    </w:rPr>
  </w:style>
  <w:style w:type="character" w:customStyle="1" w:styleId="style1">
    <w:name w:val="style1"/>
    <w:basedOn w:val="DefaultParagraphFont"/>
    <w:rsid w:val="00443DCE"/>
    <w:rPr>
      <w:rFonts w:ascii="Arial" w:hAnsi="Arial" w:cs="Arial" w:hint="default"/>
      <w:b/>
      <w:bCs/>
      <w:i w:val="0"/>
      <w:iCs w:val="0"/>
    </w:rPr>
  </w:style>
  <w:style w:type="character" w:styleId="BookTitle">
    <w:name w:val="Book Title"/>
    <w:uiPriority w:val="33"/>
    <w:qFormat/>
    <w:rsid w:val="001254DC"/>
    <w:rPr>
      <w:rFonts w:asciiTheme="majorHAnsi" w:eastAsiaTheme="majorEastAsia" w:hAnsiTheme="majorHAnsi" w:cstheme="majorBidi"/>
      <w:i w:val="0"/>
      <w:iCs/>
      <w:sz w:val="20"/>
      <w:szCs w:val="20"/>
    </w:rPr>
  </w:style>
  <w:style w:type="paragraph" w:customStyle="1" w:styleId="Style10">
    <w:name w:val="Style1"/>
    <w:basedOn w:val="Normal"/>
    <w:semiHidden/>
    <w:rsid w:val="00F4614B"/>
    <w:pPr>
      <w:spacing w:after="240"/>
    </w:pPr>
    <w:rPr>
      <w:rFonts w:asciiTheme="minorHAnsi" w:hAnsiTheme="minorHAnsi" w:cstheme="minorHAnsi"/>
      <w:b/>
      <w:caps/>
      <w:szCs w:val="22"/>
      <w:lang w:val="en-AU" w:eastAsia="en-AU"/>
    </w:rPr>
  </w:style>
  <w:style w:type="paragraph" w:customStyle="1" w:styleId="tableandfigureheader">
    <w:name w:val="table and figure header"/>
    <w:basedOn w:val="Title"/>
    <w:link w:val="tableandfigureheaderChar"/>
    <w:semiHidden/>
    <w:rsid w:val="00F4614B"/>
    <w:pPr>
      <w:jc w:val="both"/>
    </w:pPr>
    <w:rPr>
      <w:rFonts w:ascii="Times New Roman" w:hAnsi="Times New Roman"/>
      <w:b w:val="0"/>
      <w:kern w:val="0"/>
      <w:sz w:val="20"/>
      <w:szCs w:val="20"/>
      <w:lang w:val="en-AU"/>
    </w:rPr>
  </w:style>
  <w:style w:type="character" w:customStyle="1" w:styleId="tableandfigureheaderChar">
    <w:name w:val="table and figure header Char"/>
    <w:basedOn w:val="DefaultParagraphFont"/>
    <w:link w:val="tableandfigureheader"/>
    <w:semiHidden/>
    <w:rsid w:val="00F4614B"/>
    <w:rPr>
      <w:bCs/>
      <w:sz w:val="20"/>
      <w:szCs w:val="20"/>
      <w:lang w:eastAsia="en-US"/>
    </w:rPr>
  </w:style>
  <w:style w:type="paragraph" w:customStyle="1" w:styleId="Titleheading">
    <w:name w:val="Title heading"/>
    <w:basedOn w:val="Normal"/>
    <w:rsid w:val="00F4614B"/>
    <w:pPr>
      <w:spacing w:after="240"/>
    </w:pPr>
    <w:rPr>
      <w:rFonts w:cstheme="minorHAnsi"/>
      <w:b/>
      <w:color w:val="47CCFF"/>
      <w:sz w:val="48"/>
      <w:szCs w:val="48"/>
      <w:lang w:val="en-AU"/>
    </w:rPr>
  </w:style>
  <w:style w:type="paragraph" w:customStyle="1" w:styleId="Body">
    <w:name w:val="Body"/>
    <w:basedOn w:val="Normal"/>
    <w:rsid w:val="00F4614B"/>
    <w:pPr>
      <w:spacing w:after="240" w:line="260" w:lineRule="exact"/>
    </w:pPr>
    <w:rPr>
      <w:rFonts w:cstheme="minorHAnsi"/>
      <w:color w:val="000000"/>
      <w:szCs w:val="22"/>
      <w:lang w:val="en-AU"/>
    </w:rPr>
  </w:style>
  <w:style w:type="character" w:customStyle="1" w:styleId="Bold-character">
    <w:name w:val="Bold - character"/>
    <w:rsid w:val="00F4614B"/>
    <w:rPr>
      <w:b/>
    </w:rPr>
  </w:style>
  <w:style w:type="numbering" w:customStyle="1" w:styleId="Body-bullets">
    <w:name w:val="Body - bullets"/>
    <w:rsid w:val="00F4614B"/>
    <w:pPr>
      <w:numPr>
        <w:numId w:val="17"/>
      </w:numPr>
    </w:pPr>
  </w:style>
  <w:style w:type="paragraph" w:customStyle="1" w:styleId="Caption-standard">
    <w:name w:val="Caption - standard"/>
    <w:basedOn w:val="Body"/>
    <w:rsid w:val="00F4614B"/>
    <w:pPr>
      <w:jc w:val="left"/>
    </w:pPr>
    <w:rPr>
      <w:rFonts w:cs="Times New Roman"/>
      <w:sz w:val="20"/>
      <w:szCs w:val="20"/>
    </w:rPr>
  </w:style>
  <w:style w:type="paragraph" w:customStyle="1" w:styleId="Body-numbered">
    <w:name w:val="Body - numbered"/>
    <w:basedOn w:val="Body"/>
    <w:rsid w:val="00F4614B"/>
    <w:pPr>
      <w:numPr>
        <w:numId w:val="18"/>
      </w:numPr>
      <w:jc w:val="left"/>
    </w:pPr>
    <w:rPr>
      <w:rFonts w:cs="Times New Roman"/>
    </w:rPr>
  </w:style>
  <w:style w:type="character" w:customStyle="1" w:styleId="Italics-character">
    <w:name w:val="Italics - character"/>
    <w:rsid w:val="00F4614B"/>
    <w:rPr>
      <w:i/>
    </w:rPr>
  </w:style>
  <w:style w:type="character" w:customStyle="1" w:styleId="Superscript-character">
    <w:name w:val="Superscript - character"/>
    <w:rsid w:val="00F4614B"/>
    <w:rPr>
      <w:dstrike w:val="0"/>
      <w:vertAlign w:val="superscript"/>
    </w:rPr>
  </w:style>
  <w:style w:type="paragraph" w:customStyle="1" w:styleId="Titlesub-heading">
    <w:name w:val="Title sub-heading"/>
    <w:basedOn w:val="Normal"/>
    <w:rsid w:val="00F4614B"/>
    <w:pPr>
      <w:spacing w:after="240"/>
    </w:pPr>
    <w:rPr>
      <w:color w:val="636267"/>
      <w:sz w:val="48"/>
      <w:szCs w:val="48"/>
      <w:lang w:val="en-AU"/>
    </w:rPr>
  </w:style>
  <w:style w:type="paragraph" w:customStyle="1" w:styleId="Heading10">
    <w:name w:val="Heading1"/>
    <w:basedOn w:val="Normal"/>
    <w:rsid w:val="00F4614B"/>
    <w:pPr>
      <w:spacing w:after="240"/>
    </w:pPr>
    <w:rPr>
      <w:b/>
      <w:bCs/>
      <w:lang w:val="en-AU" w:eastAsia="en-AU"/>
    </w:rPr>
  </w:style>
  <w:style w:type="character" w:customStyle="1" w:styleId="Heading20">
    <w:name w:val="Heading2"/>
    <w:rsid w:val="00830830"/>
    <w:rPr>
      <w:color w:val="auto"/>
      <w:lang w:val="en-AU"/>
    </w:rPr>
  </w:style>
  <w:style w:type="paragraph" w:customStyle="1" w:styleId="Heading30">
    <w:name w:val="Heading3"/>
    <w:basedOn w:val="Heading3"/>
    <w:qFormat/>
    <w:rsid w:val="00EE0294"/>
    <w:pPr>
      <w:numPr>
        <w:numId w:val="0"/>
      </w:numPr>
    </w:pPr>
    <w:rPr>
      <w:i/>
    </w:rPr>
  </w:style>
  <w:style w:type="character" w:customStyle="1" w:styleId="style100">
    <w:name w:val="style10"/>
    <w:basedOn w:val="DefaultParagraphFont"/>
    <w:rsid w:val="00F4614B"/>
  </w:style>
  <w:style w:type="character" w:customStyle="1" w:styleId="normaltextbold1">
    <w:name w:val="normaltextbold1"/>
    <w:rsid w:val="00F4614B"/>
    <w:rPr>
      <w:rFonts w:ascii="Verdana" w:hAnsi="Verdana" w:hint="default"/>
      <w:b/>
      <w:bCs/>
      <w:color w:val="000000"/>
      <w:sz w:val="19"/>
      <w:szCs w:val="19"/>
      <w:shd w:val="clear" w:color="auto" w:fill="auto"/>
    </w:rPr>
  </w:style>
  <w:style w:type="table" w:styleId="TableClassic1">
    <w:name w:val="Table Classic 1"/>
    <w:basedOn w:val="TableNormal"/>
    <w:locked/>
    <w:rsid w:val="00F4614B"/>
    <w:pPr>
      <w:jc w:val="both"/>
    </w:pPr>
    <w:rPr>
      <w:sz w:val="20"/>
      <w:szCs w:val="20"/>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maincenter">
    <w:name w:val="main_center"/>
    <w:basedOn w:val="DefaultParagraphFont"/>
    <w:rsid w:val="00F4614B"/>
  </w:style>
  <w:style w:type="character" w:customStyle="1" w:styleId="NoSpacingChar">
    <w:name w:val="No Spacing Char"/>
    <w:basedOn w:val="DefaultParagraphFont"/>
    <w:link w:val="NoSpacing"/>
    <w:uiPriority w:val="99"/>
    <w:rsid w:val="00F4614B"/>
    <w:rPr>
      <w:rFonts w:ascii="Gill Sans MT" w:hAnsi="Gill Sans MT"/>
      <w:szCs w:val="20"/>
      <w:lang w:val="en-GB" w:eastAsia="en-US"/>
    </w:rPr>
  </w:style>
  <w:style w:type="character" w:styleId="SubtleEmphasis">
    <w:name w:val="Subtle Emphasis"/>
    <w:uiPriority w:val="19"/>
    <w:rsid w:val="00F4614B"/>
    <w:rPr>
      <w:i/>
    </w:rPr>
  </w:style>
  <w:style w:type="character" w:styleId="IntenseEmphasis">
    <w:name w:val="Intense Emphasis"/>
    <w:uiPriority w:val="21"/>
    <w:rsid w:val="00F4614B"/>
    <w:rPr>
      <w:b/>
      <w:i/>
      <w:color w:val="C0504D" w:themeColor="accent2"/>
      <w:spacing w:val="10"/>
    </w:rPr>
  </w:style>
  <w:style w:type="paragraph" w:customStyle="1" w:styleId="Dotindent">
    <w:name w:val="Dot&amp;indent"/>
    <w:basedOn w:val="Normal"/>
    <w:link w:val="DotindentChar"/>
    <w:rsid w:val="00F4614B"/>
    <w:pPr>
      <w:numPr>
        <w:numId w:val="19"/>
      </w:numPr>
      <w:spacing w:after="200" w:line="276" w:lineRule="auto"/>
    </w:pPr>
    <w:rPr>
      <w:rFonts w:asciiTheme="minorHAnsi" w:eastAsiaTheme="minorHAnsi" w:hAnsiTheme="minorHAnsi" w:cstheme="minorBidi"/>
      <w:szCs w:val="22"/>
      <w:lang w:val="en-AU"/>
    </w:rPr>
  </w:style>
  <w:style w:type="character" w:customStyle="1" w:styleId="DotindentChar">
    <w:name w:val="Dot&amp;indent Char"/>
    <w:basedOn w:val="DefaultParagraphFont"/>
    <w:link w:val="Dotindent"/>
    <w:rsid w:val="00F4614B"/>
    <w:rPr>
      <w:rFonts w:asciiTheme="minorHAnsi" w:eastAsiaTheme="minorHAnsi" w:hAnsiTheme="minorHAnsi" w:cstheme="minorBidi"/>
      <w:lang w:eastAsia="en-US"/>
    </w:rPr>
  </w:style>
  <w:style w:type="paragraph" w:customStyle="1" w:styleId="TableHeading1">
    <w:name w:val="Table Heading 1"/>
    <w:rsid w:val="00F4614B"/>
    <w:pPr>
      <w:spacing w:before="60" w:after="100"/>
      <w:ind w:left="85" w:right="85"/>
    </w:pPr>
    <w:rPr>
      <w:rFonts w:ascii="Arial" w:hAnsi="Arial"/>
      <w:b/>
      <w:sz w:val="20"/>
      <w:szCs w:val="20"/>
    </w:rPr>
  </w:style>
  <w:style w:type="character" w:customStyle="1" w:styleId="SuperScript">
    <w:name w:val="SuperScript"/>
    <w:rsid w:val="00F4614B"/>
    <w:rPr>
      <w:dstrike w:val="0"/>
      <w:vertAlign w:val="superscript"/>
    </w:rPr>
  </w:style>
  <w:style w:type="paragraph" w:customStyle="1" w:styleId="EndNoteBibliographyTitle">
    <w:name w:val="EndNote Bibliography Title"/>
    <w:basedOn w:val="Normal"/>
    <w:link w:val="EndNoteBibliographyTitleChar"/>
    <w:rsid w:val="00F4614B"/>
    <w:pPr>
      <w:spacing w:line="276" w:lineRule="auto"/>
      <w:jc w:val="center"/>
    </w:pPr>
    <w:rPr>
      <w:rFonts w:ascii="Calibri" w:eastAsiaTheme="minorHAnsi" w:hAnsi="Calibri" w:cstheme="minorBidi"/>
      <w:noProof/>
      <w:szCs w:val="22"/>
      <w:lang w:val="en-US"/>
    </w:rPr>
  </w:style>
  <w:style w:type="character" w:customStyle="1" w:styleId="EndNoteBibliographyTitleChar">
    <w:name w:val="EndNote Bibliography Title Char"/>
    <w:basedOn w:val="DefaultParagraphFont"/>
    <w:link w:val="EndNoteBibliographyTitle"/>
    <w:rsid w:val="00F4614B"/>
    <w:rPr>
      <w:rFonts w:ascii="Calibri" w:eastAsiaTheme="minorHAnsi" w:hAnsi="Calibri" w:cstheme="minorBidi"/>
      <w:noProof/>
      <w:lang w:val="en-US" w:eastAsia="en-US"/>
    </w:rPr>
  </w:style>
  <w:style w:type="paragraph" w:customStyle="1" w:styleId="EndNoteBibliography">
    <w:name w:val="EndNote Bibliography"/>
    <w:basedOn w:val="Normal"/>
    <w:link w:val="EndNoteBibliographyChar"/>
    <w:rsid w:val="00F4614B"/>
    <w:pPr>
      <w:spacing w:after="200"/>
    </w:pPr>
    <w:rPr>
      <w:rFonts w:ascii="Calibri" w:eastAsiaTheme="minorHAnsi" w:hAnsi="Calibri" w:cstheme="minorBidi"/>
      <w:noProof/>
      <w:szCs w:val="22"/>
      <w:lang w:val="en-US"/>
    </w:rPr>
  </w:style>
  <w:style w:type="character" w:customStyle="1" w:styleId="EndNoteBibliographyChar">
    <w:name w:val="EndNote Bibliography Char"/>
    <w:basedOn w:val="DefaultParagraphFont"/>
    <w:link w:val="EndNoteBibliography"/>
    <w:rsid w:val="00F4614B"/>
    <w:rPr>
      <w:rFonts w:ascii="Calibri" w:eastAsiaTheme="minorHAnsi" w:hAnsi="Calibri" w:cstheme="minorBidi"/>
      <w:noProof/>
      <w:lang w:val="en-US" w:eastAsia="en-US"/>
    </w:rPr>
  </w:style>
  <w:style w:type="paragraph" w:customStyle="1" w:styleId="Figurecaption">
    <w:name w:val="Figure caption"/>
    <w:basedOn w:val="Normal"/>
    <w:link w:val="FigurecaptionCharChar"/>
    <w:rsid w:val="00F4614B"/>
    <w:pPr>
      <w:numPr>
        <w:numId w:val="20"/>
      </w:numPr>
      <w:spacing w:before="240" w:line="80" w:lineRule="atLeast"/>
      <w:ind w:left="0" w:firstLine="0"/>
      <w:jc w:val="center"/>
    </w:pPr>
    <w:rPr>
      <w:color w:val="17365D" w:themeColor="text2" w:themeShade="BF"/>
      <w:szCs w:val="24"/>
    </w:rPr>
  </w:style>
  <w:style w:type="paragraph" w:customStyle="1" w:styleId="Bodystyle">
    <w:name w:val="Body style"/>
    <w:basedOn w:val="Normal"/>
    <w:rsid w:val="00F4614B"/>
    <w:pPr>
      <w:spacing w:after="240"/>
    </w:pPr>
    <w:rPr>
      <w:szCs w:val="24"/>
      <w:lang w:val="en-AU"/>
    </w:rPr>
  </w:style>
  <w:style w:type="character" w:customStyle="1" w:styleId="FigurecaptionCharChar">
    <w:name w:val="Figure caption Char Char"/>
    <w:basedOn w:val="DefaultParagraphFont"/>
    <w:link w:val="Figurecaption"/>
    <w:rsid w:val="00F4614B"/>
    <w:rPr>
      <w:rFonts w:ascii="Arial" w:hAnsi="Arial"/>
      <w:color w:val="17365D" w:themeColor="text2" w:themeShade="BF"/>
      <w:szCs w:val="24"/>
      <w:lang w:val="en-GB" w:eastAsia="en-US"/>
    </w:rPr>
  </w:style>
  <w:style w:type="character" w:customStyle="1" w:styleId="current-selection">
    <w:name w:val="current-selection"/>
    <w:basedOn w:val="DefaultParagraphFont"/>
    <w:rsid w:val="00F4614B"/>
  </w:style>
  <w:style w:type="character" w:customStyle="1" w:styleId="highlight">
    <w:name w:val="highlight"/>
    <w:basedOn w:val="DefaultParagraphFont"/>
    <w:rsid w:val="00F4614B"/>
  </w:style>
  <w:style w:type="character" w:customStyle="1" w:styleId="ff1">
    <w:name w:val="ff1"/>
    <w:basedOn w:val="DefaultParagraphFont"/>
    <w:rsid w:val="00F4614B"/>
  </w:style>
  <w:style w:type="character" w:customStyle="1" w:styleId="ipa1">
    <w:name w:val="ipa1"/>
    <w:rsid w:val="00F4614B"/>
    <w:rPr>
      <w:rFonts w:ascii="Arial Unicode MS" w:eastAsia="Arial Unicode MS" w:hAnsi="Arial Unicode MS" w:cs="Arial Unicode MS" w:hint="eastAsia"/>
    </w:rPr>
  </w:style>
  <w:style w:type="character" w:customStyle="1" w:styleId="plainlinks">
    <w:name w:val="plainlinks"/>
    <w:basedOn w:val="DefaultParagraphFont"/>
    <w:rsid w:val="00F4614B"/>
  </w:style>
  <w:style w:type="character" w:customStyle="1" w:styleId="geo-dms1">
    <w:name w:val="geo-dms1"/>
    <w:rsid w:val="00F4614B"/>
    <w:rPr>
      <w:vanish w:val="0"/>
      <w:webHidden w:val="0"/>
      <w:specVanish/>
    </w:rPr>
  </w:style>
  <w:style w:type="character" w:customStyle="1" w:styleId="latitude1">
    <w:name w:val="latitude1"/>
    <w:basedOn w:val="DefaultParagraphFont"/>
    <w:rsid w:val="00F4614B"/>
  </w:style>
  <w:style w:type="character" w:customStyle="1" w:styleId="longitude1">
    <w:name w:val="longitude1"/>
    <w:basedOn w:val="DefaultParagraphFont"/>
    <w:rsid w:val="00F4614B"/>
  </w:style>
  <w:style w:type="character" w:customStyle="1" w:styleId="geo-multi-punct1">
    <w:name w:val="geo-multi-punct1"/>
    <w:rsid w:val="00F4614B"/>
    <w:rPr>
      <w:vanish/>
      <w:webHidden w:val="0"/>
      <w:specVanish/>
    </w:rPr>
  </w:style>
  <w:style w:type="character" w:customStyle="1" w:styleId="geo-nondefault1">
    <w:name w:val="geo-nondefault1"/>
    <w:rsid w:val="00F4614B"/>
    <w:rPr>
      <w:vanish/>
      <w:webHidden w:val="0"/>
      <w:specVanish/>
    </w:rPr>
  </w:style>
  <w:style w:type="character" w:customStyle="1" w:styleId="geo-dec1">
    <w:name w:val="geo-dec1"/>
    <w:rsid w:val="00F4614B"/>
    <w:rPr>
      <w:vanish w:val="0"/>
      <w:webHidden w:val="0"/>
      <w:specVanish/>
    </w:rPr>
  </w:style>
  <w:style w:type="character" w:customStyle="1" w:styleId="geo">
    <w:name w:val="geo"/>
    <w:basedOn w:val="DefaultParagraphFont"/>
    <w:rsid w:val="00F4614B"/>
  </w:style>
  <w:style w:type="paragraph" w:customStyle="1" w:styleId="ParaFirst8">
    <w:name w:val="ParaFirst/8"/>
    <w:basedOn w:val="Normal"/>
    <w:rsid w:val="00F4614B"/>
    <w:pPr>
      <w:spacing w:line="300" w:lineRule="exact"/>
    </w:pPr>
    <w:rPr>
      <w:rFonts w:ascii="Times New Roman" w:hAnsi="Times New Roman"/>
      <w:sz w:val="20"/>
      <w:lang w:val="en-AU"/>
    </w:rPr>
  </w:style>
  <w:style w:type="paragraph" w:customStyle="1" w:styleId="MediumGrid1-Accent21">
    <w:name w:val="Medium Grid 1 - Accent 21"/>
    <w:basedOn w:val="Normal"/>
    <w:rsid w:val="00F4614B"/>
    <w:pPr>
      <w:spacing w:line="120" w:lineRule="atLeast"/>
      <w:contextualSpacing/>
    </w:pPr>
    <w:rPr>
      <w:rFonts w:ascii="Calibri" w:hAnsi="Calibri"/>
      <w:sz w:val="20"/>
      <w:szCs w:val="22"/>
      <w:lang w:val="en-US" w:bidi="en-US"/>
    </w:rPr>
  </w:style>
  <w:style w:type="paragraph" w:customStyle="1" w:styleId="indenthang1">
    <w:name w:val="indenthang1"/>
    <w:basedOn w:val="Normal"/>
    <w:link w:val="indenthang1Char"/>
    <w:rsid w:val="00F4614B"/>
    <w:pPr>
      <w:spacing w:before="100" w:after="100" w:line="120" w:lineRule="atLeast"/>
      <w:ind w:left="480" w:hanging="168"/>
    </w:pPr>
    <w:rPr>
      <w:sz w:val="20"/>
      <w:szCs w:val="24"/>
      <w:lang w:val="en-US"/>
    </w:rPr>
  </w:style>
  <w:style w:type="character" w:customStyle="1" w:styleId="indenthang1Char">
    <w:name w:val="indenthang1 Char"/>
    <w:basedOn w:val="DefaultParagraphFont"/>
    <w:link w:val="indenthang1"/>
    <w:rsid w:val="00F4614B"/>
    <w:rPr>
      <w:rFonts w:ascii="Arial" w:hAnsi="Arial"/>
      <w:sz w:val="20"/>
      <w:szCs w:val="24"/>
      <w:lang w:val="en-US" w:eastAsia="en-US"/>
    </w:rPr>
  </w:style>
  <w:style w:type="character" w:customStyle="1" w:styleId="esrielement1">
    <w:name w:val="esrielement1"/>
    <w:basedOn w:val="DefaultParagraphFont"/>
    <w:rsid w:val="00F4614B"/>
    <w:rPr>
      <w:b w:val="0"/>
      <w:bCs w:val="0"/>
      <w:smallCaps/>
      <w:color w:val="006400"/>
      <w:sz w:val="22"/>
      <w:szCs w:val="22"/>
    </w:rPr>
  </w:style>
  <w:style w:type="character" w:customStyle="1" w:styleId="code1">
    <w:name w:val="code1"/>
    <w:basedOn w:val="DefaultParagraphFont"/>
    <w:rsid w:val="00F4614B"/>
    <w:rPr>
      <w:rFonts w:ascii="Courier New" w:hAnsi="Courier New" w:cs="Courier New" w:hint="default"/>
    </w:rPr>
  </w:style>
  <w:style w:type="paragraph" w:customStyle="1" w:styleId="xl67">
    <w:name w:val="xl67"/>
    <w:basedOn w:val="Normal"/>
    <w:rsid w:val="00F4614B"/>
    <w:pPr>
      <w:pBdr>
        <w:top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68">
    <w:name w:val="xl68"/>
    <w:basedOn w:val="Normal"/>
    <w:rsid w:val="00F4614B"/>
    <w:pPr>
      <w:pBdr>
        <w:top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69">
    <w:name w:val="xl69"/>
    <w:basedOn w:val="Normal"/>
    <w:rsid w:val="00F4614B"/>
    <w:pPr>
      <w:pBdr>
        <w:top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0">
    <w:name w:val="xl70"/>
    <w:basedOn w:val="Normal"/>
    <w:rsid w:val="00F4614B"/>
    <w:pPr>
      <w:spacing w:before="100" w:beforeAutospacing="1" w:after="100" w:afterAutospacing="1" w:line="120" w:lineRule="atLeast"/>
      <w:jc w:val="center"/>
      <w:textAlignment w:val="center"/>
    </w:pPr>
    <w:rPr>
      <w:rFonts w:cs="Arial"/>
      <w:sz w:val="20"/>
      <w:lang w:val="en-AU" w:eastAsia="en-AU"/>
    </w:rPr>
  </w:style>
  <w:style w:type="paragraph" w:customStyle="1" w:styleId="xl71">
    <w:name w:val="xl71"/>
    <w:basedOn w:val="Normal"/>
    <w:rsid w:val="00F4614B"/>
    <w:pPr>
      <w:spacing w:before="100" w:beforeAutospacing="1" w:after="100" w:afterAutospacing="1" w:line="120" w:lineRule="atLeast"/>
      <w:jc w:val="center"/>
      <w:textAlignment w:val="center"/>
    </w:pPr>
    <w:rPr>
      <w:rFonts w:cs="Arial"/>
      <w:sz w:val="20"/>
      <w:lang w:val="en-AU" w:eastAsia="en-AU"/>
    </w:rPr>
  </w:style>
  <w:style w:type="paragraph" w:customStyle="1" w:styleId="xl72">
    <w:name w:val="xl72"/>
    <w:basedOn w:val="Normal"/>
    <w:rsid w:val="00F4614B"/>
    <w:pPr>
      <w:spacing w:before="100" w:beforeAutospacing="1" w:after="100" w:afterAutospacing="1" w:line="120" w:lineRule="atLeast"/>
      <w:jc w:val="center"/>
      <w:textAlignment w:val="center"/>
    </w:pPr>
    <w:rPr>
      <w:rFonts w:cs="Arial"/>
      <w:sz w:val="20"/>
      <w:lang w:val="en-AU" w:eastAsia="en-AU"/>
    </w:rPr>
  </w:style>
  <w:style w:type="paragraph" w:customStyle="1" w:styleId="xl73">
    <w:name w:val="xl73"/>
    <w:basedOn w:val="Normal"/>
    <w:rsid w:val="00F4614B"/>
    <w:pPr>
      <w:pBdr>
        <w:bottom w:val="single" w:sz="4"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4">
    <w:name w:val="xl74"/>
    <w:basedOn w:val="Normal"/>
    <w:rsid w:val="00F4614B"/>
    <w:pPr>
      <w:pBdr>
        <w:bottom w:val="single" w:sz="4"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5">
    <w:name w:val="xl75"/>
    <w:basedOn w:val="Normal"/>
    <w:rsid w:val="00F4614B"/>
    <w:pPr>
      <w:pBdr>
        <w:bottom w:val="single" w:sz="4"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6">
    <w:name w:val="xl76"/>
    <w:basedOn w:val="Normal"/>
    <w:rsid w:val="00F4614B"/>
    <w:pPr>
      <w:pBdr>
        <w:bottom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7">
    <w:name w:val="xl77"/>
    <w:basedOn w:val="Normal"/>
    <w:rsid w:val="00F4614B"/>
    <w:pPr>
      <w:pBdr>
        <w:bottom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8">
    <w:name w:val="xl78"/>
    <w:basedOn w:val="Normal"/>
    <w:rsid w:val="00F4614B"/>
    <w:pPr>
      <w:pBdr>
        <w:bottom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9">
    <w:name w:val="xl79"/>
    <w:basedOn w:val="Normal"/>
    <w:rsid w:val="00F4614B"/>
    <w:pP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80">
    <w:name w:val="xl80"/>
    <w:basedOn w:val="Normal"/>
    <w:rsid w:val="00F4614B"/>
    <w:pPr>
      <w:pBdr>
        <w:bottom w:val="single" w:sz="4" w:space="0" w:color="auto"/>
      </w:pBdr>
      <w:spacing w:before="100" w:beforeAutospacing="1" w:after="100" w:afterAutospacing="1" w:line="120" w:lineRule="atLeast"/>
    </w:pPr>
    <w:rPr>
      <w:rFonts w:ascii="Times New Roman" w:hAnsi="Times New Roman"/>
      <w:sz w:val="24"/>
      <w:szCs w:val="24"/>
      <w:lang w:val="en-AU" w:eastAsia="en-AU"/>
    </w:rPr>
  </w:style>
  <w:style w:type="paragraph" w:customStyle="1" w:styleId="xl63">
    <w:name w:val="xl63"/>
    <w:basedOn w:val="Normal"/>
    <w:rsid w:val="00F4614B"/>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120" w:lineRule="atLeast"/>
      <w:jc w:val="center"/>
    </w:pPr>
    <w:rPr>
      <w:rFonts w:ascii="Times New Roman" w:hAnsi="Times New Roman"/>
      <w:color w:val="000000"/>
      <w:sz w:val="20"/>
      <w:lang w:eastAsia="en-GB"/>
    </w:rPr>
  </w:style>
  <w:style w:type="paragraph" w:customStyle="1" w:styleId="xl64">
    <w:name w:val="xl64"/>
    <w:basedOn w:val="Normal"/>
    <w:rsid w:val="00F4614B"/>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120" w:lineRule="atLeast"/>
      <w:jc w:val="center"/>
    </w:pPr>
    <w:rPr>
      <w:rFonts w:ascii="Times New Roman" w:hAnsi="Times New Roman"/>
      <w:color w:val="000000"/>
      <w:sz w:val="20"/>
      <w:lang w:eastAsia="en-GB"/>
    </w:rPr>
  </w:style>
  <w:style w:type="paragraph" w:customStyle="1" w:styleId="Title1">
    <w:name w:val="Title1"/>
    <w:basedOn w:val="Normal"/>
    <w:rsid w:val="00F4614B"/>
    <w:pPr>
      <w:spacing w:before="100" w:beforeAutospacing="1" w:after="100" w:afterAutospacing="1" w:line="120" w:lineRule="atLeast"/>
    </w:pPr>
    <w:rPr>
      <w:rFonts w:ascii="Times New Roman" w:eastAsiaTheme="minorEastAsia" w:hAnsi="Times New Roman"/>
      <w:b/>
      <w:bCs/>
      <w:sz w:val="40"/>
      <w:szCs w:val="40"/>
      <w:lang w:val="en-US"/>
    </w:rPr>
  </w:style>
  <w:style w:type="paragraph" w:customStyle="1" w:styleId="font0">
    <w:name w:val="font0"/>
    <w:basedOn w:val="Normal"/>
    <w:rsid w:val="00F4614B"/>
    <w:pPr>
      <w:spacing w:before="100" w:beforeAutospacing="1" w:after="100" w:afterAutospacing="1" w:line="120" w:lineRule="atLeast"/>
    </w:pPr>
    <w:rPr>
      <w:rFonts w:ascii="Calibri" w:hAnsi="Calibri"/>
      <w:color w:val="000000"/>
      <w:szCs w:val="22"/>
      <w:lang w:val="en-AU" w:eastAsia="en-AU"/>
    </w:rPr>
  </w:style>
  <w:style w:type="paragraph" w:customStyle="1" w:styleId="font5">
    <w:name w:val="font5"/>
    <w:basedOn w:val="Normal"/>
    <w:rsid w:val="00F4614B"/>
    <w:pPr>
      <w:spacing w:before="100" w:beforeAutospacing="1" w:after="100" w:afterAutospacing="1" w:line="120" w:lineRule="atLeast"/>
    </w:pPr>
    <w:rPr>
      <w:rFonts w:ascii="Calibri" w:hAnsi="Calibri"/>
      <w:color w:val="000000"/>
      <w:szCs w:val="22"/>
      <w:lang w:val="en-AU" w:eastAsia="en-AU"/>
    </w:rPr>
  </w:style>
  <w:style w:type="paragraph" w:customStyle="1" w:styleId="font6">
    <w:name w:val="font6"/>
    <w:basedOn w:val="Normal"/>
    <w:rsid w:val="00F4614B"/>
    <w:pPr>
      <w:spacing w:before="100" w:beforeAutospacing="1" w:after="100" w:afterAutospacing="1" w:line="120" w:lineRule="atLeast"/>
    </w:pPr>
    <w:rPr>
      <w:rFonts w:ascii="Calibri" w:hAnsi="Calibri"/>
      <w:color w:val="000000"/>
      <w:szCs w:val="22"/>
      <w:lang w:val="en-AU" w:eastAsia="en-AU"/>
    </w:rPr>
  </w:style>
  <w:style w:type="paragraph" w:customStyle="1" w:styleId="xl81">
    <w:name w:val="xl81"/>
    <w:basedOn w:val="Normal"/>
    <w:rsid w:val="00F4614B"/>
    <w:pPr>
      <w:pBdr>
        <w:left w:val="single" w:sz="4" w:space="0" w:color="auto"/>
        <w:bottom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82">
    <w:name w:val="xl82"/>
    <w:basedOn w:val="Normal"/>
    <w:rsid w:val="00F4614B"/>
    <w:pPr>
      <w:pBdr>
        <w:top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83">
    <w:name w:val="xl83"/>
    <w:basedOn w:val="Normal"/>
    <w:rsid w:val="00F4614B"/>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font7">
    <w:name w:val="font7"/>
    <w:basedOn w:val="Normal"/>
    <w:rsid w:val="00F4614B"/>
    <w:pPr>
      <w:spacing w:before="100" w:beforeAutospacing="1" w:after="100" w:afterAutospacing="1" w:line="120" w:lineRule="atLeast"/>
    </w:pPr>
    <w:rPr>
      <w:rFonts w:ascii="Calibri" w:hAnsi="Calibri"/>
      <w:color w:val="000000"/>
      <w:sz w:val="20"/>
      <w:lang w:val="en-AU" w:eastAsia="en-AU"/>
    </w:rPr>
  </w:style>
  <w:style w:type="character" w:styleId="PlaceholderText">
    <w:name w:val="Placeholder Text"/>
    <w:basedOn w:val="DefaultParagraphFont"/>
    <w:uiPriority w:val="99"/>
    <w:semiHidden/>
    <w:rsid w:val="00F4614B"/>
    <w:rPr>
      <w:color w:val="808080"/>
    </w:rPr>
  </w:style>
  <w:style w:type="paragraph" w:customStyle="1" w:styleId="xl84">
    <w:name w:val="xl84"/>
    <w:basedOn w:val="Normal"/>
    <w:rsid w:val="00F4614B"/>
    <w:pP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85">
    <w:name w:val="xl85"/>
    <w:basedOn w:val="Normal"/>
    <w:rsid w:val="00F4614B"/>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86">
    <w:name w:val="xl86"/>
    <w:basedOn w:val="Normal"/>
    <w:rsid w:val="00F4614B"/>
    <w:pPr>
      <w:pBdr>
        <w:top w:val="single" w:sz="4" w:space="0" w:color="auto"/>
        <w:lef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87">
    <w:name w:val="xl87"/>
    <w:basedOn w:val="Normal"/>
    <w:rsid w:val="00F4614B"/>
    <w:pPr>
      <w:pBdr>
        <w:top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88">
    <w:name w:val="xl88"/>
    <w:basedOn w:val="Normal"/>
    <w:rsid w:val="00F4614B"/>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89">
    <w:name w:val="xl89"/>
    <w:basedOn w:val="Normal"/>
    <w:rsid w:val="00F4614B"/>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90">
    <w:name w:val="xl90"/>
    <w:basedOn w:val="Normal"/>
    <w:rsid w:val="00F4614B"/>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91">
    <w:name w:val="xl91"/>
    <w:basedOn w:val="Normal"/>
    <w:rsid w:val="00F4614B"/>
    <w:pPr>
      <w:pBdr>
        <w:top w:val="single" w:sz="4" w:space="0" w:color="auto"/>
        <w:lef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92">
    <w:name w:val="xl92"/>
    <w:basedOn w:val="Normal"/>
    <w:rsid w:val="00F4614B"/>
    <w:pPr>
      <w:pBdr>
        <w:top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93">
    <w:name w:val="xl93"/>
    <w:basedOn w:val="Normal"/>
    <w:rsid w:val="00F4614B"/>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94">
    <w:name w:val="xl94"/>
    <w:basedOn w:val="Normal"/>
    <w:rsid w:val="00F4614B"/>
    <w:pPr>
      <w:pBdr>
        <w:top w:val="single" w:sz="4" w:space="0" w:color="auto"/>
        <w:right w:val="single" w:sz="4" w:space="0" w:color="auto"/>
      </w:pBdr>
      <w:shd w:val="clear" w:color="000000" w:fill="F2F2F2"/>
      <w:spacing w:before="100" w:beforeAutospacing="1" w:after="100" w:afterAutospacing="1" w:line="120" w:lineRule="atLeast"/>
      <w:jc w:val="center"/>
    </w:pPr>
    <w:rPr>
      <w:rFonts w:ascii="Times New Roman" w:hAnsi="Times New Roman"/>
      <w:b/>
      <w:bCs/>
      <w:i/>
      <w:iCs/>
      <w:sz w:val="24"/>
      <w:szCs w:val="24"/>
      <w:lang w:val="en-AU" w:eastAsia="en-AU"/>
    </w:rPr>
  </w:style>
  <w:style w:type="paragraph" w:customStyle="1" w:styleId="xl95">
    <w:name w:val="xl95"/>
    <w:basedOn w:val="Normal"/>
    <w:rsid w:val="00F4614B"/>
    <w:pPr>
      <w:pBdr>
        <w:top w:val="single" w:sz="4" w:space="0" w:color="auto"/>
        <w:left w:val="single" w:sz="4" w:space="0" w:color="auto"/>
      </w:pBdr>
      <w:shd w:val="clear" w:color="000000" w:fill="0070C0"/>
      <w:spacing w:before="100" w:beforeAutospacing="1" w:after="100" w:afterAutospacing="1" w:line="120" w:lineRule="atLeast"/>
      <w:jc w:val="center"/>
    </w:pPr>
    <w:rPr>
      <w:rFonts w:ascii="Times New Roman" w:hAnsi="Times New Roman"/>
      <w:b/>
      <w:bCs/>
      <w:color w:val="FFFFFF"/>
      <w:sz w:val="24"/>
      <w:szCs w:val="24"/>
      <w:lang w:val="en-AU" w:eastAsia="en-AU"/>
    </w:rPr>
  </w:style>
  <w:style w:type="paragraph" w:customStyle="1" w:styleId="xl96">
    <w:name w:val="xl96"/>
    <w:basedOn w:val="Normal"/>
    <w:rsid w:val="00F4614B"/>
    <w:pPr>
      <w:pBdr>
        <w:top w:val="single" w:sz="4" w:space="0" w:color="auto"/>
      </w:pBdr>
      <w:shd w:val="clear" w:color="000000" w:fill="00B050"/>
      <w:spacing w:before="100" w:beforeAutospacing="1" w:after="100" w:afterAutospacing="1" w:line="120" w:lineRule="atLeast"/>
      <w:jc w:val="center"/>
    </w:pPr>
    <w:rPr>
      <w:rFonts w:ascii="Times New Roman" w:hAnsi="Times New Roman"/>
      <w:b/>
      <w:bCs/>
      <w:color w:val="FFFFFF"/>
      <w:sz w:val="24"/>
      <w:szCs w:val="24"/>
      <w:lang w:val="en-AU" w:eastAsia="en-AU"/>
    </w:rPr>
  </w:style>
  <w:style w:type="paragraph" w:customStyle="1" w:styleId="xl97">
    <w:name w:val="xl97"/>
    <w:basedOn w:val="Normal"/>
    <w:rsid w:val="00F4614B"/>
    <w:pPr>
      <w:pBdr>
        <w:top w:val="single" w:sz="4" w:space="0" w:color="auto"/>
      </w:pBdr>
      <w:shd w:val="clear" w:color="000000" w:fill="FF0000"/>
      <w:spacing w:before="100" w:beforeAutospacing="1" w:after="100" w:afterAutospacing="1" w:line="120" w:lineRule="atLeast"/>
      <w:jc w:val="center"/>
    </w:pPr>
    <w:rPr>
      <w:rFonts w:ascii="Times New Roman" w:hAnsi="Times New Roman"/>
      <w:b/>
      <w:bCs/>
      <w:color w:val="FFFFFF"/>
      <w:sz w:val="24"/>
      <w:szCs w:val="24"/>
      <w:lang w:val="en-AU" w:eastAsia="en-AU"/>
    </w:rPr>
  </w:style>
  <w:style w:type="paragraph" w:customStyle="1" w:styleId="xl98">
    <w:name w:val="xl98"/>
    <w:basedOn w:val="Normal"/>
    <w:rsid w:val="00F4614B"/>
    <w:pPr>
      <w:pBdr>
        <w:top w:val="single" w:sz="4" w:space="0" w:color="auto"/>
      </w:pBdr>
      <w:shd w:val="clear" w:color="000000" w:fill="C00000"/>
      <w:spacing w:before="100" w:beforeAutospacing="1" w:after="100" w:afterAutospacing="1" w:line="120" w:lineRule="atLeast"/>
      <w:jc w:val="center"/>
    </w:pPr>
    <w:rPr>
      <w:rFonts w:ascii="Times New Roman" w:hAnsi="Times New Roman"/>
      <w:b/>
      <w:bCs/>
      <w:color w:val="FFFFFF"/>
      <w:sz w:val="24"/>
      <w:szCs w:val="24"/>
      <w:lang w:val="en-AU" w:eastAsia="en-AU"/>
    </w:rPr>
  </w:style>
  <w:style w:type="paragraph" w:customStyle="1" w:styleId="xl99">
    <w:name w:val="xl99"/>
    <w:basedOn w:val="Normal"/>
    <w:rsid w:val="00F4614B"/>
    <w:pPr>
      <w:pBdr>
        <w:top w:val="single" w:sz="4" w:space="0" w:color="auto"/>
        <w:lef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00">
    <w:name w:val="xl100"/>
    <w:basedOn w:val="Normal"/>
    <w:rsid w:val="00F4614B"/>
    <w:pPr>
      <w:pBdr>
        <w:top w:val="single" w:sz="4" w:space="0" w:color="auto"/>
        <w:left w:val="single" w:sz="4" w:space="0" w:color="auto"/>
        <w:right w:val="single" w:sz="4" w:space="0" w:color="auto"/>
      </w:pBdr>
      <w:spacing w:before="100" w:beforeAutospacing="1" w:after="100" w:afterAutospacing="1" w:line="120" w:lineRule="atLeast"/>
      <w:jc w:val="center"/>
    </w:pPr>
    <w:rPr>
      <w:rFonts w:ascii="Times New Roman" w:hAnsi="Times New Roman"/>
      <w:b/>
      <w:bCs/>
      <w:sz w:val="24"/>
      <w:szCs w:val="24"/>
      <w:lang w:val="en-AU" w:eastAsia="en-AU"/>
    </w:rPr>
  </w:style>
  <w:style w:type="paragraph" w:customStyle="1" w:styleId="xl101">
    <w:name w:val="xl101"/>
    <w:basedOn w:val="Normal"/>
    <w:rsid w:val="00F4614B"/>
    <w:pPr>
      <w:pBdr>
        <w:top w:val="single" w:sz="4" w:space="0" w:color="auto"/>
        <w:left w:val="single" w:sz="4" w:space="0" w:color="auto"/>
      </w:pBdr>
      <w:spacing w:before="100" w:beforeAutospacing="1" w:after="100" w:afterAutospacing="1" w:line="120" w:lineRule="atLeast"/>
      <w:jc w:val="center"/>
    </w:pPr>
    <w:rPr>
      <w:rFonts w:ascii="Times New Roman" w:hAnsi="Times New Roman"/>
      <w:b/>
      <w:bCs/>
      <w:sz w:val="24"/>
      <w:szCs w:val="24"/>
      <w:lang w:val="en-AU" w:eastAsia="en-AU"/>
    </w:rPr>
  </w:style>
  <w:style w:type="paragraph" w:customStyle="1" w:styleId="xl102">
    <w:name w:val="xl102"/>
    <w:basedOn w:val="Normal"/>
    <w:rsid w:val="00F4614B"/>
    <w:pPr>
      <w:pBdr>
        <w:top w:val="single" w:sz="4" w:space="0" w:color="auto"/>
      </w:pBdr>
      <w:spacing w:before="100" w:beforeAutospacing="1" w:after="100" w:afterAutospacing="1" w:line="120" w:lineRule="atLeast"/>
      <w:jc w:val="center"/>
    </w:pPr>
    <w:rPr>
      <w:rFonts w:ascii="Times New Roman" w:hAnsi="Times New Roman"/>
      <w:b/>
      <w:bCs/>
      <w:sz w:val="24"/>
      <w:szCs w:val="24"/>
      <w:lang w:val="en-AU" w:eastAsia="en-AU"/>
    </w:rPr>
  </w:style>
  <w:style w:type="paragraph" w:customStyle="1" w:styleId="xl103">
    <w:name w:val="xl103"/>
    <w:basedOn w:val="Normal"/>
    <w:rsid w:val="00F4614B"/>
    <w:pPr>
      <w:pBdr>
        <w:top w:val="single" w:sz="4" w:space="0" w:color="auto"/>
        <w:right w:val="single" w:sz="4" w:space="0" w:color="auto"/>
      </w:pBdr>
      <w:shd w:val="clear" w:color="000000" w:fill="F2F2F2"/>
      <w:spacing w:before="100" w:beforeAutospacing="1" w:after="100" w:afterAutospacing="1" w:line="120" w:lineRule="atLeast"/>
      <w:jc w:val="center"/>
    </w:pPr>
    <w:rPr>
      <w:rFonts w:ascii="Times New Roman" w:hAnsi="Times New Roman"/>
      <w:b/>
      <w:bCs/>
      <w:sz w:val="24"/>
      <w:szCs w:val="24"/>
      <w:lang w:val="en-AU" w:eastAsia="en-AU"/>
    </w:rPr>
  </w:style>
  <w:style w:type="paragraph" w:customStyle="1" w:styleId="xl104">
    <w:name w:val="xl104"/>
    <w:basedOn w:val="Normal"/>
    <w:rsid w:val="00F4614B"/>
    <w:pPr>
      <w:pBdr>
        <w:left w:val="single" w:sz="4" w:space="0" w:color="auto"/>
        <w:bottom w:val="double" w:sz="6"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05">
    <w:name w:val="xl105"/>
    <w:basedOn w:val="Normal"/>
    <w:rsid w:val="00F4614B"/>
    <w:pPr>
      <w:pBdr>
        <w:lef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06">
    <w:name w:val="xl106"/>
    <w:basedOn w:val="Normal"/>
    <w:rsid w:val="00F4614B"/>
    <w:pPr>
      <w:pBdr>
        <w:left w:val="single" w:sz="4" w:space="0" w:color="auto"/>
        <w:bottom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07">
    <w:name w:val="xl107"/>
    <w:basedOn w:val="Normal"/>
    <w:rsid w:val="00F4614B"/>
    <w:pPr>
      <w:pBdr>
        <w:left w:val="single" w:sz="4" w:space="0" w:color="auto"/>
        <w:bottom w:val="single" w:sz="4" w:space="0" w:color="auto"/>
        <w:right w:val="single" w:sz="4" w:space="0" w:color="auto"/>
      </w:pBdr>
      <w:spacing w:before="100" w:beforeAutospacing="1" w:after="100" w:afterAutospacing="1" w:line="120" w:lineRule="atLeast"/>
      <w:jc w:val="center"/>
    </w:pPr>
    <w:rPr>
      <w:rFonts w:ascii="Times New Roman" w:hAnsi="Times New Roman"/>
      <w:sz w:val="24"/>
      <w:szCs w:val="24"/>
      <w:lang w:val="en-AU" w:eastAsia="en-AU"/>
    </w:rPr>
  </w:style>
  <w:style w:type="paragraph" w:customStyle="1" w:styleId="xl108">
    <w:name w:val="xl108"/>
    <w:basedOn w:val="Normal"/>
    <w:rsid w:val="00F4614B"/>
    <w:pPr>
      <w:pBdr>
        <w:top w:val="single" w:sz="4" w:space="0" w:color="auto"/>
        <w:right w:val="single" w:sz="4" w:space="0" w:color="auto"/>
      </w:pBdr>
      <w:spacing w:before="100" w:beforeAutospacing="1" w:after="100" w:afterAutospacing="1" w:line="120" w:lineRule="atLeast"/>
      <w:jc w:val="center"/>
    </w:pPr>
    <w:rPr>
      <w:rFonts w:ascii="Times New Roman" w:hAnsi="Times New Roman"/>
      <w:b/>
      <w:bCs/>
      <w:sz w:val="24"/>
      <w:szCs w:val="24"/>
      <w:lang w:val="en-AU" w:eastAsia="en-AU"/>
    </w:rPr>
  </w:style>
  <w:style w:type="paragraph" w:customStyle="1" w:styleId="xl109">
    <w:name w:val="xl109"/>
    <w:basedOn w:val="Normal"/>
    <w:rsid w:val="00F4614B"/>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10">
    <w:name w:val="xl110"/>
    <w:basedOn w:val="Normal"/>
    <w:rsid w:val="00F4614B"/>
    <w:pPr>
      <w:pBdr>
        <w:left w:val="single" w:sz="4" w:space="0" w:color="auto"/>
        <w:bottom w:val="double" w:sz="6" w:space="0" w:color="auto"/>
        <w:righ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11">
    <w:name w:val="xl111"/>
    <w:basedOn w:val="Normal"/>
    <w:rsid w:val="00F4614B"/>
    <w:pPr>
      <w:pBdr>
        <w:lef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12">
    <w:name w:val="xl112"/>
    <w:basedOn w:val="Normal"/>
    <w:rsid w:val="00F4614B"/>
    <w:pPr>
      <w:pBdr>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13">
    <w:name w:val="xl113"/>
    <w:basedOn w:val="Normal"/>
    <w:rsid w:val="00F4614B"/>
    <w:pPr>
      <w:pBdr>
        <w:left w:val="single" w:sz="4" w:space="0" w:color="auto"/>
        <w:bottom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14">
    <w:name w:val="xl114"/>
    <w:basedOn w:val="Normal"/>
    <w:rsid w:val="00F4614B"/>
    <w:pPr>
      <w:pBdr>
        <w:left w:val="single" w:sz="4" w:space="0" w:color="auto"/>
        <w:bottom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15">
    <w:name w:val="xl115"/>
    <w:basedOn w:val="Normal"/>
    <w:rsid w:val="00F4614B"/>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16">
    <w:name w:val="xl116"/>
    <w:basedOn w:val="Normal"/>
    <w:rsid w:val="00F4614B"/>
    <w:pPr>
      <w:pBdr>
        <w:left w:val="single" w:sz="4" w:space="0" w:color="auto"/>
        <w:bottom w:val="double" w:sz="6"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17">
    <w:name w:val="xl117"/>
    <w:basedOn w:val="Normal"/>
    <w:rsid w:val="00F4614B"/>
    <w:pPr>
      <w:pBdr>
        <w:top w:val="single" w:sz="4" w:space="0" w:color="auto"/>
        <w:left w:val="single" w:sz="4" w:space="0" w:color="auto"/>
      </w:pBdr>
      <w:spacing w:before="100" w:beforeAutospacing="1" w:after="100" w:afterAutospacing="1" w:line="120" w:lineRule="atLeast"/>
      <w:jc w:val="center"/>
    </w:pPr>
    <w:rPr>
      <w:rFonts w:ascii="Times New Roman" w:hAnsi="Times New Roman"/>
      <w:b/>
      <w:bCs/>
      <w:sz w:val="24"/>
      <w:szCs w:val="24"/>
      <w:lang w:val="en-AU" w:eastAsia="en-AU"/>
    </w:rPr>
  </w:style>
  <w:style w:type="numbering" w:customStyle="1" w:styleId="Style5">
    <w:name w:val="Style5"/>
    <w:uiPriority w:val="99"/>
    <w:rsid w:val="00F4614B"/>
    <w:pPr>
      <w:numPr>
        <w:numId w:val="21"/>
      </w:numPr>
    </w:pPr>
  </w:style>
  <w:style w:type="character" w:customStyle="1" w:styleId="A1">
    <w:name w:val="A1"/>
    <w:uiPriority w:val="99"/>
    <w:rsid w:val="00F4614B"/>
    <w:rPr>
      <w:rFonts w:cs="Myriad Pro"/>
      <w:color w:val="211D1E"/>
      <w:sz w:val="18"/>
      <w:szCs w:val="18"/>
    </w:rPr>
  </w:style>
  <w:style w:type="character" w:customStyle="1" w:styleId="A2">
    <w:name w:val="A2"/>
    <w:uiPriority w:val="99"/>
    <w:rsid w:val="00F4614B"/>
    <w:rPr>
      <w:rFonts w:cs="Myriad Pro"/>
      <w:color w:val="211D1E"/>
      <w:sz w:val="11"/>
      <w:szCs w:val="11"/>
    </w:rPr>
  </w:style>
  <w:style w:type="table" w:styleId="LightShading-Accent5">
    <w:name w:val="Light Shading Accent 5"/>
    <w:basedOn w:val="TableNormal"/>
    <w:uiPriority w:val="60"/>
    <w:rsid w:val="00F4614B"/>
    <w:rPr>
      <w:rFonts w:asciiTheme="minorHAnsi" w:eastAsiaTheme="minorHAnsi" w:hAnsiTheme="minorHAnsi" w:cstheme="minorBidi"/>
      <w:color w:val="31849B" w:themeColor="accent5" w:themeShade="BF"/>
      <w:lang w:eastAsia="en-US"/>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List-Accent5">
    <w:name w:val="Light List Accent 5"/>
    <w:basedOn w:val="TableNormal"/>
    <w:uiPriority w:val="61"/>
    <w:rsid w:val="00F4614B"/>
    <w:rPr>
      <w:rFonts w:asciiTheme="minorHAnsi" w:eastAsiaTheme="minorHAnsi" w:hAnsiTheme="minorHAnsi" w:cstheme="minorBidi"/>
      <w:lang w:eastAsia="en-US"/>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Shading">
    <w:name w:val="Light Shading"/>
    <w:basedOn w:val="TableNormal"/>
    <w:uiPriority w:val="60"/>
    <w:rsid w:val="00F4614B"/>
    <w:rPr>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List1-Accent5">
    <w:name w:val="Medium List 1 Accent 5"/>
    <w:basedOn w:val="TableNormal"/>
    <w:uiPriority w:val="65"/>
    <w:rsid w:val="00F4614B"/>
    <w:rPr>
      <w:color w:val="000000" w:themeColor="text1"/>
      <w:sz w:val="20"/>
      <w:szCs w:val="20"/>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Shading1-Accent5">
    <w:name w:val="Medium Shading 1 Accent 5"/>
    <w:basedOn w:val="TableNormal"/>
    <w:uiPriority w:val="63"/>
    <w:rsid w:val="00F4614B"/>
    <w:rPr>
      <w:rFonts w:asciiTheme="minorHAnsi" w:eastAsiaTheme="minorHAnsi" w:hAnsiTheme="minorHAnsi" w:cstheme="minorBidi"/>
      <w:lang w:eastAsia="en-US"/>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character" w:customStyle="1" w:styleId="A16">
    <w:name w:val="A16"/>
    <w:uiPriority w:val="99"/>
    <w:rsid w:val="00F4614B"/>
    <w:rPr>
      <w:rFonts w:ascii="Myriad Pro" w:hAnsi="Myriad Pro" w:cs="Myriad Pro"/>
      <w:color w:val="221E1F"/>
      <w:sz w:val="14"/>
      <w:szCs w:val="14"/>
    </w:rPr>
  </w:style>
  <w:style w:type="character" w:customStyle="1" w:styleId="A17">
    <w:name w:val="A17"/>
    <w:uiPriority w:val="99"/>
    <w:rsid w:val="00F4614B"/>
    <w:rPr>
      <w:rFonts w:ascii="Myriad Pro" w:hAnsi="Myriad Pro" w:cs="Myriad Pro"/>
      <w:color w:val="221E1F"/>
      <w:sz w:val="9"/>
      <w:szCs w:val="9"/>
    </w:rPr>
  </w:style>
  <w:style w:type="paragraph" w:customStyle="1" w:styleId="MHeading1">
    <w:name w:val="M_Heading1"/>
    <w:basedOn w:val="Normal"/>
    <w:rsid w:val="00F4614B"/>
    <w:pPr>
      <w:spacing w:before="240" w:after="240" w:line="340" w:lineRule="atLeast"/>
    </w:pPr>
    <w:rPr>
      <w:rFonts w:ascii="Times New Roman" w:hAnsi="Times New Roman"/>
      <w:b/>
      <w:color w:val="000000"/>
      <w:sz w:val="24"/>
      <w:lang w:val="en-US" w:eastAsia="de-DE"/>
    </w:rPr>
  </w:style>
  <w:style w:type="paragraph" w:customStyle="1" w:styleId="MText">
    <w:name w:val="M_Text"/>
    <w:basedOn w:val="Normal"/>
    <w:rsid w:val="00F4614B"/>
    <w:pPr>
      <w:spacing w:line="340" w:lineRule="atLeast"/>
      <w:ind w:firstLine="284"/>
    </w:pPr>
    <w:rPr>
      <w:rFonts w:ascii="Times New Roman" w:hAnsi="Times New Roman"/>
      <w:color w:val="000000"/>
      <w:sz w:val="24"/>
      <w:lang w:val="en-US" w:eastAsia="de-DE"/>
    </w:rPr>
  </w:style>
  <w:style w:type="paragraph" w:customStyle="1" w:styleId="MHeading2">
    <w:name w:val="M_Heading2"/>
    <w:basedOn w:val="Normal"/>
    <w:rsid w:val="00F4614B"/>
    <w:pPr>
      <w:spacing w:before="240" w:after="240" w:line="340" w:lineRule="atLeast"/>
    </w:pPr>
    <w:rPr>
      <w:rFonts w:ascii="Times New Roman" w:hAnsi="Times New Roman"/>
      <w:i/>
      <w:color w:val="000000"/>
      <w:sz w:val="24"/>
      <w:lang w:val="en-US" w:eastAsia="de-DE"/>
    </w:rPr>
  </w:style>
  <w:style w:type="paragraph" w:customStyle="1" w:styleId="MISSN">
    <w:name w:val="M_ISSN"/>
    <w:basedOn w:val="Normal"/>
    <w:rsid w:val="00F4614B"/>
    <w:pPr>
      <w:spacing w:after="520" w:line="340" w:lineRule="atLeast"/>
      <w:jc w:val="right"/>
    </w:pPr>
    <w:rPr>
      <w:rFonts w:ascii="Times New Roman" w:hAnsi="Times New Roman"/>
      <w:color w:val="000000"/>
      <w:sz w:val="24"/>
      <w:lang w:val="en-US" w:eastAsia="de-DE"/>
    </w:rPr>
  </w:style>
  <w:style w:type="numbering" w:customStyle="1" w:styleId="Style6">
    <w:name w:val="Style6"/>
    <w:uiPriority w:val="99"/>
    <w:rsid w:val="00B62802"/>
    <w:pPr>
      <w:numPr>
        <w:numId w:val="25"/>
      </w:numPr>
    </w:pPr>
  </w:style>
  <w:style w:type="paragraph" w:customStyle="1" w:styleId="normaltext">
    <w:name w:val="normaltext"/>
    <w:basedOn w:val="Normal"/>
    <w:rsid w:val="00885FD9"/>
    <w:pPr>
      <w:spacing w:before="100" w:beforeAutospacing="1" w:after="100" w:afterAutospacing="1"/>
      <w:jc w:val="left"/>
    </w:pPr>
    <w:rPr>
      <w:rFonts w:ascii="Times New Roman" w:hAnsi="Times New Roman"/>
      <w:sz w:val="24"/>
      <w:szCs w:val="24"/>
      <w:lang w:val="en-US"/>
    </w:rPr>
  </w:style>
  <w:style w:type="character" w:customStyle="1" w:styleId="st1">
    <w:name w:val="st1"/>
    <w:basedOn w:val="DefaultParagraphFont"/>
    <w:rsid w:val="008645FA"/>
  </w:style>
  <w:style w:type="paragraph" w:customStyle="1" w:styleId="appendixheading">
    <w:name w:val="appendix heading"/>
    <w:next w:val="Normal"/>
    <w:qFormat/>
    <w:rsid w:val="00C27BEB"/>
    <w:pPr>
      <w:pageBreakBefore/>
      <w:numPr>
        <w:numId w:val="27"/>
      </w:numPr>
      <w:tabs>
        <w:tab w:val="left" w:pos="1701"/>
      </w:tabs>
      <w:spacing w:before="240" w:after="120"/>
      <w:outlineLvl w:val="0"/>
    </w:pPr>
    <w:rPr>
      <w:rFonts w:ascii="Arial" w:eastAsia="MS Mincho" w:hAnsi="Arial"/>
      <w:b/>
      <w:sz w:val="32"/>
      <w:szCs w:val="20"/>
      <w:lang w:eastAsia="en-US"/>
    </w:rPr>
  </w:style>
  <w:style w:type="paragraph" w:customStyle="1" w:styleId="subappendix">
    <w:name w:val="sub appendix"/>
    <w:next w:val="Normal"/>
    <w:qFormat/>
    <w:rsid w:val="00C27BEB"/>
    <w:pPr>
      <w:numPr>
        <w:numId w:val="28"/>
      </w:numPr>
    </w:pPr>
    <w:rPr>
      <w:rFonts w:ascii="Arial" w:hAnsi="Arial"/>
      <w:b/>
      <w:sz w:val="28"/>
      <w:szCs w:val="20"/>
      <w:lang w:val="en-GB" w:eastAsia="en-US"/>
    </w:rPr>
  </w:style>
  <w:style w:type="character" w:customStyle="1" w:styleId="A10">
    <w:name w:val="A10"/>
    <w:uiPriority w:val="99"/>
    <w:rsid w:val="00846F31"/>
    <w:rPr>
      <w:rFonts w:cs="Myriad Pro"/>
      <w:color w:val="221E1F"/>
      <w:sz w:val="15"/>
      <w:szCs w:val="15"/>
    </w:rPr>
  </w:style>
  <w:style w:type="paragraph" w:customStyle="1" w:styleId="Headers">
    <w:name w:val="Headers"/>
    <w:basedOn w:val="Normal"/>
    <w:link w:val="HeadersChar"/>
    <w:qFormat/>
    <w:rsid w:val="001825AB"/>
    <w:pPr>
      <w:spacing w:after="360"/>
      <w:jc w:val="center"/>
    </w:pPr>
    <w:rPr>
      <w:rFonts w:cs="Arial"/>
      <w:b/>
      <w:color w:val="0070C0"/>
      <w:sz w:val="36"/>
      <w:szCs w:val="36"/>
      <w:lang w:val="en-AU"/>
    </w:rPr>
  </w:style>
  <w:style w:type="character" w:customStyle="1" w:styleId="HeadersChar">
    <w:name w:val="Headers Char"/>
    <w:basedOn w:val="DefaultParagraphFont"/>
    <w:link w:val="Headers"/>
    <w:rsid w:val="001825AB"/>
    <w:rPr>
      <w:rFonts w:ascii="Arial" w:hAnsi="Arial" w:cs="Arial"/>
      <w:b/>
      <w:color w:val="0070C0"/>
      <w:sz w:val="36"/>
      <w:szCs w:val="36"/>
      <w:lang w:eastAsia="en-US"/>
    </w:rPr>
  </w:style>
  <w:style w:type="character" w:customStyle="1" w:styleId="CommentTextChar1">
    <w:name w:val="Comment Text Char1"/>
    <w:uiPriority w:val="99"/>
    <w:rsid w:val="008502F3"/>
    <w:rPr>
      <w:rFonts w:eastAsia="Times New Roman"/>
      <w:color w:val="000000"/>
      <w:lang w:val="en-US" w:eastAsia="de-DE"/>
    </w:rPr>
  </w:style>
  <w:style w:type="paragraph" w:customStyle="1" w:styleId="Figuremessage">
    <w:name w:val="Figure message"/>
    <w:basedOn w:val="Normal"/>
    <w:link w:val="FiguremessageChar"/>
    <w:qFormat/>
    <w:rsid w:val="002A7F39"/>
    <w:pPr>
      <w:shd w:val="clear" w:color="auto" w:fill="DBE5F1" w:themeFill="accent1" w:themeFillTint="33"/>
      <w:spacing w:before="0" w:after="0"/>
      <w:jc w:val="left"/>
    </w:pPr>
    <w:rPr>
      <w:rFonts w:ascii="Segoe UI" w:eastAsia="Calibri" w:hAnsi="Segoe UI" w:cs="Segoe UI"/>
      <w:sz w:val="18"/>
      <w:szCs w:val="18"/>
      <w:lang w:val="en-AU"/>
    </w:rPr>
  </w:style>
  <w:style w:type="character" w:customStyle="1" w:styleId="FiguremessageChar">
    <w:name w:val="Figure message Char"/>
    <w:link w:val="Figuremessage"/>
    <w:rsid w:val="002A7F39"/>
    <w:rPr>
      <w:rFonts w:ascii="Segoe UI" w:eastAsia="Calibri" w:hAnsi="Segoe UI" w:cs="Segoe UI"/>
      <w:sz w:val="18"/>
      <w:szCs w:val="18"/>
      <w:shd w:val="clear" w:color="auto" w:fill="DBE5F1" w:themeFill="accent1" w:themeFillTint="33"/>
      <w:lang w:eastAsia="en-US"/>
    </w:rPr>
  </w:style>
  <w:style w:type="paragraph" w:customStyle="1" w:styleId="equation">
    <w:name w:val="equation"/>
    <w:basedOn w:val="Normal"/>
    <w:link w:val="equationChar"/>
    <w:qFormat/>
    <w:rsid w:val="00B66CC3"/>
    <w:pPr>
      <w:tabs>
        <w:tab w:val="right" w:pos="8931"/>
      </w:tabs>
      <w:spacing w:after="240" w:line="360" w:lineRule="auto"/>
      <w:ind w:left="567"/>
    </w:pPr>
    <w:rPr>
      <w:rFonts w:ascii="Cambria Math" w:hAnsi="Cambria Math" w:cstheme="minorHAnsi"/>
      <w:i/>
      <w:iCs/>
      <w:sz w:val="24"/>
      <w:szCs w:val="24"/>
      <w:lang w:val="en-AU" w:eastAsia="en-AU"/>
    </w:rPr>
  </w:style>
  <w:style w:type="character" w:customStyle="1" w:styleId="equationChar">
    <w:name w:val="equation Char"/>
    <w:basedOn w:val="DefaultParagraphFont"/>
    <w:link w:val="equation"/>
    <w:rsid w:val="00B66CC3"/>
    <w:rPr>
      <w:rFonts w:ascii="Cambria Math" w:hAnsi="Cambria Math" w:cstheme="minorHAnsi"/>
      <w:i/>
      <w:iCs/>
      <w:sz w:val="24"/>
      <w:szCs w:val="24"/>
    </w:rPr>
  </w:style>
  <w:style w:type="character" w:customStyle="1" w:styleId="ColorfulList-Accent1Char">
    <w:name w:val="Colorful List - Accent 1 Char"/>
    <w:basedOn w:val="DefaultParagraphFont"/>
    <w:link w:val="ColorfulList-Accent1"/>
    <w:uiPriority w:val="34"/>
    <w:locked/>
    <w:rsid w:val="00475BBF"/>
  </w:style>
  <w:style w:type="table" w:styleId="ColorfulList-Accent1">
    <w:name w:val="Colorful List Accent 1"/>
    <w:basedOn w:val="TableNormal"/>
    <w:link w:val="ColorfulList-Accent1Char"/>
    <w:uiPriority w:val="34"/>
    <w:rsid w:val="00475BBF"/>
    <w:tblPr>
      <w:tblStyleRowBandSize w:val="1"/>
      <w:tblStyleColBandSize w:val="1"/>
    </w:tblPr>
    <w:tcPr>
      <w:shd w:val="clear" w:color="auto" w:fill="EDF2F8" w:themeFill="accent1" w:themeFillTint="19"/>
    </w:tcPr>
    <w:tblStylePr w:type="firstRow">
      <w:tblPr/>
      <w:tcPr>
        <w:tcBorders>
          <w:bottom w:val="single" w:sz="12" w:space="0" w:color="FFFFFF" w:themeColor="background1"/>
        </w:tcBorders>
        <w:shd w:val="clear" w:color="auto" w:fill="9E3A38"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457085">
      <w:bodyDiv w:val="1"/>
      <w:marLeft w:val="0"/>
      <w:marRight w:val="0"/>
      <w:marTop w:val="0"/>
      <w:marBottom w:val="0"/>
      <w:divBdr>
        <w:top w:val="none" w:sz="0" w:space="0" w:color="auto"/>
        <w:left w:val="none" w:sz="0" w:space="0" w:color="auto"/>
        <w:bottom w:val="none" w:sz="0" w:space="0" w:color="auto"/>
        <w:right w:val="none" w:sz="0" w:space="0" w:color="auto"/>
      </w:divBdr>
      <w:divsChild>
        <w:div w:id="488861714">
          <w:marLeft w:val="0"/>
          <w:marRight w:val="0"/>
          <w:marTop w:val="0"/>
          <w:marBottom w:val="0"/>
          <w:divBdr>
            <w:top w:val="none" w:sz="0" w:space="0" w:color="auto"/>
            <w:left w:val="none" w:sz="0" w:space="0" w:color="auto"/>
            <w:bottom w:val="none" w:sz="0" w:space="0" w:color="auto"/>
            <w:right w:val="none" w:sz="0" w:space="0" w:color="auto"/>
          </w:divBdr>
          <w:divsChild>
            <w:div w:id="2076974760">
              <w:marLeft w:val="0"/>
              <w:marRight w:val="0"/>
              <w:marTop w:val="0"/>
              <w:marBottom w:val="0"/>
              <w:divBdr>
                <w:top w:val="none" w:sz="0" w:space="0" w:color="auto"/>
                <w:left w:val="none" w:sz="0" w:space="0" w:color="auto"/>
                <w:bottom w:val="none" w:sz="0" w:space="0" w:color="auto"/>
                <w:right w:val="none" w:sz="0" w:space="0" w:color="auto"/>
              </w:divBdr>
              <w:divsChild>
                <w:div w:id="1110049348">
                  <w:marLeft w:val="0"/>
                  <w:marRight w:val="0"/>
                  <w:marTop w:val="0"/>
                  <w:marBottom w:val="0"/>
                  <w:divBdr>
                    <w:top w:val="none" w:sz="0" w:space="0" w:color="auto"/>
                    <w:left w:val="none" w:sz="0" w:space="0" w:color="auto"/>
                    <w:bottom w:val="none" w:sz="0" w:space="0" w:color="auto"/>
                    <w:right w:val="none" w:sz="0" w:space="0" w:color="auto"/>
                  </w:divBdr>
                  <w:divsChild>
                    <w:div w:id="167986780">
                      <w:marLeft w:val="0"/>
                      <w:marRight w:val="0"/>
                      <w:marTop w:val="0"/>
                      <w:marBottom w:val="0"/>
                      <w:divBdr>
                        <w:top w:val="none" w:sz="0" w:space="0" w:color="auto"/>
                        <w:left w:val="none" w:sz="0" w:space="0" w:color="auto"/>
                        <w:bottom w:val="none" w:sz="0" w:space="0" w:color="auto"/>
                        <w:right w:val="none" w:sz="0" w:space="0" w:color="auto"/>
                      </w:divBdr>
                      <w:divsChild>
                        <w:div w:id="957836749">
                          <w:marLeft w:val="0"/>
                          <w:marRight w:val="0"/>
                          <w:marTop w:val="0"/>
                          <w:marBottom w:val="0"/>
                          <w:divBdr>
                            <w:top w:val="none" w:sz="0" w:space="0" w:color="auto"/>
                            <w:left w:val="none" w:sz="0" w:space="0" w:color="auto"/>
                            <w:bottom w:val="none" w:sz="0" w:space="0" w:color="auto"/>
                            <w:right w:val="none" w:sz="0" w:space="0" w:color="auto"/>
                          </w:divBdr>
                          <w:divsChild>
                            <w:div w:id="142041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219557">
      <w:bodyDiv w:val="1"/>
      <w:marLeft w:val="0"/>
      <w:marRight w:val="0"/>
      <w:marTop w:val="0"/>
      <w:marBottom w:val="0"/>
      <w:divBdr>
        <w:top w:val="none" w:sz="0" w:space="0" w:color="auto"/>
        <w:left w:val="none" w:sz="0" w:space="0" w:color="auto"/>
        <w:bottom w:val="none" w:sz="0" w:space="0" w:color="auto"/>
        <w:right w:val="none" w:sz="0" w:space="0" w:color="auto"/>
      </w:divBdr>
    </w:div>
    <w:div w:id="78673580">
      <w:bodyDiv w:val="1"/>
      <w:marLeft w:val="0"/>
      <w:marRight w:val="0"/>
      <w:marTop w:val="0"/>
      <w:marBottom w:val="0"/>
      <w:divBdr>
        <w:top w:val="none" w:sz="0" w:space="0" w:color="auto"/>
        <w:left w:val="none" w:sz="0" w:space="0" w:color="auto"/>
        <w:bottom w:val="none" w:sz="0" w:space="0" w:color="auto"/>
        <w:right w:val="none" w:sz="0" w:space="0" w:color="auto"/>
      </w:divBdr>
    </w:div>
    <w:div w:id="96028386">
      <w:bodyDiv w:val="1"/>
      <w:marLeft w:val="0"/>
      <w:marRight w:val="0"/>
      <w:marTop w:val="0"/>
      <w:marBottom w:val="0"/>
      <w:divBdr>
        <w:top w:val="none" w:sz="0" w:space="0" w:color="auto"/>
        <w:left w:val="none" w:sz="0" w:space="0" w:color="auto"/>
        <w:bottom w:val="none" w:sz="0" w:space="0" w:color="auto"/>
        <w:right w:val="none" w:sz="0" w:space="0" w:color="auto"/>
      </w:divBdr>
      <w:divsChild>
        <w:div w:id="221984081">
          <w:marLeft w:val="0"/>
          <w:marRight w:val="0"/>
          <w:marTop w:val="0"/>
          <w:marBottom w:val="0"/>
          <w:divBdr>
            <w:top w:val="none" w:sz="0" w:space="0" w:color="auto"/>
            <w:left w:val="none" w:sz="0" w:space="0" w:color="auto"/>
            <w:bottom w:val="none" w:sz="0" w:space="0" w:color="auto"/>
            <w:right w:val="none" w:sz="0" w:space="0" w:color="auto"/>
          </w:divBdr>
          <w:divsChild>
            <w:div w:id="606081209">
              <w:marLeft w:val="0"/>
              <w:marRight w:val="0"/>
              <w:marTop w:val="0"/>
              <w:marBottom w:val="0"/>
              <w:divBdr>
                <w:top w:val="none" w:sz="0" w:space="0" w:color="auto"/>
                <w:left w:val="none" w:sz="0" w:space="0" w:color="auto"/>
                <w:bottom w:val="none" w:sz="0" w:space="0" w:color="auto"/>
                <w:right w:val="none" w:sz="0" w:space="0" w:color="auto"/>
              </w:divBdr>
              <w:divsChild>
                <w:div w:id="139734434">
                  <w:marLeft w:val="0"/>
                  <w:marRight w:val="0"/>
                  <w:marTop w:val="0"/>
                  <w:marBottom w:val="0"/>
                  <w:divBdr>
                    <w:top w:val="none" w:sz="0" w:space="0" w:color="auto"/>
                    <w:left w:val="none" w:sz="0" w:space="0" w:color="auto"/>
                    <w:bottom w:val="none" w:sz="0" w:space="0" w:color="auto"/>
                    <w:right w:val="none" w:sz="0" w:space="0" w:color="auto"/>
                  </w:divBdr>
                  <w:divsChild>
                    <w:div w:id="1509950348">
                      <w:marLeft w:val="0"/>
                      <w:marRight w:val="0"/>
                      <w:marTop w:val="0"/>
                      <w:marBottom w:val="0"/>
                      <w:divBdr>
                        <w:top w:val="none" w:sz="0" w:space="0" w:color="auto"/>
                        <w:left w:val="none" w:sz="0" w:space="0" w:color="auto"/>
                        <w:bottom w:val="none" w:sz="0" w:space="0" w:color="auto"/>
                        <w:right w:val="none" w:sz="0" w:space="0" w:color="auto"/>
                      </w:divBdr>
                      <w:divsChild>
                        <w:div w:id="267203303">
                          <w:marLeft w:val="0"/>
                          <w:marRight w:val="0"/>
                          <w:marTop w:val="0"/>
                          <w:marBottom w:val="0"/>
                          <w:divBdr>
                            <w:top w:val="none" w:sz="0" w:space="0" w:color="auto"/>
                            <w:left w:val="none" w:sz="0" w:space="0" w:color="auto"/>
                            <w:bottom w:val="none" w:sz="0" w:space="0" w:color="auto"/>
                            <w:right w:val="none" w:sz="0" w:space="0" w:color="auto"/>
                          </w:divBdr>
                          <w:divsChild>
                            <w:div w:id="1365442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756971">
      <w:bodyDiv w:val="1"/>
      <w:marLeft w:val="0"/>
      <w:marRight w:val="0"/>
      <w:marTop w:val="0"/>
      <w:marBottom w:val="0"/>
      <w:divBdr>
        <w:top w:val="none" w:sz="0" w:space="0" w:color="auto"/>
        <w:left w:val="none" w:sz="0" w:space="0" w:color="auto"/>
        <w:bottom w:val="none" w:sz="0" w:space="0" w:color="auto"/>
        <w:right w:val="none" w:sz="0" w:space="0" w:color="auto"/>
      </w:divBdr>
    </w:div>
    <w:div w:id="132867573">
      <w:bodyDiv w:val="1"/>
      <w:marLeft w:val="0"/>
      <w:marRight w:val="0"/>
      <w:marTop w:val="0"/>
      <w:marBottom w:val="0"/>
      <w:divBdr>
        <w:top w:val="none" w:sz="0" w:space="0" w:color="auto"/>
        <w:left w:val="none" w:sz="0" w:space="0" w:color="auto"/>
        <w:bottom w:val="none" w:sz="0" w:space="0" w:color="auto"/>
        <w:right w:val="none" w:sz="0" w:space="0" w:color="auto"/>
      </w:divBdr>
    </w:div>
    <w:div w:id="142281324">
      <w:bodyDiv w:val="1"/>
      <w:marLeft w:val="0"/>
      <w:marRight w:val="0"/>
      <w:marTop w:val="0"/>
      <w:marBottom w:val="0"/>
      <w:divBdr>
        <w:top w:val="none" w:sz="0" w:space="0" w:color="auto"/>
        <w:left w:val="none" w:sz="0" w:space="0" w:color="auto"/>
        <w:bottom w:val="none" w:sz="0" w:space="0" w:color="auto"/>
        <w:right w:val="none" w:sz="0" w:space="0" w:color="auto"/>
      </w:divBdr>
    </w:div>
    <w:div w:id="152374779">
      <w:bodyDiv w:val="1"/>
      <w:marLeft w:val="0"/>
      <w:marRight w:val="0"/>
      <w:marTop w:val="0"/>
      <w:marBottom w:val="0"/>
      <w:divBdr>
        <w:top w:val="none" w:sz="0" w:space="0" w:color="auto"/>
        <w:left w:val="none" w:sz="0" w:space="0" w:color="auto"/>
        <w:bottom w:val="none" w:sz="0" w:space="0" w:color="auto"/>
        <w:right w:val="none" w:sz="0" w:space="0" w:color="auto"/>
      </w:divBdr>
    </w:div>
    <w:div w:id="167449689">
      <w:bodyDiv w:val="1"/>
      <w:marLeft w:val="0"/>
      <w:marRight w:val="0"/>
      <w:marTop w:val="0"/>
      <w:marBottom w:val="0"/>
      <w:divBdr>
        <w:top w:val="none" w:sz="0" w:space="0" w:color="auto"/>
        <w:left w:val="none" w:sz="0" w:space="0" w:color="auto"/>
        <w:bottom w:val="none" w:sz="0" w:space="0" w:color="auto"/>
        <w:right w:val="none" w:sz="0" w:space="0" w:color="auto"/>
      </w:divBdr>
    </w:div>
    <w:div w:id="183137474">
      <w:bodyDiv w:val="1"/>
      <w:marLeft w:val="0"/>
      <w:marRight w:val="0"/>
      <w:marTop w:val="0"/>
      <w:marBottom w:val="0"/>
      <w:divBdr>
        <w:top w:val="none" w:sz="0" w:space="0" w:color="auto"/>
        <w:left w:val="none" w:sz="0" w:space="0" w:color="auto"/>
        <w:bottom w:val="none" w:sz="0" w:space="0" w:color="auto"/>
        <w:right w:val="none" w:sz="0" w:space="0" w:color="auto"/>
      </w:divBdr>
    </w:div>
    <w:div w:id="200437273">
      <w:bodyDiv w:val="1"/>
      <w:marLeft w:val="0"/>
      <w:marRight w:val="0"/>
      <w:marTop w:val="0"/>
      <w:marBottom w:val="0"/>
      <w:divBdr>
        <w:top w:val="none" w:sz="0" w:space="0" w:color="auto"/>
        <w:left w:val="none" w:sz="0" w:space="0" w:color="auto"/>
        <w:bottom w:val="none" w:sz="0" w:space="0" w:color="auto"/>
        <w:right w:val="none" w:sz="0" w:space="0" w:color="auto"/>
      </w:divBdr>
    </w:div>
    <w:div w:id="203560363">
      <w:bodyDiv w:val="1"/>
      <w:marLeft w:val="0"/>
      <w:marRight w:val="0"/>
      <w:marTop w:val="0"/>
      <w:marBottom w:val="0"/>
      <w:divBdr>
        <w:top w:val="none" w:sz="0" w:space="0" w:color="auto"/>
        <w:left w:val="none" w:sz="0" w:space="0" w:color="auto"/>
        <w:bottom w:val="none" w:sz="0" w:space="0" w:color="auto"/>
        <w:right w:val="none" w:sz="0" w:space="0" w:color="auto"/>
      </w:divBdr>
    </w:div>
    <w:div w:id="243488938">
      <w:bodyDiv w:val="1"/>
      <w:marLeft w:val="0"/>
      <w:marRight w:val="0"/>
      <w:marTop w:val="0"/>
      <w:marBottom w:val="0"/>
      <w:divBdr>
        <w:top w:val="none" w:sz="0" w:space="0" w:color="auto"/>
        <w:left w:val="none" w:sz="0" w:space="0" w:color="auto"/>
        <w:bottom w:val="none" w:sz="0" w:space="0" w:color="auto"/>
        <w:right w:val="none" w:sz="0" w:space="0" w:color="auto"/>
      </w:divBdr>
    </w:div>
    <w:div w:id="252083586">
      <w:bodyDiv w:val="1"/>
      <w:marLeft w:val="0"/>
      <w:marRight w:val="0"/>
      <w:marTop w:val="0"/>
      <w:marBottom w:val="0"/>
      <w:divBdr>
        <w:top w:val="none" w:sz="0" w:space="0" w:color="auto"/>
        <w:left w:val="none" w:sz="0" w:space="0" w:color="auto"/>
        <w:bottom w:val="none" w:sz="0" w:space="0" w:color="auto"/>
        <w:right w:val="none" w:sz="0" w:space="0" w:color="auto"/>
      </w:divBdr>
    </w:div>
    <w:div w:id="276331831">
      <w:bodyDiv w:val="1"/>
      <w:marLeft w:val="0"/>
      <w:marRight w:val="0"/>
      <w:marTop w:val="0"/>
      <w:marBottom w:val="0"/>
      <w:divBdr>
        <w:top w:val="none" w:sz="0" w:space="0" w:color="auto"/>
        <w:left w:val="none" w:sz="0" w:space="0" w:color="auto"/>
        <w:bottom w:val="none" w:sz="0" w:space="0" w:color="auto"/>
        <w:right w:val="none" w:sz="0" w:space="0" w:color="auto"/>
      </w:divBdr>
      <w:divsChild>
        <w:div w:id="31274091">
          <w:marLeft w:val="446"/>
          <w:marRight w:val="0"/>
          <w:marTop w:val="0"/>
          <w:marBottom w:val="0"/>
          <w:divBdr>
            <w:top w:val="none" w:sz="0" w:space="0" w:color="auto"/>
            <w:left w:val="none" w:sz="0" w:space="0" w:color="auto"/>
            <w:bottom w:val="none" w:sz="0" w:space="0" w:color="auto"/>
            <w:right w:val="none" w:sz="0" w:space="0" w:color="auto"/>
          </w:divBdr>
        </w:div>
        <w:div w:id="781412624">
          <w:marLeft w:val="446"/>
          <w:marRight w:val="0"/>
          <w:marTop w:val="0"/>
          <w:marBottom w:val="0"/>
          <w:divBdr>
            <w:top w:val="none" w:sz="0" w:space="0" w:color="auto"/>
            <w:left w:val="none" w:sz="0" w:space="0" w:color="auto"/>
            <w:bottom w:val="none" w:sz="0" w:space="0" w:color="auto"/>
            <w:right w:val="none" w:sz="0" w:space="0" w:color="auto"/>
          </w:divBdr>
        </w:div>
      </w:divsChild>
    </w:div>
    <w:div w:id="294526214">
      <w:bodyDiv w:val="1"/>
      <w:marLeft w:val="0"/>
      <w:marRight w:val="0"/>
      <w:marTop w:val="0"/>
      <w:marBottom w:val="0"/>
      <w:divBdr>
        <w:top w:val="none" w:sz="0" w:space="0" w:color="auto"/>
        <w:left w:val="none" w:sz="0" w:space="0" w:color="auto"/>
        <w:bottom w:val="none" w:sz="0" w:space="0" w:color="auto"/>
        <w:right w:val="none" w:sz="0" w:space="0" w:color="auto"/>
      </w:divBdr>
    </w:div>
    <w:div w:id="316493262">
      <w:bodyDiv w:val="1"/>
      <w:marLeft w:val="0"/>
      <w:marRight w:val="0"/>
      <w:marTop w:val="0"/>
      <w:marBottom w:val="0"/>
      <w:divBdr>
        <w:top w:val="none" w:sz="0" w:space="0" w:color="auto"/>
        <w:left w:val="none" w:sz="0" w:space="0" w:color="auto"/>
        <w:bottom w:val="none" w:sz="0" w:space="0" w:color="auto"/>
        <w:right w:val="none" w:sz="0" w:space="0" w:color="auto"/>
      </w:divBdr>
    </w:div>
    <w:div w:id="346563669">
      <w:bodyDiv w:val="1"/>
      <w:marLeft w:val="0"/>
      <w:marRight w:val="0"/>
      <w:marTop w:val="0"/>
      <w:marBottom w:val="0"/>
      <w:divBdr>
        <w:top w:val="none" w:sz="0" w:space="0" w:color="auto"/>
        <w:left w:val="none" w:sz="0" w:space="0" w:color="auto"/>
        <w:bottom w:val="none" w:sz="0" w:space="0" w:color="auto"/>
        <w:right w:val="none" w:sz="0" w:space="0" w:color="auto"/>
      </w:divBdr>
    </w:div>
    <w:div w:id="347683399">
      <w:bodyDiv w:val="1"/>
      <w:marLeft w:val="0"/>
      <w:marRight w:val="0"/>
      <w:marTop w:val="0"/>
      <w:marBottom w:val="0"/>
      <w:divBdr>
        <w:top w:val="none" w:sz="0" w:space="0" w:color="auto"/>
        <w:left w:val="none" w:sz="0" w:space="0" w:color="auto"/>
        <w:bottom w:val="none" w:sz="0" w:space="0" w:color="auto"/>
        <w:right w:val="none" w:sz="0" w:space="0" w:color="auto"/>
      </w:divBdr>
      <w:divsChild>
        <w:div w:id="710690424">
          <w:marLeft w:val="0"/>
          <w:marRight w:val="0"/>
          <w:marTop w:val="0"/>
          <w:marBottom w:val="0"/>
          <w:divBdr>
            <w:top w:val="none" w:sz="0" w:space="0" w:color="auto"/>
            <w:left w:val="none" w:sz="0" w:space="0" w:color="auto"/>
            <w:bottom w:val="none" w:sz="0" w:space="0" w:color="auto"/>
            <w:right w:val="none" w:sz="0" w:space="0" w:color="auto"/>
          </w:divBdr>
          <w:divsChild>
            <w:div w:id="516625477">
              <w:marLeft w:val="0"/>
              <w:marRight w:val="0"/>
              <w:marTop w:val="0"/>
              <w:marBottom w:val="0"/>
              <w:divBdr>
                <w:top w:val="none" w:sz="0" w:space="0" w:color="auto"/>
                <w:left w:val="none" w:sz="0" w:space="0" w:color="auto"/>
                <w:bottom w:val="none" w:sz="0" w:space="0" w:color="auto"/>
                <w:right w:val="none" w:sz="0" w:space="0" w:color="auto"/>
              </w:divBdr>
              <w:divsChild>
                <w:div w:id="752630749">
                  <w:marLeft w:val="0"/>
                  <w:marRight w:val="0"/>
                  <w:marTop w:val="0"/>
                  <w:marBottom w:val="0"/>
                  <w:divBdr>
                    <w:top w:val="none" w:sz="0" w:space="0" w:color="auto"/>
                    <w:left w:val="none" w:sz="0" w:space="0" w:color="auto"/>
                    <w:bottom w:val="none" w:sz="0" w:space="0" w:color="auto"/>
                    <w:right w:val="none" w:sz="0" w:space="0" w:color="auto"/>
                  </w:divBdr>
                  <w:divsChild>
                    <w:div w:id="552230770">
                      <w:marLeft w:val="0"/>
                      <w:marRight w:val="0"/>
                      <w:marTop w:val="0"/>
                      <w:marBottom w:val="0"/>
                      <w:divBdr>
                        <w:top w:val="none" w:sz="0" w:space="0" w:color="auto"/>
                        <w:left w:val="none" w:sz="0" w:space="0" w:color="auto"/>
                        <w:bottom w:val="none" w:sz="0" w:space="0" w:color="auto"/>
                        <w:right w:val="none" w:sz="0" w:space="0" w:color="auto"/>
                      </w:divBdr>
                      <w:divsChild>
                        <w:div w:id="2127968384">
                          <w:marLeft w:val="0"/>
                          <w:marRight w:val="0"/>
                          <w:marTop w:val="0"/>
                          <w:marBottom w:val="0"/>
                          <w:divBdr>
                            <w:top w:val="none" w:sz="0" w:space="0" w:color="auto"/>
                            <w:left w:val="none" w:sz="0" w:space="0" w:color="auto"/>
                            <w:bottom w:val="none" w:sz="0" w:space="0" w:color="auto"/>
                            <w:right w:val="none" w:sz="0" w:space="0" w:color="auto"/>
                          </w:divBdr>
                          <w:divsChild>
                            <w:div w:id="1213807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5370298">
      <w:bodyDiv w:val="1"/>
      <w:marLeft w:val="0"/>
      <w:marRight w:val="0"/>
      <w:marTop w:val="0"/>
      <w:marBottom w:val="0"/>
      <w:divBdr>
        <w:top w:val="none" w:sz="0" w:space="0" w:color="auto"/>
        <w:left w:val="none" w:sz="0" w:space="0" w:color="auto"/>
        <w:bottom w:val="none" w:sz="0" w:space="0" w:color="auto"/>
        <w:right w:val="none" w:sz="0" w:space="0" w:color="auto"/>
      </w:divBdr>
    </w:div>
    <w:div w:id="374240843">
      <w:bodyDiv w:val="1"/>
      <w:marLeft w:val="0"/>
      <w:marRight w:val="0"/>
      <w:marTop w:val="0"/>
      <w:marBottom w:val="0"/>
      <w:divBdr>
        <w:top w:val="none" w:sz="0" w:space="0" w:color="auto"/>
        <w:left w:val="none" w:sz="0" w:space="0" w:color="auto"/>
        <w:bottom w:val="none" w:sz="0" w:space="0" w:color="auto"/>
        <w:right w:val="none" w:sz="0" w:space="0" w:color="auto"/>
      </w:divBdr>
    </w:div>
    <w:div w:id="383143857">
      <w:bodyDiv w:val="1"/>
      <w:marLeft w:val="0"/>
      <w:marRight w:val="0"/>
      <w:marTop w:val="0"/>
      <w:marBottom w:val="0"/>
      <w:divBdr>
        <w:top w:val="none" w:sz="0" w:space="0" w:color="auto"/>
        <w:left w:val="none" w:sz="0" w:space="0" w:color="auto"/>
        <w:bottom w:val="none" w:sz="0" w:space="0" w:color="auto"/>
        <w:right w:val="none" w:sz="0" w:space="0" w:color="auto"/>
      </w:divBdr>
    </w:div>
    <w:div w:id="387850092">
      <w:bodyDiv w:val="1"/>
      <w:marLeft w:val="0"/>
      <w:marRight w:val="0"/>
      <w:marTop w:val="0"/>
      <w:marBottom w:val="0"/>
      <w:divBdr>
        <w:top w:val="none" w:sz="0" w:space="0" w:color="auto"/>
        <w:left w:val="none" w:sz="0" w:space="0" w:color="auto"/>
        <w:bottom w:val="none" w:sz="0" w:space="0" w:color="auto"/>
        <w:right w:val="none" w:sz="0" w:space="0" w:color="auto"/>
      </w:divBdr>
    </w:div>
    <w:div w:id="422336035">
      <w:bodyDiv w:val="1"/>
      <w:marLeft w:val="0"/>
      <w:marRight w:val="0"/>
      <w:marTop w:val="0"/>
      <w:marBottom w:val="0"/>
      <w:divBdr>
        <w:top w:val="none" w:sz="0" w:space="0" w:color="auto"/>
        <w:left w:val="none" w:sz="0" w:space="0" w:color="auto"/>
        <w:bottom w:val="none" w:sz="0" w:space="0" w:color="auto"/>
        <w:right w:val="none" w:sz="0" w:space="0" w:color="auto"/>
      </w:divBdr>
    </w:div>
    <w:div w:id="437288663">
      <w:bodyDiv w:val="1"/>
      <w:marLeft w:val="0"/>
      <w:marRight w:val="0"/>
      <w:marTop w:val="0"/>
      <w:marBottom w:val="0"/>
      <w:divBdr>
        <w:top w:val="none" w:sz="0" w:space="0" w:color="auto"/>
        <w:left w:val="none" w:sz="0" w:space="0" w:color="auto"/>
        <w:bottom w:val="none" w:sz="0" w:space="0" w:color="auto"/>
        <w:right w:val="none" w:sz="0" w:space="0" w:color="auto"/>
      </w:divBdr>
    </w:div>
    <w:div w:id="437600170">
      <w:bodyDiv w:val="1"/>
      <w:marLeft w:val="0"/>
      <w:marRight w:val="0"/>
      <w:marTop w:val="0"/>
      <w:marBottom w:val="0"/>
      <w:divBdr>
        <w:top w:val="none" w:sz="0" w:space="0" w:color="auto"/>
        <w:left w:val="none" w:sz="0" w:space="0" w:color="auto"/>
        <w:bottom w:val="none" w:sz="0" w:space="0" w:color="auto"/>
        <w:right w:val="none" w:sz="0" w:space="0" w:color="auto"/>
      </w:divBdr>
    </w:div>
    <w:div w:id="449399178">
      <w:bodyDiv w:val="1"/>
      <w:marLeft w:val="0"/>
      <w:marRight w:val="0"/>
      <w:marTop w:val="0"/>
      <w:marBottom w:val="0"/>
      <w:divBdr>
        <w:top w:val="none" w:sz="0" w:space="0" w:color="auto"/>
        <w:left w:val="none" w:sz="0" w:space="0" w:color="auto"/>
        <w:bottom w:val="none" w:sz="0" w:space="0" w:color="auto"/>
        <w:right w:val="none" w:sz="0" w:space="0" w:color="auto"/>
      </w:divBdr>
    </w:div>
    <w:div w:id="450439410">
      <w:bodyDiv w:val="1"/>
      <w:marLeft w:val="0"/>
      <w:marRight w:val="0"/>
      <w:marTop w:val="0"/>
      <w:marBottom w:val="0"/>
      <w:divBdr>
        <w:top w:val="none" w:sz="0" w:space="0" w:color="auto"/>
        <w:left w:val="none" w:sz="0" w:space="0" w:color="auto"/>
        <w:bottom w:val="none" w:sz="0" w:space="0" w:color="auto"/>
        <w:right w:val="none" w:sz="0" w:space="0" w:color="auto"/>
      </w:divBdr>
    </w:div>
    <w:div w:id="452749959">
      <w:bodyDiv w:val="1"/>
      <w:marLeft w:val="0"/>
      <w:marRight w:val="0"/>
      <w:marTop w:val="0"/>
      <w:marBottom w:val="0"/>
      <w:divBdr>
        <w:top w:val="none" w:sz="0" w:space="0" w:color="auto"/>
        <w:left w:val="none" w:sz="0" w:space="0" w:color="auto"/>
        <w:bottom w:val="none" w:sz="0" w:space="0" w:color="auto"/>
        <w:right w:val="none" w:sz="0" w:space="0" w:color="auto"/>
      </w:divBdr>
    </w:div>
    <w:div w:id="460265189">
      <w:bodyDiv w:val="1"/>
      <w:marLeft w:val="0"/>
      <w:marRight w:val="0"/>
      <w:marTop w:val="0"/>
      <w:marBottom w:val="0"/>
      <w:divBdr>
        <w:top w:val="none" w:sz="0" w:space="0" w:color="auto"/>
        <w:left w:val="none" w:sz="0" w:space="0" w:color="auto"/>
        <w:bottom w:val="none" w:sz="0" w:space="0" w:color="auto"/>
        <w:right w:val="none" w:sz="0" w:space="0" w:color="auto"/>
      </w:divBdr>
    </w:div>
    <w:div w:id="524247776">
      <w:bodyDiv w:val="1"/>
      <w:marLeft w:val="0"/>
      <w:marRight w:val="0"/>
      <w:marTop w:val="0"/>
      <w:marBottom w:val="0"/>
      <w:divBdr>
        <w:top w:val="none" w:sz="0" w:space="0" w:color="auto"/>
        <w:left w:val="none" w:sz="0" w:space="0" w:color="auto"/>
        <w:bottom w:val="none" w:sz="0" w:space="0" w:color="auto"/>
        <w:right w:val="none" w:sz="0" w:space="0" w:color="auto"/>
      </w:divBdr>
    </w:div>
    <w:div w:id="552040640">
      <w:bodyDiv w:val="1"/>
      <w:marLeft w:val="0"/>
      <w:marRight w:val="0"/>
      <w:marTop w:val="0"/>
      <w:marBottom w:val="0"/>
      <w:divBdr>
        <w:top w:val="none" w:sz="0" w:space="0" w:color="auto"/>
        <w:left w:val="none" w:sz="0" w:space="0" w:color="auto"/>
        <w:bottom w:val="none" w:sz="0" w:space="0" w:color="auto"/>
        <w:right w:val="none" w:sz="0" w:space="0" w:color="auto"/>
      </w:divBdr>
      <w:divsChild>
        <w:div w:id="405760355">
          <w:marLeft w:val="0"/>
          <w:marRight w:val="0"/>
          <w:marTop w:val="0"/>
          <w:marBottom w:val="0"/>
          <w:divBdr>
            <w:top w:val="none" w:sz="0" w:space="0" w:color="auto"/>
            <w:left w:val="none" w:sz="0" w:space="0" w:color="auto"/>
            <w:bottom w:val="none" w:sz="0" w:space="0" w:color="auto"/>
            <w:right w:val="none" w:sz="0" w:space="0" w:color="auto"/>
          </w:divBdr>
        </w:div>
      </w:divsChild>
    </w:div>
    <w:div w:id="560408714">
      <w:bodyDiv w:val="1"/>
      <w:marLeft w:val="0"/>
      <w:marRight w:val="0"/>
      <w:marTop w:val="0"/>
      <w:marBottom w:val="0"/>
      <w:divBdr>
        <w:top w:val="none" w:sz="0" w:space="0" w:color="auto"/>
        <w:left w:val="none" w:sz="0" w:space="0" w:color="auto"/>
        <w:bottom w:val="none" w:sz="0" w:space="0" w:color="auto"/>
        <w:right w:val="none" w:sz="0" w:space="0" w:color="auto"/>
      </w:divBdr>
    </w:div>
    <w:div w:id="568853598">
      <w:bodyDiv w:val="1"/>
      <w:marLeft w:val="0"/>
      <w:marRight w:val="0"/>
      <w:marTop w:val="0"/>
      <w:marBottom w:val="0"/>
      <w:divBdr>
        <w:top w:val="none" w:sz="0" w:space="0" w:color="auto"/>
        <w:left w:val="none" w:sz="0" w:space="0" w:color="auto"/>
        <w:bottom w:val="none" w:sz="0" w:space="0" w:color="auto"/>
        <w:right w:val="none" w:sz="0" w:space="0" w:color="auto"/>
      </w:divBdr>
    </w:div>
    <w:div w:id="589043659">
      <w:bodyDiv w:val="1"/>
      <w:marLeft w:val="0"/>
      <w:marRight w:val="0"/>
      <w:marTop w:val="0"/>
      <w:marBottom w:val="0"/>
      <w:divBdr>
        <w:top w:val="none" w:sz="0" w:space="0" w:color="auto"/>
        <w:left w:val="none" w:sz="0" w:space="0" w:color="auto"/>
        <w:bottom w:val="none" w:sz="0" w:space="0" w:color="auto"/>
        <w:right w:val="none" w:sz="0" w:space="0" w:color="auto"/>
      </w:divBdr>
    </w:div>
    <w:div w:id="590041268">
      <w:bodyDiv w:val="1"/>
      <w:marLeft w:val="0"/>
      <w:marRight w:val="0"/>
      <w:marTop w:val="0"/>
      <w:marBottom w:val="0"/>
      <w:divBdr>
        <w:top w:val="none" w:sz="0" w:space="0" w:color="auto"/>
        <w:left w:val="none" w:sz="0" w:space="0" w:color="auto"/>
        <w:bottom w:val="none" w:sz="0" w:space="0" w:color="auto"/>
        <w:right w:val="none" w:sz="0" w:space="0" w:color="auto"/>
      </w:divBdr>
    </w:div>
    <w:div w:id="626620769">
      <w:bodyDiv w:val="1"/>
      <w:marLeft w:val="0"/>
      <w:marRight w:val="0"/>
      <w:marTop w:val="0"/>
      <w:marBottom w:val="0"/>
      <w:divBdr>
        <w:top w:val="none" w:sz="0" w:space="0" w:color="auto"/>
        <w:left w:val="none" w:sz="0" w:space="0" w:color="auto"/>
        <w:bottom w:val="none" w:sz="0" w:space="0" w:color="auto"/>
        <w:right w:val="none" w:sz="0" w:space="0" w:color="auto"/>
      </w:divBdr>
    </w:div>
    <w:div w:id="634289049">
      <w:bodyDiv w:val="1"/>
      <w:marLeft w:val="0"/>
      <w:marRight w:val="0"/>
      <w:marTop w:val="0"/>
      <w:marBottom w:val="0"/>
      <w:divBdr>
        <w:top w:val="none" w:sz="0" w:space="0" w:color="auto"/>
        <w:left w:val="none" w:sz="0" w:space="0" w:color="auto"/>
        <w:bottom w:val="none" w:sz="0" w:space="0" w:color="auto"/>
        <w:right w:val="none" w:sz="0" w:space="0" w:color="auto"/>
      </w:divBdr>
    </w:div>
    <w:div w:id="675965750">
      <w:bodyDiv w:val="1"/>
      <w:marLeft w:val="0"/>
      <w:marRight w:val="0"/>
      <w:marTop w:val="0"/>
      <w:marBottom w:val="0"/>
      <w:divBdr>
        <w:top w:val="none" w:sz="0" w:space="0" w:color="auto"/>
        <w:left w:val="none" w:sz="0" w:space="0" w:color="auto"/>
        <w:bottom w:val="none" w:sz="0" w:space="0" w:color="auto"/>
        <w:right w:val="none" w:sz="0" w:space="0" w:color="auto"/>
      </w:divBdr>
    </w:div>
    <w:div w:id="713239200">
      <w:bodyDiv w:val="1"/>
      <w:marLeft w:val="0"/>
      <w:marRight w:val="0"/>
      <w:marTop w:val="0"/>
      <w:marBottom w:val="0"/>
      <w:divBdr>
        <w:top w:val="none" w:sz="0" w:space="0" w:color="auto"/>
        <w:left w:val="none" w:sz="0" w:space="0" w:color="auto"/>
        <w:bottom w:val="none" w:sz="0" w:space="0" w:color="auto"/>
        <w:right w:val="none" w:sz="0" w:space="0" w:color="auto"/>
      </w:divBdr>
    </w:div>
    <w:div w:id="731929067">
      <w:bodyDiv w:val="1"/>
      <w:marLeft w:val="0"/>
      <w:marRight w:val="0"/>
      <w:marTop w:val="0"/>
      <w:marBottom w:val="0"/>
      <w:divBdr>
        <w:top w:val="none" w:sz="0" w:space="0" w:color="auto"/>
        <w:left w:val="none" w:sz="0" w:space="0" w:color="auto"/>
        <w:bottom w:val="none" w:sz="0" w:space="0" w:color="auto"/>
        <w:right w:val="none" w:sz="0" w:space="0" w:color="auto"/>
      </w:divBdr>
    </w:div>
    <w:div w:id="757210319">
      <w:bodyDiv w:val="1"/>
      <w:marLeft w:val="0"/>
      <w:marRight w:val="0"/>
      <w:marTop w:val="0"/>
      <w:marBottom w:val="0"/>
      <w:divBdr>
        <w:top w:val="none" w:sz="0" w:space="0" w:color="auto"/>
        <w:left w:val="none" w:sz="0" w:space="0" w:color="auto"/>
        <w:bottom w:val="none" w:sz="0" w:space="0" w:color="auto"/>
        <w:right w:val="none" w:sz="0" w:space="0" w:color="auto"/>
      </w:divBdr>
    </w:div>
    <w:div w:id="770197861">
      <w:bodyDiv w:val="1"/>
      <w:marLeft w:val="0"/>
      <w:marRight w:val="0"/>
      <w:marTop w:val="0"/>
      <w:marBottom w:val="0"/>
      <w:divBdr>
        <w:top w:val="none" w:sz="0" w:space="0" w:color="auto"/>
        <w:left w:val="none" w:sz="0" w:space="0" w:color="auto"/>
        <w:bottom w:val="none" w:sz="0" w:space="0" w:color="auto"/>
        <w:right w:val="none" w:sz="0" w:space="0" w:color="auto"/>
      </w:divBdr>
    </w:div>
    <w:div w:id="778794407">
      <w:bodyDiv w:val="1"/>
      <w:marLeft w:val="0"/>
      <w:marRight w:val="0"/>
      <w:marTop w:val="0"/>
      <w:marBottom w:val="0"/>
      <w:divBdr>
        <w:top w:val="none" w:sz="0" w:space="0" w:color="auto"/>
        <w:left w:val="none" w:sz="0" w:space="0" w:color="auto"/>
        <w:bottom w:val="none" w:sz="0" w:space="0" w:color="auto"/>
        <w:right w:val="none" w:sz="0" w:space="0" w:color="auto"/>
      </w:divBdr>
    </w:div>
    <w:div w:id="805395901">
      <w:bodyDiv w:val="1"/>
      <w:marLeft w:val="0"/>
      <w:marRight w:val="0"/>
      <w:marTop w:val="0"/>
      <w:marBottom w:val="0"/>
      <w:divBdr>
        <w:top w:val="none" w:sz="0" w:space="0" w:color="auto"/>
        <w:left w:val="none" w:sz="0" w:space="0" w:color="auto"/>
        <w:bottom w:val="none" w:sz="0" w:space="0" w:color="auto"/>
        <w:right w:val="none" w:sz="0" w:space="0" w:color="auto"/>
      </w:divBdr>
    </w:div>
    <w:div w:id="851408800">
      <w:bodyDiv w:val="1"/>
      <w:marLeft w:val="0"/>
      <w:marRight w:val="0"/>
      <w:marTop w:val="0"/>
      <w:marBottom w:val="0"/>
      <w:divBdr>
        <w:top w:val="none" w:sz="0" w:space="0" w:color="auto"/>
        <w:left w:val="none" w:sz="0" w:space="0" w:color="auto"/>
        <w:bottom w:val="none" w:sz="0" w:space="0" w:color="auto"/>
        <w:right w:val="none" w:sz="0" w:space="0" w:color="auto"/>
      </w:divBdr>
    </w:div>
    <w:div w:id="860359918">
      <w:bodyDiv w:val="1"/>
      <w:marLeft w:val="0"/>
      <w:marRight w:val="0"/>
      <w:marTop w:val="0"/>
      <w:marBottom w:val="0"/>
      <w:divBdr>
        <w:top w:val="none" w:sz="0" w:space="0" w:color="auto"/>
        <w:left w:val="none" w:sz="0" w:space="0" w:color="auto"/>
        <w:bottom w:val="none" w:sz="0" w:space="0" w:color="auto"/>
        <w:right w:val="none" w:sz="0" w:space="0" w:color="auto"/>
      </w:divBdr>
    </w:div>
    <w:div w:id="901214860">
      <w:bodyDiv w:val="1"/>
      <w:marLeft w:val="0"/>
      <w:marRight w:val="0"/>
      <w:marTop w:val="0"/>
      <w:marBottom w:val="0"/>
      <w:divBdr>
        <w:top w:val="none" w:sz="0" w:space="0" w:color="auto"/>
        <w:left w:val="none" w:sz="0" w:space="0" w:color="auto"/>
        <w:bottom w:val="none" w:sz="0" w:space="0" w:color="auto"/>
        <w:right w:val="none" w:sz="0" w:space="0" w:color="auto"/>
      </w:divBdr>
    </w:div>
    <w:div w:id="919365742">
      <w:bodyDiv w:val="1"/>
      <w:marLeft w:val="0"/>
      <w:marRight w:val="0"/>
      <w:marTop w:val="0"/>
      <w:marBottom w:val="0"/>
      <w:divBdr>
        <w:top w:val="none" w:sz="0" w:space="0" w:color="auto"/>
        <w:left w:val="none" w:sz="0" w:space="0" w:color="auto"/>
        <w:bottom w:val="none" w:sz="0" w:space="0" w:color="auto"/>
        <w:right w:val="none" w:sz="0" w:space="0" w:color="auto"/>
      </w:divBdr>
    </w:div>
    <w:div w:id="929042875">
      <w:marLeft w:val="0"/>
      <w:marRight w:val="0"/>
      <w:marTop w:val="0"/>
      <w:marBottom w:val="0"/>
      <w:divBdr>
        <w:top w:val="none" w:sz="0" w:space="0" w:color="auto"/>
        <w:left w:val="none" w:sz="0" w:space="0" w:color="auto"/>
        <w:bottom w:val="none" w:sz="0" w:space="0" w:color="auto"/>
        <w:right w:val="none" w:sz="0" w:space="0" w:color="auto"/>
      </w:divBdr>
    </w:div>
    <w:div w:id="929042876">
      <w:marLeft w:val="0"/>
      <w:marRight w:val="0"/>
      <w:marTop w:val="0"/>
      <w:marBottom w:val="0"/>
      <w:divBdr>
        <w:top w:val="none" w:sz="0" w:space="0" w:color="auto"/>
        <w:left w:val="none" w:sz="0" w:space="0" w:color="auto"/>
        <w:bottom w:val="none" w:sz="0" w:space="0" w:color="auto"/>
        <w:right w:val="none" w:sz="0" w:space="0" w:color="auto"/>
      </w:divBdr>
    </w:div>
    <w:div w:id="929042877">
      <w:marLeft w:val="0"/>
      <w:marRight w:val="0"/>
      <w:marTop w:val="0"/>
      <w:marBottom w:val="0"/>
      <w:divBdr>
        <w:top w:val="none" w:sz="0" w:space="0" w:color="auto"/>
        <w:left w:val="none" w:sz="0" w:space="0" w:color="auto"/>
        <w:bottom w:val="none" w:sz="0" w:space="0" w:color="auto"/>
        <w:right w:val="none" w:sz="0" w:space="0" w:color="auto"/>
      </w:divBdr>
    </w:div>
    <w:div w:id="929042878">
      <w:marLeft w:val="0"/>
      <w:marRight w:val="0"/>
      <w:marTop w:val="0"/>
      <w:marBottom w:val="0"/>
      <w:divBdr>
        <w:top w:val="none" w:sz="0" w:space="0" w:color="auto"/>
        <w:left w:val="none" w:sz="0" w:space="0" w:color="auto"/>
        <w:bottom w:val="none" w:sz="0" w:space="0" w:color="auto"/>
        <w:right w:val="none" w:sz="0" w:space="0" w:color="auto"/>
      </w:divBdr>
    </w:div>
    <w:div w:id="929042879">
      <w:marLeft w:val="0"/>
      <w:marRight w:val="0"/>
      <w:marTop w:val="0"/>
      <w:marBottom w:val="0"/>
      <w:divBdr>
        <w:top w:val="none" w:sz="0" w:space="0" w:color="auto"/>
        <w:left w:val="none" w:sz="0" w:space="0" w:color="auto"/>
        <w:bottom w:val="none" w:sz="0" w:space="0" w:color="auto"/>
        <w:right w:val="none" w:sz="0" w:space="0" w:color="auto"/>
      </w:divBdr>
    </w:div>
    <w:div w:id="929042880">
      <w:marLeft w:val="0"/>
      <w:marRight w:val="0"/>
      <w:marTop w:val="0"/>
      <w:marBottom w:val="0"/>
      <w:divBdr>
        <w:top w:val="none" w:sz="0" w:space="0" w:color="auto"/>
        <w:left w:val="none" w:sz="0" w:space="0" w:color="auto"/>
        <w:bottom w:val="none" w:sz="0" w:space="0" w:color="auto"/>
        <w:right w:val="none" w:sz="0" w:space="0" w:color="auto"/>
      </w:divBdr>
    </w:div>
    <w:div w:id="929042881">
      <w:marLeft w:val="0"/>
      <w:marRight w:val="0"/>
      <w:marTop w:val="0"/>
      <w:marBottom w:val="0"/>
      <w:divBdr>
        <w:top w:val="none" w:sz="0" w:space="0" w:color="auto"/>
        <w:left w:val="none" w:sz="0" w:space="0" w:color="auto"/>
        <w:bottom w:val="none" w:sz="0" w:space="0" w:color="auto"/>
        <w:right w:val="none" w:sz="0" w:space="0" w:color="auto"/>
      </w:divBdr>
    </w:div>
    <w:div w:id="929042882">
      <w:marLeft w:val="0"/>
      <w:marRight w:val="0"/>
      <w:marTop w:val="0"/>
      <w:marBottom w:val="0"/>
      <w:divBdr>
        <w:top w:val="none" w:sz="0" w:space="0" w:color="auto"/>
        <w:left w:val="none" w:sz="0" w:space="0" w:color="auto"/>
        <w:bottom w:val="none" w:sz="0" w:space="0" w:color="auto"/>
        <w:right w:val="none" w:sz="0" w:space="0" w:color="auto"/>
      </w:divBdr>
    </w:div>
    <w:div w:id="929042883">
      <w:marLeft w:val="0"/>
      <w:marRight w:val="0"/>
      <w:marTop w:val="0"/>
      <w:marBottom w:val="0"/>
      <w:divBdr>
        <w:top w:val="none" w:sz="0" w:space="0" w:color="auto"/>
        <w:left w:val="none" w:sz="0" w:space="0" w:color="auto"/>
        <w:bottom w:val="none" w:sz="0" w:space="0" w:color="auto"/>
        <w:right w:val="none" w:sz="0" w:space="0" w:color="auto"/>
      </w:divBdr>
    </w:div>
    <w:div w:id="929042884">
      <w:marLeft w:val="0"/>
      <w:marRight w:val="0"/>
      <w:marTop w:val="0"/>
      <w:marBottom w:val="0"/>
      <w:divBdr>
        <w:top w:val="none" w:sz="0" w:space="0" w:color="auto"/>
        <w:left w:val="none" w:sz="0" w:space="0" w:color="auto"/>
        <w:bottom w:val="none" w:sz="0" w:space="0" w:color="auto"/>
        <w:right w:val="none" w:sz="0" w:space="0" w:color="auto"/>
      </w:divBdr>
    </w:div>
    <w:div w:id="929042885">
      <w:marLeft w:val="0"/>
      <w:marRight w:val="0"/>
      <w:marTop w:val="0"/>
      <w:marBottom w:val="0"/>
      <w:divBdr>
        <w:top w:val="none" w:sz="0" w:space="0" w:color="auto"/>
        <w:left w:val="none" w:sz="0" w:space="0" w:color="auto"/>
        <w:bottom w:val="none" w:sz="0" w:space="0" w:color="auto"/>
        <w:right w:val="none" w:sz="0" w:space="0" w:color="auto"/>
      </w:divBdr>
    </w:div>
    <w:div w:id="929042886">
      <w:marLeft w:val="0"/>
      <w:marRight w:val="0"/>
      <w:marTop w:val="0"/>
      <w:marBottom w:val="0"/>
      <w:divBdr>
        <w:top w:val="none" w:sz="0" w:space="0" w:color="auto"/>
        <w:left w:val="none" w:sz="0" w:space="0" w:color="auto"/>
        <w:bottom w:val="none" w:sz="0" w:space="0" w:color="auto"/>
        <w:right w:val="none" w:sz="0" w:space="0" w:color="auto"/>
      </w:divBdr>
    </w:div>
    <w:div w:id="929042887">
      <w:marLeft w:val="0"/>
      <w:marRight w:val="0"/>
      <w:marTop w:val="0"/>
      <w:marBottom w:val="0"/>
      <w:divBdr>
        <w:top w:val="none" w:sz="0" w:space="0" w:color="auto"/>
        <w:left w:val="none" w:sz="0" w:space="0" w:color="auto"/>
        <w:bottom w:val="none" w:sz="0" w:space="0" w:color="auto"/>
        <w:right w:val="none" w:sz="0" w:space="0" w:color="auto"/>
      </w:divBdr>
    </w:div>
    <w:div w:id="929042888">
      <w:marLeft w:val="0"/>
      <w:marRight w:val="0"/>
      <w:marTop w:val="0"/>
      <w:marBottom w:val="0"/>
      <w:divBdr>
        <w:top w:val="none" w:sz="0" w:space="0" w:color="auto"/>
        <w:left w:val="none" w:sz="0" w:space="0" w:color="auto"/>
        <w:bottom w:val="none" w:sz="0" w:space="0" w:color="auto"/>
        <w:right w:val="none" w:sz="0" w:space="0" w:color="auto"/>
      </w:divBdr>
    </w:div>
    <w:div w:id="929042889">
      <w:marLeft w:val="0"/>
      <w:marRight w:val="0"/>
      <w:marTop w:val="0"/>
      <w:marBottom w:val="0"/>
      <w:divBdr>
        <w:top w:val="none" w:sz="0" w:space="0" w:color="auto"/>
        <w:left w:val="none" w:sz="0" w:space="0" w:color="auto"/>
        <w:bottom w:val="none" w:sz="0" w:space="0" w:color="auto"/>
        <w:right w:val="none" w:sz="0" w:space="0" w:color="auto"/>
      </w:divBdr>
    </w:div>
    <w:div w:id="929042890">
      <w:marLeft w:val="0"/>
      <w:marRight w:val="0"/>
      <w:marTop w:val="0"/>
      <w:marBottom w:val="0"/>
      <w:divBdr>
        <w:top w:val="none" w:sz="0" w:space="0" w:color="auto"/>
        <w:left w:val="none" w:sz="0" w:space="0" w:color="auto"/>
        <w:bottom w:val="none" w:sz="0" w:space="0" w:color="auto"/>
        <w:right w:val="none" w:sz="0" w:space="0" w:color="auto"/>
      </w:divBdr>
    </w:div>
    <w:div w:id="929042891">
      <w:marLeft w:val="0"/>
      <w:marRight w:val="0"/>
      <w:marTop w:val="0"/>
      <w:marBottom w:val="0"/>
      <w:divBdr>
        <w:top w:val="none" w:sz="0" w:space="0" w:color="auto"/>
        <w:left w:val="none" w:sz="0" w:space="0" w:color="auto"/>
        <w:bottom w:val="none" w:sz="0" w:space="0" w:color="auto"/>
        <w:right w:val="none" w:sz="0" w:space="0" w:color="auto"/>
      </w:divBdr>
    </w:div>
    <w:div w:id="929042892">
      <w:marLeft w:val="0"/>
      <w:marRight w:val="0"/>
      <w:marTop w:val="0"/>
      <w:marBottom w:val="0"/>
      <w:divBdr>
        <w:top w:val="none" w:sz="0" w:space="0" w:color="auto"/>
        <w:left w:val="none" w:sz="0" w:space="0" w:color="auto"/>
        <w:bottom w:val="none" w:sz="0" w:space="0" w:color="auto"/>
        <w:right w:val="none" w:sz="0" w:space="0" w:color="auto"/>
      </w:divBdr>
    </w:div>
    <w:div w:id="929042893">
      <w:marLeft w:val="0"/>
      <w:marRight w:val="0"/>
      <w:marTop w:val="0"/>
      <w:marBottom w:val="0"/>
      <w:divBdr>
        <w:top w:val="none" w:sz="0" w:space="0" w:color="auto"/>
        <w:left w:val="none" w:sz="0" w:space="0" w:color="auto"/>
        <w:bottom w:val="none" w:sz="0" w:space="0" w:color="auto"/>
        <w:right w:val="none" w:sz="0" w:space="0" w:color="auto"/>
      </w:divBdr>
    </w:div>
    <w:div w:id="929042894">
      <w:marLeft w:val="0"/>
      <w:marRight w:val="0"/>
      <w:marTop w:val="0"/>
      <w:marBottom w:val="0"/>
      <w:divBdr>
        <w:top w:val="none" w:sz="0" w:space="0" w:color="auto"/>
        <w:left w:val="none" w:sz="0" w:space="0" w:color="auto"/>
        <w:bottom w:val="none" w:sz="0" w:space="0" w:color="auto"/>
        <w:right w:val="none" w:sz="0" w:space="0" w:color="auto"/>
      </w:divBdr>
    </w:div>
    <w:div w:id="929042895">
      <w:marLeft w:val="0"/>
      <w:marRight w:val="0"/>
      <w:marTop w:val="0"/>
      <w:marBottom w:val="0"/>
      <w:divBdr>
        <w:top w:val="none" w:sz="0" w:space="0" w:color="auto"/>
        <w:left w:val="none" w:sz="0" w:space="0" w:color="auto"/>
        <w:bottom w:val="none" w:sz="0" w:space="0" w:color="auto"/>
        <w:right w:val="none" w:sz="0" w:space="0" w:color="auto"/>
      </w:divBdr>
    </w:div>
    <w:div w:id="929042896">
      <w:marLeft w:val="0"/>
      <w:marRight w:val="0"/>
      <w:marTop w:val="0"/>
      <w:marBottom w:val="0"/>
      <w:divBdr>
        <w:top w:val="none" w:sz="0" w:space="0" w:color="auto"/>
        <w:left w:val="none" w:sz="0" w:space="0" w:color="auto"/>
        <w:bottom w:val="none" w:sz="0" w:space="0" w:color="auto"/>
        <w:right w:val="none" w:sz="0" w:space="0" w:color="auto"/>
      </w:divBdr>
    </w:div>
    <w:div w:id="929042899">
      <w:marLeft w:val="0"/>
      <w:marRight w:val="0"/>
      <w:marTop w:val="0"/>
      <w:marBottom w:val="0"/>
      <w:divBdr>
        <w:top w:val="none" w:sz="0" w:space="0" w:color="auto"/>
        <w:left w:val="none" w:sz="0" w:space="0" w:color="auto"/>
        <w:bottom w:val="none" w:sz="0" w:space="0" w:color="auto"/>
        <w:right w:val="none" w:sz="0" w:space="0" w:color="auto"/>
      </w:divBdr>
    </w:div>
    <w:div w:id="929042902">
      <w:marLeft w:val="0"/>
      <w:marRight w:val="0"/>
      <w:marTop w:val="0"/>
      <w:marBottom w:val="0"/>
      <w:divBdr>
        <w:top w:val="none" w:sz="0" w:space="0" w:color="auto"/>
        <w:left w:val="none" w:sz="0" w:space="0" w:color="auto"/>
        <w:bottom w:val="none" w:sz="0" w:space="0" w:color="auto"/>
        <w:right w:val="none" w:sz="0" w:space="0" w:color="auto"/>
      </w:divBdr>
    </w:div>
    <w:div w:id="929042903">
      <w:marLeft w:val="0"/>
      <w:marRight w:val="0"/>
      <w:marTop w:val="0"/>
      <w:marBottom w:val="0"/>
      <w:divBdr>
        <w:top w:val="none" w:sz="0" w:space="0" w:color="auto"/>
        <w:left w:val="none" w:sz="0" w:space="0" w:color="auto"/>
        <w:bottom w:val="none" w:sz="0" w:space="0" w:color="auto"/>
        <w:right w:val="none" w:sz="0" w:space="0" w:color="auto"/>
      </w:divBdr>
      <w:divsChild>
        <w:div w:id="929042927">
          <w:marLeft w:val="0"/>
          <w:marRight w:val="0"/>
          <w:marTop w:val="0"/>
          <w:marBottom w:val="0"/>
          <w:divBdr>
            <w:top w:val="none" w:sz="0" w:space="0" w:color="auto"/>
            <w:left w:val="none" w:sz="0" w:space="0" w:color="auto"/>
            <w:bottom w:val="none" w:sz="0" w:space="0" w:color="auto"/>
            <w:right w:val="none" w:sz="0" w:space="0" w:color="auto"/>
          </w:divBdr>
          <w:divsChild>
            <w:div w:id="929042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04">
      <w:marLeft w:val="0"/>
      <w:marRight w:val="0"/>
      <w:marTop w:val="0"/>
      <w:marBottom w:val="0"/>
      <w:divBdr>
        <w:top w:val="none" w:sz="0" w:space="0" w:color="auto"/>
        <w:left w:val="none" w:sz="0" w:space="0" w:color="auto"/>
        <w:bottom w:val="none" w:sz="0" w:space="0" w:color="auto"/>
        <w:right w:val="none" w:sz="0" w:space="0" w:color="auto"/>
      </w:divBdr>
      <w:divsChild>
        <w:div w:id="929042915">
          <w:marLeft w:val="0"/>
          <w:marRight w:val="0"/>
          <w:marTop w:val="0"/>
          <w:marBottom w:val="0"/>
          <w:divBdr>
            <w:top w:val="none" w:sz="0" w:space="0" w:color="auto"/>
            <w:left w:val="none" w:sz="0" w:space="0" w:color="auto"/>
            <w:bottom w:val="none" w:sz="0" w:space="0" w:color="auto"/>
            <w:right w:val="none" w:sz="0" w:space="0" w:color="auto"/>
          </w:divBdr>
          <w:divsChild>
            <w:div w:id="929042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05">
      <w:marLeft w:val="0"/>
      <w:marRight w:val="0"/>
      <w:marTop w:val="0"/>
      <w:marBottom w:val="0"/>
      <w:divBdr>
        <w:top w:val="none" w:sz="0" w:space="0" w:color="auto"/>
        <w:left w:val="none" w:sz="0" w:space="0" w:color="auto"/>
        <w:bottom w:val="none" w:sz="0" w:space="0" w:color="auto"/>
        <w:right w:val="none" w:sz="0" w:space="0" w:color="auto"/>
      </w:divBdr>
    </w:div>
    <w:div w:id="929042906">
      <w:marLeft w:val="0"/>
      <w:marRight w:val="0"/>
      <w:marTop w:val="0"/>
      <w:marBottom w:val="0"/>
      <w:divBdr>
        <w:top w:val="none" w:sz="0" w:space="0" w:color="auto"/>
        <w:left w:val="none" w:sz="0" w:space="0" w:color="auto"/>
        <w:bottom w:val="none" w:sz="0" w:space="0" w:color="auto"/>
        <w:right w:val="none" w:sz="0" w:space="0" w:color="auto"/>
      </w:divBdr>
    </w:div>
    <w:div w:id="929042907">
      <w:marLeft w:val="0"/>
      <w:marRight w:val="0"/>
      <w:marTop w:val="0"/>
      <w:marBottom w:val="0"/>
      <w:divBdr>
        <w:top w:val="none" w:sz="0" w:space="0" w:color="auto"/>
        <w:left w:val="none" w:sz="0" w:space="0" w:color="auto"/>
        <w:bottom w:val="none" w:sz="0" w:space="0" w:color="auto"/>
        <w:right w:val="none" w:sz="0" w:space="0" w:color="auto"/>
      </w:divBdr>
    </w:div>
    <w:div w:id="929042908">
      <w:marLeft w:val="0"/>
      <w:marRight w:val="0"/>
      <w:marTop w:val="0"/>
      <w:marBottom w:val="0"/>
      <w:divBdr>
        <w:top w:val="none" w:sz="0" w:space="0" w:color="auto"/>
        <w:left w:val="none" w:sz="0" w:space="0" w:color="auto"/>
        <w:bottom w:val="none" w:sz="0" w:space="0" w:color="auto"/>
        <w:right w:val="none" w:sz="0" w:space="0" w:color="auto"/>
      </w:divBdr>
      <w:divsChild>
        <w:div w:id="929042897">
          <w:marLeft w:val="547"/>
          <w:marRight w:val="0"/>
          <w:marTop w:val="115"/>
          <w:marBottom w:val="0"/>
          <w:divBdr>
            <w:top w:val="none" w:sz="0" w:space="0" w:color="auto"/>
            <w:left w:val="none" w:sz="0" w:space="0" w:color="auto"/>
            <w:bottom w:val="none" w:sz="0" w:space="0" w:color="auto"/>
            <w:right w:val="none" w:sz="0" w:space="0" w:color="auto"/>
          </w:divBdr>
        </w:div>
      </w:divsChild>
    </w:div>
    <w:div w:id="929042910">
      <w:marLeft w:val="0"/>
      <w:marRight w:val="0"/>
      <w:marTop w:val="0"/>
      <w:marBottom w:val="0"/>
      <w:divBdr>
        <w:top w:val="none" w:sz="0" w:space="0" w:color="auto"/>
        <w:left w:val="none" w:sz="0" w:space="0" w:color="auto"/>
        <w:bottom w:val="none" w:sz="0" w:space="0" w:color="auto"/>
        <w:right w:val="none" w:sz="0" w:space="0" w:color="auto"/>
      </w:divBdr>
    </w:div>
    <w:div w:id="929042911">
      <w:marLeft w:val="0"/>
      <w:marRight w:val="0"/>
      <w:marTop w:val="0"/>
      <w:marBottom w:val="0"/>
      <w:divBdr>
        <w:top w:val="none" w:sz="0" w:space="0" w:color="auto"/>
        <w:left w:val="none" w:sz="0" w:space="0" w:color="auto"/>
        <w:bottom w:val="none" w:sz="0" w:space="0" w:color="auto"/>
        <w:right w:val="none" w:sz="0" w:space="0" w:color="auto"/>
      </w:divBdr>
    </w:div>
    <w:div w:id="929042912">
      <w:marLeft w:val="0"/>
      <w:marRight w:val="0"/>
      <w:marTop w:val="0"/>
      <w:marBottom w:val="0"/>
      <w:divBdr>
        <w:top w:val="none" w:sz="0" w:space="0" w:color="auto"/>
        <w:left w:val="none" w:sz="0" w:space="0" w:color="auto"/>
        <w:bottom w:val="none" w:sz="0" w:space="0" w:color="auto"/>
        <w:right w:val="none" w:sz="0" w:space="0" w:color="auto"/>
      </w:divBdr>
      <w:divsChild>
        <w:div w:id="929042913">
          <w:marLeft w:val="0"/>
          <w:marRight w:val="0"/>
          <w:marTop w:val="0"/>
          <w:marBottom w:val="0"/>
          <w:divBdr>
            <w:top w:val="none" w:sz="0" w:space="0" w:color="auto"/>
            <w:left w:val="none" w:sz="0" w:space="0" w:color="auto"/>
            <w:bottom w:val="none" w:sz="0" w:space="0" w:color="auto"/>
            <w:right w:val="none" w:sz="0" w:space="0" w:color="auto"/>
          </w:divBdr>
          <w:divsChild>
            <w:div w:id="929042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14">
      <w:marLeft w:val="0"/>
      <w:marRight w:val="0"/>
      <w:marTop w:val="0"/>
      <w:marBottom w:val="0"/>
      <w:divBdr>
        <w:top w:val="none" w:sz="0" w:space="0" w:color="auto"/>
        <w:left w:val="none" w:sz="0" w:space="0" w:color="auto"/>
        <w:bottom w:val="none" w:sz="0" w:space="0" w:color="auto"/>
        <w:right w:val="none" w:sz="0" w:space="0" w:color="auto"/>
      </w:divBdr>
      <w:divsChild>
        <w:div w:id="929042898">
          <w:marLeft w:val="0"/>
          <w:marRight w:val="0"/>
          <w:marTop w:val="0"/>
          <w:marBottom w:val="0"/>
          <w:divBdr>
            <w:top w:val="none" w:sz="0" w:space="0" w:color="auto"/>
            <w:left w:val="none" w:sz="0" w:space="0" w:color="auto"/>
            <w:bottom w:val="none" w:sz="0" w:space="0" w:color="auto"/>
            <w:right w:val="none" w:sz="0" w:space="0" w:color="auto"/>
          </w:divBdr>
          <w:divsChild>
            <w:div w:id="929042900">
              <w:marLeft w:val="0"/>
              <w:marRight w:val="0"/>
              <w:marTop w:val="0"/>
              <w:marBottom w:val="0"/>
              <w:divBdr>
                <w:top w:val="none" w:sz="0" w:space="0" w:color="auto"/>
                <w:left w:val="none" w:sz="0" w:space="0" w:color="auto"/>
                <w:bottom w:val="none" w:sz="0" w:space="0" w:color="auto"/>
                <w:right w:val="none" w:sz="0" w:space="0" w:color="auto"/>
              </w:divBdr>
            </w:div>
            <w:div w:id="929042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16">
      <w:marLeft w:val="0"/>
      <w:marRight w:val="0"/>
      <w:marTop w:val="0"/>
      <w:marBottom w:val="0"/>
      <w:divBdr>
        <w:top w:val="none" w:sz="0" w:space="0" w:color="auto"/>
        <w:left w:val="none" w:sz="0" w:space="0" w:color="auto"/>
        <w:bottom w:val="none" w:sz="0" w:space="0" w:color="auto"/>
        <w:right w:val="none" w:sz="0" w:space="0" w:color="auto"/>
      </w:divBdr>
    </w:div>
    <w:div w:id="929042919">
      <w:marLeft w:val="0"/>
      <w:marRight w:val="0"/>
      <w:marTop w:val="0"/>
      <w:marBottom w:val="0"/>
      <w:divBdr>
        <w:top w:val="none" w:sz="0" w:space="0" w:color="auto"/>
        <w:left w:val="none" w:sz="0" w:space="0" w:color="auto"/>
        <w:bottom w:val="none" w:sz="0" w:space="0" w:color="auto"/>
        <w:right w:val="none" w:sz="0" w:space="0" w:color="auto"/>
      </w:divBdr>
    </w:div>
    <w:div w:id="929042920">
      <w:marLeft w:val="0"/>
      <w:marRight w:val="0"/>
      <w:marTop w:val="0"/>
      <w:marBottom w:val="0"/>
      <w:divBdr>
        <w:top w:val="none" w:sz="0" w:space="0" w:color="auto"/>
        <w:left w:val="none" w:sz="0" w:space="0" w:color="auto"/>
        <w:bottom w:val="none" w:sz="0" w:space="0" w:color="auto"/>
        <w:right w:val="none" w:sz="0" w:space="0" w:color="auto"/>
      </w:divBdr>
      <w:divsChild>
        <w:div w:id="929042924">
          <w:marLeft w:val="0"/>
          <w:marRight w:val="0"/>
          <w:marTop w:val="0"/>
          <w:marBottom w:val="0"/>
          <w:divBdr>
            <w:top w:val="none" w:sz="0" w:space="0" w:color="auto"/>
            <w:left w:val="none" w:sz="0" w:space="0" w:color="auto"/>
            <w:bottom w:val="none" w:sz="0" w:space="0" w:color="auto"/>
            <w:right w:val="none" w:sz="0" w:space="0" w:color="auto"/>
          </w:divBdr>
          <w:divsChild>
            <w:div w:id="929042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23">
      <w:marLeft w:val="0"/>
      <w:marRight w:val="0"/>
      <w:marTop w:val="0"/>
      <w:marBottom w:val="0"/>
      <w:divBdr>
        <w:top w:val="none" w:sz="0" w:space="0" w:color="auto"/>
        <w:left w:val="none" w:sz="0" w:space="0" w:color="auto"/>
        <w:bottom w:val="none" w:sz="0" w:space="0" w:color="auto"/>
        <w:right w:val="none" w:sz="0" w:space="0" w:color="auto"/>
      </w:divBdr>
    </w:div>
    <w:div w:id="929042925">
      <w:marLeft w:val="0"/>
      <w:marRight w:val="0"/>
      <w:marTop w:val="0"/>
      <w:marBottom w:val="0"/>
      <w:divBdr>
        <w:top w:val="none" w:sz="0" w:space="0" w:color="auto"/>
        <w:left w:val="none" w:sz="0" w:space="0" w:color="auto"/>
        <w:bottom w:val="none" w:sz="0" w:space="0" w:color="auto"/>
        <w:right w:val="none" w:sz="0" w:space="0" w:color="auto"/>
      </w:divBdr>
    </w:div>
    <w:div w:id="929042926">
      <w:marLeft w:val="0"/>
      <w:marRight w:val="0"/>
      <w:marTop w:val="0"/>
      <w:marBottom w:val="0"/>
      <w:divBdr>
        <w:top w:val="none" w:sz="0" w:space="0" w:color="auto"/>
        <w:left w:val="none" w:sz="0" w:space="0" w:color="auto"/>
        <w:bottom w:val="none" w:sz="0" w:space="0" w:color="auto"/>
        <w:right w:val="none" w:sz="0" w:space="0" w:color="auto"/>
      </w:divBdr>
    </w:div>
    <w:div w:id="929042928">
      <w:marLeft w:val="0"/>
      <w:marRight w:val="0"/>
      <w:marTop w:val="0"/>
      <w:marBottom w:val="0"/>
      <w:divBdr>
        <w:top w:val="none" w:sz="0" w:space="0" w:color="auto"/>
        <w:left w:val="none" w:sz="0" w:space="0" w:color="auto"/>
        <w:bottom w:val="none" w:sz="0" w:space="0" w:color="auto"/>
        <w:right w:val="none" w:sz="0" w:space="0" w:color="auto"/>
      </w:divBdr>
    </w:div>
    <w:div w:id="929042929">
      <w:marLeft w:val="0"/>
      <w:marRight w:val="0"/>
      <w:marTop w:val="0"/>
      <w:marBottom w:val="0"/>
      <w:divBdr>
        <w:top w:val="none" w:sz="0" w:space="0" w:color="auto"/>
        <w:left w:val="none" w:sz="0" w:space="0" w:color="auto"/>
        <w:bottom w:val="none" w:sz="0" w:space="0" w:color="auto"/>
        <w:right w:val="none" w:sz="0" w:space="0" w:color="auto"/>
      </w:divBdr>
      <w:divsChild>
        <w:div w:id="929042901">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929042930">
      <w:marLeft w:val="0"/>
      <w:marRight w:val="0"/>
      <w:marTop w:val="0"/>
      <w:marBottom w:val="0"/>
      <w:divBdr>
        <w:top w:val="none" w:sz="0" w:space="0" w:color="auto"/>
        <w:left w:val="none" w:sz="0" w:space="0" w:color="auto"/>
        <w:bottom w:val="none" w:sz="0" w:space="0" w:color="auto"/>
        <w:right w:val="none" w:sz="0" w:space="0" w:color="auto"/>
      </w:divBdr>
    </w:div>
    <w:div w:id="929042931">
      <w:marLeft w:val="0"/>
      <w:marRight w:val="0"/>
      <w:marTop w:val="0"/>
      <w:marBottom w:val="0"/>
      <w:divBdr>
        <w:top w:val="none" w:sz="0" w:space="0" w:color="auto"/>
        <w:left w:val="none" w:sz="0" w:space="0" w:color="auto"/>
        <w:bottom w:val="none" w:sz="0" w:space="0" w:color="auto"/>
        <w:right w:val="none" w:sz="0" w:space="0" w:color="auto"/>
      </w:divBdr>
    </w:div>
    <w:div w:id="929042932">
      <w:marLeft w:val="0"/>
      <w:marRight w:val="0"/>
      <w:marTop w:val="0"/>
      <w:marBottom w:val="0"/>
      <w:divBdr>
        <w:top w:val="none" w:sz="0" w:space="0" w:color="auto"/>
        <w:left w:val="none" w:sz="0" w:space="0" w:color="auto"/>
        <w:bottom w:val="none" w:sz="0" w:space="0" w:color="auto"/>
        <w:right w:val="none" w:sz="0" w:space="0" w:color="auto"/>
      </w:divBdr>
    </w:div>
    <w:div w:id="929042933">
      <w:marLeft w:val="0"/>
      <w:marRight w:val="0"/>
      <w:marTop w:val="0"/>
      <w:marBottom w:val="0"/>
      <w:divBdr>
        <w:top w:val="none" w:sz="0" w:space="0" w:color="auto"/>
        <w:left w:val="none" w:sz="0" w:space="0" w:color="auto"/>
        <w:bottom w:val="none" w:sz="0" w:space="0" w:color="auto"/>
        <w:right w:val="none" w:sz="0" w:space="0" w:color="auto"/>
      </w:divBdr>
    </w:div>
    <w:div w:id="929042934">
      <w:marLeft w:val="0"/>
      <w:marRight w:val="0"/>
      <w:marTop w:val="0"/>
      <w:marBottom w:val="0"/>
      <w:divBdr>
        <w:top w:val="none" w:sz="0" w:space="0" w:color="auto"/>
        <w:left w:val="none" w:sz="0" w:space="0" w:color="auto"/>
        <w:bottom w:val="none" w:sz="0" w:space="0" w:color="auto"/>
        <w:right w:val="none" w:sz="0" w:space="0" w:color="auto"/>
      </w:divBdr>
    </w:div>
    <w:div w:id="929042935">
      <w:marLeft w:val="0"/>
      <w:marRight w:val="0"/>
      <w:marTop w:val="0"/>
      <w:marBottom w:val="0"/>
      <w:divBdr>
        <w:top w:val="none" w:sz="0" w:space="0" w:color="auto"/>
        <w:left w:val="none" w:sz="0" w:space="0" w:color="auto"/>
        <w:bottom w:val="none" w:sz="0" w:space="0" w:color="auto"/>
        <w:right w:val="none" w:sz="0" w:space="0" w:color="auto"/>
      </w:divBdr>
    </w:div>
    <w:div w:id="929042938">
      <w:marLeft w:val="0"/>
      <w:marRight w:val="0"/>
      <w:marTop w:val="0"/>
      <w:marBottom w:val="0"/>
      <w:divBdr>
        <w:top w:val="none" w:sz="0" w:space="0" w:color="auto"/>
        <w:left w:val="none" w:sz="0" w:space="0" w:color="auto"/>
        <w:bottom w:val="none" w:sz="0" w:space="0" w:color="auto"/>
        <w:right w:val="none" w:sz="0" w:space="0" w:color="auto"/>
      </w:divBdr>
    </w:div>
    <w:div w:id="929042941">
      <w:marLeft w:val="0"/>
      <w:marRight w:val="0"/>
      <w:marTop w:val="0"/>
      <w:marBottom w:val="0"/>
      <w:divBdr>
        <w:top w:val="none" w:sz="0" w:space="0" w:color="auto"/>
        <w:left w:val="none" w:sz="0" w:space="0" w:color="auto"/>
        <w:bottom w:val="none" w:sz="0" w:space="0" w:color="auto"/>
        <w:right w:val="none" w:sz="0" w:space="0" w:color="auto"/>
      </w:divBdr>
    </w:div>
    <w:div w:id="929042942">
      <w:marLeft w:val="0"/>
      <w:marRight w:val="0"/>
      <w:marTop w:val="0"/>
      <w:marBottom w:val="0"/>
      <w:divBdr>
        <w:top w:val="none" w:sz="0" w:space="0" w:color="auto"/>
        <w:left w:val="none" w:sz="0" w:space="0" w:color="auto"/>
        <w:bottom w:val="none" w:sz="0" w:space="0" w:color="auto"/>
        <w:right w:val="none" w:sz="0" w:space="0" w:color="auto"/>
      </w:divBdr>
      <w:divsChild>
        <w:div w:id="929042966">
          <w:marLeft w:val="0"/>
          <w:marRight w:val="0"/>
          <w:marTop w:val="0"/>
          <w:marBottom w:val="0"/>
          <w:divBdr>
            <w:top w:val="none" w:sz="0" w:space="0" w:color="auto"/>
            <w:left w:val="none" w:sz="0" w:space="0" w:color="auto"/>
            <w:bottom w:val="none" w:sz="0" w:space="0" w:color="auto"/>
            <w:right w:val="none" w:sz="0" w:space="0" w:color="auto"/>
          </w:divBdr>
          <w:divsChild>
            <w:div w:id="929042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43">
      <w:marLeft w:val="0"/>
      <w:marRight w:val="0"/>
      <w:marTop w:val="0"/>
      <w:marBottom w:val="0"/>
      <w:divBdr>
        <w:top w:val="none" w:sz="0" w:space="0" w:color="auto"/>
        <w:left w:val="none" w:sz="0" w:space="0" w:color="auto"/>
        <w:bottom w:val="none" w:sz="0" w:space="0" w:color="auto"/>
        <w:right w:val="none" w:sz="0" w:space="0" w:color="auto"/>
      </w:divBdr>
      <w:divsChild>
        <w:div w:id="929042954">
          <w:marLeft w:val="0"/>
          <w:marRight w:val="0"/>
          <w:marTop w:val="0"/>
          <w:marBottom w:val="0"/>
          <w:divBdr>
            <w:top w:val="none" w:sz="0" w:space="0" w:color="auto"/>
            <w:left w:val="none" w:sz="0" w:space="0" w:color="auto"/>
            <w:bottom w:val="none" w:sz="0" w:space="0" w:color="auto"/>
            <w:right w:val="none" w:sz="0" w:space="0" w:color="auto"/>
          </w:divBdr>
          <w:divsChild>
            <w:div w:id="929042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44">
      <w:marLeft w:val="0"/>
      <w:marRight w:val="0"/>
      <w:marTop w:val="0"/>
      <w:marBottom w:val="0"/>
      <w:divBdr>
        <w:top w:val="none" w:sz="0" w:space="0" w:color="auto"/>
        <w:left w:val="none" w:sz="0" w:space="0" w:color="auto"/>
        <w:bottom w:val="none" w:sz="0" w:space="0" w:color="auto"/>
        <w:right w:val="none" w:sz="0" w:space="0" w:color="auto"/>
      </w:divBdr>
    </w:div>
    <w:div w:id="929042945">
      <w:marLeft w:val="0"/>
      <w:marRight w:val="0"/>
      <w:marTop w:val="0"/>
      <w:marBottom w:val="0"/>
      <w:divBdr>
        <w:top w:val="none" w:sz="0" w:space="0" w:color="auto"/>
        <w:left w:val="none" w:sz="0" w:space="0" w:color="auto"/>
        <w:bottom w:val="none" w:sz="0" w:space="0" w:color="auto"/>
        <w:right w:val="none" w:sz="0" w:space="0" w:color="auto"/>
      </w:divBdr>
    </w:div>
    <w:div w:id="929042946">
      <w:marLeft w:val="0"/>
      <w:marRight w:val="0"/>
      <w:marTop w:val="0"/>
      <w:marBottom w:val="0"/>
      <w:divBdr>
        <w:top w:val="none" w:sz="0" w:space="0" w:color="auto"/>
        <w:left w:val="none" w:sz="0" w:space="0" w:color="auto"/>
        <w:bottom w:val="none" w:sz="0" w:space="0" w:color="auto"/>
        <w:right w:val="none" w:sz="0" w:space="0" w:color="auto"/>
      </w:divBdr>
    </w:div>
    <w:div w:id="929042947">
      <w:marLeft w:val="0"/>
      <w:marRight w:val="0"/>
      <w:marTop w:val="0"/>
      <w:marBottom w:val="0"/>
      <w:divBdr>
        <w:top w:val="none" w:sz="0" w:space="0" w:color="auto"/>
        <w:left w:val="none" w:sz="0" w:space="0" w:color="auto"/>
        <w:bottom w:val="none" w:sz="0" w:space="0" w:color="auto"/>
        <w:right w:val="none" w:sz="0" w:space="0" w:color="auto"/>
      </w:divBdr>
      <w:divsChild>
        <w:div w:id="929042936">
          <w:marLeft w:val="547"/>
          <w:marRight w:val="0"/>
          <w:marTop w:val="115"/>
          <w:marBottom w:val="0"/>
          <w:divBdr>
            <w:top w:val="none" w:sz="0" w:space="0" w:color="auto"/>
            <w:left w:val="none" w:sz="0" w:space="0" w:color="auto"/>
            <w:bottom w:val="none" w:sz="0" w:space="0" w:color="auto"/>
            <w:right w:val="none" w:sz="0" w:space="0" w:color="auto"/>
          </w:divBdr>
        </w:div>
      </w:divsChild>
    </w:div>
    <w:div w:id="929042949">
      <w:marLeft w:val="0"/>
      <w:marRight w:val="0"/>
      <w:marTop w:val="0"/>
      <w:marBottom w:val="0"/>
      <w:divBdr>
        <w:top w:val="none" w:sz="0" w:space="0" w:color="auto"/>
        <w:left w:val="none" w:sz="0" w:space="0" w:color="auto"/>
        <w:bottom w:val="none" w:sz="0" w:space="0" w:color="auto"/>
        <w:right w:val="none" w:sz="0" w:space="0" w:color="auto"/>
      </w:divBdr>
    </w:div>
    <w:div w:id="929042950">
      <w:marLeft w:val="0"/>
      <w:marRight w:val="0"/>
      <w:marTop w:val="0"/>
      <w:marBottom w:val="0"/>
      <w:divBdr>
        <w:top w:val="none" w:sz="0" w:space="0" w:color="auto"/>
        <w:left w:val="none" w:sz="0" w:space="0" w:color="auto"/>
        <w:bottom w:val="none" w:sz="0" w:space="0" w:color="auto"/>
        <w:right w:val="none" w:sz="0" w:space="0" w:color="auto"/>
      </w:divBdr>
    </w:div>
    <w:div w:id="929042951">
      <w:marLeft w:val="0"/>
      <w:marRight w:val="0"/>
      <w:marTop w:val="0"/>
      <w:marBottom w:val="0"/>
      <w:divBdr>
        <w:top w:val="none" w:sz="0" w:space="0" w:color="auto"/>
        <w:left w:val="none" w:sz="0" w:space="0" w:color="auto"/>
        <w:bottom w:val="none" w:sz="0" w:space="0" w:color="auto"/>
        <w:right w:val="none" w:sz="0" w:space="0" w:color="auto"/>
      </w:divBdr>
      <w:divsChild>
        <w:div w:id="929042952">
          <w:marLeft w:val="0"/>
          <w:marRight w:val="0"/>
          <w:marTop w:val="0"/>
          <w:marBottom w:val="0"/>
          <w:divBdr>
            <w:top w:val="none" w:sz="0" w:space="0" w:color="auto"/>
            <w:left w:val="none" w:sz="0" w:space="0" w:color="auto"/>
            <w:bottom w:val="none" w:sz="0" w:space="0" w:color="auto"/>
            <w:right w:val="none" w:sz="0" w:space="0" w:color="auto"/>
          </w:divBdr>
          <w:divsChild>
            <w:div w:id="929042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53">
      <w:marLeft w:val="0"/>
      <w:marRight w:val="0"/>
      <w:marTop w:val="0"/>
      <w:marBottom w:val="0"/>
      <w:divBdr>
        <w:top w:val="none" w:sz="0" w:space="0" w:color="auto"/>
        <w:left w:val="none" w:sz="0" w:space="0" w:color="auto"/>
        <w:bottom w:val="none" w:sz="0" w:space="0" w:color="auto"/>
        <w:right w:val="none" w:sz="0" w:space="0" w:color="auto"/>
      </w:divBdr>
      <w:divsChild>
        <w:div w:id="929042937">
          <w:marLeft w:val="0"/>
          <w:marRight w:val="0"/>
          <w:marTop w:val="0"/>
          <w:marBottom w:val="0"/>
          <w:divBdr>
            <w:top w:val="none" w:sz="0" w:space="0" w:color="auto"/>
            <w:left w:val="none" w:sz="0" w:space="0" w:color="auto"/>
            <w:bottom w:val="none" w:sz="0" w:space="0" w:color="auto"/>
            <w:right w:val="none" w:sz="0" w:space="0" w:color="auto"/>
          </w:divBdr>
          <w:divsChild>
            <w:div w:id="929042939">
              <w:marLeft w:val="0"/>
              <w:marRight w:val="0"/>
              <w:marTop w:val="0"/>
              <w:marBottom w:val="0"/>
              <w:divBdr>
                <w:top w:val="none" w:sz="0" w:space="0" w:color="auto"/>
                <w:left w:val="none" w:sz="0" w:space="0" w:color="auto"/>
                <w:bottom w:val="none" w:sz="0" w:space="0" w:color="auto"/>
                <w:right w:val="none" w:sz="0" w:space="0" w:color="auto"/>
              </w:divBdr>
            </w:div>
            <w:div w:id="929042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55">
      <w:marLeft w:val="0"/>
      <w:marRight w:val="0"/>
      <w:marTop w:val="0"/>
      <w:marBottom w:val="0"/>
      <w:divBdr>
        <w:top w:val="none" w:sz="0" w:space="0" w:color="auto"/>
        <w:left w:val="none" w:sz="0" w:space="0" w:color="auto"/>
        <w:bottom w:val="none" w:sz="0" w:space="0" w:color="auto"/>
        <w:right w:val="none" w:sz="0" w:space="0" w:color="auto"/>
      </w:divBdr>
    </w:div>
    <w:div w:id="929042958">
      <w:marLeft w:val="0"/>
      <w:marRight w:val="0"/>
      <w:marTop w:val="0"/>
      <w:marBottom w:val="0"/>
      <w:divBdr>
        <w:top w:val="none" w:sz="0" w:space="0" w:color="auto"/>
        <w:left w:val="none" w:sz="0" w:space="0" w:color="auto"/>
        <w:bottom w:val="none" w:sz="0" w:space="0" w:color="auto"/>
        <w:right w:val="none" w:sz="0" w:space="0" w:color="auto"/>
      </w:divBdr>
    </w:div>
    <w:div w:id="929042959">
      <w:marLeft w:val="0"/>
      <w:marRight w:val="0"/>
      <w:marTop w:val="0"/>
      <w:marBottom w:val="0"/>
      <w:divBdr>
        <w:top w:val="none" w:sz="0" w:space="0" w:color="auto"/>
        <w:left w:val="none" w:sz="0" w:space="0" w:color="auto"/>
        <w:bottom w:val="none" w:sz="0" w:space="0" w:color="auto"/>
        <w:right w:val="none" w:sz="0" w:space="0" w:color="auto"/>
      </w:divBdr>
      <w:divsChild>
        <w:div w:id="929042963">
          <w:marLeft w:val="0"/>
          <w:marRight w:val="0"/>
          <w:marTop w:val="0"/>
          <w:marBottom w:val="0"/>
          <w:divBdr>
            <w:top w:val="none" w:sz="0" w:space="0" w:color="auto"/>
            <w:left w:val="none" w:sz="0" w:space="0" w:color="auto"/>
            <w:bottom w:val="none" w:sz="0" w:space="0" w:color="auto"/>
            <w:right w:val="none" w:sz="0" w:space="0" w:color="auto"/>
          </w:divBdr>
          <w:divsChild>
            <w:div w:id="929042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62">
      <w:marLeft w:val="0"/>
      <w:marRight w:val="0"/>
      <w:marTop w:val="0"/>
      <w:marBottom w:val="0"/>
      <w:divBdr>
        <w:top w:val="none" w:sz="0" w:space="0" w:color="auto"/>
        <w:left w:val="none" w:sz="0" w:space="0" w:color="auto"/>
        <w:bottom w:val="none" w:sz="0" w:space="0" w:color="auto"/>
        <w:right w:val="none" w:sz="0" w:space="0" w:color="auto"/>
      </w:divBdr>
    </w:div>
    <w:div w:id="929042964">
      <w:marLeft w:val="0"/>
      <w:marRight w:val="0"/>
      <w:marTop w:val="0"/>
      <w:marBottom w:val="0"/>
      <w:divBdr>
        <w:top w:val="none" w:sz="0" w:space="0" w:color="auto"/>
        <w:left w:val="none" w:sz="0" w:space="0" w:color="auto"/>
        <w:bottom w:val="none" w:sz="0" w:space="0" w:color="auto"/>
        <w:right w:val="none" w:sz="0" w:space="0" w:color="auto"/>
      </w:divBdr>
    </w:div>
    <w:div w:id="929042965">
      <w:marLeft w:val="0"/>
      <w:marRight w:val="0"/>
      <w:marTop w:val="0"/>
      <w:marBottom w:val="0"/>
      <w:divBdr>
        <w:top w:val="none" w:sz="0" w:space="0" w:color="auto"/>
        <w:left w:val="none" w:sz="0" w:space="0" w:color="auto"/>
        <w:bottom w:val="none" w:sz="0" w:space="0" w:color="auto"/>
        <w:right w:val="none" w:sz="0" w:space="0" w:color="auto"/>
      </w:divBdr>
    </w:div>
    <w:div w:id="929042967">
      <w:marLeft w:val="0"/>
      <w:marRight w:val="0"/>
      <w:marTop w:val="0"/>
      <w:marBottom w:val="0"/>
      <w:divBdr>
        <w:top w:val="none" w:sz="0" w:space="0" w:color="auto"/>
        <w:left w:val="none" w:sz="0" w:space="0" w:color="auto"/>
        <w:bottom w:val="none" w:sz="0" w:space="0" w:color="auto"/>
        <w:right w:val="none" w:sz="0" w:space="0" w:color="auto"/>
      </w:divBdr>
    </w:div>
    <w:div w:id="929042968">
      <w:marLeft w:val="0"/>
      <w:marRight w:val="0"/>
      <w:marTop w:val="0"/>
      <w:marBottom w:val="0"/>
      <w:divBdr>
        <w:top w:val="none" w:sz="0" w:space="0" w:color="auto"/>
        <w:left w:val="none" w:sz="0" w:space="0" w:color="auto"/>
        <w:bottom w:val="none" w:sz="0" w:space="0" w:color="auto"/>
        <w:right w:val="none" w:sz="0" w:space="0" w:color="auto"/>
      </w:divBdr>
      <w:divsChild>
        <w:div w:id="929042940">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929042969">
      <w:marLeft w:val="0"/>
      <w:marRight w:val="0"/>
      <w:marTop w:val="0"/>
      <w:marBottom w:val="0"/>
      <w:divBdr>
        <w:top w:val="none" w:sz="0" w:space="0" w:color="auto"/>
        <w:left w:val="none" w:sz="0" w:space="0" w:color="auto"/>
        <w:bottom w:val="none" w:sz="0" w:space="0" w:color="auto"/>
        <w:right w:val="none" w:sz="0" w:space="0" w:color="auto"/>
      </w:divBdr>
    </w:div>
    <w:div w:id="929042970">
      <w:marLeft w:val="0"/>
      <w:marRight w:val="0"/>
      <w:marTop w:val="0"/>
      <w:marBottom w:val="0"/>
      <w:divBdr>
        <w:top w:val="none" w:sz="0" w:space="0" w:color="auto"/>
        <w:left w:val="none" w:sz="0" w:space="0" w:color="auto"/>
        <w:bottom w:val="none" w:sz="0" w:space="0" w:color="auto"/>
        <w:right w:val="none" w:sz="0" w:space="0" w:color="auto"/>
      </w:divBdr>
    </w:div>
    <w:div w:id="929042971">
      <w:marLeft w:val="0"/>
      <w:marRight w:val="0"/>
      <w:marTop w:val="0"/>
      <w:marBottom w:val="0"/>
      <w:divBdr>
        <w:top w:val="none" w:sz="0" w:space="0" w:color="auto"/>
        <w:left w:val="none" w:sz="0" w:space="0" w:color="auto"/>
        <w:bottom w:val="none" w:sz="0" w:space="0" w:color="auto"/>
        <w:right w:val="none" w:sz="0" w:space="0" w:color="auto"/>
      </w:divBdr>
    </w:div>
    <w:div w:id="929042972">
      <w:marLeft w:val="0"/>
      <w:marRight w:val="0"/>
      <w:marTop w:val="0"/>
      <w:marBottom w:val="0"/>
      <w:divBdr>
        <w:top w:val="none" w:sz="0" w:space="0" w:color="auto"/>
        <w:left w:val="none" w:sz="0" w:space="0" w:color="auto"/>
        <w:bottom w:val="none" w:sz="0" w:space="0" w:color="auto"/>
        <w:right w:val="none" w:sz="0" w:space="0" w:color="auto"/>
      </w:divBdr>
    </w:div>
    <w:div w:id="929042973">
      <w:marLeft w:val="0"/>
      <w:marRight w:val="0"/>
      <w:marTop w:val="0"/>
      <w:marBottom w:val="0"/>
      <w:divBdr>
        <w:top w:val="none" w:sz="0" w:space="0" w:color="auto"/>
        <w:left w:val="none" w:sz="0" w:space="0" w:color="auto"/>
        <w:bottom w:val="none" w:sz="0" w:space="0" w:color="auto"/>
        <w:right w:val="none" w:sz="0" w:space="0" w:color="auto"/>
      </w:divBdr>
    </w:div>
    <w:div w:id="929042976">
      <w:marLeft w:val="0"/>
      <w:marRight w:val="0"/>
      <w:marTop w:val="0"/>
      <w:marBottom w:val="0"/>
      <w:divBdr>
        <w:top w:val="none" w:sz="0" w:space="0" w:color="auto"/>
        <w:left w:val="none" w:sz="0" w:space="0" w:color="auto"/>
        <w:bottom w:val="none" w:sz="0" w:space="0" w:color="auto"/>
        <w:right w:val="none" w:sz="0" w:space="0" w:color="auto"/>
      </w:divBdr>
    </w:div>
    <w:div w:id="929042979">
      <w:marLeft w:val="0"/>
      <w:marRight w:val="0"/>
      <w:marTop w:val="0"/>
      <w:marBottom w:val="0"/>
      <w:divBdr>
        <w:top w:val="none" w:sz="0" w:space="0" w:color="auto"/>
        <w:left w:val="none" w:sz="0" w:space="0" w:color="auto"/>
        <w:bottom w:val="none" w:sz="0" w:space="0" w:color="auto"/>
        <w:right w:val="none" w:sz="0" w:space="0" w:color="auto"/>
      </w:divBdr>
    </w:div>
    <w:div w:id="929042980">
      <w:marLeft w:val="0"/>
      <w:marRight w:val="0"/>
      <w:marTop w:val="0"/>
      <w:marBottom w:val="0"/>
      <w:divBdr>
        <w:top w:val="none" w:sz="0" w:space="0" w:color="auto"/>
        <w:left w:val="none" w:sz="0" w:space="0" w:color="auto"/>
        <w:bottom w:val="none" w:sz="0" w:space="0" w:color="auto"/>
        <w:right w:val="none" w:sz="0" w:space="0" w:color="auto"/>
      </w:divBdr>
      <w:divsChild>
        <w:div w:id="929043004">
          <w:marLeft w:val="0"/>
          <w:marRight w:val="0"/>
          <w:marTop w:val="0"/>
          <w:marBottom w:val="0"/>
          <w:divBdr>
            <w:top w:val="none" w:sz="0" w:space="0" w:color="auto"/>
            <w:left w:val="none" w:sz="0" w:space="0" w:color="auto"/>
            <w:bottom w:val="none" w:sz="0" w:space="0" w:color="auto"/>
            <w:right w:val="none" w:sz="0" w:space="0" w:color="auto"/>
          </w:divBdr>
          <w:divsChild>
            <w:div w:id="929042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81">
      <w:marLeft w:val="0"/>
      <w:marRight w:val="0"/>
      <w:marTop w:val="0"/>
      <w:marBottom w:val="0"/>
      <w:divBdr>
        <w:top w:val="none" w:sz="0" w:space="0" w:color="auto"/>
        <w:left w:val="none" w:sz="0" w:space="0" w:color="auto"/>
        <w:bottom w:val="none" w:sz="0" w:space="0" w:color="auto"/>
        <w:right w:val="none" w:sz="0" w:space="0" w:color="auto"/>
      </w:divBdr>
      <w:divsChild>
        <w:div w:id="929042992">
          <w:marLeft w:val="0"/>
          <w:marRight w:val="0"/>
          <w:marTop w:val="0"/>
          <w:marBottom w:val="0"/>
          <w:divBdr>
            <w:top w:val="none" w:sz="0" w:space="0" w:color="auto"/>
            <w:left w:val="none" w:sz="0" w:space="0" w:color="auto"/>
            <w:bottom w:val="none" w:sz="0" w:space="0" w:color="auto"/>
            <w:right w:val="none" w:sz="0" w:space="0" w:color="auto"/>
          </w:divBdr>
          <w:divsChild>
            <w:div w:id="929042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82">
      <w:marLeft w:val="0"/>
      <w:marRight w:val="0"/>
      <w:marTop w:val="0"/>
      <w:marBottom w:val="0"/>
      <w:divBdr>
        <w:top w:val="none" w:sz="0" w:space="0" w:color="auto"/>
        <w:left w:val="none" w:sz="0" w:space="0" w:color="auto"/>
        <w:bottom w:val="none" w:sz="0" w:space="0" w:color="auto"/>
        <w:right w:val="none" w:sz="0" w:space="0" w:color="auto"/>
      </w:divBdr>
    </w:div>
    <w:div w:id="929042983">
      <w:marLeft w:val="0"/>
      <w:marRight w:val="0"/>
      <w:marTop w:val="0"/>
      <w:marBottom w:val="0"/>
      <w:divBdr>
        <w:top w:val="none" w:sz="0" w:space="0" w:color="auto"/>
        <w:left w:val="none" w:sz="0" w:space="0" w:color="auto"/>
        <w:bottom w:val="none" w:sz="0" w:space="0" w:color="auto"/>
        <w:right w:val="none" w:sz="0" w:space="0" w:color="auto"/>
      </w:divBdr>
    </w:div>
    <w:div w:id="929042984">
      <w:marLeft w:val="0"/>
      <w:marRight w:val="0"/>
      <w:marTop w:val="0"/>
      <w:marBottom w:val="0"/>
      <w:divBdr>
        <w:top w:val="none" w:sz="0" w:space="0" w:color="auto"/>
        <w:left w:val="none" w:sz="0" w:space="0" w:color="auto"/>
        <w:bottom w:val="none" w:sz="0" w:space="0" w:color="auto"/>
        <w:right w:val="none" w:sz="0" w:space="0" w:color="auto"/>
      </w:divBdr>
    </w:div>
    <w:div w:id="929042985">
      <w:marLeft w:val="0"/>
      <w:marRight w:val="0"/>
      <w:marTop w:val="0"/>
      <w:marBottom w:val="0"/>
      <w:divBdr>
        <w:top w:val="none" w:sz="0" w:space="0" w:color="auto"/>
        <w:left w:val="none" w:sz="0" w:space="0" w:color="auto"/>
        <w:bottom w:val="none" w:sz="0" w:space="0" w:color="auto"/>
        <w:right w:val="none" w:sz="0" w:space="0" w:color="auto"/>
      </w:divBdr>
      <w:divsChild>
        <w:div w:id="929042974">
          <w:marLeft w:val="547"/>
          <w:marRight w:val="0"/>
          <w:marTop w:val="115"/>
          <w:marBottom w:val="0"/>
          <w:divBdr>
            <w:top w:val="none" w:sz="0" w:space="0" w:color="auto"/>
            <w:left w:val="none" w:sz="0" w:space="0" w:color="auto"/>
            <w:bottom w:val="none" w:sz="0" w:space="0" w:color="auto"/>
            <w:right w:val="none" w:sz="0" w:space="0" w:color="auto"/>
          </w:divBdr>
        </w:div>
      </w:divsChild>
    </w:div>
    <w:div w:id="929042987">
      <w:marLeft w:val="0"/>
      <w:marRight w:val="0"/>
      <w:marTop w:val="0"/>
      <w:marBottom w:val="0"/>
      <w:divBdr>
        <w:top w:val="none" w:sz="0" w:space="0" w:color="auto"/>
        <w:left w:val="none" w:sz="0" w:space="0" w:color="auto"/>
        <w:bottom w:val="none" w:sz="0" w:space="0" w:color="auto"/>
        <w:right w:val="none" w:sz="0" w:space="0" w:color="auto"/>
      </w:divBdr>
    </w:div>
    <w:div w:id="929042988">
      <w:marLeft w:val="0"/>
      <w:marRight w:val="0"/>
      <w:marTop w:val="0"/>
      <w:marBottom w:val="0"/>
      <w:divBdr>
        <w:top w:val="none" w:sz="0" w:space="0" w:color="auto"/>
        <w:left w:val="none" w:sz="0" w:space="0" w:color="auto"/>
        <w:bottom w:val="none" w:sz="0" w:space="0" w:color="auto"/>
        <w:right w:val="none" w:sz="0" w:space="0" w:color="auto"/>
      </w:divBdr>
    </w:div>
    <w:div w:id="929042989">
      <w:marLeft w:val="0"/>
      <w:marRight w:val="0"/>
      <w:marTop w:val="0"/>
      <w:marBottom w:val="0"/>
      <w:divBdr>
        <w:top w:val="none" w:sz="0" w:space="0" w:color="auto"/>
        <w:left w:val="none" w:sz="0" w:space="0" w:color="auto"/>
        <w:bottom w:val="none" w:sz="0" w:space="0" w:color="auto"/>
        <w:right w:val="none" w:sz="0" w:space="0" w:color="auto"/>
      </w:divBdr>
      <w:divsChild>
        <w:div w:id="929042990">
          <w:marLeft w:val="0"/>
          <w:marRight w:val="0"/>
          <w:marTop w:val="0"/>
          <w:marBottom w:val="0"/>
          <w:divBdr>
            <w:top w:val="none" w:sz="0" w:space="0" w:color="auto"/>
            <w:left w:val="none" w:sz="0" w:space="0" w:color="auto"/>
            <w:bottom w:val="none" w:sz="0" w:space="0" w:color="auto"/>
            <w:right w:val="none" w:sz="0" w:space="0" w:color="auto"/>
          </w:divBdr>
          <w:divsChild>
            <w:div w:id="929042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91">
      <w:marLeft w:val="0"/>
      <w:marRight w:val="0"/>
      <w:marTop w:val="0"/>
      <w:marBottom w:val="0"/>
      <w:divBdr>
        <w:top w:val="none" w:sz="0" w:space="0" w:color="auto"/>
        <w:left w:val="none" w:sz="0" w:space="0" w:color="auto"/>
        <w:bottom w:val="none" w:sz="0" w:space="0" w:color="auto"/>
        <w:right w:val="none" w:sz="0" w:space="0" w:color="auto"/>
      </w:divBdr>
      <w:divsChild>
        <w:div w:id="929042975">
          <w:marLeft w:val="0"/>
          <w:marRight w:val="0"/>
          <w:marTop w:val="0"/>
          <w:marBottom w:val="0"/>
          <w:divBdr>
            <w:top w:val="none" w:sz="0" w:space="0" w:color="auto"/>
            <w:left w:val="none" w:sz="0" w:space="0" w:color="auto"/>
            <w:bottom w:val="none" w:sz="0" w:space="0" w:color="auto"/>
            <w:right w:val="none" w:sz="0" w:space="0" w:color="auto"/>
          </w:divBdr>
          <w:divsChild>
            <w:div w:id="929042977">
              <w:marLeft w:val="0"/>
              <w:marRight w:val="0"/>
              <w:marTop w:val="0"/>
              <w:marBottom w:val="0"/>
              <w:divBdr>
                <w:top w:val="none" w:sz="0" w:space="0" w:color="auto"/>
                <w:left w:val="none" w:sz="0" w:space="0" w:color="auto"/>
                <w:bottom w:val="none" w:sz="0" w:space="0" w:color="auto"/>
                <w:right w:val="none" w:sz="0" w:space="0" w:color="auto"/>
              </w:divBdr>
            </w:div>
            <w:div w:id="929042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93">
      <w:marLeft w:val="0"/>
      <w:marRight w:val="0"/>
      <w:marTop w:val="0"/>
      <w:marBottom w:val="0"/>
      <w:divBdr>
        <w:top w:val="none" w:sz="0" w:space="0" w:color="auto"/>
        <w:left w:val="none" w:sz="0" w:space="0" w:color="auto"/>
        <w:bottom w:val="none" w:sz="0" w:space="0" w:color="auto"/>
        <w:right w:val="none" w:sz="0" w:space="0" w:color="auto"/>
      </w:divBdr>
    </w:div>
    <w:div w:id="929042996">
      <w:marLeft w:val="0"/>
      <w:marRight w:val="0"/>
      <w:marTop w:val="0"/>
      <w:marBottom w:val="0"/>
      <w:divBdr>
        <w:top w:val="none" w:sz="0" w:space="0" w:color="auto"/>
        <w:left w:val="none" w:sz="0" w:space="0" w:color="auto"/>
        <w:bottom w:val="none" w:sz="0" w:space="0" w:color="auto"/>
        <w:right w:val="none" w:sz="0" w:space="0" w:color="auto"/>
      </w:divBdr>
    </w:div>
    <w:div w:id="929042997">
      <w:marLeft w:val="0"/>
      <w:marRight w:val="0"/>
      <w:marTop w:val="0"/>
      <w:marBottom w:val="0"/>
      <w:divBdr>
        <w:top w:val="none" w:sz="0" w:space="0" w:color="auto"/>
        <w:left w:val="none" w:sz="0" w:space="0" w:color="auto"/>
        <w:bottom w:val="none" w:sz="0" w:space="0" w:color="auto"/>
        <w:right w:val="none" w:sz="0" w:space="0" w:color="auto"/>
      </w:divBdr>
      <w:divsChild>
        <w:div w:id="929043001">
          <w:marLeft w:val="0"/>
          <w:marRight w:val="0"/>
          <w:marTop w:val="0"/>
          <w:marBottom w:val="0"/>
          <w:divBdr>
            <w:top w:val="none" w:sz="0" w:space="0" w:color="auto"/>
            <w:left w:val="none" w:sz="0" w:space="0" w:color="auto"/>
            <w:bottom w:val="none" w:sz="0" w:space="0" w:color="auto"/>
            <w:right w:val="none" w:sz="0" w:space="0" w:color="auto"/>
          </w:divBdr>
          <w:divsChild>
            <w:div w:id="929042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000">
      <w:marLeft w:val="0"/>
      <w:marRight w:val="0"/>
      <w:marTop w:val="0"/>
      <w:marBottom w:val="0"/>
      <w:divBdr>
        <w:top w:val="none" w:sz="0" w:space="0" w:color="auto"/>
        <w:left w:val="none" w:sz="0" w:space="0" w:color="auto"/>
        <w:bottom w:val="none" w:sz="0" w:space="0" w:color="auto"/>
        <w:right w:val="none" w:sz="0" w:space="0" w:color="auto"/>
      </w:divBdr>
    </w:div>
    <w:div w:id="929043002">
      <w:marLeft w:val="0"/>
      <w:marRight w:val="0"/>
      <w:marTop w:val="0"/>
      <w:marBottom w:val="0"/>
      <w:divBdr>
        <w:top w:val="none" w:sz="0" w:space="0" w:color="auto"/>
        <w:left w:val="none" w:sz="0" w:space="0" w:color="auto"/>
        <w:bottom w:val="none" w:sz="0" w:space="0" w:color="auto"/>
        <w:right w:val="none" w:sz="0" w:space="0" w:color="auto"/>
      </w:divBdr>
    </w:div>
    <w:div w:id="929043003">
      <w:marLeft w:val="0"/>
      <w:marRight w:val="0"/>
      <w:marTop w:val="0"/>
      <w:marBottom w:val="0"/>
      <w:divBdr>
        <w:top w:val="none" w:sz="0" w:space="0" w:color="auto"/>
        <w:left w:val="none" w:sz="0" w:space="0" w:color="auto"/>
        <w:bottom w:val="none" w:sz="0" w:space="0" w:color="auto"/>
        <w:right w:val="none" w:sz="0" w:space="0" w:color="auto"/>
      </w:divBdr>
    </w:div>
    <w:div w:id="929043005">
      <w:marLeft w:val="0"/>
      <w:marRight w:val="0"/>
      <w:marTop w:val="0"/>
      <w:marBottom w:val="0"/>
      <w:divBdr>
        <w:top w:val="none" w:sz="0" w:space="0" w:color="auto"/>
        <w:left w:val="none" w:sz="0" w:space="0" w:color="auto"/>
        <w:bottom w:val="none" w:sz="0" w:space="0" w:color="auto"/>
        <w:right w:val="none" w:sz="0" w:space="0" w:color="auto"/>
      </w:divBdr>
    </w:div>
    <w:div w:id="929043006">
      <w:marLeft w:val="0"/>
      <w:marRight w:val="0"/>
      <w:marTop w:val="0"/>
      <w:marBottom w:val="0"/>
      <w:divBdr>
        <w:top w:val="none" w:sz="0" w:space="0" w:color="auto"/>
        <w:left w:val="none" w:sz="0" w:space="0" w:color="auto"/>
        <w:bottom w:val="none" w:sz="0" w:space="0" w:color="auto"/>
        <w:right w:val="none" w:sz="0" w:space="0" w:color="auto"/>
      </w:divBdr>
      <w:divsChild>
        <w:div w:id="929042978">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929043007">
      <w:marLeft w:val="0"/>
      <w:marRight w:val="0"/>
      <w:marTop w:val="0"/>
      <w:marBottom w:val="0"/>
      <w:divBdr>
        <w:top w:val="none" w:sz="0" w:space="0" w:color="auto"/>
        <w:left w:val="none" w:sz="0" w:space="0" w:color="auto"/>
        <w:bottom w:val="none" w:sz="0" w:space="0" w:color="auto"/>
        <w:right w:val="none" w:sz="0" w:space="0" w:color="auto"/>
      </w:divBdr>
    </w:div>
    <w:div w:id="929043008">
      <w:marLeft w:val="0"/>
      <w:marRight w:val="0"/>
      <w:marTop w:val="0"/>
      <w:marBottom w:val="0"/>
      <w:divBdr>
        <w:top w:val="none" w:sz="0" w:space="0" w:color="auto"/>
        <w:left w:val="none" w:sz="0" w:space="0" w:color="auto"/>
        <w:bottom w:val="none" w:sz="0" w:space="0" w:color="auto"/>
        <w:right w:val="none" w:sz="0" w:space="0" w:color="auto"/>
      </w:divBdr>
    </w:div>
    <w:div w:id="929043009">
      <w:marLeft w:val="0"/>
      <w:marRight w:val="0"/>
      <w:marTop w:val="0"/>
      <w:marBottom w:val="0"/>
      <w:divBdr>
        <w:top w:val="none" w:sz="0" w:space="0" w:color="auto"/>
        <w:left w:val="none" w:sz="0" w:space="0" w:color="auto"/>
        <w:bottom w:val="none" w:sz="0" w:space="0" w:color="auto"/>
        <w:right w:val="none" w:sz="0" w:space="0" w:color="auto"/>
      </w:divBdr>
    </w:div>
    <w:div w:id="929043010">
      <w:marLeft w:val="0"/>
      <w:marRight w:val="0"/>
      <w:marTop w:val="0"/>
      <w:marBottom w:val="0"/>
      <w:divBdr>
        <w:top w:val="none" w:sz="0" w:space="0" w:color="auto"/>
        <w:left w:val="none" w:sz="0" w:space="0" w:color="auto"/>
        <w:bottom w:val="none" w:sz="0" w:space="0" w:color="auto"/>
        <w:right w:val="none" w:sz="0" w:space="0" w:color="auto"/>
      </w:divBdr>
    </w:div>
    <w:div w:id="929043011">
      <w:marLeft w:val="0"/>
      <w:marRight w:val="0"/>
      <w:marTop w:val="0"/>
      <w:marBottom w:val="0"/>
      <w:divBdr>
        <w:top w:val="none" w:sz="0" w:space="0" w:color="auto"/>
        <w:left w:val="none" w:sz="0" w:space="0" w:color="auto"/>
        <w:bottom w:val="none" w:sz="0" w:space="0" w:color="auto"/>
        <w:right w:val="none" w:sz="0" w:space="0" w:color="auto"/>
      </w:divBdr>
    </w:div>
    <w:div w:id="929043012">
      <w:marLeft w:val="0"/>
      <w:marRight w:val="0"/>
      <w:marTop w:val="0"/>
      <w:marBottom w:val="0"/>
      <w:divBdr>
        <w:top w:val="none" w:sz="0" w:space="0" w:color="auto"/>
        <w:left w:val="none" w:sz="0" w:space="0" w:color="auto"/>
        <w:bottom w:val="none" w:sz="0" w:space="0" w:color="auto"/>
        <w:right w:val="none" w:sz="0" w:space="0" w:color="auto"/>
      </w:divBdr>
    </w:div>
    <w:div w:id="929043015">
      <w:marLeft w:val="0"/>
      <w:marRight w:val="0"/>
      <w:marTop w:val="0"/>
      <w:marBottom w:val="0"/>
      <w:divBdr>
        <w:top w:val="none" w:sz="0" w:space="0" w:color="auto"/>
        <w:left w:val="none" w:sz="0" w:space="0" w:color="auto"/>
        <w:bottom w:val="none" w:sz="0" w:space="0" w:color="auto"/>
        <w:right w:val="none" w:sz="0" w:space="0" w:color="auto"/>
      </w:divBdr>
    </w:div>
    <w:div w:id="929043018">
      <w:marLeft w:val="0"/>
      <w:marRight w:val="0"/>
      <w:marTop w:val="0"/>
      <w:marBottom w:val="0"/>
      <w:divBdr>
        <w:top w:val="none" w:sz="0" w:space="0" w:color="auto"/>
        <w:left w:val="none" w:sz="0" w:space="0" w:color="auto"/>
        <w:bottom w:val="none" w:sz="0" w:space="0" w:color="auto"/>
        <w:right w:val="none" w:sz="0" w:space="0" w:color="auto"/>
      </w:divBdr>
    </w:div>
    <w:div w:id="929043019">
      <w:marLeft w:val="0"/>
      <w:marRight w:val="0"/>
      <w:marTop w:val="0"/>
      <w:marBottom w:val="0"/>
      <w:divBdr>
        <w:top w:val="none" w:sz="0" w:space="0" w:color="auto"/>
        <w:left w:val="none" w:sz="0" w:space="0" w:color="auto"/>
        <w:bottom w:val="none" w:sz="0" w:space="0" w:color="auto"/>
        <w:right w:val="none" w:sz="0" w:space="0" w:color="auto"/>
      </w:divBdr>
      <w:divsChild>
        <w:div w:id="929043043">
          <w:marLeft w:val="0"/>
          <w:marRight w:val="0"/>
          <w:marTop w:val="0"/>
          <w:marBottom w:val="0"/>
          <w:divBdr>
            <w:top w:val="none" w:sz="0" w:space="0" w:color="auto"/>
            <w:left w:val="none" w:sz="0" w:space="0" w:color="auto"/>
            <w:bottom w:val="none" w:sz="0" w:space="0" w:color="auto"/>
            <w:right w:val="none" w:sz="0" w:space="0" w:color="auto"/>
          </w:divBdr>
          <w:divsChild>
            <w:div w:id="929043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020">
      <w:marLeft w:val="0"/>
      <w:marRight w:val="0"/>
      <w:marTop w:val="0"/>
      <w:marBottom w:val="0"/>
      <w:divBdr>
        <w:top w:val="none" w:sz="0" w:space="0" w:color="auto"/>
        <w:left w:val="none" w:sz="0" w:space="0" w:color="auto"/>
        <w:bottom w:val="none" w:sz="0" w:space="0" w:color="auto"/>
        <w:right w:val="none" w:sz="0" w:space="0" w:color="auto"/>
      </w:divBdr>
      <w:divsChild>
        <w:div w:id="929043031">
          <w:marLeft w:val="0"/>
          <w:marRight w:val="0"/>
          <w:marTop w:val="0"/>
          <w:marBottom w:val="0"/>
          <w:divBdr>
            <w:top w:val="none" w:sz="0" w:space="0" w:color="auto"/>
            <w:left w:val="none" w:sz="0" w:space="0" w:color="auto"/>
            <w:bottom w:val="none" w:sz="0" w:space="0" w:color="auto"/>
            <w:right w:val="none" w:sz="0" w:space="0" w:color="auto"/>
          </w:divBdr>
          <w:divsChild>
            <w:div w:id="929043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021">
      <w:marLeft w:val="0"/>
      <w:marRight w:val="0"/>
      <w:marTop w:val="0"/>
      <w:marBottom w:val="0"/>
      <w:divBdr>
        <w:top w:val="none" w:sz="0" w:space="0" w:color="auto"/>
        <w:left w:val="none" w:sz="0" w:space="0" w:color="auto"/>
        <w:bottom w:val="none" w:sz="0" w:space="0" w:color="auto"/>
        <w:right w:val="none" w:sz="0" w:space="0" w:color="auto"/>
      </w:divBdr>
    </w:div>
    <w:div w:id="929043022">
      <w:marLeft w:val="0"/>
      <w:marRight w:val="0"/>
      <w:marTop w:val="0"/>
      <w:marBottom w:val="0"/>
      <w:divBdr>
        <w:top w:val="none" w:sz="0" w:space="0" w:color="auto"/>
        <w:left w:val="none" w:sz="0" w:space="0" w:color="auto"/>
        <w:bottom w:val="none" w:sz="0" w:space="0" w:color="auto"/>
        <w:right w:val="none" w:sz="0" w:space="0" w:color="auto"/>
      </w:divBdr>
    </w:div>
    <w:div w:id="929043023">
      <w:marLeft w:val="0"/>
      <w:marRight w:val="0"/>
      <w:marTop w:val="0"/>
      <w:marBottom w:val="0"/>
      <w:divBdr>
        <w:top w:val="none" w:sz="0" w:space="0" w:color="auto"/>
        <w:left w:val="none" w:sz="0" w:space="0" w:color="auto"/>
        <w:bottom w:val="none" w:sz="0" w:space="0" w:color="auto"/>
        <w:right w:val="none" w:sz="0" w:space="0" w:color="auto"/>
      </w:divBdr>
    </w:div>
    <w:div w:id="929043024">
      <w:marLeft w:val="0"/>
      <w:marRight w:val="0"/>
      <w:marTop w:val="0"/>
      <w:marBottom w:val="0"/>
      <w:divBdr>
        <w:top w:val="none" w:sz="0" w:space="0" w:color="auto"/>
        <w:left w:val="none" w:sz="0" w:space="0" w:color="auto"/>
        <w:bottom w:val="none" w:sz="0" w:space="0" w:color="auto"/>
        <w:right w:val="none" w:sz="0" w:space="0" w:color="auto"/>
      </w:divBdr>
      <w:divsChild>
        <w:div w:id="929043013">
          <w:marLeft w:val="547"/>
          <w:marRight w:val="0"/>
          <w:marTop w:val="115"/>
          <w:marBottom w:val="0"/>
          <w:divBdr>
            <w:top w:val="none" w:sz="0" w:space="0" w:color="auto"/>
            <w:left w:val="none" w:sz="0" w:space="0" w:color="auto"/>
            <w:bottom w:val="none" w:sz="0" w:space="0" w:color="auto"/>
            <w:right w:val="none" w:sz="0" w:space="0" w:color="auto"/>
          </w:divBdr>
        </w:div>
      </w:divsChild>
    </w:div>
    <w:div w:id="929043026">
      <w:marLeft w:val="0"/>
      <w:marRight w:val="0"/>
      <w:marTop w:val="0"/>
      <w:marBottom w:val="0"/>
      <w:divBdr>
        <w:top w:val="none" w:sz="0" w:space="0" w:color="auto"/>
        <w:left w:val="none" w:sz="0" w:space="0" w:color="auto"/>
        <w:bottom w:val="none" w:sz="0" w:space="0" w:color="auto"/>
        <w:right w:val="none" w:sz="0" w:space="0" w:color="auto"/>
      </w:divBdr>
    </w:div>
    <w:div w:id="929043027">
      <w:marLeft w:val="0"/>
      <w:marRight w:val="0"/>
      <w:marTop w:val="0"/>
      <w:marBottom w:val="0"/>
      <w:divBdr>
        <w:top w:val="none" w:sz="0" w:space="0" w:color="auto"/>
        <w:left w:val="none" w:sz="0" w:space="0" w:color="auto"/>
        <w:bottom w:val="none" w:sz="0" w:space="0" w:color="auto"/>
        <w:right w:val="none" w:sz="0" w:space="0" w:color="auto"/>
      </w:divBdr>
    </w:div>
    <w:div w:id="929043028">
      <w:marLeft w:val="0"/>
      <w:marRight w:val="0"/>
      <w:marTop w:val="0"/>
      <w:marBottom w:val="0"/>
      <w:divBdr>
        <w:top w:val="none" w:sz="0" w:space="0" w:color="auto"/>
        <w:left w:val="none" w:sz="0" w:space="0" w:color="auto"/>
        <w:bottom w:val="none" w:sz="0" w:space="0" w:color="auto"/>
        <w:right w:val="none" w:sz="0" w:space="0" w:color="auto"/>
      </w:divBdr>
      <w:divsChild>
        <w:div w:id="929043029">
          <w:marLeft w:val="0"/>
          <w:marRight w:val="0"/>
          <w:marTop w:val="0"/>
          <w:marBottom w:val="0"/>
          <w:divBdr>
            <w:top w:val="none" w:sz="0" w:space="0" w:color="auto"/>
            <w:left w:val="none" w:sz="0" w:space="0" w:color="auto"/>
            <w:bottom w:val="none" w:sz="0" w:space="0" w:color="auto"/>
            <w:right w:val="none" w:sz="0" w:space="0" w:color="auto"/>
          </w:divBdr>
          <w:divsChild>
            <w:div w:id="929043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030">
      <w:marLeft w:val="0"/>
      <w:marRight w:val="0"/>
      <w:marTop w:val="0"/>
      <w:marBottom w:val="0"/>
      <w:divBdr>
        <w:top w:val="none" w:sz="0" w:space="0" w:color="auto"/>
        <w:left w:val="none" w:sz="0" w:space="0" w:color="auto"/>
        <w:bottom w:val="none" w:sz="0" w:space="0" w:color="auto"/>
        <w:right w:val="none" w:sz="0" w:space="0" w:color="auto"/>
      </w:divBdr>
      <w:divsChild>
        <w:div w:id="929043014">
          <w:marLeft w:val="0"/>
          <w:marRight w:val="0"/>
          <w:marTop w:val="0"/>
          <w:marBottom w:val="0"/>
          <w:divBdr>
            <w:top w:val="none" w:sz="0" w:space="0" w:color="auto"/>
            <w:left w:val="none" w:sz="0" w:space="0" w:color="auto"/>
            <w:bottom w:val="none" w:sz="0" w:space="0" w:color="auto"/>
            <w:right w:val="none" w:sz="0" w:space="0" w:color="auto"/>
          </w:divBdr>
          <w:divsChild>
            <w:div w:id="929043016">
              <w:marLeft w:val="0"/>
              <w:marRight w:val="0"/>
              <w:marTop w:val="0"/>
              <w:marBottom w:val="0"/>
              <w:divBdr>
                <w:top w:val="none" w:sz="0" w:space="0" w:color="auto"/>
                <w:left w:val="none" w:sz="0" w:space="0" w:color="auto"/>
                <w:bottom w:val="none" w:sz="0" w:space="0" w:color="auto"/>
                <w:right w:val="none" w:sz="0" w:space="0" w:color="auto"/>
              </w:divBdr>
            </w:div>
            <w:div w:id="929043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032">
      <w:marLeft w:val="0"/>
      <w:marRight w:val="0"/>
      <w:marTop w:val="0"/>
      <w:marBottom w:val="0"/>
      <w:divBdr>
        <w:top w:val="none" w:sz="0" w:space="0" w:color="auto"/>
        <w:left w:val="none" w:sz="0" w:space="0" w:color="auto"/>
        <w:bottom w:val="none" w:sz="0" w:space="0" w:color="auto"/>
        <w:right w:val="none" w:sz="0" w:space="0" w:color="auto"/>
      </w:divBdr>
    </w:div>
    <w:div w:id="929043035">
      <w:marLeft w:val="0"/>
      <w:marRight w:val="0"/>
      <w:marTop w:val="0"/>
      <w:marBottom w:val="0"/>
      <w:divBdr>
        <w:top w:val="none" w:sz="0" w:space="0" w:color="auto"/>
        <w:left w:val="none" w:sz="0" w:space="0" w:color="auto"/>
        <w:bottom w:val="none" w:sz="0" w:space="0" w:color="auto"/>
        <w:right w:val="none" w:sz="0" w:space="0" w:color="auto"/>
      </w:divBdr>
    </w:div>
    <w:div w:id="929043036">
      <w:marLeft w:val="0"/>
      <w:marRight w:val="0"/>
      <w:marTop w:val="0"/>
      <w:marBottom w:val="0"/>
      <w:divBdr>
        <w:top w:val="none" w:sz="0" w:space="0" w:color="auto"/>
        <w:left w:val="none" w:sz="0" w:space="0" w:color="auto"/>
        <w:bottom w:val="none" w:sz="0" w:space="0" w:color="auto"/>
        <w:right w:val="none" w:sz="0" w:space="0" w:color="auto"/>
      </w:divBdr>
      <w:divsChild>
        <w:div w:id="929043040">
          <w:marLeft w:val="0"/>
          <w:marRight w:val="0"/>
          <w:marTop w:val="0"/>
          <w:marBottom w:val="0"/>
          <w:divBdr>
            <w:top w:val="none" w:sz="0" w:space="0" w:color="auto"/>
            <w:left w:val="none" w:sz="0" w:space="0" w:color="auto"/>
            <w:bottom w:val="none" w:sz="0" w:space="0" w:color="auto"/>
            <w:right w:val="none" w:sz="0" w:space="0" w:color="auto"/>
          </w:divBdr>
          <w:divsChild>
            <w:div w:id="929043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039">
      <w:marLeft w:val="0"/>
      <w:marRight w:val="0"/>
      <w:marTop w:val="0"/>
      <w:marBottom w:val="0"/>
      <w:divBdr>
        <w:top w:val="none" w:sz="0" w:space="0" w:color="auto"/>
        <w:left w:val="none" w:sz="0" w:space="0" w:color="auto"/>
        <w:bottom w:val="none" w:sz="0" w:space="0" w:color="auto"/>
        <w:right w:val="none" w:sz="0" w:space="0" w:color="auto"/>
      </w:divBdr>
    </w:div>
    <w:div w:id="929043041">
      <w:marLeft w:val="0"/>
      <w:marRight w:val="0"/>
      <w:marTop w:val="0"/>
      <w:marBottom w:val="0"/>
      <w:divBdr>
        <w:top w:val="none" w:sz="0" w:space="0" w:color="auto"/>
        <w:left w:val="none" w:sz="0" w:space="0" w:color="auto"/>
        <w:bottom w:val="none" w:sz="0" w:space="0" w:color="auto"/>
        <w:right w:val="none" w:sz="0" w:space="0" w:color="auto"/>
      </w:divBdr>
    </w:div>
    <w:div w:id="929043042">
      <w:marLeft w:val="0"/>
      <w:marRight w:val="0"/>
      <w:marTop w:val="0"/>
      <w:marBottom w:val="0"/>
      <w:divBdr>
        <w:top w:val="none" w:sz="0" w:space="0" w:color="auto"/>
        <w:left w:val="none" w:sz="0" w:space="0" w:color="auto"/>
        <w:bottom w:val="none" w:sz="0" w:space="0" w:color="auto"/>
        <w:right w:val="none" w:sz="0" w:space="0" w:color="auto"/>
      </w:divBdr>
    </w:div>
    <w:div w:id="929043044">
      <w:marLeft w:val="0"/>
      <w:marRight w:val="0"/>
      <w:marTop w:val="0"/>
      <w:marBottom w:val="0"/>
      <w:divBdr>
        <w:top w:val="none" w:sz="0" w:space="0" w:color="auto"/>
        <w:left w:val="none" w:sz="0" w:space="0" w:color="auto"/>
        <w:bottom w:val="none" w:sz="0" w:space="0" w:color="auto"/>
        <w:right w:val="none" w:sz="0" w:space="0" w:color="auto"/>
      </w:divBdr>
    </w:div>
    <w:div w:id="929043045">
      <w:marLeft w:val="0"/>
      <w:marRight w:val="0"/>
      <w:marTop w:val="0"/>
      <w:marBottom w:val="0"/>
      <w:divBdr>
        <w:top w:val="none" w:sz="0" w:space="0" w:color="auto"/>
        <w:left w:val="none" w:sz="0" w:space="0" w:color="auto"/>
        <w:bottom w:val="none" w:sz="0" w:space="0" w:color="auto"/>
        <w:right w:val="none" w:sz="0" w:space="0" w:color="auto"/>
      </w:divBdr>
      <w:divsChild>
        <w:div w:id="929043017">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929043046">
      <w:marLeft w:val="0"/>
      <w:marRight w:val="0"/>
      <w:marTop w:val="0"/>
      <w:marBottom w:val="0"/>
      <w:divBdr>
        <w:top w:val="none" w:sz="0" w:space="0" w:color="auto"/>
        <w:left w:val="none" w:sz="0" w:space="0" w:color="auto"/>
        <w:bottom w:val="none" w:sz="0" w:space="0" w:color="auto"/>
        <w:right w:val="none" w:sz="0" w:space="0" w:color="auto"/>
      </w:divBdr>
    </w:div>
    <w:div w:id="929043047">
      <w:marLeft w:val="0"/>
      <w:marRight w:val="0"/>
      <w:marTop w:val="0"/>
      <w:marBottom w:val="0"/>
      <w:divBdr>
        <w:top w:val="none" w:sz="0" w:space="0" w:color="auto"/>
        <w:left w:val="none" w:sz="0" w:space="0" w:color="auto"/>
        <w:bottom w:val="none" w:sz="0" w:space="0" w:color="auto"/>
        <w:right w:val="none" w:sz="0" w:space="0" w:color="auto"/>
      </w:divBdr>
    </w:div>
    <w:div w:id="929043048">
      <w:marLeft w:val="0"/>
      <w:marRight w:val="0"/>
      <w:marTop w:val="0"/>
      <w:marBottom w:val="0"/>
      <w:divBdr>
        <w:top w:val="none" w:sz="0" w:space="0" w:color="auto"/>
        <w:left w:val="none" w:sz="0" w:space="0" w:color="auto"/>
        <w:bottom w:val="none" w:sz="0" w:space="0" w:color="auto"/>
        <w:right w:val="none" w:sz="0" w:space="0" w:color="auto"/>
      </w:divBdr>
    </w:div>
    <w:div w:id="929043049">
      <w:marLeft w:val="0"/>
      <w:marRight w:val="0"/>
      <w:marTop w:val="0"/>
      <w:marBottom w:val="0"/>
      <w:divBdr>
        <w:top w:val="none" w:sz="0" w:space="0" w:color="auto"/>
        <w:left w:val="none" w:sz="0" w:space="0" w:color="auto"/>
        <w:bottom w:val="none" w:sz="0" w:space="0" w:color="auto"/>
        <w:right w:val="none" w:sz="0" w:space="0" w:color="auto"/>
      </w:divBdr>
    </w:div>
    <w:div w:id="929043050">
      <w:marLeft w:val="0"/>
      <w:marRight w:val="0"/>
      <w:marTop w:val="0"/>
      <w:marBottom w:val="0"/>
      <w:divBdr>
        <w:top w:val="none" w:sz="0" w:space="0" w:color="auto"/>
        <w:left w:val="none" w:sz="0" w:space="0" w:color="auto"/>
        <w:bottom w:val="none" w:sz="0" w:space="0" w:color="auto"/>
        <w:right w:val="none" w:sz="0" w:space="0" w:color="auto"/>
      </w:divBdr>
    </w:div>
    <w:div w:id="929043051">
      <w:marLeft w:val="0"/>
      <w:marRight w:val="0"/>
      <w:marTop w:val="0"/>
      <w:marBottom w:val="0"/>
      <w:divBdr>
        <w:top w:val="none" w:sz="0" w:space="0" w:color="auto"/>
        <w:left w:val="none" w:sz="0" w:space="0" w:color="auto"/>
        <w:bottom w:val="none" w:sz="0" w:space="0" w:color="auto"/>
        <w:right w:val="none" w:sz="0" w:space="0" w:color="auto"/>
      </w:divBdr>
    </w:div>
    <w:div w:id="929043052">
      <w:marLeft w:val="0"/>
      <w:marRight w:val="0"/>
      <w:marTop w:val="0"/>
      <w:marBottom w:val="0"/>
      <w:divBdr>
        <w:top w:val="none" w:sz="0" w:space="0" w:color="auto"/>
        <w:left w:val="none" w:sz="0" w:space="0" w:color="auto"/>
        <w:bottom w:val="none" w:sz="0" w:space="0" w:color="auto"/>
        <w:right w:val="none" w:sz="0" w:space="0" w:color="auto"/>
      </w:divBdr>
    </w:div>
    <w:div w:id="929043053">
      <w:marLeft w:val="0"/>
      <w:marRight w:val="0"/>
      <w:marTop w:val="0"/>
      <w:marBottom w:val="0"/>
      <w:divBdr>
        <w:top w:val="none" w:sz="0" w:space="0" w:color="auto"/>
        <w:left w:val="none" w:sz="0" w:space="0" w:color="auto"/>
        <w:bottom w:val="none" w:sz="0" w:space="0" w:color="auto"/>
        <w:right w:val="none" w:sz="0" w:space="0" w:color="auto"/>
      </w:divBdr>
    </w:div>
    <w:div w:id="929043054">
      <w:marLeft w:val="0"/>
      <w:marRight w:val="0"/>
      <w:marTop w:val="0"/>
      <w:marBottom w:val="0"/>
      <w:divBdr>
        <w:top w:val="none" w:sz="0" w:space="0" w:color="auto"/>
        <w:left w:val="none" w:sz="0" w:space="0" w:color="auto"/>
        <w:bottom w:val="none" w:sz="0" w:space="0" w:color="auto"/>
        <w:right w:val="none" w:sz="0" w:space="0" w:color="auto"/>
      </w:divBdr>
    </w:div>
    <w:div w:id="929043063">
      <w:marLeft w:val="0"/>
      <w:marRight w:val="0"/>
      <w:marTop w:val="0"/>
      <w:marBottom w:val="0"/>
      <w:divBdr>
        <w:top w:val="none" w:sz="0" w:space="0" w:color="auto"/>
        <w:left w:val="none" w:sz="0" w:space="0" w:color="auto"/>
        <w:bottom w:val="none" w:sz="0" w:space="0" w:color="auto"/>
        <w:right w:val="none" w:sz="0" w:space="0" w:color="auto"/>
      </w:divBdr>
      <w:divsChild>
        <w:div w:id="929043059">
          <w:marLeft w:val="0"/>
          <w:marRight w:val="0"/>
          <w:marTop w:val="0"/>
          <w:marBottom w:val="0"/>
          <w:divBdr>
            <w:top w:val="none" w:sz="0" w:space="0" w:color="auto"/>
            <w:left w:val="none" w:sz="0" w:space="0" w:color="auto"/>
            <w:bottom w:val="none" w:sz="0" w:space="0" w:color="auto"/>
            <w:right w:val="none" w:sz="0" w:space="0" w:color="auto"/>
          </w:divBdr>
          <w:divsChild>
            <w:div w:id="929043057">
              <w:marLeft w:val="0"/>
              <w:marRight w:val="0"/>
              <w:marTop w:val="0"/>
              <w:marBottom w:val="0"/>
              <w:divBdr>
                <w:top w:val="none" w:sz="0" w:space="0" w:color="auto"/>
                <w:left w:val="none" w:sz="0" w:space="0" w:color="auto"/>
                <w:bottom w:val="none" w:sz="0" w:space="0" w:color="auto"/>
                <w:right w:val="none" w:sz="0" w:space="0" w:color="auto"/>
              </w:divBdr>
              <w:divsChild>
                <w:div w:id="929043062">
                  <w:marLeft w:val="0"/>
                  <w:marRight w:val="0"/>
                  <w:marTop w:val="0"/>
                  <w:marBottom w:val="0"/>
                  <w:divBdr>
                    <w:top w:val="none" w:sz="0" w:space="0" w:color="auto"/>
                    <w:left w:val="none" w:sz="0" w:space="0" w:color="auto"/>
                    <w:bottom w:val="none" w:sz="0" w:space="0" w:color="auto"/>
                    <w:right w:val="none" w:sz="0" w:space="0" w:color="auto"/>
                  </w:divBdr>
                  <w:divsChild>
                    <w:div w:id="929043056">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929043064">
      <w:marLeft w:val="0"/>
      <w:marRight w:val="0"/>
      <w:marTop w:val="0"/>
      <w:marBottom w:val="0"/>
      <w:divBdr>
        <w:top w:val="none" w:sz="0" w:space="0" w:color="auto"/>
        <w:left w:val="none" w:sz="0" w:space="0" w:color="auto"/>
        <w:bottom w:val="none" w:sz="0" w:space="0" w:color="auto"/>
        <w:right w:val="none" w:sz="0" w:space="0" w:color="auto"/>
      </w:divBdr>
      <w:divsChild>
        <w:div w:id="929043055">
          <w:marLeft w:val="0"/>
          <w:marRight w:val="0"/>
          <w:marTop w:val="0"/>
          <w:marBottom w:val="0"/>
          <w:divBdr>
            <w:top w:val="none" w:sz="0" w:space="0" w:color="auto"/>
            <w:left w:val="none" w:sz="0" w:space="0" w:color="auto"/>
            <w:bottom w:val="none" w:sz="0" w:space="0" w:color="auto"/>
            <w:right w:val="none" w:sz="0" w:space="0" w:color="auto"/>
          </w:divBdr>
          <w:divsChild>
            <w:div w:id="929043058">
              <w:marLeft w:val="0"/>
              <w:marRight w:val="0"/>
              <w:marTop w:val="0"/>
              <w:marBottom w:val="0"/>
              <w:divBdr>
                <w:top w:val="none" w:sz="0" w:space="0" w:color="auto"/>
                <w:left w:val="none" w:sz="0" w:space="0" w:color="auto"/>
                <w:bottom w:val="none" w:sz="0" w:space="0" w:color="auto"/>
                <w:right w:val="none" w:sz="0" w:space="0" w:color="auto"/>
              </w:divBdr>
              <w:divsChild>
                <w:div w:id="929043061">
                  <w:marLeft w:val="0"/>
                  <w:marRight w:val="0"/>
                  <w:marTop w:val="0"/>
                  <w:marBottom w:val="0"/>
                  <w:divBdr>
                    <w:top w:val="none" w:sz="0" w:space="0" w:color="auto"/>
                    <w:left w:val="none" w:sz="0" w:space="0" w:color="auto"/>
                    <w:bottom w:val="none" w:sz="0" w:space="0" w:color="auto"/>
                    <w:right w:val="none" w:sz="0" w:space="0" w:color="auto"/>
                  </w:divBdr>
                  <w:divsChild>
                    <w:div w:id="929043060">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929043065">
      <w:marLeft w:val="0"/>
      <w:marRight w:val="0"/>
      <w:marTop w:val="0"/>
      <w:marBottom w:val="0"/>
      <w:divBdr>
        <w:top w:val="none" w:sz="0" w:space="0" w:color="auto"/>
        <w:left w:val="none" w:sz="0" w:space="0" w:color="auto"/>
        <w:bottom w:val="none" w:sz="0" w:space="0" w:color="auto"/>
        <w:right w:val="none" w:sz="0" w:space="0" w:color="auto"/>
      </w:divBdr>
    </w:div>
    <w:div w:id="929043066">
      <w:marLeft w:val="0"/>
      <w:marRight w:val="0"/>
      <w:marTop w:val="0"/>
      <w:marBottom w:val="0"/>
      <w:divBdr>
        <w:top w:val="none" w:sz="0" w:space="0" w:color="auto"/>
        <w:left w:val="none" w:sz="0" w:space="0" w:color="auto"/>
        <w:bottom w:val="none" w:sz="0" w:space="0" w:color="auto"/>
        <w:right w:val="none" w:sz="0" w:space="0" w:color="auto"/>
      </w:divBdr>
    </w:div>
    <w:div w:id="929043067">
      <w:marLeft w:val="0"/>
      <w:marRight w:val="0"/>
      <w:marTop w:val="0"/>
      <w:marBottom w:val="0"/>
      <w:divBdr>
        <w:top w:val="none" w:sz="0" w:space="0" w:color="auto"/>
        <w:left w:val="none" w:sz="0" w:space="0" w:color="auto"/>
        <w:bottom w:val="none" w:sz="0" w:space="0" w:color="auto"/>
        <w:right w:val="none" w:sz="0" w:space="0" w:color="auto"/>
      </w:divBdr>
    </w:div>
    <w:div w:id="929043068">
      <w:marLeft w:val="0"/>
      <w:marRight w:val="0"/>
      <w:marTop w:val="0"/>
      <w:marBottom w:val="0"/>
      <w:divBdr>
        <w:top w:val="none" w:sz="0" w:space="0" w:color="auto"/>
        <w:left w:val="none" w:sz="0" w:space="0" w:color="auto"/>
        <w:bottom w:val="none" w:sz="0" w:space="0" w:color="auto"/>
        <w:right w:val="none" w:sz="0" w:space="0" w:color="auto"/>
      </w:divBdr>
    </w:div>
    <w:div w:id="929043069">
      <w:marLeft w:val="0"/>
      <w:marRight w:val="0"/>
      <w:marTop w:val="0"/>
      <w:marBottom w:val="0"/>
      <w:divBdr>
        <w:top w:val="none" w:sz="0" w:space="0" w:color="auto"/>
        <w:left w:val="none" w:sz="0" w:space="0" w:color="auto"/>
        <w:bottom w:val="none" w:sz="0" w:space="0" w:color="auto"/>
        <w:right w:val="none" w:sz="0" w:space="0" w:color="auto"/>
      </w:divBdr>
    </w:div>
    <w:div w:id="929043070">
      <w:marLeft w:val="0"/>
      <w:marRight w:val="0"/>
      <w:marTop w:val="0"/>
      <w:marBottom w:val="0"/>
      <w:divBdr>
        <w:top w:val="none" w:sz="0" w:space="0" w:color="auto"/>
        <w:left w:val="none" w:sz="0" w:space="0" w:color="auto"/>
        <w:bottom w:val="none" w:sz="0" w:space="0" w:color="auto"/>
        <w:right w:val="none" w:sz="0" w:space="0" w:color="auto"/>
      </w:divBdr>
    </w:div>
    <w:div w:id="929043071">
      <w:marLeft w:val="0"/>
      <w:marRight w:val="0"/>
      <w:marTop w:val="0"/>
      <w:marBottom w:val="0"/>
      <w:divBdr>
        <w:top w:val="none" w:sz="0" w:space="0" w:color="auto"/>
        <w:left w:val="none" w:sz="0" w:space="0" w:color="auto"/>
        <w:bottom w:val="none" w:sz="0" w:space="0" w:color="auto"/>
        <w:right w:val="none" w:sz="0" w:space="0" w:color="auto"/>
      </w:divBdr>
    </w:div>
    <w:div w:id="929043072">
      <w:marLeft w:val="0"/>
      <w:marRight w:val="0"/>
      <w:marTop w:val="0"/>
      <w:marBottom w:val="0"/>
      <w:divBdr>
        <w:top w:val="none" w:sz="0" w:space="0" w:color="auto"/>
        <w:left w:val="none" w:sz="0" w:space="0" w:color="auto"/>
        <w:bottom w:val="none" w:sz="0" w:space="0" w:color="auto"/>
        <w:right w:val="none" w:sz="0" w:space="0" w:color="auto"/>
      </w:divBdr>
    </w:div>
    <w:div w:id="929043073">
      <w:marLeft w:val="0"/>
      <w:marRight w:val="0"/>
      <w:marTop w:val="0"/>
      <w:marBottom w:val="0"/>
      <w:divBdr>
        <w:top w:val="none" w:sz="0" w:space="0" w:color="auto"/>
        <w:left w:val="none" w:sz="0" w:space="0" w:color="auto"/>
        <w:bottom w:val="none" w:sz="0" w:space="0" w:color="auto"/>
        <w:right w:val="none" w:sz="0" w:space="0" w:color="auto"/>
      </w:divBdr>
    </w:div>
    <w:div w:id="929043074">
      <w:marLeft w:val="0"/>
      <w:marRight w:val="0"/>
      <w:marTop w:val="0"/>
      <w:marBottom w:val="0"/>
      <w:divBdr>
        <w:top w:val="none" w:sz="0" w:space="0" w:color="auto"/>
        <w:left w:val="none" w:sz="0" w:space="0" w:color="auto"/>
        <w:bottom w:val="none" w:sz="0" w:space="0" w:color="auto"/>
        <w:right w:val="none" w:sz="0" w:space="0" w:color="auto"/>
      </w:divBdr>
    </w:div>
    <w:div w:id="929043075">
      <w:marLeft w:val="0"/>
      <w:marRight w:val="0"/>
      <w:marTop w:val="0"/>
      <w:marBottom w:val="0"/>
      <w:divBdr>
        <w:top w:val="none" w:sz="0" w:space="0" w:color="auto"/>
        <w:left w:val="none" w:sz="0" w:space="0" w:color="auto"/>
        <w:bottom w:val="none" w:sz="0" w:space="0" w:color="auto"/>
        <w:right w:val="none" w:sz="0" w:space="0" w:color="auto"/>
      </w:divBdr>
    </w:div>
    <w:div w:id="929043076">
      <w:marLeft w:val="0"/>
      <w:marRight w:val="0"/>
      <w:marTop w:val="0"/>
      <w:marBottom w:val="0"/>
      <w:divBdr>
        <w:top w:val="none" w:sz="0" w:space="0" w:color="auto"/>
        <w:left w:val="none" w:sz="0" w:space="0" w:color="auto"/>
        <w:bottom w:val="none" w:sz="0" w:space="0" w:color="auto"/>
        <w:right w:val="none" w:sz="0" w:space="0" w:color="auto"/>
      </w:divBdr>
    </w:div>
    <w:div w:id="929043077">
      <w:marLeft w:val="0"/>
      <w:marRight w:val="0"/>
      <w:marTop w:val="0"/>
      <w:marBottom w:val="0"/>
      <w:divBdr>
        <w:top w:val="none" w:sz="0" w:space="0" w:color="auto"/>
        <w:left w:val="none" w:sz="0" w:space="0" w:color="auto"/>
        <w:bottom w:val="none" w:sz="0" w:space="0" w:color="auto"/>
        <w:right w:val="none" w:sz="0" w:space="0" w:color="auto"/>
      </w:divBdr>
    </w:div>
    <w:div w:id="929043078">
      <w:marLeft w:val="0"/>
      <w:marRight w:val="0"/>
      <w:marTop w:val="0"/>
      <w:marBottom w:val="0"/>
      <w:divBdr>
        <w:top w:val="none" w:sz="0" w:space="0" w:color="auto"/>
        <w:left w:val="none" w:sz="0" w:space="0" w:color="auto"/>
        <w:bottom w:val="none" w:sz="0" w:space="0" w:color="auto"/>
        <w:right w:val="none" w:sz="0" w:space="0" w:color="auto"/>
      </w:divBdr>
    </w:div>
    <w:div w:id="929043079">
      <w:marLeft w:val="0"/>
      <w:marRight w:val="0"/>
      <w:marTop w:val="0"/>
      <w:marBottom w:val="0"/>
      <w:divBdr>
        <w:top w:val="none" w:sz="0" w:space="0" w:color="auto"/>
        <w:left w:val="none" w:sz="0" w:space="0" w:color="auto"/>
        <w:bottom w:val="none" w:sz="0" w:space="0" w:color="auto"/>
        <w:right w:val="none" w:sz="0" w:space="0" w:color="auto"/>
      </w:divBdr>
    </w:div>
    <w:div w:id="929043080">
      <w:marLeft w:val="0"/>
      <w:marRight w:val="0"/>
      <w:marTop w:val="0"/>
      <w:marBottom w:val="0"/>
      <w:divBdr>
        <w:top w:val="none" w:sz="0" w:space="0" w:color="auto"/>
        <w:left w:val="none" w:sz="0" w:space="0" w:color="auto"/>
        <w:bottom w:val="none" w:sz="0" w:space="0" w:color="auto"/>
        <w:right w:val="none" w:sz="0" w:space="0" w:color="auto"/>
      </w:divBdr>
    </w:div>
    <w:div w:id="929043081">
      <w:marLeft w:val="0"/>
      <w:marRight w:val="0"/>
      <w:marTop w:val="0"/>
      <w:marBottom w:val="0"/>
      <w:divBdr>
        <w:top w:val="none" w:sz="0" w:space="0" w:color="auto"/>
        <w:left w:val="none" w:sz="0" w:space="0" w:color="auto"/>
        <w:bottom w:val="none" w:sz="0" w:space="0" w:color="auto"/>
        <w:right w:val="none" w:sz="0" w:space="0" w:color="auto"/>
      </w:divBdr>
    </w:div>
    <w:div w:id="929043082">
      <w:marLeft w:val="0"/>
      <w:marRight w:val="0"/>
      <w:marTop w:val="0"/>
      <w:marBottom w:val="0"/>
      <w:divBdr>
        <w:top w:val="none" w:sz="0" w:space="0" w:color="auto"/>
        <w:left w:val="none" w:sz="0" w:space="0" w:color="auto"/>
        <w:bottom w:val="none" w:sz="0" w:space="0" w:color="auto"/>
        <w:right w:val="none" w:sz="0" w:space="0" w:color="auto"/>
      </w:divBdr>
    </w:div>
    <w:div w:id="929043083">
      <w:marLeft w:val="0"/>
      <w:marRight w:val="0"/>
      <w:marTop w:val="0"/>
      <w:marBottom w:val="0"/>
      <w:divBdr>
        <w:top w:val="none" w:sz="0" w:space="0" w:color="auto"/>
        <w:left w:val="none" w:sz="0" w:space="0" w:color="auto"/>
        <w:bottom w:val="none" w:sz="0" w:space="0" w:color="auto"/>
        <w:right w:val="none" w:sz="0" w:space="0" w:color="auto"/>
      </w:divBdr>
    </w:div>
    <w:div w:id="929043086">
      <w:marLeft w:val="0"/>
      <w:marRight w:val="0"/>
      <w:marTop w:val="0"/>
      <w:marBottom w:val="0"/>
      <w:divBdr>
        <w:top w:val="none" w:sz="0" w:space="0" w:color="auto"/>
        <w:left w:val="none" w:sz="0" w:space="0" w:color="auto"/>
        <w:bottom w:val="none" w:sz="0" w:space="0" w:color="auto"/>
        <w:right w:val="none" w:sz="0" w:space="0" w:color="auto"/>
      </w:divBdr>
    </w:div>
    <w:div w:id="929043089">
      <w:marLeft w:val="0"/>
      <w:marRight w:val="0"/>
      <w:marTop w:val="0"/>
      <w:marBottom w:val="0"/>
      <w:divBdr>
        <w:top w:val="none" w:sz="0" w:space="0" w:color="auto"/>
        <w:left w:val="none" w:sz="0" w:space="0" w:color="auto"/>
        <w:bottom w:val="none" w:sz="0" w:space="0" w:color="auto"/>
        <w:right w:val="none" w:sz="0" w:space="0" w:color="auto"/>
      </w:divBdr>
    </w:div>
    <w:div w:id="929043090">
      <w:marLeft w:val="0"/>
      <w:marRight w:val="0"/>
      <w:marTop w:val="0"/>
      <w:marBottom w:val="0"/>
      <w:divBdr>
        <w:top w:val="none" w:sz="0" w:space="0" w:color="auto"/>
        <w:left w:val="none" w:sz="0" w:space="0" w:color="auto"/>
        <w:bottom w:val="none" w:sz="0" w:space="0" w:color="auto"/>
        <w:right w:val="none" w:sz="0" w:space="0" w:color="auto"/>
      </w:divBdr>
      <w:divsChild>
        <w:div w:id="929043114">
          <w:marLeft w:val="0"/>
          <w:marRight w:val="0"/>
          <w:marTop w:val="0"/>
          <w:marBottom w:val="0"/>
          <w:divBdr>
            <w:top w:val="none" w:sz="0" w:space="0" w:color="auto"/>
            <w:left w:val="none" w:sz="0" w:space="0" w:color="auto"/>
            <w:bottom w:val="none" w:sz="0" w:space="0" w:color="auto"/>
            <w:right w:val="none" w:sz="0" w:space="0" w:color="auto"/>
          </w:divBdr>
          <w:divsChild>
            <w:div w:id="929043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091">
      <w:marLeft w:val="0"/>
      <w:marRight w:val="0"/>
      <w:marTop w:val="0"/>
      <w:marBottom w:val="0"/>
      <w:divBdr>
        <w:top w:val="none" w:sz="0" w:space="0" w:color="auto"/>
        <w:left w:val="none" w:sz="0" w:space="0" w:color="auto"/>
        <w:bottom w:val="none" w:sz="0" w:space="0" w:color="auto"/>
        <w:right w:val="none" w:sz="0" w:space="0" w:color="auto"/>
      </w:divBdr>
      <w:divsChild>
        <w:div w:id="929043102">
          <w:marLeft w:val="0"/>
          <w:marRight w:val="0"/>
          <w:marTop w:val="0"/>
          <w:marBottom w:val="0"/>
          <w:divBdr>
            <w:top w:val="none" w:sz="0" w:space="0" w:color="auto"/>
            <w:left w:val="none" w:sz="0" w:space="0" w:color="auto"/>
            <w:bottom w:val="none" w:sz="0" w:space="0" w:color="auto"/>
            <w:right w:val="none" w:sz="0" w:space="0" w:color="auto"/>
          </w:divBdr>
          <w:divsChild>
            <w:div w:id="929043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092">
      <w:marLeft w:val="0"/>
      <w:marRight w:val="0"/>
      <w:marTop w:val="0"/>
      <w:marBottom w:val="0"/>
      <w:divBdr>
        <w:top w:val="none" w:sz="0" w:space="0" w:color="auto"/>
        <w:left w:val="none" w:sz="0" w:space="0" w:color="auto"/>
        <w:bottom w:val="none" w:sz="0" w:space="0" w:color="auto"/>
        <w:right w:val="none" w:sz="0" w:space="0" w:color="auto"/>
      </w:divBdr>
    </w:div>
    <w:div w:id="929043093">
      <w:marLeft w:val="0"/>
      <w:marRight w:val="0"/>
      <w:marTop w:val="0"/>
      <w:marBottom w:val="0"/>
      <w:divBdr>
        <w:top w:val="none" w:sz="0" w:space="0" w:color="auto"/>
        <w:left w:val="none" w:sz="0" w:space="0" w:color="auto"/>
        <w:bottom w:val="none" w:sz="0" w:space="0" w:color="auto"/>
        <w:right w:val="none" w:sz="0" w:space="0" w:color="auto"/>
      </w:divBdr>
    </w:div>
    <w:div w:id="929043094">
      <w:marLeft w:val="0"/>
      <w:marRight w:val="0"/>
      <w:marTop w:val="0"/>
      <w:marBottom w:val="0"/>
      <w:divBdr>
        <w:top w:val="none" w:sz="0" w:space="0" w:color="auto"/>
        <w:left w:val="none" w:sz="0" w:space="0" w:color="auto"/>
        <w:bottom w:val="none" w:sz="0" w:space="0" w:color="auto"/>
        <w:right w:val="none" w:sz="0" w:space="0" w:color="auto"/>
      </w:divBdr>
    </w:div>
    <w:div w:id="929043095">
      <w:marLeft w:val="0"/>
      <w:marRight w:val="0"/>
      <w:marTop w:val="0"/>
      <w:marBottom w:val="0"/>
      <w:divBdr>
        <w:top w:val="none" w:sz="0" w:space="0" w:color="auto"/>
        <w:left w:val="none" w:sz="0" w:space="0" w:color="auto"/>
        <w:bottom w:val="none" w:sz="0" w:space="0" w:color="auto"/>
        <w:right w:val="none" w:sz="0" w:space="0" w:color="auto"/>
      </w:divBdr>
      <w:divsChild>
        <w:div w:id="929043084">
          <w:marLeft w:val="547"/>
          <w:marRight w:val="0"/>
          <w:marTop w:val="115"/>
          <w:marBottom w:val="0"/>
          <w:divBdr>
            <w:top w:val="none" w:sz="0" w:space="0" w:color="auto"/>
            <w:left w:val="none" w:sz="0" w:space="0" w:color="auto"/>
            <w:bottom w:val="none" w:sz="0" w:space="0" w:color="auto"/>
            <w:right w:val="none" w:sz="0" w:space="0" w:color="auto"/>
          </w:divBdr>
        </w:div>
      </w:divsChild>
    </w:div>
    <w:div w:id="929043097">
      <w:marLeft w:val="0"/>
      <w:marRight w:val="0"/>
      <w:marTop w:val="0"/>
      <w:marBottom w:val="0"/>
      <w:divBdr>
        <w:top w:val="none" w:sz="0" w:space="0" w:color="auto"/>
        <w:left w:val="none" w:sz="0" w:space="0" w:color="auto"/>
        <w:bottom w:val="none" w:sz="0" w:space="0" w:color="auto"/>
        <w:right w:val="none" w:sz="0" w:space="0" w:color="auto"/>
      </w:divBdr>
    </w:div>
    <w:div w:id="929043098">
      <w:marLeft w:val="0"/>
      <w:marRight w:val="0"/>
      <w:marTop w:val="0"/>
      <w:marBottom w:val="0"/>
      <w:divBdr>
        <w:top w:val="none" w:sz="0" w:space="0" w:color="auto"/>
        <w:left w:val="none" w:sz="0" w:space="0" w:color="auto"/>
        <w:bottom w:val="none" w:sz="0" w:space="0" w:color="auto"/>
        <w:right w:val="none" w:sz="0" w:space="0" w:color="auto"/>
      </w:divBdr>
    </w:div>
    <w:div w:id="929043099">
      <w:marLeft w:val="0"/>
      <w:marRight w:val="0"/>
      <w:marTop w:val="0"/>
      <w:marBottom w:val="0"/>
      <w:divBdr>
        <w:top w:val="none" w:sz="0" w:space="0" w:color="auto"/>
        <w:left w:val="none" w:sz="0" w:space="0" w:color="auto"/>
        <w:bottom w:val="none" w:sz="0" w:space="0" w:color="auto"/>
        <w:right w:val="none" w:sz="0" w:space="0" w:color="auto"/>
      </w:divBdr>
      <w:divsChild>
        <w:div w:id="929043100">
          <w:marLeft w:val="0"/>
          <w:marRight w:val="0"/>
          <w:marTop w:val="0"/>
          <w:marBottom w:val="0"/>
          <w:divBdr>
            <w:top w:val="none" w:sz="0" w:space="0" w:color="auto"/>
            <w:left w:val="none" w:sz="0" w:space="0" w:color="auto"/>
            <w:bottom w:val="none" w:sz="0" w:space="0" w:color="auto"/>
            <w:right w:val="none" w:sz="0" w:space="0" w:color="auto"/>
          </w:divBdr>
          <w:divsChild>
            <w:div w:id="929043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01">
      <w:marLeft w:val="0"/>
      <w:marRight w:val="0"/>
      <w:marTop w:val="0"/>
      <w:marBottom w:val="0"/>
      <w:divBdr>
        <w:top w:val="none" w:sz="0" w:space="0" w:color="auto"/>
        <w:left w:val="none" w:sz="0" w:space="0" w:color="auto"/>
        <w:bottom w:val="none" w:sz="0" w:space="0" w:color="auto"/>
        <w:right w:val="none" w:sz="0" w:space="0" w:color="auto"/>
      </w:divBdr>
      <w:divsChild>
        <w:div w:id="929043085">
          <w:marLeft w:val="0"/>
          <w:marRight w:val="0"/>
          <w:marTop w:val="0"/>
          <w:marBottom w:val="0"/>
          <w:divBdr>
            <w:top w:val="none" w:sz="0" w:space="0" w:color="auto"/>
            <w:left w:val="none" w:sz="0" w:space="0" w:color="auto"/>
            <w:bottom w:val="none" w:sz="0" w:space="0" w:color="auto"/>
            <w:right w:val="none" w:sz="0" w:space="0" w:color="auto"/>
          </w:divBdr>
          <w:divsChild>
            <w:div w:id="929043087">
              <w:marLeft w:val="0"/>
              <w:marRight w:val="0"/>
              <w:marTop w:val="0"/>
              <w:marBottom w:val="0"/>
              <w:divBdr>
                <w:top w:val="none" w:sz="0" w:space="0" w:color="auto"/>
                <w:left w:val="none" w:sz="0" w:space="0" w:color="auto"/>
                <w:bottom w:val="none" w:sz="0" w:space="0" w:color="auto"/>
                <w:right w:val="none" w:sz="0" w:space="0" w:color="auto"/>
              </w:divBdr>
            </w:div>
            <w:div w:id="929043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03">
      <w:marLeft w:val="0"/>
      <w:marRight w:val="0"/>
      <w:marTop w:val="0"/>
      <w:marBottom w:val="0"/>
      <w:divBdr>
        <w:top w:val="none" w:sz="0" w:space="0" w:color="auto"/>
        <w:left w:val="none" w:sz="0" w:space="0" w:color="auto"/>
        <w:bottom w:val="none" w:sz="0" w:space="0" w:color="auto"/>
        <w:right w:val="none" w:sz="0" w:space="0" w:color="auto"/>
      </w:divBdr>
    </w:div>
    <w:div w:id="929043106">
      <w:marLeft w:val="0"/>
      <w:marRight w:val="0"/>
      <w:marTop w:val="0"/>
      <w:marBottom w:val="0"/>
      <w:divBdr>
        <w:top w:val="none" w:sz="0" w:space="0" w:color="auto"/>
        <w:left w:val="none" w:sz="0" w:space="0" w:color="auto"/>
        <w:bottom w:val="none" w:sz="0" w:space="0" w:color="auto"/>
        <w:right w:val="none" w:sz="0" w:space="0" w:color="auto"/>
      </w:divBdr>
    </w:div>
    <w:div w:id="929043107">
      <w:marLeft w:val="0"/>
      <w:marRight w:val="0"/>
      <w:marTop w:val="0"/>
      <w:marBottom w:val="0"/>
      <w:divBdr>
        <w:top w:val="none" w:sz="0" w:space="0" w:color="auto"/>
        <w:left w:val="none" w:sz="0" w:space="0" w:color="auto"/>
        <w:bottom w:val="none" w:sz="0" w:space="0" w:color="auto"/>
        <w:right w:val="none" w:sz="0" w:space="0" w:color="auto"/>
      </w:divBdr>
      <w:divsChild>
        <w:div w:id="929043111">
          <w:marLeft w:val="0"/>
          <w:marRight w:val="0"/>
          <w:marTop w:val="0"/>
          <w:marBottom w:val="0"/>
          <w:divBdr>
            <w:top w:val="none" w:sz="0" w:space="0" w:color="auto"/>
            <w:left w:val="none" w:sz="0" w:space="0" w:color="auto"/>
            <w:bottom w:val="none" w:sz="0" w:space="0" w:color="auto"/>
            <w:right w:val="none" w:sz="0" w:space="0" w:color="auto"/>
          </w:divBdr>
          <w:divsChild>
            <w:div w:id="929043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10">
      <w:marLeft w:val="0"/>
      <w:marRight w:val="0"/>
      <w:marTop w:val="0"/>
      <w:marBottom w:val="0"/>
      <w:divBdr>
        <w:top w:val="none" w:sz="0" w:space="0" w:color="auto"/>
        <w:left w:val="none" w:sz="0" w:space="0" w:color="auto"/>
        <w:bottom w:val="none" w:sz="0" w:space="0" w:color="auto"/>
        <w:right w:val="none" w:sz="0" w:space="0" w:color="auto"/>
      </w:divBdr>
    </w:div>
    <w:div w:id="929043112">
      <w:marLeft w:val="0"/>
      <w:marRight w:val="0"/>
      <w:marTop w:val="0"/>
      <w:marBottom w:val="0"/>
      <w:divBdr>
        <w:top w:val="none" w:sz="0" w:space="0" w:color="auto"/>
        <w:left w:val="none" w:sz="0" w:space="0" w:color="auto"/>
        <w:bottom w:val="none" w:sz="0" w:space="0" w:color="auto"/>
        <w:right w:val="none" w:sz="0" w:space="0" w:color="auto"/>
      </w:divBdr>
    </w:div>
    <w:div w:id="929043113">
      <w:marLeft w:val="0"/>
      <w:marRight w:val="0"/>
      <w:marTop w:val="0"/>
      <w:marBottom w:val="0"/>
      <w:divBdr>
        <w:top w:val="none" w:sz="0" w:space="0" w:color="auto"/>
        <w:left w:val="none" w:sz="0" w:space="0" w:color="auto"/>
        <w:bottom w:val="none" w:sz="0" w:space="0" w:color="auto"/>
        <w:right w:val="none" w:sz="0" w:space="0" w:color="auto"/>
      </w:divBdr>
    </w:div>
    <w:div w:id="929043115">
      <w:marLeft w:val="0"/>
      <w:marRight w:val="0"/>
      <w:marTop w:val="0"/>
      <w:marBottom w:val="0"/>
      <w:divBdr>
        <w:top w:val="none" w:sz="0" w:space="0" w:color="auto"/>
        <w:left w:val="none" w:sz="0" w:space="0" w:color="auto"/>
        <w:bottom w:val="none" w:sz="0" w:space="0" w:color="auto"/>
        <w:right w:val="none" w:sz="0" w:space="0" w:color="auto"/>
      </w:divBdr>
    </w:div>
    <w:div w:id="929043116">
      <w:marLeft w:val="0"/>
      <w:marRight w:val="0"/>
      <w:marTop w:val="0"/>
      <w:marBottom w:val="0"/>
      <w:divBdr>
        <w:top w:val="none" w:sz="0" w:space="0" w:color="auto"/>
        <w:left w:val="none" w:sz="0" w:space="0" w:color="auto"/>
        <w:bottom w:val="none" w:sz="0" w:space="0" w:color="auto"/>
        <w:right w:val="none" w:sz="0" w:space="0" w:color="auto"/>
      </w:divBdr>
      <w:divsChild>
        <w:div w:id="929043088">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929043117">
      <w:marLeft w:val="0"/>
      <w:marRight w:val="0"/>
      <w:marTop w:val="0"/>
      <w:marBottom w:val="0"/>
      <w:divBdr>
        <w:top w:val="none" w:sz="0" w:space="0" w:color="auto"/>
        <w:left w:val="none" w:sz="0" w:space="0" w:color="auto"/>
        <w:bottom w:val="none" w:sz="0" w:space="0" w:color="auto"/>
        <w:right w:val="none" w:sz="0" w:space="0" w:color="auto"/>
      </w:divBdr>
    </w:div>
    <w:div w:id="929043118">
      <w:marLeft w:val="0"/>
      <w:marRight w:val="0"/>
      <w:marTop w:val="0"/>
      <w:marBottom w:val="0"/>
      <w:divBdr>
        <w:top w:val="none" w:sz="0" w:space="0" w:color="auto"/>
        <w:left w:val="none" w:sz="0" w:space="0" w:color="auto"/>
        <w:bottom w:val="none" w:sz="0" w:space="0" w:color="auto"/>
        <w:right w:val="none" w:sz="0" w:space="0" w:color="auto"/>
      </w:divBdr>
    </w:div>
    <w:div w:id="929043119">
      <w:marLeft w:val="0"/>
      <w:marRight w:val="0"/>
      <w:marTop w:val="0"/>
      <w:marBottom w:val="0"/>
      <w:divBdr>
        <w:top w:val="none" w:sz="0" w:space="0" w:color="auto"/>
        <w:left w:val="none" w:sz="0" w:space="0" w:color="auto"/>
        <w:bottom w:val="none" w:sz="0" w:space="0" w:color="auto"/>
        <w:right w:val="none" w:sz="0" w:space="0" w:color="auto"/>
      </w:divBdr>
    </w:div>
    <w:div w:id="929043120">
      <w:marLeft w:val="0"/>
      <w:marRight w:val="0"/>
      <w:marTop w:val="0"/>
      <w:marBottom w:val="0"/>
      <w:divBdr>
        <w:top w:val="none" w:sz="0" w:space="0" w:color="auto"/>
        <w:left w:val="none" w:sz="0" w:space="0" w:color="auto"/>
        <w:bottom w:val="none" w:sz="0" w:space="0" w:color="auto"/>
        <w:right w:val="none" w:sz="0" w:space="0" w:color="auto"/>
      </w:divBdr>
    </w:div>
    <w:div w:id="929043121">
      <w:marLeft w:val="0"/>
      <w:marRight w:val="0"/>
      <w:marTop w:val="0"/>
      <w:marBottom w:val="0"/>
      <w:divBdr>
        <w:top w:val="none" w:sz="0" w:space="0" w:color="auto"/>
        <w:left w:val="none" w:sz="0" w:space="0" w:color="auto"/>
        <w:bottom w:val="none" w:sz="0" w:space="0" w:color="auto"/>
        <w:right w:val="none" w:sz="0" w:space="0" w:color="auto"/>
      </w:divBdr>
    </w:div>
    <w:div w:id="929043122">
      <w:marLeft w:val="0"/>
      <w:marRight w:val="0"/>
      <w:marTop w:val="0"/>
      <w:marBottom w:val="0"/>
      <w:divBdr>
        <w:top w:val="none" w:sz="0" w:space="0" w:color="auto"/>
        <w:left w:val="none" w:sz="0" w:space="0" w:color="auto"/>
        <w:bottom w:val="none" w:sz="0" w:space="0" w:color="auto"/>
        <w:right w:val="none" w:sz="0" w:space="0" w:color="auto"/>
      </w:divBdr>
    </w:div>
    <w:div w:id="929043125">
      <w:marLeft w:val="0"/>
      <w:marRight w:val="0"/>
      <w:marTop w:val="0"/>
      <w:marBottom w:val="0"/>
      <w:divBdr>
        <w:top w:val="none" w:sz="0" w:space="0" w:color="auto"/>
        <w:left w:val="none" w:sz="0" w:space="0" w:color="auto"/>
        <w:bottom w:val="none" w:sz="0" w:space="0" w:color="auto"/>
        <w:right w:val="none" w:sz="0" w:space="0" w:color="auto"/>
      </w:divBdr>
    </w:div>
    <w:div w:id="929043128">
      <w:marLeft w:val="0"/>
      <w:marRight w:val="0"/>
      <w:marTop w:val="0"/>
      <w:marBottom w:val="0"/>
      <w:divBdr>
        <w:top w:val="none" w:sz="0" w:space="0" w:color="auto"/>
        <w:left w:val="none" w:sz="0" w:space="0" w:color="auto"/>
        <w:bottom w:val="none" w:sz="0" w:space="0" w:color="auto"/>
        <w:right w:val="none" w:sz="0" w:space="0" w:color="auto"/>
      </w:divBdr>
    </w:div>
    <w:div w:id="929043129">
      <w:marLeft w:val="0"/>
      <w:marRight w:val="0"/>
      <w:marTop w:val="0"/>
      <w:marBottom w:val="0"/>
      <w:divBdr>
        <w:top w:val="none" w:sz="0" w:space="0" w:color="auto"/>
        <w:left w:val="none" w:sz="0" w:space="0" w:color="auto"/>
        <w:bottom w:val="none" w:sz="0" w:space="0" w:color="auto"/>
        <w:right w:val="none" w:sz="0" w:space="0" w:color="auto"/>
      </w:divBdr>
      <w:divsChild>
        <w:div w:id="929043153">
          <w:marLeft w:val="0"/>
          <w:marRight w:val="0"/>
          <w:marTop w:val="0"/>
          <w:marBottom w:val="0"/>
          <w:divBdr>
            <w:top w:val="none" w:sz="0" w:space="0" w:color="auto"/>
            <w:left w:val="none" w:sz="0" w:space="0" w:color="auto"/>
            <w:bottom w:val="none" w:sz="0" w:space="0" w:color="auto"/>
            <w:right w:val="none" w:sz="0" w:space="0" w:color="auto"/>
          </w:divBdr>
          <w:divsChild>
            <w:div w:id="929043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30">
      <w:marLeft w:val="0"/>
      <w:marRight w:val="0"/>
      <w:marTop w:val="0"/>
      <w:marBottom w:val="0"/>
      <w:divBdr>
        <w:top w:val="none" w:sz="0" w:space="0" w:color="auto"/>
        <w:left w:val="none" w:sz="0" w:space="0" w:color="auto"/>
        <w:bottom w:val="none" w:sz="0" w:space="0" w:color="auto"/>
        <w:right w:val="none" w:sz="0" w:space="0" w:color="auto"/>
      </w:divBdr>
      <w:divsChild>
        <w:div w:id="929043141">
          <w:marLeft w:val="0"/>
          <w:marRight w:val="0"/>
          <w:marTop w:val="0"/>
          <w:marBottom w:val="0"/>
          <w:divBdr>
            <w:top w:val="none" w:sz="0" w:space="0" w:color="auto"/>
            <w:left w:val="none" w:sz="0" w:space="0" w:color="auto"/>
            <w:bottom w:val="none" w:sz="0" w:space="0" w:color="auto"/>
            <w:right w:val="none" w:sz="0" w:space="0" w:color="auto"/>
          </w:divBdr>
          <w:divsChild>
            <w:div w:id="929043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31">
      <w:marLeft w:val="0"/>
      <w:marRight w:val="0"/>
      <w:marTop w:val="0"/>
      <w:marBottom w:val="0"/>
      <w:divBdr>
        <w:top w:val="none" w:sz="0" w:space="0" w:color="auto"/>
        <w:left w:val="none" w:sz="0" w:space="0" w:color="auto"/>
        <w:bottom w:val="none" w:sz="0" w:space="0" w:color="auto"/>
        <w:right w:val="none" w:sz="0" w:space="0" w:color="auto"/>
      </w:divBdr>
    </w:div>
    <w:div w:id="929043132">
      <w:marLeft w:val="0"/>
      <w:marRight w:val="0"/>
      <w:marTop w:val="0"/>
      <w:marBottom w:val="0"/>
      <w:divBdr>
        <w:top w:val="none" w:sz="0" w:space="0" w:color="auto"/>
        <w:left w:val="none" w:sz="0" w:space="0" w:color="auto"/>
        <w:bottom w:val="none" w:sz="0" w:space="0" w:color="auto"/>
        <w:right w:val="none" w:sz="0" w:space="0" w:color="auto"/>
      </w:divBdr>
    </w:div>
    <w:div w:id="929043133">
      <w:marLeft w:val="0"/>
      <w:marRight w:val="0"/>
      <w:marTop w:val="0"/>
      <w:marBottom w:val="0"/>
      <w:divBdr>
        <w:top w:val="none" w:sz="0" w:space="0" w:color="auto"/>
        <w:left w:val="none" w:sz="0" w:space="0" w:color="auto"/>
        <w:bottom w:val="none" w:sz="0" w:space="0" w:color="auto"/>
        <w:right w:val="none" w:sz="0" w:space="0" w:color="auto"/>
      </w:divBdr>
    </w:div>
    <w:div w:id="929043134">
      <w:marLeft w:val="0"/>
      <w:marRight w:val="0"/>
      <w:marTop w:val="0"/>
      <w:marBottom w:val="0"/>
      <w:divBdr>
        <w:top w:val="none" w:sz="0" w:space="0" w:color="auto"/>
        <w:left w:val="none" w:sz="0" w:space="0" w:color="auto"/>
        <w:bottom w:val="none" w:sz="0" w:space="0" w:color="auto"/>
        <w:right w:val="none" w:sz="0" w:space="0" w:color="auto"/>
      </w:divBdr>
      <w:divsChild>
        <w:div w:id="929043123">
          <w:marLeft w:val="547"/>
          <w:marRight w:val="0"/>
          <w:marTop w:val="115"/>
          <w:marBottom w:val="0"/>
          <w:divBdr>
            <w:top w:val="none" w:sz="0" w:space="0" w:color="auto"/>
            <w:left w:val="none" w:sz="0" w:space="0" w:color="auto"/>
            <w:bottom w:val="none" w:sz="0" w:space="0" w:color="auto"/>
            <w:right w:val="none" w:sz="0" w:space="0" w:color="auto"/>
          </w:divBdr>
        </w:div>
      </w:divsChild>
    </w:div>
    <w:div w:id="929043136">
      <w:marLeft w:val="0"/>
      <w:marRight w:val="0"/>
      <w:marTop w:val="0"/>
      <w:marBottom w:val="0"/>
      <w:divBdr>
        <w:top w:val="none" w:sz="0" w:space="0" w:color="auto"/>
        <w:left w:val="none" w:sz="0" w:space="0" w:color="auto"/>
        <w:bottom w:val="none" w:sz="0" w:space="0" w:color="auto"/>
        <w:right w:val="none" w:sz="0" w:space="0" w:color="auto"/>
      </w:divBdr>
    </w:div>
    <w:div w:id="929043137">
      <w:marLeft w:val="0"/>
      <w:marRight w:val="0"/>
      <w:marTop w:val="0"/>
      <w:marBottom w:val="0"/>
      <w:divBdr>
        <w:top w:val="none" w:sz="0" w:space="0" w:color="auto"/>
        <w:left w:val="none" w:sz="0" w:space="0" w:color="auto"/>
        <w:bottom w:val="none" w:sz="0" w:space="0" w:color="auto"/>
        <w:right w:val="none" w:sz="0" w:space="0" w:color="auto"/>
      </w:divBdr>
    </w:div>
    <w:div w:id="929043138">
      <w:marLeft w:val="0"/>
      <w:marRight w:val="0"/>
      <w:marTop w:val="0"/>
      <w:marBottom w:val="0"/>
      <w:divBdr>
        <w:top w:val="none" w:sz="0" w:space="0" w:color="auto"/>
        <w:left w:val="none" w:sz="0" w:space="0" w:color="auto"/>
        <w:bottom w:val="none" w:sz="0" w:space="0" w:color="auto"/>
        <w:right w:val="none" w:sz="0" w:space="0" w:color="auto"/>
      </w:divBdr>
      <w:divsChild>
        <w:div w:id="929043139">
          <w:marLeft w:val="0"/>
          <w:marRight w:val="0"/>
          <w:marTop w:val="0"/>
          <w:marBottom w:val="0"/>
          <w:divBdr>
            <w:top w:val="none" w:sz="0" w:space="0" w:color="auto"/>
            <w:left w:val="none" w:sz="0" w:space="0" w:color="auto"/>
            <w:bottom w:val="none" w:sz="0" w:space="0" w:color="auto"/>
            <w:right w:val="none" w:sz="0" w:space="0" w:color="auto"/>
          </w:divBdr>
          <w:divsChild>
            <w:div w:id="929043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40">
      <w:marLeft w:val="0"/>
      <w:marRight w:val="0"/>
      <w:marTop w:val="0"/>
      <w:marBottom w:val="0"/>
      <w:divBdr>
        <w:top w:val="none" w:sz="0" w:space="0" w:color="auto"/>
        <w:left w:val="none" w:sz="0" w:space="0" w:color="auto"/>
        <w:bottom w:val="none" w:sz="0" w:space="0" w:color="auto"/>
        <w:right w:val="none" w:sz="0" w:space="0" w:color="auto"/>
      </w:divBdr>
      <w:divsChild>
        <w:div w:id="929043124">
          <w:marLeft w:val="0"/>
          <w:marRight w:val="0"/>
          <w:marTop w:val="0"/>
          <w:marBottom w:val="0"/>
          <w:divBdr>
            <w:top w:val="none" w:sz="0" w:space="0" w:color="auto"/>
            <w:left w:val="none" w:sz="0" w:space="0" w:color="auto"/>
            <w:bottom w:val="none" w:sz="0" w:space="0" w:color="auto"/>
            <w:right w:val="none" w:sz="0" w:space="0" w:color="auto"/>
          </w:divBdr>
          <w:divsChild>
            <w:div w:id="929043126">
              <w:marLeft w:val="0"/>
              <w:marRight w:val="0"/>
              <w:marTop w:val="0"/>
              <w:marBottom w:val="0"/>
              <w:divBdr>
                <w:top w:val="none" w:sz="0" w:space="0" w:color="auto"/>
                <w:left w:val="none" w:sz="0" w:space="0" w:color="auto"/>
                <w:bottom w:val="none" w:sz="0" w:space="0" w:color="auto"/>
                <w:right w:val="none" w:sz="0" w:space="0" w:color="auto"/>
              </w:divBdr>
            </w:div>
            <w:div w:id="929043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42">
      <w:marLeft w:val="0"/>
      <w:marRight w:val="0"/>
      <w:marTop w:val="0"/>
      <w:marBottom w:val="0"/>
      <w:divBdr>
        <w:top w:val="none" w:sz="0" w:space="0" w:color="auto"/>
        <w:left w:val="none" w:sz="0" w:space="0" w:color="auto"/>
        <w:bottom w:val="none" w:sz="0" w:space="0" w:color="auto"/>
        <w:right w:val="none" w:sz="0" w:space="0" w:color="auto"/>
      </w:divBdr>
    </w:div>
    <w:div w:id="929043145">
      <w:marLeft w:val="0"/>
      <w:marRight w:val="0"/>
      <w:marTop w:val="0"/>
      <w:marBottom w:val="0"/>
      <w:divBdr>
        <w:top w:val="none" w:sz="0" w:space="0" w:color="auto"/>
        <w:left w:val="none" w:sz="0" w:space="0" w:color="auto"/>
        <w:bottom w:val="none" w:sz="0" w:space="0" w:color="auto"/>
        <w:right w:val="none" w:sz="0" w:space="0" w:color="auto"/>
      </w:divBdr>
    </w:div>
    <w:div w:id="929043146">
      <w:marLeft w:val="0"/>
      <w:marRight w:val="0"/>
      <w:marTop w:val="0"/>
      <w:marBottom w:val="0"/>
      <w:divBdr>
        <w:top w:val="none" w:sz="0" w:space="0" w:color="auto"/>
        <w:left w:val="none" w:sz="0" w:space="0" w:color="auto"/>
        <w:bottom w:val="none" w:sz="0" w:space="0" w:color="auto"/>
        <w:right w:val="none" w:sz="0" w:space="0" w:color="auto"/>
      </w:divBdr>
      <w:divsChild>
        <w:div w:id="929043150">
          <w:marLeft w:val="0"/>
          <w:marRight w:val="0"/>
          <w:marTop w:val="0"/>
          <w:marBottom w:val="0"/>
          <w:divBdr>
            <w:top w:val="none" w:sz="0" w:space="0" w:color="auto"/>
            <w:left w:val="none" w:sz="0" w:space="0" w:color="auto"/>
            <w:bottom w:val="none" w:sz="0" w:space="0" w:color="auto"/>
            <w:right w:val="none" w:sz="0" w:space="0" w:color="auto"/>
          </w:divBdr>
          <w:divsChild>
            <w:div w:id="929043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49">
      <w:marLeft w:val="0"/>
      <w:marRight w:val="0"/>
      <w:marTop w:val="0"/>
      <w:marBottom w:val="0"/>
      <w:divBdr>
        <w:top w:val="none" w:sz="0" w:space="0" w:color="auto"/>
        <w:left w:val="none" w:sz="0" w:space="0" w:color="auto"/>
        <w:bottom w:val="none" w:sz="0" w:space="0" w:color="auto"/>
        <w:right w:val="none" w:sz="0" w:space="0" w:color="auto"/>
      </w:divBdr>
    </w:div>
    <w:div w:id="929043151">
      <w:marLeft w:val="0"/>
      <w:marRight w:val="0"/>
      <w:marTop w:val="0"/>
      <w:marBottom w:val="0"/>
      <w:divBdr>
        <w:top w:val="none" w:sz="0" w:space="0" w:color="auto"/>
        <w:left w:val="none" w:sz="0" w:space="0" w:color="auto"/>
        <w:bottom w:val="none" w:sz="0" w:space="0" w:color="auto"/>
        <w:right w:val="none" w:sz="0" w:space="0" w:color="auto"/>
      </w:divBdr>
    </w:div>
    <w:div w:id="929043152">
      <w:marLeft w:val="0"/>
      <w:marRight w:val="0"/>
      <w:marTop w:val="0"/>
      <w:marBottom w:val="0"/>
      <w:divBdr>
        <w:top w:val="none" w:sz="0" w:space="0" w:color="auto"/>
        <w:left w:val="none" w:sz="0" w:space="0" w:color="auto"/>
        <w:bottom w:val="none" w:sz="0" w:space="0" w:color="auto"/>
        <w:right w:val="none" w:sz="0" w:space="0" w:color="auto"/>
      </w:divBdr>
    </w:div>
    <w:div w:id="929043154">
      <w:marLeft w:val="0"/>
      <w:marRight w:val="0"/>
      <w:marTop w:val="0"/>
      <w:marBottom w:val="0"/>
      <w:divBdr>
        <w:top w:val="none" w:sz="0" w:space="0" w:color="auto"/>
        <w:left w:val="none" w:sz="0" w:space="0" w:color="auto"/>
        <w:bottom w:val="none" w:sz="0" w:space="0" w:color="auto"/>
        <w:right w:val="none" w:sz="0" w:space="0" w:color="auto"/>
      </w:divBdr>
    </w:div>
    <w:div w:id="929043155">
      <w:marLeft w:val="0"/>
      <w:marRight w:val="0"/>
      <w:marTop w:val="0"/>
      <w:marBottom w:val="0"/>
      <w:divBdr>
        <w:top w:val="none" w:sz="0" w:space="0" w:color="auto"/>
        <w:left w:val="none" w:sz="0" w:space="0" w:color="auto"/>
        <w:bottom w:val="none" w:sz="0" w:space="0" w:color="auto"/>
        <w:right w:val="none" w:sz="0" w:space="0" w:color="auto"/>
      </w:divBdr>
      <w:divsChild>
        <w:div w:id="929043127">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929043156">
      <w:marLeft w:val="0"/>
      <w:marRight w:val="0"/>
      <w:marTop w:val="0"/>
      <w:marBottom w:val="0"/>
      <w:divBdr>
        <w:top w:val="none" w:sz="0" w:space="0" w:color="auto"/>
        <w:left w:val="none" w:sz="0" w:space="0" w:color="auto"/>
        <w:bottom w:val="none" w:sz="0" w:space="0" w:color="auto"/>
        <w:right w:val="none" w:sz="0" w:space="0" w:color="auto"/>
      </w:divBdr>
    </w:div>
    <w:div w:id="929043157">
      <w:marLeft w:val="0"/>
      <w:marRight w:val="0"/>
      <w:marTop w:val="0"/>
      <w:marBottom w:val="0"/>
      <w:divBdr>
        <w:top w:val="none" w:sz="0" w:space="0" w:color="auto"/>
        <w:left w:val="none" w:sz="0" w:space="0" w:color="auto"/>
        <w:bottom w:val="none" w:sz="0" w:space="0" w:color="auto"/>
        <w:right w:val="none" w:sz="0" w:space="0" w:color="auto"/>
      </w:divBdr>
    </w:div>
    <w:div w:id="929043158">
      <w:marLeft w:val="0"/>
      <w:marRight w:val="0"/>
      <w:marTop w:val="0"/>
      <w:marBottom w:val="0"/>
      <w:divBdr>
        <w:top w:val="none" w:sz="0" w:space="0" w:color="auto"/>
        <w:left w:val="none" w:sz="0" w:space="0" w:color="auto"/>
        <w:bottom w:val="none" w:sz="0" w:space="0" w:color="auto"/>
        <w:right w:val="none" w:sz="0" w:space="0" w:color="auto"/>
      </w:divBdr>
    </w:div>
    <w:div w:id="929043159">
      <w:marLeft w:val="0"/>
      <w:marRight w:val="0"/>
      <w:marTop w:val="0"/>
      <w:marBottom w:val="0"/>
      <w:divBdr>
        <w:top w:val="none" w:sz="0" w:space="0" w:color="auto"/>
        <w:left w:val="none" w:sz="0" w:space="0" w:color="auto"/>
        <w:bottom w:val="none" w:sz="0" w:space="0" w:color="auto"/>
        <w:right w:val="none" w:sz="0" w:space="0" w:color="auto"/>
      </w:divBdr>
    </w:div>
    <w:div w:id="929043160">
      <w:marLeft w:val="0"/>
      <w:marRight w:val="0"/>
      <w:marTop w:val="0"/>
      <w:marBottom w:val="0"/>
      <w:divBdr>
        <w:top w:val="none" w:sz="0" w:space="0" w:color="auto"/>
        <w:left w:val="none" w:sz="0" w:space="0" w:color="auto"/>
        <w:bottom w:val="none" w:sz="0" w:space="0" w:color="auto"/>
        <w:right w:val="none" w:sz="0" w:space="0" w:color="auto"/>
      </w:divBdr>
    </w:div>
    <w:div w:id="929043163">
      <w:marLeft w:val="0"/>
      <w:marRight w:val="0"/>
      <w:marTop w:val="0"/>
      <w:marBottom w:val="0"/>
      <w:divBdr>
        <w:top w:val="none" w:sz="0" w:space="0" w:color="auto"/>
        <w:left w:val="none" w:sz="0" w:space="0" w:color="auto"/>
        <w:bottom w:val="none" w:sz="0" w:space="0" w:color="auto"/>
        <w:right w:val="none" w:sz="0" w:space="0" w:color="auto"/>
      </w:divBdr>
    </w:div>
    <w:div w:id="929043166">
      <w:marLeft w:val="0"/>
      <w:marRight w:val="0"/>
      <w:marTop w:val="0"/>
      <w:marBottom w:val="0"/>
      <w:divBdr>
        <w:top w:val="none" w:sz="0" w:space="0" w:color="auto"/>
        <w:left w:val="none" w:sz="0" w:space="0" w:color="auto"/>
        <w:bottom w:val="none" w:sz="0" w:space="0" w:color="auto"/>
        <w:right w:val="none" w:sz="0" w:space="0" w:color="auto"/>
      </w:divBdr>
    </w:div>
    <w:div w:id="929043167">
      <w:marLeft w:val="0"/>
      <w:marRight w:val="0"/>
      <w:marTop w:val="0"/>
      <w:marBottom w:val="0"/>
      <w:divBdr>
        <w:top w:val="none" w:sz="0" w:space="0" w:color="auto"/>
        <w:left w:val="none" w:sz="0" w:space="0" w:color="auto"/>
        <w:bottom w:val="none" w:sz="0" w:space="0" w:color="auto"/>
        <w:right w:val="none" w:sz="0" w:space="0" w:color="auto"/>
      </w:divBdr>
      <w:divsChild>
        <w:div w:id="929043191">
          <w:marLeft w:val="0"/>
          <w:marRight w:val="0"/>
          <w:marTop w:val="0"/>
          <w:marBottom w:val="0"/>
          <w:divBdr>
            <w:top w:val="none" w:sz="0" w:space="0" w:color="auto"/>
            <w:left w:val="none" w:sz="0" w:space="0" w:color="auto"/>
            <w:bottom w:val="none" w:sz="0" w:space="0" w:color="auto"/>
            <w:right w:val="none" w:sz="0" w:space="0" w:color="auto"/>
          </w:divBdr>
          <w:divsChild>
            <w:div w:id="929043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68">
      <w:marLeft w:val="0"/>
      <w:marRight w:val="0"/>
      <w:marTop w:val="0"/>
      <w:marBottom w:val="0"/>
      <w:divBdr>
        <w:top w:val="none" w:sz="0" w:space="0" w:color="auto"/>
        <w:left w:val="none" w:sz="0" w:space="0" w:color="auto"/>
        <w:bottom w:val="none" w:sz="0" w:space="0" w:color="auto"/>
        <w:right w:val="none" w:sz="0" w:space="0" w:color="auto"/>
      </w:divBdr>
      <w:divsChild>
        <w:div w:id="929043179">
          <w:marLeft w:val="0"/>
          <w:marRight w:val="0"/>
          <w:marTop w:val="0"/>
          <w:marBottom w:val="0"/>
          <w:divBdr>
            <w:top w:val="none" w:sz="0" w:space="0" w:color="auto"/>
            <w:left w:val="none" w:sz="0" w:space="0" w:color="auto"/>
            <w:bottom w:val="none" w:sz="0" w:space="0" w:color="auto"/>
            <w:right w:val="none" w:sz="0" w:space="0" w:color="auto"/>
          </w:divBdr>
          <w:divsChild>
            <w:div w:id="929043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69">
      <w:marLeft w:val="0"/>
      <w:marRight w:val="0"/>
      <w:marTop w:val="0"/>
      <w:marBottom w:val="0"/>
      <w:divBdr>
        <w:top w:val="none" w:sz="0" w:space="0" w:color="auto"/>
        <w:left w:val="none" w:sz="0" w:space="0" w:color="auto"/>
        <w:bottom w:val="none" w:sz="0" w:space="0" w:color="auto"/>
        <w:right w:val="none" w:sz="0" w:space="0" w:color="auto"/>
      </w:divBdr>
    </w:div>
    <w:div w:id="929043170">
      <w:marLeft w:val="0"/>
      <w:marRight w:val="0"/>
      <w:marTop w:val="0"/>
      <w:marBottom w:val="0"/>
      <w:divBdr>
        <w:top w:val="none" w:sz="0" w:space="0" w:color="auto"/>
        <w:left w:val="none" w:sz="0" w:space="0" w:color="auto"/>
        <w:bottom w:val="none" w:sz="0" w:space="0" w:color="auto"/>
        <w:right w:val="none" w:sz="0" w:space="0" w:color="auto"/>
      </w:divBdr>
    </w:div>
    <w:div w:id="929043171">
      <w:marLeft w:val="0"/>
      <w:marRight w:val="0"/>
      <w:marTop w:val="0"/>
      <w:marBottom w:val="0"/>
      <w:divBdr>
        <w:top w:val="none" w:sz="0" w:space="0" w:color="auto"/>
        <w:left w:val="none" w:sz="0" w:space="0" w:color="auto"/>
        <w:bottom w:val="none" w:sz="0" w:space="0" w:color="auto"/>
        <w:right w:val="none" w:sz="0" w:space="0" w:color="auto"/>
      </w:divBdr>
    </w:div>
    <w:div w:id="929043172">
      <w:marLeft w:val="0"/>
      <w:marRight w:val="0"/>
      <w:marTop w:val="0"/>
      <w:marBottom w:val="0"/>
      <w:divBdr>
        <w:top w:val="none" w:sz="0" w:space="0" w:color="auto"/>
        <w:left w:val="none" w:sz="0" w:space="0" w:color="auto"/>
        <w:bottom w:val="none" w:sz="0" w:space="0" w:color="auto"/>
        <w:right w:val="none" w:sz="0" w:space="0" w:color="auto"/>
      </w:divBdr>
      <w:divsChild>
        <w:div w:id="929043161">
          <w:marLeft w:val="547"/>
          <w:marRight w:val="0"/>
          <w:marTop w:val="115"/>
          <w:marBottom w:val="0"/>
          <w:divBdr>
            <w:top w:val="none" w:sz="0" w:space="0" w:color="auto"/>
            <w:left w:val="none" w:sz="0" w:space="0" w:color="auto"/>
            <w:bottom w:val="none" w:sz="0" w:space="0" w:color="auto"/>
            <w:right w:val="none" w:sz="0" w:space="0" w:color="auto"/>
          </w:divBdr>
        </w:div>
      </w:divsChild>
    </w:div>
    <w:div w:id="929043174">
      <w:marLeft w:val="0"/>
      <w:marRight w:val="0"/>
      <w:marTop w:val="0"/>
      <w:marBottom w:val="0"/>
      <w:divBdr>
        <w:top w:val="none" w:sz="0" w:space="0" w:color="auto"/>
        <w:left w:val="none" w:sz="0" w:space="0" w:color="auto"/>
        <w:bottom w:val="none" w:sz="0" w:space="0" w:color="auto"/>
        <w:right w:val="none" w:sz="0" w:space="0" w:color="auto"/>
      </w:divBdr>
    </w:div>
    <w:div w:id="929043175">
      <w:marLeft w:val="0"/>
      <w:marRight w:val="0"/>
      <w:marTop w:val="0"/>
      <w:marBottom w:val="0"/>
      <w:divBdr>
        <w:top w:val="none" w:sz="0" w:space="0" w:color="auto"/>
        <w:left w:val="none" w:sz="0" w:space="0" w:color="auto"/>
        <w:bottom w:val="none" w:sz="0" w:space="0" w:color="auto"/>
        <w:right w:val="none" w:sz="0" w:space="0" w:color="auto"/>
      </w:divBdr>
    </w:div>
    <w:div w:id="929043176">
      <w:marLeft w:val="0"/>
      <w:marRight w:val="0"/>
      <w:marTop w:val="0"/>
      <w:marBottom w:val="0"/>
      <w:divBdr>
        <w:top w:val="none" w:sz="0" w:space="0" w:color="auto"/>
        <w:left w:val="none" w:sz="0" w:space="0" w:color="auto"/>
        <w:bottom w:val="none" w:sz="0" w:space="0" w:color="auto"/>
        <w:right w:val="none" w:sz="0" w:space="0" w:color="auto"/>
      </w:divBdr>
      <w:divsChild>
        <w:div w:id="929043177">
          <w:marLeft w:val="0"/>
          <w:marRight w:val="0"/>
          <w:marTop w:val="0"/>
          <w:marBottom w:val="0"/>
          <w:divBdr>
            <w:top w:val="none" w:sz="0" w:space="0" w:color="auto"/>
            <w:left w:val="none" w:sz="0" w:space="0" w:color="auto"/>
            <w:bottom w:val="none" w:sz="0" w:space="0" w:color="auto"/>
            <w:right w:val="none" w:sz="0" w:space="0" w:color="auto"/>
          </w:divBdr>
          <w:divsChild>
            <w:div w:id="929043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78">
      <w:marLeft w:val="0"/>
      <w:marRight w:val="0"/>
      <w:marTop w:val="0"/>
      <w:marBottom w:val="0"/>
      <w:divBdr>
        <w:top w:val="none" w:sz="0" w:space="0" w:color="auto"/>
        <w:left w:val="none" w:sz="0" w:space="0" w:color="auto"/>
        <w:bottom w:val="none" w:sz="0" w:space="0" w:color="auto"/>
        <w:right w:val="none" w:sz="0" w:space="0" w:color="auto"/>
      </w:divBdr>
      <w:divsChild>
        <w:div w:id="929043162">
          <w:marLeft w:val="0"/>
          <w:marRight w:val="0"/>
          <w:marTop w:val="0"/>
          <w:marBottom w:val="0"/>
          <w:divBdr>
            <w:top w:val="none" w:sz="0" w:space="0" w:color="auto"/>
            <w:left w:val="none" w:sz="0" w:space="0" w:color="auto"/>
            <w:bottom w:val="none" w:sz="0" w:space="0" w:color="auto"/>
            <w:right w:val="none" w:sz="0" w:space="0" w:color="auto"/>
          </w:divBdr>
          <w:divsChild>
            <w:div w:id="929043164">
              <w:marLeft w:val="0"/>
              <w:marRight w:val="0"/>
              <w:marTop w:val="0"/>
              <w:marBottom w:val="0"/>
              <w:divBdr>
                <w:top w:val="none" w:sz="0" w:space="0" w:color="auto"/>
                <w:left w:val="none" w:sz="0" w:space="0" w:color="auto"/>
                <w:bottom w:val="none" w:sz="0" w:space="0" w:color="auto"/>
                <w:right w:val="none" w:sz="0" w:space="0" w:color="auto"/>
              </w:divBdr>
            </w:div>
            <w:div w:id="92904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80">
      <w:marLeft w:val="0"/>
      <w:marRight w:val="0"/>
      <w:marTop w:val="0"/>
      <w:marBottom w:val="0"/>
      <w:divBdr>
        <w:top w:val="none" w:sz="0" w:space="0" w:color="auto"/>
        <w:left w:val="none" w:sz="0" w:space="0" w:color="auto"/>
        <w:bottom w:val="none" w:sz="0" w:space="0" w:color="auto"/>
        <w:right w:val="none" w:sz="0" w:space="0" w:color="auto"/>
      </w:divBdr>
    </w:div>
    <w:div w:id="929043183">
      <w:marLeft w:val="0"/>
      <w:marRight w:val="0"/>
      <w:marTop w:val="0"/>
      <w:marBottom w:val="0"/>
      <w:divBdr>
        <w:top w:val="none" w:sz="0" w:space="0" w:color="auto"/>
        <w:left w:val="none" w:sz="0" w:space="0" w:color="auto"/>
        <w:bottom w:val="none" w:sz="0" w:space="0" w:color="auto"/>
        <w:right w:val="none" w:sz="0" w:space="0" w:color="auto"/>
      </w:divBdr>
    </w:div>
    <w:div w:id="929043184">
      <w:marLeft w:val="0"/>
      <w:marRight w:val="0"/>
      <w:marTop w:val="0"/>
      <w:marBottom w:val="0"/>
      <w:divBdr>
        <w:top w:val="none" w:sz="0" w:space="0" w:color="auto"/>
        <w:left w:val="none" w:sz="0" w:space="0" w:color="auto"/>
        <w:bottom w:val="none" w:sz="0" w:space="0" w:color="auto"/>
        <w:right w:val="none" w:sz="0" w:space="0" w:color="auto"/>
      </w:divBdr>
      <w:divsChild>
        <w:div w:id="929043188">
          <w:marLeft w:val="0"/>
          <w:marRight w:val="0"/>
          <w:marTop w:val="0"/>
          <w:marBottom w:val="0"/>
          <w:divBdr>
            <w:top w:val="none" w:sz="0" w:space="0" w:color="auto"/>
            <w:left w:val="none" w:sz="0" w:space="0" w:color="auto"/>
            <w:bottom w:val="none" w:sz="0" w:space="0" w:color="auto"/>
            <w:right w:val="none" w:sz="0" w:space="0" w:color="auto"/>
          </w:divBdr>
          <w:divsChild>
            <w:div w:id="929043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87">
      <w:marLeft w:val="0"/>
      <w:marRight w:val="0"/>
      <w:marTop w:val="0"/>
      <w:marBottom w:val="0"/>
      <w:divBdr>
        <w:top w:val="none" w:sz="0" w:space="0" w:color="auto"/>
        <w:left w:val="none" w:sz="0" w:space="0" w:color="auto"/>
        <w:bottom w:val="none" w:sz="0" w:space="0" w:color="auto"/>
        <w:right w:val="none" w:sz="0" w:space="0" w:color="auto"/>
      </w:divBdr>
    </w:div>
    <w:div w:id="929043189">
      <w:marLeft w:val="0"/>
      <w:marRight w:val="0"/>
      <w:marTop w:val="0"/>
      <w:marBottom w:val="0"/>
      <w:divBdr>
        <w:top w:val="none" w:sz="0" w:space="0" w:color="auto"/>
        <w:left w:val="none" w:sz="0" w:space="0" w:color="auto"/>
        <w:bottom w:val="none" w:sz="0" w:space="0" w:color="auto"/>
        <w:right w:val="none" w:sz="0" w:space="0" w:color="auto"/>
      </w:divBdr>
    </w:div>
    <w:div w:id="929043190">
      <w:marLeft w:val="0"/>
      <w:marRight w:val="0"/>
      <w:marTop w:val="0"/>
      <w:marBottom w:val="0"/>
      <w:divBdr>
        <w:top w:val="none" w:sz="0" w:space="0" w:color="auto"/>
        <w:left w:val="none" w:sz="0" w:space="0" w:color="auto"/>
        <w:bottom w:val="none" w:sz="0" w:space="0" w:color="auto"/>
        <w:right w:val="none" w:sz="0" w:space="0" w:color="auto"/>
      </w:divBdr>
    </w:div>
    <w:div w:id="929043192">
      <w:marLeft w:val="0"/>
      <w:marRight w:val="0"/>
      <w:marTop w:val="0"/>
      <w:marBottom w:val="0"/>
      <w:divBdr>
        <w:top w:val="none" w:sz="0" w:space="0" w:color="auto"/>
        <w:left w:val="none" w:sz="0" w:space="0" w:color="auto"/>
        <w:bottom w:val="none" w:sz="0" w:space="0" w:color="auto"/>
        <w:right w:val="none" w:sz="0" w:space="0" w:color="auto"/>
      </w:divBdr>
    </w:div>
    <w:div w:id="929043193">
      <w:marLeft w:val="0"/>
      <w:marRight w:val="0"/>
      <w:marTop w:val="0"/>
      <w:marBottom w:val="0"/>
      <w:divBdr>
        <w:top w:val="none" w:sz="0" w:space="0" w:color="auto"/>
        <w:left w:val="none" w:sz="0" w:space="0" w:color="auto"/>
        <w:bottom w:val="none" w:sz="0" w:space="0" w:color="auto"/>
        <w:right w:val="none" w:sz="0" w:space="0" w:color="auto"/>
      </w:divBdr>
      <w:divsChild>
        <w:div w:id="929043165">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929043194">
      <w:marLeft w:val="0"/>
      <w:marRight w:val="0"/>
      <w:marTop w:val="0"/>
      <w:marBottom w:val="0"/>
      <w:divBdr>
        <w:top w:val="none" w:sz="0" w:space="0" w:color="auto"/>
        <w:left w:val="none" w:sz="0" w:space="0" w:color="auto"/>
        <w:bottom w:val="none" w:sz="0" w:space="0" w:color="auto"/>
        <w:right w:val="none" w:sz="0" w:space="0" w:color="auto"/>
      </w:divBdr>
    </w:div>
    <w:div w:id="929043195">
      <w:marLeft w:val="0"/>
      <w:marRight w:val="0"/>
      <w:marTop w:val="0"/>
      <w:marBottom w:val="0"/>
      <w:divBdr>
        <w:top w:val="none" w:sz="0" w:space="0" w:color="auto"/>
        <w:left w:val="none" w:sz="0" w:space="0" w:color="auto"/>
        <w:bottom w:val="none" w:sz="0" w:space="0" w:color="auto"/>
        <w:right w:val="none" w:sz="0" w:space="0" w:color="auto"/>
      </w:divBdr>
    </w:div>
    <w:div w:id="929043196">
      <w:marLeft w:val="0"/>
      <w:marRight w:val="0"/>
      <w:marTop w:val="0"/>
      <w:marBottom w:val="0"/>
      <w:divBdr>
        <w:top w:val="none" w:sz="0" w:space="0" w:color="auto"/>
        <w:left w:val="none" w:sz="0" w:space="0" w:color="auto"/>
        <w:bottom w:val="none" w:sz="0" w:space="0" w:color="auto"/>
        <w:right w:val="none" w:sz="0" w:space="0" w:color="auto"/>
      </w:divBdr>
    </w:div>
    <w:div w:id="929043197">
      <w:marLeft w:val="0"/>
      <w:marRight w:val="0"/>
      <w:marTop w:val="0"/>
      <w:marBottom w:val="0"/>
      <w:divBdr>
        <w:top w:val="none" w:sz="0" w:space="0" w:color="auto"/>
        <w:left w:val="none" w:sz="0" w:space="0" w:color="auto"/>
        <w:bottom w:val="none" w:sz="0" w:space="0" w:color="auto"/>
        <w:right w:val="none" w:sz="0" w:space="0" w:color="auto"/>
      </w:divBdr>
    </w:div>
    <w:div w:id="929043198">
      <w:marLeft w:val="0"/>
      <w:marRight w:val="0"/>
      <w:marTop w:val="0"/>
      <w:marBottom w:val="0"/>
      <w:divBdr>
        <w:top w:val="none" w:sz="0" w:space="0" w:color="auto"/>
        <w:left w:val="none" w:sz="0" w:space="0" w:color="auto"/>
        <w:bottom w:val="none" w:sz="0" w:space="0" w:color="auto"/>
        <w:right w:val="none" w:sz="0" w:space="0" w:color="auto"/>
      </w:divBdr>
    </w:div>
    <w:div w:id="929043199">
      <w:marLeft w:val="0"/>
      <w:marRight w:val="0"/>
      <w:marTop w:val="0"/>
      <w:marBottom w:val="0"/>
      <w:divBdr>
        <w:top w:val="none" w:sz="0" w:space="0" w:color="auto"/>
        <w:left w:val="none" w:sz="0" w:space="0" w:color="auto"/>
        <w:bottom w:val="none" w:sz="0" w:space="0" w:color="auto"/>
        <w:right w:val="none" w:sz="0" w:space="0" w:color="auto"/>
      </w:divBdr>
    </w:div>
    <w:div w:id="929043202">
      <w:marLeft w:val="0"/>
      <w:marRight w:val="0"/>
      <w:marTop w:val="0"/>
      <w:marBottom w:val="0"/>
      <w:divBdr>
        <w:top w:val="none" w:sz="0" w:space="0" w:color="auto"/>
        <w:left w:val="none" w:sz="0" w:space="0" w:color="auto"/>
        <w:bottom w:val="none" w:sz="0" w:space="0" w:color="auto"/>
        <w:right w:val="none" w:sz="0" w:space="0" w:color="auto"/>
      </w:divBdr>
    </w:div>
    <w:div w:id="929043205">
      <w:marLeft w:val="0"/>
      <w:marRight w:val="0"/>
      <w:marTop w:val="0"/>
      <w:marBottom w:val="0"/>
      <w:divBdr>
        <w:top w:val="none" w:sz="0" w:space="0" w:color="auto"/>
        <w:left w:val="none" w:sz="0" w:space="0" w:color="auto"/>
        <w:bottom w:val="none" w:sz="0" w:space="0" w:color="auto"/>
        <w:right w:val="none" w:sz="0" w:space="0" w:color="auto"/>
      </w:divBdr>
    </w:div>
    <w:div w:id="929043206">
      <w:marLeft w:val="0"/>
      <w:marRight w:val="0"/>
      <w:marTop w:val="0"/>
      <w:marBottom w:val="0"/>
      <w:divBdr>
        <w:top w:val="none" w:sz="0" w:space="0" w:color="auto"/>
        <w:left w:val="none" w:sz="0" w:space="0" w:color="auto"/>
        <w:bottom w:val="none" w:sz="0" w:space="0" w:color="auto"/>
        <w:right w:val="none" w:sz="0" w:space="0" w:color="auto"/>
      </w:divBdr>
      <w:divsChild>
        <w:div w:id="929043230">
          <w:marLeft w:val="0"/>
          <w:marRight w:val="0"/>
          <w:marTop w:val="0"/>
          <w:marBottom w:val="0"/>
          <w:divBdr>
            <w:top w:val="none" w:sz="0" w:space="0" w:color="auto"/>
            <w:left w:val="none" w:sz="0" w:space="0" w:color="auto"/>
            <w:bottom w:val="none" w:sz="0" w:space="0" w:color="auto"/>
            <w:right w:val="none" w:sz="0" w:space="0" w:color="auto"/>
          </w:divBdr>
          <w:divsChild>
            <w:div w:id="929043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207">
      <w:marLeft w:val="0"/>
      <w:marRight w:val="0"/>
      <w:marTop w:val="0"/>
      <w:marBottom w:val="0"/>
      <w:divBdr>
        <w:top w:val="none" w:sz="0" w:space="0" w:color="auto"/>
        <w:left w:val="none" w:sz="0" w:space="0" w:color="auto"/>
        <w:bottom w:val="none" w:sz="0" w:space="0" w:color="auto"/>
        <w:right w:val="none" w:sz="0" w:space="0" w:color="auto"/>
      </w:divBdr>
      <w:divsChild>
        <w:div w:id="929043218">
          <w:marLeft w:val="0"/>
          <w:marRight w:val="0"/>
          <w:marTop w:val="0"/>
          <w:marBottom w:val="0"/>
          <w:divBdr>
            <w:top w:val="none" w:sz="0" w:space="0" w:color="auto"/>
            <w:left w:val="none" w:sz="0" w:space="0" w:color="auto"/>
            <w:bottom w:val="none" w:sz="0" w:space="0" w:color="auto"/>
            <w:right w:val="none" w:sz="0" w:space="0" w:color="auto"/>
          </w:divBdr>
          <w:divsChild>
            <w:div w:id="929043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208">
      <w:marLeft w:val="0"/>
      <w:marRight w:val="0"/>
      <w:marTop w:val="0"/>
      <w:marBottom w:val="0"/>
      <w:divBdr>
        <w:top w:val="none" w:sz="0" w:space="0" w:color="auto"/>
        <w:left w:val="none" w:sz="0" w:space="0" w:color="auto"/>
        <w:bottom w:val="none" w:sz="0" w:space="0" w:color="auto"/>
        <w:right w:val="none" w:sz="0" w:space="0" w:color="auto"/>
      </w:divBdr>
    </w:div>
    <w:div w:id="929043209">
      <w:marLeft w:val="0"/>
      <w:marRight w:val="0"/>
      <w:marTop w:val="0"/>
      <w:marBottom w:val="0"/>
      <w:divBdr>
        <w:top w:val="none" w:sz="0" w:space="0" w:color="auto"/>
        <w:left w:val="none" w:sz="0" w:space="0" w:color="auto"/>
        <w:bottom w:val="none" w:sz="0" w:space="0" w:color="auto"/>
        <w:right w:val="none" w:sz="0" w:space="0" w:color="auto"/>
      </w:divBdr>
    </w:div>
    <w:div w:id="929043210">
      <w:marLeft w:val="0"/>
      <w:marRight w:val="0"/>
      <w:marTop w:val="0"/>
      <w:marBottom w:val="0"/>
      <w:divBdr>
        <w:top w:val="none" w:sz="0" w:space="0" w:color="auto"/>
        <w:left w:val="none" w:sz="0" w:space="0" w:color="auto"/>
        <w:bottom w:val="none" w:sz="0" w:space="0" w:color="auto"/>
        <w:right w:val="none" w:sz="0" w:space="0" w:color="auto"/>
      </w:divBdr>
    </w:div>
    <w:div w:id="929043211">
      <w:marLeft w:val="0"/>
      <w:marRight w:val="0"/>
      <w:marTop w:val="0"/>
      <w:marBottom w:val="0"/>
      <w:divBdr>
        <w:top w:val="none" w:sz="0" w:space="0" w:color="auto"/>
        <w:left w:val="none" w:sz="0" w:space="0" w:color="auto"/>
        <w:bottom w:val="none" w:sz="0" w:space="0" w:color="auto"/>
        <w:right w:val="none" w:sz="0" w:space="0" w:color="auto"/>
      </w:divBdr>
      <w:divsChild>
        <w:div w:id="929043200">
          <w:marLeft w:val="547"/>
          <w:marRight w:val="0"/>
          <w:marTop w:val="115"/>
          <w:marBottom w:val="0"/>
          <w:divBdr>
            <w:top w:val="none" w:sz="0" w:space="0" w:color="auto"/>
            <w:left w:val="none" w:sz="0" w:space="0" w:color="auto"/>
            <w:bottom w:val="none" w:sz="0" w:space="0" w:color="auto"/>
            <w:right w:val="none" w:sz="0" w:space="0" w:color="auto"/>
          </w:divBdr>
        </w:div>
      </w:divsChild>
    </w:div>
    <w:div w:id="929043213">
      <w:marLeft w:val="0"/>
      <w:marRight w:val="0"/>
      <w:marTop w:val="0"/>
      <w:marBottom w:val="0"/>
      <w:divBdr>
        <w:top w:val="none" w:sz="0" w:space="0" w:color="auto"/>
        <w:left w:val="none" w:sz="0" w:space="0" w:color="auto"/>
        <w:bottom w:val="none" w:sz="0" w:space="0" w:color="auto"/>
        <w:right w:val="none" w:sz="0" w:space="0" w:color="auto"/>
      </w:divBdr>
    </w:div>
    <w:div w:id="929043214">
      <w:marLeft w:val="0"/>
      <w:marRight w:val="0"/>
      <w:marTop w:val="0"/>
      <w:marBottom w:val="0"/>
      <w:divBdr>
        <w:top w:val="none" w:sz="0" w:space="0" w:color="auto"/>
        <w:left w:val="none" w:sz="0" w:space="0" w:color="auto"/>
        <w:bottom w:val="none" w:sz="0" w:space="0" w:color="auto"/>
        <w:right w:val="none" w:sz="0" w:space="0" w:color="auto"/>
      </w:divBdr>
    </w:div>
    <w:div w:id="929043215">
      <w:marLeft w:val="0"/>
      <w:marRight w:val="0"/>
      <w:marTop w:val="0"/>
      <w:marBottom w:val="0"/>
      <w:divBdr>
        <w:top w:val="none" w:sz="0" w:space="0" w:color="auto"/>
        <w:left w:val="none" w:sz="0" w:space="0" w:color="auto"/>
        <w:bottom w:val="none" w:sz="0" w:space="0" w:color="auto"/>
        <w:right w:val="none" w:sz="0" w:space="0" w:color="auto"/>
      </w:divBdr>
      <w:divsChild>
        <w:div w:id="929043216">
          <w:marLeft w:val="0"/>
          <w:marRight w:val="0"/>
          <w:marTop w:val="0"/>
          <w:marBottom w:val="0"/>
          <w:divBdr>
            <w:top w:val="none" w:sz="0" w:space="0" w:color="auto"/>
            <w:left w:val="none" w:sz="0" w:space="0" w:color="auto"/>
            <w:bottom w:val="none" w:sz="0" w:space="0" w:color="auto"/>
            <w:right w:val="none" w:sz="0" w:space="0" w:color="auto"/>
          </w:divBdr>
          <w:divsChild>
            <w:div w:id="929043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217">
      <w:marLeft w:val="0"/>
      <w:marRight w:val="0"/>
      <w:marTop w:val="0"/>
      <w:marBottom w:val="0"/>
      <w:divBdr>
        <w:top w:val="none" w:sz="0" w:space="0" w:color="auto"/>
        <w:left w:val="none" w:sz="0" w:space="0" w:color="auto"/>
        <w:bottom w:val="none" w:sz="0" w:space="0" w:color="auto"/>
        <w:right w:val="none" w:sz="0" w:space="0" w:color="auto"/>
      </w:divBdr>
      <w:divsChild>
        <w:div w:id="929043201">
          <w:marLeft w:val="0"/>
          <w:marRight w:val="0"/>
          <w:marTop w:val="0"/>
          <w:marBottom w:val="0"/>
          <w:divBdr>
            <w:top w:val="none" w:sz="0" w:space="0" w:color="auto"/>
            <w:left w:val="none" w:sz="0" w:space="0" w:color="auto"/>
            <w:bottom w:val="none" w:sz="0" w:space="0" w:color="auto"/>
            <w:right w:val="none" w:sz="0" w:space="0" w:color="auto"/>
          </w:divBdr>
          <w:divsChild>
            <w:div w:id="929043203">
              <w:marLeft w:val="0"/>
              <w:marRight w:val="0"/>
              <w:marTop w:val="0"/>
              <w:marBottom w:val="0"/>
              <w:divBdr>
                <w:top w:val="none" w:sz="0" w:space="0" w:color="auto"/>
                <w:left w:val="none" w:sz="0" w:space="0" w:color="auto"/>
                <w:bottom w:val="none" w:sz="0" w:space="0" w:color="auto"/>
                <w:right w:val="none" w:sz="0" w:space="0" w:color="auto"/>
              </w:divBdr>
            </w:div>
            <w:div w:id="92904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219">
      <w:marLeft w:val="0"/>
      <w:marRight w:val="0"/>
      <w:marTop w:val="0"/>
      <w:marBottom w:val="0"/>
      <w:divBdr>
        <w:top w:val="none" w:sz="0" w:space="0" w:color="auto"/>
        <w:left w:val="none" w:sz="0" w:space="0" w:color="auto"/>
        <w:bottom w:val="none" w:sz="0" w:space="0" w:color="auto"/>
        <w:right w:val="none" w:sz="0" w:space="0" w:color="auto"/>
      </w:divBdr>
    </w:div>
    <w:div w:id="929043222">
      <w:marLeft w:val="0"/>
      <w:marRight w:val="0"/>
      <w:marTop w:val="0"/>
      <w:marBottom w:val="0"/>
      <w:divBdr>
        <w:top w:val="none" w:sz="0" w:space="0" w:color="auto"/>
        <w:left w:val="none" w:sz="0" w:space="0" w:color="auto"/>
        <w:bottom w:val="none" w:sz="0" w:space="0" w:color="auto"/>
        <w:right w:val="none" w:sz="0" w:space="0" w:color="auto"/>
      </w:divBdr>
    </w:div>
    <w:div w:id="929043223">
      <w:marLeft w:val="0"/>
      <w:marRight w:val="0"/>
      <w:marTop w:val="0"/>
      <w:marBottom w:val="0"/>
      <w:divBdr>
        <w:top w:val="none" w:sz="0" w:space="0" w:color="auto"/>
        <w:left w:val="none" w:sz="0" w:space="0" w:color="auto"/>
        <w:bottom w:val="none" w:sz="0" w:space="0" w:color="auto"/>
        <w:right w:val="none" w:sz="0" w:space="0" w:color="auto"/>
      </w:divBdr>
      <w:divsChild>
        <w:div w:id="929043227">
          <w:marLeft w:val="0"/>
          <w:marRight w:val="0"/>
          <w:marTop w:val="0"/>
          <w:marBottom w:val="0"/>
          <w:divBdr>
            <w:top w:val="none" w:sz="0" w:space="0" w:color="auto"/>
            <w:left w:val="none" w:sz="0" w:space="0" w:color="auto"/>
            <w:bottom w:val="none" w:sz="0" w:space="0" w:color="auto"/>
            <w:right w:val="none" w:sz="0" w:space="0" w:color="auto"/>
          </w:divBdr>
          <w:divsChild>
            <w:div w:id="929043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226">
      <w:marLeft w:val="0"/>
      <w:marRight w:val="0"/>
      <w:marTop w:val="0"/>
      <w:marBottom w:val="0"/>
      <w:divBdr>
        <w:top w:val="none" w:sz="0" w:space="0" w:color="auto"/>
        <w:left w:val="none" w:sz="0" w:space="0" w:color="auto"/>
        <w:bottom w:val="none" w:sz="0" w:space="0" w:color="auto"/>
        <w:right w:val="none" w:sz="0" w:space="0" w:color="auto"/>
      </w:divBdr>
    </w:div>
    <w:div w:id="929043228">
      <w:marLeft w:val="0"/>
      <w:marRight w:val="0"/>
      <w:marTop w:val="0"/>
      <w:marBottom w:val="0"/>
      <w:divBdr>
        <w:top w:val="none" w:sz="0" w:space="0" w:color="auto"/>
        <w:left w:val="none" w:sz="0" w:space="0" w:color="auto"/>
        <w:bottom w:val="none" w:sz="0" w:space="0" w:color="auto"/>
        <w:right w:val="none" w:sz="0" w:space="0" w:color="auto"/>
      </w:divBdr>
    </w:div>
    <w:div w:id="929043229">
      <w:marLeft w:val="0"/>
      <w:marRight w:val="0"/>
      <w:marTop w:val="0"/>
      <w:marBottom w:val="0"/>
      <w:divBdr>
        <w:top w:val="none" w:sz="0" w:space="0" w:color="auto"/>
        <w:left w:val="none" w:sz="0" w:space="0" w:color="auto"/>
        <w:bottom w:val="none" w:sz="0" w:space="0" w:color="auto"/>
        <w:right w:val="none" w:sz="0" w:space="0" w:color="auto"/>
      </w:divBdr>
    </w:div>
    <w:div w:id="929043231">
      <w:marLeft w:val="0"/>
      <w:marRight w:val="0"/>
      <w:marTop w:val="0"/>
      <w:marBottom w:val="0"/>
      <w:divBdr>
        <w:top w:val="none" w:sz="0" w:space="0" w:color="auto"/>
        <w:left w:val="none" w:sz="0" w:space="0" w:color="auto"/>
        <w:bottom w:val="none" w:sz="0" w:space="0" w:color="auto"/>
        <w:right w:val="none" w:sz="0" w:space="0" w:color="auto"/>
      </w:divBdr>
    </w:div>
    <w:div w:id="929043232">
      <w:marLeft w:val="0"/>
      <w:marRight w:val="0"/>
      <w:marTop w:val="0"/>
      <w:marBottom w:val="0"/>
      <w:divBdr>
        <w:top w:val="none" w:sz="0" w:space="0" w:color="auto"/>
        <w:left w:val="none" w:sz="0" w:space="0" w:color="auto"/>
        <w:bottom w:val="none" w:sz="0" w:space="0" w:color="auto"/>
        <w:right w:val="none" w:sz="0" w:space="0" w:color="auto"/>
      </w:divBdr>
      <w:divsChild>
        <w:div w:id="929043204">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929043233">
      <w:marLeft w:val="0"/>
      <w:marRight w:val="0"/>
      <w:marTop w:val="0"/>
      <w:marBottom w:val="0"/>
      <w:divBdr>
        <w:top w:val="none" w:sz="0" w:space="0" w:color="auto"/>
        <w:left w:val="none" w:sz="0" w:space="0" w:color="auto"/>
        <w:bottom w:val="none" w:sz="0" w:space="0" w:color="auto"/>
        <w:right w:val="none" w:sz="0" w:space="0" w:color="auto"/>
      </w:divBdr>
    </w:div>
    <w:div w:id="929043234">
      <w:marLeft w:val="0"/>
      <w:marRight w:val="0"/>
      <w:marTop w:val="0"/>
      <w:marBottom w:val="0"/>
      <w:divBdr>
        <w:top w:val="none" w:sz="0" w:space="0" w:color="auto"/>
        <w:left w:val="none" w:sz="0" w:space="0" w:color="auto"/>
        <w:bottom w:val="none" w:sz="0" w:space="0" w:color="auto"/>
        <w:right w:val="none" w:sz="0" w:space="0" w:color="auto"/>
      </w:divBdr>
    </w:div>
    <w:div w:id="929043235">
      <w:marLeft w:val="0"/>
      <w:marRight w:val="0"/>
      <w:marTop w:val="0"/>
      <w:marBottom w:val="0"/>
      <w:divBdr>
        <w:top w:val="none" w:sz="0" w:space="0" w:color="auto"/>
        <w:left w:val="none" w:sz="0" w:space="0" w:color="auto"/>
        <w:bottom w:val="none" w:sz="0" w:space="0" w:color="auto"/>
        <w:right w:val="none" w:sz="0" w:space="0" w:color="auto"/>
      </w:divBdr>
    </w:div>
    <w:div w:id="929043236">
      <w:marLeft w:val="0"/>
      <w:marRight w:val="0"/>
      <w:marTop w:val="0"/>
      <w:marBottom w:val="0"/>
      <w:divBdr>
        <w:top w:val="none" w:sz="0" w:space="0" w:color="auto"/>
        <w:left w:val="none" w:sz="0" w:space="0" w:color="auto"/>
        <w:bottom w:val="none" w:sz="0" w:space="0" w:color="auto"/>
        <w:right w:val="none" w:sz="0" w:space="0" w:color="auto"/>
      </w:divBdr>
    </w:div>
    <w:div w:id="929043237">
      <w:marLeft w:val="0"/>
      <w:marRight w:val="0"/>
      <w:marTop w:val="0"/>
      <w:marBottom w:val="0"/>
      <w:divBdr>
        <w:top w:val="none" w:sz="0" w:space="0" w:color="auto"/>
        <w:left w:val="none" w:sz="0" w:space="0" w:color="auto"/>
        <w:bottom w:val="none" w:sz="0" w:space="0" w:color="auto"/>
        <w:right w:val="none" w:sz="0" w:space="0" w:color="auto"/>
      </w:divBdr>
    </w:div>
    <w:div w:id="929043238">
      <w:marLeft w:val="0"/>
      <w:marRight w:val="0"/>
      <w:marTop w:val="0"/>
      <w:marBottom w:val="0"/>
      <w:divBdr>
        <w:top w:val="none" w:sz="0" w:space="0" w:color="auto"/>
        <w:left w:val="none" w:sz="0" w:space="0" w:color="auto"/>
        <w:bottom w:val="none" w:sz="0" w:space="0" w:color="auto"/>
        <w:right w:val="none" w:sz="0" w:space="0" w:color="auto"/>
      </w:divBdr>
    </w:div>
    <w:div w:id="929043239">
      <w:marLeft w:val="0"/>
      <w:marRight w:val="0"/>
      <w:marTop w:val="0"/>
      <w:marBottom w:val="0"/>
      <w:divBdr>
        <w:top w:val="none" w:sz="0" w:space="0" w:color="auto"/>
        <w:left w:val="none" w:sz="0" w:space="0" w:color="auto"/>
        <w:bottom w:val="none" w:sz="0" w:space="0" w:color="auto"/>
        <w:right w:val="none" w:sz="0" w:space="0" w:color="auto"/>
      </w:divBdr>
    </w:div>
    <w:div w:id="929043240">
      <w:marLeft w:val="0"/>
      <w:marRight w:val="0"/>
      <w:marTop w:val="0"/>
      <w:marBottom w:val="0"/>
      <w:divBdr>
        <w:top w:val="none" w:sz="0" w:space="0" w:color="auto"/>
        <w:left w:val="none" w:sz="0" w:space="0" w:color="auto"/>
        <w:bottom w:val="none" w:sz="0" w:space="0" w:color="auto"/>
        <w:right w:val="none" w:sz="0" w:space="0" w:color="auto"/>
      </w:divBdr>
    </w:div>
    <w:div w:id="929043241">
      <w:marLeft w:val="0"/>
      <w:marRight w:val="0"/>
      <w:marTop w:val="0"/>
      <w:marBottom w:val="0"/>
      <w:divBdr>
        <w:top w:val="none" w:sz="0" w:space="0" w:color="auto"/>
        <w:left w:val="none" w:sz="0" w:space="0" w:color="auto"/>
        <w:bottom w:val="none" w:sz="0" w:space="0" w:color="auto"/>
        <w:right w:val="none" w:sz="0" w:space="0" w:color="auto"/>
      </w:divBdr>
    </w:div>
    <w:div w:id="929043250">
      <w:marLeft w:val="0"/>
      <w:marRight w:val="0"/>
      <w:marTop w:val="0"/>
      <w:marBottom w:val="0"/>
      <w:divBdr>
        <w:top w:val="none" w:sz="0" w:space="0" w:color="auto"/>
        <w:left w:val="none" w:sz="0" w:space="0" w:color="auto"/>
        <w:bottom w:val="none" w:sz="0" w:space="0" w:color="auto"/>
        <w:right w:val="none" w:sz="0" w:space="0" w:color="auto"/>
      </w:divBdr>
      <w:divsChild>
        <w:div w:id="929043246">
          <w:marLeft w:val="0"/>
          <w:marRight w:val="0"/>
          <w:marTop w:val="0"/>
          <w:marBottom w:val="0"/>
          <w:divBdr>
            <w:top w:val="none" w:sz="0" w:space="0" w:color="auto"/>
            <w:left w:val="none" w:sz="0" w:space="0" w:color="auto"/>
            <w:bottom w:val="none" w:sz="0" w:space="0" w:color="auto"/>
            <w:right w:val="none" w:sz="0" w:space="0" w:color="auto"/>
          </w:divBdr>
          <w:divsChild>
            <w:div w:id="929043244">
              <w:marLeft w:val="0"/>
              <w:marRight w:val="0"/>
              <w:marTop w:val="0"/>
              <w:marBottom w:val="0"/>
              <w:divBdr>
                <w:top w:val="none" w:sz="0" w:space="0" w:color="auto"/>
                <w:left w:val="none" w:sz="0" w:space="0" w:color="auto"/>
                <w:bottom w:val="none" w:sz="0" w:space="0" w:color="auto"/>
                <w:right w:val="none" w:sz="0" w:space="0" w:color="auto"/>
              </w:divBdr>
              <w:divsChild>
                <w:div w:id="929043249">
                  <w:marLeft w:val="0"/>
                  <w:marRight w:val="0"/>
                  <w:marTop w:val="0"/>
                  <w:marBottom w:val="0"/>
                  <w:divBdr>
                    <w:top w:val="none" w:sz="0" w:space="0" w:color="auto"/>
                    <w:left w:val="none" w:sz="0" w:space="0" w:color="auto"/>
                    <w:bottom w:val="none" w:sz="0" w:space="0" w:color="auto"/>
                    <w:right w:val="none" w:sz="0" w:space="0" w:color="auto"/>
                  </w:divBdr>
                  <w:divsChild>
                    <w:div w:id="929043243">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929043251">
      <w:marLeft w:val="0"/>
      <w:marRight w:val="0"/>
      <w:marTop w:val="0"/>
      <w:marBottom w:val="0"/>
      <w:divBdr>
        <w:top w:val="none" w:sz="0" w:space="0" w:color="auto"/>
        <w:left w:val="none" w:sz="0" w:space="0" w:color="auto"/>
        <w:bottom w:val="none" w:sz="0" w:space="0" w:color="auto"/>
        <w:right w:val="none" w:sz="0" w:space="0" w:color="auto"/>
      </w:divBdr>
      <w:divsChild>
        <w:div w:id="929043242">
          <w:marLeft w:val="0"/>
          <w:marRight w:val="0"/>
          <w:marTop w:val="0"/>
          <w:marBottom w:val="0"/>
          <w:divBdr>
            <w:top w:val="none" w:sz="0" w:space="0" w:color="auto"/>
            <w:left w:val="none" w:sz="0" w:space="0" w:color="auto"/>
            <w:bottom w:val="none" w:sz="0" w:space="0" w:color="auto"/>
            <w:right w:val="none" w:sz="0" w:space="0" w:color="auto"/>
          </w:divBdr>
          <w:divsChild>
            <w:div w:id="929043245">
              <w:marLeft w:val="0"/>
              <w:marRight w:val="0"/>
              <w:marTop w:val="0"/>
              <w:marBottom w:val="0"/>
              <w:divBdr>
                <w:top w:val="none" w:sz="0" w:space="0" w:color="auto"/>
                <w:left w:val="none" w:sz="0" w:space="0" w:color="auto"/>
                <w:bottom w:val="none" w:sz="0" w:space="0" w:color="auto"/>
                <w:right w:val="none" w:sz="0" w:space="0" w:color="auto"/>
              </w:divBdr>
              <w:divsChild>
                <w:div w:id="929043248">
                  <w:marLeft w:val="0"/>
                  <w:marRight w:val="0"/>
                  <w:marTop w:val="0"/>
                  <w:marBottom w:val="0"/>
                  <w:divBdr>
                    <w:top w:val="none" w:sz="0" w:space="0" w:color="auto"/>
                    <w:left w:val="none" w:sz="0" w:space="0" w:color="auto"/>
                    <w:bottom w:val="none" w:sz="0" w:space="0" w:color="auto"/>
                    <w:right w:val="none" w:sz="0" w:space="0" w:color="auto"/>
                  </w:divBdr>
                  <w:divsChild>
                    <w:div w:id="929043247">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929043252">
      <w:marLeft w:val="0"/>
      <w:marRight w:val="0"/>
      <w:marTop w:val="0"/>
      <w:marBottom w:val="0"/>
      <w:divBdr>
        <w:top w:val="none" w:sz="0" w:space="0" w:color="auto"/>
        <w:left w:val="none" w:sz="0" w:space="0" w:color="auto"/>
        <w:bottom w:val="none" w:sz="0" w:space="0" w:color="auto"/>
        <w:right w:val="none" w:sz="0" w:space="0" w:color="auto"/>
      </w:divBdr>
    </w:div>
    <w:div w:id="929043253">
      <w:marLeft w:val="0"/>
      <w:marRight w:val="0"/>
      <w:marTop w:val="0"/>
      <w:marBottom w:val="0"/>
      <w:divBdr>
        <w:top w:val="none" w:sz="0" w:space="0" w:color="auto"/>
        <w:left w:val="none" w:sz="0" w:space="0" w:color="auto"/>
        <w:bottom w:val="none" w:sz="0" w:space="0" w:color="auto"/>
        <w:right w:val="none" w:sz="0" w:space="0" w:color="auto"/>
      </w:divBdr>
    </w:div>
    <w:div w:id="929043254">
      <w:marLeft w:val="0"/>
      <w:marRight w:val="0"/>
      <w:marTop w:val="0"/>
      <w:marBottom w:val="0"/>
      <w:divBdr>
        <w:top w:val="none" w:sz="0" w:space="0" w:color="auto"/>
        <w:left w:val="none" w:sz="0" w:space="0" w:color="auto"/>
        <w:bottom w:val="none" w:sz="0" w:space="0" w:color="auto"/>
        <w:right w:val="none" w:sz="0" w:space="0" w:color="auto"/>
      </w:divBdr>
    </w:div>
    <w:div w:id="929043255">
      <w:marLeft w:val="0"/>
      <w:marRight w:val="0"/>
      <w:marTop w:val="0"/>
      <w:marBottom w:val="0"/>
      <w:divBdr>
        <w:top w:val="none" w:sz="0" w:space="0" w:color="auto"/>
        <w:left w:val="none" w:sz="0" w:space="0" w:color="auto"/>
        <w:bottom w:val="none" w:sz="0" w:space="0" w:color="auto"/>
        <w:right w:val="none" w:sz="0" w:space="0" w:color="auto"/>
      </w:divBdr>
    </w:div>
    <w:div w:id="929043256">
      <w:marLeft w:val="0"/>
      <w:marRight w:val="0"/>
      <w:marTop w:val="0"/>
      <w:marBottom w:val="0"/>
      <w:divBdr>
        <w:top w:val="none" w:sz="0" w:space="0" w:color="auto"/>
        <w:left w:val="none" w:sz="0" w:space="0" w:color="auto"/>
        <w:bottom w:val="none" w:sz="0" w:space="0" w:color="auto"/>
        <w:right w:val="none" w:sz="0" w:space="0" w:color="auto"/>
      </w:divBdr>
    </w:div>
    <w:div w:id="929043257">
      <w:marLeft w:val="0"/>
      <w:marRight w:val="0"/>
      <w:marTop w:val="0"/>
      <w:marBottom w:val="0"/>
      <w:divBdr>
        <w:top w:val="none" w:sz="0" w:space="0" w:color="auto"/>
        <w:left w:val="none" w:sz="0" w:space="0" w:color="auto"/>
        <w:bottom w:val="none" w:sz="0" w:space="0" w:color="auto"/>
        <w:right w:val="none" w:sz="0" w:space="0" w:color="auto"/>
      </w:divBdr>
    </w:div>
    <w:div w:id="929043258">
      <w:marLeft w:val="0"/>
      <w:marRight w:val="0"/>
      <w:marTop w:val="0"/>
      <w:marBottom w:val="0"/>
      <w:divBdr>
        <w:top w:val="none" w:sz="0" w:space="0" w:color="auto"/>
        <w:left w:val="none" w:sz="0" w:space="0" w:color="auto"/>
        <w:bottom w:val="none" w:sz="0" w:space="0" w:color="auto"/>
        <w:right w:val="none" w:sz="0" w:space="0" w:color="auto"/>
      </w:divBdr>
    </w:div>
    <w:div w:id="929043259">
      <w:marLeft w:val="0"/>
      <w:marRight w:val="0"/>
      <w:marTop w:val="0"/>
      <w:marBottom w:val="0"/>
      <w:divBdr>
        <w:top w:val="none" w:sz="0" w:space="0" w:color="auto"/>
        <w:left w:val="none" w:sz="0" w:space="0" w:color="auto"/>
        <w:bottom w:val="none" w:sz="0" w:space="0" w:color="auto"/>
        <w:right w:val="none" w:sz="0" w:space="0" w:color="auto"/>
      </w:divBdr>
    </w:div>
    <w:div w:id="929043260">
      <w:marLeft w:val="0"/>
      <w:marRight w:val="0"/>
      <w:marTop w:val="0"/>
      <w:marBottom w:val="0"/>
      <w:divBdr>
        <w:top w:val="none" w:sz="0" w:space="0" w:color="auto"/>
        <w:left w:val="none" w:sz="0" w:space="0" w:color="auto"/>
        <w:bottom w:val="none" w:sz="0" w:space="0" w:color="auto"/>
        <w:right w:val="none" w:sz="0" w:space="0" w:color="auto"/>
      </w:divBdr>
    </w:div>
    <w:div w:id="970597463">
      <w:bodyDiv w:val="1"/>
      <w:marLeft w:val="0"/>
      <w:marRight w:val="0"/>
      <w:marTop w:val="0"/>
      <w:marBottom w:val="0"/>
      <w:divBdr>
        <w:top w:val="none" w:sz="0" w:space="0" w:color="auto"/>
        <w:left w:val="none" w:sz="0" w:space="0" w:color="auto"/>
        <w:bottom w:val="none" w:sz="0" w:space="0" w:color="auto"/>
        <w:right w:val="none" w:sz="0" w:space="0" w:color="auto"/>
      </w:divBdr>
    </w:div>
    <w:div w:id="985204222">
      <w:bodyDiv w:val="1"/>
      <w:marLeft w:val="0"/>
      <w:marRight w:val="0"/>
      <w:marTop w:val="0"/>
      <w:marBottom w:val="0"/>
      <w:divBdr>
        <w:top w:val="none" w:sz="0" w:space="0" w:color="auto"/>
        <w:left w:val="none" w:sz="0" w:space="0" w:color="auto"/>
        <w:bottom w:val="none" w:sz="0" w:space="0" w:color="auto"/>
        <w:right w:val="none" w:sz="0" w:space="0" w:color="auto"/>
      </w:divBdr>
    </w:div>
    <w:div w:id="999188901">
      <w:bodyDiv w:val="1"/>
      <w:marLeft w:val="0"/>
      <w:marRight w:val="0"/>
      <w:marTop w:val="0"/>
      <w:marBottom w:val="0"/>
      <w:divBdr>
        <w:top w:val="none" w:sz="0" w:space="0" w:color="auto"/>
        <w:left w:val="none" w:sz="0" w:space="0" w:color="auto"/>
        <w:bottom w:val="none" w:sz="0" w:space="0" w:color="auto"/>
        <w:right w:val="none" w:sz="0" w:space="0" w:color="auto"/>
      </w:divBdr>
    </w:div>
    <w:div w:id="1004548479">
      <w:bodyDiv w:val="1"/>
      <w:marLeft w:val="0"/>
      <w:marRight w:val="0"/>
      <w:marTop w:val="0"/>
      <w:marBottom w:val="0"/>
      <w:divBdr>
        <w:top w:val="none" w:sz="0" w:space="0" w:color="auto"/>
        <w:left w:val="none" w:sz="0" w:space="0" w:color="auto"/>
        <w:bottom w:val="none" w:sz="0" w:space="0" w:color="auto"/>
        <w:right w:val="none" w:sz="0" w:space="0" w:color="auto"/>
      </w:divBdr>
    </w:div>
    <w:div w:id="1013916588">
      <w:bodyDiv w:val="1"/>
      <w:marLeft w:val="0"/>
      <w:marRight w:val="0"/>
      <w:marTop w:val="0"/>
      <w:marBottom w:val="0"/>
      <w:divBdr>
        <w:top w:val="none" w:sz="0" w:space="0" w:color="auto"/>
        <w:left w:val="none" w:sz="0" w:space="0" w:color="auto"/>
        <w:bottom w:val="none" w:sz="0" w:space="0" w:color="auto"/>
        <w:right w:val="none" w:sz="0" w:space="0" w:color="auto"/>
      </w:divBdr>
    </w:div>
    <w:div w:id="1083529276">
      <w:bodyDiv w:val="1"/>
      <w:marLeft w:val="0"/>
      <w:marRight w:val="0"/>
      <w:marTop w:val="0"/>
      <w:marBottom w:val="0"/>
      <w:divBdr>
        <w:top w:val="none" w:sz="0" w:space="0" w:color="auto"/>
        <w:left w:val="none" w:sz="0" w:space="0" w:color="auto"/>
        <w:bottom w:val="none" w:sz="0" w:space="0" w:color="auto"/>
        <w:right w:val="none" w:sz="0" w:space="0" w:color="auto"/>
      </w:divBdr>
    </w:div>
    <w:div w:id="1088621293">
      <w:bodyDiv w:val="1"/>
      <w:marLeft w:val="0"/>
      <w:marRight w:val="0"/>
      <w:marTop w:val="0"/>
      <w:marBottom w:val="0"/>
      <w:divBdr>
        <w:top w:val="none" w:sz="0" w:space="0" w:color="auto"/>
        <w:left w:val="none" w:sz="0" w:space="0" w:color="auto"/>
        <w:bottom w:val="none" w:sz="0" w:space="0" w:color="auto"/>
        <w:right w:val="none" w:sz="0" w:space="0" w:color="auto"/>
      </w:divBdr>
    </w:div>
    <w:div w:id="1092511257">
      <w:bodyDiv w:val="1"/>
      <w:marLeft w:val="0"/>
      <w:marRight w:val="0"/>
      <w:marTop w:val="0"/>
      <w:marBottom w:val="0"/>
      <w:divBdr>
        <w:top w:val="none" w:sz="0" w:space="0" w:color="auto"/>
        <w:left w:val="none" w:sz="0" w:space="0" w:color="auto"/>
        <w:bottom w:val="none" w:sz="0" w:space="0" w:color="auto"/>
        <w:right w:val="none" w:sz="0" w:space="0" w:color="auto"/>
      </w:divBdr>
      <w:divsChild>
        <w:div w:id="469860309">
          <w:marLeft w:val="0"/>
          <w:marRight w:val="0"/>
          <w:marTop w:val="120"/>
          <w:marBottom w:val="120"/>
          <w:divBdr>
            <w:top w:val="none" w:sz="0" w:space="0" w:color="auto"/>
            <w:left w:val="none" w:sz="0" w:space="0" w:color="auto"/>
            <w:bottom w:val="none" w:sz="0" w:space="0" w:color="auto"/>
            <w:right w:val="none" w:sz="0" w:space="0" w:color="auto"/>
          </w:divBdr>
          <w:divsChild>
            <w:div w:id="1387609365">
              <w:marLeft w:val="0"/>
              <w:marRight w:val="0"/>
              <w:marTop w:val="0"/>
              <w:marBottom w:val="0"/>
              <w:divBdr>
                <w:top w:val="none" w:sz="0" w:space="0" w:color="auto"/>
                <w:left w:val="none" w:sz="0" w:space="0" w:color="auto"/>
                <w:bottom w:val="none" w:sz="0" w:space="0" w:color="auto"/>
                <w:right w:val="none" w:sz="0" w:space="0" w:color="auto"/>
              </w:divBdr>
              <w:divsChild>
                <w:div w:id="1993409972">
                  <w:marLeft w:val="0"/>
                  <w:marRight w:val="0"/>
                  <w:marTop w:val="240"/>
                  <w:marBottom w:val="240"/>
                  <w:divBdr>
                    <w:top w:val="none" w:sz="0" w:space="0" w:color="auto"/>
                    <w:left w:val="none" w:sz="0" w:space="0" w:color="auto"/>
                    <w:bottom w:val="none" w:sz="0" w:space="0" w:color="auto"/>
                    <w:right w:val="none" w:sz="0" w:space="0" w:color="auto"/>
                  </w:divBdr>
                </w:div>
              </w:divsChild>
            </w:div>
            <w:div w:id="1582789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5318608">
      <w:bodyDiv w:val="1"/>
      <w:marLeft w:val="0"/>
      <w:marRight w:val="0"/>
      <w:marTop w:val="0"/>
      <w:marBottom w:val="0"/>
      <w:divBdr>
        <w:top w:val="none" w:sz="0" w:space="0" w:color="auto"/>
        <w:left w:val="none" w:sz="0" w:space="0" w:color="auto"/>
        <w:bottom w:val="none" w:sz="0" w:space="0" w:color="auto"/>
        <w:right w:val="none" w:sz="0" w:space="0" w:color="auto"/>
      </w:divBdr>
    </w:div>
    <w:div w:id="1097169257">
      <w:bodyDiv w:val="1"/>
      <w:marLeft w:val="0"/>
      <w:marRight w:val="0"/>
      <w:marTop w:val="0"/>
      <w:marBottom w:val="0"/>
      <w:divBdr>
        <w:top w:val="none" w:sz="0" w:space="0" w:color="auto"/>
        <w:left w:val="none" w:sz="0" w:space="0" w:color="auto"/>
        <w:bottom w:val="none" w:sz="0" w:space="0" w:color="auto"/>
        <w:right w:val="none" w:sz="0" w:space="0" w:color="auto"/>
      </w:divBdr>
      <w:divsChild>
        <w:div w:id="626668312">
          <w:marLeft w:val="0"/>
          <w:marRight w:val="0"/>
          <w:marTop w:val="0"/>
          <w:marBottom w:val="0"/>
          <w:divBdr>
            <w:top w:val="none" w:sz="0" w:space="0" w:color="auto"/>
            <w:left w:val="none" w:sz="0" w:space="0" w:color="auto"/>
            <w:bottom w:val="none" w:sz="0" w:space="0" w:color="auto"/>
            <w:right w:val="none" w:sz="0" w:space="0" w:color="auto"/>
          </w:divBdr>
          <w:divsChild>
            <w:div w:id="1423837012">
              <w:marLeft w:val="0"/>
              <w:marRight w:val="0"/>
              <w:marTop w:val="0"/>
              <w:marBottom w:val="0"/>
              <w:divBdr>
                <w:top w:val="none" w:sz="0" w:space="0" w:color="auto"/>
                <w:left w:val="none" w:sz="0" w:space="0" w:color="auto"/>
                <w:bottom w:val="none" w:sz="0" w:space="0" w:color="auto"/>
                <w:right w:val="none" w:sz="0" w:space="0" w:color="auto"/>
              </w:divBdr>
              <w:divsChild>
                <w:div w:id="923152479">
                  <w:marLeft w:val="0"/>
                  <w:marRight w:val="0"/>
                  <w:marTop w:val="0"/>
                  <w:marBottom w:val="0"/>
                  <w:divBdr>
                    <w:top w:val="none" w:sz="0" w:space="0" w:color="auto"/>
                    <w:left w:val="none" w:sz="0" w:space="0" w:color="auto"/>
                    <w:bottom w:val="none" w:sz="0" w:space="0" w:color="auto"/>
                    <w:right w:val="none" w:sz="0" w:space="0" w:color="auto"/>
                  </w:divBdr>
                  <w:divsChild>
                    <w:div w:id="380330236">
                      <w:marLeft w:val="0"/>
                      <w:marRight w:val="0"/>
                      <w:marTop w:val="0"/>
                      <w:marBottom w:val="0"/>
                      <w:divBdr>
                        <w:top w:val="none" w:sz="0" w:space="0" w:color="auto"/>
                        <w:left w:val="none" w:sz="0" w:space="0" w:color="auto"/>
                        <w:bottom w:val="none" w:sz="0" w:space="0" w:color="auto"/>
                        <w:right w:val="none" w:sz="0" w:space="0" w:color="auto"/>
                      </w:divBdr>
                      <w:divsChild>
                        <w:div w:id="1842773105">
                          <w:marLeft w:val="0"/>
                          <w:marRight w:val="0"/>
                          <w:marTop w:val="0"/>
                          <w:marBottom w:val="0"/>
                          <w:divBdr>
                            <w:top w:val="none" w:sz="0" w:space="0" w:color="auto"/>
                            <w:left w:val="none" w:sz="0" w:space="0" w:color="auto"/>
                            <w:bottom w:val="none" w:sz="0" w:space="0" w:color="auto"/>
                            <w:right w:val="none" w:sz="0" w:space="0" w:color="auto"/>
                          </w:divBdr>
                          <w:divsChild>
                            <w:div w:id="1719814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8045530">
      <w:bodyDiv w:val="1"/>
      <w:marLeft w:val="0"/>
      <w:marRight w:val="0"/>
      <w:marTop w:val="0"/>
      <w:marBottom w:val="0"/>
      <w:divBdr>
        <w:top w:val="none" w:sz="0" w:space="0" w:color="auto"/>
        <w:left w:val="none" w:sz="0" w:space="0" w:color="auto"/>
        <w:bottom w:val="none" w:sz="0" w:space="0" w:color="auto"/>
        <w:right w:val="none" w:sz="0" w:space="0" w:color="auto"/>
      </w:divBdr>
    </w:div>
    <w:div w:id="1116367852">
      <w:bodyDiv w:val="1"/>
      <w:marLeft w:val="0"/>
      <w:marRight w:val="0"/>
      <w:marTop w:val="0"/>
      <w:marBottom w:val="0"/>
      <w:divBdr>
        <w:top w:val="none" w:sz="0" w:space="0" w:color="auto"/>
        <w:left w:val="none" w:sz="0" w:space="0" w:color="auto"/>
        <w:bottom w:val="none" w:sz="0" w:space="0" w:color="auto"/>
        <w:right w:val="none" w:sz="0" w:space="0" w:color="auto"/>
      </w:divBdr>
    </w:div>
    <w:div w:id="1123379061">
      <w:bodyDiv w:val="1"/>
      <w:marLeft w:val="0"/>
      <w:marRight w:val="0"/>
      <w:marTop w:val="0"/>
      <w:marBottom w:val="0"/>
      <w:divBdr>
        <w:top w:val="none" w:sz="0" w:space="0" w:color="auto"/>
        <w:left w:val="none" w:sz="0" w:space="0" w:color="auto"/>
        <w:bottom w:val="none" w:sz="0" w:space="0" w:color="auto"/>
        <w:right w:val="none" w:sz="0" w:space="0" w:color="auto"/>
      </w:divBdr>
    </w:div>
    <w:div w:id="1155334654">
      <w:bodyDiv w:val="1"/>
      <w:marLeft w:val="0"/>
      <w:marRight w:val="0"/>
      <w:marTop w:val="0"/>
      <w:marBottom w:val="0"/>
      <w:divBdr>
        <w:top w:val="none" w:sz="0" w:space="0" w:color="auto"/>
        <w:left w:val="none" w:sz="0" w:space="0" w:color="auto"/>
        <w:bottom w:val="none" w:sz="0" w:space="0" w:color="auto"/>
        <w:right w:val="none" w:sz="0" w:space="0" w:color="auto"/>
      </w:divBdr>
    </w:div>
    <w:div w:id="1163740222">
      <w:marLeft w:val="0"/>
      <w:marRight w:val="0"/>
      <w:marTop w:val="0"/>
      <w:marBottom w:val="0"/>
      <w:divBdr>
        <w:top w:val="none" w:sz="0" w:space="0" w:color="auto"/>
        <w:left w:val="none" w:sz="0" w:space="0" w:color="auto"/>
        <w:bottom w:val="none" w:sz="0" w:space="0" w:color="auto"/>
        <w:right w:val="none" w:sz="0" w:space="0" w:color="auto"/>
      </w:divBdr>
    </w:div>
    <w:div w:id="1163740223">
      <w:marLeft w:val="0"/>
      <w:marRight w:val="0"/>
      <w:marTop w:val="0"/>
      <w:marBottom w:val="0"/>
      <w:divBdr>
        <w:top w:val="none" w:sz="0" w:space="0" w:color="auto"/>
        <w:left w:val="none" w:sz="0" w:space="0" w:color="auto"/>
        <w:bottom w:val="none" w:sz="0" w:space="0" w:color="auto"/>
        <w:right w:val="none" w:sz="0" w:space="0" w:color="auto"/>
      </w:divBdr>
    </w:div>
    <w:div w:id="1163740224">
      <w:marLeft w:val="0"/>
      <w:marRight w:val="0"/>
      <w:marTop w:val="0"/>
      <w:marBottom w:val="0"/>
      <w:divBdr>
        <w:top w:val="none" w:sz="0" w:space="0" w:color="auto"/>
        <w:left w:val="none" w:sz="0" w:space="0" w:color="auto"/>
        <w:bottom w:val="none" w:sz="0" w:space="0" w:color="auto"/>
        <w:right w:val="none" w:sz="0" w:space="0" w:color="auto"/>
      </w:divBdr>
    </w:div>
    <w:div w:id="1163740225">
      <w:marLeft w:val="0"/>
      <w:marRight w:val="0"/>
      <w:marTop w:val="0"/>
      <w:marBottom w:val="0"/>
      <w:divBdr>
        <w:top w:val="none" w:sz="0" w:space="0" w:color="auto"/>
        <w:left w:val="none" w:sz="0" w:space="0" w:color="auto"/>
        <w:bottom w:val="none" w:sz="0" w:space="0" w:color="auto"/>
        <w:right w:val="none" w:sz="0" w:space="0" w:color="auto"/>
      </w:divBdr>
    </w:div>
    <w:div w:id="1163740226">
      <w:marLeft w:val="0"/>
      <w:marRight w:val="0"/>
      <w:marTop w:val="0"/>
      <w:marBottom w:val="0"/>
      <w:divBdr>
        <w:top w:val="none" w:sz="0" w:space="0" w:color="auto"/>
        <w:left w:val="none" w:sz="0" w:space="0" w:color="auto"/>
        <w:bottom w:val="none" w:sz="0" w:space="0" w:color="auto"/>
        <w:right w:val="none" w:sz="0" w:space="0" w:color="auto"/>
      </w:divBdr>
    </w:div>
    <w:div w:id="1163740227">
      <w:marLeft w:val="0"/>
      <w:marRight w:val="0"/>
      <w:marTop w:val="0"/>
      <w:marBottom w:val="0"/>
      <w:divBdr>
        <w:top w:val="none" w:sz="0" w:space="0" w:color="auto"/>
        <w:left w:val="none" w:sz="0" w:space="0" w:color="auto"/>
        <w:bottom w:val="none" w:sz="0" w:space="0" w:color="auto"/>
        <w:right w:val="none" w:sz="0" w:space="0" w:color="auto"/>
      </w:divBdr>
    </w:div>
    <w:div w:id="1163740228">
      <w:marLeft w:val="0"/>
      <w:marRight w:val="0"/>
      <w:marTop w:val="0"/>
      <w:marBottom w:val="0"/>
      <w:divBdr>
        <w:top w:val="none" w:sz="0" w:space="0" w:color="auto"/>
        <w:left w:val="none" w:sz="0" w:space="0" w:color="auto"/>
        <w:bottom w:val="none" w:sz="0" w:space="0" w:color="auto"/>
        <w:right w:val="none" w:sz="0" w:space="0" w:color="auto"/>
      </w:divBdr>
    </w:div>
    <w:div w:id="1163740229">
      <w:marLeft w:val="0"/>
      <w:marRight w:val="0"/>
      <w:marTop w:val="0"/>
      <w:marBottom w:val="0"/>
      <w:divBdr>
        <w:top w:val="none" w:sz="0" w:space="0" w:color="auto"/>
        <w:left w:val="none" w:sz="0" w:space="0" w:color="auto"/>
        <w:bottom w:val="none" w:sz="0" w:space="0" w:color="auto"/>
        <w:right w:val="none" w:sz="0" w:space="0" w:color="auto"/>
      </w:divBdr>
    </w:div>
    <w:div w:id="1163740230">
      <w:marLeft w:val="0"/>
      <w:marRight w:val="0"/>
      <w:marTop w:val="0"/>
      <w:marBottom w:val="0"/>
      <w:divBdr>
        <w:top w:val="none" w:sz="0" w:space="0" w:color="auto"/>
        <w:left w:val="none" w:sz="0" w:space="0" w:color="auto"/>
        <w:bottom w:val="none" w:sz="0" w:space="0" w:color="auto"/>
        <w:right w:val="none" w:sz="0" w:space="0" w:color="auto"/>
      </w:divBdr>
    </w:div>
    <w:div w:id="1163740231">
      <w:marLeft w:val="0"/>
      <w:marRight w:val="0"/>
      <w:marTop w:val="0"/>
      <w:marBottom w:val="0"/>
      <w:divBdr>
        <w:top w:val="none" w:sz="0" w:space="0" w:color="auto"/>
        <w:left w:val="none" w:sz="0" w:space="0" w:color="auto"/>
        <w:bottom w:val="none" w:sz="0" w:space="0" w:color="auto"/>
        <w:right w:val="none" w:sz="0" w:space="0" w:color="auto"/>
      </w:divBdr>
    </w:div>
    <w:div w:id="1163740232">
      <w:marLeft w:val="0"/>
      <w:marRight w:val="0"/>
      <w:marTop w:val="0"/>
      <w:marBottom w:val="0"/>
      <w:divBdr>
        <w:top w:val="none" w:sz="0" w:space="0" w:color="auto"/>
        <w:left w:val="none" w:sz="0" w:space="0" w:color="auto"/>
        <w:bottom w:val="none" w:sz="0" w:space="0" w:color="auto"/>
        <w:right w:val="none" w:sz="0" w:space="0" w:color="auto"/>
      </w:divBdr>
    </w:div>
    <w:div w:id="1163740233">
      <w:marLeft w:val="0"/>
      <w:marRight w:val="0"/>
      <w:marTop w:val="0"/>
      <w:marBottom w:val="0"/>
      <w:divBdr>
        <w:top w:val="none" w:sz="0" w:space="0" w:color="auto"/>
        <w:left w:val="none" w:sz="0" w:space="0" w:color="auto"/>
        <w:bottom w:val="none" w:sz="0" w:space="0" w:color="auto"/>
        <w:right w:val="none" w:sz="0" w:space="0" w:color="auto"/>
      </w:divBdr>
    </w:div>
    <w:div w:id="1163740234">
      <w:marLeft w:val="0"/>
      <w:marRight w:val="0"/>
      <w:marTop w:val="0"/>
      <w:marBottom w:val="0"/>
      <w:divBdr>
        <w:top w:val="none" w:sz="0" w:space="0" w:color="auto"/>
        <w:left w:val="none" w:sz="0" w:space="0" w:color="auto"/>
        <w:bottom w:val="none" w:sz="0" w:space="0" w:color="auto"/>
        <w:right w:val="none" w:sz="0" w:space="0" w:color="auto"/>
      </w:divBdr>
    </w:div>
    <w:div w:id="1163740235">
      <w:marLeft w:val="0"/>
      <w:marRight w:val="0"/>
      <w:marTop w:val="0"/>
      <w:marBottom w:val="0"/>
      <w:divBdr>
        <w:top w:val="none" w:sz="0" w:space="0" w:color="auto"/>
        <w:left w:val="none" w:sz="0" w:space="0" w:color="auto"/>
        <w:bottom w:val="none" w:sz="0" w:space="0" w:color="auto"/>
        <w:right w:val="none" w:sz="0" w:space="0" w:color="auto"/>
      </w:divBdr>
    </w:div>
    <w:div w:id="1163740236">
      <w:marLeft w:val="0"/>
      <w:marRight w:val="0"/>
      <w:marTop w:val="0"/>
      <w:marBottom w:val="0"/>
      <w:divBdr>
        <w:top w:val="none" w:sz="0" w:space="0" w:color="auto"/>
        <w:left w:val="none" w:sz="0" w:space="0" w:color="auto"/>
        <w:bottom w:val="none" w:sz="0" w:space="0" w:color="auto"/>
        <w:right w:val="none" w:sz="0" w:space="0" w:color="auto"/>
      </w:divBdr>
    </w:div>
    <w:div w:id="1163740237">
      <w:marLeft w:val="0"/>
      <w:marRight w:val="0"/>
      <w:marTop w:val="0"/>
      <w:marBottom w:val="0"/>
      <w:divBdr>
        <w:top w:val="none" w:sz="0" w:space="0" w:color="auto"/>
        <w:left w:val="none" w:sz="0" w:space="0" w:color="auto"/>
        <w:bottom w:val="none" w:sz="0" w:space="0" w:color="auto"/>
        <w:right w:val="none" w:sz="0" w:space="0" w:color="auto"/>
      </w:divBdr>
    </w:div>
    <w:div w:id="1163740240">
      <w:marLeft w:val="0"/>
      <w:marRight w:val="0"/>
      <w:marTop w:val="0"/>
      <w:marBottom w:val="0"/>
      <w:divBdr>
        <w:top w:val="none" w:sz="0" w:space="0" w:color="auto"/>
        <w:left w:val="none" w:sz="0" w:space="0" w:color="auto"/>
        <w:bottom w:val="none" w:sz="0" w:space="0" w:color="auto"/>
        <w:right w:val="none" w:sz="0" w:space="0" w:color="auto"/>
      </w:divBdr>
    </w:div>
    <w:div w:id="1163740243">
      <w:marLeft w:val="0"/>
      <w:marRight w:val="0"/>
      <w:marTop w:val="0"/>
      <w:marBottom w:val="0"/>
      <w:divBdr>
        <w:top w:val="none" w:sz="0" w:space="0" w:color="auto"/>
        <w:left w:val="none" w:sz="0" w:space="0" w:color="auto"/>
        <w:bottom w:val="none" w:sz="0" w:space="0" w:color="auto"/>
        <w:right w:val="none" w:sz="0" w:space="0" w:color="auto"/>
      </w:divBdr>
    </w:div>
    <w:div w:id="1163740244">
      <w:marLeft w:val="0"/>
      <w:marRight w:val="0"/>
      <w:marTop w:val="0"/>
      <w:marBottom w:val="0"/>
      <w:divBdr>
        <w:top w:val="none" w:sz="0" w:space="0" w:color="auto"/>
        <w:left w:val="none" w:sz="0" w:space="0" w:color="auto"/>
        <w:bottom w:val="none" w:sz="0" w:space="0" w:color="auto"/>
        <w:right w:val="none" w:sz="0" w:space="0" w:color="auto"/>
      </w:divBdr>
      <w:divsChild>
        <w:div w:id="1163740268">
          <w:marLeft w:val="0"/>
          <w:marRight w:val="0"/>
          <w:marTop w:val="0"/>
          <w:marBottom w:val="0"/>
          <w:divBdr>
            <w:top w:val="none" w:sz="0" w:space="0" w:color="auto"/>
            <w:left w:val="none" w:sz="0" w:space="0" w:color="auto"/>
            <w:bottom w:val="none" w:sz="0" w:space="0" w:color="auto"/>
            <w:right w:val="none" w:sz="0" w:space="0" w:color="auto"/>
          </w:divBdr>
          <w:divsChild>
            <w:div w:id="1163740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245">
      <w:marLeft w:val="0"/>
      <w:marRight w:val="0"/>
      <w:marTop w:val="0"/>
      <w:marBottom w:val="0"/>
      <w:divBdr>
        <w:top w:val="none" w:sz="0" w:space="0" w:color="auto"/>
        <w:left w:val="none" w:sz="0" w:space="0" w:color="auto"/>
        <w:bottom w:val="none" w:sz="0" w:space="0" w:color="auto"/>
        <w:right w:val="none" w:sz="0" w:space="0" w:color="auto"/>
      </w:divBdr>
      <w:divsChild>
        <w:div w:id="1163740256">
          <w:marLeft w:val="0"/>
          <w:marRight w:val="0"/>
          <w:marTop w:val="0"/>
          <w:marBottom w:val="0"/>
          <w:divBdr>
            <w:top w:val="none" w:sz="0" w:space="0" w:color="auto"/>
            <w:left w:val="none" w:sz="0" w:space="0" w:color="auto"/>
            <w:bottom w:val="none" w:sz="0" w:space="0" w:color="auto"/>
            <w:right w:val="none" w:sz="0" w:space="0" w:color="auto"/>
          </w:divBdr>
          <w:divsChild>
            <w:div w:id="1163740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246">
      <w:marLeft w:val="0"/>
      <w:marRight w:val="0"/>
      <w:marTop w:val="0"/>
      <w:marBottom w:val="0"/>
      <w:divBdr>
        <w:top w:val="none" w:sz="0" w:space="0" w:color="auto"/>
        <w:left w:val="none" w:sz="0" w:space="0" w:color="auto"/>
        <w:bottom w:val="none" w:sz="0" w:space="0" w:color="auto"/>
        <w:right w:val="none" w:sz="0" w:space="0" w:color="auto"/>
      </w:divBdr>
    </w:div>
    <w:div w:id="1163740247">
      <w:marLeft w:val="0"/>
      <w:marRight w:val="0"/>
      <w:marTop w:val="0"/>
      <w:marBottom w:val="0"/>
      <w:divBdr>
        <w:top w:val="none" w:sz="0" w:space="0" w:color="auto"/>
        <w:left w:val="none" w:sz="0" w:space="0" w:color="auto"/>
        <w:bottom w:val="none" w:sz="0" w:space="0" w:color="auto"/>
        <w:right w:val="none" w:sz="0" w:space="0" w:color="auto"/>
      </w:divBdr>
    </w:div>
    <w:div w:id="1163740248">
      <w:marLeft w:val="0"/>
      <w:marRight w:val="0"/>
      <w:marTop w:val="0"/>
      <w:marBottom w:val="0"/>
      <w:divBdr>
        <w:top w:val="none" w:sz="0" w:space="0" w:color="auto"/>
        <w:left w:val="none" w:sz="0" w:space="0" w:color="auto"/>
        <w:bottom w:val="none" w:sz="0" w:space="0" w:color="auto"/>
        <w:right w:val="none" w:sz="0" w:space="0" w:color="auto"/>
      </w:divBdr>
    </w:div>
    <w:div w:id="1163740249">
      <w:marLeft w:val="0"/>
      <w:marRight w:val="0"/>
      <w:marTop w:val="0"/>
      <w:marBottom w:val="0"/>
      <w:divBdr>
        <w:top w:val="none" w:sz="0" w:space="0" w:color="auto"/>
        <w:left w:val="none" w:sz="0" w:space="0" w:color="auto"/>
        <w:bottom w:val="none" w:sz="0" w:space="0" w:color="auto"/>
        <w:right w:val="none" w:sz="0" w:space="0" w:color="auto"/>
      </w:divBdr>
      <w:divsChild>
        <w:div w:id="1163740238">
          <w:marLeft w:val="547"/>
          <w:marRight w:val="0"/>
          <w:marTop w:val="115"/>
          <w:marBottom w:val="0"/>
          <w:divBdr>
            <w:top w:val="none" w:sz="0" w:space="0" w:color="auto"/>
            <w:left w:val="none" w:sz="0" w:space="0" w:color="auto"/>
            <w:bottom w:val="none" w:sz="0" w:space="0" w:color="auto"/>
            <w:right w:val="none" w:sz="0" w:space="0" w:color="auto"/>
          </w:divBdr>
        </w:div>
      </w:divsChild>
    </w:div>
    <w:div w:id="1163740251">
      <w:marLeft w:val="0"/>
      <w:marRight w:val="0"/>
      <w:marTop w:val="0"/>
      <w:marBottom w:val="0"/>
      <w:divBdr>
        <w:top w:val="none" w:sz="0" w:space="0" w:color="auto"/>
        <w:left w:val="none" w:sz="0" w:space="0" w:color="auto"/>
        <w:bottom w:val="none" w:sz="0" w:space="0" w:color="auto"/>
        <w:right w:val="none" w:sz="0" w:space="0" w:color="auto"/>
      </w:divBdr>
    </w:div>
    <w:div w:id="1163740252">
      <w:marLeft w:val="0"/>
      <w:marRight w:val="0"/>
      <w:marTop w:val="0"/>
      <w:marBottom w:val="0"/>
      <w:divBdr>
        <w:top w:val="none" w:sz="0" w:space="0" w:color="auto"/>
        <w:left w:val="none" w:sz="0" w:space="0" w:color="auto"/>
        <w:bottom w:val="none" w:sz="0" w:space="0" w:color="auto"/>
        <w:right w:val="none" w:sz="0" w:space="0" w:color="auto"/>
      </w:divBdr>
    </w:div>
    <w:div w:id="1163740253">
      <w:marLeft w:val="0"/>
      <w:marRight w:val="0"/>
      <w:marTop w:val="0"/>
      <w:marBottom w:val="0"/>
      <w:divBdr>
        <w:top w:val="none" w:sz="0" w:space="0" w:color="auto"/>
        <w:left w:val="none" w:sz="0" w:space="0" w:color="auto"/>
        <w:bottom w:val="none" w:sz="0" w:space="0" w:color="auto"/>
        <w:right w:val="none" w:sz="0" w:space="0" w:color="auto"/>
      </w:divBdr>
      <w:divsChild>
        <w:div w:id="1163740254">
          <w:marLeft w:val="0"/>
          <w:marRight w:val="0"/>
          <w:marTop w:val="0"/>
          <w:marBottom w:val="0"/>
          <w:divBdr>
            <w:top w:val="none" w:sz="0" w:space="0" w:color="auto"/>
            <w:left w:val="none" w:sz="0" w:space="0" w:color="auto"/>
            <w:bottom w:val="none" w:sz="0" w:space="0" w:color="auto"/>
            <w:right w:val="none" w:sz="0" w:space="0" w:color="auto"/>
          </w:divBdr>
          <w:divsChild>
            <w:div w:id="1163740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255">
      <w:marLeft w:val="0"/>
      <w:marRight w:val="0"/>
      <w:marTop w:val="0"/>
      <w:marBottom w:val="0"/>
      <w:divBdr>
        <w:top w:val="none" w:sz="0" w:space="0" w:color="auto"/>
        <w:left w:val="none" w:sz="0" w:space="0" w:color="auto"/>
        <w:bottom w:val="none" w:sz="0" w:space="0" w:color="auto"/>
        <w:right w:val="none" w:sz="0" w:space="0" w:color="auto"/>
      </w:divBdr>
      <w:divsChild>
        <w:div w:id="1163740239">
          <w:marLeft w:val="0"/>
          <w:marRight w:val="0"/>
          <w:marTop w:val="0"/>
          <w:marBottom w:val="0"/>
          <w:divBdr>
            <w:top w:val="none" w:sz="0" w:space="0" w:color="auto"/>
            <w:left w:val="none" w:sz="0" w:space="0" w:color="auto"/>
            <w:bottom w:val="none" w:sz="0" w:space="0" w:color="auto"/>
            <w:right w:val="none" w:sz="0" w:space="0" w:color="auto"/>
          </w:divBdr>
          <w:divsChild>
            <w:div w:id="1163740241">
              <w:marLeft w:val="0"/>
              <w:marRight w:val="0"/>
              <w:marTop w:val="0"/>
              <w:marBottom w:val="0"/>
              <w:divBdr>
                <w:top w:val="none" w:sz="0" w:space="0" w:color="auto"/>
                <w:left w:val="none" w:sz="0" w:space="0" w:color="auto"/>
                <w:bottom w:val="none" w:sz="0" w:space="0" w:color="auto"/>
                <w:right w:val="none" w:sz="0" w:space="0" w:color="auto"/>
              </w:divBdr>
            </w:div>
            <w:div w:id="1163740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257">
      <w:marLeft w:val="0"/>
      <w:marRight w:val="0"/>
      <w:marTop w:val="0"/>
      <w:marBottom w:val="0"/>
      <w:divBdr>
        <w:top w:val="none" w:sz="0" w:space="0" w:color="auto"/>
        <w:left w:val="none" w:sz="0" w:space="0" w:color="auto"/>
        <w:bottom w:val="none" w:sz="0" w:space="0" w:color="auto"/>
        <w:right w:val="none" w:sz="0" w:space="0" w:color="auto"/>
      </w:divBdr>
    </w:div>
    <w:div w:id="1163740260">
      <w:marLeft w:val="0"/>
      <w:marRight w:val="0"/>
      <w:marTop w:val="0"/>
      <w:marBottom w:val="0"/>
      <w:divBdr>
        <w:top w:val="none" w:sz="0" w:space="0" w:color="auto"/>
        <w:left w:val="none" w:sz="0" w:space="0" w:color="auto"/>
        <w:bottom w:val="none" w:sz="0" w:space="0" w:color="auto"/>
        <w:right w:val="none" w:sz="0" w:space="0" w:color="auto"/>
      </w:divBdr>
    </w:div>
    <w:div w:id="1163740261">
      <w:marLeft w:val="0"/>
      <w:marRight w:val="0"/>
      <w:marTop w:val="0"/>
      <w:marBottom w:val="0"/>
      <w:divBdr>
        <w:top w:val="none" w:sz="0" w:space="0" w:color="auto"/>
        <w:left w:val="none" w:sz="0" w:space="0" w:color="auto"/>
        <w:bottom w:val="none" w:sz="0" w:space="0" w:color="auto"/>
        <w:right w:val="none" w:sz="0" w:space="0" w:color="auto"/>
      </w:divBdr>
      <w:divsChild>
        <w:div w:id="1163740265">
          <w:marLeft w:val="0"/>
          <w:marRight w:val="0"/>
          <w:marTop w:val="0"/>
          <w:marBottom w:val="0"/>
          <w:divBdr>
            <w:top w:val="none" w:sz="0" w:space="0" w:color="auto"/>
            <w:left w:val="none" w:sz="0" w:space="0" w:color="auto"/>
            <w:bottom w:val="none" w:sz="0" w:space="0" w:color="auto"/>
            <w:right w:val="none" w:sz="0" w:space="0" w:color="auto"/>
          </w:divBdr>
          <w:divsChild>
            <w:div w:id="1163740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264">
      <w:marLeft w:val="0"/>
      <w:marRight w:val="0"/>
      <w:marTop w:val="0"/>
      <w:marBottom w:val="0"/>
      <w:divBdr>
        <w:top w:val="none" w:sz="0" w:space="0" w:color="auto"/>
        <w:left w:val="none" w:sz="0" w:space="0" w:color="auto"/>
        <w:bottom w:val="none" w:sz="0" w:space="0" w:color="auto"/>
        <w:right w:val="none" w:sz="0" w:space="0" w:color="auto"/>
      </w:divBdr>
    </w:div>
    <w:div w:id="1163740266">
      <w:marLeft w:val="0"/>
      <w:marRight w:val="0"/>
      <w:marTop w:val="0"/>
      <w:marBottom w:val="0"/>
      <w:divBdr>
        <w:top w:val="none" w:sz="0" w:space="0" w:color="auto"/>
        <w:left w:val="none" w:sz="0" w:space="0" w:color="auto"/>
        <w:bottom w:val="none" w:sz="0" w:space="0" w:color="auto"/>
        <w:right w:val="none" w:sz="0" w:space="0" w:color="auto"/>
      </w:divBdr>
    </w:div>
    <w:div w:id="1163740267">
      <w:marLeft w:val="0"/>
      <w:marRight w:val="0"/>
      <w:marTop w:val="0"/>
      <w:marBottom w:val="0"/>
      <w:divBdr>
        <w:top w:val="none" w:sz="0" w:space="0" w:color="auto"/>
        <w:left w:val="none" w:sz="0" w:space="0" w:color="auto"/>
        <w:bottom w:val="none" w:sz="0" w:space="0" w:color="auto"/>
        <w:right w:val="none" w:sz="0" w:space="0" w:color="auto"/>
      </w:divBdr>
    </w:div>
    <w:div w:id="1163740269">
      <w:marLeft w:val="0"/>
      <w:marRight w:val="0"/>
      <w:marTop w:val="0"/>
      <w:marBottom w:val="0"/>
      <w:divBdr>
        <w:top w:val="none" w:sz="0" w:space="0" w:color="auto"/>
        <w:left w:val="none" w:sz="0" w:space="0" w:color="auto"/>
        <w:bottom w:val="none" w:sz="0" w:space="0" w:color="auto"/>
        <w:right w:val="none" w:sz="0" w:space="0" w:color="auto"/>
      </w:divBdr>
    </w:div>
    <w:div w:id="1163740270">
      <w:marLeft w:val="0"/>
      <w:marRight w:val="0"/>
      <w:marTop w:val="0"/>
      <w:marBottom w:val="0"/>
      <w:divBdr>
        <w:top w:val="none" w:sz="0" w:space="0" w:color="auto"/>
        <w:left w:val="none" w:sz="0" w:space="0" w:color="auto"/>
        <w:bottom w:val="none" w:sz="0" w:space="0" w:color="auto"/>
        <w:right w:val="none" w:sz="0" w:space="0" w:color="auto"/>
      </w:divBdr>
      <w:divsChild>
        <w:div w:id="1163740242">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1163740271">
      <w:marLeft w:val="0"/>
      <w:marRight w:val="0"/>
      <w:marTop w:val="0"/>
      <w:marBottom w:val="0"/>
      <w:divBdr>
        <w:top w:val="none" w:sz="0" w:space="0" w:color="auto"/>
        <w:left w:val="none" w:sz="0" w:space="0" w:color="auto"/>
        <w:bottom w:val="none" w:sz="0" w:space="0" w:color="auto"/>
        <w:right w:val="none" w:sz="0" w:space="0" w:color="auto"/>
      </w:divBdr>
    </w:div>
    <w:div w:id="1163740272">
      <w:marLeft w:val="0"/>
      <w:marRight w:val="0"/>
      <w:marTop w:val="0"/>
      <w:marBottom w:val="0"/>
      <w:divBdr>
        <w:top w:val="none" w:sz="0" w:space="0" w:color="auto"/>
        <w:left w:val="none" w:sz="0" w:space="0" w:color="auto"/>
        <w:bottom w:val="none" w:sz="0" w:space="0" w:color="auto"/>
        <w:right w:val="none" w:sz="0" w:space="0" w:color="auto"/>
      </w:divBdr>
    </w:div>
    <w:div w:id="1163740273">
      <w:marLeft w:val="0"/>
      <w:marRight w:val="0"/>
      <w:marTop w:val="0"/>
      <w:marBottom w:val="0"/>
      <w:divBdr>
        <w:top w:val="none" w:sz="0" w:space="0" w:color="auto"/>
        <w:left w:val="none" w:sz="0" w:space="0" w:color="auto"/>
        <w:bottom w:val="none" w:sz="0" w:space="0" w:color="auto"/>
        <w:right w:val="none" w:sz="0" w:space="0" w:color="auto"/>
      </w:divBdr>
    </w:div>
    <w:div w:id="1163740274">
      <w:marLeft w:val="0"/>
      <w:marRight w:val="0"/>
      <w:marTop w:val="0"/>
      <w:marBottom w:val="0"/>
      <w:divBdr>
        <w:top w:val="none" w:sz="0" w:space="0" w:color="auto"/>
        <w:left w:val="none" w:sz="0" w:space="0" w:color="auto"/>
        <w:bottom w:val="none" w:sz="0" w:space="0" w:color="auto"/>
        <w:right w:val="none" w:sz="0" w:space="0" w:color="auto"/>
      </w:divBdr>
    </w:div>
    <w:div w:id="1163740275">
      <w:marLeft w:val="0"/>
      <w:marRight w:val="0"/>
      <w:marTop w:val="0"/>
      <w:marBottom w:val="0"/>
      <w:divBdr>
        <w:top w:val="none" w:sz="0" w:space="0" w:color="auto"/>
        <w:left w:val="none" w:sz="0" w:space="0" w:color="auto"/>
        <w:bottom w:val="none" w:sz="0" w:space="0" w:color="auto"/>
        <w:right w:val="none" w:sz="0" w:space="0" w:color="auto"/>
      </w:divBdr>
    </w:div>
    <w:div w:id="1163740276">
      <w:marLeft w:val="0"/>
      <w:marRight w:val="0"/>
      <w:marTop w:val="0"/>
      <w:marBottom w:val="0"/>
      <w:divBdr>
        <w:top w:val="none" w:sz="0" w:space="0" w:color="auto"/>
        <w:left w:val="none" w:sz="0" w:space="0" w:color="auto"/>
        <w:bottom w:val="none" w:sz="0" w:space="0" w:color="auto"/>
        <w:right w:val="none" w:sz="0" w:space="0" w:color="auto"/>
      </w:divBdr>
    </w:div>
    <w:div w:id="1163740279">
      <w:marLeft w:val="0"/>
      <w:marRight w:val="0"/>
      <w:marTop w:val="0"/>
      <w:marBottom w:val="0"/>
      <w:divBdr>
        <w:top w:val="none" w:sz="0" w:space="0" w:color="auto"/>
        <w:left w:val="none" w:sz="0" w:space="0" w:color="auto"/>
        <w:bottom w:val="none" w:sz="0" w:space="0" w:color="auto"/>
        <w:right w:val="none" w:sz="0" w:space="0" w:color="auto"/>
      </w:divBdr>
    </w:div>
    <w:div w:id="1163740282">
      <w:marLeft w:val="0"/>
      <w:marRight w:val="0"/>
      <w:marTop w:val="0"/>
      <w:marBottom w:val="0"/>
      <w:divBdr>
        <w:top w:val="none" w:sz="0" w:space="0" w:color="auto"/>
        <w:left w:val="none" w:sz="0" w:space="0" w:color="auto"/>
        <w:bottom w:val="none" w:sz="0" w:space="0" w:color="auto"/>
        <w:right w:val="none" w:sz="0" w:space="0" w:color="auto"/>
      </w:divBdr>
    </w:div>
    <w:div w:id="1163740283">
      <w:marLeft w:val="0"/>
      <w:marRight w:val="0"/>
      <w:marTop w:val="0"/>
      <w:marBottom w:val="0"/>
      <w:divBdr>
        <w:top w:val="none" w:sz="0" w:space="0" w:color="auto"/>
        <w:left w:val="none" w:sz="0" w:space="0" w:color="auto"/>
        <w:bottom w:val="none" w:sz="0" w:space="0" w:color="auto"/>
        <w:right w:val="none" w:sz="0" w:space="0" w:color="auto"/>
      </w:divBdr>
      <w:divsChild>
        <w:div w:id="1163740307">
          <w:marLeft w:val="0"/>
          <w:marRight w:val="0"/>
          <w:marTop w:val="0"/>
          <w:marBottom w:val="0"/>
          <w:divBdr>
            <w:top w:val="none" w:sz="0" w:space="0" w:color="auto"/>
            <w:left w:val="none" w:sz="0" w:space="0" w:color="auto"/>
            <w:bottom w:val="none" w:sz="0" w:space="0" w:color="auto"/>
            <w:right w:val="none" w:sz="0" w:space="0" w:color="auto"/>
          </w:divBdr>
          <w:divsChild>
            <w:div w:id="1163740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284">
      <w:marLeft w:val="0"/>
      <w:marRight w:val="0"/>
      <w:marTop w:val="0"/>
      <w:marBottom w:val="0"/>
      <w:divBdr>
        <w:top w:val="none" w:sz="0" w:space="0" w:color="auto"/>
        <w:left w:val="none" w:sz="0" w:space="0" w:color="auto"/>
        <w:bottom w:val="none" w:sz="0" w:space="0" w:color="auto"/>
        <w:right w:val="none" w:sz="0" w:space="0" w:color="auto"/>
      </w:divBdr>
      <w:divsChild>
        <w:div w:id="1163740295">
          <w:marLeft w:val="0"/>
          <w:marRight w:val="0"/>
          <w:marTop w:val="0"/>
          <w:marBottom w:val="0"/>
          <w:divBdr>
            <w:top w:val="none" w:sz="0" w:space="0" w:color="auto"/>
            <w:left w:val="none" w:sz="0" w:space="0" w:color="auto"/>
            <w:bottom w:val="none" w:sz="0" w:space="0" w:color="auto"/>
            <w:right w:val="none" w:sz="0" w:space="0" w:color="auto"/>
          </w:divBdr>
          <w:divsChild>
            <w:div w:id="1163740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285">
      <w:marLeft w:val="0"/>
      <w:marRight w:val="0"/>
      <w:marTop w:val="0"/>
      <w:marBottom w:val="0"/>
      <w:divBdr>
        <w:top w:val="none" w:sz="0" w:space="0" w:color="auto"/>
        <w:left w:val="none" w:sz="0" w:space="0" w:color="auto"/>
        <w:bottom w:val="none" w:sz="0" w:space="0" w:color="auto"/>
        <w:right w:val="none" w:sz="0" w:space="0" w:color="auto"/>
      </w:divBdr>
    </w:div>
    <w:div w:id="1163740286">
      <w:marLeft w:val="0"/>
      <w:marRight w:val="0"/>
      <w:marTop w:val="0"/>
      <w:marBottom w:val="0"/>
      <w:divBdr>
        <w:top w:val="none" w:sz="0" w:space="0" w:color="auto"/>
        <w:left w:val="none" w:sz="0" w:space="0" w:color="auto"/>
        <w:bottom w:val="none" w:sz="0" w:space="0" w:color="auto"/>
        <w:right w:val="none" w:sz="0" w:space="0" w:color="auto"/>
      </w:divBdr>
    </w:div>
    <w:div w:id="1163740287">
      <w:marLeft w:val="0"/>
      <w:marRight w:val="0"/>
      <w:marTop w:val="0"/>
      <w:marBottom w:val="0"/>
      <w:divBdr>
        <w:top w:val="none" w:sz="0" w:space="0" w:color="auto"/>
        <w:left w:val="none" w:sz="0" w:space="0" w:color="auto"/>
        <w:bottom w:val="none" w:sz="0" w:space="0" w:color="auto"/>
        <w:right w:val="none" w:sz="0" w:space="0" w:color="auto"/>
      </w:divBdr>
    </w:div>
    <w:div w:id="1163740288">
      <w:marLeft w:val="0"/>
      <w:marRight w:val="0"/>
      <w:marTop w:val="0"/>
      <w:marBottom w:val="0"/>
      <w:divBdr>
        <w:top w:val="none" w:sz="0" w:space="0" w:color="auto"/>
        <w:left w:val="none" w:sz="0" w:space="0" w:color="auto"/>
        <w:bottom w:val="none" w:sz="0" w:space="0" w:color="auto"/>
        <w:right w:val="none" w:sz="0" w:space="0" w:color="auto"/>
      </w:divBdr>
      <w:divsChild>
        <w:div w:id="1163740277">
          <w:marLeft w:val="547"/>
          <w:marRight w:val="0"/>
          <w:marTop w:val="115"/>
          <w:marBottom w:val="0"/>
          <w:divBdr>
            <w:top w:val="none" w:sz="0" w:space="0" w:color="auto"/>
            <w:left w:val="none" w:sz="0" w:space="0" w:color="auto"/>
            <w:bottom w:val="none" w:sz="0" w:space="0" w:color="auto"/>
            <w:right w:val="none" w:sz="0" w:space="0" w:color="auto"/>
          </w:divBdr>
        </w:div>
      </w:divsChild>
    </w:div>
    <w:div w:id="1163740290">
      <w:marLeft w:val="0"/>
      <w:marRight w:val="0"/>
      <w:marTop w:val="0"/>
      <w:marBottom w:val="0"/>
      <w:divBdr>
        <w:top w:val="none" w:sz="0" w:space="0" w:color="auto"/>
        <w:left w:val="none" w:sz="0" w:space="0" w:color="auto"/>
        <w:bottom w:val="none" w:sz="0" w:space="0" w:color="auto"/>
        <w:right w:val="none" w:sz="0" w:space="0" w:color="auto"/>
      </w:divBdr>
    </w:div>
    <w:div w:id="1163740291">
      <w:marLeft w:val="0"/>
      <w:marRight w:val="0"/>
      <w:marTop w:val="0"/>
      <w:marBottom w:val="0"/>
      <w:divBdr>
        <w:top w:val="none" w:sz="0" w:space="0" w:color="auto"/>
        <w:left w:val="none" w:sz="0" w:space="0" w:color="auto"/>
        <w:bottom w:val="none" w:sz="0" w:space="0" w:color="auto"/>
        <w:right w:val="none" w:sz="0" w:space="0" w:color="auto"/>
      </w:divBdr>
    </w:div>
    <w:div w:id="1163740292">
      <w:marLeft w:val="0"/>
      <w:marRight w:val="0"/>
      <w:marTop w:val="0"/>
      <w:marBottom w:val="0"/>
      <w:divBdr>
        <w:top w:val="none" w:sz="0" w:space="0" w:color="auto"/>
        <w:left w:val="none" w:sz="0" w:space="0" w:color="auto"/>
        <w:bottom w:val="none" w:sz="0" w:space="0" w:color="auto"/>
        <w:right w:val="none" w:sz="0" w:space="0" w:color="auto"/>
      </w:divBdr>
      <w:divsChild>
        <w:div w:id="1163740293">
          <w:marLeft w:val="0"/>
          <w:marRight w:val="0"/>
          <w:marTop w:val="0"/>
          <w:marBottom w:val="0"/>
          <w:divBdr>
            <w:top w:val="none" w:sz="0" w:space="0" w:color="auto"/>
            <w:left w:val="none" w:sz="0" w:space="0" w:color="auto"/>
            <w:bottom w:val="none" w:sz="0" w:space="0" w:color="auto"/>
            <w:right w:val="none" w:sz="0" w:space="0" w:color="auto"/>
          </w:divBdr>
          <w:divsChild>
            <w:div w:id="1163740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294">
      <w:marLeft w:val="0"/>
      <w:marRight w:val="0"/>
      <w:marTop w:val="0"/>
      <w:marBottom w:val="0"/>
      <w:divBdr>
        <w:top w:val="none" w:sz="0" w:space="0" w:color="auto"/>
        <w:left w:val="none" w:sz="0" w:space="0" w:color="auto"/>
        <w:bottom w:val="none" w:sz="0" w:space="0" w:color="auto"/>
        <w:right w:val="none" w:sz="0" w:space="0" w:color="auto"/>
      </w:divBdr>
      <w:divsChild>
        <w:div w:id="1163740278">
          <w:marLeft w:val="0"/>
          <w:marRight w:val="0"/>
          <w:marTop w:val="0"/>
          <w:marBottom w:val="0"/>
          <w:divBdr>
            <w:top w:val="none" w:sz="0" w:space="0" w:color="auto"/>
            <w:left w:val="none" w:sz="0" w:space="0" w:color="auto"/>
            <w:bottom w:val="none" w:sz="0" w:space="0" w:color="auto"/>
            <w:right w:val="none" w:sz="0" w:space="0" w:color="auto"/>
          </w:divBdr>
          <w:divsChild>
            <w:div w:id="1163740280">
              <w:marLeft w:val="0"/>
              <w:marRight w:val="0"/>
              <w:marTop w:val="0"/>
              <w:marBottom w:val="0"/>
              <w:divBdr>
                <w:top w:val="none" w:sz="0" w:space="0" w:color="auto"/>
                <w:left w:val="none" w:sz="0" w:space="0" w:color="auto"/>
                <w:bottom w:val="none" w:sz="0" w:space="0" w:color="auto"/>
                <w:right w:val="none" w:sz="0" w:space="0" w:color="auto"/>
              </w:divBdr>
            </w:div>
            <w:div w:id="1163740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296">
      <w:marLeft w:val="0"/>
      <w:marRight w:val="0"/>
      <w:marTop w:val="0"/>
      <w:marBottom w:val="0"/>
      <w:divBdr>
        <w:top w:val="none" w:sz="0" w:space="0" w:color="auto"/>
        <w:left w:val="none" w:sz="0" w:space="0" w:color="auto"/>
        <w:bottom w:val="none" w:sz="0" w:space="0" w:color="auto"/>
        <w:right w:val="none" w:sz="0" w:space="0" w:color="auto"/>
      </w:divBdr>
    </w:div>
    <w:div w:id="1163740299">
      <w:marLeft w:val="0"/>
      <w:marRight w:val="0"/>
      <w:marTop w:val="0"/>
      <w:marBottom w:val="0"/>
      <w:divBdr>
        <w:top w:val="none" w:sz="0" w:space="0" w:color="auto"/>
        <w:left w:val="none" w:sz="0" w:space="0" w:color="auto"/>
        <w:bottom w:val="none" w:sz="0" w:space="0" w:color="auto"/>
        <w:right w:val="none" w:sz="0" w:space="0" w:color="auto"/>
      </w:divBdr>
    </w:div>
    <w:div w:id="1163740300">
      <w:marLeft w:val="0"/>
      <w:marRight w:val="0"/>
      <w:marTop w:val="0"/>
      <w:marBottom w:val="0"/>
      <w:divBdr>
        <w:top w:val="none" w:sz="0" w:space="0" w:color="auto"/>
        <w:left w:val="none" w:sz="0" w:space="0" w:color="auto"/>
        <w:bottom w:val="none" w:sz="0" w:space="0" w:color="auto"/>
        <w:right w:val="none" w:sz="0" w:space="0" w:color="auto"/>
      </w:divBdr>
      <w:divsChild>
        <w:div w:id="1163740304">
          <w:marLeft w:val="0"/>
          <w:marRight w:val="0"/>
          <w:marTop w:val="0"/>
          <w:marBottom w:val="0"/>
          <w:divBdr>
            <w:top w:val="none" w:sz="0" w:space="0" w:color="auto"/>
            <w:left w:val="none" w:sz="0" w:space="0" w:color="auto"/>
            <w:bottom w:val="none" w:sz="0" w:space="0" w:color="auto"/>
            <w:right w:val="none" w:sz="0" w:space="0" w:color="auto"/>
          </w:divBdr>
          <w:divsChild>
            <w:div w:id="1163740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03">
      <w:marLeft w:val="0"/>
      <w:marRight w:val="0"/>
      <w:marTop w:val="0"/>
      <w:marBottom w:val="0"/>
      <w:divBdr>
        <w:top w:val="none" w:sz="0" w:space="0" w:color="auto"/>
        <w:left w:val="none" w:sz="0" w:space="0" w:color="auto"/>
        <w:bottom w:val="none" w:sz="0" w:space="0" w:color="auto"/>
        <w:right w:val="none" w:sz="0" w:space="0" w:color="auto"/>
      </w:divBdr>
    </w:div>
    <w:div w:id="1163740305">
      <w:marLeft w:val="0"/>
      <w:marRight w:val="0"/>
      <w:marTop w:val="0"/>
      <w:marBottom w:val="0"/>
      <w:divBdr>
        <w:top w:val="none" w:sz="0" w:space="0" w:color="auto"/>
        <w:left w:val="none" w:sz="0" w:space="0" w:color="auto"/>
        <w:bottom w:val="none" w:sz="0" w:space="0" w:color="auto"/>
        <w:right w:val="none" w:sz="0" w:space="0" w:color="auto"/>
      </w:divBdr>
    </w:div>
    <w:div w:id="1163740306">
      <w:marLeft w:val="0"/>
      <w:marRight w:val="0"/>
      <w:marTop w:val="0"/>
      <w:marBottom w:val="0"/>
      <w:divBdr>
        <w:top w:val="none" w:sz="0" w:space="0" w:color="auto"/>
        <w:left w:val="none" w:sz="0" w:space="0" w:color="auto"/>
        <w:bottom w:val="none" w:sz="0" w:space="0" w:color="auto"/>
        <w:right w:val="none" w:sz="0" w:space="0" w:color="auto"/>
      </w:divBdr>
    </w:div>
    <w:div w:id="1163740308">
      <w:marLeft w:val="0"/>
      <w:marRight w:val="0"/>
      <w:marTop w:val="0"/>
      <w:marBottom w:val="0"/>
      <w:divBdr>
        <w:top w:val="none" w:sz="0" w:space="0" w:color="auto"/>
        <w:left w:val="none" w:sz="0" w:space="0" w:color="auto"/>
        <w:bottom w:val="none" w:sz="0" w:space="0" w:color="auto"/>
        <w:right w:val="none" w:sz="0" w:space="0" w:color="auto"/>
      </w:divBdr>
    </w:div>
    <w:div w:id="1163740309">
      <w:marLeft w:val="0"/>
      <w:marRight w:val="0"/>
      <w:marTop w:val="0"/>
      <w:marBottom w:val="0"/>
      <w:divBdr>
        <w:top w:val="none" w:sz="0" w:space="0" w:color="auto"/>
        <w:left w:val="none" w:sz="0" w:space="0" w:color="auto"/>
        <w:bottom w:val="none" w:sz="0" w:space="0" w:color="auto"/>
        <w:right w:val="none" w:sz="0" w:space="0" w:color="auto"/>
      </w:divBdr>
      <w:divsChild>
        <w:div w:id="1163740281">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1163740310">
      <w:marLeft w:val="0"/>
      <w:marRight w:val="0"/>
      <w:marTop w:val="0"/>
      <w:marBottom w:val="0"/>
      <w:divBdr>
        <w:top w:val="none" w:sz="0" w:space="0" w:color="auto"/>
        <w:left w:val="none" w:sz="0" w:space="0" w:color="auto"/>
        <w:bottom w:val="none" w:sz="0" w:space="0" w:color="auto"/>
        <w:right w:val="none" w:sz="0" w:space="0" w:color="auto"/>
      </w:divBdr>
    </w:div>
    <w:div w:id="1163740311">
      <w:marLeft w:val="0"/>
      <w:marRight w:val="0"/>
      <w:marTop w:val="0"/>
      <w:marBottom w:val="0"/>
      <w:divBdr>
        <w:top w:val="none" w:sz="0" w:space="0" w:color="auto"/>
        <w:left w:val="none" w:sz="0" w:space="0" w:color="auto"/>
        <w:bottom w:val="none" w:sz="0" w:space="0" w:color="auto"/>
        <w:right w:val="none" w:sz="0" w:space="0" w:color="auto"/>
      </w:divBdr>
    </w:div>
    <w:div w:id="1163740312">
      <w:marLeft w:val="0"/>
      <w:marRight w:val="0"/>
      <w:marTop w:val="0"/>
      <w:marBottom w:val="0"/>
      <w:divBdr>
        <w:top w:val="none" w:sz="0" w:space="0" w:color="auto"/>
        <w:left w:val="none" w:sz="0" w:space="0" w:color="auto"/>
        <w:bottom w:val="none" w:sz="0" w:space="0" w:color="auto"/>
        <w:right w:val="none" w:sz="0" w:space="0" w:color="auto"/>
      </w:divBdr>
    </w:div>
    <w:div w:id="1163740313">
      <w:marLeft w:val="0"/>
      <w:marRight w:val="0"/>
      <w:marTop w:val="0"/>
      <w:marBottom w:val="0"/>
      <w:divBdr>
        <w:top w:val="none" w:sz="0" w:space="0" w:color="auto"/>
        <w:left w:val="none" w:sz="0" w:space="0" w:color="auto"/>
        <w:bottom w:val="none" w:sz="0" w:space="0" w:color="auto"/>
        <w:right w:val="none" w:sz="0" w:space="0" w:color="auto"/>
      </w:divBdr>
    </w:div>
    <w:div w:id="1163740314">
      <w:marLeft w:val="0"/>
      <w:marRight w:val="0"/>
      <w:marTop w:val="0"/>
      <w:marBottom w:val="0"/>
      <w:divBdr>
        <w:top w:val="none" w:sz="0" w:space="0" w:color="auto"/>
        <w:left w:val="none" w:sz="0" w:space="0" w:color="auto"/>
        <w:bottom w:val="none" w:sz="0" w:space="0" w:color="auto"/>
        <w:right w:val="none" w:sz="0" w:space="0" w:color="auto"/>
      </w:divBdr>
    </w:div>
    <w:div w:id="1163740317">
      <w:marLeft w:val="0"/>
      <w:marRight w:val="0"/>
      <w:marTop w:val="0"/>
      <w:marBottom w:val="0"/>
      <w:divBdr>
        <w:top w:val="none" w:sz="0" w:space="0" w:color="auto"/>
        <w:left w:val="none" w:sz="0" w:space="0" w:color="auto"/>
        <w:bottom w:val="none" w:sz="0" w:space="0" w:color="auto"/>
        <w:right w:val="none" w:sz="0" w:space="0" w:color="auto"/>
      </w:divBdr>
    </w:div>
    <w:div w:id="1163740320">
      <w:marLeft w:val="0"/>
      <w:marRight w:val="0"/>
      <w:marTop w:val="0"/>
      <w:marBottom w:val="0"/>
      <w:divBdr>
        <w:top w:val="none" w:sz="0" w:space="0" w:color="auto"/>
        <w:left w:val="none" w:sz="0" w:space="0" w:color="auto"/>
        <w:bottom w:val="none" w:sz="0" w:space="0" w:color="auto"/>
        <w:right w:val="none" w:sz="0" w:space="0" w:color="auto"/>
      </w:divBdr>
    </w:div>
    <w:div w:id="1163740321">
      <w:marLeft w:val="0"/>
      <w:marRight w:val="0"/>
      <w:marTop w:val="0"/>
      <w:marBottom w:val="0"/>
      <w:divBdr>
        <w:top w:val="none" w:sz="0" w:space="0" w:color="auto"/>
        <w:left w:val="none" w:sz="0" w:space="0" w:color="auto"/>
        <w:bottom w:val="none" w:sz="0" w:space="0" w:color="auto"/>
        <w:right w:val="none" w:sz="0" w:space="0" w:color="auto"/>
      </w:divBdr>
      <w:divsChild>
        <w:div w:id="1163740345">
          <w:marLeft w:val="0"/>
          <w:marRight w:val="0"/>
          <w:marTop w:val="0"/>
          <w:marBottom w:val="0"/>
          <w:divBdr>
            <w:top w:val="none" w:sz="0" w:space="0" w:color="auto"/>
            <w:left w:val="none" w:sz="0" w:space="0" w:color="auto"/>
            <w:bottom w:val="none" w:sz="0" w:space="0" w:color="auto"/>
            <w:right w:val="none" w:sz="0" w:space="0" w:color="auto"/>
          </w:divBdr>
          <w:divsChild>
            <w:div w:id="1163740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22">
      <w:marLeft w:val="0"/>
      <w:marRight w:val="0"/>
      <w:marTop w:val="0"/>
      <w:marBottom w:val="0"/>
      <w:divBdr>
        <w:top w:val="none" w:sz="0" w:space="0" w:color="auto"/>
        <w:left w:val="none" w:sz="0" w:space="0" w:color="auto"/>
        <w:bottom w:val="none" w:sz="0" w:space="0" w:color="auto"/>
        <w:right w:val="none" w:sz="0" w:space="0" w:color="auto"/>
      </w:divBdr>
      <w:divsChild>
        <w:div w:id="1163740333">
          <w:marLeft w:val="0"/>
          <w:marRight w:val="0"/>
          <w:marTop w:val="0"/>
          <w:marBottom w:val="0"/>
          <w:divBdr>
            <w:top w:val="none" w:sz="0" w:space="0" w:color="auto"/>
            <w:left w:val="none" w:sz="0" w:space="0" w:color="auto"/>
            <w:bottom w:val="none" w:sz="0" w:space="0" w:color="auto"/>
            <w:right w:val="none" w:sz="0" w:space="0" w:color="auto"/>
          </w:divBdr>
          <w:divsChild>
            <w:div w:id="1163740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23">
      <w:marLeft w:val="0"/>
      <w:marRight w:val="0"/>
      <w:marTop w:val="0"/>
      <w:marBottom w:val="0"/>
      <w:divBdr>
        <w:top w:val="none" w:sz="0" w:space="0" w:color="auto"/>
        <w:left w:val="none" w:sz="0" w:space="0" w:color="auto"/>
        <w:bottom w:val="none" w:sz="0" w:space="0" w:color="auto"/>
        <w:right w:val="none" w:sz="0" w:space="0" w:color="auto"/>
      </w:divBdr>
    </w:div>
    <w:div w:id="1163740324">
      <w:marLeft w:val="0"/>
      <w:marRight w:val="0"/>
      <w:marTop w:val="0"/>
      <w:marBottom w:val="0"/>
      <w:divBdr>
        <w:top w:val="none" w:sz="0" w:space="0" w:color="auto"/>
        <w:left w:val="none" w:sz="0" w:space="0" w:color="auto"/>
        <w:bottom w:val="none" w:sz="0" w:space="0" w:color="auto"/>
        <w:right w:val="none" w:sz="0" w:space="0" w:color="auto"/>
      </w:divBdr>
    </w:div>
    <w:div w:id="1163740325">
      <w:marLeft w:val="0"/>
      <w:marRight w:val="0"/>
      <w:marTop w:val="0"/>
      <w:marBottom w:val="0"/>
      <w:divBdr>
        <w:top w:val="none" w:sz="0" w:space="0" w:color="auto"/>
        <w:left w:val="none" w:sz="0" w:space="0" w:color="auto"/>
        <w:bottom w:val="none" w:sz="0" w:space="0" w:color="auto"/>
        <w:right w:val="none" w:sz="0" w:space="0" w:color="auto"/>
      </w:divBdr>
    </w:div>
    <w:div w:id="1163740326">
      <w:marLeft w:val="0"/>
      <w:marRight w:val="0"/>
      <w:marTop w:val="0"/>
      <w:marBottom w:val="0"/>
      <w:divBdr>
        <w:top w:val="none" w:sz="0" w:space="0" w:color="auto"/>
        <w:left w:val="none" w:sz="0" w:space="0" w:color="auto"/>
        <w:bottom w:val="none" w:sz="0" w:space="0" w:color="auto"/>
        <w:right w:val="none" w:sz="0" w:space="0" w:color="auto"/>
      </w:divBdr>
      <w:divsChild>
        <w:div w:id="1163740315">
          <w:marLeft w:val="547"/>
          <w:marRight w:val="0"/>
          <w:marTop w:val="115"/>
          <w:marBottom w:val="0"/>
          <w:divBdr>
            <w:top w:val="none" w:sz="0" w:space="0" w:color="auto"/>
            <w:left w:val="none" w:sz="0" w:space="0" w:color="auto"/>
            <w:bottom w:val="none" w:sz="0" w:space="0" w:color="auto"/>
            <w:right w:val="none" w:sz="0" w:space="0" w:color="auto"/>
          </w:divBdr>
        </w:div>
      </w:divsChild>
    </w:div>
    <w:div w:id="1163740328">
      <w:marLeft w:val="0"/>
      <w:marRight w:val="0"/>
      <w:marTop w:val="0"/>
      <w:marBottom w:val="0"/>
      <w:divBdr>
        <w:top w:val="none" w:sz="0" w:space="0" w:color="auto"/>
        <w:left w:val="none" w:sz="0" w:space="0" w:color="auto"/>
        <w:bottom w:val="none" w:sz="0" w:space="0" w:color="auto"/>
        <w:right w:val="none" w:sz="0" w:space="0" w:color="auto"/>
      </w:divBdr>
    </w:div>
    <w:div w:id="1163740329">
      <w:marLeft w:val="0"/>
      <w:marRight w:val="0"/>
      <w:marTop w:val="0"/>
      <w:marBottom w:val="0"/>
      <w:divBdr>
        <w:top w:val="none" w:sz="0" w:space="0" w:color="auto"/>
        <w:left w:val="none" w:sz="0" w:space="0" w:color="auto"/>
        <w:bottom w:val="none" w:sz="0" w:space="0" w:color="auto"/>
        <w:right w:val="none" w:sz="0" w:space="0" w:color="auto"/>
      </w:divBdr>
    </w:div>
    <w:div w:id="1163740330">
      <w:marLeft w:val="0"/>
      <w:marRight w:val="0"/>
      <w:marTop w:val="0"/>
      <w:marBottom w:val="0"/>
      <w:divBdr>
        <w:top w:val="none" w:sz="0" w:space="0" w:color="auto"/>
        <w:left w:val="none" w:sz="0" w:space="0" w:color="auto"/>
        <w:bottom w:val="none" w:sz="0" w:space="0" w:color="auto"/>
        <w:right w:val="none" w:sz="0" w:space="0" w:color="auto"/>
      </w:divBdr>
      <w:divsChild>
        <w:div w:id="1163740331">
          <w:marLeft w:val="0"/>
          <w:marRight w:val="0"/>
          <w:marTop w:val="0"/>
          <w:marBottom w:val="0"/>
          <w:divBdr>
            <w:top w:val="none" w:sz="0" w:space="0" w:color="auto"/>
            <w:left w:val="none" w:sz="0" w:space="0" w:color="auto"/>
            <w:bottom w:val="none" w:sz="0" w:space="0" w:color="auto"/>
            <w:right w:val="none" w:sz="0" w:space="0" w:color="auto"/>
          </w:divBdr>
          <w:divsChild>
            <w:div w:id="1163740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32">
      <w:marLeft w:val="0"/>
      <w:marRight w:val="0"/>
      <w:marTop w:val="0"/>
      <w:marBottom w:val="0"/>
      <w:divBdr>
        <w:top w:val="none" w:sz="0" w:space="0" w:color="auto"/>
        <w:left w:val="none" w:sz="0" w:space="0" w:color="auto"/>
        <w:bottom w:val="none" w:sz="0" w:space="0" w:color="auto"/>
        <w:right w:val="none" w:sz="0" w:space="0" w:color="auto"/>
      </w:divBdr>
      <w:divsChild>
        <w:div w:id="1163740316">
          <w:marLeft w:val="0"/>
          <w:marRight w:val="0"/>
          <w:marTop w:val="0"/>
          <w:marBottom w:val="0"/>
          <w:divBdr>
            <w:top w:val="none" w:sz="0" w:space="0" w:color="auto"/>
            <w:left w:val="none" w:sz="0" w:space="0" w:color="auto"/>
            <w:bottom w:val="none" w:sz="0" w:space="0" w:color="auto"/>
            <w:right w:val="none" w:sz="0" w:space="0" w:color="auto"/>
          </w:divBdr>
          <w:divsChild>
            <w:div w:id="1163740318">
              <w:marLeft w:val="0"/>
              <w:marRight w:val="0"/>
              <w:marTop w:val="0"/>
              <w:marBottom w:val="0"/>
              <w:divBdr>
                <w:top w:val="none" w:sz="0" w:space="0" w:color="auto"/>
                <w:left w:val="none" w:sz="0" w:space="0" w:color="auto"/>
                <w:bottom w:val="none" w:sz="0" w:space="0" w:color="auto"/>
                <w:right w:val="none" w:sz="0" w:space="0" w:color="auto"/>
              </w:divBdr>
            </w:div>
            <w:div w:id="1163740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34">
      <w:marLeft w:val="0"/>
      <w:marRight w:val="0"/>
      <w:marTop w:val="0"/>
      <w:marBottom w:val="0"/>
      <w:divBdr>
        <w:top w:val="none" w:sz="0" w:space="0" w:color="auto"/>
        <w:left w:val="none" w:sz="0" w:space="0" w:color="auto"/>
        <w:bottom w:val="none" w:sz="0" w:space="0" w:color="auto"/>
        <w:right w:val="none" w:sz="0" w:space="0" w:color="auto"/>
      </w:divBdr>
    </w:div>
    <w:div w:id="1163740337">
      <w:marLeft w:val="0"/>
      <w:marRight w:val="0"/>
      <w:marTop w:val="0"/>
      <w:marBottom w:val="0"/>
      <w:divBdr>
        <w:top w:val="none" w:sz="0" w:space="0" w:color="auto"/>
        <w:left w:val="none" w:sz="0" w:space="0" w:color="auto"/>
        <w:bottom w:val="none" w:sz="0" w:space="0" w:color="auto"/>
        <w:right w:val="none" w:sz="0" w:space="0" w:color="auto"/>
      </w:divBdr>
    </w:div>
    <w:div w:id="1163740338">
      <w:marLeft w:val="0"/>
      <w:marRight w:val="0"/>
      <w:marTop w:val="0"/>
      <w:marBottom w:val="0"/>
      <w:divBdr>
        <w:top w:val="none" w:sz="0" w:space="0" w:color="auto"/>
        <w:left w:val="none" w:sz="0" w:space="0" w:color="auto"/>
        <w:bottom w:val="none" w:sz="0" w:space="0" w:color="auto"/>
        <w:right w:val="none" w:sz="0" w:space="0" w:color="auto"/>
      </w:divBdr>
      <w:divsChild>
        <w:div w:id="1163740342">
          <w:marLeft w:val="0"/>
          <w:marRight w:val="0"/>
          <w:marTop w:val="0"/>
          <w:marBottom w:val="0"/>
          <w:divBdr>
            <w:top w:val="none" w:sz="0" w:space="0" w:color="auto"/>
            <w:left w:val="none" w:sz="0" w:space="0" w:color="auto"/>
            <w:bottom w:val="none" w:sz="0" w:space="0" w:color="auto"/>
            <w:right w:val="none" w:sz="0" w:space="0" w:color="auto"/>
          </w:divBdr>
          <w:divsChild>
            <w:div w:id="1163740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41">
      <w:marLeft w:val="0"/>
      <w:marRight w:val="0"/>
      <w:marTop w:val="0"/>
      <w:marBottom w:val="0"/>
      <w:divBdr>
        <w:top w:val="none" w:sz="0" w:space="0" w:color="auto"/>
        <w:left w:val="none" w:sz="0" w:space="0" w:color="auto"/>
        <w:bottom w:val="none" w:sz="0" w:space="0" w:color="auto"/>
        <w:right w:val="none" w:sz="0" w:space="0" w:color="auto"/>
      </w:divBdr>
    </w:div>
    <w:div w:id="1163740343">
      <w:marLeft w:val="0"/>
      <w:marRight w:val="0"/>
      <w:marTop w:val="0"/>
      <w:marBottom w:val="0"/>
      <w:divBdr>
        <w:top w:val="none" w:sz="0" w:space="0" w:color="auto"/>
        <w:left w:val="none" w:sz="0" w:space="0" w:color="auto"/>
        <w:bottom w:val="none" w:sz="0" w:space="0" w:color="auto"/>
        <w:right w:val="none" w:sz="0" w:space="0" w:color="auto"/>
      </w:divBdr>
    </w:div>
    <w:div w:id="1163740344">
      <w:marLeft w:val="0"/>
      <w:marRight w:val="0"/>
      <w:marTop w:val="0"/>
      <w:marBottom w:val="0"/>
      <w:divBdr>
        <w:top w:val="none" w:sz="0" w:space="0" w:color="auto"/>
        <w:left w:val="none" w:sz="0" w:space="0" w:color="auto"/>
        <w:bottom w:val="none" w:sz="0" w:space="0" w:color="auto"/>
        <w:right w:val="none" w:sz="0" w:space="0" w:color="auto"/>
      </w:divBdr>
    </w:div>
    <w:div w:id="1163740346">
      <w:marLeft w:val="0"/>
      <w:marRight w:val="0"/>
      <w:marTop w:val="0"/>
      <w:marBottom w:val="0"/>
      <w:divBdr>
        <w:top w:val="none" w:sz="0" w:space="0" w:color="auto"/>
        <w:left w:val="none" w:sz="0" w:space="0" w:color="auto"/>
        <w:bottom w:val="none" w:sz="0" w:space="0" w:color="auto"/>
        <w:right w:val="none" w:sz="0" w:space="0" w:color="auto"/>
      </w:divBdr>
    </w:div>
    <w:div w:id="1163740347">
      <w:marLeft w:val="0"/>
      <w:marRight w:val="0"/>
      <w:marTop w:val="0"/>
      <w:marBottom w:val="0"/>
      <w:divBdr>
        <w:top w:val="none" w:sz="0" w:space="0" w:color="auto"/>
        <w:left w:val="none" w:sz="0" w:space="0" w:color="auto"/>
        <w:bottom w:val="none" w:sz="0" w:space="0" w:color="auto"/>
        <w:right w:val="none" w:sz="0" w:space="0" w:color="auto"/>
      </w:divBdr>
      <w:divsChild>
        <w:div w:id="1163740319">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1163740348">
      <w:marLeft w:val="0"/>
      <w:marRight w:val="0"/>
      <w:marTop w:val="0"/>
      <w:marBottom w:val="0"/>
      <w:divBdr>
        <w:top w:val="none" w:sz="0" w:space="0" w:color="auto"/>
        <w:left w:val="none" w:sz="0" w:space="0" w:color="auto"/>
        <w:bottom w:val="none" w:sz="0" w:space="0" w:color="auto"/>
        <w:right w:val="none" w:sz="0" w:space="0" w:color="auto"/>
      </w:divBdr>
    </w:div>
    <w:div w:id="1163740349">
      <w:marLeft w:val="0"/>
      <w:marRight w:val="0"/>
      <w:marTop w:val="0"/>
      <w:marBottom w:val="0"/>
      <w:divBdr>
        <w:top w:val="none" w:sz="0" w:space="0" w:color="auto"/>
        <w:left w:val="none" w:sz="0" w:space="0" w:color="auto"/>
        <w:bottom w:val="none" w:sz="0" w:space="0" w:color="auto"/>
        <w:right w:val="none" w:sz="0" w:space="0" w:color="auto"/>
      </w:divBdr>
    </w:div>
    <w:div w:id="1163740350">
      <w:marLeft w:val="0"/>
      <w:marRight w:val="0"/>
      <w:marTop w:val="0"/>
      <w:marBottom w:val="0"/>
      <w:divBdr>
        <w:top w:val="none" w:sz="0" w:space="0" w:color="auto"/>
        <w:left w:val="none" w:sz="0" w:space="0" w:color="auto"/>
        <w:bottom w:val="none" w:sz="0" w:space="0" w:color="auto"/>
        <w:right w:val="none" w:sz="0" w:space="0" w:color="auto"/>
      </w:divBdr>
    </w:div>
    <w:div w:id="1163740351">
      <w:marLeft w:val="0"/>
      <w:marRight w:val="0"/>
      <w:marTop w:val="0"/>
      <w:marBottom w:val="0"/>
      <w:divBdr>
        <w:top w:val="none" w:sz="0" w:space="0" w:color="auto"/>
        <w:left w:val="none" w:sz="0" w:space="0" w:color="auto"/>
        <w:bottom w:val="none" w:sz="0" w:space="0" w:color="auto"/>
        <w:right w:val="none" w:sz="0" w:space="0" w:color="auto"/>
      </w:divBdr>
    </w:div>
    <w:div w:id="1163740352">
      <w:marLeft w:val="0"/>
      <w:marRight w:val="0"/>
      <w:marTop w:val="0"/>
      <w:marBottom w:val="0"/>
      <w:divBdr>
        <w:top w:val="none" w:sz="0" w:space="0" w:color="auto"/>
        <w:left w:val="none" w:sz="0" w:space="0" w:color="auto"/>
        <w:bottom w:val="none" w:sz="0" w:space="0" w:color="auto"/>
        <w:right w:val="none" w:sz="0" w:space="0" w:color="auto"/>
      </w:divBdr>
    </w:div>
    <w:div w:id="1163740353">
      <w:marLeft w:val="0"/>
      <w:marRight w:val="0"/>
      <w:marTop w:val="0"/>
      <w:marBottom w:val="0"/>
      <w:divBdr>
        <w:top w:val="none" w:sz="0" w:space="0" w:color="auto"/>
        <w:left w:val="none" w:sz="0" w:space="0" w:color="auto"/>
        <w:bottom w:val="none" w:sz="0" w:space="0" w:color="auto"/>
        <w:right w:val="none" w:sz="0" w:space="0" w:color="auto"/>
      </w:divBdr>
    </w:div>
    <w:div w:id="1163740356">
      <w:marLeft w:val="0"/>
      <w:marRight w:val="0"/>
      <w:marTop w:val="0"/>
      <w:marBottom w:val="0"/>
      <w:divBdr>
        <w:top w:val="none" w:sz="0" w:space="0" w:color="auto"/>
        <w:left w:val="none" w:sz="0" w:space="0" w:color="auto"/>
        <w:bottom w:val="none" w:sz="0" w:space="0" w:color="auto"/>
        <w:right w:val="none" w:sz="0" w:space="0" w:color="auto"/>
      </w:divBdr>
    </w:div>
    <w:div w:id="1163740359">
      <w:marLeft w:val="0"/>
      <w:marRight w:val="0"/>
      <w:marTop w:val="0"/>
      <w:marBottom w:val="0"/>
      <w:divBdr>
        <w:top w:val="none" w:sz="0" w:space="0" w:color="auto"/>
        <w:left w:val="none" w:sz="0" w:space="0" w:color="auto"/>
        <w:bottom w:val="none" w:sz="0" w:space="0" w:color="auto"/>
        <w:right w:val="none" w:sz="0" w:space="0" w:color="auto"/>
      </w:divBdr>
    </w:div>
    <w:div w:id="1163740360">
      <w:marLeft w:val="0"/>
      <w:marRight w:val="0"/>
      <w:marTop w:val="0"/>
      <w:marBottom w:val="0"/>
      <w:divBdr>
        <w:top w:val="none" w:sz="0" w:space="0" w:color="auto"/>
        <w:left w:val="none" w:sz="0" w:space="0" w:color="auto"/>
        <w:bottom w:val="none" w:sz="0" w:space="0" w:color="auto"/>
        <w:right w:val="none" w:sz="0" w:space="0" w:color="auto"/>
      </w:divBdr>
      <w:divsChild>
        <w:div w:id="1163740384">
          <w:marLeft w:val="0"/>
          <w:marRight w:val="0"/>
          <w:marTop w:val="0"/>
          <w:marBottom w:val="0"/>
          <w:divBdr>
            <w:top w:val="none" w:sz="0" w:space="0" w:color="auto"/>
            <w:left w:val="none" w:sz="0" w:space="0" w:color="auto"/>
            <w:bottom w:val="none" w:sz="0" w:space="0" w:color="auto"/>
            <w:right w:val="none" w:sz="0" w:space="0" w:color="auto"/>
          </w:divBdr>
          <w:divsChild>
            <w:div w:id="1163740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61">
      <w:marLeft w:val="0"/>
      <w:marRight w:val="0"/>
      <w:marTop w:val="0"/>
      <w:marBottom w:val="0"/>
      <w:divBdr>
        <w:top w:val="none" w:sz="0" w:space="0" w:color="auto"/>
        <w:left w:val="none" w:sz="0" w:space="0" w:color="auto"/>
        <w:bottom w:val="none" w:sz="0" w:space="0" w:color="auto"/>
        <w:right w:val="none" w:sz="0" w:space="0" w:color="auto"/>
      </w:divBdr>
      <w:divsChild>
        <w:div w:id="1163740372">
          <w:marLeft w:val="0"/>
          <w:marRight w:val="0"/>
          <w:marTop w:val="0"/>
          <w:marBottom w:val="0"/>
          <w:divBdr>
            <w:top w:val="none" w:sz="0" w:space="0" w:color="auto"/>
            <w:left w:val="none" w:sz="0" w:space="0" w:color="auto"/>
            <w:bottom w:val="none" w:sz="0" w:space="0" w:color="auto"/>
            <w:right w:val="none" w:sz="0" w:space="0" w:color="auto"/>
          </w:divBdr>
          <w:divsChild>
            <w:div w:id="1163740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62">
      <w:marLeft w:val="0"/>
      <w:marRight w:val="0"/>
      <w:marTop w:val="0"/>
      <w:marBottom w:val="0"/>
      <w:divBdr>
        <w:top w:val="none" w:sz="0" w:space="0" w:color="auto"/>
        <w:left w:val="none" w:sz="0" w:space="0" w:color="auto"/>
        <w:bottom w:val="none" w:sz="0" w:space="0" w:color="auto"/>
        <w:right w:val="none" w:sz="0" w:space="0" w:color="auto"/>
      </w:divBdr>
    </w:div>
    <w:div w:id="1163740363">
      <w:marLeft w:val="0"/>
      <w:marRight w:val="0"/>
      <w:marTop w:val="0"/>
      <w:marBottom w:val="0"/>
      <w:divBdr>
        <w:top w:val="none" w:sz="0" w:space="0" w:color="auto"/>
        <w:left w:val="none" w:sz="0" w:space="0" w:color="auto"/>
        <w:bottom w:val="none" w:sz="0" w:space="0" w:color="auto"/>
        <w:right w:val="none" w:sz="0" w:space="0" w:color="auto"/>
      </w:divBdr>
    </w:div>
    <w:div w:id="1163740364">
      <w:marLeft w:val="0"/>
      <w:marRight w:val="0"/>
      <w:marTop w:val="0"/>
      <w:marBottom w:val="0"/>
      <w:divBdr>
        <w:top w:val="none" w:sz="0" w:space="0" w:color="auto"/>
        <w:left w:val="none" w:sz="0" w:space="0" w:color="auto"/>
        <w:bottom w:val="none" w:sz="0" w:space="0" w:color="auto"/>
        <w:right w:val="none" w:sz="0" w:space="0" w:color="auto"/>
      </w:divBdr>
    </w:div>
    <w:div w:id="1163740365">
      <w:marLeft w:val="0"/>
      <w:marRight w:val="0"/>
      <w:marTop w:val="0"/>
      <w:marBottom w:val="0"/>
      <w:divBdr>
        <w:top w:val="none" w:sz="0" w:space="0" w:color="auto"/>
        <w:left w:val="none" w:sz="0" w:space="0" w:color="auto"/>
        <w:bottom w:val="none" w:sz="0" w:space="0" w:color="auto"/>
        <w:right w:val="none" w:sz="0" w:space="0" w:color="auto"/>
      </w:divBdr>
      <w:divsChild>
        <w:div w:id="1163740354">
          <w:marLeft w:val="547"/>
          <w:marRight w:val="0"/>
          <w:marTop w:val="115"/>
          <w:marBottom w:val="0"/>
          <w:divBdr>
            <w:top w:val="none" w:sz="0" w:space="0" w:color="auto"/>
            <w:left w:val="none" w:sz="0" w:space="0" w:color="auto"/>
            <w:bottom w:val="none" w:sz="0" w:space="0" w:color="auto"/>
            <w:right w:val="none" w:sz="0" w:space="0" w:color="auto"/>
          </w:divBdr>
        </w:div>
      </w:divsChild>
    </w:div>
    <w:div w:id="1163740367">
      <w:marLeft w:val="0"/>
      <w:marRight w:val="0"/>
      <w:marTop w:val="0"/>
      <w:marBottom w:val="0"/>
      <w:divBdr>
        <w:top w:val="none" w:sz="0" w:space="0" w:color="auto"/>
        <w:left w:val="none" w:sz="0" w:space="0" w:color="auto"/>
        <w:bottom w:val="none" w:sz="0" w:space="0" w:color="auto"/>
        <w:right w:val="none" w:sz="0" w:space="0" w:color="auto"/>
      </w:divBdr>
    </w:div>
    <w:div w:id="1163740368">
      <w:marLeft w:val="0"/>
      <w:marRight w:val="0"/>
      <w:marTop w:val="0"/>
      <w:marBottom w:val="0"/>
      <w:divBdr>
        <w:top w:val="none" w:sz="0" w:space="0" w:color="auto"/>
        <w:left w:val="none" w:sz="0" w:space="0" w:color="auto"/>
        <w:bottom w:val="none" w:sz="0" w:space="0" w:color="auto"/>
        <w:right w:val="none" w:sz="0" w:space="0" w:color="auto"/>
      </w:divBdr>
    </w:div>
    <w:div w:id="1163740369">
      <w:marLeft w:val="0"/>
      <w:marRight w:val="0"/>
      <w:marTop w:val="0"/>
      <w:marBottom w:val="0"/>
      <w:divBdr>
        <w:top w:val="none" w:sz="0" w:space="0" w:color="auto"/>
        <w:left w:val="none" w:sz="0" w:space="0" w:color="auto"/>
        <w:bottom w:val="none" w:sz="0" w:space="0" w:color="auto"/>
        <w:right w:val="none" w:sz="0" w:space="0" w:color="auto"/>
      </w:divBdr>
      <w:divsChild>
        <w:div w:id="1163740370">
          <w:marLeft w:val="0"/>
          <w:marRight w:val="0"/>
          <w:marTop w:val="0"/>
          <w:marBottom w:val="0"/>
          <w:divBdr>
            <w:top w:val="none" w:sz="0" w:space="0" w:color="auto"/>
            <w:left w:val="none" w:sz="0" w:space="0" w:color="auto"/>
            <w:bottom w:val="none" w:sz="0" w:space="0" w:color="auto"/>
            <w:right w:val="none" w:sz="0" w:space="0" w:color="auto"/>
          </w:divBdr>
          <w:divsChild>
            <w:div w:id="1163740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71">
      <w:marLeft w:val="0"/>
      <w:marRight w:val="0"/>
      <w:marTop w:val="0"/>
      <w:marBottom w:val="0"/>
      <w:divBdr>
        <w:top w:val="none" w:sz="0" w:space="0" w:color="auto"/>
        <w:left w:val="none" w:sz="0" w:space="0" w:color="auto"/>
        <w:bottom w:val="none" w:sz="0" w:space="0" w:color="auto"/>
        <w:right w:val="none" w:sz="0" w:space="0" w:color="auto"/>
      </w:divBdr>
      <w:divsChild>
        <w:div w:id="1163740355">
          <w:marLeft w:val="0"/>
          <w:marRight w:val="0"/>
          <w:marTop w:val="0"/>
          <w:marBottom w:val="0"/>
          <w:divBdr>
            <w:top w:val="none" w:sz="0" w:space="0" w:color="auto"/>
            <w:left w:val="none" w:sz="0" w:space="0" w:color="auto"/>
            <w:bottom w:val="none" w:sz="0" w:space="0" w:color="auto"/>
            <w:right w:val="none" w:sz="0" w:space="0" w:color="auto"/>
          </w:divBdr>
          <w:divsChild>
            <w:div w:id="1163740357">
              <w:marLeft w:val="0"/>
              <w:marRight w:val="0"/>
              <w:marTop w:val="0"/>
              <w:marBottom w:val="0"/>
              <w:divBdr>
                <w:top w:val="none" w:sz="0" w:space="0" w:color="auto"/>
                <w:left w:val="none" w:sz="0" w:space="0" w:color="auto"/>
                <w:bottom w:val="none" w:sz="0" w:space="0" w:color="auto"/>
                <w:right w:val="none" w:sz="0" w:space="0" w:color="auto"/>
              </w:divBdr>
            </w:div>
            <w:div w:id="1163740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73">
      <w:marLeft w:val="0"/>
      <w:marRight w:val="0"/>
      <w:marTop w:val="0"/>
      <w:marBottom w:val="0"/>
      <w:divBdr>
        <w:top w:val="none" w:sz="0" w:space="0" w:color="auto"/>
        <w:left w:val="none" w:sz="0" w:space="0" w:color="auto"/>
        <w:bottom w:val="none" w:sz="0" w:space="0" w:color="auto"/>
        <w:right w:val="none" w:sz="0" w:space="0" w:color="auto"/>
      </w:divBdr>
    </w:div>
    <w:div w:id="1163740376">
      <w:marLeft w:val="0"/>
      <w:marRight w:val="0"/>
      <w:marTop w:val="0"/>
      <w:marBottom w:val="0"/>
      <w:divBdr>
        <w:top w:val="none" w:sz="0" w:space="0" w:color="auto"/>
        <w:left w:val="none" w:sz="0" w:space="0" w:color="auto"/>
        <w:bottom w:val="none" w:sz="0" w:space="0" w:color="auto"/>
        <w:right w:val="none" w:sz="0" w:space="0" w:color="auto"/>
      </w:divBdr>
    </w:div>
    <w:div w:id="1163740377">
      <w:marLeft w:val="0"/>
      <w:marRight w:val="0"/>
      <w:marTop w:val="0"/>
      <w:marBottom w:val="0"/>
      <w:divBdr>
        <w:top w:val="none" w:sz="0" w:space="0" w:color="auto"/>
        <w:left w:val="none" w:sz="0" w:space="0" w:color="auto"/>
        <w:bottom w:val="none" w:sz="0" w:space="0" w:color="auto"/>
        <w:right w:val="none" w:sz="0" w:space="0" w:color="auto"/>
      </w:divBdr>
      <w:divsChild>
        <w:div w:id="1163740381">
          <w:marLeft w:val="0"/>
          <w:marRight w:val="0"/>
          <w:marTop w:val="0"/>
          <w:marBottom w:val="0"/>
          <w:divBdr>
            <w:top w:val="none" w:sz="0" w:space="0" w:color="auto"/>
            <w:left w:val="none" w:sz="0" w:space="0" w:color="auto"/>
            <w:bottom w:val="none" w:sz="0" w:space="0" w:color="auto"/>
            <w:right w:val="none" w:sz="0" w:space="0" w:color="auto"/>
          </w:divBdr>
          <w:divsChild>
            <w:div w:id="1163740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80">
      <w:marLeft w:val="0"/>
      <w:marRight w:val="0"/>
      <w:marTop w:val="0"/>
      <w:marBottom w:val="0"/>
      <w:divBdr>
        <w:top w:val="none" w:sz="0" w:space="0" w:color="auto"/>
        <w:left w:val="none" w:sz="0" w:space="0" w:color="auto"/>
        <w:bottom w:val="none" w:sz="0" w:space="0" w:color="auto"/>
        <w:right w:val="none" w:sz="0" w:space="0" w:color="auto"/>
      </w:divBdr>
    </w:div>
    <w:div w:id="1163740382">
      <w:marLeft w:val="0"/>
      <w:marRight w:val="0"/>
      <w:marTop w:val="0"/>
      <w:marBottom w:val="0"/>
      <w:divBdr>
        <w:top w:val="none" w:sz="0" w:space="0" w:color="auto"/>
        <w:left w:val="none" w:sz="0" w:space="0" w:color="auto"/>
        <w:bottom w:val="none" w:sz="0" w:space="0" w:color="auto"/>
        <w:right w:val="none" w:sz="0" w:space="0" w:color="auto"/>
      </w:divBdr>
    </w:div>
    <w:div w:id="1163740383">
      <w:marLeft w:val="0"/>
      <w:marRight w:val="0"/>
      <w:marTop w:val="0"/>
      <w:marBottom w:val="0"/>
      <w:divBdr>
        <w:top w:val="none" w:sz="0" w:space="0" w:color="auto"/>
        <w:left w:val="none" w:sz="0" w:space="0" w:color="auto"/>
        <w:bottom w:val="none" w:sz="0" w:space="0" w:color="auto"/>
        <w:right w:val="none" w:sz="0" w:space="0" w:color="auto"/>
      </w:divBdr>
    </w:div>
    <w:div w:id="1163740385">
      <w:marLeft w:val="0"/>
      <w:marRight w:val="0"/>
      <w:marTop w:val="0"/>
      <w:marBottom w:val="0"/>
      <w:divBdr>
        <w:top w:val="none" w:sz="0" w:space="0" w:color="auto"/>
        <w:left w:val="none" w:sz="0" w:space="0" w:color="auto"/>
        <w:bottom w:val="none" w:sz="0" w:space="0" w:color="auto"/>
        <w:right w:val="none" w:sz="0" w:space="0" w:color="auto"/>
      </w:divBdr>
    </w:div>
    <w:div w:id="1163740386">
      <w:marLeft w:val="0"/>
      <w:marRight w:val="0"/>
      <w:marTop w:val="0"/>
      <w:marBottom w:val="0"/>
      <w:divBdr>
        <w:top w:val="none" w:sz="0" w:space="0" w:color="auto"/>
        <w:left w:val="none" w:sz="0" w:space="0" w:color="auto"/>
        <w:bottom w:val="none" w:sz="0" w:space="0" w:color="auto"/>
        <w:right w:val="none" w:sz="0" w:space="0" w:color="auto"/>
      </w:divBdr>
      <w:divsChild>
        <w:div w:id="1163740358">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1163740387">
      <w:marLeft w:val="0"/>
      <w:marRight w:val="0"/>
      <w:marTop w:val="0"/>
      <w:marBottom w:val="0"/>
      <w:divBdr>
        <w:top w:val="none" w:sz="0" w:space="0" w:color="auto"/>
        <w:left w:val="none" w:sz="0" w:space="0" w:color="auto"/>
        <w:bottom w:val="none" w:sz="0" w:space="0" w:color="auto"/>
        <w:right w:val="none" w:sz="0" w:space="0" w:color="auto"/>
      </w:divBdr>
    </w:div>
    <w:div w:id="1163740388">
      <w:marLeft w:val="0"/>
      <w:marRight w:val="0"/>
      <w:marTop w:val="0"/>
      <w:marBottom w:val="0"/>
      <w:divBdr>
        <w:top w:val="none" w:sz="0" w:space="0" w:color="auto"/>
        <w:left w:val="none" w:sz="0" w:space="0" w:color="auto"/>
        <w:bottom w:val="none" w:sz="0" w:space="0" w:color="auto"/>
        <w:right w:val="none" w:sz="0" w:space="0" w:color="auto"/>
      </w:divBdr>
    </w:div>
    <w:div w:id="1163740389">
      <w:marLeft w:val="0"/>
      <w:marRight w:val="0"/>
      <w:marTop w:val="0"/>
      <w:marBottom w:val="0"/>
      <w:divBdr>
        <w:top w:val="none" w:sz="0" w:space="0" w:color="auto"/>
        <w:left w:val="none" w:sz="0" w:space="0" w:color="auto"/>
        <w:bottom w:val="none" w:sz="0" w:space="0" w:color="auto"/>
        <w:right w:val="none" w:sz="0" w:space="0" w:color="auto"/>
      </w:divBdr>
    </w:div>
    <w:div w:id="1163740390">
      <w:marLeft w:val="0"/>
      <w:marRight w:val="0"/>
      <w:marTop w:val="0"/>
      <w:marBottom w:val="0"/>
      <w:divBdr>
        <w:top w:val="none" w:sz="0" w:space="0" w:color="auto"/>
        <w:left w:val="none" w:sz="0" w:space="0" w:color="auto"/>
        <w:bottom w:val="none" w:sz="0" w:space="0" w:color="auto"/>
        <w:right w:val="none" w:sz="0" w:space="0" w:color="auto"/>
      </w:divBdr>
    </w:div>
    <w:div w:id="1163740391">
      <w:marLeft w:val="0"/>
      <w:marRight w:val="0"/>
      <w:marTop w:val="0"/>
      <w:marBottom w:val="0"/>
      <w:divBdr>
        <w:top w:val="none" w:sz="0" w:space="0" w:color="auto"/>
        <w:left w:val="none" w:sz="0" w:space="0" w:color="auto"/>
        <w:bottom w:val="none" w:sz="0" w:space="0" w:color="auto"/>
        <w:right w:val="none" w:sz="0" w:space="0" w:color="auto"/>
      </w:divBdr>
    </w:div>
    <w:div w:id="1163740392">
      <w:marLeft w:val="0"/>
      <w:marRight w:val="0"/>
      <w:marTop w:val="0"/>
      <w:marBottom w:val="0"/>
      <w:divBdr>
        <w:top w:val="none" w:sz="0" w:space="0" w:color="auto"/>
        <w:left w:val="none" w:sz="0" w:space="0" w:color="auto"/>
        <w:bottom w:val="none" w:sz="0" w:space="0" w:color="auto"/>
        <w:right w:val="none" w:sz="0" w:space="0" w:color="auto"/>
      </w:divBdr>
    </w:div>
    <w:div w:id="1163740393">
      <w:marLeft w:val="0"/>
      <w:marRight w:val="0"/>
      <w:marTop w:val="0"/>
      <w:marBottom w:val="0"/>
      <w:divBdr>
        <w:top w:val="none" w:sz="0" w:space="0" w:color="auto"/>
        <w:left w:val="none" w:sz="0" w:space="0" w:color="auto"/>
        <w:bottom w:val="none" w:sz="0" w:space="0" w:color="auto"/>
        <w:right w:val="none" w:sz="0" w:space="0" w:color="auto"/>
      </w:divBdr>
    </w:div>
    <w:div w:id="1163740394">
      <w:marLeft w:val="0"/>
      <w:marRight w:val="0"/>
      <w:marTop w:val="0"/>
      <w:marBottom w:val="0"/>
      <w:divBdr>
        <w:top w:val="none" w:sz="0" w:space="0" w:color="auto"/>
        <w:left w:val="none" w:sz="0" w:space="0" w:color="auto"/>
        <w:bottom w:val="none" w:sz="0" w:space="0" w:color="auto"/>
        <w:right w:val="none" w:sz="0" w:space="0" w:color="auto"/>
      </w:divBdr>
    </w:div>
    <w:div w:id="1163740395">
      <w:marLeft w:val="0"/>
      <w:marRight w:val="0"/>
      <w:marTop w:val="0"/>
      <w:marBottom w:val="0"/>
      <w:divBdr>
        <w:top w:val="none" w:sz="0" w:space="0" w:color="auto"/>
        <w:left w:val="none" w:sz="0" w:space="0" w:color="auto"/>
        <w:bottom w:val="none" w:sz="0" w:space="0" w:color="auto"/>
        <w:right w:val="none" w:sz="0" w:space="0" w:color="auto"/>
      </w:divBdr>
    </w:div>
    <w:div w:id="1163740404">
      <w:marLeft w:val="0"/>
      <w:marRight w:val="0"/>
      <w:marTop w:val="0"/>
      <w:marBottom w:val="0"/>
      <w:divBdr>
        <w:top w:val="none" w:sz="0" w:space="0" w:color="auto"/>
        <w:left w:val="none" w:sz="0" w:space="0" w:color="auto"/>
        <w:bottom w:val="none" w:sz="0" w:space="0" w:color="auto"/>
        <w:right w:val="none" w:sz="0" w:space="0" w:color="auto"/>
      </w:divBdr>
      <w:divsChild>
        <w:div w:id="1163740400">
          <w:marLeft w:val="0"/>
          <w:marRight w:val="0"/>
          <w:marTop w:val="0"/>
          <w:marBottom w:val="0"/>
          <w:divBdr>
            <w:top w:val="none" w:sz="0" w:space="0" w:color="auto"/>
            <w:left w:val="none" w:sz="0" w:space="0" w:color="auto"/>
            <w:bottom w:val="none" w:sz="0" w:space="0" w:color="auto"/>
            <w:right w:val="none" w:sz="0" w:space="0" w:color="auto"/>
          </w:divBdr>
          <w:divsChild>
            <w:div w:id="1163740398">
              <w:marLeft w:val="0"/>
              <w:marRight w:val="0"/>
              <w:marTop w:val="0"/>
              <w:marBottom w:val="0"/>
              <w:divBdr>
                <w:top w:val="none" w:sz="0" w:space="0" w:color="auto"/>
                <w:left w:val="none" w:sz="0" w:space="0" w:color="auto"/>
                <w:bottom w:val="none" w:sz="0" w:space="0" w:color="auto"/>
                <w:right w:val="none" w:sz="0" w:space="0" w:color="auto"/>
              </w:divBdr>
              <w:divsChild>
                <w:div w:id="1163740403">
                  <w:marLeft w:val="0"/>
                  <w:marRight w:val="0"/>
                  <w:marTop w:val="0"/>
                  <w:marBottom w:val="0"/>
                  <w:divBdr>
                    <w:top w:val="none" w:sz="0" w:space="0" w:color="auto"/>
                    <w:left w:val="none" w:sz="0" w:space="0" w:color="auto"/>
                    <w:bottom w:val="none" w:sz="0" w:space="0" w:color="auto"/>
                    <w:right w:val="none" w:sz="0" w:space="0" w:color="auto"/>
                  </w:divBdr>
                  <w:divsChild>
                    <w:div w:id="1163740397">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163740405">
      <w:marLeft w:val="0"/>
      <w:marRight w:val="0"/>
      <w:marTop w:val="0"/>
      <w:marBottom w:val="0"/>
      <w:divBdr>
        <w:top w:val="none" w:sz="0" w:space="0" w:color="auto"/>
        <w:left w:val="none" w:sz="0" w:space="0" w:color="auto"/>
        <w:bottom w:val="none" w:sz="0" w:space="0" w:color="auto"/>
        <w:right w:val="none" w:sz="0" w:space="0" w:color="auto"/>
      </w:divBdr>
      <w:divsChild>
        <w:div w:id="1163740396">
          <w:marLeft w:val="0"/>
          <w:marRight w:val="0"/>
          <w:marTop w:val="0"/>
          <w:marBottom w:val="0"/>
          <w:divBdr>
            <w:top w:val="none" w:sz="0" w:space="0" w:color="auto"/>
            <w:left w:val="none" w:sz="0" w:space="0" w:color="auto"/>
            <w:bottom w:val="none" w:sz="0" w:space="0" w:color="auto"/>
            <w:right w:val="none" w:sz="0" w:space="0" w:color="auto"/>
          </w:divBdr>
          <w:divsChild>
            <w:div w:id="1163740399">
              <w:marLeft w:val="0"/>
              <w:marRight w:val="0"/>
              <w:marTop w:val="0"/>
              <w:marBottom w:val="0"/>
              <w:divBdr>
                <w:top w:val="none" w:sz="0" w:space="0" w:color="auto"/>
                <w:left w:val="none" w:sz="0" w:space="0" w:color="auto"/>
                <w:bottom w:val="none" w:sz="0" w:space="0" w:color="auto"/>
                <w:right w:val="none" w:sz="0" w:space="0" w:color="auto"/>
              </w:divBdr>
              <w:divsChild>
                <w:div w:id="1163740402">
                  <w:marLeft w:val="0"/>
                  <w:marRight w:val="0"/>
                  <w:marTop w:val="0"/>
                  <w:marBottom w:val="0"/>
                  <w:divBdr>
                    <w:top w:val="none" w:sz="0" w:space="0" w:color="auto"/>
                    <w:left w:val="none" w:sz="0" w:space="0" w:color="auto"/>
                    <w:bottom w:val="none" w:sz="0" w:space="0" w:color="auto"/>
                    <w:right w:val="none" w:sz="0" w:space="0" w:color="auto"/>
                  </w:divBdr>
                  <w:divsChild>
                    <w:div w:id="116374040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163740406">
      <w:marLeft w:val="0"/>
      <w:marRight w:val="0"/>
      <w:marTop w:val="0"/>
      <w:marBottom w:val="0"/>
      <w:divBdr>
        <w:top w:val="none" w:sz="0" w:space="0" w:color="auto"/>
        <w:left w:val="none" w:sz="0" w:space="0" w:color="auto"/>
        <w:bottom w:val="none" w:sz="0" w:space="0" w:color="auto"/>
        <w:right w:val="none" w:sz="0" w:space="0" w:color="auto"/>
      </w:divBdr>
    </w:div>
    <w:div w:id="1163740407">
      <w:marLeft w:val="0"/>
      <w:marRight w:val="0"/>
      <w:marTop w:val="0"/>
      <w:marBottom w:val="0"/>
      <w:divBdr>
        <w:top w:val="none" w:sz="0" w:space="0" w:color="auto"/>
        <w:left w:val="none" w:sz="0" w:space="0" w:color="auto"/>
        <w:bottom w:val="none" w:sz="0" w:space="0" w:color="auto"/>
        <w:right w:val="none" w:sz="0" w:space="0" w:color="auto"/>
      </w:divBdr>
    </w:div>
    <w:div w:id="1163740408">
      <w:marLeft w:val="0"/>
      <w:marRight w:val="0"/>
      <w:marTop w:val="0"/>
      <w:marBottom w:val="0"/>
      <w:divBdr>
        <w:top w:val="none" w:sz="0" w:space="0" w:color="auto"/>
        <w:left w:val="none" w:sz="0" w:space="0" w:color="auto"/>
        <w:bottom w:val="none" w:sz="0" w:space="0" w:color="auto"/>
        <w:right w:val="none" w:sz="0" w:space="0" w:color="auto"/>
      </w:divBdr>
    </w:div>
    <w:div w:id="1163740409">
      <w:marLeft w:val="0"/>
      <w:marRight w:val="0"/>
      <w:marTop w:val="0"/>
      <w:marBottom w:val="0"/>
      <w:divBdr>
        <w:top w:val="none" w:sz="0" w:space="0" w:color="auto"/>
        <w:left w:val="none" w:sz="0" w:space="0" w:color="auto"/>
        <w:bottom w:val="none" w:sz="0" w:space="0" w:color="auto"/>
        <w:right w:val="none" w:sz="0" w:space="0" w:color="auto"/>
      </w:divBdr>
    </w:div>
    <w:div w:id="1163740410">
      <w:marLeft w:val="0"/>
      <w:marRight w:val="0"/>
      <w:marTop w:val="0"/>
      <w:marBottom w:val="0"/>
      <w:divBdr>
        <w:top w:val="none" w:sz="0" w:space="0" w:color="auto"/>
        <w:left w:val="none" w:sz="0" w:space="0" w:color="auto"/>
        <w:bottom w:val="none" w:sz="0" w:space="0" w:color="auto"/>
        <w:right w:val="none" w:sz="0" w:space="0" w:color="auto"/>
      </w:divBdr>
    </w:div>
    <w:div w:id="1163740411">
      <w:marLeft w:val="0"/>
      <w:marRight w:val="0"/>
      <w:marTop w:val="0"/>
      <w:marBottom w:val="0"/>
      <w:divBdr>
        <w:top w:val="none" w:sz="0" w:space="0" w:color="auto"/>
        <w:left w:val="none" w:sz="0" w:space="0" w:color="auto"/>
        <w:bottom w:val="none" w:sz="0" w:space="0" w:color="auto"/>
        <w:right w:val="none" w:sz="0" w:space="0" w:color="auto"/>
      </w:divBdr>
    </w:div>
    <w:div w:id="1163740412">
      <w:marLeft w:val="0"/>
      <w:marRight w:val="0"/>
      <w:marTop w:val="0"/>
      <w:marBottom w:val="0"/>
      <w:divBdr>
        <w:top w:val="none" w:sz="0" w:space="0" w:color="auto"/>
        <w:left w:val="none" w:sz="0" w:space="0" w:color="auto"/>
        <w:bottom w:val="none" w:sz="0" w:space="0" w:color="auto"/>
        <w:right w:val="none" w:sz="0" w:space="0" w:color="auto"/>
      </w:divBdr>
    </w:div>
    <w:div w:id="1163740413">
      <w:marLeft w:val="0"/>
      <w:marRight w:val="0"/>
      <w:marTop w:val="0"/>
      <w:marBottom w:val="0"/>
      <w:divBdr>
        <w:top w:val="none" w:sz="0" w:space="0" w:color="auto"/>
        <w:left w:val="none" w:sz="0" w:space="0" w:color="auto"/>
        <w:bottom w:val="none" w:sz="0" w:space="0" w:color="auto"/>
        <w:right w:val="none" w:sz="0" w:space="0" w:color="auto"/>
      </w:divBdr>
    </w:div>
    <w:div w:id="1163740414">
      <w:marLeft w:val="0"/>
      <w:marRight w:val="0"/>
      <w:marTop w:val="0"/>
      <w:marBottom w:val="0"/>
      <w:divBdr>
        <w:top w:val="none" w:sz="0" w:space="0" w:color="auto"/>
        <w:left w:val="none" w:sz="0" w:space="0" w:color="auto"/>
        <w:bottom w:val="none" w:sz="0" w:space="0" w:color="auto"/>
        <w:right w:val="none" w:sz="0" w:space="0" w:color="auto"/>
      </w:divBdr>
    </w:div>
    <w:div w:id="1197504710">
      <w:bodyDiv w:val="1"/>
      <w:marLeft w:val="0"/>
      <w:marRight w:val="0"/>
      <w:marTop w:val="0"/>
      <w:marBottom w:val="0"/>
      <w:divBdr>
        <w:top w:val="none" w:sz="0" w:space="0" w:color="auto"/>
        <w:left w:val="none" w:sz="0" w:space="0" w:color="auto"/>
        <w:bottom w:val="none" w:sz="0" w:space="0" w:color="auto"/>
        <w:right w:val="none" w:sz="0" w:space="0" w:color="auto"/>
      </w:divBdr>
    </w:div>
    <w:div w:id="1198472634">
      <w:bodyDiv w:val="1"/>
      <w:marLeft w:val="0"/>
      <w:marRight w:val="0"/>
      <w:marTop w:val="0"/>
      <w:marBottom w:val="0"/>
      <w:divBdr>
        <w:top w:val="none" w:sz="0" w:space="0" w:color="auto"/>
        <w:left w:val="none" w:sz="0" w:space="0" w:color="auto"/>
        <w:bottom w:val="none" w:sz="0" w:space="0" w:color="auto"/>
        <w:right w:val="none" w:sz="0" w:space="0" w:color="auto"/>
      </w:divBdr>
    </w:div>
    <w:div w:id="1312753546">
      <w:bodyDiv w:val="1"/>
      <w:marLeft w:val="0"/>
      <w:marRight w:val="0"/>
      <w:marTop w:val="0"/>
      <w:marBottom w:val="0"/>
      <w:divBdr>
        <w:top w:val="none" w:sz="0" w:space="0" w:color="auto"/>
        <w:left w:val="none" w:sz="0" w:space="0" w:color="auto"/>
        <w:bottom w:val="none" w:sz="0" w:space="0" w:color="auto"/>
        <w:right w:val="none" w:sz="0" w:space="0" w:color="auto"/>
      </w:divBdr>
    </w:div>
    <w:div w:id="1333028589">
      <w:bodyDiv w:val="1"/>
      <w:marLeft w:val="0"/>
      <w:marRight w:val="0"/>
      <w:marTop w:val="0"/>
      <w:marBottom w:val="0"/>
      <w:divBdr>
        <w:top w:val="none" w:sz="0" w:space="0" w:color="auto"/>
        <w:left w:val="none" w:sz="0" w:space="0" w:color="auto"/>
        <w:bottom w:val="none" w:sz="0" w:space="0" w:color="auto"/>
        <w:right w:val="none" w:sz="0" w:space="0" w:color="auto"/>
      </w:divBdr>
    </w:div>
    <w:div w:id="1372652301">
      <w:bodyDiv w:val="1"/>
      <w:marLeft w:val="0"/>
      <w:marRight w:val="0"/>
      <w:marTop w:val="0"/>
      <w:marBottom w:val="0"/>
      <w:divBdr>
        <w:top w:val="none" w:sz="0" w:space="0" w:color="auto"/>
        <w:left w:val="none" w:sz="0" w:space="0" w:color="auto"/>
        <w:bottom w:val="none" w:sz="0" w:space="0" w:color="auto"/>
        <w:right w:val="none" w:sz="0" w:space="0" w:color="auto"/>
      </w:divBdr>
    </w:div>
    <w:div w:id="1381633164">
      <w:bodyDiv w:val="1"/>
      <w:marLeft w:val="0"/>
      <w:marRight w:val="0"/>
      <w:marTop w:val="0"/>
      <w:marBottom w:val="0"/>
      <w:divBdr>
        <w:top w:val="none" w:sz="0" w:space="0" w:color="auto"/>
        <w:left w:val="none" w:sz="0" w:space="0" w:color="auto"/>
        <w:bottom w:val="none" w:sz="0" w:space="0" w:color="auto"/>
        <w:right w:val="none" w:sz="0" w:space="0" w:color="auto"/>
      </w:divBdr>
    </w:div>
    <w:div w:id="1388801341">
      <w:bodyDiv w:val="1"/>
      <w:marLeft w:val="0"/>
      <w:marRight w:val="0"/>
      <w:marTop w:val="0"/>
      <w:marBottom w:val="0"/>
      <w:divBdr>
        <w:top w:val="none" w:sz="0" w:space="0" w:color="auto"/>
        <w:left w:val="none" w:sz="0" w:space="0" w:color="auto"/>
        <w:bottom w:val="none" w:sz="0" w:space="0" w:color="auto"/>
        <w:right w:val="none" w:sz="0" w:space="0" w:color="auto"/>
      </w:divBdr>
    </w:div>
    <w:div w:id="1420298500">
      <w:bodyDiv w:val="1"/>
      <w:marLeft w:val="0"/>
      <w:marRight w:val="0"/>
      <w:marTop w:val="0"/>
      <w:marBottom w:val="0"/>
      <w:divBdr>
        <w:top w:val="none" w:sz="0" w:space="0" w:color="auto"/>
        <w:left w:val="none" w:sz="0" w:space="0" w:color="auto"/>
        <w:bottom w:val="none" w:sz="0" w:space="0" w:color="auto"/>
        <w:right w:val="none" w:sz="0" w:space="0" w:color="auto"/>
      </w:divBdr>
    </w:div>
    <w:div w:id="1453789328">
      <w:bodyDiv w:val="1"/>
      <w:marLeft w:val="0"/>
      <w:marRight w:val="0"/>
      <w:marTop w:val="0"/>
      <w:marBottom w:val="0"/>
      <w:divBdr>
        <w:top w:val="none" w:sz="0" w:space="0" w:color="auto"/>
        <w:left w:val="none" w:sz="0" w:space="0" w:color="auto"/>
        <w:bottom w:val="none" w:sz="0" w:space="0" w:color="auto"/>
        <w:right w:val="none" w:sz="0" w:space="0" w:color="auto"/>
      </w:divBdr>
    </w:div>
    <w:div w:id="1466583085">
      <w:bodyDiv w:val="1"/>
      <w:marLeft w:val="0"/>
      <w:marRight w:val="0"/>
      <w:marTop w:val="0"/>
      <w:marBottom w:val="0"/>
      <w:divBdr>
        <w:top w:val="none" w:sz="0" w:space="0" w:color="auto"/>
        <w:left w:val="none" w:sz="0" w:space="0" w:color="auto"/>
        <w:bottom w:val="none" w:sz="0" w:space="0" w:color="auto"/>
        <w:right w:val="none" w:sz="0" w:space="0" w:color="auto"/>
      </w:divBdr>
    </w:div>
    <w:div w:id="1544057691">
      <w:bodyDiv w:val="1"/>
      <w:marLeft w:val="0"/>
      <w:marRight w:val="0"/>
      <w:marTop w:val="0"/>
      <w:marBottom w:val="0"/>
      <w:divBdr>
        <w:top w:val="none" w:sz="0" w:space="0" w:color="auto"/>
        <w:left w:val="none" w:sz="0" w:space="0" w:color="auto"/>
        <w:bottom w:val="none" w:sz="0" w:space="0" w:color="auto"/>
        <w:right w:val="none" w:sz="0" w:space="0" w:color="auto"/>
      </w:divBdr>
    </w:div>
    <w:div w:id="1575242273">
      <w:bodyDiv w:val="1"/>
      <w:marLeft w:val="0"/>
      <w:marRight w:val="0"/>
      <w:marTop w:val="0"/>
      <w:marBottom w:val="0"/>
      <w:divBdr>
        <w:top w:val="none" w:sz="0" w:space="0" w:color="auto"/>
        <w:left w:val="none" w:sz="0" w:space="0" w:color="auto"/>
        <w:bottom w:val="none" w:sz="0" w:space="0" w:color="auto"/>
        <w:right w:val="none" w:sz="0" w:space="0" w:color="auto"/>
      </w:divBdr>
    </w:div>
    <w:div w:id="1601793360">
      <w:bodyDiv w:val="1"/>
      <w:marLeft w:val="0"/>
      <w:marRight w:val="0"/>
      <w:marTop w:val="0"/>
      <w:marBottom w:val="0"/>
      <w:divBdr>
        <w:top w:val="none" w:sz="0" w:space="0" w:color="auto"/>
        <w:left w:val="none" w:sz="0" w:space="0" w:color="auto"/>
        <w:bottom w:val="none" w:sz="0" w:space="0" w:color="auto"/>
        <w:right w:val="none" w:sz="0" w:space="0" w:color="auto"/>
      </w:divBdr>
    </w:div>
    <w:div w:id="1604798034">
      <w:bodyDiv w:val="1"/>
      <w:marLeft w:val="0"/>
      <w:marRight w:val="0"/>
      <w:marTop w:val="0"/>
      <w:marBottom w:val="0"/>
      <w:divBdr>
        <w:top w:val="none" w:sz="0" w:space="0" w:color="auto"/>
        <w:left w:val="none" w:sz="0" w:space="0" w:color="auto"/>
        <w:bottom w:val="none" w:sz="0" w:space="0" w:color="auto"/>
        <w:right w:val="none" w:sz="0" w:space="0" w:color="auto"/>
      </w:divBdr>
      <w:divsChild>
        <w:div w:id="1909882111">
          <w:marLeft w:val="0"/>
          <w:marRight w:val="0"/>
          <w:marTop w:val="0"/>
          <w:marBottom w:val="0"/>
          <w:divBdr>
            <w:top w:val="none" w:sz="0" w:space="0" w:color="auto"/>
            <w:left w:val="none" w:sz="0" w:space="0" w:color="auto"/>
            <w:bottom w:val="none" w:sz="0" w:space="0" w:color="auto"/>
            <w:right w:val="none" w:sz="0" w:space="0" w:color="auto"/>
          </w:divBdr>
        </w:div>
      </w:divsChild>
    </w:div>
    <w:div w:id="1644236920">
      <w:bodyDiv w:val="1"/>
      <w:marLeft w:val="0"/>
      <w:marRight w:val="0"/>
      <w:marTop w:val="0"/>
      <w:marBottom w:val="0"/>
      <w:divBdr>
        <w:top w:val="none" w:sz="0" w:space="0" w:color="auto"/>
        <w:left w:val="none" w:sz="0" w:space="0" w:color="auto"/>
        <w:bottom w:val="none" w:sz="0" w:space="0" w:color="auto"/>
        <w:right w:val="none" w:sz="0" w:space="0" w:color="auto"/>
      </w:divBdr>
    </w:div>
    <w:div w:id="1687825045">
      <w:bodyDiv w:val="1"/>
      <w:marLeft w:val="0"/>
      <w:marRight w:val="0"/>
      <w:marTop w:val="0"/>
      <w:marBottom w:val="0"/>
      <w:divBdr>
        <w:top w:val="none" w:sz="0" w:space="0" w:color="auto"/>
        <w:left w:val="none" w:sz="0" w:space="0" w:color="auto"/>
        <w:bottom w:val="none" w:sz="0" w:space="0" w:color="auto"/>
        <w:right w:val="none" w:sz="0" w:space="0" w:color="auto"/>
      </w:divBdr>
      <w:divsChild>
        <w:div w:id="913079330">
          <w:marLeft w:val="0"/>
          <w:marRight w:val="0"/>
          <w:marTop w:val="0"/>
          <w:marBottom w:val="0"/>
          <w:divBdr>
            <w:top w:val="none" w:sz="0" w:space="0" w:color="auto"/>
            <w:left w:val="none" w:sz="0" w:space="0" w:color="auto"/>
            <w:bottom w:val="none" w:sz="0" w:space="0" w:color="auto"/>
            <w:right w:val="none" w:sz="0" w:space="0" w:color="auto"/>
          </w:divBdr>
          <w:divsChild>
            <w:div w:id="1557546397">
              <w:marLeft w:val="0"/>
              <w:marRight w:val="0"/>
              <w:marTop w:val="0"/>
              <w:marBottom w:val="0"/>
              <w:divBdr>
                <w:top w:val="none" w:sz="0" w:space="0" w:color="auto"/>
                <w:left w:val="none" w:sz="0" w:space="0" w:color="auto"/>
                <w:bottom w:val="none" w:sz="0" w:space="0" w:color="auto"/>
                <w:right w:val="none" w:sz="0" w:space="0" w:color="auto"/>
              </w:divBdr>
              <w:divsChild>
                <w:div w:id="1969503252">
                  <w:marLeft w:val="0"/>
                  <w:marRight w:val="0"/>
                  <w:marTop w:val="0"/>
                  <w:marBottom w:val="0"/>
                  <w:divBdr>
                    <w:top w:val="none" w:sz="0" w:space="0" w:color="auto"/>
                    <w:left w:val="none" w:sz="0" w:space="0" w:color="auto"/>
                    <w:bottom w:val="none" w:sz="0" w:space="0" w:color="auto"/>
                    <w:right w:val="none" w:sz="0" w:space="0" w:color="auto"/>
                  </w:divBdr>
                  <w:divsChild>
                    <w:div w:id="361130118">
                      <w:marLeft w:val="0"/>
                      <w:marRight w:val="0"/>
                      <w:marTop w:val="0"/>
                      <w:marBottom w:val="0"/>
                      <w:divBdr>
                        <w:top w:val="none" w:sz="0" w:space="0" w:color="auto"/>
                        <w:left w:val="none" w:sz="0" w:space="0" w:color="auto"/>
                        <w:bottom w:val="none" w:sz="0" w:space="0" w:color="auto"/>
                        <w:right w:val="none" w:sz="0" w:space="0" w:color="auto"/>
                      </w:divBdr>
                      <w:divsChild>
                        <w:div w:id="191456670">
                          <w:marLeft w:val="0"/>
                          <w:marRight w:val="0"/>
                          <w:marTop w:val="0"/>
                          <w:marBottom w:val="0"/>
                          <w:divBdr>
                            <w:top w:val="none" w:sz="0" w:space="0" w:color="auto"/>
                            <w:left w:val="none" w:sz="0" w:space="0" w:color="auto"/>
                            <w:bottom w:val="none" w:sz="0" w:space="0" w:color="auto"/>
                            <w:right w:val="none" w:sz="0" w:space="0" w:color="auto"/>
                          </w:divBdr>
                          <w:divsChild>
                            <w:div w:id="1867255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5302120">
      <w:bodyDiv w:val="1"/>
      <w:marLeft w:val="0"/>
      <w:marRight w:val="0"/>
      <w:marTop w:val="0"/>
      <w:marBottom w:val="0"/>
      <w:divBdr>
        <w:top w:val="none" w:sz="0" w:space="0" w:color="auto"/>
        <w:left w:val="none" w:sz="0" w:space="0" w:color="auto"/>
        <w:bottom w:val="none" w:sz="0" w:space="0" w:color="auto"/>
        <w:right w:val="none" w:sz="0" w:space="0" w:color="auto"/>
      </w:divBdr>
    </w:div>
    <w:div w:id="1701927988">
      <w:bodyDiv w:val="1"/>
      <w:marLeft w:val="0"/>
      <w:marRight w:val="0"/>
      <w:marTop w:val="0"/>
      <w:marBottom w:val="0"/>
      <w:divBdr>
        <w:top w:val="none" w:sz="0" w:space="0" w:color="auto"/>
        <w:left w:val="none" w:sz="0" w:space="0" w:color="auto"/>
        <w:bottom w:val="none" w:sz="0" w:space="0" w:color="auto"/>
        <w:right w:val="none" w:sz="0" w:space="0" w:color="auto"/>
      </w:divBdr>
    </w:div>
    <w:div w:id="1702584050">
      <w:bodyDiv w:val="1"/>
      <w:marLeft w:val="0"/>
      <w:marRight w:val="0"/>
      <w:marTop w:val="0"/>
      <w:marBottom w:val="0"/>
      <w:divBdr>
        <w:top w:val="none" w:sz="0" w:space="0" w:color="auto"/>
        <w:left w:val="none" w:sz="0" w:space="0" w:color="auto"/>
        <w:bottom w:val="none" w:sz="0" w:space="0" w:color="auto"/>
        <w:right w:val="none" w:sz="0" w:space="0" w:color="auto"/>
      </w:divBdr>
    </w:div>
    <w:div w:id="1703745161">
      <w:bodyDiv w:val="1"/>
      <w:marLeft w:val="0"/>
      <w:marRight w:val="0"/>
      <w:marTop w:val="0"/>
      <w:marBottom w:val="0"/>
      <w:divBdr>
        <w:top w:val="none" w:sz="0" w:space="0" w:color="auto"/>
        <w:left w:val="none" w:sz="0" w:space="0" w:color="auto"/>
        <w:bottom w:val="none" w:sz="0" w:space="0" w:color="auto"/>
        <w:right w:val="none" w:sz="0" w:space="0" w:color="auto"/>
      </w:divBdr>
    </w:div>
    <w:div w:id="1712027730">
      <w:bodyDiv w:val="1"/>
      <w:marLeft w:val="0"/>
      <w:marRight w:val="0"/>
      <w:marTop w:val="0"/>
      <w:marBottom w:val="0"/>
      <w:divBdr>
        <w:top w:val="none" w:sz="0" w:space="0" w:color="auto"/>
        <w:left w:val="none" w:sz="0" w:space="0" w:color="auto"/>
        <w:bottom w:val="none" w:sz="0" w:space="0" w:color="auto"/>
        <w:right w:val="none" w:sz="0" w:space="0" w:color="auto"/>
      </w:divBdr>
    </w:div>
    <w:div w:id="1738432435">
      <w:bodyDiv w:val="1"/>
      <w:marLeft w:val="0"/>
      <w:marRight w:val="0"/>
      <w:marTop w:val="0"/>
      <w:marBottom w:val="0"/>
      <w:divBdr>
        <w:top w:val="none" w:sz="0" w:space="0" w:color="auto"/>
        <w:left w:val="none" w:sz="0" w:space="0" w:color="auto"/>
        <w:bottom w:val="none" w:sz="0" w:space="0" w:color="auto"/>
        <w:right w:val="none" w:sz="0" w:space="0" w:color="auto"/>
      </w:divBdr>
    </w:div>
    <w:div w:id="1740520812">
      <w:bodyDiv w:val="1"/>
      <w:marLeft w:val="0"/>
      <w:marRight w:val="0"/>
      <w:marTop w:val="0"/>
      <w:marBottom w:val="0"/>
      <w:divBdr>
        <w:top w:val="none" w:sz="0" w:space="0" w:color="auto"/>
        <w:left w:val="none" w:sz="0" w:space="0" w:color="auto"/>
        <w:bottom w:val="none" w:sz="0" w:space="0" w:color="auto"/>
        <w:right w:val="none" w:sz="0" w:space="0" w:color="auto"/>
      </w:divBdr>
    </w:div>
    <w:div w:id="1752196935">
      <w:bodyDiv w:val="1"/>
      <w:marLeft w:val="0"/>
      <w:marRight w:val="0"/>
      <w:marTop w:val="0"/>
      <w:marBottom w:val="0"/>
      <w:divBdr>
        <w:top w:val="none" w:sz="0" w:space="0" w:color="auto"/>
        <w:left w:val="none" w:sz="0" w:space="0" w:color="auto"/>
        <w:bottom w:val="none" w:sz="0" w:space="0" w:color="auto"/>
        <w:right w:val="none" w:sz="0" w:space="0" w:color="auto"/>
      </w:divBdr>
      <w:divsChild>
        <w:div w:id="391731432">
          <w:marLeft w:val="0"/>
          <w:marRight w:val="0"/>
          <w:marTop w:val="0"/>
          <w:marBottom w:val="0"/>
          <w:divBdr>
            <w:top w:val="none" w:sz="0" w:space="0" w:color="auto"/>
            <w:left w:val="none" w:sz="0" w:space="0" w:color="auto"/>
            <w:bottom w:val="none" w:sz="0" w:space="0" w:color="auto"/>
            <w:right w:val="none" w:sz="0" w:space="0" w:color="auto"/>
          </w:divBdr>
        </w:div>
      </w:divsChild>
    </w:div>
    <w:div w:id="1764567685">
      <w:bodyDiv w:val="1"/>
      <w:marLeft w:val="0"/>
      <w:marRight w:val="0"/>
      <w:marTop w:val="0"/>
      <w:marBottom w:val="0"/>
      <w:divBdr>
        <w:top w:val="none" w:sz="0" w:space="0" w:color="auto"/>
        <w:left w:val="none" w:sz="0" w:space="0" w:color="auto"/>
        <w:bottom w:val="none" w:sz="0" w:space="0" w:color="auto"/>
        <w:right w:val="none" w:sz="0" w:space="0" w:color="auto"/>
      </w:divBdr>
    </w:div>
    <w:div w:id="1779250800">
      <w:bodyDiv w:val="1"/>
      <w:marLeft w:val="0"/>
      <w:marRight w:val="0"/>
      <w:marTop w:val="0"/>
      <w:marBottom w:val="0"/>
      <w:divBdr>
        <w:top w:val="none" w:sz="0" w:space="0" w:color="auto"/>
        <w:left w:val="none" w:sz="0" w:space="0" w:color="auto"/>
        <w:bottom w:val="none" w:sz="0" w:space="0" w:color="auto"/>
        <w:right w:val="none" w:sz="0" w:space="0" w:color="auto"/>
      </w:divBdr>
    </w:div>
    <w:div w:id="1796286524">
      <w:bodyDiv w:val="1"/>
      <w:marLeft w:val="0"/>
      <w:marRight w:val="0"/>
      <w:marTop w:val="0"/>
      <w:marBottom w:val="0"/>
      <w:divBdr>
        <w:top w:val="none" w:sz="0" w:space="0" w:color="auto"/>
        <w:left w:val="none" w:sz="0" w:space="0" w:color="auto"/>
        <w:bottom w:val="none" w:sz="0" w:space="0" w:color="auto"/>
        <w:right w:val="none" w:sz="0" w:space="0" w:color="auto"/>
      </w:divBdr>
    </w:div>
    <w:div w:id="1801224095">
      <w:bodyDiv w:val="1"/>
      <w:marLeft w:val="0"/>
      <w:marRight w:val="0"/>
      <w:marTop w:val="0"/>
      <w:marBottom w:val="0"/>
      <w:divBdr>
        <w:top w:val="none" w:sz="0" w:space="0" w:color="auto"/>
        <w:left w:val="none" w:sz="0" w:space="0" w:color="auto"/>
        <w:bottom w:val="none" w:sz="0" w:space="0" w:color="auto"/>
        <w:right w:val="none" w:sz="0" w:space="0" w:color="auto"/>
      </w:divBdr>
    </w:div>
    <w:div w:id="1822694140">
      <w:bodyDiv w:val="1"/>
      <w:marLeft w:val="0"/>
      <w:marRight w:val="0"/>
      <w:marTop w:val="0"/>
      <w:marBottom w:val="0"/>
      <w:divBdr>
        <w:top w:val="none" w:sz="0" w:space="0" w:color="auto"/>
        <w:left w:val="none" w:sz="0" w:space="0" w:color="auto"/>
        <w:bottom w:val="none" w:sz="0" w:space="0" w:color="auto"/>
        <w:right w:val="none" w:sz="0" w:space="0" w:color="auto"/>
      </w:divBdr>
    </w:div>
    <w:div w:id="1871800890">
      <w:bodyDiv w:val="1"/>
      <w:marLeft w:val="0"/>
      <w:marRight w:val="0"/>
      <w:marTop w:val="0"/>
      <w:marBottom w:val="0"/>
      <w:divBdr>
        <w:top w:val="none" w:sz="0" w:space="0" w:color="auto"/>
        <w:left w:val="none" w:sz="0" w:space="0" w:color="auto"/>
        <w:bottom w:val="none" w:sz="0" w:space="0" w:color="auto"/>
        <w:right w:val="none" w:sz="0" w:space="0" w:color="auto"/>
      </w:divBdr>
    </w:div>
    <w:div w:id="1896502735">
      <w:bodyDiv w:val="1"/>
      <w:marLeft w:val="0"/>
      <w:marRight w:val="0"/>
      <w:marTop w:val="0"/>
      <w:marBottom w:val="0"/>
      <w:divBdr>
        <w:top w:val="none" w:sz="0" w:space="0" w:color="auto"/>
        <w:left w:val="none" w:sz="0" w:space="0" w:color="auto"/>
        <w:bottom w:val="none" w:sz="0" w:space="0" w:color="auto"/>
        <w:right w:val="none" w:sz="0" w:space="0" w:color="auto"/>
      </w:divBdr>
    </w:div>
    <w:div w:id="1900438541">
      <w:bodyDiv w:val="1"/>
      <w:marLeft w:val="0"/>
      <w:marRight w:val="0"/>
      <w:marTop w:val="0"/>
      <w:marBottom w:val="0"/>
      <w:divBdr>
        <w:top w:val="none" w:sz="0" w:space="0" w:color="auto"/>
        <w:left w:val="none" w:sz="0" w:space="0" w:color="auto"/>
        <w:bottom w:val="none" w:sz="0" w:space="0" w:color="auto"/>
        <w:right w:val="none" w:sz="0" w:space="0" w:color="auto"/>
      </w:divBdr>
    </w:div>
    <w:div w:id="1920483295">
      <w:bodyDiv w:val="1"/>
      <w:marLeft w:val="0"/>
      <w:marRight w:val="0"/>
      <w:marTop w:val="0"/>
      <w:marBottom w:val="0"/>
      <w:divBdr>
        <w:top w:val="none" w:sz="0" w:space="0" w:color="auto"/>
        <w:left w:val="none" w:sz="0" w:space="0" w:color="auto"/>
        <w:bottom w:val="none" w:sz="0" w:space="0" w:color="auto"/>
        <w:right w:val="none" w:sz="0" w:space="0" w:color="auto"/>
      </w:divBdr>
    </w:div>
    <w:div w:id="1940218980">
      <w:bodyDiv w:val="1"/>
      <w:marLeft w:val="0"/>
      <w:marRight w:val="0"/>
      <w:marTop w:val="0"/>
      <w:marBottom w:val="0"/>
      <w:divBdr>
        <w:top w:val="none" w:sz="0" w:space="0" w:color="auto"/>
        <w:left w:val="none" w:sz="0" w:space="0" w:color="auto"/>
        <w:bottom w:val="none" w:sz="0" w:space="0" w:color="auto"/>
        <w:right w:val="none" w:sz="0" w:space="0" w:color="auto"/>
      </w:divBdr>
    </w:div>
    <w:div w:id="1967656482">
      <w:bodyDiv w:val="1"/>
      <w:marLeft w:val="0"/>
      <w:marRight w:val="0"/>
      <w:marTop w:val="0"/>
      <w:marBottom w:val="0"/>
      <w:divBdr>
        <w:top w:val="none" w:sz="0" w:space="0" w:color="auto"/>
        <w:left w:val="none" w:sz="0" w:space="0" w:color="auto"/>
        <w:bottom w:val="none" w:sz="0" w:space="0" w:color="auto"/>
        <w:right w:val="none" w:sz="0" w:space="0" w:color="auto"/>
      </w:divBdr>
    </w:div>
    <w:div w:id="1982692227">
      <w:marLeft w:val="0"/>
      <w:marRight w:val="0"/>
      <w:marTop w:val="0"/>
      <w:marBottom w:val="0"/>
      <w:divBdr>
        <w:top w:val="none" w:sz="0" w:space="0" w:color="auto"/>
        <w:left w:val="none" w:sz="0" w:space="0" w:color="auto"/>
        <w:bottom w:val="none" w:sz="0" w:space="0" w:color="auto"/>
        <w:right w:val="none" w:sz="0" w:space="0" w:color="auto"/>
      </w:divBdr>
    </w:div>
    <w:div w:id="1982692228">
      <w:marLeft w:val="0"/>
      <w:marRight w:val="0"/>
      <w:marTop w:val="0"/>
      <w:marBottom w:val="0"/>
      <w:divBdr>
        <w:top w:val="none" w:sz="0" w:space="0" w:color="auto"/>
        <w:left w:val="none" w:sz="0" w:space="0" w:color="auto"/>
        <w:bottom w:val="none" w:sz="0" w:space="0" w:color="auto"/>
        <w:right w:val="none" w:sz="0" w:space="0" w:color="auto"/>
      </w:divBdr>
    </w:div>
    <w:div w:id="1982692229">
      <w:marLeft w:val="0"/>
      <w:marRight w:val="0"/>
      <w:marTop w:val="0"/>
      <w:marBottom w:val="0"/>
      <w:divBdr>
        <w:top w:val="none" w:sz="0" w:space="0" w:color="auto"/>
        <w:left w:val="none" w:sz="0" w:space="0" w:color="auto"/>
        <w:bottom w:val="none" w:sz="0" w:space="0" w:color="auto"/>
        <w:right w:val="none" w:sz="0" w:space="0" w:color="auto"/>
      </w:divBdr>
    </w:div>
    <w:div w:id="1982692230">
      <w:marLeft w:val="0"/>
      <w:marRight w:val="0"/>
      <w:marTop w:val="0"/>
      <w:marBottom w:val="0"/>
      <w:divBdr>
        <w:top w:val="none" w:sz="0" w:space="0" w:color="auto"/>
        <w:left w:val="none" w:sz="0" w:space="0" w:color="auto"/>
        <w:bottom w:val="none" w:sz="0" w:space="0" w:color="auto"/>
        <w:right w:val="none" w:sz="0" w:space="0" w:color="auto"/>
      </w:divBdr>
    </w:div>
    <w:div w:id="1982692231">
      <w:marLeft w:val="0"/>
      <w:marRight w:val="0"/>
      <w:marTop w:val="0"/>
      <w:marBottom w:val="0"/>
      <w:divBdr>
        <w:top w:val="none" w:sz="0" w:space="0" w:color="auto"/>
        <w:left w:val="none" w:sz="0" w:space="0" w:color="auto"/>
        <w:bottom w:val="none" w:sz="0" w:space="0" w:color="auto"/>
        <w:right w:val="none" w:sz="0" w:space="0" w:color="auto"/>
      </w:divBdr>
    </w:div>
    <w:div w:id="1982692234">
      <w:marLeft w:val="0"/>
      <w:marRight w:val="0"/>
      <w:marTop w:val="0"/>
      <w:marBottom w:val="0"/>
      <w:divBdr>
        <w:top w:val="none" w:sz="0" w:space="0" w:color="auto"/>
        <w:left w:val="none" w:sz="0" w:space="0" w:color="auto"/>
        <w:bottom w:val="none" w:sz="0" w:space="0" w:color="auto"/>
        <w:right w:val="none" w:sz="0" w:space="0" w:color="auto"/>
      </w:divBdr>
    </w:div>
    <w:div w:id="1982692237">
      <w:marLeft w:val="0"/>
      <w:marRight w:val="0"/>
      <w:marTop w:val="0"/>
      <w:marBottom w:val="0"/>
      <w:divBdr>
        <w:top w:val="none" w:sz="0" w:space="0" w:color="auto"/>
        <w:left w:val="none" w:sz="0" w:space="0" w:color="auto"/>
        <w:bottom w:val="none" w:sz="0" w:space="0" w:color="auto"/>
        <w:right w:val="none" w:sz="0" w:space="0" w:color="auto"/>
      </w:divBdr>
    </w:div>
    <w:div w:id="1982692238">
      <w:marLeft w:val="0"/>
      <w:marRight w:val="0"/>
      <w:marTop w:val="0"/>
      <w:marBottom w:val="0"/>
      <w:divBdr>
        <w:top w:val="none" w:sz="0" w:space="0" w:color="auto"/>
        <w:left w:val="none" w:sz="0" w:space="0" w:color="auto"/>
        <w:bottom w:val="none" w:sz="0" w:space="0" w:color="auto"/>
        <w:right w:val="none" w:sz="0" w:space="0" w:color="auto"/>
      </w:divBdr>
      <w:divsChild>
        <w:div w:id="1982692262">
          <w:marLeft w:val="0"/>
          <w:marRight w:val="0"/>
          <w:marTop w:val="0"/>
          <w:marBottom w:val="0"/>
          <w:divBdr>
            <w:top w:val="none" w:sz="0" w:space="0" w:color="auto"/>
            <w:left w:val="none" w:sz="0" w:space="0" w:color="auto"/>
            <w:bottom w:val="none" w:sz="0" w:space="0" w:color="auto"/>
            <w:right w:val="none" w:sz="0" w:space="0" w:color="auto"/>
          </w:divBdr>
          <w:divsChild>
            <w:div w:id="1982692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39">
      <w:marLeft w:val="0"/>
      <w:marRight w:val="0"/>
      <w:marTop w:val="0"/>
      <w:marBottom w:val="0"/>
      <w:divBdr>
        <w:top w:val="none" w:sz="0" w:space="0" w:color="auto"/>
        <w:left w:val="none" w:sz="0" w:space="0" w:color="auto"/>
        <w:bottom w:val="none" w:sz="0" w:space="0" w:color="auto"/>
        <w:right w:val="none" w:sz="0" w:space="0" w:color="auto"/>
      </w:divBdr>
      <w:divsChild>
        <w:div w:id="1982692250">
          <w:marLeft w:val="0"/>
          <w:marRight w:val="0"/>
          <w:marTop w:val="0"/>
          <w:marBottom w:val="0"/>
          <w:divBdr>
            <w:top w:val="none" w:sz="0" w:space="0" w:color="auto"/>
            <w:left w:val="none" w:sz="0" w:space="0" w:color="auto"/>
            <w:bottom w:val="none" w:sz="0" w:space="0" w:color="auto"/>
            <w:right w:val="none" w:sz="0" w:space="0" w:color="auto"/>
          </w:divBdr>
          <w:divsChild>
            <w:div w:id="1982692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40">
      <w:marLeft w:val="0"/>
      <w:marRight w:val="0"/>
      <w:marTop w:val="0"/>
      <w:marBottom w:val="0"/>
      <w:divBdr>
        <w:top w:val="none" w:sz="0" w:space="0" w:color="auto"/>
        <w:left w:val="none" w:sz="0" w:space="0" w:color="auto"/>
        <w:bottom w:val="none" w:sz="0" w:space="0" w:color="auto"/>
        <w:right w:val="none" w:sz="0" w:space="0" w:color="auto"/>
      </w:divBdr>
    </w:div>
    <w:div w:id="1982692241">
      <w:marLeft w:val="0"/>
      <w:marRight w:val="0"/>
      <w:marTop w:val="0"/>
      <w:marBottom w:val="0"/>
      <w:divBdr>
        <w:top w:val="none" w:sz="0" w:space="0" w:color="auto"/>
        <w:left w:val="none" w:sz="0" w:space="0" w:color="auto"/>
        <w:bottom w:val="none" w:sz="0" w:space="0" w:color="auto"/>
        <w:right w:val="none" w:sz="0" w:space="0" w:color="auto"/>
      </w:divBdr>
    </w:div>
    <w:div w:id="1982692242">
      <w:marLeft w:val="0"/>
      <w:marRight w:val="0"/>
      <w:marTop w:val="0"/>
      <w:marBottom w:val="0"/>
      <w:divBdr>
        <w:top w:val="none" w:sz="0" w:space="0" w:color="auto"/>
        <w:left w:val="none" w:sz="0" w:space="0" w:color="auto"/>
        <w:bottom w:val="none" w:sz="0" w:space="0" w:color="auto"/>
        <w:right w:val="none" w:sz="0" w:space="0" w:color="auto"/>
      </w:divBdr>
    </w:div>
    <w:div w:id="1982692243">
      <w:marLeft w:val="0"/>
      <w:marRight w:val="0"/>
      <w:marTop w:val="0"/>
      <w:marBottom w:val="0"/>
      <w:divBdr>
        <w:top w:val="none" w:sz="0" w:space="0" w:color="auto"/>
        <w:left w:val="none" w:sz="0" w:space="0" w:color="auto"/>
        <w:bottom w:val="none" w:sz="0" w:space="0" w:color="auto"/>
        <w:right w:val="none" w:sz="0" w:space="0" w:color="auto"/>
      </w:divBdr>
      <w:divsChild>
        <w:div w:id="1982692232">
          <w:marLeft w:val="547"/>
          <w:marRight w:val="0"/>
          <w:marTop w:val="115"/>
          <w:marBottom w:val="0"/>
          <w:divBdr>
            <w:top w:val="none" w:sz="0" w:space="0" w:color="auto"/>
            <w:left w:val="none" w:sz="0" w:space="0" w:color="auto"/>
            <w:bottom w:val="none" w:sz="0" w:space="0" w:color="auto"/>
            <w:right w:val="none" w:sz="0" w:space="0" w:color="auto"/>
          </w:divBdr>
        </w:div>
      </w:divsChild>
    </w:div>
    <w:div w:id="1982692245">
      <w:marLeft w:val="0"/>
      <w:marRight w:val="0"/>
      <w:marTop w:val="0"/>
      <w:marBottom w:val="0"/>
      <w:divBdr>
        <w:top w:val="none" w:sz="0" w:space="0" w:color="auto"/>
        <w:left w:val="none" w:sz="0" w:space="0" w:color="auto"/>
        <w:bottom w:val="none" w:sz="0" w:space="0" w:color="auto"/>
        <w:right w:val="none" w:sz="0" w:space="0" w:color="auto"/>
      </w:divBdr>
    </w:div>
    <w:div w:id="1982692246">
      <w:marLeft w:val="0"/>
      <w:marRight w:val="0"/>
      <w:marTop w:val="0"/>
      <w:marBottom w:val="0"/>
      <w:divBdr>
        <w:top w:val="none" w:sz="0" w:space="0" w:color="auto"/>
        <w:left w:val="none" w:sz="0" w:space="0" w:color="auto"/>
        <w:bottom w:val="none" w:sz="0" w:space="0" w:color="auto"/>
        <w:right w:val="none" w:sz="0" w:space="0" w:color="auto"/>
      </w:divBdr>
    </w:div>
    <w:div w:id="1982692247">
      <w:marLeft w:val="0"/>
      <w:marRight w:val="0"/>
      <w:marTop w:val="0"/>
      <w:marBottom w:val="0"/>
      <w:divBdr>
        <w:top w:val="none" w:sz="0" w:space="0" w:color="auto"/>
        <w:left w:val="none" w:sz="0" w:space="0" w:color="auto"/>
        <w:bottom w:val="none" w:sz="0" w:space="0" w:color="auto"/>
        <w:right w:val="none" w:sz="0" w:space="0" w:color="auto"/>
      </w:divBdr>
      <w:divsChild>
        <w:div w:id="1982692248">
          <w:marLeft w:val="0"/>
          <w:marRight w:val="0"/>
          <w:marTop w:val="0"/>
          <w:marBottom w:val="0"/>
          <w:divBdr>
            <w:top w:val="none" w:sz="0" w:space="0" w:color="auto"/>
            <w:left w:val="none" w:sz="0" w:space="0" w:color="auto"/>
            <w:bottom w:val="none" w:sz="0" w:space="0" w:color="auto"/>
            <w:right w:val="none" w:sz="0" w:space="0" w:color="auto"/>
          </w:divBdr>
          <w:divsChild>
            <w:div w:id="1982692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49">
      <w:marLeft w:val="0"/>
      <w:marRight w:val="0"/>
      <w:marTop w:val="0"/>
      <w:marBottom w:val="0"/>
      <w:divBdr>
        <w:top w:val="none" w:sz="0" w:space="0" w:color="auto"/>
        <w:left w:val="none" w:sz="0" w:space="0" w:color="auto"/>
        <w:bottom w:val="none" w:sz="0" w:space="0" w:color="auto"/>
        <w:right w:val="none" w:sz="0" w:space="0" w:color="auto"/>
      </w:divBdr>
      <w:divsChild>
        <w:div w:id="1982692233">
          <w:marLeft w:val="0"/>
          <w:marRight w:val="0"/>
          <w:marTop w:val="0"/>
          <w:marBottom w:val="0"/>
          <w:divBdr>
            <w:top w:val="none" w:sz="0" w:space="0" w:color="auto"/>
            <w:left w:val="none" w:sz="0" w:space="0" w:color="auto"/>
            <w:bottom w:val="none" w:sz="0" w:space="0" w:color="auto"/>
            <w:right w:val="none" w:sz="0" w:space="0" w:color="auto"/>
          </w:divBdr>
          <w:divsChild>
            <w:div w:id="1982692235">
              <w:marLeft w:val="0"/>
              <w:marRight w:val="0"/>
              <w:marTop w:val="0"/>
              <w:marBottom w:val="0"/>
              <w:divBdr>
                <w:top w:val="none" w:sz="0" w:space="0" w:color="auto"/>
                <w:left w:val="none" w:sz="0" w:space="0" w:color="auto"/>
                <w:bottom w:val="none" w:sz="0" w:space="0" w:color="auto"/>
                <w:right w:val="none" w:sz="0" w:space="0" w:color="auto"/>
              </w:divBdr>
            </w:div>
            <w:div w:id="1982692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51">
      <w:marLeft w:val="0"/>
      <w:marRight w:val="0"/>
      <w:marTop w:val="0"/>
      <w:marBottom w:val="0"/>
      <w:divBdr>
        <w:top w:val="none" w:sz="0" w:space="0" w:color="auto"/>
        <w:left w:val="none" w:sz="0" w:space="0" w:color="auto"/>
        <w:bottom w:val="none" w:sz="0" w:space="0" w:color="auto"/>
        <w:right w:val="none" w:sz="0" w:space="0" w:color="auto"/>
      </w:divBdr>
    </w:div>
    <w:div w:id="1982692254">
      <w:marLeft w:val="0"/>
      <w:marRight w:val="0"/>
      <w:marTop w:val="0"/>
      <w:marBottom w:val="0"/>
      <w:divBdr>
        <w:top w:val="none" w:sz="0" w:space="0" w:color="auto"/>
        <w:left w:val="none" w:sz="0" w:space="0" w:color="auto"/>
        <w:bottom w:val="none" w:sz="0" w:space="0" w:color="auto"/>
        <w:right w:val="none" w:sz="0" w:space="0" w:color="auto"/>
      </w:divBdr>
    </w:div>
    <w:div w:id="1982692255">
      <w:marLeft w:val="0"/>
      <w:marRight w:val="0"/>
      <w:marTop w:val="0"/>
      <w:marBottom w:val="0"/>
      <w:divBdr>
        <w:top w:val="none" w:sz="0" w:space="0" w:color="auto"/>
        <w:left w:val="none" w:sz="0" w:space="0" w:color="auto"/>
        <w:bottom w:val="none" w:sz="0" w:space="0" w:color="auto"/>
        <w:right w:val="none" w:sz="0" w:space="0" w:color="auto"/>
      </w:divBdr>
      <w:divsChild>
        <w:div w:id="1982692259">
          <w:marLeft w:val="0"/>
          <w:marRight w:val="0"/>
          <w:marTop w:val="0"/>
          <w:marBottom w:val="0"/>
          <w:divBdr>
            <w:top w:val="none" w:sz="0" w:space="0" w:color="auto"/>
            <w:left w:val="none" w:sz="0" w:space="0" w:color="auto"/>
            <w:bottom w:val="none" w:sz="0" w:space="0" w:color="auto"/>
            <w:right w:val="none" w:sz="0" w:space="0" w:color="auto"/>
          </w:divBdr>
          <w:divsChild>
            <w:div w:id="1982692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58">
      <w:marLeft w:val="0"/>
      <w:marRight w:val="0"/>
      <w:marTop w:val="0"/>
      <w:marBottom w:val="0"/>
      <w:divBdr>
        <w:top w:val="none" w:sz="0" w:space="0" w:color="auto"/>
        <w:left w:val="none" w:sz="0" w:space="0" w:color="auto"/>
        <w:bottom w:val="none" w:sz="0" w:space="0" w:color="auto"/>
        <w:right w:val="none" w:sz="0" w:space="0" w:color="auto"/>
      </w:divBdr>
    </w:div>
    <w:div w:id="1982692260">
      <w:marLeft w:val="0"/>
      <w:marRight w:val="0"/>
      <w:marTop w:val="0"/>
      <w:marBottom w:val="0"/>
      <w:divBdr>
        <w:top w:val="none" w:sz="0" w:space="0" w:color="auto"/>
        <w:left w:val="none" w:sz="0" w:space="0" w:color="auto"/>
        <w:bottom w:val="none" w:sz="0" w:space="0" w:color="auto"/>
        <w:right w:val="none" w:sz="0" w:space="0" w:color="auto"/>
      </w:divBdr>
    </w:div>
    <w:div w:id="1982692261">
      <w:marLeft w:val="0"/>
      <w:marRight w:val="0"/>
      <w:marTop w:val="0"/>
      <w:marBottom w:val="0"/>
      <w:divBdr>
        <w:top w:val="none" w:sz="0" w:space="0" w:color="auto"/>
        <w:left w:val="none" w:sz="0" w:space="0" w:color="auto"/>
        <w:bottom w:val="none" w:sz="0" w:space="0" w:color="auto"/>
        <w:right w:val="none" w:sz="0" w:space="0" w:color="auto"/>
      </w:divBdr>
    </w:div>
    <w:div w:id="1982692263">
      <w:marLeft w:val="0"/>
      <w:marRight w:val="0"/>
      <w:marTop w:val="0"/>
      <w:marBottom w:val="0"/>
      <w:divBdr>
        <w:top w:val="none" w:sz="0" w:space="0" w:color="auto"/>
        <w:left w:val="none" w:sz="0" w:space="0" w:color="auto"/>
        <w:bottom w:val="none" w:sz="0" w:space="0" w:color="auto"/>
        <w:right w:val="none" w:sz="0" w:space="0" w:color="auto"/>
      </w:divBdr>
    </w:div>
    <w:div w:id="1982692264">
      <w:marLeft w:val="0"/>
      <w:marRight w:val="0"/>
      <w:marTop w:val="0"/>
      <w:marBottom w:val="0"/>
      <w:divBdr>
        <w:top w:val="none" w:sz="0" w:space="0" w:color="auto"/>
        <w:left w:val="none" w:sz="0" w:space="0" w:color="auto"/>
        <w:bottom w:val="none" w:sz="0" w:space="0" w:color="auto"/>
        <w:right w:val="none" w:sz="0" w:space="0" w:color="auto"/>
      </w:divBdr>
      <w:divsChild>
        <w:div w:id="1982692236">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1982692265">
      <w:marLeft w:val="0"/>
      <w:marRight w:val="0"/>
      <w:marTop w:val="0"/>
      <w:marBottom w:val="0"/>
      <w:divBdr>
        <w:top w:val="none" w:sz="0" w:space="0" w:color="auto"/>
        <w:left w:val="none" w:sz="0" w:space="0" w:color="auto"/>
        <w:bottom w:val="none" w:sz="0" w:space="0" w:color="auto"/>
        <w:right w:val="none" w:sz="0" w:space="0" w:color="auto"/>
      </w:divBdr>
    </w:div>
    <w:div w:id="1982692266">
      <w:marLeft w:val="0"/>
      <w:marRight w:val="0"/>
      <w:marTop w:val="0"/>
      <w:marBottom w:val="0"/>
      <w:divBdr>
        <w:top w:val="none" w:sz="0" w:space="0" w:color="auto"/>
        <w:left w:val="none" w:sz="0" w:space="0" w:color="auto"/>
        <w:bottom w:val="none" w:sz="0" w:space="0" w:color="auto"/>
        <w:right w:val="none" w:sz="0" w:space="0" w:color="auto"/>
      </w:divBdr>
    </w:div>
    <w:div w:id="1982692267">
      <w:marLeft w:val="0"/>
      <w:marRight w:val="0"/>
      <w:marTop w:val="0"/>
      <w:marBottom w:val="0"/>
      <w:divBdr>
        <w:top w:val="none" w:sz="0" w:space="0" w:color="auto"/>
        <w:left w:val="none" w:sz="0" w:space="0" w:color="auto"/>
        <w:bottom w:val="none" w:sz="0" w:space="0" w:color="auto"/>
        <w:right w:val="none" w:sz="0" w:space="0" w:color="auto"/>
      </w:divBdr>
    </w:div>
    <w:div w:id="1982692268">
      <w:marLeft w:val="0"/>
      <w:marRight w:val="0"/>
      <w:marTop w:val="0"/>
      <w:marBottom w:val="0"/>
      <w:divBdr>
        <w:top w:val="none" w:sz="0" w:space="0" w:color="auto"/>
        <w:left w:val="none" w:sz="0" w:space="0" w:color="auto"/>
        <w:bottom w:val="none" w:sz="0" w:space="0" w:color="auto"/>
        <w:right w:val="none" w:sz="0" w:space="0" w:color="auto"/>
      </w:divBdr>
    </w:div>
    <w:div w:id="1982692269">
      <w:marLeft w:val="0"/>
      <w:marRight w:val="0"/>
      <w:marTop w:val="0"/>
      <w:marBottom w:val="0"/>
      <w:divBdr>
        <w:top w:val="none" w:sz="0" w:space="0" w:color="auto"/>
        <w:left w:val="none" w:sz="0" w:space="0" w:color="auto"/>
        <w:bottom w:val="none" w:sz="0" w:space="0" w:color="auto"/>
        <w:right w:val="none" w:sz="0" w:space="0" w:color="auto"/>
      </w:divBdr>
    </w:div>
    <w:div w:id="1982692270">
      <w:marLeft w:val="0"/>
      <w:marRight w:val="0"/>
      <w:marTop w:val="0"/>
      <w:marBottom w:val="0"/>
      <w:divBdr>
        <w:top w:val="none" w:sz="0" w:space="0" w:color="auto"/>
        <w:left w:val="none" w:sz="0" w:space="0" w:color="auto"/>
        <w:bottom w:val="none" w:sz="0" w:space="0" w:color="auto"/>
        <w:right w:val="none" w:sz="0" w:space="0" w:color="auto"/>
      </w:divBdr>
    </w:div>
    <w:div w:id="1982692273">
      <w:marLeft w:val="0"/>
      <w:marRight w:val="0"/>
      <w:marTop w:val="0"/>
      <w:marBottom w:val="0"/>
      <w:divBdr>
        <w:top w:val="none" w:sz="0" w:space="0" w:color="auto"/>
        <w:left w:val="none" w:sz="0" w:space="0" w:color="auto"/>
        <w:bottom w:val="none" w:sz="0" w:space="0" w:color="auto"/>
        <w:right w:val="none" w:sz="0" w:space="0" w:color="auto"/>
      </w:divBdr>
    </w:div>
    <w:div w:id="1982692276">
      <w:marLeft w:val="0"/>
      <w:marRight w:val="0"/>
      <w:marTop w:val="0"/>
      <w:marBottom w:val="0"/>
      <w:divBdr>
        <w:top w:val="none" w:sz="0" w:space="0" w:color="auto"/>
        <w:left w:val="none" w:sz="0" w:space="0" w:color="auto"/>
        <w:bottom w:val="none" w:sz="0" w:space="0" w:color="auto"/>
        <w:right w:val="none" w:sz="0" w:space="0" w:color="auto"/>
      </w:divBdr>
    </w:div>
    <w:div w:id="1982692277">
      <w:marLeft w:val="0"/>
      <w:marRight w:val="0"/>
      <w:marTop w:val="0"/>
      <w:marBottom w:val="0"/>
      <w:divBdr>
        <w:top w:val="none" w:sz="0" w:space="0" w:color="auto"/>
        <w:left w:val="none" w:sz="0" w:space="0" w:color="auto"/>
        <w:bottom w:val="none" w:sz="0" w:space="0" w:color="auto"/>
        <w:right w:val="none" w:sz="0" w:space="0" w:color="auto"/>
      </w:divBdr>
      <w:divsChild>
        <w:div w:id="1982692301">
          <w:marLeft w:val="0"/>
          <w:marRight w:val="0"/>
          <w:marTop w:val="0"/>
          <w:marBottom w:val="0"/>
          <w:divBdr>
            <w:top w:val="none" w:sz="0" w:space="0" w:color="auto"/>
            <w:left w:val="none" w:sz="0" w:space="0" w:color="auto"/>
            <w:bottom w:val="none" w:sz="0" w:space="0" w:color="auto"/>
            <w:right w:val="none" w:sz="0" w:space="0" w:color="auto"/>
          </w:divBdr>
          <w:divsChild>
            <w:div w:id="1982692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78">
      <w:marLeft w:val="0"/>
      <w:marRight w:val="0"/>
      <w:marTop w:val="0"/>
      <w:marBottom w:val="0"/>
      <w:divBdr>
        <w:top w:val="none" w:sz="0" w:space="0" w:color="auto"/>
        <w:left w:val="none" w:sz="0" w:space="0" w:color="auto"/>
        <w:bottom w:val="none" w:sz="0" w:space="0" w:color="auto"/>
        <w:right w:val="none" w:sz="0" w:space="0" w:color="auto"/>
      </w:divBdr>
      <w:divsChild>
        <w:div w:id="1982692289">
          <w:marLeft w:val="0"/>
          <w:marRight w:val="0"/>
          <w:marTop w:val="0"/>
          <w:marBottom w:val="0"/>
          <w:divBdr>
            <w:top w:val="none" w:sz="0" w:space="0" w:color="auto"/>
            <w:left w:val="none" w:sz="0" w:space="0" w:color="auto"/>
            <w:bottom w:val="none" w:sz="0" w:space="0" w:color="auto"/>
            <w:right w:val="none" w:sz="0" w:space="0" w:color="auto"/>
          </w:divBdr>
          <w:divsChild>
            <w:div w:id="1982692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79">
      <w:marLeft w:val="0"/>
      <w:marRight w:val="0"/>
      <w:marTop w:val="0"/>
      <w:marBottom w:val="0"/>
      <w:divBdr>
        <w:top w:val="none" w:sz="0" w:space="0" w:color="auto"/>
        <w:left w:val="none" w:sz="0" w:space="0" w:color="auto"/>
        <w:bottom w:val="none" w:sz="0" w:space="0" w:color="auto"/>
        <w:right w:val="none" w:sz="0" w:space="0" w:color="auto"/>
      </w:divBdr>
    </w:div>
    <w:div w:id="1982692280">
      <w:marLeft w:val="0"/>
      <w:marRight w:val="0"/>
      <w:marTop w:val="0"/>
      <w:marBottom w:val="0"/>
      <w:divBdr>
        <w:top w:val="none" w:sz="0" w:space="0" w:color="auto"/>
        <w:left w:val="none" w:sz="0" w:space="0" w:color="auto"/>
        <w:bottom w:val="none" w:sz="0" w:space="0" w:color="auto"/>
        <w:right w:val="none" w:sz="0" w:space="0" w:color="auto"/>
      </w:divBdr>
    </w:div>
    <w:div w:id="1982692281">
      <w:marLeft w:val="0"/>
      <w:marRight w:val="0"/>
      <w:marTop w:val="0"/>
      <w:marBottom w:val="0"/>
      <w:divBdr>
        <w:top w:val="none" w:sz="0" w:space="0" w:color="auto"/>
        <w:left w:val="none" w:sz="0" w:space="0" w:color="auto"/>
        <w:bottom w:val="none" w:sz="0" w:space="0" w:color="auto"/>
        <w:right w:val="none" w:sz="0" w:space="0" w:color="auto"/>
      </w:divBdr>
    </w:div>
    <w:div w:id="1982692282">
      <w:marLeft w:val="0"/>
      <w:marRight w:val="0"/>
      <w:marTop w:val="0"/>
      <w:marBottom w:val="0"/>
      <w:divBdr>
        <w:top w:val="none" w:sz="0" w:space="0" w:color="auto"/>
        <w:left w:val="none" w:sz="0" w:space="0" w:color="auto"/>
        <w:bottom w:val="none" w:sz="0" w:space="0" w:color="auto"/>
        <w:right w:val="none" w:sz="0" w:space="0" w:color="auto"/>
      </w:divBdr>
      <w:divsChild>
        <w:div w:id="1982692271">
          <w:marLeft w:val="547"/>
          <w:marRight w:val="0"/>
          <w:marTop w:val="115"/>
          <w:marBottom w:val="0"/>
          <w:divBdr>
            <w:top w:val="none" w:sz="0" w:space="0" w:color="auto"/>
            <w:left w:val="none" w:sz="0" w:space="0" w:color="auto"/>
            <w:bottom w:val="none" w:sz="0" w:space="0" w:color="auto"/>
            <w:right w:val="none" w:sz="0" w:space="0" w:color="auto"/>
          </w:divBdr>
        </w:div>
      </w:divsChild>
    </w:div>
    <w:div w:id="1982692284">
      <w:marLeft w:val="0"/>
      <w:marRight w:val="0"/>
      <w:marTop w:val="0"/>
      <w:marBottom w:val="0"/>
      <w:divBdr>
        <w:top w:val="none" w:sz="0" w:space="0" w:color="auto"/>
        <w:left w:val="none" w:sz="0" w:space="0" w:color="auto"/>
        <w:bottom w:val="none" w:sz="0" w:space="0" w:color="auto"/>
        <w:right w:val="none" w:sz="0" w:space="0" w:color="auto"/>
      </w:divBdr>
    </w:div>
    <w:div w:id="1982692285">
      <w:marLeft w:val="0"/>
      <w:marRight w:val="0"/>
      <w:marTop w:val="0"/>
      <w:marBottom w:val="0"/>
      <w:divBdr>
        <w:top w:val="none" w:sz="0" w:space="0" w:color="auto"/>
        <w:left w:val="none" w:sz="0" w:space="0" w:color="auto"/>
        <w:bottom w:val="none" w:sz="0" w:space="0" w:color="auto"/>
        <w:right w:val="none" w:sz="0" w:space="0" w:color="auto"/>
      </w:divBdr>
    </w:div>
    <w:div w:id="1982692286">
      <w:marLeft w:val="0"/>
      <w:marRight w:val="0"/>
      <w:marTop w:val="0"/>
      <w:marBottom w:val="0"/>
      <w:divBdr>
        <w:top w:val="none" w:sz="0" w:space="0" w:color="auto"/>
        <w:left w:val="none" w:sz="0" w:space="0" w:color="auto"/>
        <w:bottom w:val="none" w:sz="0" w:space="0" w:color="auto"/>
        <w:right w:val="none" w:sz="0" w:space="0" w:color="auto"/>
      </w:divBdr>
      <w:divsChild>
        <w:div w:id="1982692287">
          <w:marLeft w:val="0"/>
          <w:marRight w:val="0"/>
          <w:marTop w:val="0"/>
          <w:marBottom w:val="0"/>
          <w:divBdr>
            <w:top w:val="none" w:sz="0" w:space="0" w:color="auto"/>
            <w:left w:val="none" w:sz="0" w:space="0" w:color="auto"/>
            <w:bottom w:val="none" w:sz="0" w:space="0" w:color="auto"/>
            <w:right w:val="none" w:sz="0" w:space="0" w:color="auto"/>
          </w:divBdr>
          <w:divsChild>
            <w:div w:id="1982692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88">
      <w:marLeft w:val="0"/>
      <w:marRight w:val="0"/>
      <w:marTop w:val="0"/>
      <w:marBottom w:val="0"/>
      <w:divBdr>
        <w:top w:val="none" w:sz="0" w:space="0" w:color="auto"/>
        <w:left w:val="none" w:sz="0" w:space="0" w:color="auto"/>
        <w:bottom w:val="none" w:sz="0" w:space="0" w:color="auto"/>
        <w:right w:val="none" w:sz="0" w:space="0" w:color="auto"/>
      </w:divBdr>
      <w:divsChild>
        <w:div w:id="1982692272">
          <w:marLeft w:val="0"/>
          <w:marRight w:val="0"/>
          <w:marTop w:val="0"/>
          <w:marBottom w:val="0"/>
          <w:divBdr>
            <w:top w:val="none" w:sz="0" w:space="0" w:color="auto"/>
            <w:left w:val="none" w:sz="0" w:space="0" w:color="auto"/>
            <w:bottom w:val="none" w:sz="0" w:space="0" w:color="auto"/>
            <w:right w:val="none" w:sz="0" w:space="0" w:color="auto"/>
          </w:divBdr>
          <w:divsChild>
            <w:div w:id="1982692274">
              <w:marLeft w:val="0"/>
              <w:marRight w:val="0"/>
              <w:marTop w:val="0"/>
              <w:marBottom w:val="0"/>
              <w:divBdr>
                <w:top w:val="none" w:sz="0" w:space="0" w:color="auto"/>
                <w:left w:val="none" w:sz="0" w:space="0" w:color="auto"/>
                <w:bottom w:val="none" w:sz="0" w:space="0" w:color="auto"/>
                <w:right w:val="none" w:sz="0" w:space="0" w:color="auto"/>
              </w:divBdr>
            </w:div>
            <w:div w:id="1982692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90">
      <w:marLeft w:val="0"/>
      <w:marRight w:val="0"/>
      <w:marTop w:val="0"/>
      <w:marBottom w:val="0"/>
      <w:divBdr>
        <w:top w:val="none" w:sz="0" w:space="0" w:color="auto"/>
        <w:left w:val="none" w:sz="0" w:space="0" w:color="auto"/>
        <w:bottom w:val="none" w:sz="0" w:space="0" w:color="auto"/>
        <w:right w:val="none" w:sz="0" w:space="0" w:color="auto"/>
      </w:divBdr>
    </w:div>
    <w:div w:id="1982692293">
      <w:marLeft w:val="0"/>
      <w:marRight w:val="0"/>
      <w:marTop w:val="0"/>
      <w:marBottom w:val="0"/>
      <w:divBdr>
        <w:top w:val="none" w:sz="0" w:space="0" w:color="auto"/>
        <w:left w:val="none" w:sz="0" w:space="0" w:color="auto"/>
        <w:bottom w:val="none" w:sz="0" w:space="0" w:color="auto"/>
        <w:right w:val="none" w:sz="0" w:space="0" w:color="auto"/>
      </w:divBdr>
    </w:div>
    <w:div w:id="1982692294">
      <w:marLeft w:val="0"/>
      <w:marRight w:val="0"/>
      <w:marTop w:val="0"/>
      <w:marBottom w:val="0"/>
      <w:divBdr>
        <w:top w:val="none" w:sz="0" w:space="0" w:color="auto"/>
        <w:left w:val="none" w:sz="0" w:space="0" w:color="auto"/>
        <w:bottom w:val="none" w:sz="0" w:space="0" w:color="auto"/>
        <w:right w:val="none" w:sz="0" w:space="0" w:color="auto"/>
      </w:divBdr>
      <w:divsChild>
        <w:div w:id="1982692298">
          <w:marLeft w:val="0"/>
          <w:marRight w:val="0"/>
          <w:marTop w:val="0"/>
          <w:marBottom w:val="0"/>
          <w:divBdr>
            <w:top w:val="none" w:sz="0" w:space="0" w:color="auto"/>
            <w:left w:val="none" w:sz="0" w:space="0" w:color="auto"/>
            <w:bottom w:val="none" w:sz="0" w:space="0" w:color="auto"/>
            <w:right w:val="none" w:sz="0" w:space="0" w:color="auto"/>
          </w:divBdr>
          <w:divsChild>
            <w:div w:id="1982692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97">
      <w:marLeft w:val="0"/>
      <w:marRight w:val="0"/>
      <w:marTop w:val="0"/>
      <w:marBottom w:val="0"/>
      <w:divBdr>
        <w:top w:val="none" w:sz="0" w:space="0" w:color="auto"/>
        <w:left w:val="none" w:sz="0" w:space="0" w:color="auto"/>
        <w:bottom w:val="none" w:sz="0" w:space="0" w:color="auto"/>
        <w:right w:val="none" w:sz="0" w:space="0" w:color="auto"/>
      </w:divBdr>
    </w:div>
    <w:div w:id="1982692299">
      <w:marLeft w:val="0"/>
      <w:marRight w:val="0"/>
      <w:marTop w:val="0"/>
      <w:marBottom w:val="0"/>
      <w:divBdr>
        <w:top w:val="none" w:sz="0" w:space="0" w:color="auto"/>
        <w:left w:val="none" w:sz="0" w:space="0" w:color="auto"/>
        <w:bottom w:val="none" w:sz="0" w:space="0" w:color="auto"/>
        <w:right w:val="none" w:sz="0" w:space="0" w:color="auto"/>
      </w:divBdr>
    </w:div>
    <w:div w:id="1982692300">
      <w:marLeft w:val="0"/>
      <w:marRight w:val="0"/>
      <w:marTop w:val="0"/>
      <w:marBottom w:val="0"/>
      <w:divBdr>
        <w:top w:val="none" w:sz="0" w:space="0" w:color="auto"/>
        <w:left w:val="none" w:sz="0" w:space="0" w:color="auto"/>
        <w:bottom w:val="none" w:sz="0" w:space="0" w:color="auto"/>
        <w:right w:val="none" w:sz="0" w:space="0" w:color="auto"/>
      </w:divBdr>
    </w:div>
    <w:div w:id="1982692302">
      <w:marLeft w:val="0"/>
      <w:marRight w:val="0"/>
      <w:marTop w:val="0"/>
      <w:marBottom w:val="0"/>
      <w:divBdr>
        <w:top w:val="none" w:sz="0" w:space="0" w:color="auto"/>
        <w:left w:val="none" w:sz="0" w:space="0" w:color="auto"/>
        <w:bottom w:val="none" w:sz="0" w:space="0" w:color="auto"/>
        <w:right w:val="none" w:sz="0" w:space="0" w:color="auto"/>
      </w:divBdr>
    </w:div>
    <w:div w:id="1982692303">
      <w:marLeft w:val="0"/>
      <w:marRight w:val="0"/>
      <w:marTop w:val="0"/>
      <w:marBottom w:val="0"/>
      <w:divBdr>
        <w:top w:val="none" w:sz="0" w:space="0" w:color="auto"/>
        <w:left w:val="none" w:sz="0" w:space="0" w:color="auto"/>
        <w:bottom w:val="none" w:sz="0" w:space="0" w:color="auto"/>
        <w:right w:val="none" w:sz="0" w:space="0" w:color="auto"/>
      </w:divBdr>
      <w:divsChild>
        <w:div w:id="1982692275">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1982692304">
      <w:marLeft w:val="0"/>
      <w:marRight w:val="0"/>
      <w:marTop w:val="0"/>
      <w:marBottom w:val="0"/>
      <w:divBdr>
        <w:top w:val="none" w:sz="0" w:space="0" w:color="auto"/>
        <w:left w:val="none" w:sz="0" w:space="0" w:color="auto"/>
        <w:bottom w:val="none" w:sz="0" w:space="0" w:color="auto"/>
        <w:right w:val="none" w:sz="0" w:space="0" w:color="auto"/>
      </w:divBdr>
    </w:div>
    <w:div w:id="1982692305">
      <w:marLeft w:val="0"/>
      <w:marRight w:val="0"/>
      <w:marTop w:val="0"/>
      <w:marBottom w:val="0"/>
      <w:divBdr>
        <w:top w:val="none" w:sz="0" w:space="0" w:color="auto"/>
        <w:left w:val="none" w:sz="0" w:space="0" w:color="auto"/>
        <w:bottom w:val="none" w:sz="0" w:space="0" w:color="auto"/>
        <w:right w:val="none" w:sz="0" w:space="0" w:color="auto"/>
      </w:divBdr>
    </w:div>
    <w:div w:id="1982692306">
      <w:marLeft w:val="0"/>
      <w:marRight w:val="0"/>
      <w:marTop w:val="0"/>
      <w:marBottom w:val="0"/>
      <w:divBdr>
        <w:top w:val="none" w:sz="0" w:space="0" w:color="auto"/>
        <w:left w:val="none" w:sz="0" w:space="0" w:color="auto"/>
        <w:bottom w:val="none" w:sz="0" w:space="0" w:color="auto"/>
        <w:right w:val="none" w:sz="0" w:space="0" w:color="auto"/>
      </w:divBdr>
    </w:div>
    <w:div w:id="1982692307">
      <w:marLeft w:val="0"/>
      <w:marRight w:val="0"/>
      <w:marTop w:val="0"/>
      <w:marBottom w:val="0"/>
      <w:divBdr>
        <w:top w:val="none" w:sz="0" w:space="0" w:color="auto"/>
        <w:left w:val="none" w:sz="0" w:space="0" w:color="auto"/>
        <w:bottom w:val="none" w:sz="0" w:space="0" w:color="auto"/>
        <w:right w:val="none" w:sz="0" w:space="0" w:color="auto"/>
      </w:divBdr>
    </w:div>
    <w:div w:id="1982692308">
      <w:marLeft w:val="0"/>
      <w:marRight w:val="0"/>
      <w:marTop w:val="0"/>
      <w:marBottom w:val="0"/>
      <w:divBdr>
        <w:top w:val="none" w:sz="0" w:space="0" w:color="auto"/>
        <w:left w:val="none" w:sz="0" w:space="0" w:color="auto"/>
        <w:bottom w:val="none" w:sz="0" w:space="0" w:color="auto"/>
        <w:right w:val="none" w:sz="0" w:space="0" w:color="auto"/>
      </w:divBdr>
    </w:div>
    <w:div w:id="1982692311">
      <w:marLeft w:val="0"/>
      <w:marRight w:val="0"/>
      <w:marTop w:val="0"/>
      <w:marBottom w:val="0"/>
      <w:divBdr>
        <w:top w:val="none" w:sz="0" w:space="0" w:color="auto"/>
        <w:left w:val="none" w:sz="0" w:space="0" w:color="auto"/>
        <w:bottom w:val="none" w:sz="0" w:space="0" w:color="auto"/>
        <w:right w:val="none" w:sz="0" w:space="0" w:color="auto"/>
      </w:divBdr>
    </w:div>
    <w:div w:id="1982692314">
      <w:marLeft w:val="0"/>
      <w:marRight w:val="0"/>
      <w:marTop w:val="0"/>
      <w:marBottom w:val="0"/>
      <w:divBdr>
        <w:top w:val="none" w:sz="0" w:space="0" w:color="auto"/>
        <w:left w:val="none" w:sz="0" w:space="0" w:color="auto"/>
        <w:bottom w:val="none" w:sz="0" w:space="0" w:color="auto"/>
        <w:right w:val="none" w:sz="0" w:space="0" w:color="auto"/>
      </w:divBdr>
    </w:div>
    <w:div w:id="1982692315">
      <w:marLeft w:val="0"/>
      <w:marRight w:val="0"/>
      <w:marTop w:val="0"/>
      <w:marBottom w:val="0"/>
      <w:divBdr>
        <w:top w:val="none" w:sz="0" w:space="0" w:color="auto"/>
        <w:left w:val="none" w:sz="0" w:space="0" w:color="auto"/>
        <w:bottom w:val="none" w:sz="0" w:space="0" w:color="auto"/>
        <w:right w:val="none" w:sz="0" w:space="0" w:color="auto"/>
      </w:divBdr>
      <w:divsChild>
        <w:div w:id="1982692339">
          <w:marLeft w:val="0"/>
          <w:marRight w:val="0"/>
          <w:marTop w:val="0"/>
          <w:marBottom w:val="0"/>
          <w:divBdr>
            <w:top w:val="none" w:sz="0" w:space="0" w:color="auto"/>
            <w:left w:val="none" w:sz="0" w:space="0" w:color="auto"/>
            <w:bottom w:val="none" w:sz="0" w:space="0" w:color="auto"/>
            <w:right w:val="none" w:sz="0" w:space="0" w:color="auto"/>
          </w:divBdr>
          <w:divsChild>
            <w:div w:id="1982692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16">
      <w:marLeft w:val="0"/>
      <w:marRight w:val="0"/>
      <w:marTop w:val="0"/>
      <w:marBottom w:val="0"/>
      <w:divBdr>
        <w:top w:val="none" w:sz="0" w:space="0" w:color="auto"/>
        <w:left w:val="none" w:sz="0" w:space="0" w:color="auto"/>
        <w:bottom w:val="none" w:sz="0" w:space="0" w:color="auto"/>
        <w:right w:val="none" w:sz="0" w:space="0" w:color="auto"/>
      </w:divBdr>
      <w:divsChild>
        <w:div w:id="1982692327">
          <w:marLeft w:val="0"/>
          <w:marRight w:val="0"/>
          <w:marTop w:val="0"/>
          <w:marBottom w:val="0"/>
          <w:divBdr>
            <w:top w:val="none" w:sz="0" w:space="0" w:color="auto"/>
            <w:left w:val="none" w:sz="0" w:space="0" w:color="auto"/>
            <w:bottom w:val="none" w:sz="0" w:space="0" w:color="auto"/>
            <w:right w:val="none" w:sz="0" w:space="0" w:color="auto"/>
          </w:divBdr>
          <w:divsChild>
            <w:div w:id="1982692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17">
      <w:marLeft w:val="0"/>
      <w:marRight w:val="0"/>
      <w:marTop w:val="0"/>
      <w:marBottom w:val="0"/>
      <w:divBdr>
        <w:top w:val="none" w:sz="0" w:space="0" w:color="auto"/>
        <w:left w:val="none" w:sz="0" w:space="0" w:color="auto"/>
        <w:bottom w:val="none" w:sz="0" w:space="0" w:color="auto"/>
        <w:right w:val="none" w:sz="0" w:space="0" w:color="auto"/>
      </w:divBdr>
    </w:div>
    <w:div w:id="1982692318">
      <w:marLeft w:val="0"/>
      <w:marRight w:val="0"/>
      <w:marTop w:val="0"/>
      <w:marBottom w:val="0"/>
      <w:divBdr>
        <w:top w:val="none" w:sz="0" w:space="0" w:color="auto"/>
        <w:left w:val="none" w:sz="0" w:space="0" w:color="auto"/>
        <w:bottom w:val="none" w:sz="0" w:space="0" w:color="auto"/>
        <w:right w:val="none" w:sz="0" w:space="0" w:color="auto"/>
      </w:divBdr>
    </w:div>
    <w:div w:id="1982692319">
      <w:marLeft w:val="0"/>
      <w:marRight w:val="0"/>
      <w:marTop w:val="0"/>
      <w:marBottom w:val="0"/>
      <w:divBdr>
        <w:top w:val="none" w:sz="0" w:space="0" w:color="auto"/>
        <w:left w:val="none" w:sz="0" w:space="0" w:color="auto"/>
        <w:bottom w:val="none" w:sz="0" w:space="0" w:color="auto"/>
        <w:right w:val="none" w:sz="0" w:space="0" w:color="auto"/>
      </w:divBdr>
    </w:div>
    <w:div w:id="1982692320">
      <w:marLeft w:val="0"/>
      <w:marRight w:val="0"/>
      <w:marTop w:val="0"/>
      <w:marBottom w:val="0"/>
      <w:divBdr>
        <w:top w:val="none" w:sz="0" w:space="0" w:color="auto"/>
        <w:left w:val="none" w:sz="0" w:space="0" w:color="auto"/>
        <w:bottom w:val="none" w:sz="0" w:space="0" w:color="auto"/>
        <w:right w:val="none" w:sz="0" w:space="0" w:color="auto"/>
      </w:divBdr>
      <w:divsChild>
        <w:div w:id="1982692309">
          <w:marLeft w:val="547"/>
          <w:marRight w:val="0"/>
          <w:marTop w:val="115"/>
          <w:marBottom w:val="0"/>
          <w:divBdr>
            <w:top w:val="none" w:sz="0" w:space="0" w:color="auto"/>
            <w:left w:val="none" w:sz="0" w:space="0" w:color="auto"/>
            <w:bottom w:val="none" w:sz="0" w:space="0" w:color="auto"/>
            <w:right w:val="none" w:sz="0" w:space="0" w:color="auto"/>
          </w:divBdr>
        </w:div>
      </w:divsChild>
    </w:div>
    <w:div w:id="1982692322">
      <w:marLeft w:val="0"/>
      <w:marRight w:val="0"/>
      <w:marTop w:val="0"/>
      <w:marBottom w:val="0"/>
      <w:divBdr>
        <w:top w:val="none" w:sz="0" w:space="0" w:color="auto"/>
        <w:left w:val="none" w:sz="0" w:space="0" w:color="auto"/>
        <w:bottom w:val="none" w:sz="0" w:space="0" w:color="auto"/>
        <w:right w:val="none" w:sz="0" w:space="0" w:color="auto"/>
      </w:divBdr>
    </w:div>
    <w:div w:id="1982692323">
      <w:marLeft w:val="0"/>
      <w:marRight w:val="0"/>
      <w:marTop w:val="0"/>
      <w:marBottom w:val="0"/>
      <w:divBdr>
        <w:top w:val="none" w:sz="0" w:space="0" w:color="auto"/>
        <w:left w:val="none" w:sz="0" w:space="0" w:color="auto"/>
        <w:bottom w:val="none" w:sz="0" w:space="0" w:color="auto"/>
        <w:right w:val="none" w:sz="0" w:space="0" w:color="auto"/>
      </w:divBdr>
    </w:div>
    <w:div w:id="1982692324">
      <w:marLeft w:val="0"/>
      <w:marRight w:val="0"/>
      <w:marTop w:val="0"/>
      <w:marBottom w:val="0"/>
      <w:divBdr>
        <w:top w:val="none" w:sz="0" w:space="0" w:color="auto"/>
        <w:left w:val="none" w:sz="0" w:space="0" w:color="auto"/>
        <w:bottom w:val="none" w:sz="0" w:space="0" w:color="auto"/>
        <w:right w:val="none" w:sz="0" w:space="0" w:color="auto"/>
      </w:divBdr>
      <w:divsChild>
        <w:div w:id="1982692325">
          <w:marLeft w:val="0"/>
          <w:marRight w:val="0"/>
          <w:marTop w:val="0"/>
          <w:marBottom w:val="0"/>
          <w:divBdr>
            <w:top w:val="none" w:sz="0" w:space="0" w:color="auto"/>
            <w:left w:val="none" w:sz="0" w:space="0" w:color="auto"/>
            <w:bottom w:val="none" w:sz="0" w:space="0" w:color="auto"/>
            <w:right w:val="none" w:sz="0" w:space="0" w:color="auto"/>
          </w:divBdr>
          <w:divsChild>
            <w:div w:id="1982692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26">
      <w:marLeft w:val="0"/>
      <w:marRight w:val="0"/>
      <w:marTop w:val="0"/>
      <w:marBottom w:val="0"/>
      <w:divBdr>
        <w:top w:val="none" w:sz="0" w:space="0" w:color="auto"/>
        <w:left w:val="none" w:sz="0" w:space="0" w:color="auto"/>
        <w:bottom w:val="none" w:sz="0" w:space="0" w:color="auto"/>
        <w:right w:val="none" w:sz="0" w:space="0" w:color="auto"/>
      </w:divBdr>
      <w:divsChild>
        <w:div w:id="1982692310">
          <w:marLeft w:val="0"/>
          <w:marRight w:val="0"/>
          <w:marTop w:val="0"/>
          <w:marBottom w:val="0"/>
          <w:divBdr>
            <w:top w:val="none" w:sz="0" w:space="0" w:color="auto"/>
            <w:left w:val="none" w:sz="0" w:space="0" w:color="auto"/>
            <w:bottom w:val="none" w:sz="0" w:space="0" w:color="auto"/>
            <w:right w:val="none" w:sz="0" w:space="0" w:color="auto"/>
          </w:divBdr>
          <w:divsChild>
            <w:div w:id="1982692312">
              <w:marLeft w:val="0"/>
              <w:marRight w:val="0"/>
              <w:marTop w:val="0"/>
              <w:marBottom w:val="0"/>
              <w:divBdr>
                <w:top w:val="none" w:sz="0" w:space="0" w:color="auto"/>
                <w:left w:val="none" w:sz="0" w:space="0" w:color="auto"/>
                <w:bottom w:val="none" w:sz="0" w:space="0" w:color="auto"/>
                <w:right w:val="none" w:sz="0" w:space="0" w:color="auto"/>
              </w:divBdr>
            </w:div>
            <w:div w:id="1982692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28">
      <w:marLeft w:val="0"/>
      <w:marRight w:val="0"/>
      <w:marTop w:val="0"/>
      <w:marBottom w:val="0"/>
      <w:divBdr>
        <w:top w:val="none" w:sz="0" w:space="0" w:color="auto"/>
        <w:left w:val="none" w:sz="0" w:space="0" w:color="auto"/>
        <w:bottom w:val="none" w:sz="0" w:space="0" w:color="auto"/>
        <w:right w:val="none" w:sz="0" w:space="0" w:color="auto"/>
      </w:divBdr>
    </w:div>
    <w:div w:id="1982692331">
      <w:marLeft w:val="0"/>
      <w:marRight w:val="0"/>
      <w:marTop w:val="0"/>
      <w:marBottom w:val="0"/>
      <w:divBdr>
        <w:top w:val="none" w:sz="0" w:space="0" w:color="auto"/>
        <w:left w:val="none" w:sz="0" w:space="0" w:color="auto"/>
        <w:bottom w:val="none" w:sz="0" w:space="0" w:color="auto"/>
        <w:right w:val="none" w:sz="0" w:space="0" w:color="auto"/>
      </w:divBdr>
    </w:div>
    <w:div w:id="1982692332">
      <w:marLeft w:val="0"/>
      <w:marRight w:val="0"/>
      <w:marTop w:val="0"/>
      <w:marBottom w:val="0"/>
      <w:divBdr>
        <w:top w:val="none" w:sz="0" w:space="0" w:color="auto"/>
        <w:left w:val="none" w:sz="0" w:space="0" w:color="auto"/>
        <w:bottom w:val="none" w:sz="0" w:space="0" w:color="auto"/>
        <w:right w:val="none" w:sz="0" w:space="0" w:color="auto"/>
      </w:divBdr>
      <w:divsChild>
        <w:div w:id="1982692336">
          <w:marLeft w:val="0"/>
          <w:marRight w:val="0"/>
          <w:marTop w:val="0"/>
          <w:marBottom w:val="0"/>
          <w:divBdr>
            <w:top w:val="none" w:sz="0" w:space="0" w:color="auto"/>
            <w:left w:val="none" w:sz="0" w:space="0" w:color="auto"/>
            <w:bottom w:val="none" w:sz="0" w:space="0" w:color="auto"/>
            <w:right w:val="none" w:sz="0" w:space="0" w:color="auto"/>
          </w:divBdr>
          <w:divsChild>
            <w:div w:id="1982692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35">
      <w:marLeft w:val="0"/>
      <w:marRight w:val="0"/>
      <w:marTop w:val="0"/>
      <w:marBottom w:val="0"/>
      <w:divBdr>
        <w:top w:val="none" w:sz="0" w:space="0" w:color="auto"/>
        <w:left w:val="none" w:sz="0" w:space="0" w:color="auto"/>
        <w:bottom w:val="none" w:sz="0" w:space="0" w:color="auto"/>
        <w:right w:val="none" w:sz="0" w:space="0" w:color="auto"/>
      </w:divBdr>
    </w:div>
    <w:div w:id="1982692337">
      <w:marLeft w:val="0"/>
      <w:marRight w:val="0"/>
      <w:marTop w:val="0"/>
      <w:marBottom w:val="0"/>
      <w:divBdr>
        <w:top w:val="none" w:sz="0" w:space="0" w:color="auto"/>
        <w:left w:val="none" w:sz="0" w:space="0" w:color="auto"/>
        <w:bottom w:val="none" w:sz="0" w:space="0" w:color="auto"/>
        <w:right w:val="none" w:sz="0" w:space="0" w:color="auto"/>
      </w:divBdr>
    </w:div>
    <w:div w:id="1982692338">
      <w:marLeft w:val="0"/>
      <w:marRight w:val="0"/>
      <w:marTop w:val="0"/>
      <w:marBottom w:val="0"/>
      <w:divBdr>
        <w:top w:val="none" w:sz="0" w:space="0" w:color="auto"/>
        <w:left w:val="none" w:sz="0" w:space="0" w:color="auto"/>
        <w:bottom w:val="none" w:sz="0" w:space="0" w:color="auto"/>
        <w:right w:val="none" w:sz="0" w:space="0" w:color="auto"/>
      </w:divBdr>
    </w:div>
    <w:div w:id="1982692340">
      <w:marLeft w:val="0"/>
      <w:marRight w:val="0"/>
      <w:marTop w:val="0"/>
      <w:marBottom w:val="0"/>
      <w:divBdr>
        <w:top w:val="none" w:sz="0" w:space="0" w:color="auto"/>
        <w:left w:val="none" w:sz="0" w:space="0" w:color="auto"/>
        <w:bottom w:val="none" w:sz="0" w:space="0" w:color="auto"/>
        <w:right w:val="none" w:sz="0" w:space="0" w:color="auto"/>
      </w:divBdr>
    </w:div>
    <w:div w:id="1982692341">
      <w:marLeft w:val="0"/>
      <w:marRight w:val="0"/>
      <w:marTop w:val="0"/>
      <w:marBottom w:val="0"/>
      <w:divBdr>
        <w:top w:val="none" w:sz="0" w:space="0" w:color="auto"/>
        <w:left w:val="none" w:sz="0" w:space="0" w:color="auto"/>
        <w:bottom w:val="none" w:sz="0" w:space="0" w:color="auto"/>
        <w:right w:val="none" w:sz="0" w:space="0" w:color="auto"/>
      </w:divBdr>
      <w:divsChild>
        <w:div w:id="1982692313">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1982692342">
      <w:marLeft w:val="0"/>
      <w:marRight w:val="0"/>
      <w:marTop w:val="0"/>
      <w:marBottom w:val="0"/>
      <w:divBdr>
        <w:top w:val="none" w:sz="0" w:space="0" w:color="auto"/>
        <w:left w:val="none" w:sz="0" w:space="0" w:color="auto"/>
        <w:bottom w:val="none" w:sz="0" w:space="0" w:color="auto"/>
        <w:right w:val="none" w:sz="0" w:space="0" w:color="auto"/>
      </w:divBdr>
    </w:div>
    <w:div w:id="1982692343">
      <w:marLeft w:val="0"/>
      <w:marRight w:val="0"/>
      <w:marTop w:val="0"/>
      <w:marBottom w:val="0"/>
      <w:divBdr>
        <w:top w:val="none" w:sz="0" w:space="0" w:color="auto"/>
        <w:left w:val="none" w:sz="0" w:space="0" w:color="auto"/>
        <w:bottom w:val="none" w:sz="0" w:space="0" w:color="auto"/>
        <w:right w:val="none" w:sz="0" w:space="0" w:color="auto"/>
      </w:divBdr>
    </w:div>
    <w:div w:id="1982692344">
      <w:marLeft w:val="0"/>
      <w:marRight w:val="0"/>
      <w:marTop w:val="0"/>
      <w:marBottom w:val="0"/>
      <w:divBdr>
        <w:top w:val="none" w:sz="0" w:space="0" w:color="auto"/>
        <w:left w:val="none" w:sz="0" w:space="0" w:color="auto"/>
        <w:bottom w:val="none" w:sz="0" w:space="0" w:color="auto"/>
        <w:right w:val="none" w:sz="0" w:space="0" w:color="auto"/>
      </w:divBdr>
    </w:div>
    <w:div w:id="1982692345">
      <w:marLeft w:val="0"/>
      <w:marRight w:val="0"/>
      <w:marTop w:val="0"/>
      <w:marBottom w:val="0"/>
      <w:divBdr>
        <w:top w:val="none" w:sz="0" w:space="0" w:color="auto"/>
        <w:left w:val="none" w:sz="0" w:space="0" w:color="auto"/>
        <w:bottom w:val="none" w:sz="0" w:space="0" w:color="auto"/>
        <w:right w:val="none" w:sz="0" w:space="0" w:color="auto"/>
      </w:divBdr>
    </w:div>
    <w:div w:id="1982692346">
      <w:marLeft w:val="0"/>
      <w:marRight w:val="0"/>
      <w:marTop w:val="0"/>
      <w:marBottom w:val="0"/>
      <w:divBdr>
        <w:top w:val="none" w:sz="0" w:space="0" w:color="auto"/>
        <w:left w:val="none" w:sz="0" w:space="0" w:color="auto"/>
        <w:bottom w:val="none" w:sz="0" w:space="0" w:color="auto"/>
        <w:right w:val="none" w:sz="0" w:space="0" w:color="auto"/>
      </w:divBdr>
    </w:div>
    <w:div w:id="1982692347">
      <w:marLeft w:val="0"/>
      <w:marRight w:val="0"/>
      <w:marTop w:val="0"/>
      <w:marBottom w:val="0"/>
      <w:divBdr>
        <w:top w:val="none" w:sz="0" w:space="0" w:color="auto"/>
        <w:left w:val="none" w:sz="0" w:space="0" w:color="auto"/>
        <w:bottom w:val="none" w:sz="0" w:space="0" w:color="auto"/>
        <w:right w:val="none" w:sz="0" w:space="0" w:color="auto"/>
      </w:divBdr>
    </w:div>
    <w:div w:id="1982692350">
      <w:marLeft w:val="0"/>
      <w:marRight w:val="0"/>
      <w:marTop w:val="0"/>
      <w:marBottom w:val="0"/>
      <w:divBdr>
        <w:top w:val="none" w:sz="0" w:space="0" w:color="auto"/>
        <w:left w:val="none" w:sz="0" w:space="0" w:color="auto"/>
        <w:bottom w:val="none" w:sz="0" w:space="0" w:color="auto"/>
        <w:right w:val="none" w:sz="0" w:space="0" w:color="auto"/>
      </w:divBdr>
    </w:div>
    <w:div w:id="1982692353">
      <w:marLeft w:val="0"/>
      <w:marRight w:val="0"/>
      <w:marTop w:val="0"/>
      <w:marBottom w:val="0"/>
      <w:divBdr>
        <w:top w:val="none" w:sz="0" w:space="0" w:color="auto"/>
        <w:left w:val="none" w:sz="0" w:space="0" w:color="auto"/>
        <w:bottom w:val="none" w:sz="0" w:space="0" w:color="auto"/>
        <w:right w:val="none" w:sz="0" w:space="0" w:color="auto"/>
      </w:divBdr>
    </w:div>
    <w:div w:id="1982692354">
      <w:marLeft w:val="0"/>
      <w:marRight w:val="0"/>
      <w:marTop w:val="0"/>
      <w:marBottom w:val="0"/>
      <w:divBdr>
        <w:top w:val="none" w:sz="0" w:space="0" w:color="auto"/>
        <w:left w:val="none" w:sz="0" w:space="0" w:color="auto"/>
        <w:bottom w:val="none" w:sz="0" w:space="0" w:color="auto"/>
        <w:right w:val="none" w:sz="0" w:space="0" w:color="auto"/>
      </w:divBdr>
      <w:divsChild>
        <w:div w:id="1982692378">
          <w:marLeft w:val="0"/>
          <w:marRight w:val="0"/>
          <w:marTop w:val="0"/>
          <w:marBottom w:val="0"/>
          <w:divBdr>
            <w:top w:val="none" w:sz="0" w:space="0" w:color="auto"/>
            <w:left w:val="none" w:sz="0" w:space="0" w:color="auto"/>
            <w:bottom w:val="none" w:sz="0" w:space="0" w:color="auto"/>
            <w:right w:val="none" w:sz="0" w:space="0" w:color="auto"/>
          </w:divBdr>
          <w:divsChild>
            <w:div w:id="1982692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55">
      <w:marLeft w:val="0"/>
      <w:marRight w:val="0"/>
      <w:marTop w:val="0"/>
      <w:marBottom w:val="0"/>
      <w:divBdr>
        <w:top w:val="none" w:sz="0" w:space="0" w:color="auto"/>
        <w:left w:val="none" w:sz="0" w:space="0" w:color="auto"/>
        <w:bottom w:val="none" w:sz="0" w:space="0" w:color="auto"/>
        <w:right w:val="none" w:sz="0" w:space="0" w:color="auto"/>
      </w:divBdr>
      <w:divsChild>
        <w:div w:id="1982692366">
          <w:marLeft w:val="0"/>
          <w:marRight w:val="0"/>
          <w:marTop w:val="0"/>
          <w:marBottom w:val="0"/>
          <w:divBdr>
            <w:top w:val="none" w:sz="0" w:space="0" w:color="auto"/>
            <w:left w:val="none" w:sz="0" w:space="0" w:color="auto"/>
            <w:bottom w:val="none" w:sz="0" w:space="0" w:color="auto"/>
            <w:right w:val="none" w:sz="0" w:space="0" w:color="auto"/>
          </w:divBdr>
          <w:divsChild>
            <w:div w:id="1982692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56">
      <w:marLeft w:val="0"/>
      <w:marRight w:val="0"/>
      <w:marTop w:val="0"/>
      <w:marBottom w:val="0"/>
      <w:divBdr>
        <w:top w:val="none" w:sz="0" w:space="0" w:color="auto"/>
        <w:left w:val="none" w:sz="0" w:space="0" w:color="auto"/>
        <w:bottom w:val="none" w:sz="0" w:space="0" w:color="auto"/>
        <w:right w:val="none" w:sz="0" w:space="0" w:color="auto"/>
      </w:divBdr>
    </w:div>
    <w:div w:id="1982692357">
      <w:marLeft w:val="0"/>
      <w:marRight w:val="0"/>
      <w:marTop w:val="0"/>
      <w:marBottom w:val="0"/>
      <w:divBdr>
        <w:top w:val="none" w:sz="0" w:space="0" w:color="auto"/>
        <w:left w:val="none" w:sz="0" w:space="0" w:color="auto"/>
        <w:bottom w:val="none" w:sz="0" w:space="0" w:color="auto"/>
        <w:right w:val="none" w:sz="0" w:space="0" w:color="auto"/>
      </w:divBdr>
    </w:div>
    <w:div w:id="1982692358">
      <w:marLeft w:val="0"/>
      <w:marRight w:val="0"/>
      <w:marTop w:val="0"/>
      <w:marBottom w:val="0"/>
      <w:divBdr>
        <w:top w:val="none" w:sz="0" w:space="0" w:color="auto"/>
        <w:left w:val="none" w:sz="0" w:space="0" w:color="auto"/>
        <w:bottom w:val="none" w:sz="0" w:space="0" w:color="auto"/>
        <w:right w:val="none" w:sz="0" w:space="0" w:color="auto"/>
      </w:divBdr>
    </w:div>
    <w:div w:id="1982692359">
      <w:marLeft w:val="0"/>
      <w:marRight w:val="0"/>
      <w:marTop w:val="0"/>
      <w:marBottom w:val="0"/>
      <w:divBdr>
        <w:top w:val="none" w:sz="0" w:space="0" w:color="auto"/>
        <w:left w:val="none" w:sz="0" w:space="0" w:color="auto"/>
        <w:bottom w:val="none" w:sz="0" w:space="0" w:color="auto"/>
        <w:right w:val="none" w:sz="0" w:space="0" w:color="auto"/>
      </w:divBdr>
      <w:divsChild>
        <w:div w:id="1982692348">
          <w:marLeft w:val="547"/>
          <w:marRight w:val="0"/>
          <w:marTop w:val="115"/>
          <w:marBottom w:val="0"/>
          <w:divBdr>
            <w:top w:val="none" w:sz="0" w:space="0" w:color="auto"/>
            <w:left w:val="none" w:sz="0" w:space="0" w:color="auto"/>
            <w:bottom w:val="none" w:sz="0" w:space="0" w:color="auto"/>
            <w:right w:val="none" w:sz="0" w:space="0" w:color="auto"/>
          </w:divBdr>
        </w:div>
      </w:divsChild>
    </w:div>
    <w:div w:id="1982692361">
      <w:marLeft w:val="0"/>
      <w:marRight w:val="0"/>
      <w:marTop w:val="0"/>
      <w:marBottom w:val="0"/>
      <w:divBdr>
        <w:top w:val="none" w:sz="0" w:space="0" w:color="auto"/>
        <w:left w:val="none" w:sz="0" w:space="0" w:color="auto"/>
        <w:bottom w:val="none" w:sz="0" w:space="0" w:color="auto"/>
        <w:right w:val="none" w:sz="0" w:space="0" w:color="auto"/>
      </w:divBdr>
    </w:div>
    <w:div w:id="1982692362">
      <w:marLeft w:val="0"/>
      <w:marRight w:val="0"/>
      <w:marTop w:val="0"/>
      <w:marBottom w:val="0"/>
      <w:divBdr>
        <w:top w:val="none" w:sz="0" w:space="0" w:color="auto"/>
        <w:left w:val="none" w:sz="0" w:space="0" w:color="auto"/>
        <w:bottom w:val="none" w:sz="0" w:space="0" w:color="auto"/>
        <w:right w:val="none" w:sz="0" w:space="0" w:color="auto"/>
      </w:divBdr>
    </w:div>
    <w:div w:id="1982692363">
      <w:marLeft w:val="0"/>
      <w:marRight w:val="0"/>
      <w:marTop w:val="0"/>
      <w:marBottom w:val="0"/>
      <w:divBdr>
        <w:top w:val="none" w:sz="0" w:space="0" w:color="auto"/>
        <w:left w:val="none" w:sz="0" w:space="0" w:color="auto"/>
        <w:bottom w:val="none" w:sz="0" w:space="0" w:color="auto"/>
        <w:right w:val="none" w:sz="0" w:space="0" w:color="auto"/>
      </w:divBdr>
      <w:divsChild>
        <w:div w:id="1982692364">
          <w:marLeft w:val="0"/>
          <w:marRight w:val="0"/>
          <w:marTop w:val="0"/>
          <w:marBottom w:val="0"/>
          <w:divBdr>
            <w:top w:val="none" w:sz="0" w:space="0" w:color="auto"/>
            <w:left w:val="none" w:sz="0" w:space="0" w:color="auto"/>
            <w:bottom w:val="none" w:sz="0" w:space="0" w:color="auto"/>
            <w:right w:val="none" w:sz="0" w:space="0" w:color="auto"/>
          </w:divBdr>
          <w:divsChild>
            <w:div w:id="1982692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65">
      <w:marLeft w:val="0"/>
      <w:marRight w:val="0"/>
      <w:marTop w:val="0"/>
      <w:marBottom w:val="0"/>
      <w:divBdr>
        <w:top w:val="none" w:sz="0" w:space="0" w:color="auto"/>
        <w:left w:val="none" w:sz="0" w:space="0" w:color="auto"/>
        <w:bottom w:val="none" w:sz="0" w:space="0" w:color="auto"/>
        <w:right w:val="none" w:sz="0" w:space="0" w:color="auto"/>
      </w:divBdr>
      <w:divsChild>
        <w:div w:id="1982692349">
          <w:marLeft w:val="0"/>
          <w:marRight w:val="0"/>
          <w:marTop w:val="0"/>
          <w:marBottom w:val="0"/>
          <w:divBdr>
            <w:top w:val="none" w:sz="0" w:space="0" w:color="auto"/>
            <w:left w:val="none" w:sz="0" w:space="0" w:color="auto"/>
            <w:bottom w:val="none" w:sz="0" w:space="0" w:color="auto"/>
            <w:right w:val="none" w:sz="0" w:space="0" w:color="auto"/>
          </w:divBdr>
          <w:divsChild>
            <w:div w:id="1982692351">
              <w:marLeft w:val="0"/>
              <w:marRight w:val="0"/>
              <w:marTop w:val="0"/>
              <w:marBottom w:val="0"/>
              <w:divBdr>
                <w:top w:val="none" w:sz="0" w:space="0" w:color="auto"/>
                <w:left w:val="none" w:sz="0" w:space="0" w:color="auto"/>
                <w:bottom w:val="none" w:sz="0" w:space="0" w:color="auto"/>
                <w:right w:val="none" w:sz="0" w:space="0" w:color="auto"/>
              </w:divBdr>
            </w:div>
            <w:div w:id="1982692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67">
      <w:marLeft w:val="0"/>
      <w:marRight w:val="0"/>
      <w:marTop w:val="0"/>
      <w:marBottom w:val="0"/>
      <w:divBdr>
        <w:top w:val="none" w:sz="0" w:space="0" w:color="auto"/>
        <w:left w:val="none" w:sz="0" w:space="0" w:color="auto"/>
        <w:bottom w:val="none" w:sz="0" w:space="0" w:color="auto"/>
        <w:right w:val="none" w:sz="0" w:space="0" w:color="auto"/>
      </w:divBdr>
    </w:div>
    <w:div w:id="1982692370">
      <w:marLeft w:val="0"/>
      <w:marRight w:val="0"/>
      <w:marTop w:val="0"/>
      <w:marBottom w:val="0"/>
      <w:divBdr>
        <w:top w:val="none" w:sz="0" w:space="0" w:color="auto"/>
        <w:left w:val="none" w:sz="0" w:space="0" w:color="auto"/>
        <w:bottom w:val="none" w:sz="0" w:space="0" w:color="auto"/>
        <w:right w:val="none" w:sz="0" w:space="0" w:color="auto"/>
      </w:divBdr>
    </w:div>
    <w:div w:id="1982692371">
      <w:marLeft w:val="0"/>
      <w:marRight w:val="0"/>
      <w:marTop w:val="0"/>
      <w:marBottom w:val="0"/>
      <w:divBdr>
        <w:top w:val="none" w:sz="0" w:space="0" w:color="auto"/>
        <w:left w:val="none" w:sz="0" w:space="0" w:color="auto"/>
        <w:bottom w:val="none" w:sz="0" w:space="0" w:color="auto"/>
        <w:right w:val="none" w:sz="0" w:space="0" w:color="auto"/>
      </w:divBdr>
      <w:divsChild>
        <w:div w:id="1982692375">
          <w:marLeft w:val="0"/>
          <w:marRight w:val="0"/>
          <w:marTop w:val="0"/>
          <w:marBottom w:val="0"/>
          <w:divBdr>
            <w:top w:val="none" w:sz="0" w:space="0" w:color="auto"/>
            <w:left w:val="none" w:sz="0" w:space="0" w:color="auto"/>
            <w:bottom w:val="none" w:sz="0" w:space="0" w:color="auto"/>
            <w:right w:val="none" w:sz="0" w:space="0" w:color="auto"/>
          </w:divBdr>
          <w:divsChild>
            <w:div w:id="1982692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74">
      <w:marLeft w:val="0"/>
      <w:marRight w:val="0"/>
      <w:marTop w:val="0"/>
      <w:marBottom w:val="0"/>
      <w:divBdr>
        <w:top w:val="none" w:sz="0" w:space="0" w:color="auto"/>
        <w:left w:val="none" w:sz="0" w:space="0" w:color="auto"/>
        <w:bottom w:val="none" w:sz="0" w:space="0" w:color="auto"/>
        <w:right w:val="none" w:sz="0" w:space="0" w:color="auto"/>
      </w:divBdr>
    </w:div>
    <w:div w:id="1982692376">
      <w:marLeft w:val="0"/>
      <w:marRight w:val="0"/>
      <w:marTop w:val="0"/>
      <w:marBottom w:val="0"/>
      <w:divBdr>
        <w:top w:val="none" w:sz="0" w:space="0" w:color="auto"/>
        <w:left w:val="none" w:sz="0" w:space="0" w:color="auto"/>
        <w:bottom w:val="none" w:sz="0" w:space="0" w:color="auto"/>
        <w:right w:val="none" w:sz="0" w:space="0" w:color="auto"/>
      </w:divBdr>
    </w:div>
    <w:div w:id="1982692377">
      <w:marLeft w:val="0"/>
      <w:marRight w:val="0"/>
      <w:marTop w:val="0"/>
      <w:marBottom w:val="0"/>
      <w:divBdr>
        <w:top w:val="none" w:sz="0" w:space="0" w:color="auto"/>
        <w:left w:val="none" w:sz="0" w:space="0" w:color="auto"/>
        <w:bottom w:val="none" w:sz="0" w:space="0" w:color="auto"/>
        <w:right w:val="none" w:sz="0" w:space="0" w:color="auto"/>
      </w:divBdr>
    </w:div>
    <w:div w:id="1982692379">
      <w:marLeft w:val="0"/>
      <w:marRight w:val="0"/>
      <w:marTop w:val="0"/>
      <w:marBottom w:val="0"/>
      <w:divBdr>
        <w:top w:val="none" w:sz="0" w:space="0" w:color="auto"/>
        <w:left w:val="none" w:sz="0" w:space="0" w:color="auto"/>
        <w:bottom w:val="none" w:sz="0" w:space="0" w:color="auto"/>
        <w:right w:val="none" w:sz="0" w:space="0" w:color="auto"/>
      </w:divBdr>
    </w:div>
    <w:div w:id="1982692380">
      <w:marLeft w:val="0"/>
      <w:marRight w:val="0"/>
      <w:marTop w:val="0"/>
      <w:marBottom w:val="0"/>
      <w:divBdr>
        <w:top w:val="none" w:sz="0" w:space="0" w:color="auto"/>
        <w:left w:val="none" w:sz="0" w:space="0" w:color="auto"/>
        <w:bottom w:val="none" w:sz="0" w:space="0" w:color="auto"/>
        <w:right w:val="none" w:sz="0" w:space="0" w:color="auto"/>
      </w:divBdr>
      <w:divsChild>
        <w:div w:id="1982692352">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1982692381">
      <w:marLeft w:val="0"/>
      <w:marRight w:val="0"/>
      <w:marTop w:val="0"/>
      <w:marBottom w:val="0"/>
      <w:divBdr>
        <w:top w:val="none" w:sz="0" w:space="0" w:color="auto"/>
        <w:left w:val="none" w:sz="0" w:space="0" w:color="auto"/>
        <w:bottom w:val="none" w:sz="0" w:space="0" w:color="auto"/>
        <w:right w:val="none" w:sz="0" w:space="0" w:color="auto"/>
      </w:divBdr>
    </w:div>
    <w:div w:id="1982692382">
      <w:marLeft w:val="0"/>
      <w:marRight w:val="0"/>
      <w:marTop w:val="0"/>
      <w:marBottom w:val="0"/>
      <w:divBdr>
        <w:top w:val="none" w:sz="0" w:space="0" w:color="auto"/>
        <w:left w:val="none" w:sz="0" w:space="0" w:color="auto"/>
        <w:bottom w:val="none" w:sz="0" w:space="0" w:color="auto"/>
        <w:right w:val="none" w:sz="0" w:space="0" w:color="auto"/>
      </w:divBdr>
    </w:div>
    <w:div w:id="1982692383">
      <w:marLeft w:val="0"/>
      <w:marRight w:val="0"/>
      <w:marTop w:val="0"/>
      <w:marBottom w:val="0"/>
      <w:divBdr>
        <w:top w:val="none" w:sz="0" w:space="0" w:color="auto"/>
        <w:left w:val="none" w:sz="0" w:space="0" w:color="auto"/>
        <w:bottom w:val="none" w:sz="0" w:space="0" w:color="auto"/>
        <w:right w:val="none" w:sz="0" w:space="0" w:color="auto"/>
      </w:divBdr>
    </w:div>
    <w:div w:id="1982692384">
      <w:marLeft w:val="0"/>
      <w:marRight w:val="0"/>
      <w:marTop w:val="0"/>
      <w:marBottom w:val="0"/>
      <w:divBdr>
        <w:top w:val="none" w:sz="0" w:space="0" w:color="auto"/>
        <w:left w:val="none" w:sz="0" w:space="0" w:color="auto"/>
        <w:bottom w:val="none" w:sz="0" w:space="0" w:color="auto"/>
        <w:right w:val="none" w:sz="0" w:space="0" w:color="auto"/>
      </w:divBdr>
    </w:div>
    <w:div w:id="1982692385">
      <w:marLeft w:val="0"/>
      <w:marRight w:val="0"/>
      <w:marTop w:val="0"/>
      <w:marBottom w:val="0"/>
      <w:divBdr>
        <w:top w:val="none" w:sz="0" w:space="0" w:color="auto"/>
        <w:left w:val="none" w:sz="0" w:space="0" w:color="auto"/>
        <w:bottom w:val="none" w:sz="0" w:space="0" w:color="auto"/>
        <w:right w:val="none" w:sz="0" w:space="0" w:color="auto"/>
      </w:divBdr>
    </w:div>
    <w:div w:id="1982692386">
      <w:marLeft w:val="0"/>
      <w:marRight w:val="0"/>
      <w:marTop w:val="0"/>
      <w:marBottom w:val="0"/>
      <w:divBdr>
        <w:top w:val="none" w:sz="0" w:space="0" w:color="auto"/>
        <w:left w:val="none" w:sz="0" w:space="0" w:color="auto"/>
        <w:bottom w:val="none" w:sz="0" w:space="0" w:color="auto"/>
        <w:right w:val="none" w:sz="0" w:space="0" w:color="auto"/>
      </w:divBdr>
    </w:div>
    <w:div w:id="1982692387">
      <w:marLeft w:val="0"/>
      <w:marRight w:val="0"/>
      <w:marTop w:val="0"/>
      <w:marBottom w:val="0"/>
      <w:divBdr>
        <w:top w:val="none" w:sz="0" w:space="0" w:color="auto"/>
        <w:left w:val="none" w:sz="0" w:space="0" w:color="auto"/>
        <w:bottom w:val="none" w:sz="0" w:space="0" w:color="auto"/>
        <w:right w:val="none" w:sz="0" w:space="0" w:color="auto"/>
      </w:divBdr>
    </w:div>
    <w:div w:id="1982692388">
      <w:marLeft w:val="0"/>
      <w:marRight w:val="0"/>
      <w:marTop w:val="0"/>
      <w:marBottom w:val="0"/>
      <w:divBdr>
        <w:top w:val="none" w:sz="0" w:space="0" w:color="auto"/>
        <w:left w:val="none" w:sz="0" w:space="0" w:color="auto"/>
        <w:bottom w:val="none" w:sz="0" w:space="0" w:color="auto"/>
        <w:right w:val="none" w:sz="0" w:space="0" w:color="auto"/>
      </w:divBdr>
    </w:div>
    <w:div w:id="1982692389">
      <w:marLeft w:val="0"/>
      <w:marRight w:val="0"/>
      <w:marTop w:val="0"/>
      <w:marBottom w:val="0"/>
      <w:divBdr>
        <w:top w:val="none" w:sz="0" w:space="0" w:color="auto"/>
        <w:left w:val="none" w:sz="0" w:space="0" w:color="auto"/>
        <w:bottom w:val="none" w:sz="0" w:space="0" w:color="auto"/>
        <w:right w:val="none" w:sz="0" w:space="0" w:color="auto"/>
      </w:divBdr>
    </w:div>
    <w:div w:id="1982692398">
      <w:marLeft w:val="0"/>
      <w:marRight w:val="0"/>
      <w:marTop w:val="0"/>
      <w:marBottom w:val="0"/>
      <w:divBdr>
        <w:top w:val="none" w:sz="0" w:space="0" w:color="auto"/>
        <w:left w:val="none" w:sz="0" w:space="0" w:color="auto"/>
        <w:bottom w:val="none" w:sz="0" w:space="0" w:color="auto"/>
        <w:right w:val="none" w:sz="0" w:space="0" w:color="auto"/>
      </w:divBdr>
      <w:divsChild>
        <w:div w:id="1982692394">
          <w:marLeft w:val="0"/>
          <w:marRight w:val="0"/>
          <w:marTop w:val="0"/>
          <w:marBottom w:val="0"/>
          <w:divBdr>
            <w:top w:val="none" w:sz="0" w:space="0" w:color="auto"/>
            <w:left w:val="none" w:sz="0" w:space="0" w:color="auto"/>
            <w:bottom w:val="none" w:sz="0" w:space="0" w:color="auto"/>
            <w:right w:val="none" w:sz="0" w:space="0" w:color="auto"/>
          </w:divBdr>
          <w:divsChild>
            <w:div w:id="1982692392">
              <w:marLeft w:val="0"/>
              <w:marRight w:val="0"/>
              <w:marTop w:val="0"/>
              <w:marBottom w:val="0"/>
              <w:divBdr>
                <w:top w:val="none" w:sz="0" w:space="0" w:color="auto"/>
                <w:left w:val="none" w:sz="0" w:space="0" w:color="auto"/>
                <w:bottom w:val="none" w:sz="0" w:space="0" w:color="auto"/>
                <w:right w:val="none" w:sz="0" w:space="0" w:color="auto"/>
              </w:divBdr>
              <w:divsChild>
                <w:div w:id="1982692397">
                  <w:marLeft w:val="0"/>
                  <w:marRight w:val="0"/>
                  <w:marTop w:val="0"/>
                  <w:marBottom w:val="0"/>
                  <w:divBdr>
                    <w:top w:val="none" w:sz="0" w:space="0" w:color="auto"/>
                    <w:left w:val="none" w:sz="0" w:space="0" w:color="auto"/>
                    <w:bottom w:val="none" w:sz="0" w:space="0" w:color="auto"/>
                    <w:right w:val="none" w:sz="0" w:space="0" w:color="auto"/>
                  </w:divBdr>
                  <w:divsChild>
                    <w:div w:id="198269239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2692399">
      <w:marLeft w:val="0"/>
      <w:marRight w:val="0"/>
      <w:marTop w:val="0"/>
      <w:marBottom w:val="0"/>
      <w:divBdr>
        <w:top w:val="none" w:sz="0" w:space="0" w:color="auto"/>
        <w:left w:val="none" w:sz="0" w:space="0" w:color="auto"/>
        <w:bottom w:val="none" w:sz="0" w:space="0" w:color="auto"/>
        <w:right w:val="none" w:sz="0" w:space="0" w:color="auto"/>
      </w:divBdr>
      <w:divsChild>
        <w:div w:id="1982692390">
          <w:marLeft w:val="0"/>
          <w:marRight w:val="0"/>
          <w:marTop w:val="0"/>
          <w:marBottom w:val="0"/>
          <w:divBdr>
            <w:top w:val="none" w:sz="0" w:space="0" w:color="auto"/>
            <w:left w:val="none" w:sz="0" w:space="0" w:color="auto"/>
            <w:bottom w:val="none" w:sz="0" w:space="0" w:color="auto"/>
            <w:right w:val="none" w:sz="0" w:space="0" w:color="auto"/>
          </w:divBdr>
          <w:divsChild>
            <w:div w:id="1982692393">
              <w:marLeft w:val="0"/>
              <w:marRight w:val="0"/>
              <w:marTop w:val="0"/>
              <w:marBottom w:val="0"/>
              <w:divBdr>
                <w:top w:val="none" w:sz="0" w:space="0" w:color="auto"/>
                <w:left w:val="none" w:sz="0" w:space="0" w:color="auto"/>
                <w:bottom w:val="none" w:sz="0" w:space="0" w:color="auto"/>
                <w:right w:val="none" w:sz="0" w:space="0" w:color="auto"/>
              </w:divBdr>
              <w:divsChild>
                <w:div w:id="1982692396">
                  <w:marLeft w:val="0"/>
                  <w:marRight w:val="0"/>
                  <w:marTop w:val="0"/>
                  <w:marBottom w:val="0"/>
                  <w:divBdr>
                    <w:top w:val="none" w:sz="0" w:space="0" w:color="auto"/>
                    <w:left w:val="none" w:sz="0" w:space="0" w:color="auto"/>
                    <w:bottom w:val="none" w:sz="0" w:space="0" w:color="auto"/>
                    <w:right w:val="none" w:sz="0" w:space="0" w:color="auto"/>
                  </w:divBdr>
                  <w:divsChild>
                    <w:div w:id="1982692395">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2692400">
      <w:marLeft w:val="0"/>
      <w:marRight w:val="0"/>
      <w:marTop w:val="0"/>
      <w:marBottom w:val="0"/>
      <w:divBdr>
        <w:top w:val="none" w:sz="0" w:space="0" w:color="auto"/>
        <w:left w:val="none" w:sz="0" w:space="0" w:color="auto"/>
        <w:bottom w:val="none" w:sz="0" w:space="0" w:color="auto"/>
        <w:right w:val="none" w:sz="0" w:space="0" w:color="auto"/>
      </w:divBdr>
    </w:div>
    <w:div w:id="1982692401">
      <w:marLeft w:val="0"/>
      <w:marRight w:val="0"/>
      <w:marTop w:val="0"/>
      <w:marBottom w:val="0"/>
      <w:divBdr>
        <w:top w:val="none" w:sz="0" w:space="0" w:color="auto"/>
        <w:left w:val="none" w:sz="0" w:space="0" w:color="auto"/>
        <w:bottom w:val="none" w:sz="0" w:space="0" w:color="auto"/>
        <w:right w:val="none" w:sz="0" w:space="0" w:color="auto"/>
      </w:divBdr>
    </w:div>
    <w:div w:id="1982692402">
      <w:marLeft w:val="0"/>
      <w:marRight w:val="0"/>
      <w:marTop w:val="0"/>
      <w:marBottom w:val="0"/>
      <w:divBdr>
        <w:top w:val="none" w:sz="0" w:space="0" w:color="auto"/>
        <w:left w:val="none" w:sz="0" w:space="0" w:color="auto"/>
        <w:bottom w:val="none" w:sz="0" w:space="0" w:color="auto"/>
        <w:right w:val="none" w:sz="0" w:space="0" w:color="auto"/>
      </w:divBdr>
    </w:div>
    <w:div w:id="1982692403">
      <w:marLeft w:val="0"/>
      <w:marRight w:val="0"/>
      <w:marTop w:val="0"/>
      <w:marBottom w:val="0"/>
      <w:divBdr>
        <w:top w:val="none" w:sz="0" w:space="0" w:color="auto"/>
        <w:left w:val="none" w:sz="0" w:space="0" w:color="auto"/>
        <w:bottom w:val="none" w:sz="0" w:space="0" w:color="auto"/>
        <w:right w:val="none" w:sz="0" w:space="0" w:color="auto"/>
      </w:divBdr>
    </w:div>
    <w:div w:id="1982692404">
      <w:marLeft w:val="0"/>
      <w:marRight w:val="0"/>
      <w:marTop w:val="0"/>
      <w:marBottom w:val="0"/>
      <w:divBdr>
        <w:top w:val="none" w:sz="0" w:space="0" w:color="auto"/>
        <w:left w:val="none" w:sz="0" w:space="0" w:color="auto"/>
        <w:bottom w:val="none" w:sz="0" w:space="0" w:color="auto"/>
        <w:right w:val="none" w:sz="0" w:space="0" w:color="auto"/>
      </w:divBdr>
    </w:div>
    <w:div w:id="1982692405">
      <w:marLeft w:val="0"/>
      <w:marRight w:val="0"/>
      <w:marTop w:val="0"/>
      <w:marBottom w:val="0"/>
      <w:divBdr>
        <w:top w:val="none" w:sz="0" w:space="0" w:color="auto"/>
        <w:left w:val="none" w:sz="0" w:space="0" w:color="auto"/>
        <w:bottom w:val="none" w:sz="0" w:space="0" w:color="auto"/>
        <w:right w:val="none" w:sz="0" w:space="0" w:color="auto"/>
      </w:divBdr>
    </w:div>
    <w:div w:id="1982692406">
      <w:marLeft w:val="0"/>
      <w:marRight w:val="0"/>
      <w:marTop w:val="0"/>
      <w:marBottom w:val="0"/>
      <w:divBdr>
        <w:top w:val="none" w:sz="0" w:space="0" w:color="auto"/>
        <w:left w:val="none" w:sz="0" w:space="0" w:color="auto"/>
        <w:bottom w:val="none" w:sz="0" w:space="0" w:color="auto"/>
        <w:right w:val="none" w:sz="0" w:space="0" w:color="auto"/>
      </w:divBdr>
    </w:div>
    <w:div w:id="1982692407">
      <w:marLeft w:val="0"/>
      <w:marRight w:val="0"/>
      <w:marTop w:val="0"/>
      <w:marBottom w:val="0"/>
      <w:divBdr>
        <w:top w:val="none" w:sz="0" w:space="0" w:color="auto"/>
        <w:left w:val="none" w:sz="0" w:space="0" w:color="auto"/>
        <w:bottom w:val="none" w:sz="0" w:space="0" w:color="auto"/>
        <w:right w:val="none" w:sz="0" w:space="0" w:color="auto"/>
      </w:divBdr>
    </w:div>
    <w:div w:id="2027823917">
      <w:bodyDiv w:val="1"/>
      <w:marLeft w:val="0"/>
      <w:marRight w:val="0"/>
      <w:marTop w:val="0"/>
      <w:marBottom w:val="0"/>
      <w:divBdr>
        <w:top w:val="none" w:sz="0" w:space="0" w:color="auto"/>
        <w:left w:val="none" w:sz="0" w:space="0" w:color="auto"/>
        <w:bottom w:val="none" w:sz="0" w:space="0" w:color="auto"/>
        <w:right w:val="none" w:sz="0" w:space="0" w:color="auto"/>
      </w:divBdr>
    </w:div>
    <w:div w:id="2058814862">
      <w:bodyDiv w:val="1"/>
      <w:marLeft w:val="0"/>
      <w:marRight w:val="0"/>
      <w:marTop w:val="0"/>
      <w:marBottom w:val="0"/>
      <w:divBdr>
        <w:top w:val="none" w:sz="0" w:space="0" w:color="auto"/>
        <w:left w:val="none" w:sz="0" w:space="0" w:color="auto"/>
        <w:bottom w:val="none" w:sz="0" w:space="0" w:color="auto"/>
        <w:right w:val="none" w:sz="0" w:space="0" w:color="auto"/>
      </w:divBdr>
    </w:div>
    <w:div w:id="2062899836">
      <w:bodyDiv w:val="1"/>
      <w:marLeft w:val="0"/>
      <w:marRight w:val="0"/>
      <w:marTop w:val="0"/>
      <w:marBottom w:val="0"/>
      <w:divBdr>
        <w:top w:val="none" w:sz="0" w:space="0" w:color="auto"/>
        <w:left w:val="none" w:sz="0" w:space="0" w:color="auto"/>
        <w:bottom w:val="none" w:sz="0" w:space="0" w:color="auto"/>
        <w:right w:val="none" w:sz="0" w:space="0" w:color="auto"/>
      </w:divBdr>
    </w:div>
    <w:div w:id="2069180684">
      <w:bodyDiv w:val="1"/>
      <w:marLeft w:val="0"/>
      <w:marRight w:val="0"/>
      <w:marTop w:val="0"/>
      <w:marBottom w:val="0"/>
      <w:divBdr>
        <w:top w:val="none" w:sz="0" w:space="0" w:color="auto"/>
        <w:left w:val="none" w:sz="0" w:space="0" w:color="auto"/>
        <w:bottom w:val="none" w:sz="0" w:space="0" w:color="auto"/>
        <w:right w:val="none" w:sz="0" w:space="0" w:color="auto"/>
      </w:divBdr>
    </w:div>
    <w:div w:id="2090930398">
      <w:bodyDiv w:val="1"/>
      <w:marLeft w:val="0"/>
      <w:marRight w:val="0"/>
      <w:marTop w:val="0"/>
      <w:marBottom w:val="0"/>
      <w:divBdr>
        <w:top w:val="none" w:sz="0" w:space="0" w:color="auto"/>
        <w:left w:val="none" w:sz="0" w:space="0" w:color="auto"/>
        <w:bottom w:val="none" w:sz="0" w:space="0" w:color="auto"/>
        <w:right w:val="none" w:sz="0" w:space="0" w:color="auto"/>
      </w:divBdr>
    </w:div>
    <w:div w:id="2136409655">
      <w:bodyDiv w:val="1"/>
      <w:marLeft w:val="0"/>
      <w:marRight w:val="0"/>
      <w:marTop w:val="0"/>
      <w:marBottom w:val="0"/>
      <w:divBdr>
        <w:top w:val="none" w:sz="0" w:space="0" w:color="auto"/>
        <w:left w:val="none" w:sz="0" w:space="0" w:color="auto"/>
        <w:bottom w:val="none" w:sz="0" w:space="0" w:color="auto"/>
        <w:right w:val="none" w:sz="0" w:space="0" w:color="auto"/>
      </w:divBdr>
    </w:div>
    <w:div w:id="2138645415">
      <w:bodyDiv w:val="1"/>
      <w:marLeft w:val="0"/>
      <w:marRight w:val="0"/>
      <w:marTop w:val="0"/>
      <w:marBottom w:val="0"/>
      <w:divBdr>
        <w:top w:val="none" w:sz="0" w:space="0" w:color="auto"/>
        <w:left w:val="none" w:sz="0" w:space="0" w:color="auto"/>
        <w:bottom w:val="none" w:sz="0" w:space="0" w:color="auto"/>
        <w:right w:val="none" w:sz="0" w:space="0" w:color="auto"/>
      </w:divBdr>
    </w:div>
    <w:div w:id="2146390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ustomXml" Target="../customXml/item117.xml"/><Relationship Id="rId299" Type="http://schemas.openxmlformats.org/officeDocument/2006/relationships/image" Target="media/image7.png"/><Relationship Id="rId21" Type="http://schemas.openxmlformats.org/officeDocument/2006/relationships/customXml" Target="../customXml/item21.xml"/><Relationship Id="rId63" Type="http://schemas.openxmlformats.org/officeDocument/2006/relationships/customXml" Target="../customXml/item63.xml"/><Relationship Id="rId159" Type="http://schemas.openxmlformats.org/officeDocument/2006/relationships/customXml" Target="../customXml/item159.xml"/><Relationship Id="rId324" Type="http://schemas.openxmlformats.org/officeDocument/2006/relationships/image" Target="media/image22.jpeg"/><Relationship Id="rId366" Type="http://schemas.openxmlformats.org/officeDocument/2006/relationships/image" Target="media/image63.png"/><Relationship Id="rId170" Type="http://schemas.openxmlformats.org/officeDocument/2006/relationships/customXml" Target="../customXml/item170.xml"/><Relationship Id="rId226" Type="http://schemas.openxmlformats.org/officeDocument/2006/relationships/customXml" Target="../customXml/item226.xml"/><Relationship Id="rId433" Type="http://schemas.openxmlformats.org/officeDocument/2006/relationships/header" Target="header5.xml"/><Relationship Id="rId268" Type="http://schemas.openxmlformats.org/officeDocument/2006/relationships/customXml" Target="../customXml/item268.xml"/><Relationship Id="rId32" Type="http://schemas.openxmlformats.org/officeDocument/2006/relationships/customXml" Target="../customXml/item32.xml"/><Relationship Id="rId74" Type="http://schemas.openxmlformats.org/officeDocument/2006/relationships/customXml" Target="../customXml/item74.xml"/><Relationship Id="rId128" Type="http://schemas.openxmlformats.org/officeDocument/2006/relationships/customXml" Target="../customXml/item128.xml"/><Relationship Id="rId335" Type="http://schemas.openxmlformats.org/officeDocument/2006/relationships/image" Target="media/image32.jpg"/><Relationship Id="rId377" Type="http://schemas.openxmlformats.org/officeDocument/2006/relationships/image" Target="media/image70.png"/><Relationship Id="rId5" Type="http://schemas.openxmlformats.org/officeDocument/2006/relationships/customXml" Target="../customXml/item5.xml"/><Relationship Id="rId181" Type="http://schemas.openxmlformats.org/officeDocument/2006/relationships/customXml" Target="../customXml/item181.xml"/><Relationship Id="rId237" Type="http://schemas.openxmlformats.org/officeDocument/2006/relationships/customXml" Target="../customXml/item237.xml"/><Relationship Id="rId402" Type="http://schemas.openxmlformats.org/officeDocument/2006/relationships/hyperlink" Target="http://watermonitoring.dnrm.qld.gov.au/host.htm" TargetMode="External"/><Relationship Id="rId279" Type="http://schemas.openxmlformats.org/officeDocument/2006/relationships/settings" Target="settings.xml"/><Relationship Id="rId43" Type="http://schemas.openxmlformats.org/officeDocument/2006/relationships/customXml" Target="../customXml/item43.xml"/><Relationship Id="rId139" Type="http://schemas.openxmlformats.org/officeDocument/2006/relationships/customXml" Target="../customXml/item139.xml"/><Relationship Id="rId290" Type="http://schemas.openxmlformats.org/officeDocument/2006/relationships/header" Target="header4.xml"/><Relationship Id="rId304" Type="http://schemas.openxmlformats.org/officeDocument/2006/relationships/diagramLayout" Target="diagrams/layout1.xml"/><Relationship Id="rId346" Type="http://schemas.openxmlformats.org/officeDocument/2006/relationships/image" Target="media/image43.jpeg"/><Relationship Id="rId388" Type="http://schemas.openxmlformats.org/officeDocument/2006/relationships/image" Target="media/image75.png"/><Relationship Id="rId85" Type="http://schemas.openxmlformats.org/officeDocument/2006/relationships/customXml" Target="../customXml/item85.xml"/><Relationship Id="rId150" Type="http://schemas.openxmlformats.org/officeDocument/2006/relationships/customXml" Target="../customXml/item150.xml"/><Relationship Id="rId192" Type="http://schemas.openxmlformats.org/officeDocument/2006/relationships/customXml" Target="../customXml/item192.xml"/><Relationship Id="rId206" Type="http://schemas.openxmlformats.org/officeDocument/2006/relationships/customXml" Target="../customXml/item206.xml"/><Relationship Id="rId413" Type="http://schemas.openxmlformats.org/officeDocument/2006/relationships/image" Target="media/image93.png"/><Relationship Id="rId248" Type="http://schemas.openxmlformats.org/officeDocument/2006/relationships/customXml" Target="../customXml/item248.xml"/><Relationship Id="rId12" Type="http://schemas.openxmlformats.org/officeDocument/2006/relationships/customXml" Target="../customXml/item12.xml"/><Relationship Id="rId108" Type="http://schemas.openxmlformats.org/officeDocument/2006/relationships/customXml" Target="../customXml/item108.xml"/><Relationship Id="rId315" Type="http://schemas.openxmlformats.org/officeDocument/2006/relationships/footer" Target="footer4.xml"/><Relationship Id="rId357" Type="http://schemas.openxmlformats.org/officeDocument/2006/relationships/image" Target="media/image54.png"/><Relationship Id="rId54" Type="http://schemas.openxmlformats.org/officeDocument/2006/relationships/customXml" Target="../customXml/item54.xml"/><Relationship Id="rId96" Type="http://schemas.openxmlformats.org/officeDocument/2006/relationships/customXml" Target="../customXml/item96.xml"/><Relationship Id="rId161" Type="http://schemas.openxmlformats.org/officeDocument/2006/relationships/customXml" Target="../customXml/item161.xml"/><Relationship Id="rId217" Type="http://schemas.openxmlformats.org/officeDocument/2006/relationships/customXml" Target="../customXml/item217.xml"/><Relationship Id="rId399" Type="http://schemas.openxmlformats.org/officeDocument/2006/relationships/image" Target="media/image84.png"/><Relationship Id="rId259" Type="http://schemas.openxmlformats.org/officeDocument/2006/relationships/customXml" Target="../customXml/item259.xml"/><Relationship Id="rId424" Type="http://schemas.openxmlformats.org/officeDocument/2006/relationships/image" Target="media/image104.png"/><Relationship Id="rId23" Type="http://schemas.openxmlformats.org/officeDocument/2006/relationships/customXml" Target="../customXml/item23.xml"/><Relationship Id="rId119" Type="http://schemas.openxmlformats.org/officeDocument/2006/relationships/customXml" Target="../customXml/item119.xml"/><Relationship Id="rId270" Type="http://schemas.openxmlformats.org/officeDocument/2006/relationships/customXml" Target="../customXml/item270.xml"/><Relationship Id="rId326" Type="http://schemas.openxmlformats.org/officeDocument/2006/relationships/image" Target="media/image24.jpeg"/><Relationship Id="rId65" Type="http://schemas.openxmlformats.org/officeDocument/2006/relationships/customXml" Target="../customXml/item65.xml"/><Relationship Id="rId130" Type="http://schemas.openxmlformats.org/officeDocument/2006/relationships/customXml" Target="../customXml/item130.xml"/><Relationship Id="rId368" Type="http://schemas.openxmlformats.org/officeDocument/2006/relationships/oleObject" Target="embeddings/oleObject1.bin"/><Relationship Id="rId172" Type="http://schemas.openxmlformats.org/officeDocument/2006/relationships/customXml" Target="../customXml/item172.xml"/><Relationship Id="rId228" Type="http://schemas.openxmlformats.org/officeDocument/2006/relationships/customXml" Target="../customXml/item228.xml"/><Relationship Id="rId435" Type="http://schemas.openxmlformats.org/officeDocument/2006/relationships/image" Target="media/image111.jpeg"/><Relationship Id="rId281" Type="http://schemas.openxmlformats.org/officeDocument/2006/relationships/footnotes" Target="footnotes.xml"/><Relationship Id="rId337" Type="http://schemas.openxmlformats.org/officeDocument/2006/relationships/image" Target="media/image34.gif"/><Relationship Id="rId34" Type="http://schemas.openxmlformats.org/officeDocument/2006/relationships/customXml" Target="../customXml/item34.xml"/><Relationship Id="rId76" Type="http://schemas.openxmlformats.org/officeDocument/2006/relationships/customXml" Target="../customXml/item76.xml"/><Relationship Id="rId141" Type="http://schemas.openxmlformats.org/officeDocument/2006/relationships/customXml" Target="../customXml/item141.xml"/><Relationship Id="rId379" Type="http://schemas.openxmlformats.org/officeDocument/2006/relationships/image" Target="media/image72.png"/><Relationship Id="rId7" Type="http://schemas.openxmlformats.org/officeDocument/2006/relationships/customXml" Target="../customXml/item7.xml"/><Relationship Id="rId183" Type="http://schemas.openxmlformats.org/officeDocument/2006/relationships/customXml" Target="../customXml/item183.xml"/><Relationship Id="rId239" Type="http://schemas.openxmlformats.org/officeDocument/2006/relationships/customXml" Target="../customXml/item239.xml"/><Relationship Id="rId390" Type="http://schemas.openxmlformats.org/officeDocument/2006/relationships/hyperlink" Target="http://www.seagrasswatch.org/meg.html" TargetMode="External"/><Relationship Id="rId404" Type="http://schemas.openxmlformats.org/officeDocument/2006/relationships/image" Target="media/image87.jpeg"/><Relationship Id="rId250" Type="http://schemas.openxmlformats.org/officeDocument/2006/relationships/customXml" Target="../customXml/item250.xml"/><Relationship Id="rId292" Type="http://schemas.openxmlformats.org/officeDocument/2006/relationships/image" Target="media/image3.png"/><Relationship Id="rId306" Type="http://schemas.openxmlformats.org/officeDocument/2006/relationships/diagramColors" Target="diagrams/colors1.xml"/><Relationship Id="rId45" Type="http://schemas.openxmlformats.org/officeDocument/2006/relationships/customXml" Target="../customXml/item45.xml"/><Relationship Id="rId87" Type="http://schemas.openxmlformats.org/officeDocument/2006/relationships/customXml" Target="../customXml/item87.xml"/><Relationship Id="rId110" Type="http://schemas.openxmlformats.org/officeDocument/2006/relationships/customXml" Target="../customXml/item110.xml"/><Relationship Id="rId348" Type="http://schemas.openxmlformats.org/officeDocument/2006/relationships/image" Target="media/image45.png"/><Relationship Id="rId152" Type="http://schemas.openxmlformats.org/officeDocument/2006/relationships/customXml" Target="../customXml/item152.xml"/><Relationship Id="rId194" Type="http://schemas.openxmlformats.org/officeDocument/2006/relationships/customXml" Target="../customXml/item194.xml"/><Relationship Id="rId208" Type="http://schemas.openxmlformats.org/officeDocument/2006/relationships/customXml" Target="../customXml/item208.xml"/><Relationship Id="rId415" Type="http://schemas.openxmlformats.org/officeDocument/2006/relationships/image" Target="media/image95.png"/><Relationship Id="rId261" Type="http://schemas.openxmlformats.org/officeDocument/2006/relationships/customXml" Target="../customXml/item261.xml"/><Relationship Id="rId14" Type="http://schemas.openxmlformats.org/officeDocument/2006/relationships/customXml" Target="../customXml/item14.xml"/><Relationship Id="rId56" Type="http://schemas.openxmlformats.org/officeDocument/2006/relationships/customXml" Target="../customXml/item56.xml"/><Relationship Id="rId317" Type="http://schemas.openxmlformats.org/officeDocument/2006/relationships/image" Target="media/image15.jpg"/><Relationship Id="rId359" Type="http://schemas.openxmlformats.org/officeDocument/2006/relationships/image" Target="media/image56.png"/><Relationship Id="rId98" Type="http://schemas.openxmlformats.org/officeDocument/2006/relationships/customXml" Target="../customXml/item98.xml"/><Relationship Id="rId121" Type="http://schemas.openxmlformats.org/officeDocument/2006/relationships/customXml" Target="../customXml/item121.xml"/><Relationship Id="rId163" Type="http://schemas.openxmlformats.org/officeDocument/2006/relationships/customXml" Target="../customXml/item163.xml"/><Relationship Id="rId219" Type="http://schemas.openxmlformats.org/officeDocument/2006/relationships/customXml" Target="../customXml/item219.xml"/><Relationship Id="rId370" Type="http://schemas.openxmlformats.org/officeDocument/2006/relationships/oleObject" Target="embeddings/oleObject2.bin"/><Relationship Id="rId426" Type="http://schemas.openxmlformats.org/officeDocument/2006/relationships/image" Target="media/image106.png"/><Relationship Id="rId230" Type="http://schemas.openxmlformats.org/officeDocument/2006/relationships/customXml" Target="../customXml/item230.xml"/><Relationship Id="rId25" Type="http://schemas.openxmlformats.org/officeDocument/2006/relationships/customXml" Target="../customXml/item25.xml"/><Relationship Id="rId67" Type="http://schemas.openxmlformats.org/officeDocument/2006/relationships/customXml" Target="../customXml/item67.xml"/><Relationship Id="rId272" Type="http://schemas.openxmlformats.org/officeDocument/2006/relationships/customXml" Target="../customXml/item272.xml"/><Relationship Id="rId328" Type="http://schemas.openxmlformats.org/officeDocument/2006/relationships/image" Target="cid:ii_155ae930aa882712" TargetMode="External"/><Relationship Id="rId132" Type="http://schemas.openxmlformats.org/officeDocument/2006/relationships/customXml" Target="../customXml/item132.xml"/><Relationship Id="rId174" Type="http://schemas.openxmlformats.org/officeDocument/2006/relationships/customXml" Target="../customXml/item174.xml"/><Relationship Id="rId381" Type="http://schemas.openxmlformats.org/officeDocument/2006/relationships/hyperlink" Target="http://www.reefplan.qld.gov.au/" TargetMode="External"/><Relationship Id="rId241" Type="http://schemas.openxmlformats.org/officeDocument/2006/relationships/customXml" Target="../customXml/item241.xml"/><Relationship Id="rId437" Type="http://schemas.openxmlformats.org/officeDocument/2006/relationships/image" Target="media/image113.jpeg"/><Relationship Id="rId36" Type="http://schemas.openxmlformats.org/officeDocument/2006/relationships/customXml" Target="../customXml/item36.xml"/><Relationship Id="rId283" Type="http://schemas.openxmlformats.org/officeDocument/2006/relationships/image" Target="media/image1.jpg"/><Relationship Id="rId339" Type="http://schemas.openxmlformats.org/officeDocument/2006/relationships/image" Target="media/image36.jpeg"/><Relationship Id="rId78" Type="http://schemas.openxmlformats.org/officeDocument/2006/relationships/customXml" Target="../customXml/item78.xml"/><Relationship Id="rId101" Type="http://schemas.openxmlformats.org/officeDocument/2006/relationships/customXml" Target="../customXml/item101.xml"/><Relationship Id="rId143" Type="http://schemas.openxmlformats.org/officeDocument/2006/relationships/customXml" Target="../customXml/item143.xml"/><Relationship Id="rId185" Type="http://schemas.openxmlformats.org/officeDocument/2006/relationships/customXml" Target="../customXml/item185.xml"/><Relationship Id="rId350" Type="http://schemas.openxmlformats.org/officeDocument/2006/relationships/image" Target="media/image47.jpg"/><Relationship Id="rId406" Type="http://schemas.openxmlformats.org/officeDocument/2006/relationships/image" Target="media/image88.png"/><Relationship Id="rId9" Type="http://schemas.openxmlformats.org/officeDocument/2006/relationships/customXml" Target="../customXml/item9.xml"/><Relationship Id="rId210" Type="http://schemas.openxmlformats.org/officeDocument/2006/relationships/customXml" Target="../customXml/item210.xml"/><Relationship Id="rId392" Type="http://schemas.openxmlformats.org/officeDocument/2006/relationships/image" Target="media/image78.jpeg"/><Relationship Id="rId252" Type="http://schemas.openxmlformats.org/officeDocument/2006/relationships/customXml" Target="../customXml/item252.xml"/><Relationship Id="rId294" Type="http://schemas.openxmlformats.org/officeDocument/2006/relationships/hyperlink" Target="http://e-atlas.org.au/rrmmp" TargetMode="External"/><Relationship Id="rId308" Type="http://schemas.openxmlformats.org/officeDocument/2006/relationships/hyperlink" Target="https://en.wikipedia.org/wiki/Landfall_%28meteorology%29" TargetMode="External"/><Relationship Id="rId47" Type="http://schemas.openxmlformats.org/officeDocument/2006/relationships/customXml" Target="../customXml/item47.xml"/><Relationship Id="rId89" Type="http://schemas.openxmlformats.org/officeDocument/2006/relationships/customXml" Target="../customXml/item89.xml"/><Relationship Id="rId112" Type="http://schemas.openxmlformats.org/officeDocument/2006/relationships/customXml" Target="../customXml/item112.xml"/><Relationship Id="rId154" Type="http://schemas.openxmlformats.org/officeDocument/2006/relationships/customXml" Target="../customXml/item154.xml"/><Relationship Id="rId361" Type="http://schemas.openxmlformats.org/officeDocument/2006/relationships/image" Target="media/image58.gif"/><Relationship Id="rId196" Type="http://schemas.openxmlformats.org/officeDocument/2006/relationships/customXml" Target="../customXml/item196.xml"/><Relationship Id="rId417" Type="http://schemas.openxmlformats.org/officeDocument/2006/relationships/image" Target="media/image97.png"/><Relationship Id="rId16" Type="http://schemas.openxmlformats.org/officeDocument/2006/relationships/customXml" Target="../customXml/item16.xml"/><Relationship Id="rId221" Type="http://schemas.openxmlformats.org/officeDocument/2006/relationships/customXml" Target="../customXml/item221.xml"/><Relationship Id="rId263" Type="http://schemas.openxmlformats.org/officeDocument/2006/relationships/customXml" Target="../customXml/item263.xml"/><Relationship Id="rId319" Type="http://schemas.openxmlformats.org/officeDocument/2006/relationships/image" Target="media/image17.png"/><Relationship Id="rId58" Type="http://schemas.openxmlformats.org/officeDocument/2006/relationships/customXml" Target="../customXml/item58.xml"/><Relationship Id="rId123" Type="http://schemas.openxmlformats.org/officeDocument/2006/relationships/customXml" Target="../customXml/item123.xml"/><Relationship Id="rId330" Type="http://schemas.openxmlformats.org/officeDocument/2006/relationships/image" Target="media/image27.png"/><Relationship Id="rId165" Type="http://schemas.openxmlformats.org/officeDocument/2006/relationships/customXml" Target="../customXml/item165.xml"/><Relationship Id="rId372" Type="http://schemas.openxmlformats.org/officeDocument/2006/relationships/oleObject" Target="embeddings/oleObject3.bin"/><Relationship Id="rId428" Type="http://schemas.openxmlformats.org/officeDocument/2006/relationships/image" Target="media/image108.emf"/><Relationship Id="rId232" Type="http://schemas.openxmlformats.org/officeDocument/2006/relationships/customXml" Target="../customXml/item232.xml"/><Relationship Id="rId274" Type="http://schemas.openxmlformats.org/officeDocument/2006/relationships/customXml" Target="../customXml/item274.xml"/><Relationship Id="rId27" Type="http://schemas.openxmlformats.org/officeDocument/2006/relationships/customXml" Target="../customXml/item27.xml"/><Relationship Id="rId69" Type="http://schemas.openxmlformats.org/officeDocument/2006/relationships/customXml" Target="../customXml/item69.xml"/><Relationship Id="rId134" Type="http://schemas.openxmlformats.org/officeDocument/2006/relationships/customXml" Target="../customXml/item134.xml"/><Relationship Id="rId80" Type="http://schemas.openxmlformats.org/officeDocument/2006/relationships/customXml" Target="../customXml/item80.xml"/><Relationship Id="rId176" Type="http://schemas.openxmlformats.org/officeDocument/2006/relationships/customXml" Target="../customXml/item176.xml"/><Relationship Id="rId341" Type="http://schemas.openxmlformats.org/officeDocument/2006/relationships/image" Target="media/image38.png"/><Relationship Id="rId383" Type="http://schemas.openxmlformats.org/officeDocument/2006/relationships/hyperlink" Target="http://www.derm.qld.gov.au/" TargetMode="External"/><Relationship Id="rId439" Type="http://schemas.openxmlformats.org/officeDocument/2006/relationships/image" Target="media/image115.jpeg"/><Relationship Id="rId201" Type="http://schemas.openxmlformats.org/officeDocument/2006/relationships/customXml" Target="../customXml/item201.xml"/><Relationship Id="rId243" Type="http://schemas.openxmlformats.org/officeDocument/2006/relationships/customXml" Target="../customXml/item243.xml"/><Relationship Id="rId285" Type="http://schemas.openxmlformats.org/officeDocument/2006/relationships/footer" Target="footer1.xml"/><Relationship Id="rId38" Type="http://schemas.openxmlformats.org/officeDocument/2006/relationships/customXml" Target="../customXml/item38.xml"/><Relationship Id="rId103" Type="http://schemas.openxmlformats.org/officeDocument/2006/relationships/customXml" Target="../customXml/item103.xml"/><Relationship Id="rId310" Type="http://schemas.openxmlformats.org/officeDocument/2006/relationships/image" Target="media/image11.jpg"/><Relationship Id="rId91" Type="http://schemas.openxmlformats.org/officeDocument/2006/relationships/customXml" Target="../customXml/item91.xml"/><Relationship Id="rId145" Type="http://schemas.openxmlformats.org/officeDocument/2006/relationships/customXml" Target="../customXml/item145.xml"/><Relationship Id="rId187" Type="http://schemas.openxmlformats.org/officeDocument/2006/relationships/customXml" Target="../customXml/item187.xml"/><Relationship Id="rId352" Type="http://schemas.openxmlformats.org/officeDocument/2006/relationships/image" Target="media/image49.gif"/><Relationship Id="rId394" Type="http://schemas.openxmlformats.org/officeDocument/2006/relationships/image" Target="media/image80.png"/><Relationship Id="rId408" Type="http://schemas.openxmlformats.org/officeDocument/2006/relationships/hyperlink" Target="http://watermonitoring.dnrm.qld.gov.au/host.htm" TargetMode="External"/><Relationship Id="rId212" Type="http://schemas.openxmlformats.org/officeDocument/2006/relationships/customXml" Target="../customXml/item212.xml"/><Relationship Id="rId254" Type="http://schemas.openxmlformats.org/officeDocument/2006/relationships/customXml" Target="../customXml/item254.xml"/><Relationship Id="rId49" Type="http://schemas.openxmlformats.org/officeDocument/2006/relationships/customXml" Target="../customXml/item49.xml"/><Relationship Id="rId114" Type="http://schemas.openxmlformats.org/officeDocument/2006/relationships/customXml" Target="../customXml/item114.xml"/><Relationship Id="rId296" Type="http://schemas.openxmlformats.org/officeDocument/2006/relationships/image" Target="media/image4.jpg"/><Relationship Id="rId60" Type="http://schemas.openxmlformats.org/officeDocument/2006/relationships/customXml" Target="../customXml/item60.xml"/><Relationship Id="rId156" Type="http://schemas.openxmlformats.org/officeDocument/2006/relationships/customXml" Target="../customXml/item156.xml"/><Relationship Id="rId198" Type="http://schemas.openxmlformats.org/officeDocument/2006/relationships/customXml" Target="../customXml/item198.xml"/><Relationship Id="rId321" Type="http://schemas.openxmlformats.org/officeDocument/2006/relationships/image" Target="media/image19.jpeg"/><Relationship Id="rId363" Type="http://schemas.openxmlformats.org/officeDocument/2006/relationships/image" Target="media/image60.jpeg"/><Relationship Id="rId419" Type="http://schemas.openxmlformats.org/officeDocument/2006/relationships/image" Target="media/image99.png"/><Relationship Id="rId202" Type="http://schemas.openxmlformats.org/officeDocument/2006/relationships/customXml" Target="../customXml/item202.xml"/><Relationship Id="rId223" Type="http://schemas.openxmlformats.org/officeDocument/2006/relationships/customXml" Target="../customXml/item223.xml"/><Relationship Id="rId244" Type="http://schemas.openxmlformats.org/officeDocument/2006/relationships/customXml" Target="../customXml/item244.xml"/><Relationship Id="rId430" Type="http://schemas.openxmlformats.org/officeDocument/2006/relationships/image" Target="media/image109.emf"/><Relationship Id="rId18" Type="http://schemas.openxmlformats.org/officeDocument/2006/relationships/customXml" Target="../customXml/item18.xml"/><Relationship Id="rId39" Type="http://schemas.openxmlformats.org/officeDocument/2006/relationships/customXml" Target="../customXml/item39.xml"/><Relationship Id="rId265" Type="http://schemas.openxmlformats.org/officeDocument/2006/relationships/customXml" Target="../customXml/item265.xml"/><Relationship Id="rId286" Type="http://schemas.openxmlformats.org/officeDocument/2006/relationships/header" Target="header2.xml"/><Relationship Id="rId50" Type="http://schemas.openxmlformats.org/officeDocument/2006/relationships/customXml" Target="../customXml/item50.xml"/><Relationship Id="rId104" Type="http://schemas.openxmlformats.org/officeDocument/2006/relationships/customXml" Target="../customXml/item104.xml"/><Relationship Id="rId125" Type="http://schemas.openxmlformats.org/officeDocument/2006/relationships/customXml" Target="../customXml/item125.xml"/><Relationship Id="rId146" Type="http://schemas.openxmlformats.org/officeDocument/2006/relationships/customXml" Target="../customXml/item146.xml"/><Relationship Id="rId167" Type="http://schemas.openxmlformats.org/officeDocument/2006/relationships/customXml" Target="../customXml/item167.xml"/><Relationship Id="rId188" Type="http://schemas.openxmlformats.org/officeDocument/2006/relationships/customXml" Target="../customXml/item188.xml"/><Relationship Id="rId311" Type="http://schemas.openxmlformats.org/officeDocument/2006/relationships/image" Target="media/image12.png"/><Relationship Id="rId332" Type="http://schemas.openxmlformats.org/officeDocument/2006/relationships/image" Target="media/image29.gif"/><Relationship Id="rId353" Type="http://schemas.openxmlformats.org/officeDocument/2006/relationships/image" Target="media/image50.gif"/><Relationship Id="rId374" Type="http://schemas.openxmlformats.org/officeDocument/2006/relationships/oleObject" Target="embeddings/oleObject4.bin"/><Relationship Id="rId395" Type="http://schemas.openxmlformats.org/officeDocument/2006/relationships/image" Target="media/image81.png"/><Relationship Id="rId409" Type="http://schemas.openxmlformats.org/officeDocument/2006/relationships/image" Target="media/image90.png"/><Relationship Id="rId71" Type="http://schemas.openxmlformats.org/officeDocument/2006/relationships/customXml" Target="../customXml/item71.xml"/><Relationship Id="rId92" Type="http://schemas.openxmlformats.org/officeDocument/2006/relationships/customXml" Target="../customXml/item92.xml"/><Relationship Id="rId213" Type="http://schemas.openxmlformats.org/officeDocument/2006/relationships/customXml" Target="../customXml/item213.xml"/><Relationship Id="rId234" Type="http://schemas.openxmlformats.org/officeDocument/2006/relationships/customXml" Target="../customXml/item234.xml"/><Relationship Id="rId420" Type="http://schemas.openxmlformats.org/officeDocument/2006/relationships/image" Target="media/image100.png"/><Relationship Id="rId2" Type="http://schemas.openxmlformats.org/officeDocument/2006/relationships/customXml" Target="../customXml/item2.xml"/><Relationship Id="rId29" Type="http://schemas.openxmlformats.org/officeDocument/2006/relationships/customXml" Target="../customXml/item29.xml"/><Relationship Id="rId255" Type="http://schemas.openxmlformats.org/officeDocument/2006/relationships/customXml" Target="../customXml/item255.xml"/><Relationship Id="rId276" Type="http://schemas.openxmlformats.org/officeDocument/2006/relationships/numbering" Target="numbering.xml"/><Relationship Id="rId297" Type="http://schemas.openxmlformats.org/officeDocument/2006/relationships/image" Target="media/image5.png"/><Relationship Id="rId441" Type="http://schemas.openxmlformats.org/officeDocument/2006/relationships/fontTable" Target="fontTable.xml"/><Relationship Id="rId40" Type="http://schemas.openxmlformats.org/officeDocument/2006/relationships/customXml" Target="../customXml/item40.xml"/><Relationship Id="rId115" Type="http://schemas.openxmlformats.org/officeDocument/2006/relationships/customXml" Target="../customXml/item115.xml"/><Relationship Id="rId136" Type="http://schemas.openxmlformats.org/officeDocument/2006/relationships/customXml" Target="../customXml/item136.xml"/><Relationship Id="rId157" Type="http://schemas.openxmlformats.org/officeDocument/2006/relationships/customXml" Target="../customXml/item157.xml"/><Relationship Id="rId178" Type="http://schemas.openxmlformats.org/officeDocument/2006/relationships/customXml" Target="../customXml/item178.xml"/><Relationship Id="rId301" Type="http://schemas.openxmlformats.org/officeDocument/2006/relationships/image" Target="media/image9.png"/><Relationship Id="rId322" Type="http://schemas.openxmlformats.org/officeDocument/2006/relationships/image" Target="media/image20.jpeg"/><Relationship Id="rId343" Type="http://schemas.openxmlformats.org/officeDocument/2006/relationships/image" Target="media/image40.png"/><Relationship Id="rId364" Type="http://schemas.openxmlformats.org/officeDocument/2006/relationships/image" Target="media/image61.jpeg"/><Relationship Id="rId61" Type="http://schemas.openxmlformats.org/officeDocument/2006/relationships/customXml" Target="../customXml/item61.xml"/><Relationship Id="rId82" Type="http://schemas.openxmlformats.org/officeDocument/2006/relationships/customXml" Target="../customXml/item82.xml"/><Relationship Id="rId199" Type="http://schemas.openxmlformats.org/officeDocument/2006/relationships/customXml" Target="../customXml/item199.xml"/><Relationship Id="rId203" Type="http://schemas.openxmlformats.org/officeDocument/2006/relationships/customXml" Target="../customXml/item203.xml"/><Relationship Id="rId385" Type="http://schemas.openxmlformats.org/officeDocument/2006/relationships/hyperlink" Target="http://dx.doi.org/10.1029/2005GB002606" TargetMode="External"/><Relationship Id="rId19" Type="http://schemas.openxmlformats.org/officeDocument/2006/relationships/customXml" Target="../customXml/item19.xml"/><Relationship Id="rId224" Type="http://schemas.openxmlformats.org/officeDocument/2006/relationships/customXml" Target="../customXml/item224.xml"/><Relationship Id="rId245" Type="http://schemas.openxmlformats.org/officeDocument/2006/relationships/customXml" Target="../customXml/item245.xml"/><Relationship Id="rId266" Type="http://schemas.openxmlformats.org/officeDocument/2006/relationships/customXml" Target="../customXml/item266.xml"/><Relationship Id="rId287" Type="http://schemas.openxmlformats.org/officeDocument/2006/relationships/footer" Target="footer2.xml"/><Relationship Id="rId410" Type="http://schemas.openxmlformats.org/officeDocument/2006/relationships/image" Target="media/image91.jpeg"/><Relationship Id="rId431" Type="http://schemas.openxmlformats.org/officeDocument/2006/relationships/oleObject" Target="embeddings/oleObject6.bin"/><Relationship Id="rId30" Type="http://schemas.openxmlformats.org/officeDocument/2006/relationships/customXml" Target="../customXml/item30.xml"/><Relationship Id="rId105" Type="http://schemas.openxmlformats.org/officeDocument/2006/relationships/customXml" Target="../customXml/item105.xml"/><Relationship Id="rId126" Type="http://schemas.openxmlformats.org/officeDocument/2006/relationships/customXml" Target="../customXml/item126.xml"/><Relationship Id="rId147" Type="http://schemas.openxmlformats.org/officeDocument/2006/relationships/customXml" Target="../customXml/item147.xml"/><Relationship Id="rId168" Type="http://schemas.openxmlformats.org/officeDocument/2006/relationships/customXml" Target="../customXml/item168.xml"/><Relationship Id="rId312" Type="http://schemas.openxmlformats.org/officeDocument/2006/relationships/image" Target="media/image13.png"/><Relationship Id="rId333" Type="http://schemas.openxmlformats.org/officeDocument/2006/relationships/image" Target="media/image30.jpeg"/><Relationship Id="rId354" Type="http://schemas.openxmlformats.org/officeDocument/2006/relationships/image" Target="media/image51.jpeg"/><Relationship Id="rId51" Type="http://schemas.openxmlformats.org/officeDocument/2006/relationships/customXml" Target="../customXml/item51.xml"/><Relationship Id="rId72" Type="http://schemas.openxmlformats.org/officeDocument/2006/relationships/customXml" Target="../customXml/item72.xml"/><Relationship Id="rId93" Type="http://schemas.openxmlformats.org/officeDocument/2006/relationships/customXml" Target="../customXml/item93.xml"/><Relationship Id="rId189" Type="http://schemas.openxmlformats.org/officeDocument/2006/relationships/customXml" Target="../customXml/item189.xml"/><Relationship Id="rId375" Type="http://schemas.openxmlformats.org/officeDocument/2006/relationships/image" Target="media/image68.jpeg"/><Relationship Id="rId396" Type="http://schemas.openxmlformats.org/officeDocument/2006/relationships/image" Target="media/image82.png"/><Relationship Id="rId3" Type="http://schemas.openxmlformats.org/officeDocument/2006/relationships/customXml" Target="../customXml/item3.xml"/><Relationship Id="rId214" Type="http://schemas.openxmlformats.org/officeDocument/2006/relationships/customXml" Target="../customXml/item214.xml"/><Relationship Id="rId235" Type="http://schemas.openxmlformats.org/officeDocument/2006/relationships/customXml" Target="../customXml/item235.xml"/><Relationship Id="rId256" Type="http://schemas.openxmlformats.org/officeDocument/2006/relationships/customXml" Target="../customXml/item256.xml"/><Relationship Id="rId277" Type="http://schemas.openxmlformats.org/officeDocument/2006/relationships/styles" Target="styles.xml"/><Relationship Id="rId298" Type="http://schemas.openxmlformats.org/officeDocument/2006/relationships/image" Target="media/image6.png"/><Relationship Id="rId400" Type="http://schemas.openxmlformats.org/officeDocument/2006/relationships/image" Target="media/image85.png"/><Relationship Id="rId421" Type="http://schemas.openxmlformats.org/officeDocument/2006/relationships/image" Target="media/image101.png"/><Relationship Id="rId442" Type="http://schemas.openxmlformats.org/officeDocument/2006/relationships/theme" Target="theme/theme1.xml"/><Relationship Id="rId116" Type="http://schemas.openxmlformats.org/officeDocument/2006/relationships/customXml" Target="../customXml/item116.xml"/><Relationship Id="rId137" Type="http://schemas.openxmlformats.org/officeDocument/2006/relationships/customXml" Target="../customXml/item137.xml"/><Relationship Id="rId158" Type="http://schemas.openxmlformats.org/officeDocument/2006/relationships/customXml" Target="../customXml/item158.xml"/><Relationship Id="rId302" Type="http://schemas.openxmlformats.org/officeDocument/2006/relationships/image" Target="media/image10.png"/><Relationship Id="rId323" Type="http://schemas.openxmlformats.org/officeDocument/2006/relationships/image" Target="media/image21.jpeg"/><Relationship Id="rId344" Type="http://schemas.openxmlformats.org/officeDocument/2006/relationships/image" Target="media/image41.gif"/><Relationship Id="rId20" Type="http://schemas.openxmlformats.org/officeDocument/2006/relationships/customXml" Target="../customXml/item20.xml"/><Relationship Id="rId41" Type="http://schemas.openxmlformats.org/officeDocument/2006/relationships/customXml" Target="../customXml/item41.xml"/><Relationship Id="rId62" Type="http://schemas.openxmlformats.org/officeDocument/2006/relationships/customXml" Target="../customXml/item62.xml"/><Relationship Id="rId83" Type="http://schemas.openxmlformats.org/officeDocument/2006/relationships/customXml" Target="../customXml/item83.xml"/><Relationship Id="rId179" Type="http://schemas.openxmlformats.org/officeDocument/2006/relationships/customXml" Target="../customXml/item179.xml"/><Relationship Id="rId365" Type="http://schemas.openxmlformats.org/officeDocument/2006/relationships/image" Target="media/image62.png"/><Relationship Id="rId386" Type="http://schemas.openxmlformats.org/officeDocument/2006/relationships/image" Target="media/image73.tiff"/><Relationship Id="rId190" Type="http://schemas.openxmlformats.org/officeDocument/2006/relationships/customXml" Target="../customXml/item190.xml"/><Relationship Id="rId204" Type="http://schemas.openxmlformats.org/officeDocument/2006/relationships/customXml" Target="../customXml/item204.xml"/><Relationship Id="rId225" Type="http://schemas.openxmlformats.org/officeDocument/2006/relationships/customXml" Target="../customXml/item225.xml"/><Relationship Id="rId246" Type="http://schemas.openxmlformats.org/officeDocument/2006/relationships/customXml" Target="../customXml/item246.xml"/><Relationship Id="rId267" Type="http://schemas.openxmlformats.org/officeDocument/2006/relationships/customXml" Target="../customXml/item267.xml"/><Relationship Id="rId288" Type="http://schemas.openxmlformats.org/officeDocument/2006/relationships/header" Target="header3.xml"/><Relationship Id="rId411" Type="http://schemas.openxmlformats.org/officeDocument/2006/relationships/hyperlink" Target="http://watermonitoring.dnrm.qld.gov.au/host.htm" TargetMode="External"/><Relationship Id="rId432" Type="http://schemas.openxmlformats.org/officeDocument/2006/relationships/footer" Target="footer5.xml"/><Relationship Id="rId106" Type="http://schemas.openxmlformats.org/officeDocument/2006/relationships/customXml" Target="../customXml/item106.xml"/><Relationship Id="rId127" Type="http://schemas.openxmlformats.org/officeDocument/2006/relationships/customXml" Target="../customXml/item127.xml"/><Relationship Id="rId313" Type="http://schemas.openxmlformats.org/officeDocument/2006/relationships/image" Target="media/image14.png"/><Relationship Id="rId10" Type="http://schemas.openxmlformats.org/officeDocument/2006/relationships/customXml" Target="../customXml/item10.xml"/><Relationship Id="rId31" Type="http://schemas.openxmlformats.org/officeDocument/2006/relationships/customXml" Target="../customXml/item31.xml"/><Relationship Id="rId52" Type="http://schemas.openxmlformats.org/officeDocument/2006/relationships/customXml" Target="../customXml/item52.xml"/><Relationship Id="rId73" Type="http://schemas.openxmlformats.org/officeDocument/2006/relationships/customXml" Target="../customXml/item73.xml"/><Relationship Id="rId94" Type="http://schemas.openxmlformats.org/officeDocument/2006/relationships/customXml" Target="../customXml/item94.xml"/><Relationship Id="rId148" Type="http://schemas.openxmlformats.org/officeDocument/2006/relationships/customXml" Target="../customXml/item148.xml"/><Relationship Id="rId169" Type="http://schemas.openxmlformats.org/officeDocument/2006/relationships/customXml" Target="../customXml/item169.xml"/><Relationship Id="rId334" Type="http://schemas.openxmlformats.org/officeDocument/2006/relationships/image" Target="media/image31.png"/><Relationship Id="rId355" Type="http://schemas.openxmlformats.org/officeDocument/2006/relationships/image" Target="media/image52.jpeg"/><Relationship Id="rId376" Type="http://schemas.openxmlformats.org/officeDocument/2006/relationships/image" Target="media/image69.png"/><Relationship Id="rId397" Type="http://schemas.openxmlformats.org/officeDocument/2006/relationships/hyperlink" Target="http://watermonitoring.dnrm.qld.gov.au/host.htm" TargetMode="External"/><Relationship Id="rId4" Type="http://schemas.openxmlformats.org/officeDocument/2006/relationships/customXml" Target="../customXml/item4.xml"/><Relationship Id="rId180" Type="http://schemas.openxmlformats.org/officeDocument/2006/relationships/customXml" Target="../customXml/item180.xml"/><Relationship Id="rId215" Type="http://schemas.openxmlformats.org/officeDocument/2006/relationships/customXml" Target="../customXml/item215.xml"/><Relationship Id="rId236" Type="http://schemas.openxmlformats.org/officeDocument/2006/relationships/customXml" Target="../customXml/item236.xml"/><Relationship Id="rId257" Type="http://schemas.openxmlformats.org/officeDocument/2006/relationships/customXml" Target="../customXml/item257.xml"/><Relationship Id="rId278" Type="http://schemas.microsoft.com/office/2007/relationships/stylesWithEffects" Target="stylesWithEffects.xml"/><Relationship Id="rId401" Type="http://schemas.openxmlformats.org/officeDocument/2006/relationships/hyperlink" Target="http://ereefs.org.au/ereefs" TargetMode="External"/><Relationship Id="rId422" Type="http://schemas.openxmlformats.org/officeDocument/2006/relationships/image" Target="media/image102.png"/><Relationship Id="rId303" Type="http://schemas.openxmlformats.org/officeDocument/2006/relationships/diagramData" Target="diagrams/data1.xml"/><Relationship Id="rId42" Type="http://schemas.openxmlformats.org/officeDocument/2006/relationships/customXml" Target="../customXml/item42.xml"/><Relationship Id="rId84" Type="http://schemas.openxmlformats.org/officeDocument/2006/relationships/customXml" Target="../customXml/item84.xml"/><Relationship Id="rId138" Type="http://schemas.openxmlformats.org/officeDocument/2006/relationships/customXml" Target="../customXml/item138.xml"/><Relationship Id="rId345" Type="http://schemas.openxmlformats.org/officeDocument/2006/relationships/image" Target="media/image42.gif"/><Relationship Id="rId387" Type="http://schemas.openxmlformats.org/officeDocument/2006/relationships/image" Target="media/image74.png"/><Relationship Id="rId191" Type="http://schemas.openxmlformats.org/officeDocument/2006/relationships/customXml" Target="../customXml/item191.xml"/><Relationship Id="rId205" Type="http://schemas.openxmlformats.org/officeDocument/2006/relationships/customXml" Target="../customXml/item205.xml"/><Relationship Id="rId247" Type="http://schemas.openxmlformats.org/officeDocument/2006/relationships/customXml" Target="../customXml/item247.xml"/><Relationship Id="rId412" Type="http://schemas.openxmlformats.org/officeDocument/2006/relationships/image" Target="media/image92.png"/><Relationship Id="rId107" Type="http://schemas.openxmlformats.org/officeDocument/2006/relationships/customXml" Target="../customXml/item107.xml"/><Relationship Id="rId289" Type="http://schemas.openxmlformats.org/officeDocument/2006/relationships/footer" Target="footer3.xml"/><Relationship Id="rId11" Type="http://schemas.openxmlformats.org/officeDocument/2006/relationships/customXml" Target="../customXml/item11.xml"/><Relationship Id="rId53" Type="http://schemas.openxmlformats.org/officeDocument/2006/relationships/customXml" Target="../customXml/item53.xml"/><Relationship Id="rId149" Type="http://schemas.openxmlformats.org/officeDocument/2006/relationships/customXml" Target="../customXml/item149.xml"/><Relationship Id="rId314" Type="http://schemas.openxmlformats.org/officeDocument/2006/relationships/hyperlink" Target="http://watermonitoring.dnrm.qld.gov.au/host.htm" TargetMode="External"/><Relationship Id="rId356" Type="http://schemas.openxmlformats.org/officeDocument/2006/relationships/image" Target="media/image53.png"/><Relationship Id="rId398" Type="http://schemas.openxmlformats.org/officeDocument/2006/relationships/image" Target="media/image83.png"/><Relationship Id="rId95" Type="http://schemas.openxmlformats.org/officeDocument/2006/relationships/customXml" Target="../customXml/item95.xml"/><Relationship Id="rId160" Type="http://schemas.openxmlformats.org/officeDocument/2006/relationships/customXml" Target="../customXml/item160.xml"/><Relationship Id="rId216" Type="http://schemas.openxmlformats.org/officeDocument/2006/relationships/customXml" Target="../customXml/item216.xml"/><Relationship Id="rId423" Type="http://schemas.openxmlformats.org/officeDocument/2006/relationships/image" Target="media/image103.png"/><Relationship Id="rId258" Type="http://schemas.openxmlformats.org/officeDocument/2006/relationships/customXml" Target="../customXml/item258.xml"/><Relationship Id="rId22" Type="http://schemas.openxmlformats.org/officeDocument/2006/relationships/customXml" Target="../customXml/item22.xml"/><Relationship Id="rId64" Type="http://schemas.openxmlformats.org/officeDocument/2006/relationships/customXml" Target="../customXml/item64.xml"/><Relationship Id="rId118" Type="http://schemas.openxmlformats.org/officeDocument/2006/relationships/customXml" Target="../customXml/item118.xml"/><Relationship Id="rId325" Type="http://schemas.openxmlformats.org/officeDocument/2006/relationships/image" Target="media/image23.jpeg"/><Relationship Id="rId367" Type="http://schemas.openxmlformats.org/officeDocument/2006/relationships/image" Target="media/image64.emf"/><Relationship Id="rId171" Type="http://schemas.openxmlformats.org/officeDocument/2006/relationships/customXml" Target="../customXml/item171.xml"/><Relationship Id="rId227" Type="http://schemas.openxmlformats.org/officeDocument/2006/relationships/customXml" Target="../customXml/item227.xml"/><Relationship Id="rId269" Type="http://schemas.openxmlformats.org/officeDocument/2006/relationships/customXml" Target="../customXml/item269.xml"/><Relationship Id="rId434" Type="http://schemas.openxmlformats.org/officeDocument/2006/relationships/image" Target="media/image110.jpeg"/><Relationship Id="rId33" Type="http://schemas.openxmlformats.org/officeDocument/2006/relationships/customXml" Target="../customXml/item33.xml"/><Relationship Id="rId129" Type="http://schemas.openxmlformats.org/officeDocument/2006/relationships/customXml" Target="../customXml/item129.xml"/><Relationship Id="rId280" Type="http://schemas.openxmlformats.org/officeDocument/2006/relationships/webSettings" Target="webSettings.xml"/><Relationship Id="rId336" Type="http://schemas.openxmlformats.org/officeDocument/2006/relationships/image" Target="media/image33.png"/><Relationship Id="rId75" Type="http://schemas.openxmlformats.org/officeDocument/2006/relationships/customXml" Target="../customXml/item75.xml"/><Relationship Id="rId140" Type="http://schemas.openxmlformats.org/officeDocument/2006/relationships/customXml" Target="../customXml/item140.xml"/><Relationship Id="rId182" Type="http://schemas.openxmlformats.org/officeDocument/2006/relationships/customXml" Target="../customXml/item182.xml"/><Relationship Id="rId378" Type="http://schemas.openxmlformats.org/officeDocument/2006/relationships/image" Target="media/image71.tiff"/><Relationship Id="rId403" Type="http://schemas.openxmlformats.org/officeDocument/2006/relationships/image" Target="media/image86.png"/><Relationship Id="rId6" Type="http://schemas.openxmlformats.org/officeDocument/2006/relationships/customXml" Target="../customXml/item6.xml"/><Relationship Id="rId238" Type="http://schemas.openxmlformats.org/officeDocument/2006/relationships/customXml" Target="../customXml/item238.xml"/><Relationship Id="rId291" Type="http://schemas.openxmlformats.org/officeDocument/2006/relationships/image" Target="media/image2.png"/><Relationship Id="rId305" Type="http://schemas.openxmlformats.org/officeDocument/2006/relationships/diagramQuickStyle" Target="diagrams/quickStyle1.xml"/><Relationship Id="rId347" Type="http://schemas.openxmlformats.org/officeDocument/2006/relationships/image" Target="media/image44.jpeg"/><Relationship Id="rId44" Type="http://schemas.openxmlformats.org/officeDocument/2006/relationships/customXml" Target="../customXml/item44.xml"/><Relationship Id="rId86" Type="http://schemas.openxmlformats.org/officeDocument/2006/relationships/customXml" Target="../customXml/item86.xml"/><Relationship Id="rId151" Type="http://schemas.openxmlformats.org/officeDocument/2006/relationships/customXml" Target="../customXml/item151.xml"/><Relationship Id="rId389" Type="http://schemas.openxmlformats.org/officeDocument/2006/relationships/image" Target="media/image76.png"/><Relationship Id="rId193" Type="http://schemas.openxmlformats.org/officeDocument/2006/relationships/customXml" Target="../customXml/item193.xml"/><Relationship Id="rId207" Type="http://schemas.openxmlformats.org/officeDocument/2006/relationships/customXml" Target="../customXml/item207.xml"/><Relationship Id="rId249" Type="http://schemas.openxmlformats.org/officeDocument/2006/relationships/customXml" Target="../customXml/item249.xml"/><Relationship Id="rId414" Type="http://schemas.openxmlformats.org/officeDocument/2006/relationships/image" Target="media/image94.png"/><Relationship Id="rId13" Type="http://schemas.openxmlformats.org/officeDocument/2006/relationships/customXml" Target="../customXml/item13.xml"/><Relationship Id="rId109" Type="http://schemas.openxmlformats.org/officeDocument/2006/relationships/customXml" Target="../customXml/item109.xml"/><Relationship Id="rId260" Type="http://schemas.openxmlformats.org/officeDocument/2006/relationships/customXml" Target="../customXml/item260.xml"/><Relationship Id="rId316" Type="http://schemas.openxmlformats.org/officeDocument/2006/relationships/hyperlink" Target="http://watermonitoring.dnrm.qld.gov.au/host.htm" TargetMode="External"/><Relationship Id="rId55" Type="http://schemas.openxmlformats.org/officeDocument/2006/relationships/customXml" Target="../customXml/item55.xml"/><Relationship Id="rId97" Type="http://schemas.openxmlformats.org/officeDocument/2006/relationships/customXml" Target="../customXml/item97.xml"/><Relationship Id="rId120" Type="http://schemas.openxmlformats.org/officeDocument/2006/relationships/customXml" Target="../customXml/item120.xml"/><Relationship Id="rId358" Type="http://schemas.openxmlformats.org/officeDocument/2006/relationships/image" Target="media/image55.jpg"/><Relationship Id="rId162" Type="http://schemas.openxmlformats.org/officeDocument/2006/relationships/customXml" Target="../customXml/item162.xml"/><Relationship Id="rId218" Type="http://schemas.openxmlformats.org/officeDocument/2006/relationships/customXml" Target="../customXml/item218.xml"/><Relationship Id="rId425" Type="http://schemas.openxmlformats.org/officeDocument/2006/relationships/image" Target="media/image105.png"/><Relationship Id="rId271" Type="http://schemas.openxmlformats.org/officeDocument/2006/relationships/customXml" Target="../customXml/item271.xml"/><Relationship Id="rId24" Type="http://schemas.openxmlformats.org/officeDocument/2006/relationships/customXml" Target="../customXml/item24.xml"/><Relationship Id="rId66" Type="http://schemas.openxmlformats.org/officeDocument/2006/relationships/customXml" Target="../customXml/item66.xml"/><Relationship Id="rId131" Type="http://schemas.openxmlformats.org/officeDocument/2006/relationships/customXml" Target="../customXml/item131.xml"/><Relationship Id="rId327" Type="http://schemas.openxmlformats.org/officeDocument/2006/relationships/image" Target="media/image25.jpeg"/><Relationship Id="rId369" Type="http://schemas.openxmlformats.org/officeDocument/2006/relationships/image" Target="media/image65.emf"/><Relationship Id="rId173" Type="http://schemas.openxmlformats.org/officeDocument/2006/relationships/customXml" Target="../customXml/item173.xml"/><Relationship Id="rId229" Type="http://schemas.openxmlformats.org/officeDocument/2006/relationships/customXml" Target="../customXml/item229.xml"/><Relationship Id="rId380" Type="http://schemas.openxmlformats.org/officeDocument/2006/relationships/hyperlink" Target="http://www.reefplan.qld.gov.au/" TargetMode="External"/><Relationship Id="rId436" Type="http://schemas.openxmlformats.org/officeDocument/2006/relationships/image" Target="media/image112.jpeg"/><Relationship Id="rId240" Type="http://schemas.openxmlformats.org/officeDocument/2006/relationships/customXml" Target="../customXml/item240.xml"/><Relationship Id="rId35" Type="http://schemas.openxmlformats.org/officeDocument/2006/relationships/customXml" Target="../customXml/item35.xml"/><Relationship Id="rId77" Type="http://schemas.openxmlformats.org/officeDocument/2006/relationships/customXml" Target="../customXml/item77.xml"/><Relationship Id="rId100" Type="http://schemas.openxmlformats.org/officeDocument/2006/relationships/customXml" Target="../customXml/item100.xml"/><Relationship Id="rId282" Type="http://schemas.openxmlformats.org/officeDocument/2006/relationships/endnotes" Target="endnotes.xml"/><Relationship Id="rId338" Type="http://schemas.openxmlformats.org/officeDocument/2006/relationships/image" Target="media/image35.gif"/><Relationship Id="rId8" Type="http://schemas.openxmlformats.org/officeDocument/2006/relationships/customXml" Target="../customXml/item8.xml"/><Relationship Id="rId142" Type="http://schemas.openxmlformats.org/officeDocument/2006/relationships/customXml" Target="../customXml/item142.xml"/><Relationship Id="rId184" Type="http://schemas.openxmlformats.org/officeDocument/2006/relationships/customXml" Target="../customXml/item184.xml"/><Relationship Id="rId391" Type="http://schemas.openxmlformats.org/officeDocument/2006/relationships/image" Target="media/image77.png"/><Relationship Id="rId405" Type="http://schemas.openxmlformats.org/officeDocument/2006/relationships/hyperlink" Target="http://watermonitoring.dnrm.qld.gov.au/host.htm" TargetMode="External"/><Relationship Id="rId251" Type="http://schemas.openxmlformats.org/officeDocument/2006/relationships/customXml" Target="../customXml/item251.xml"/><Relationship Id="rId46" Type="http://schemas.openxmlformats.org/officeDocument/2006/relationships/customXml" Target="../customXml/item46.xml"/><Relationship Id="rId293" Type="http://schemas.openxmlformats.org/officeDocument/2006/relationships/hyperlink" Target="http://www.gbrmpa.gov.au/managing-the-reef/how-the-reefs-managed/reef-2050-marine-monitoring-program" TargetMode="External"/><Relationship Id="rId307" Type="http://schemas.microsoft.com/office/2007/relationships/diagramDrawing" Target="diagrams/drawing1.xml"/><Relationship Id="rId349" Type="http://schemas.openxmlformats.org/officeDocument/2006/relationships/image" Target="media/image46.png"/><Relationship Id="rId88" Type="http://schemas.openxmlformats.org/officeDocument/2006/relationships/customXml" Target="../customXml/item88.xml"/><Relationship Id="rId111" Type="http://schemas.openxmlformats.org/officeDocument/2006/relationships/customXml" Target="../customXml/item111.xml"/><Relationship Id="rId153" Type="http://schemas.openxmlformats.org/officeDocument/2006/relationships/customXml" Target="../customXml/item153.xml"/><Relationship Id="rId195" Type="http://schemas.openxmlformats.org/officeDocument/2006/relationships/customXml" Target="../customXml/item195.xml"/><Relationship Id="rId209" Type="http://schemas.openxmlformats.org/officeDocument/2006/relationships/customXml" Target="../customXml/item209.xml"/><Relationship Id="rId360" Type="http://schemas.openxmlformats.org/officeDocument/2006/relationships/image" Target="media/image57.gif"/><Relationship Id="rId416" Type="http://schemas.openxmlformats.org/officeDocument/2006/relationships/image" Target="media/image96.png"/><Relationship Id="rId220" Type="http://schemas.openxmlformats.org/officeDocument/2006/relationships/customXml" Target="../customXml/item220.xml"/><Relationship Id="rId15" Type="http://schemas.openxmlformats.org/officeDocument/2006/relationships/customXml" Target="../customXml/item15.xml"/><Relationship Id="rId57" Type="http://schemas.openxmlformats.org/officeDocument/2006/relationships/customXml" Target="../customXml/item57.xml"/><Relationship Id="rId262" Type="http://schemas.openxmlformats.org/officeDocument/2006/relationships/customXml" Target="../customXml/item262.xml"/><Relationship Id="rId318" Type="http://schemas.openxmlformats.org/officeDocument/2006/relationships/image" Target="media/image16.jpg"/><Relationship Id="rId99" Type="http://schemas.openxmlformats.org/officeDocument/2006/relationships/customXml" Target="../customXml/item99.xml"/><Relationship Id="rId122" Type="http://schemas.openxmlformats.org/officeDocument/2006/relationships/customXml" Target="../customXml/item122.xml"/><Relationship Id="rId164" Type="http://schemas.openxmlformats.org/officeDocument/2006/relationships/customXml" Target="../customXml/item164.xml"/><Relationship Id="rId371" Type="http://schemas.openxmlformats.org/officeDocument/2006/relationships/image" Target="media/image66.emf"/><Relationship Id="rId427" Type="http://schemas.openxmlformats.org/officeDocument/2006/relationships/image" Target="media/image107.png"/><Relationship Id="rId26" Type="http://schemas.openxmlformats.org/officeDocument/2006/relationships/customXml" Target="../customXml/item26.xml"/><Relationship Id="rId231" Type="http://schemas.openxmlformats.org/officeDocument/2006/relationships/customXml" Target="../customXml/item231.xml"/><Relationship Id="rId273" Type="http://schemas.openxmlformats.org/officeDocument/2006/relationships/customXml" Target="../customXml/item273.xml"/><Relationship Id="rId329" Type="http://schemas.openxmlformats.org/officeDocument/2006/relationships/image" Target="media/image26.jpg"/><Relationship Id="rId68" Type="http://schemas.openxmlformats.org/officeDocument/2006/relationships/customXml" Target="../customXml/item68.xml"/><Relationship Id="rId133" Type="http://schemas.openxmlformats.org/officeDocument/2006/relationships/customXml" Target="../customXml/item133.xml"/><Relationship Id="rId175" Type="http://schemas.openxmlformats.org/officeDocument/2006/relationships/customXml" Target="../customXml/item175.xml"/><Relationship Id="rId340" Type="http://schemas.openxmlformats.org/officeDocument/2006/relationships/image" Target="media/image37.png"/><Relationship Id="rId200" Type="http://schemas.openxmlformats.org/officeDocument/2006/relationships/customXml" Target="../customXml/item200.xml"/><Relationship Id="rId382" Type="http://schemas.openxmlformats.org/officeDocument/2006/relationships/hyperlink" Target="http://www.environment.gov.au/marine/gbr/publications/reef-2050-long-term-sustainability-plan" TargetMode="External"/><Relationship Id="rId438" Type="http://schemas.openxmlformats.org/officeDocument/2006/relationships/image" Target="media/image114.jpeg"/><Relationship Id="rId242" Type="http://schemas.openxmlformats.org/officeDocument/2006/relationships/customXml" Target="../customXml/item242.xml"/><Relationship Id="rId284" Type="http://schemas.openxmlformats.org/officeDocument/2006/relationships/header" Target="header1.xml"/><Relationship Id="rId37" Type="http://schemas.openxmlformats.org/officeDocument/2006/relationships/customXml" Target="../customXml/item37.xml"/><Relationship Id="rId79" Type="http://schemas.openxmlformats.org/officeDocument/2006/relationships/customXml" Target="../customXml/item79.xml"/><Relationship Id="rId102" Type="http://schemas.openxmlformats.org/officeDocument/2006/relationships/customXml" Target="../customXml/item102.xml"/><Relationship Id="rId144" Type="http://schemas.openxmlformats.org/officeDocument/2006/relationships/customXml" Target="../customXml/item144.xml"/><Relationship Id="rId90" Type="http://schemas.openxmlformats.org/officeDocument/2006/relationships/customXml" Target="../customXml/item90.xml"/><Relationship Id="rId186" Type="http://schemas.openxmlformats.org/officeDocument/2006/relationships/customXml" Target="../customXml/item186.xml"/><Relationship Id="rId351" Type="http://schemas.openxmlformats.org/officeDocument/2006/relationships/image" Target="media/image48.png"/><Relationship Id="rId393" Type="http://schemas.openxmlformats.org/officeDocument/2006/relationships/image" Target="media/image79.png"/><Relationship Id="rId407" Type="http://schemas.openxmlformats.org/officeDocument/2006/relationships/image" Target="media/image89.jpeg"/><Relationship Id="rId211" Type="http://schemas.openxmlformats.org/officeDocument/2006/relationships/customXml" Target="../customXml/item211.xml"/><Relationship Id="rId253" Type="http://schemas.openxmlformats.org/officeDocument/2006/relationships/customXml" Target="../customXml/item253.xml"/><Relationship Id="rId295" Type="http://schemas.openxmlformats.org/officeDocument/2006/relationships/hyperlink" Target="http://www.reefplan.qld.gov.au/" TargetMode="External"/><Relationship Id="rId309" Type="http://schemas.openxmlformats.org/officeDocument/2006/relationships/hyperlink" Target="https://en.wikipedia.org/wiki/Landfall_%28meteorology%29" TargetMode="External"/><Relationship Id="rId48" Type="http://schemas.openxmlformats.org/officeDocument/2006/relationships/customXml" Target="../customXml/item48.xml"/><Relationship Id="rId113" Type="http://schemas.openxmlformats.org/officeDocument/2006/relationships/customXml" Target="../customXml/item113.xml"/><Relationship Id="rId320" Type="http://schemas.openxmlformats.org/officeDocument/2006/relationships/image" Target="media/image18.tiff"/><Relationship Id="rId155" Type="http://schemas.openxmlformats.org/officeDocument/2006/relationships/customXml" Target="../customXml/item155.xml"/><Relationship Id="rId197" Type="http://schemas.openxmlformats.org/officeDocument/2006/relationships/customXml" Target="../customXml/item197.xml"/><Relationship Id="rId362" Type="http://schemas.openxmlformats.org/officeDocument/2006/relationships/image" Target="media/image59.jpeg"/><Relationship Id="rId418" Type="http://schemas.openxmlformats.org/officeDocument/2006/relationships/image" Target="media/image98.png"/><Relationship Id="rId222" Type="http://schemas.openxmlformats.org/officeDocument/2006/relationships/customXml" Target="../customXml/item222.xml"/><Relationship Id="rId264" Type="http://schemas.openxmlformats.org/officeDocument/2006/relationships/customXml" Target="../customXml/item264.xml"/><Relationship Id="rId17" Type="http://schemas.openxmlformats.org/officeDocument/2006/relationships/customXml" Target="../customXml/item17.xml"/><Relationship Id="rId59" Type="http://schemas.openxmlformats.org/officeDocument/2006/relationships/customXml" Target="../customXml/item59.xml"/><Relationship Id="rId124" Type="http://schemas.openxmlformats.org/officeDocument/2006/relationships/customXml" Target="../customXml/item124.xml"/><Relationship Id="rId70" Type="http://schemas.openxmlformats.org/officeDocument/2006/relationships/customXml" Target="../customXml/item70.xml"/><Relationship Id="rId166" Type="http://schemas.openxmlformats.org/officeDocument/2006/relationships/customXml" Target="../customXml/item166.xml"/><Relationship Id="rId331" Type="http://schemas.openxmlformats.org/officeDocument/2006/relationships/image" Target="media/image28.gif"/><Relationship Id="rId373" Type="http://schemas.openxmlformats.org/officeDocument/2006/relationships/image" Target="media/image67.emf"/><Relationship Id="rId429" Type="http://schemas.openxmlformats.org/officeDocument/2006/relationships/oleObject" Target="embeddings/oleObject5.bin"/><Relationship Id="rId1" Type="http://schemas.openxmlformats.org/officeDocument/2006/relationships/customXml" Target="../customXml/item1.xml"/><Relationship Id="rId233" Type="http://schemas.openxmlformats.org/officeDocument/2006/relationships/customXml" Target="../customXml/item233.xml"/><Relationship Id="rId440" Type="http://schemas.openxmlformats.org/officeDocument/2006/relationships/chart" Target="charts/chart1.xml"/><Relationship Id="rId28" Type="http://schemas.openxmlformats.org/officeDocument/2006/relationships/customXml" Target="../customXml/item28.xml"/><Relationship Id="rId275" Type="http://schemas.openxmlformats.org/officeDocument/2006/relationships/customXml" Target="../customXml/item275.xml"/><Relationship Id="rId300" Type="http://schemas.openxmlformats.org/officeDocument/2006/relationships/image" Target="media/image8.tiff"/><Relationship Id="rId81" Type="http://schemas.openxmlformats.org/officeDocument/2006/relationships/customXml" Target="../customXml/item81.xml"/><Relationship Id="rId135" Type="http://schemas.openxmlformats.org/officeDocument/2006/relationships/customXml" Target="../customXml/item135.xml"/><Relationship Id="rId177" Type="http://schemas.openxmlformats.org/officeDocument/2006/relationships/customXml" Target="../customXml/item177.xml"/><Relationship Id="rId342" Type="http://schemas.openxmlformats.org/officeDocument/2006/relationships/image" Target="media/image39.jpg"/><Relationship Id="rId384" Type="http://schemas.openxmlformats.org/officeDocument/2006/relationships/hyperlink" Target="http://CRAN.R-project.org/package=vegan"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ww.bom.gov.au/environment/activities/mwqd/info.shtml" TargetMode="External"/><Relationship Id="rId1" Type="http://schemas.openxmlformats.org/officeDocument/2006/relationships/hyperlink" Target="http://www.environment.gov.au/marine/gbr/reef2050"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A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'all_2007-15 NTU+TSS no blanks'!$M$1</c:f>
              <c:strCache>
                <c:ptCount val="1"/>
                <c:pt idx="0">
                  <c:v>TSS Hand Mean</c:v>
                </c:pt>
              </c:strCache>
            </c:strRef>
          </c:tx>
          <c:spPr>
            <a:ln w="28575">
              <a:noFill/>
            </a:ln>
          </c:spPr>
          <c:marker>
            <c:symbol val="circle"/>
            <c:size val="4"/>
            <c:spPr>
              <a:ln>
                <a:solidFill>
                  <a:schemeClr val="tx1"/>
                </a:solidFill>
              </a:ln>
            </c:spPr>
          </c:marker>
          <c:trendline>
            <c:trendlineType val="linear"/>
            <c:intercept val="0"/>
            <c:dispRSqr val="1"/>
            <c:dispEq val="1"/>
            <c:trendlineLbl>
              <c:layout>
                <c:manualLayout>
                  <c:x val="-0.42564545056867886"/>
                  <c:y val="-4.7462817147856539E-4"/>
                </c:manualLayout>
              </c:layout>
              <c:tx>
                <c:rich>
                  <a:bodyPr/>
                  <a:lstStyle/>
                  <a:p>
                    <a:pPr>
                      <a:defRPr/>
                    </a:pPr>
                    <a:r>
                      <a:rPr lang="en-US" baseline="0"/>
                      <a:t>SS = 1.3 x Turbidity
R² = 0.83</a:t>
                    </a:r>
                  </a:p>
                  <a:p>
                    <a:pPr>
                      <a:defRPr/>
                    </a:pPr>
                    <a:r>
                      <a:rPr lang="en-US" baseline="0"/>
                      <a:t>N=1658</a:t>
                    </a:r>
                    <a:endParaRPr lang="en-US"/>
                  </a:p>
                </c:rich>
              </c:tx>
              <c:numFmt formatCode="General" sourceLinked="0"/>
            </c:trendlineLbl>
          </c:trendline>
          <c:xVal>
            <c:numRef>
              <c:f>'all_2007-15 NTU+TSS no blanks'!$I$2:$I$1659</c:f>
              <c:numCache>
                <c:formatCode>General</c:formatCode>
                <c:ptCount val="1658"/>
                <c:pt idx="0">
                  <c:v>0.91</c:v>
                </c:pt>
                <c:pt idx="1">
                  <c:v>0.70000000000000007</c:v>
                </c:pt>
                <c:pt idx="2">
                  <c:v>1.1299999999999997</c:v>
                </c:pt>
                <c:pt idx="3">
                  <c:v>1.61</c:v>
                </c:pt>
                <c:pt idx="4">
                  <c:v>2.66</c:v>
                </c:pt>
                <c:pt idx="5">
                  <c:v>1.32</c:v>
                </c:pt>
                <c:pt idx="6">
                  <c:v>7.8199999999999994</c:v>
                </c:pt>
                <c:pt idx="7">
                  <c:v>1.37</c:v>
                </c:pt>
                <c:pt idx="8">
                  <c:v>4.8599999999999994</c:v>
                </c:pt>
                <c:pt idx="9">
                  <c:v>9.34</c:v>
                </c:pt>
                <c:pt idx="10">
                  <c:v>4.96</c:v>
                </c:pt>
                <c:pt idx="11">
                  <c:v>2.88</c:v>
                </c:pt>
                <c:pt idx="12">
                  <c:v>0.6100000000000001</c:v>
                </c:pt>
                <c:pt idx="13">
                  <c:v>1.7700000000000002</c:v>
                </c:pt>
                <c:pt idx="14">
                  <c:v>3.92</c:v>
                </c:pt>
                <c:pt idx="15">
                  <c:v>2.68</c:v>
                </c:pt>
                <c:pt idx="16">
                  <c:v>4.6599999999999993</c:v>
                </c:pt>
                <c:pt idx="17">
                  <c:v>6.4300000000000006</c:v>
                </c:pt>
                <c:pt idx="18">
                  <c:v>9.129999999999999</c:v>
                </c:pt>
                <c:pt idx="19">
                  <c:v>2.0299999999999998</c:v>
                </c:pt>
                <c:pt idx="20">
                  <c:v>2.27</c:v>
                </c:pt>
                <c:pt idx="21">
                  <c:v>1.1299999999999997</c:v>
                </c:pt>
                <c:pt idx="22">
                  <c:v>2.5299999999999998</c:v>
                </c:pt>
                <c:pt idx="23">
                  <c:v>1.55</c:v>
                </c:pt>
                <c:pt idx="24">
                  <c:v>0.48000000000000004</c:v>
                </c:pt>
                <c:pt idx="25">
                  <c:v>0.79</c:v>
                </c:pt>
                <c:pt idx="26">
                  <c:v>1.1800000000000002</c:v>
                </c:pt>
                <c:pt idx="27">
                  <c:v>1.29</c:v>
                </c:pt>
                <c:pt idx="28">
                  <c:v>1.5</c:v>
                </c:pt>
                <c:pt idx="29">
                  <c:v>3.1</c:v>
                </c:pt>
                <c:pt idx="30">
                  <c:v>0.97</c:v>
                </c:pt>
                <c:pt idx="31">
                  <c:v>3.3</c:v>
                </c:pt>
                <c:pt idx="32">
                  <c:v>1.03</c:v>
                </c:pt>
                <c:pt idx="33">
                  <c:v>1.83</c:v>
                </c:pt>
                <c:pt idx="34">
                  <c:v>1.95</c:v>
                </c:pt>
                <c:pt idx="35">
                  <c:v>0.97</c:v>
                </c:pt>
                <c:pt idx="36">
                  <c:v>9.06</c:v>
                </c:pt>
                <c:pt idx="37">
                  <c:v>1.02</c:v>
                </c:pt>
                <c:pt idx="38">
                  <c:v>0.76000000000000012</c:v>
                </c:pt>
                <c:pt idx="39">
                  <c:v>1.23</c:v>
                </c:pt>
                <c:pt idx="40">
                  <c:v>0.27</c:v>
                </c:pt>
                <c:pt idx="41">
                  <c:v>0.36000000000000004</c:v>
                </c:pt>
                <c:pt idx="42">
                  <c:v>4.2</c:v>
                </c:pt>
                <c:pt idx="43">
                  <c:v>0.75000000000000011</c:v>
                </c:pt>
                <c:pt idx="44">
                  <c:v>2.17</c:v>
                </c:pt>
                <c:pt idx="45">
                  <c:v>11.97</c:v>
                </c:pt>
                <c:pt idx="46">
                  <c:v>0.92</c:v>
                </c:pt>
                <c:pt idx="47">
                  <c:v>0.54</c:v>
                </c:pt>
                <c:pt idx="48">
                  <c:v>1.02</c:v>
                </c:pt>
                <c:pt idx="49">
                  <c:v>1.84</c:v>
                </c:pt>
                <c:pt idx="50">
                  <c:v>1.7300000000000002</c:v>
                </c:pt>
                <c:pt idx="51">
                  <c:v>0.6100000000000001</c:v>
                </c:pt>
                <c:pt idx="52">
                  <c:v>22.43</c:v>
                </c:pt>
                <c:pt idx="53">
                  <c:v>2.3699999999999997</c:v>
                </c:pt>
                <c:pt idx="54">
                  <c:v>6.1</c:v>
                </c:pt>
                <c:pt idx="55">
                  <c:v>1.48</c:v>
                </c:pt>
                <c:pt idx="56">
                  <c:v>0.54</c:v>
                </c:pt>
                <c:pt idx="57">
                  <c:v>0.47000000000000003</c:v>
                </c:pt>
                <c:pt idx="58">
                  <c:v>4.0599999999999996</c:v>
                </c:pt>
                <c:pt idx="59">
                  <c:v>0.78</c:v>
                </c:pt>
                <c:pt idx="60">
                  <c:v>11.94</c:v>
                </c:pt>
                <c:pt idx="61">
                  <c:v>2.15</c:v>
                </c:pt>
                <c:pt idx="62">
                  <c:v>3.53</c:v>
                </c:pt>
                <c:pt idx="63">
                  <c:v>1.02</c:v>
                </c:pt>
                <c:pt idx="64">
                  <c:v>0.92</c:v>
                </c:pt>
                <c:pt idx="65">
                  <c:v>1.8</c:v>
                </c:pt>
                <c:pt idx="66">
                  <c:v>0.62000000000000011</c:v>
                </c:pt>
                <c:pt idx="67">
                  <c:v>0.81</c:v>
                </c:pt>
                <c:pt idx="68">
                  <c:v>6.68</c:v>
                </c:pt>
                <c:pt idx="69">
                  <c:v>6</c:v>
                </c:pt>
                <c:pt idx="70">
                  <c:v>9.39</c:v>
                </c:pt>
                <c:pt idx="71">
                  <c:v>9.93</c:v>
                </c:pt>
                <c:pt idx="72">
                  <c:v>8.39</c:v>
                </c:pt>
                <c:pt idx="73">
                  <c:v>13.58</c:v>
                </c:pt>
                <c:pt idx="74">
                  <c:v>7.58</c:v>
                </c:pt>
                <c:pt idx="75">
                  <c:v>6.14</c:v>
                </c:pt>
                <c:pt idx="76">
                  <c:v>6.23</c:v>
                </c:pt>
                <c:pt idx="77">
                  <c:v>5.85</c:v>
                </c:pt>
                <c:pt idx="78">
                  <c:v>11.26</c:v>
                </c:pt>
                <c:pt idx="79">
                  <c:v>8.65</c:v>
                </c:pt>
                <c:pt idx="80">
                  <c:v>9.6</c:v>
                </c:pt>
                <c:pt idx="81">
                  <c:v>8.34</c:v>
                </c:pt>
                <c:pt idx="82">
                  <c:v>9.620000000000001</c:v>
                </c:pt>
                <c:pt idx="83">
                  <c:v>11.01</c:v>
                </c:pt>
                <c:pt idx="84">
                  <c:v>9.2100000000000009</c:v>
                </c:pt>
                <c:pt idx="85">
                  <c:v>8.6399999999999988</c:v>
                </c:pt>
                <c:pt idx="86">
                  <c:v>16.12</c:v>
                </c:pt>
                <c:pt idx="87">
                  <c:v>14.729999999999999</c:v>
                </c:pt>
                <c:pt idx="88">
                  <c:v>9.01</c:v>
                </c:pt>
                <c:pt idx="89">
                  <c:v>7.4300000000000006</c:v>
                </c:pt>
                <c:pt idx="90">
                  <c:v>10.88</c:v>
                </c:pt>
                <c:pt idx="91">
                  <c:v>16.739999999999995</c:v>
                </c:pt>
                <c:pt idx="92">
                  <c:v>8.7100000000000009</c:v>
                </c:pt>
                <c:pt idx="93">
                  <c:v>10.62</c:v>
                </c:pt>
                <c:pt idx="94">
                  <c:v>36.480000000000004</c:v>
                </c:pt>
                <c:pt idx="95">
                  <c:v>13.75</c:v>
                </c:pt>
                <c:pt idx="96">
                  <c:v>6.91</c:v>
                </c:pt>
                <c:pt idx="97">
                  <c:v>5.49</c:v>
                </c:pt>
                <c:pt idx="98">
                  <c:v>9.19</c:v>
                </c:pt>
                <c:pt idx="99">
                  <c:v>13.41</c:v>
                </c:pt>
                <c:pt idx="100">
                  <c:v>21.39</c:v>
                </c:pt>
                <c:pt idx="101">
                  <c:v>6.84</c:v>
                </c:pt>
                <c:pt idx="102">
                  <c:v>7.64</c:v>
                </c:pt>
                <c:pt idx="103">
                  <c:v>8.5</c:v>
                </c:pt>
                <c:pt idx="104">
                  <c:v>8.2100000000000009</c:v>
                </c:pt>
                <c:pt idx="105">
                  <c:v>7.4300000000000006</c:v>
                </c:pt>
                <c:pt idx="106">
                  <c:v>7.91</c:v>
                </c:pt>
                <c:pt idx="107">
                  <c:v>3.54</c:v>
                </c:pt>
                <c:pt idx="108">
                  <c:v>7.81</c:v>
                </c:pt>
                <c:pt idx="109">
                  <c:v>0.98</c:v>
                </c:pt>
                <c:pt idx="110">
                  <c:v>1.37</c:v>
                </c:pt>
                <c:pt idx="111">
                  <c:v>2.8</c:v>
                </c:pt>
                <c:pt idx="112">
                  <c:v>2.75</c:v>
                </c:pt>
                <c:pt idx="113">
                  <c:v>2.0699999999999998</c:v>
                </c:pt>
                <c:pt idx="114">
                  <c:v>3.4299999999999997</c:v>
                </c:pt>
                <c:pt idx="115">
                  <c:v>3.3299999999999996</c:v>
                </c:pt>
                <c:pt idx="116">
                  <c:v>1.44</c:v>
                </c:pt>
                <c:pt idx="117">
                  <c:v>1.7500000000000002</c:v>
                </c:pt>
                <c:pt idx="118">
                  <c:v>4.01</c:v>
                </c:pt>
                <c:pt idx="119">
                  <c:v>2.2599999999999998</c:v>
                </c:pt>
                <c:pt idx="120">
                  <c:v>6.2</c:v>
                </c:pt>
                <c:pt idx="121">
                  <c:v>4.6399999999999997</c:v>
                </c:pt>
                <c:pt idx="122">
                  <c:v>2.98</c:v>
                </c:pt>
                <c:pt idx="123">
                  <c:v>3.68</c:v>
                </c:pt>
                <c:pt idx="124">
                  <c:v>4.0999999999999996</c:v>
                </c:pt>
                <c:pt idx="125">
                  <c:v>3.62</c:v>
                </c:pt>
                <c:pt idx="126">
                  <c:v>2.5</c:v>
                </c:pt>
                <c:pt idx="127">
                  <c:v>4.22</c:v>
                </c:pt>
                <c:pt idx="128">
                  <c:v>6.55</c:v>
                </c:pt>
                <c:pt idx="129">
                  <c:v>8.6399999999999988</c:v>
                </c:pt>
                <c:pt idx="130">
                  <c:v>1.92</c:v>
                </c:pt>
                <c:pt idx="131">
                  <c:v>2.4</c:v>
                </c:pt>
                <c:pt idx="132">
                  <c:v>3.05</c:v>
                </c:pt>
                <c:pt idx="133">
                  <c:v>1.87</c:v>
                </c:pt>
                <c:pt idx="134">
                  <c:v>1.54</c:v>
                </c:pt>
                <c:pt idx="135">
                  <c:v>1.2</c:v>
                </c:pt>
                <c:pt idx="136">
                  <c:v>1.1299999999999997</c:v>
                </c:pt>
                <c:pt idx="137">
                  <c:v>2.86</c:v>
                </c:pt>
                <c:pt idx="138">
                  <c:v>0.96000000000000008</c:v>
                </c:pt>
                <c:pt idx="139">
                  <c:v>2.7800000000000002</c:v>
                </c:pt>
                <c:pt idx="140">
                  <c:v>1.94</c:v>
                </c:pt>
                <c:pt idx="141">
                  <c:v>2.4</c:v>
                </c:pt>
                <c:pt idx="142">
                  <c:v>1.97</c:v>
                </c:pt>
                <c:pt idx="143">
                  <c:v>1.7800000000000002</c:v>
                </c:pt>
                <c:pt idx="144">
                  <c:v>1.37</c:v>
                </c:pt>
                <c:pt idx="145">
                  <c:v>1.49</c:v>
                </c:pt>
                <c:pt idx="146">
                  <c:v>0.60000000000000009</c:v>
                </c:pt>
                <c:pt idx="147">
                  <c:v>0.55000000000000004</c:v>
                </c:pt>
                <c:pt idx="148">
                  <c:v>3</c:v>
                </c:pt>
                <c:pt idx="149">
                  <c:v>0.67000000000000015</c:v>
                </c:pt>
                <c:pt idx="150">
                  <c:v>3.96</c:v>
                </c:pt>
                <c:pt idx="151">
                  <c:v>0.48000000000000004</c:v>
                </c:pt>
                <c:pt idx="152">
                  <c:v>0.65000000000000013</c:v>
                </c:pt>
                <c:pt idx="153">
                  <c:v>3.82</c:v>
                </c:pt>
                <c:pt idx="154">
                  <c:v>5.54</c:v>
                </c:pt>
                <c:pt idx="155">
                  <c:v>4.46</c:v>
                </c:pt>
                <c:pt idx="156">
                  <c:v>3.67</c:v>
                </c:pt>
                <c:pt idx="157">
                  <c:v>1.37</c:v>
                </c:pt>
                <c:pt idx="158">
                  <c:v>1.8</c:v>
                </c:pt>
                <c:pt idx="159">
                  <c:v>5.42</c:v>
                </c:pt>
                <c:pt idx="160">
                  <c:v>3.74</c:v>
                </c:pt>
                <c:pt idx="161">
                  <c:v>2.7600000000000002</c:v>
                </c:pt>
                <c:pt idx="162">
                  <c:v>1.44</c:v>
                </c:pt>
                <c:pt idx="163">
                  <c:v>1.3900000000000001</c:v>
                </c:pt>
                <c:pt idx="164">
                  <c:v>5.14</c:v>
                </c:pt>
                <c:pt idx="165">
                  <c:v>5.52</c:v>
                </c:pt>
                <c:pt idx="166">
                  <c:v>1.55</c:v>
                </c:pt>
                <c:pt idx="167">
                  <c:v>0.48000000000000004</c:v>
                </c:pt>
                <c:pt idx="168">
                  <c:v>0.81</c:v>
                </c:pt>
                <c:pt idx="169">
                  <c:v>0.59000000000000008</c:v>
                </c:pt>
                <c:pt idx="170">
                  <c:v>1.06</c:v>
                </c:pt>
                <c:pt idx="171">
                  <c:v>6.39</c:v>
                </c:pt>
                <c:pt idx="172">
                  <c:v>1.37</c:v>
                </c:pt>
                <c:pt idx="173">
                  <c:v>4.72</c:v>
                </c:pt>
                <c:pt idx="174">
                  <c:v>8.7199999999999989</c:v>
                </c:pt>
                <c:pt idx="175">
                  <c:v>4.72</c:v>
                </c:pt>
                <c:pt idx="176">
                  <c:v>2.58</c:v>
                </c:pt>
                <c:pt idx="177">
                  <c:v>3.8299999999999996</c:v>
                </c:pt>
                <c:pt idx="178">
                  <c:v>2.6</c:v>
                </c:pt>
                <c:pt idx="179">
                  <c:v>4.1199999999999992</c:v>
                </c:pt>
                <c:pt idx="180">
                  <c:v>5.57</c:v>
                </c:pt>
                <c:pt idx="181">
                  <c:v>7.42</c:v>
                </c:pt>
                <c:pt idx="182">
                  <c:v>1.95</c:v>
                </c:pt>
                <c:pt idx="183">
                  <c:v>3.01</c:v>
                </c:pt>
                <c:pt idx="184">
                  <c:v>3.2800000000000002</c:v>
                </c:pt>
                <c:pt idx="185">
                  <c:v>2</c:v>
                </c:pt>
                <c:pt idx="186">
                  <c:v>1.42</c:v>
                </c:pt>
                <c:pt idx="187">
                  <c:v>1.42</c:v>
                </c:pt>
                <c:pt idx="188">
                  <c:v>1.1599999999999997</c:v>
                </c:pt>
                <c:pt idx="189">
                  <c:v>1.9</c:v>
                </c:pt>
                <c:pt idx="190">
                  <c:v>1.21</c:v>
                </c:pt>
                <c:pt idx="191">
                  <c:v>3.7800000000000002</c:v>
                </c:pt>
                <c:pt idx="192">
                  <c:v>1.95</c:v>
                </c:pt>
                <c:pt idx="193">
                  <c:v>2.5099999999999998</c:v>
                </c:pt>
                <c:pt idx="194">
                  <c:v>2</c:v>
                </c:pt>
                <c:pt idx="195">
                  <c:v>1.86</c:v>
                </c:pt>
                <c:pt idx="196">
                  <c:v>1.81</c:v>
                </c:pt>
                <c:pt idx="197">
                  <c:v>1.49</c:v>
                </c:pt>
                <c:pt idx="198">
                  <c:v>9.3700000000000028</c:v>
                </c:pt>
                <c:pt idx="199">
                  <c:v>6.1899999999999995</c:v>
                </c:pt>
                <c:pt idx="200">
                  <c:v>10.48</c:v>
                </c:pt>
                <c:pt idx="201">
                  <c:v>10.850000000000001</c:v>
                </c:pt>
                <c:pt idx="202">
                  <c:v>8.56</c:v>
                </c:pt>
                <c:pt idx="203">
                  <c:v>11.3</c:v>
                </c:pt>
                <c:pt idx="204">
                  <c:v>8.2199999999999989</c:v>
                </c:pt>
                <c:pt idx="205">
                  <c:v>6.48</c:v>
                </c:pt>
                <c:pt idx="206">
                  <c:v>6.24</c:v>
                </c:pt>
                <c:pt idx="207">
                  <c:v>5.98</c:v>
                </c:pt>
                <c:pt idx="208">
                  <c:v>12.870000000000001</c:v>
                </c:pt>
                <c:pt idx="209">
                  <c:v>8.92</c:v>
                </c:pt>
                <c:pt idx="210">
                  <c:v>9.33</c:v>
                </c:pt>
                <c:pt idx="211">
                  <c:v>9.91</c:v>
                </c:pt>
                <c:pt idx="212">
                  <c:v>11.57</c:v>
                </c:pt>
                <c:pt idx="213">
                  <c:v>0.89000000000000012</c:v>
                </c:pt>
                <c:pt idx="214">
                  <c:v>0.4</c:v>
                </c:pt>
                <c:pt idx="215">
                  <c:v>0.46</c:v>
                </c:pt>
                <c:pt idx="216">
                  <c:v>10.83</c:v>
                </c:pt>
                <c:pt idx="217">
                  <c:v>9.129999999999999</c:v>
                </c:pt>
                <c:pt idx="218">
                  <c:v>8.5500000000000007</c:v>
                </c:pt>
                <c:pt idx="219">
                  <c:v>16.130000000000003</c:v>
                </c:pt>
                <c:pt idx="220">
                  <c:v>14.860000000000001</c:v>
                </c:pt>
                <c:pt idx="221">
                  <c:v>8.99</c:v>
                </c:pt>
                <c:pt idx="222">
                  <c:v>7.4</c:v>
                </c:pt>
                <c:pt idx="223">
                  <c:v>10.89</c:v>
                </c:pt>
                <c:pt idx="224">
                  <c:v>17.190000000000001</c:v>
                </c:pt>
                <c:pt idx="225">
                  <c:v>8.7000000000000011</c:v>
                </c:pt>
                <c:pt idx="226">
                  <c:v>0.69000000000000017</c:v>
                </c:pt>
                <c:pt idx="227">
                  <c:v>1.53</c:v>
                </c:pt>
                <c:pt idx="228">
                  <c:v>1.1399999999999997</c:v>
                </c:pt>
                <c:pt idx="229">
                  <c:v>0.81</c:v>
                </c:pt>
                <c:pt idx="230">
                  <c:v>0.32000000000000006</c:v>
                </c:pt>
                <c:pt idx="231">
                  <c:v>0.64000000000000012</c:v>
                </c:pt>
                <c:pt idx="232">
                  <c:v>0.37000000000000005</c:v>
                </c:pt>
                <c:pt idx="233">
                  <c:v>2.75</c:v>
                </c:pt>
                <c:pt idx="234">
                  <c:v>2.75</c:v>
                </c:pt>
                <c:pt idx="235">
                  <c:v>2.0299999999999998</c:v>
                </c:pt>
                <c:pt idx="236">
                  <c:v>6.5</c:v>
                </c:pt>
                <c:pt idx="237">
                  <c:v>3.27</c:v>
                </c:pt>
                <c:pt idx="238">
                  <c:v>0.52</c:v>
                </c:pt>
                <c:pt idx="239">
                  <c:v>2.98</c:v>
                </c:pt>
                <c:pt idx="240">
                  <c:v>3.65</c:v>
                </c:pt>
                <c:pt idx="241">
                  <c:v>2.9299999999999997</c:v>
                </c:pt>
                <c:pt idx="242">
                  <c:v>4.09</c:v>
                </c:pt>
                <c:pt idx="243">
                  <c:v>5.63</c:v>
                </c:pt>
                <c:pt idx="244">
                  <c:v>10.02</c:v>
                </c:pt>
                <c:pt idx="245">
                  <c:v>1.84</c:v>
                </c:pt>
                <c:pt idx="246">
                  <c:v>2.98</c:v>
                </c:pt>
                <c:pt idx="247">
                  <c:v>3.22</c:v>
                </c:pt>
                <c:pt idx="248">
                  <c:v>1.98</c:v>
                </c:pt>
                <c:pt idx="249">
                  <c:v>1.44</c:v>
                </c:pt>
                <c:pt idx="250">
                  <c:v>1.34</c:v>
                </c:pt>
                <c:pt idx="251">
                  <c:v>1.36</c:v>
                </c:pt>
                <c:pt idx="252">
                  <c:v>1.7400000000000002</c:v>
                </c:pt>
                <c:pt idx="253">
                  <c:v>1.02</c:v>
                </c:pt>
                <c:pt idx="254">
                  <c:v>2.63</c:v>
                </c:pt>
                <c:pt idx="255">
                  <c:v>1.96</c:v>
                </c:pt>
                <c:pt idx="256">
                  <c:v>2.46</c:v>
                </c:pt>
                <c:pt idx="257">
                  <c:v>1.98</c:v>
                </c:pt>
                <c:pt idx="258">
                  <c:v>1.84</c:v>
                </c:pt>
                <c:pt idx="259">
                  <c:v>1.46</c:v>
                </c:pt>
                <c:pt idx="260">
                  <c:v>1.46</c:v>
                </c:pt>
                <c:pt idx="261">
                  <c:v>1.04</c:v>
                </c:pt>
                <c:pt idx="262">
                  <c:v>0.99</c:v>
                </c:pt>
                <c:pt idx="263">
                  <c:v>3.4699999999999998</c:v>
                </c:pt>
                <c:pt idx="264">
                  <c:v>3.3699999999999997</c:v>
                </c:pt>
                <c:pt idx="265">
                  <c:v>2.68</c:v>
                </c:pt>
                <c:pt idx="266">
                  <c:v>9.9500000000000011</c:v>
                </c:pt>
                <c:pt idx="267">
                  <c:v>4.84</c:v>
                </c:pt>
                <c:pt idx="268">
                  <c:v>3.08</c:v>
                </c:pt>
                <c:pt idx="269">
                  <c:v>5.18</c:v>
                </c:pt>
                <c:pt idx="270">
                  <c:v>2.02</c:v>
                </c:pt>
                <c:pt idx="271">
                  <c:v>4.7699999999999996</c:v>
                </c:pt>
                <c:pt idx="272">
                  <c:v>1.93</c:v>
                </c:pt>
                <c:pt idx="273">
                  <c:v>2.5099999999999998</c:v>
                </c:pt>
                <c:pt idx="274">
                  <c:v>4.22</c:v>
                </c:pt>
                <c:pt idx="275">
                  <c:v>1.35</c:v>
                </c:pt>
                <c:pt idx="276">
                  <c:v>2.4299999999999997</c:v>
                </c:pt>
                <c:pt idx="277">
                  <c:v>4.7699999999999996</c:v>
                </c:pt>
                <c:pt idx="278">
                  <c:v>4.3899999999999997</c:v>
                </c:pt>
                <c:pt idx="279">
                  <c:v>6.63</c:v>
                </c:pt>
                <c:pt idx="280">
                  <c:v>5.1099999999999994</c:v>
                </c:pt>
                <c:pt idx="281">
                  <c:v>4.29</c:v>
                </c:pt>
                <c:pt idx="282">
                  <c:v>1.6400000000000001</c:v>
                </c:pt>
                <c:pt idx="283">
                  <c:v>2.17</c:v>
                </c:pt>
                <c:pt idx="284">
                  <c:v>6.34</c:v>
                </c:pt>
                <c:pt idx="285">
                  <c:v>4.46</c:v>
                </c:pt>
                <c:pt idx="286">
                  <c:v>3.18</c:v>
                </c:pt>
                <c:pt idx="287">
                  <c:v>1.6600000000000001</c:v>
                </c:pt>
                <c:pt idx="288">
                  <c:v>1.7100000000000002</c:v>
                </c:pt>
                <c:pt idx="289">
                  <c:v>6</c:v>
                </c:pt>
                <c:pt idx="290">
                  <c:v>6.39</c:v>
                </c:pt>
                <c:pt idx="291">
                  <c:v>5.25</c:v>
                </c:pt>
                <c:pt idx="292">
                  <c:v>1.25</c:v>
                </c:pt>
                <c:pt idx="293">
                  <c:v>1.6700000000000002</c:v>
                </c:pt>
                <c:pt idx="294">
                  <c:v>0.71000000000000008</c:v>
                </c:pt>
                <c:pt idx="295">
                  <c:v>1.21</c:v>
                </c:pt>
                <c:pt idx="296">
                  <c:v>0.39000000000000007</c:v>
                </c:pt>
                <c:pt idx="297">
                  <c:v>6.96</c:v>
                </c:pt>
                <c:pt idx="298">
                  <c:v>0.6100000000000001</c:v>
                </c:pt>
                <c:pt idx="299">
                  <c:v>3.53</c:v>
                </c:pt>
                <c:pt idx="300">
                  <c:v>2.4699999999999998</c:v>
                </c:pt>
                <c:pt idx="301">
                  <c:v>4.2</c:v>
                </c:pt>
                <c:pt idx="302">
                  <c:v>7.03</c:v>
                </c:pt>
                <c:pt idx="303">
                  <c:v>9.5</c:v>
                </c:pt>
                <c:pt idx="304">
                  <c:v>0.70000000000000007</c:v>
                </c:pt>
                <c:pt idx="305">
                  <c:v>2.58</c:v>
                </c:pt>
                <c:pt idx="306">
                  <c:v>3.16</c:v>
                </c:pt>
                <c:pt idx="307">
                  <c:v>3.1</c:v>
                </c:pt>
                <c:pt idx="308">
                  <c:v>2.62</c:v>
                </c:pt>
                <c:pt idx="309">
                  <c:v>9.8600000000000012</c:v>
                </c:pt>
                <c:pt idx="310">
                  <c:v>4.51</c:v>
                </c:pt>
                <c:pt idx="311">
                  <c:v>2.88</c:v>
                </c:pt>
                <c:pt idx="312">
                  <c:v>2.86</c:v>
                </c:pt>
                <c:pt idx="313">
                  <c:v>1.82</c:v>
                </c:pt>
                <c:pt idx="314">
                  <c:v>4.78</c:v>
                </c:pt>
                <c:pt idx="315">
                  <c:v>1.6600000000000001</c:v>
                </c:pt>
                <c:pt idx="316">
                  <c:v>2.38</c:v>
                </c:pt>
                <c:pt idx="317">
                  <c:v>2.1800000000000002</c:v>
                </c:pt>
                <c:pt idx="318">
                  <c:v>6.4300000000000006</c:v>
                </c:pt>
                <c:pt idx="319">
                  <c:v>2.0699999999999998</c:v>
                </c:pt>
                <c:pt idx="320">
                  <c:v>0.70000000000000007</c:v>
                </c:pt>
                <c:pt idx="321">
                  <c:v>4.29</c:v>
                </c:pt>
                <c:pt idx="322">
                  <c:v>6.34</c:v>
                </c:pt>
                <c:pt idx="323">
                  <c:v>4.84</c:v>
                </c:pt>
                <c:pt idx="324">
                  <c:v>3.61</c:v>
                </c:pt>
                <c:pt idx="325">
                  <c:v>1.54</c:v>
                </c:pt>
                <c:pt idx="326">
                  <c:v>2.27</c:v>
                </c:pt>
                <c:pt idx="327">
                  <c:v>5.59</c:v>
                </c:pt>
                <c:pt idx="328">
                  <c:v>3.7800000000000002</c:v>
                </c:pt>
                <c:pt idx="329">
                  <c:v>3.13</c:v>
                </c:pt>
                <c:pt idx="330">
                  <c:v>1.52</c:v>
                </c:pt>
                <c:pt idx="331">
                  <c:v>1.49</c:v>
                </c:pt>
                <c:pt idx="332">
                  <c:v>5.95</c:v>
                </c:pt>
                <c:pt idx="333">
                  <c:v>6.3599999999999994</c:v>
                </c:pt>
                <c:pt idx="334">
                  <c:v>1.94</c:v>
                </c:pt>
                <c:pt idx="335">
                  <c:v>1.33</c:v>
                </c:pt>
                <c:pt idx="336">
                  <c:v>0.31000000000000005</c:v>
                </c:pt>
                <c:pt idx="337">
                  <c:v>0.66000000000000014</c:v>
                </c:pt>
                <c:pt idx="338">
                  <c:v>0.24000000000000002</c:v>
                </c:pt>
                <c:pt idx="339">
                  <c:v>0.59000000000000008</c:v>
                </c:pt>
                <c:pt idx="340">
                  <c:v>0.71000000000000008</c:v>
                </c:pt>
                <c:pt idx="341">
                  <c:v>1</c:v>
                </c:pt>
                <c:pt idx="342">
                  <c:v>3.94</c:v>
                </c:pt>
                <c:pt idx="343">
                  <c:v>2.62</c:v>
                </c:pt>
                <c:pt idx="344">
                  <c:v>5.83</c:v>
                </c:pt>
                <c:pt idx="345">
                  <c:v>4.26</c:v>
                </c:pt>
                <c:pt idx="346">
                  <c:v>3.4099999999999997</c:v>
                </c:pt>
                <c:pt idx="347">
                  <c:v>4.09</c:v>
                </c:pt>
                <c:pt idx="348">
                  <c:v>4.34</c:v>
                </c:pt>
                <c:pt idx="349">
                  <c:v>3.77</c:v>
                </c:pt>
                <c:pt idx="350">
                  <c:v>1.1499999999999997</c:v>
                </c:pt>
                <c:pt idx="351">
                  <c:v>7.45</c:v>
                </c:pt>
                <c:pt idx="352">
                  <c:v>6.08</c:v>
                </c:pt>
                <c:pt idx="353">
                  <c:v>9.4600000000000026</c:v>
                </c:pt>
                <c:pt idx="354">
                  <c:v>10.61</c:v>
                </c:pt>
                <c:pt idx="355">
                  <c:v>8.48</c:v>
                </c:pt>
                <c:pt idx="356">
                  <c:v>12.67</c:v>
                </c:pt>
                <c:pt idx="357">
                  <c:v>7.79</c:v>
                </c:pt>
                <c:pt idx="358">
                  <c:v>6.54</c:v>
                </c:pt>
                <c:pt idx="359">
                  <c:v>6.42</c:v>
                </c:pt>
                <c:pt idx="360">
                  <c:v>5.76</c:v>
                </c:pt>
                <c:pt idx="361">
                  <c:v>12.03</c:v>
                </c:pt>
                <c:pt idx="362">
                  <c:v>8.5300000000000011</c:v>
                </c:pt>
                <c:pt idx="363">
                  <c:v>8.6</c:v>
                </c:pt>
                <c:pt idx="364">
                  <c:v>8.4</c:v>
                </c:pt>
                <c:pt idx="365">
                  <c:v>9.9500000000000011</c:v>
                </c:pt>
                <c:pt idx="366">
                  <c:v>1.7400000000000002</c:v>
                </c:pt>
                <c:pt idx="367">
                  <c:v>1.7200000000000002</c:v>
                </c:pt>
                <c:pt idx="368">
                  <c:v>1.47</c:v>
                </c:pt>
                <c:pt idx="369">
                  <c:v>2.67</c:v>
                </c:pt>
                <c:pt idx="370">
                  <c:v>11.07</c:v>
                </c:pt>
                <c:pt idx="371">
                  <c:v>9.02</c:v>
                </c:pt>
                <c:pt idx="372">
                  <c:v>8.8000000000000007</c:v>
                </c:pt>
                <c:pt idx="373">
                  <c:v>15.950000000000001</c:v>
                </c:pt>
                <c:pt idx="374">
                  <c:v>14.850000000000001</c:v>
                </c:pt>
                <c:pt idx="375">
                  <c:v>9.2100000000000009</c:v>
                </c:pt>
                <c:pt idx="376">
                  <c:v>7.5</c:v>
                </c:pt>
                <c:pt idx="377">
                  <c:v>10.8</c:v>
                </c:pt>
                <c:pt idx="378">
                  <c:v>16.66</c:v>
                </c:pt>
                <c:pt idx="379">
                  <c:v>8.5500000000000007</c:v>
                </c:pt>
                <c:pt idx="380">
                  <c:v>6.78</c:v>
                </c:pt>
                <c:pt idx="381">
                  <c:v>9.2399999999999984</c:v>
                </c:pt>
                <c:pt idx="382">
                  <c:v>43.47</c:v>
                </c:pt>
                <c:pt idx="383">
                  <c:v>14.360000000000001</c:v>
                </c:pt>
                <c:pt idx="384">
                  <c:v>7</c:v>
                </c:pt>
                <c:pt idx="385">
                  <c:v>4.99</c:v>
                </c:pt>
                <c:pt idx="386">
                  <c:v>8.91</c:v>
                </c:pt>
                <c:pt idx="387">
                  <c:v>14.06</c:v>
                </c:pt>
                <c:pt idx="388">
                  <c:v>20.58</c:v>
                </c:pt>
                <c:pt idx="389">
                  <c:v>8.18</c:v>
                </c:pt>
                <c:pt idx="390">
                  <c:v>8.43</c:v>
                </c:pt>
                <c:pt idx="391">
                  <c:v>8.11</c:v>
                </c:pt>
                <c:pt idx="392">
                  <c:v>2.0299999999999998</c:v>
                </c:pt>
                <c:pt idx="393">
                  <c:v>1.1299999999999997</c:v>
                </c:pt>
                <c:pt idx="394">
                  <c:v>1.59</c:v>
                </c:pt>
                <c:pt idx="395">
                  <c:v>0.85000000000000009</c:v>
                </c:pt>
                <c:pt idx="396">
                  <c:v>1.45</c:v>
                </c:pt>
                <c:pt idx="397">
                  <c:v>1.02</c:v>
                </c:pt>
                <c:pt idx="398">
                  <c:v>0.99</c:v>
                </c:pt>
                <c:pt idx="399">
                  <c:v>0.29000000000000004</c:v>
                </c:pt>
                <c:pt idx="400">
                  <c:v>0.41000000000000003</c:v>
                </c:pt>
                <c:pt idx="401">
                  <c:v>6.99</c:v>
                </c:pt>
                <c:pt idx="402">
                  <c:v>6.05</c:v>
                </c:pt>
                <c:pt idx="403">
                  <c:v>9</c:v>
                </c:pt>
                <c:pt idx="404">
                  <c:v>9.83</c:v>
                </c:pt>
                <c:pt idx="405">
                  <c:v>7.79</c:v>
                </c:pt>
                <c:pt idx="406">
                  <c:v>11.08</c:v>
                </c:pt>
                <c:pt idx="407">
                  <c:v>7.5</c:v>
                </c:pt>
                <c:pt idx="408">
                  <c:v>6.6499999999999995</c:v>
                </c:pt>
                <c:pt idx="409">
                  <c:v>6.1499999999999995</c:v>
                </c:pt>
                <c:pt idx="410">
                  <c:v>5.42</c:v>
                </c:pt>
                <c:pt idx="411">
                  <c:v>15.27</c:v>
                </c:pt>
                <c:pt idx="412">
                  <c:v>8.57</c:v>
                </c:pt>
                <c:pt idx="413">
                  <c:v>9.32</c:v>
                </c:pt>
                <c:pt idx="414">
                  <c:v>7.53</c:v>
                </c:pt>
                <c:pt idx="415">
                  <c:v>6.95</c:v>
                </c:pt>
                <c:pt idx="416">
                  <c:v>0.8</c:v>
                </c:pt>
                <c:pt idx="417">
                  <c:v>0.63000000000000012</c:v>
                </c:pt>
                <c:pt idx="418">
                  <c:v>10.38</c:v>
                </c:pt>
                <c:pt idx="419">
                  <c:v>9.17</c:v>
                </c:pt>
                <c:pt idx="420">
                  <c:v>8.3000000000000007</c:v>
                </c:pt>
                <c:pt idx="421">
                  <c:v>15.44</c:v>
                </c:pt>
                <c:pt idx="422">
                  <c:v>15.03</c:v>
                </c:pt>
                <c:pt idx="423">
                  <c:v>8.69</c:v>
                </c:pt>
                <c:pt idx="424">
                  <c:v>7.24</c:v>
                </c:pt>
                <c:pt idx="425">
                  <c:v>10.5</c:v>
                </c:pt>
                <c:pt idx="426">
                  <c:v>15.709999999999999</c:v>
                </c:pt>
                <c:pt idx="427">
                  <c:v>8.49</c:v>
                </c:pt>
                <c:pt idx="428">
                  <c:v>0.89000000000000012</c:v>
                </c:pt>
                <c:pt idx="429">
                  <c:v>1.6400000000000001</c:v>
                </c:pt>
                <c:pt idx="430">
                  <c:v>10.1</c:v>
                </c:pt>
                <c:pt idx="431">
                  <c:v>38.309999999999995</c:v>
                </c:pt>
                <c:pt idx="432">
                  <c:v>15.01</c:v>
                </c:pt>
                <c:pt idx="433">
                  <c:v>7.23</c:v>
                </c:pt>
                <c:pt idx="434">
                  <c:v>5.6099999999999994</c:v>
                </c:pt>
                <c:pt idx="435">
                  <c:v>9.66</c:v>
                </c:pt>
                <c:pt idx="436">
                  <c:v>14.25</c:v>
                </c:pt>
                <c:pt idx="437">
                  <c:v>20.830000000000002</c:v>
                </c:pt>
                <c:pt idx="438">
                  <c:v>8.4</c:v>
                </c:pt>
                <c:pt idx="439">
                  <c:v>8.98</c:v>
                </c:pt>
                <c:pt idx="440">
                  <c:v>8.56</c:v>
                </c:pt>
                <c:pt idx="441">
                  <c:v>0.47000000000000003</c:v>
                </c:pt>
                <c:pt idx="442">
                  <c:v>0.37000000000000005</c:v>
                </c:pt>
                <c:pt idx="443">
                  <c:v>0.7400000000000001</c:v>
                </c:pt>
                <c:pt idx="444">
                  <c:v>4.1499999999999995</c:v>
                </c:pt>
                <c:pt idx="445">
                  <c:v>2.67</c:v>
                </c:pt>
                <c:pt idx="446">
                  <c:v>4.72</c:v>
                </c:pt>
                <c:pt idx="447">
                  <c:v>6.74</c:v>
                </c:pt>
                <c:pt idx="448">
                  <c:v>9.56</c:v>
                </c:pt>
                <c:pt idx="449">
                  <c:v>1.95</c:v>
                </c:pt>
                <c:pt idx="450">
                  <c:v>3.3299999999999996</c:v>
                </c:pt>
                <c:pt idx="451">
                  <c:v>3.58</c:v>
                </c:pt>
                <c:pt idx="452">
                  <c:v>1.98</c:v>
                </c:pt>
                <c:pt idx="453">
                  <c:v>1.58</c:v>
                </c:pt>
                <c:pt idx="454">
                  <c:v>1.28</c:v>
                </c:pt>
                <c:pt idx="455">
                  <c:v>1.31</c:v>
                </c:pt>
                <c:pt idx="456">
                  <c:v>2.2200000000000002</c:v>
                </c:pt>
                <c:pt idx="457">
                  <c:v>1.01</c:v>
                </c:pt>
                <c:pt idx="458">
                  <c:v>2.4699999999999998</c:v>
                </c:pt>
                <c:pt idx="459">
                  <c:v>1.93</c:v>
                </c:pt>
                <c:pt idx="460">
                  <c:v>2.4899999999999998</c:v>
                </c:pt>
                <c:pt idx="461">
                  <c:v>2.0699999999999998</c:v>
                </c:pt>
                <c:pt idx="462">
                  <c:v>1.8800000000000001</c:v>
                </c:pt>
                <c:pt idx="463">
                  <c:v>1.51</c:v>
                </c:pt>
                <c:pt idx="464">
                  <c:v>1.56</c:v>
                </c:pt>
                <c:pt idx="465">
                  <c:v>8.08</c:v>
                </c:pt>
                <c:pt idx="466">
                  <c:v>6.4</c:v>
                </c:pt>
                <c:pt idx="467">
                  <c:v>11.44</c:v>
                </c:pt>
                <c:pt idx="468">
                  <c:v>9.8800000000000008</c:v>
                </c:pt>
                <c:pt idx="469">
                  <c:v>8.4700000000000006</c:v>
                </c:pt>
                <c:pt idx="470">
                  <c:v>14</c:v>
                </c:pt>
                <c:pt idx="471">
                  <c:v>8.2299999999999986</c:v>
                </c:pt>
                <c:pt idx="472">
                  <c:v>6.92</c:v>
                </c:pt>
                <c:pt idx="473">
                  <c:v>6.64</c:v>
                </c:pt>
                <c:pt idx="474">
                  <c:v>6.08</c:v>
                </c:pt>
                <c:pt idx="475">
                  <c:v>18.43</c:v>
                </c:pt>
                <c:pt idx="476">
                  <c:v>8.8700000000000028</c:v>
                </c:pt>
                <c:pt idx="477">
                  <c:v>9.3600000000000012</c:v>
                </c:pt>
                <c:pt idx="478">
                  <c:v>8.82</c:v>
                </c:pt>
                <c:pt idx="479">
                  <c:v>12.350000000000001</c:v>
                </c:pt>
                <c:pt idx="480">
                  <c:v>3.21</c:v>
                </c:pt>
                <c:pt idx="481">
                  <c:v>10.58</c:v>
                </c:pt>
                <c:pt idx="482">
                  <c:v>8.8600000000000012</c:v>
                </c:pt>
                <c:pt idx="483">
                  <c:v>8.83</c:v>
                </c:pt>
                <c:pt idx="484">
                  <c:v>15.360000000000001</c:v>
                </c:pt>
                <c:pt idx="485">
                  <c:v>14.93</c:v>
                </c:pt>
                <c:pt idx="486">
                  <c:v>8.69</c:v>
                </c:pt>
                <c:pt idx="487">
                  <c:v>7.13</c:v>
                </c:pt>
                <c:pt idx="488">
                  <c:v>10.54</c:v>
                </c:pt>
                <c:pt idx="489">
                  <c:v>15.84</c:v>
                </c:pt>
                <c:pt idx="490">
                  <c:v>8.33</c:v>
                </c:pt>
                <c:pt idx="491">
                  <c:v>4.3</c:v>
                </c:pt>
                <c:pt idx="492">
                  <c:v>6.91</c:v>
                </c:pt>
                <c:pt idx="493">
                  <c:v>4.8199999999999994</c:v>
                </c:pt>
                <c:pt idx="494">
                  <c:v>3.65</c:v>
                </c:pt>
                <c:pt idx="495">
                  <c:v>1.61</c:v>
                </c:pt>
                <c:pt idx="496">
                  <c:v>1.7500000000000002</c:v>
                </c:pt>
                <c:pt idx="497">
                  <c:v>6.22</c:v>
                </c:pt>
                <c:pt idx="498">
                  <c:v>4.0999999999999996</c:v>
                </c:pt>
                <c:pt idx="499">
                  <c:v>3</c:v>
                </c:pt>
                <c:pt idx="500">
                  <c:v>1.49</c:v>
                </c:pt>
                <c:pt idx="501">
                  <c:v>1.6300000000000001</c:v>
                </c:pt>
                <c:pt idx="502">
                  <c:v>7.25</c:v>
                </c:pt>
                <c:pt idx="503">
                  <c:v>5.1599999999999993</c:v>
                </c:pt>
                <c:pt idx="504">
                  <c:v>8.8600000000000012</c:v>
                </c:pt>
                <c:pt idx="505">
                  <c:v>34.54</c:v>
                </c:pt>
                <c:pt idx="506">
                  <c:v>11.81</c:v>
                </c:pt>
                <c:pt idx="507">
                  <c:v>6.7</c:v>
                </c:pt>
                <c:pt idx="508">
                  <c:v>4.51</c:v>
                </c:pt>
                <c:pt idx="509">
                  <c:v>8.4</c:v>
                </c:pt>
                <c:pt idx="510">
                  <c:v>12.31</c:v>
                </c:pt>
                <c:pt idx="511">
                  <c:v>19.73</c:v>
                </c:pt>
                <c:pt idx="512">
                  <c:v>8.06</c:v>
                </c:pt>
                <c:pt idx="513">
                  <c:v>7.92</c:v>
                </c:pt>
                <c:pt idx="514">
                  <c:v>7.9</c:v>
                </c:pt>
                <c:pt idx="515">
                  <c:v>0.37000000000000005</c:v>
                </c:pt>
                <c:pt idx="516">
                  <c:v>1.1800000000000002</c:v>
                </c:pt>
                <c:pt idx="517">
                  <c:v>0.82000000000000006</c:v>
                </c:pt>
                <c:pt idx="518">
                  <c:v>0.46</c:v>
                </c:pt>
                <c:pt idx="519">
                  <c:v>3.14</c:v>
                </c:pt>
                <c:pt idx="520">
                  <c:v>2.9299999999999997</c:v>
                </c:pt>
                <c:pt idx="521">
                  <c:v>2.2400000000000002</c:v>
                </c:pt>
                <c:pt idx="522">
                  <c:v>4.01</c:v>
                </c:pt>
                <c:pt idx="523">
                  <c:v>3.62</c:v>
                </c:pt>
                <c:pt idx="524">
                  <c:v>0.33000000000000007</c:v>
                </c:pt>
                <c:pt idx="525">
                  <c:v>3.11</c:v>
                </c:pt>
                <c:pt idx="526">
                  <c:v>2.72</c:v>
                </c:pt>
                <c:pt idx="527">
                  <c:v>5.89</c:v>
                </c:pt>
                <c:pt idx="528">
                  <c:v>4.29</c:v>
                </c:pt>
                <c:pt idx="529">
                  <c:v>3.7</c:v>
                </c:pt>
                <c:pt idx="530">
                  <c:v>4.2699999999999996</c:v>
                </c:pt>
                <c:pt idx="531">
                  <c:v>4.5199999999999996</c:v>
                </c:pt>
                <c:pt idx="532">
                  <c:v>3.61</c:v>
                </c:pt>
                <c:pt idx="533">
                  <c:v>2.46</c:v>
                </c:pt>
                <c:pt idx="534">
                  <c:v>4.2</c:v>
                </c:pt>
                <c:pt idx="535">
                  <c:v>5.17</c:v>
                </c:pt>
                <c:pt idx="536">
                  <c:v>8.7800000000000011</c:v>
                </c:pt>
                <c:pt idx="537">
                  <c:v>1.9</c:v>
                </c:pt>
                <c:pt idx="538">
                  <c:v>2.71</c:v>
                </c:pt>
                <c:pt idx="539">
                  <c:v>3.22</c:v>
                </c:pt>
                <c:pt idx="540">
                  <c:v>1.37</c:v>
                </c:pt>
                <c:pt idx="541">
                  <c:v>1.37</c:v>
                </c:pt>
                <c:pt idx="542">
                  <c:v>1.46</c:v>
                </c:pt>
                <c:pt idx="543">
                  <c:v>1.27</c:v>
                </c:pt>
                <c:pt idx="544">
                  <c:v>1.6300000000000001</c:v>
                </c:pt>
                <c:pt idx="545">
                  <c:v>1.07</c:v>
                </c:pt>
                <c:pt idx="546">
                  <c:v>2.61</c:v>
                </c:pt>
                <c:pt idx="547">
                  <c:v>2.17</c:v>
                </c:pt>
                <c:pt idx="548">
                  <c:v>2.2000000000000002</c:v>
                </c:pt>
                <c:pt idx="549">
                  <c:v>2.12</c:v>
                </c:pt>
                <c:pt idx="550">
                  <c:v>2.17</c:v>
                </c:pt>
                <c:pt idx="551">
                  <c:v>1.46</c:v>
                </c:pt>
                <c:pt idx="552">
                  <c:v>1.56</c:v>
                </c:pt>
                <c:pt idx="553">
                  <c:v>0.22000000000000003</c:v>
                </c:pt>
                <c:pt idx="554">
                  <c:v>0.88000000000000012</c:v>
                </c:pt>
                <c:pt idx="555">
                  <c:v>3.25</c:v>
                </c:pt>
                <c:pt idx="556">
                  <c:v>3.2</c:v>
                </c:pt>
                <c:pt idx="557">
                  <c:v>2.66</c:v>
                </c:pt>
                <c:pt idx="558">
                  <c:v>9.42</c:v>
                </c:pt>
                <c:pt idx="559">
                  <c:v>5.17</c:v>
                </c:pt>
                <c:pt idx="560">
                  <c:v>2.8499999999999996</c:v>
                </c:pt>
                <c:pt idx="561">
                  <c:v>2.4899999999999998</c:v>
                </c:pt>
                <c:pt idx="562">
                  <c:v>1.93</c:v>
                </c:pt>
                <c:pt idx="563">
                  <c:v>5.88</c:v>
                </c:pt>
                <c:pt idx="564">
                  <c:v>1.6800000000000002</c:v>
                </c:pt>
                <c:pt idx="565">
                  <c:v>2.56</c:v>
                </c:pt>
                <c:pt idx="566">
                  <c:v>2.2000000000000002</c:v>
                </c:pt>
                <c:pt idx="567">
                  <c:v>1.1700000000000002</c:v>
                </c:pt>
                <c:pt idx="568">
                  <c:v>1.05</c:v>
                </c:pt>
                <c:pt idx="569">
                  <c:v>4.54</c:v>
                </c:pt>
                <c:pt idx="570">
                  <c:v>6.59</c:v>
                </c:pt>
                <c:pt idx="571">
                  <c:v>5.49</c:v>
                </c:pt>
                <c:pt idx="572">
                  <c:v>4</c:v>
                </c:pt>
                <c:pt idx="573">
                  <c:v>1.56</c:v>
                </c:pt>
                <c:pt idx="574">
                  <c:v>1.85</c:v>
                </c:pt>
                <c:pt idx="575">
                  <c:v>6.1199999999999992</c:v>
                </c:pt>
                <c:pt idx="576">
                  <c:v>4.34</c:v>
                </c:pt>
                <c:pt idx="577">
                  <c:v>3.07</c:v>
                </c:pt>
                <c:pt idx="578">
                  <c:v>1.56</c:v>
                </c:pt>
                <c:pt idx="579">
                  <c:v>1.54</c:v>
                </c:pt>
                <c:pt idx="580">
                  <c:v>6.73</c:v>
                </c:pt>
                <c:pt idx="581">
                  <c:v>5.59</c:v>
                </c:pt>
                <c:pt idx="582">
                  <c:v>0.68000000000000016</c:v>
                </c:pt>
                <c:pt idx="583">
                  <c:v>0.41000000000000003</c:v>
                </c:pt>
                <c:pt idx="584">
                  <c:v>0.54</c:v>
                </c:pt>
                <c:pt idx="585">
                  <c:v>2.0499999999999998</c:v>
                </c:pt>
                <c:pt idx="586">
                  <c:v>0.78</c:v>
                </c:pt>
                <c:pt idx="587">
                  <c:v>0.8</c:v>
                </c:pt>
                <c:pt idx="588">
                  <c:v>0.66000000000000014</c:v>
                </c:pt>
                <c:pt idx="589">
                  <c:v>0.83000000000000007</c:v>
                </c:pt>
                <c:pt idx="590">
                  <c:v>0.71000000000000008</c:v>
                </c:pt>
                <c:pt idx="591">
                  <c:v>0.4</c:v>
                </c:pt>
                <c:pt idx="592">
                  <c:v>0.54</c:v>
                </c:pt>
                <c:pt idx="593">
                  <c:v>0.38000000000000006</c:v>
                </c:pt>
                <c:pt idx="594">
                  <c:v>10.350000000000001</c:v>
                </c:pt>
                <c:pt idx="595">
                  <c:v>8.65</c:v>
                </c:pt>
                <c:pt idx="596">
                  <c:v>8</c:v>
                </c:pt>
                <c:pt idx="597">
                  <c:v>15.25</c:v>
                </c:pt>
                <c:pt idx="598">
                  <c:v>15.32</c:v>
                </c:pt>
                <c:pt idx="599">
                  <c:v>8.94</c:v>
                </c:pt>
                <c:pt idx="600">
                  <c:v>7.1</c:v>
                </c:pt>
                <c:pt idx="601">
                  <c:v>10.19</c:v>
                </c:pt>
                <c:pt idx="602">
                  <c:v>15.28</c:v>
                </c:pt>
                <c:pt idx="603">
                  <c:v>8.18</c:v>
                </c:pt>
                <c:pt idx="604">
                  <c:v>1.43</c:v>
                </c:pt>
                <c:pt idx="605">
                  <c:v>10.62</c:v>
                </c:pt>
                <c:pt idx="606">
                  <c:v>39.18</c:v>
                </c:pt>
                <c:pt idx="607">
                  <c:v>12.66</c:v>
                </c:pt>
                <c:pt idx="608">
                  <c:v>6.83</c:v>
                </c:pt>
                <c:pt idx="609">
                  <c:v>5.17</c:v>
                </c:pt>
                <c:pt idx="610">
                  <c:v>8.44</c:v>
                </c:pt>
                <c:pt idx="611">
                  <c:v>15.55</c:v>
                </c:pt>
                <c:pt idx="612">
                  <c:v>22.51</c:v>
                </c:pt>
                <c:pt idx="613">
                  <c:v>7.8</c:v>
                </c:pt>
                <c:pt idx="614">
                  <c:v>7.8</c:v>
                </c:pt>
                <c:pt idx="615">
                  <c:v>8.2000000000000011</c:v>
                </c:pt>
                <c:pt idx="616">
                  <c:v>0.92</c:v>
                </c:pt>
                <c:pt idx="617">
                  <c:v>1.37</c:v>
                </c:pt>
                <c:pt idx="618">
                  <c:v>0.36000000000000004</c:v>
                </c:pt>
                <c:pt idx="619">
                  <c:v>0.12000000000000001</c:v>
                </c:pt>
                <c:pt idx="620">
                  <c:v>0.22000000000000003</c:v>
                </c:pt>
                <c:pt idx="621">
                  <c:v>0.29000000000000004</c:v>
                </c:pt>
                <c:pt idx="622">
                  <c:v>0.55000000000000004</c:v>
                </c:pt>
                <c:pt idx="623">
                  <c:v>0.64000000000000012</c:v>
                </c:pt>
                <c:pt idx="624">
                  <c:v>0.78</c:v>
                </c:pt>
                <c:pt idx="625">
                  <c:v>0.31000000000000005</c:v>
                </c:pt>
                <c:pt idx="626">
                  <c:v>0.52</c:v>
                </c:pt>
                <c:pt idx="627">
                  <c:v>0.71000000000000008</c:v>
                </c:pt>
                <c:pt idx="628">
                  <c:v>3.7800000000000002</c:v>
                </c:pt>
                <c:pt idx="629">
                  <c:v>2.74</c:v>
                </c:pt>
                <c:pt idx="630">
                  <c:v>4.1099999999999994</c:v>
                </c:pt>
                <c:pt idx="631">
                  <c:v>6.56</c:v>
                </c:pt>
                <c:pt idx="632">
                  <c:v>7.48</c:v>
                </c:pt>
                <c:pt idx="633">
                  <c:v>1.86</c:v>
                </c:pt>
                <c:pt idx="634">
                  <c:v>2.5</c:v>
                </c:pt>
                <c:pt idx="635">
                  <c:v>3.3499999999999996</c:v>
                </c:pt>
                <c:pt idx="636">
                  <c:v>1.7700000000000002</c:v>
                </c:pt>
                <c:pt idx="637">
                  <c:v>1.37</c:v>
                </c:pt>
                <c:pt idx="638">
                  <c:v>1.42</c:v>
                </c:pt>
                <c:pt idx="639">
                  <c:v>1.23</c:v>
                </c:pt>
                <c:pt idx="640">
                  <c:v>2.1</c:v>
                </c:pt>
                <c:pt idx="641">
                  <c:v>0.99</c:v>
                </c:pt>
                <c:pt idx="642">
                  <c:v>2.29</c:v>
                </c:pt>
                <c:pt idx="643">
                  <c:v>2.0099999999999998</c:v>
                </c:pt>
                <c:pt idx="644">
                  <c:v>2.67</c:v>
                </c:pt>
                <c:pt idx="645">
                  <c:v>2.15</c:v>
                </c:pt>
                <c:pt idx="646">
                  <c:v>1.7700000000000002</c:v>
                </c:pt>
                <c:pt idx="647">
                  <c:v>1.3900000000000001</c:v>
                </c:pt>
                <c:pt idx="648">
                  <c:v>1.46</c:v>
                </c:pt>
                <c:pt idx="649">
                  <c:v>0.33000000000000007</c:v>
                </c:pt>
                <c:pt idx="650">
                  <c:v>0.33000000000000007</c:v>
                </c:pt>
                <c:pt idx="651">
                  <c:v>3.56</c:v>
                </c:pt>
                <c:pt idx="652">
                  <c:v>0.83000000000000007</c:v>
                </c:pt>
                <c:pt idx="653">
                  <c:v>1.1200000000000001</c:v>
                </c:pt>
                <c:pt idx="654">
                  <c:v>10.639999999999999</c:v>
                </c:pt>
                <c:pt idx="655">
                  <c:v>9.27</c:v>
                </c:pt>
                <c:pt idx="656">
                  <c:v>8.32</c:v>
                </c:pt>
                <c:pt idx="657">
                  <c:v>14.47</c:v>
                </c:pt>
                <c:pt idx="658">
                  <c:v>12.79</c:v>
                </c:pt>
                <c:pt idx="659">
                  <c:v>9.08</c:v>
                </c:pt>
                <c:pt idx="660">
                  <c:v>6.64</c:v>
                </c:pt>
                <c:pt idx="661">
                  <c:v>10.050000000000002</c:v>
                </c:pt>
                <c:pt idx="662">
                  <c:v>16.079999999999995</c:v>
                </c:pt>
                <c:pt idx="663">
                  <c:v>8.39</c:v>
                </c:pt>
                <c:pt idx="664">
                  <c:v>1.34</c:v>
                </c:pt>
                <c:pt idx="665">
                  <c:v>22.77</c:v>
                </c:pt>
                <c:pt idx="666">
                  <c:v>9.25</c:v>
                </c:pt>
                <c:pt idx="667">
                  <c:v>37.67</c:v>
                </c:pt>
                <c:pt idx="668">
                  <c:v>12.129999999999999</c:v>
                </c:pt>
                <c:pt idx="669">
                  <c:v>6.83</c:v>
                </c:pt>
                <c:pt idx="670">
                  <c:v>4.5599999999999996</c:v>
                </c:pt>
                <c:pt idx="671">
                  <c:v>8.15</c:v>
                </c:pt>
                <c:pt idx="672">
                  <c:v>14.42</c:v>
                </c:pt>
                <c:pt idx="673">
                  <c:v>25.110000000000003</c:v>
                </c:pt>
                <c:pt idx="674">
                  <c:v>7.91</c:v>
                </c:pt>
                <c:pt idx="675">
                  <c:v>7.76</c:v>
                </c:pt>
                <c:pt idx="676">
                  <c:v>7.44</c:v>
                </c:pt>
                <c:pt idx="677">
                  <c:v>2.0499999999999998</c:v>
                </c:pt>
                <c:pt idx="678">
                  <c:v>0.59000000000000008</c:v>
                </c:pt>
                <c:pt idx="679">
                  <c:v>0.88000000000000012</c:v>
                </c:pt>
                <c:pt idx="680">
                  <c:v>0.8600000000000001</c:v>
                </c:pt>
                <c:pt idx="681">
                  <c:v>0.56999999999999995</c:v>
                </c:pt>
                <c:pt idx="682">
                  <c:v>0.33000000000000007</c:v>
                </c:pt>
                <c:pt idx="683">
                  <c:v>0.72000000000000008</c:v>
                </c:pt>
                <c:pt idx="684">
                  <c:v>7.3599999999999994</c:v>
                </c:pt>
                <c:pt idx="685">
                  <c:v>5.85</c:v>
                </c:pt>
                <c:pt idx="686">
                  <c:v>9.44</c:v>
                </c:pt>
                <c:pt idx="687">
                  <c:v>9.81</c:v>
                </c:pt>
                <c:pt idx="688">
                  <c:v>8.129999999999999</c:v>
                </c:pt>
                <c:pt idx="689">
                  <c:v>8.15</c:v>
                </c:pt>
                <c:pt idx="690">
                  <c:v>7.22</c:v>
                </c:pt>
                <c:pt idx="691">
                  <c:v>6.17</c:v>
                </c:pt>
                <c:pt idx="692">
                  <c:v>5.89</c:v>
                </c:pt>
                <c:pt idx="693">
                  <c:v>5.3599999999999994</c:v>
                </c:pt>
                <c:pt idx="694">
                  <c:v>12.209999999999999</c:v>
                </c:pt>
                <c:pt idx="695">
                  <c:v>8.11</c:v>
                </c:pt>
                <c:pt idx="696">
                  <c:v>8.129999999999999</c:v>
                </c:pt>
                <c:pt idx="697">
                  <c:v>8.620000000000001</c:v>
                </c:pt>
                <c:pt idx="698">
                  <c:v>9.2000000000000011</c:v>
                </c:pt>
                <c:pt idx="699">
                  <c:v>1.53</c:v>
                </c:pt>
                <c:pt idx="700">
                  <c:v>1.6900000000000002</c:v>
                </c:pt>
                <c:pt idx="701">
                  <c:v>0.54</c:v>
                </c:pt>
                <c:pt idx="702">
                  <c:v>0.56000000000000005</c:v>
                </c:pt>
                <c:pt idx="703">
                  <c:v>10.34</c:v>
                </c:pt>
                <c:pt idx="704">
                  <c:v>8.81</c:v>
                </c:pt>
                <c:pt idx="705">
                  <c:v>8.4600000000000026</c:v>
                </c:pt>
                <c:pt idx="706">
                  <c:v>14.52</c:v>
                </c:pt>
                <c:pt idx="707">
                  <c:v>15.42</c:v>
                </c:pt>
                <c:pt idx="708">
                  <c:v>8.620000000000001</c:v>
                </c:pt>
                <c:pt idx="709">
                  <c:v>7.07</c:v>
                </c:pt>
                <c:pt idx="710">
                  <c:v>10.200000000000001</c:v>
                </c:pt>
                <c:pt idx="711">
                  <c:v>14.78</c:v>
                </c:pt>
                <c:pt idx="712">
                  <c:v>8.18</c:v>
                </c:pt>
                <c:pt idx="713">
                  <c:v>0.68000000000000016</c:v>
                </c:pt>
                <c:pt idx="714">
                  <c:v>1.32</c:v>
                </c:pt>
                <c:pt idx="715">
                  <c:v>9.4500000000000011</c:v>
                </c:pt>
                <c:pt idx="716">
                  <c:v>42.91</c:v>
                </c:pt>
                <c:pt idx="717">
                  <c:v>12.34</c:v>
                </c:pt>
                <c:pt idx="718">
                  <c:v>6.67</c:v>
                </c:pt>
                <c:pt idx="719">
                  <c:v>4.58</c:v>
                </c:pt>
                <c:pt idx="720">
                  <c:v>8.18</c:v>
                </c:pt>
                <c:pt idx="721">
                  <c:v>13.79</c:v>
                </c:pt>
                <c:pt idx="722">
                  <c:v>19.739999999999995</c:v>
                </c:pt>
                <c:pt idx="723">
                  <c:v>7.68</c:v>
                </c:pt>
                <c:pt idx="724">
                  <c:v>7.87</c:v>
                </c:pt>
                <c:pt idx="725">
                  <c:v>7.38</c:v>
                </c:pt>
                <c:pt idx="726">
                  <c:v>1.32</c:v>
                </c:pt>
                <c:pt idx="727">
                  <c:v>0.66000000000000014</c:v>
                </c:pt>
                <c:pt idx="728">
                  <c:v>0.75000000000000011</c:v>
                </c:pt>
                <c:pt idx="729">
                  <c:v>0.70000000000000007</c:v>
                </c:pt>
                <c:pt idx="730">
                  <c:v>0.75000000000000011</c:v>
                </c:pt>
                <c:pt idx="731">
                  <c:v>0.11000000000000001</c:v>
                </c:pt>
                <c:pt idx="732">
                  <c:v>6.45</c:v>
                </c:pt>
                <c:pt idx="733">
                  <c:v>5.52</c:v>
                </c:pt>
                <c:pt idx="734">
                  <c:v>8.92</c:v>
                </c:pt>
                <c:pt idx="735">
                  <c:v>9.69</c:v>
                </c:pt>
                <c:pt idx="736">
                  <c:v>8.08</c:v>
                </c:pt>
                <c:pt idx="737">
                  <c:v>12.850000000000001</c:v>
                </c:pt>
                <c:pt idx="738">
                  <c:v>7.1499999999999995</c:v>
                </c:pt>
                <c:pt idx="739">
                  <c:v>6.1099999999999994</c:v>
                </c:pt>
                <c:pt idx="740">
                  <c:v>5.9700000000000006</c:v>
                </c:pt>
                <c:pt idx="741">
                  <c:v>5.49</c:v>
                </c:pt>
                <c:pt idx="742">
                  <c:v>11.92</c:v>
                </c:pt>
                <c:pt idx="743">
                  <c:v>7.95</c:v>
                </c:pt>
                <c:pt idx="744">
                  <c:v>8.99</c:v>
                </c:pt>
                <c:pt idx="745">
                  <c:v>7.79</c:v>
                </c:pt>
                <c:pt idx="746">
                  <c:v>8.4</c:v>
                </c:pt>
                <c:pt idx="747">
                  <c:v>0.23</c:v>
                </c:pt>
                <c:pt idx="748">
                  <c:v>0.23</c:v>
                </c:pt>
                <c:pt idx="749">
                  <c:v>0.23</c:v>
                </c:pt>
                <c:pt idx="750">
                  <c:v>0.23</c:v>
                </c:pt>
                <c:pt idx="751">
                  <c:v>11.28</c:v>
                </c:pt>
                <c:pt idx="752">
                  <c:v>9.4700000000000006</c:v>
                </c:pt>
                <c:pt idx="753">
                  <c:v>9.3000000000000007</c:v>
                </c:pt>
                <c:pt idx="754">
                  <c:v>16.559999999999999</c:v>
                </c:pt>
                <c:pt idx="755">
                  <c:v>16.89</c:v>
                </c:pt>
                <c:pt idx="756">
                  <c:v>9.4700000000000006</c:v>
                </c:pt>
                <c:pt idx="757">
                  <c:v>7.73</c:v>
                </c:pt>
                <c:pt idx="758">
                  <c:v>11.55</c:v>
                </c:pt>
                <c:pt idx="759">
                  <c:v>16.54</c:v>
                </c:pt>
                <c:pt idx="760">
                  <c:v>8.89</c:v>
                </c:pt>
                <c:pt idx="761">
                  <c:v>0.51</c:v>
                </c:pt>
                <c:pt idx="762">
                  <c:v>9.58</c:v>
                </c:pt>
                <c:pt idx="763">
                  <c:v>34.82</c:v>
                </c:pt>
                <c:pt idx="764">
                  <c:v>14.870000000000001</c:v>
                </c:pt>
                <c:pt idx="765">
                  <c:v>6.8199999999999994</c:v>
                </c:pt>
                <c:pt idx="766">
                  <c:v>4.8499999999999996</c:v>
                </c:pt>
                <c:pt idx="767">
                  <c:v>9.07</c:v>
                </c:pt>
                <c:pt idx="768">
                  <c:v>12.92</c:v>
                </c:pt>
                <c:pt idx="769">
                  <c:v>19.439999999999998</c:v>
                </c:pt>
                <c:pt idx="770">
                  <c:v>7.24</c:v>
                </c:pt>
                <c:pt idx="771">
                  <c:v>7.8199999999999994</c:v>
                </c:pt>
                <c:pt idx="772">
                  <c:v>7.42</c:v>
                </c:pt>
                <c:pt idx="773">
                  <c:v>0.16000000000000003</c:v>
                </c:pt>
                <c:pt idx="774">
                  <c:v>0.21000000000000002</c:v>
                </c:pt>
                <c:pt idx="775">
                  <c:v>1.02</c:v>
                </c:pt>
                <c:pt idx="776">
                  <c:v>0.97</c:v>
                </c:pt>
                <c:pt idx="777">
                  <c:v>1.0900000000000001</c:v>
                </c:pt>
                <c:pt idx="778">
                  <c:v>0.75000000000000011</c:v>
                </c:pt>
                <c:pt idx="779">
                  <c:v>3.17</c:v>
                </c:pt>
                <c:pt idx="780">
                  <c:v>6.48</c:v>
                </c:pt>
                <c:pt idx="781">
                  <c:v>1.32</c:v>
                </c:pt>
                <c:pt idx="782">
                  <c:v>4.54</c:v>
                </c:pt>
                <c:pt idx="783">
                  <c:v>8.9600000000000026</c:v>
                </c:pt>
                <c:pt idx="784">
                  <c:v>4.7699999999999996</c:v>
                </c:pt>
                <c:pt idx="785">
                  <c:v>3.42</c:v>
                </c:pt>
                <c:pt idx="786">
                  <c:v>0.68000000000000016</c:v>
                </c:pt>
                <c:pt idx="787">
                  <c:v>1.5</c:v>
                </c:pt>
                <c:pt idx="788">
                  <c:v>0.93</c:v>
                </c:pt>
                <c:pt idx="789">
                  <c:v>7.48</c:v>
                </c:pt>
                <c:pt idx="790">
                  <c:v>6.3199999999999994</c:v>
                </c:pt>
                <c:pt idx="791">
                  <c:v>10.050000000000002</c:v>
                </c:pt>
                <c:pt idx="792">
                  <c:v>10.370000000000001</c:v>
                </c:pt>
                <c:pt idx="793">
                  <c:v>8.2800000000000011</c:v>
                </c:pt>
                <c:pt idx="794">
                  <c:v>12.43</c:v>
                </c:pt>
                <c:pt idx="795">
                  <c:v>8.34</c:v>
                </c:pt>
                <c:pt idx="796">
                  <c:v>6.7</c:v>
                </c:pt>
                <c:pt idx="797">
                  <c:v>6.38</c:v>
                </c:pt>
                <c:pt idx="798">
                  <c:v>5.75</c:v>
                </c:pt>
                <c:pt idx="799">
                  <c:v>12.450000000000001</c:v>
                </c:pt>
                <c:pt idx="800">
                  <c:v>8.620000000000001</c:v>
                </c:pt>
                <c:pt idx="801">
                  <c:v>9.51</c:v>
                </c:pt>
                <c:pt idx="802">
                  <c:v>9.2800000000000011</c:v>
                </c:pt>
                <c:pt idx="803">
                  <c:v>9.69</c:v>
                </c:pt>
                <c:pt idx="804">
                  <c:v>0.84000000000000008</c:v>
                </c:pt>
                <c:pt idx="805">
                  <c:v>1.29</c:v>
                </c:pt>
                <c:pt idx="806">
                  <c:v>1.1700000000000002</c:v>
                </c:pt>
                <c:pt idx="807">
                  <c:v>10.79</c:v>
                </c:pt>
                <c:pt idx="808">
                  <c:v>9.34</c:v>
                </c:pt>
                <c:pt idx="809">
                  <c:v>8.59</c:v>
                </c:pt>
                <c:pt idx="810">
                  <c:v>15.56</c:v>
                </c:pt>
                <c:pt idx="811">
                  <c:v>16.190000000000001</c:v>
                </c:pt>
                <c:pt idx="812">
                  <c:v>9.4500000000000011</c:v>
                </c:pt>
                <c:pt idx="813">
                  <c:v>7.3</c:v>
                </c:pt>
                <c:pt idx="814">
                  <c:v>10.81</c:v>
                </c:pt>
                <c:pt idx="815">
                  <c:v>15.49</c:v>
                </c:pt>
                <c:pt idx="816">
                  <c:v>8.49</c:v>
                </c:pt>
                <c:pt idx="817">
                  <c:v>1.33</c:v>
                </c:pt>
                <c:pt idx="818">
                  <c:v>8.7299999999999986</c:v>
                </c:pt>
                <c:pt idx="819">
                  <c:v>33.56</c:v>
                </c:pt>
                <c:pt idx="820">
                  <c:v>16.079999999999995</c:v>
                </c:pt>
                <c:pt idx="821">
                  <c:v>6.88</c:v>
                </c:pt>
                <c:pt idx="822">
                  <c:v>4.7699999999999996</c:v>
                </c:pt>
                <c:pt idx="823">
                  <c:v>8.4700000000000006</c:v>
                </c:pt>
                <c:pt idx="824">
                  <c:v>12.54</c:v>
                </c:pt>
                <c:pt idx="825">
                  <c:v>18.809999999999999</c:v>
                </c:pt>
                <c:pt idx="826">
                  <c:v>7.23</c:v>
                </c:pt>
                <c:pt idx="827">
                  <c:v>7.79</c:v>
                </c:pt>
                <c:pt idx="828">
                  <c:v>7.6499999999999995</c:v>
                </c:pt>
                <c:pt idx="829">
                  <c:v>0.56000000000000005</c:v>
                </c:pt>
                <c:pt idx="830">
                  <c:v>0.47000000000000003</c:v>
                </c:pt>
                <c:pt idx="831">
                  <c:v>0.64000000000000012</c:v>
                </c:pt>
                <c:pt idx="832">
                  <c:v>1.07</c:v>
                </c:pt>
                <c:pt idx="833">
                  <c:v>1.0900000000000001</c:v>
                </c:pt>
                <c:pt idx="834">
                  <c:v>1.4</c:v>
                </c:pt>
                <c:pt idx="835">
                  <c:v>0.56999999999999995</c:v>
                </c:pt>
                <c:pt idx="836">
                  <c:v>0.88000000000000012</c:v>
                </c:pt>
                <c:pt idx="837">
                  <c:v>1.1000000000000001</c:v>
                </c:pt>
                <c:pt idx="838">
                  <c:v>0.9</c:v>
                </c:pt>
                <c:pt idx="839">
                  <c:v>1.05</c:v>
                </c:pt>
                <c:pt idx="840">
                  <c:v>3.61</c:v>
                </c:pt>
                <c:pt idx="841">
                  <c:v>2.54</c:v>
                </c:pt>
                <c:pt idx="842">
                  <c:v>4.0199999999999996</c:v>
                </c:pt>
                <c:pt idx="843">
                  <c:v>7.28</c:v>
                </c:pt>
                <c:pt idx="844">
                  <c:v>9.5400000000000009</c:v>
                </c:pt>
                <c:pt idx="845">
                  <c:v>1.7300000000000002</c:v>
                </c:pt>
                <c:pt idx="846">
                  <c:v>2.79</c:v>
                </c:pt>
                <c:pt idx="847">
                  <c:v>3.4899999999999998</c:v>
                </c:pt>
                <c:pt idx="848">
                  <c:v>1.7600000000000002</c:v>
                </c:pt>
                <c:pt idx="849">
                  <c:v>1.43</c:v>
                </c:pt>
                <c:pt idx="850">
                  <c:v>1.33</c:v>
                </c:pt>
                <c:pt idx="851">
                  <c:v>1.08</c:v>
                </c:pt>
                <c:pt idx="852">
                  <c:v>1.83</c:v>
                </c:pt>
                <c:pt idx="853">
                  <c:v>1</c:v>
                </c:pt>
                <c:pt idx="854">
                  <c:v>2.2799999999999998</c:v>
                </c:pt>
                <c:pt idx="855">
                  <c:v>1.91</c:v>
                </c:pt>
                <c:pt idx="856">
                  <c:v>2.3299999999999996</c:v>
                </c:pt>
                <c:pt idx="857">
                  <c:v>2.21</c:v>
                </c:pt>
                <c:pt idx="858">
                  <c:v>2.0299999999999998</c:v>
                </c:pt>
                <c:pt idx="859">
                  <c:v>1.3800000000000001</c:v>
                </c:pt>
                <c:pt idx="860">
                  <c:v>1.56</c:v>
                </c:pt>
                <c:pt idx="861">
                  <c:v>0.93</c:v>
                </c:pt>
                <c:pt idx="862">
                  <c:v>0.85000000000000009</c:v>
                </c:pt>
                <c:pt idx="863">
                  <c:v>3.19</c:v>
                </c:pt>
                <c:pt idx="864">
                  <c:v>3.15</c:v>
                </c:pt>
                <c:pt idx="865">
                  <c:v>2.75</c:v>
                </c:pt>
                <c:pt idx="866">
                  <c:v>10.350000000000001</c:v>
                </c:pt>
                <c:pt idx="867">
                  <c:v>5.4</c:v>
                </c:pt>
                <c:pt idx="868">
                  <c:v>2.75</c:v>
                </c:pt>
                <c:pt idx="869">
                  <c:v>2.65</c:v>
                </c:pt>
                <c:pt idx="870">
                  <c:v>2.3199999999999994</c:v>
                </c:pt>
                <c:pt idx="871">
                  <c:v>5.4300000000000006</c:v>
                </c:pt>
                <c:pt idx="872">
                  <c:v>1.7900000000000003</c:v>
                </c:pt>
                <c:pt idx="873">
                  <c:v>2.77</c:v>
                </c:pt>
                <c:pt idx="874">
                  <c:v>5.78</c:v>
                </c:pt>
                <c:pt idx="875">
                  <c:v>1.1200000000000001</c:v>
                </c:pt>
                <c:pt idx="876">
                  <c:v>0.55000000000000004</c:v>
                </c:pt>
                <c:pt idx="877">
                  <c:v>0.72000000000000008</c:v>
                </c:pt>
                <c:pt idx="878">
                  <c:v>4.6099999999999994</c:v>
                </c:pt>
                <c:pt idx="879">
                  <c:v>6.6</c:v>
                </c:pt>
                <c:pt idx="880">
                  <c:v>4.78</c:v>
                </c:pt>
                <c:pt idx="881">
                  <c:v>3.8699999999999997</c:v>
                </c:pt>
                <c:pt idx="882">
                  <c:v>1.6500000000000001</c:v>
                </c:pt>
                <c:pt idx="883">
                  <c:v>2.15</c:v>
                </c:pt>
                <c:pt idx="884">
                  <c:v>5.76</c:v>
                </c:pt>
                <c:pt idx="885">
                  <c:v>4.2300000000000004</c:v>
                </c:pt>
                <c:pt idx="886">
                  <c:v>3.08</c:v>
                </c:pt>
                <c:pt idx="887">
                  <c:v>1.58</c:v>
                </c:pt>
                <c:pt idx="888">
                  <c:v>1.55</c:v>
                </c:pt>
                <c:pt idx="889">
                  <c:v>6.1199999999999992</c:v>
                </c:pt>
                <c:pt idx="890">
                  <c:v>5.57</c:v>
                </c:pt>
                <c:pt idx="891">
                  <c:v>9.5400000000000009</c:v>
                </c:pt>
                <c:pt idx="892">
                  <c:v>40.42</c:v>
                </c:pt>
                <c:pt idx="893">
                  <c:v>12.65</c:v>
                </c:pt>
                <c:pt idx="894">
                  <c:v>6.92</c:v>
                </c:pt>
                <c:pt idx="895">
                  <c:v>4.8</c:v>
                </c:pt>
                <c:pt idx="896">
                  <c:v>8.89</c:v>
                </c:pt>
                <c:pt idx="897">
                  <c:v>15.229999999999999</c:v>
                </c:pt>
                <c:pt idx="898">
                  <c:v>24.51</c:v>
                </c:pt>
                <c:pt idx="899">
                  <c:v>7.64</c:v>
                </c:pt>
                <c:pt idx="900">
                  <c:v>8.2199999999999989</c:v>
                </c:pt>
                <c:pt idx="901">
                  <c:v>8.0500000000000007</c:v>
                </c:pt>
                <c:pt idx="902">
                  <c:v>2.77</c:v>
                </c:pt>
                <c:pt idx="903">
                  <c:v>1.9</c:v>
                </c:pt>
                <c:pt idx="904">
                  <c:v>2.36</c:v>
                </c:pt>
                <c:pt idx="905">
                  <c:v>1.41</c:v>
                </c:pt>
                <c:pt idx="906">
                  <c:v>2.29</c:v>
                </c:pt>
                <c:pt idx="907">
                  <c:v>0.37000000000000005</c:v>
                </c:pt>
                <c:pt idx="908">
                  <c:v>0.37000000000000005</c:v>
                </c:pt>
                <c:pt idx="909">
                  <c:v>7.23</c:v>
                </c:pt>
                <c:pt idx="910">
                  <c:v>6.14</c:v>
                </c:pt>
                <c:pt idx="911">
                  <c:v>9.8600000000000012</c:v>
                </c:pt>
                <c:pt idx="912">
                  <c:v>10.39</c:v>
                </c:pt>
                <c:pt idx="913">
                  <c:v>8.52</c:v>
                </c:pt>
                <c:pt idx="914">
                  <c:v>11.53</c:v>
                </c:pt>
                <c:pt idx="915">
                  <c:v>7.6499999999999995</c:v>
                </c:pt>
                <c:pt idx="916">
                  <c:v>6.38</c:v>
                </c:pt>
                <c:pt idx="917">
                  <c:v>6.14</c:v>
                </c:pt>
                <c:pt idx="918">
                  <c:v>5.52</c:v>
                </c:pt>
                <c:pt idx="919">
                  <c:v>12.15</c:v>
                </c:pt>
                <c:pt idx="920">
                  <c:v>8.8500000000000014</c:v>
                </c:pt>
                <c:pt idx="921">
                  <c:v>9.61</c:v>
                </c:pt>
                <c:pt idx="922">
                  <c:v>8.99</c:v>
                </c:pt>
                <c:pt idx="923">
                  <c:v>11.229999999999999</c:v>
                </c:pt>
                <c:pt idx="924">
                  <c:v>1.32</c:v>
                </c:pt>
                <c:pt idx="925">
                  <c:v>0.65000000000000013</c:v>
                </c:pt>
                <c:pt idx="926">
                  <c:v>10.42</c:v>
                </c:pt>
                <c:pt idx="927">
                  <c:v>8.8600000000000012</c:v>
                </c:pt>
                <c:pt idx="928">
                  <c:v>8.26</c:v>
                </c:pt>
                <c:pt idx="929">
                  <c:v>15.94</c:v>
                </c:pt>
                <c:pt idx="930">
                  <c:v>15.26</c:v>
                </c:pt>
                <c:pt idx="931">
                  <c:v>8.98</c:v>
                </c:pt>
                <c:pt idx="932">
                  <c:v>6.89</c:v>
                </c:pt>
                <c:pt idx="933">
                  <c:v>10.18</c:v>
                </c:pt>
                <c:pt idx="934">
                  <c:v>15.719999999999999</c:v>
                </c:pt>
                <c:pt idx="935">
                  <c:v>8.3500000000000014</c:v>
                </c:pt>
                <c:pt idx="936">
                  <c:v>1.7300000000000002</c:v>
                </c:pt>
                <c:pt idx="937">
                  <c:v>0.41000000000000003</c:v>
                </c:pt>
                <c:pt idx="938">
                  <c:v>0.37000000000000005</c:v>
                </c:pt>
                <c:pt idx="939">
                  <c:v>0.37000000000000005</c:v>
                </c:pt>
                <c:pt idx="940">
                  <c:v>0.46</c:v>
                </c:pt>
                <c:pt idx="941">
                  <c:v>0.72000000000000008</c:v>
                </c:pt>
                <c:pt idx="942">
                  <c:v>3.59</c:v>
                </c:pt>
                <c:pt idx="943">
                  <c:v>3.03</c:v>
                </c:pt>
                <c:pt idx="944">
                  <c:v>4.24</c:v>
                </c:pt>
                <c:pt idx="945">
                  <c:v>3.52</c:v>
                </c:pt>
                <c:pt idx="946">
                  <c:v>2.1</c:v>
                </c:pt>
                <c:pt idx="947">
                  <c:v>2.8699999999999997</c:v>
                </c:pt>
                <c:pt idx="948">
                  <c:v>0.26</c:v>
                </c:pt>
                <c:pt idx="949">
                  <c:v>7.5</c:v>
                </c:pt>
                <c:pt idx="950">
                  <c:v>1.28</c:v>
                </c:pt>
                <c:pt idx="951">
                  <c:v>4.57</c:v>
                </c:pt>
                <c:pt idx="952">
                  <c:v>8.48</c:v>
                </c:pt>
                <c:pt idx="953">
                  <c:v>4.71</c:v>
                </c:pt>
                <c:pt idx="954">
                  <c:v>2.2799999999999998</c:v>
                </c:pt>
                <c:pt idx="955">
                  <c:v>0.30000000000000004</c:v>
                </c:pt>
                <c:pt idx="956">
                  <c:v>1</c:v>
                </c:pt>
                <c:pt idx="957">
                  <c:v>3.61</c:v>
                </c:pt>
                <c:pt idx="958">
                  <c:v>2.63</c:v>
                </c:pt>
                <c:pt idx="959">
                  <c:v>3.29</c:v>
                </c:pt>
                <c:pt idx="960">
                  <c:v>5.96</c:v>
                </c:pt>
                <c:pt idx="961">
                  <c:v>7.46</c:v>
                </c:pt>
                <c:pt idx="962">
                  <c:v>1.96</c:v>
                </c:pt>
                <c:pt idx="963">
                  <c:v>3.36</c:v>
                </c:pt>
                <c:pt idx="964">
                  <c:v>3.75</c:v>
                </c:pt>
                <c:pt idx="965">
                  <c:v>1.91</c:v>
                </c:pt>
                <c:pt idx="966">
                  <c:v>1.37</c:v>
                </c:pt>
                <c:pt idx="967">
                  <c:v>1.33</c:v>
                </c:pt>
                <c:pt idx="968">
                  <c:v>1.26</c:v>
                </c:pt>
                <c:pt idx="969">
                  <c:v>2.82</c:v>
                </c:pt>
                <c:pt idx="970">
                  <c:v>0.91</c:v>
                </c:pt>
                <c:pt idx="971">
                  <c:v>2.4</c:v>
                </c:pt>
                <c:pt idx="972">
                  <c:v>2.12</c:v>
                </c:pt>
                <c:pt idx="973">
                  <c:v>2.3499999999999996</c:v>
                </c:pt>
                <c:pt idx="974">
                  <c:v>1.98</c:v>
                </c:pt>
                <c:pt idx="975">
                  <c:v>1.7900000000000003</c:v>
                </c:pt>
                <c:pt idx="976">
                  <c:v>1.44</c:v>
                </c:pt>
                <c:pt idx="977">
                  <c:v>1.49</c:v>
                </c:pt>
                <c:pt idx="978">
                  <c:v>0.54</c:v>
                </c:pt>
                <c:pt idx="979">
                  <c:v>0.54</c:v>
                </c:pt>
                <c:pt idx="980">
                  <c:v>3.38</c:v>
                </c:pt>
                <c:pt idx="981">
                  <c:v>3.11</c:v>
                </c:pt>
                <c:pt idx="982">
                  <c:v>2.5499999999999998</c:v>
                </c:pt>
                <c:pt idx="983">
                  <c:v>9.75</c:v>
                </c:pt>
                <c:pt idx="984">
                  <c:v>4.88</c:v>
                </c:pt>
                <c:pt idx="985">
                  <c:v>2.74</c:v>
                </c:pt>
                <c:pt idx="986">
                  <c:v>2.5</c:v>
                </c:pt>
                <c:pt idx="987">
                  <c:v>1.86</c:v>
                </c:pt>
                <c:pt idx="988">
                  <c:v>10.93</c:v>
                </c:pt>
                <c:pt idx="989">
                  <c:v>1.47</c:v>
                </c:pt>
                <c:pt idx="990">
                  <c:v>2.2999999999999998</c:v>
                </c:pt>
                <c:pt idx="991">
                  <c:v>2.0299999999999998</c:v>
                </c:pt>
                <c:pt idx="992">
                  <c:v>0.71000000000000008</c:v>
                </c:pt>
                <c:pt idx="993">
                  <c:v>0.71000000000000008</c:v>
                </c:pt>
                <c:pt idx="994">
                  <c:v>4.04</c:v>
                </c:pt>
                <c:pt idx="995">
                  <c:v>6.1499999999999995</c:v>
                </c:pt>
                <c:pt idx="996">
                  <c:v>4.5599999999999996</c:v>
                </c:pt>
                <c:pt idx="997">
                  <c:v>3.55</c:v>
                </c:pt>
                <c:pt idx="998">
                  <c:v>1.49</c:v>
                </c:pt>
                <c:pt idx="999">
                  <c:v>2.65</c:v>
                </c:pt>
                <c:pt idx="1000">
                  <c:v>5.83</c:v>
                </c:pt>
                <c:pt idx="1001">
                  <c:v>4.0199999999999996</c:v>
                </c:pt>
                <c:pt idx="1002">
                  <c:v>2.79</c:v>
                </c:pt>
                <c:pt idx="1003">
                  <c:v>1.47</c:v>
                </c:pt>
                <c:pt idx="1004">
                  <c:v>1.57</c:v>
                </c:pt>
                <c:pt idx="1005">
                  <c:v>6.37</c:v>
                </c:pt>
                <c:pt idx="1006">
                  <c:v>5.54</c:v>
                </c:pt>
                <c:pt idx="1007">
                  <c:v>1.25</c:v>
                </c:pt>
                <c:pt idx="1008">
                  <c:v>0.81</c:v>
                </c:pt>
                <c:pt idx="1009">
                  <c:v>0.24000000000000002</c:v>
                </c:pt>
                <c:pt idx="1010">
                  <c:v>0.87000000000000011</c:v>
                </c:pt>
                <c:pt idx="1011">
                  <c:v>1.3</c:v>
                </c:pt>
                <c:pt idx="1012">
                  <c:v>0.58000000000000007</c:v>
                </c:pt>
                <c:pt idx="1013">
                  <c:v>1.95</c:v>
                </c:pt>
                <c:pt idx="1014">
                  <c:v>1.99</c:v>
                </c:pt>
                <c:pt idx="1015">
                  <c:v>0.58000000000000007</c:v>
                </c:pt>
                <c:pt idx="1016">
                  <c:v>0.53</c:v>
                </c:pt>
                <c:pt idx="1017">
                  <c:v>3.65</c:v>
                </c:pt>
                <c:pt idx="1018">
                  <c:v>2.69</c:v>
                </c:pt>
                <c:pt idx="1019">
                  <c:v>4.2699999999999996</c:v>
                </c:pt>
                <c:pt idx="1020">
                  <c:v>6</c:v>
                </c:pt>
                <c:pt idx="1021">
                  <c:v>9.5500000000000007</c:v>
                </c:pt>
                <c:pt idx="1022">
                  <c:v>1.97</c:v>
                </c:pt>
                <c:pt idx="1023">
                  <c:v>3.1</c:v>
                </c:pt>
                <c:pt idx="1024">
                  <c:v>3.4099999999999997</c:v>
                </c:pt>
                <c:pt idx="1025">
                  <c:v>2.16</c:v>
                </c:pt>
                <c:pt idx="1026">
                  <c:v>1.44</c:v>
                </c:pt>
                <c:pt idx="1027">
                  <c:v>1.58</c:v>
                </c:pt>
                <c:pt idx="1028">
                  <c:v>1.1800000000000002</c:v>
                </c:pt>
                <c:pt idx="1029">
                  <c:v>3.1</c:v>
                </c:pt>
                <c:pt idx="1030">
                  <c:v>0.98</c:v>
                </c:pt>
                <c:pt idx="1031">
                  <c:v>3.07</c:v>
                </c:pt>
                <c:pt idx="1032">
                  <c:v>1.97</c:v>
                </c:pt>
                <c:pt idx="1033">
                  <c:v>2.3499999999999996</c:v>
                </c:pt>
                <c:pt idx="1034">
                  <c:v>2.14</c:v>
                </c:pt>
                <c:pt idx="1035">
                  <c:v>1.94</c:v>
                </c:pt>
                <c:pt idx="1036">
                  <c:v>1.49</c:v>
                </c:pt>
                <c:pt idx="1037">
                  <c:v>1.54</c:v>
                </c:pt>
                <c:pt idx="1038">
                  <c:v>0.72000000000000008</c:v>
                </c:pt>
                <c:pt idx="1039">
                  <c:v>1.3900000000000001</c:v>
                </c:pt>
                <c:pt idx="1040">
                  <c:v>3.19</c:v>
                </c:pt>
                <c:pt idx="1041">
                  <c:v>2.92</c:v>
                </c:pt>
                <c:pt idx="1042">
                  <c:v>2.98</c:v>
                </c:pt>
                <c:pt idx="1043">
                  <c:v>8.93</c:v>
                </c:pt>
                <c:pt idx="1044">
                  <c:v>4.79</c:v>
                </c:pt>
                <c:pt idx="1045">
                  <c:v>2.71</c:v>
                </c:pt>
                <c:pt idx="1046">
                  <c:v>2.4899999999999998</c:v>
                </c:pt>
                <c:pt idx="1047">
                  <c:v>1.8800000000000001</c:v>
                </c:pt>
                <c:pt idx="1048">
                  <c:v>5.51</c:v>
                </c:pt>
                <c:pt idx="1049">
                  <c:v>1.58</c:v>
                </c:pt>
                <c:pt idx="1050">
                  <c:v>2.5099999999999998</c:v>
                </c:pt>
                <c:pt idx="1051">
                  <c:v>1.94</c:v>
                </c:pt>
                <c:pt idx="1052">
                  <c:v>1.6900000000000002</c:v>
                </c:pt>
                <c:pt idx="1053">
                  <c:v>0.99</c:v>
                </c:pt>
                <c:pt idx="1054">
                  <c:v>0.47000000000000003</c:v>
                </c:pt>
                <c:pt idx="1055">
                  <c:v>0.9</c:v>
                </c:pt>
                <c:pt idx="1056">
                  <c:v>4</c:v>
                </c:pt>
                <c:pt idx="1057">
                  <c:v>6.03</c:v>
                </c:pt>
                <c:pt idx="1058">
                  <c:v>4.95</c:v>
                </c:pt>
                <c:pt idx="1059">
                  <c:v>3.9499999999999997</c:v>
                </c:pt>
                <c:pt idx="1060">
                  <c:v>1.51</c:v>
                </c:pt>
                <c:pt idx="1061">
                  <c:v>1.92</c:v>
                </c:pt>
                <c:pt idx="1062">
                  <c:v>5.63</c:v>
                </c:pt>
                <c:pt idx="1063">
                  <c:v>4.38</c:v>
                </c:pt>
                <c:pt idx="1064">
                  <c:v>2.8899999999999997</c:v>
                </c:pt>
                <c:pt idx="1065">
                  <c:v>1.56</c:v>
                </c:pt>
                <c:pt idx="1066">
                  <c:v>1.49</c:v>
                </c:pt>
                <c:pt idx="1067">
                  <c:v>6.1</c:v>
                </c:pt>
                <c:pt idx="1068">
                  <c:v>5.85</c:v>
                </c:pt>
                <c:pt idx="1069">
                  <c:v>9.0000000000000024E-2</c:v>
                </c:pt>
                <c:pt idx="1070">
                  <c:v>0.47000000000000003</c:v>
                </c:pt>
                <c:pt idx="1071">
                  <c:v>0.65000000000000013</c:v>
                </c:pt>
                <c:pt idx="1072">
                  <c:v>0.55000000000000004</c:v>
                </c:pt>
                <c:pt idx="1073">
                  <c:v>1.26</c:v>
                </c:pt>
                <c:pt idx="1074">
                  <c:v>0.45</c:v>
                </c:pt>
                <c:pt idx="1075">
                  <c:v>7.42</c:v>
                </c:pt>
                <c:pt idx="1076">
                  <c:v>6.9700000000000006</c:v>
                </c:pt>
                <c:pt idx="1077">
                  <c:v>11.61</c:v>
                </c:pt>
                <c:pt idx="1078">
                  <c:v>10.07</c:v>
                </c:pt>
                <c:pt idx="1079">
                  <c:v>8.5300000000000011</c:v>
                </c:pt>
                <c:pt idx="1080">
                  <c:v>12.61</c:v>
                </c:pt>
                <c:pt idx="1081">
                  <c:v>7.8</c:v>
                </c:pt>
                <c:pt idx="1082">
                  <c:v>6.78</c:v>
                </c:pt>
                <c:pt idx="1083">
                  <c:v>6.1599999999999993</c:v>
                </c:pt>
                <c:pt idx="1084">
                  <c:v>5.6599999999999993</c:v>
                </c:pt>
                <c:pt idx="1085">
                  <c:v>17.37</c:v>
                </c:pt>
                <c:pt idx="1086">
                  <c:v>9.4600000000000026</c:v>
                </c:pt>
                <c:pt idx="1087">
                  <c:v>9.93</c:v>
                </c:pt>
                <c:pt idx="1088">
                  <c:v>8.15</c:v>
                </c:pt>
                <c:pt idx="1089">
                  <c:v>9.39</c:v>
                </c:pt>
                <c:pt idx="1090">
                  <c:v>0.29000000000000004</c:v>
                </c:pt>
                <c:pt idx="1091">
                  <c:v>0.75000000000000011</c:v>
                </c:pt>
                <c:pt idx="1092">
                  <c:v>0.44000000000000006</c:v>
                </c:pt>
                <c:pt idx="1093">
                  <c:v>0.8</c:v>
                </c:pt>
                <c:pt idx="1094">
                  <c:v>10.81</c:v>
                </c:pt>
                <c:pt idx="1095">
                  <c:v>8.8700000000000028</c:v>
                </c:pt>
                <c:pt idx="1096">
                  <c:v>8.31</c:v>
                </c:pt>
                <c:pt idx="1097">
                  <c:v>14.92</c:v>
                </c:pt>
                <c:pt idx="1098">
                  <c:v>13.75</c:v>
                </c:pt>
                <c:pt idx="1099">
                  <c:v>8.7199999999999989</c:v>
                </c:pt>
                <c:pt idx="1100">
                  <c:v>7.02</c:v>
                </c:pt>
                <c:pt idx="1101">
                  <c:v>11.15</c:v>
                </c:pt>
                <c:pt idx="1102">
                  <c:v>15.26</c:v>
                </c:pt>
                <c:pt idx="1103">
                  <c:v>8.89</c:v>
                </c:pt>
                <c:pt idx="1104">
                  <c:v>1.21</c:v>
                </c:pt>
                <c:pt idx="1105">
                  <c:v>0.46</c:v>
                </c:pt>
                <c:pt idx="1106">
                  <c:v>0.28000000000000008</c:v>
                </c:pt>
                <c:pt idx="1107">
                  <c:v>0.73000000000000009</c:v>
                </c:pt>
                <c:pt idx="1108">
                  <c:v>0.68000000000000016</c:v>
                </c:pt>
                <c:pt idx="1109">
                  <c:v>0.8600000000000001</c:v>
                </c:pt>
                <c:pt idx="1110">
                  <c:v>2.61</c:v>
                </c:pt>
                <c:pt idx="1111">
                  <c:v>1.1499999999999997</c:v>
                </c:pt>
                <c:pt idx="1112">
                  <c:v>1.54</c:v>
                </c:pt>
                <c:pt idx="1113">
                  <c:v>6.42</c:v>
                </c:pt>
                <c:pt idx="1114">
                  <c:v>5.5</c:v>
                </c:pt>
                <c:pt idx="1115">
                  <c:v>9.620000000000001</c:v>
                </c:pt>
                <c:pt idx="1116">
                  <c:v>9.27</c:v>
                </c:pt>
                <c:pt idx="1117">
                  <c:v>7.8199999999999994</c:v>
                </c:pt>
                <c:pt idx="1118">
                  <c:v>10.139999999999999</c:v>
                </c:pt>
                <c:pt idx="1119">
                  <c:v>7.28</c:v>
                </c:pt>
                <c:pt idx="1120">
                  <c:v>6.07</c:v>
                </c:pt>
                <c:pt idx="1121">
                  <c:v>5.81</c:v>
                </c:pt>
                <c:pt idx="1122">
                  <c:v>5.1899999999999995</c:v>
                </c:pt>
                <c:pt idx="1123">
                  <c:v>14.219999999999999</c:v>
                </c:pt>
                <c:pt idx="1124">
                  <c:v>7.8</c:v>
                </c:pt>
                <c:pt idx="1125">
                  <c:v>9.17</c:v>
                </c:pt>
                <c:pt idx="1126">
                  <c:v>7.73</c:v>
                </c:pt>
                <c:pt idx="1127">
                  <c:v>9.31</c:v>
                </c:pt>
                <c:pt idx="1128">
                  <c:v>3.9099999999999997</c:v>
                </c:pt>
                <c:pt idx="1129">
                  <c:v>1.1599999999999997</c:v>
                </c:pt>
                <c:pt idx="1130">
                  <c:v>1.1399999999999997</c:v>
                </c:pt>
                <c:pt idx="1131">
                  <c:v>10.48</c:v>
                </c:pt>
                <c:pt idx="1132">
                  <c:v>8.98</c:v>
                </c:pt>
                <c:pt idx="1133">
                  <c:v>8.3700000000000028</c:v>
                </c:pt>
                <c:pt idx="1134">
                  <c:v>14.98</c:v>
                </c:pt>
                <c:pt idx="1135">
                  <c:v>14.48</c:v>
                </c:pt>
                <c:pt idx="1136">
                  <c:v>9.0300000000000011</c:v>
                </c:pt>
                <c:pt idx="1137">
                  <c:v>7.06</c:v>
                </c:pt>
                <c:pt idx="1138">
                  <c:v>11.3</c:v>
                </c:pt>
                <c:pt idx="1139">
                  <c:v>15.4</c:v>
                </c:pt>
                <c:pt idx="1140">
                  <c:v>8.51</c:v>
                </c:pt>
                <c:pt idx="1141">
                  <c:v>4.6899999999999995</c:v>
                </c:pt>
                <c:pt idx="1142">
                  <c:v>6.78</c:v>
                </c:pt>
                <c:pt idx="1143">
                  <c:v>5.01</c:v>
                </c:pt>
                <c:pt idx="1144">
                  <c:v>4.18</c:v>
                </c:pt>
                <c:pt idx="1145">
                  <c:v>1.6300000000000001</c:v>
                </c:pt>
                <c:pt idx="1146">
                  <c:v>3.04</c:v>
                </c:pt>
                <c:pt idx="1147">
                  <c:v>6.25</c:v>
                </c:pt>
                <c:pt idx="1148">
                  <c:v>4.54</c:v>
                </c:pt>
                <c:pt idx="1149">
                  <c:v>3.3499999999999996</c:v>
                </c:pt>
                <c:pt idx="1150">
                  <c:v>1.6500000000000001</c:v>
                </c:pt>
                <c:pt idx="1151">
                  <c:v>1.6300000000000001</c:v>
                </c:pt>
                <c:pt idx="1152">
                  <c:v>6.85</c:v>
                </c:pt>
                <c:pt idx="1153">
                  <c:v>6.9</c:v>
                </c:pt>
                <c:pt idx="1154">
                  <c:v>1.94</c:v>
                </c:pt>
                <c:pt idx="1155">
                  <c:v>0.92</c:v>
                </c:pt>
                <c:pt idx="1156">
                  <c:v>0.71000000000000008</c:v>
                </c:pt>
                <c:pt idx="1157">
                  <c:v>0.62000000000000011</c:v>
                </c:pt>
                <c:pt idx="1158">
                  <c:v>1.1000000000000001</c:v>
                </c:pt>
                <c:pt idx="1159">
                  <c:v>3.02</c:v>
                </c:pt>
                <c:pt idx="1160">
                  <c:v>2.82</c:v>
                </c:pt>
                <c:pt idx="1161">
                  <c:v>2.04</c:v>
                </c:pt>
                <c:pt idx="1162">
                  <c:v>5.68</c:v>
                </c:pt>
                <c:pt idx="1163">
                  <c:v>3.5</c:v>
                </c:pt>
                <c:pt idx="1164">
                  <c:v>3.05</c:v>
                </c:pt>
                <c:pt idx="1165">
                  <c:v>3.3699999999999997</c:v>
                </c:pt>
                <c:pt idx="1166">
                  <c:v>0.71000000000000008</c:v>
                </c:pt>
                <c:pt idx="1167">
                  <c:v>0.78</c:v>
                </c:pt>
                <c:pt idx="1168">
                  <c:v>6.8199999999999994</c:v>
                </c:pt>
                <c:pt idx="1169">
                  <c:v>6.1599999999999993</c:v>
                </c:pt>
                <c:pt idx="1170">
                  <c:v>9.89</c:v>
                </c:pt>
                <c:pt idx="1171">
                  <c:v>10.51</c:v>
                </c:pt>
                <c:pt idx="1172">
                  <c:v>8.11</c:v>
                </c:pt>
                <c:pt idx="1173">
                  <c:v>11.18</c:v>
                </c:pt>
                <c:pt idx="1174">
                  <c:v>7.67</c:v>
                </c:pt>
                <c:pt idx="1175">
                  <c:v>6.18</c:v>
                </c:pt>
                <c:pt idx="1176">
                  <c:v>6.64</c:v>
                </c:pt>
                <c:pt idx="1177">
                  <c:v>5.4300000000000006</c:v>
                </c:pt>
                <c:pt idx="1178">
                  <c:v>11.54</c:v>
                </c:pt>
                <c:pt idx="1179">
                  <c:v>8.31</c:v>
                </c:pt>
                <c:pt idx="1180">
                  <c:v>9.1399999999999988</c:v>
                </c:pt>
                <c:pt idx="1181">
                  <c:v>8.9500000000000011</c:v>
                </c:pt>
                <c:pt idx="1182">
                  <c:v>9.4600000000000026</c:v>
                </c:pt>
                <c:pt idx="1183">
                  <c:v>2.4099999999999997</c:v>
                </c:pt>
                <c:pt idx="1184">
                  <c:v>6.29</c:v>
                </c:pt>
                <c:pt idx="1185">
                  <c:v>1.1599999999999997</c:v>
                </c:pt>
                <c:pt idx="1186">
                  <c:v>1.8800000000000001</c:v>
                </c:pt>
                <c:pt idx="1187">
                  <c:v>9.98</c:v>
                </c:pt>
                <c:pt idx="1188">
                  <c:v>8.65</c:v>
                </c:pt>
                <c:pt idx="1189">
                  <c:v>8.07</c:v>
                </c:pt>
                <c:pt idx="1190">
                  <c:v>14.65</c:v>
                </c:pt>
                <c:pt idx="1191">
                  <c:v>15.69</c:v>
                </c:pt>
                <c:pt idx="1192">
                  <c:v>8.3600000000000012</c:v>
                </c:pt>
                <c:pt idx="1193">
                  <c:v>6.7</c:v>
                </c:pt>
                <c:pt idx="1194">
                  <c:v>9.98</c:v>
                </c:pt>
                <c:pt idx="1195">
                  <c:v>14.51</c:v>
                </c:pt>
                <c:pt idx="1196">
                  <c:v>7.95</c:v>
                </c:pt>
                <c:pt idx="1197">
                  <c:v>1.33</c:v>
                </c:pt>
                <c:pt idx="1198">
                  <c:v>9.5300000000000011</c:v>
                </c:pt>
                <c:pt idx="1199">
                  <c:v>36.82</c:v>
                </c:pt>
                <c:pt idx="1200">
                  <c:v>11.84</c:v>
                </c:pt>
                <c:pt idx="1201">
                  <c:v>6.75</c:v>
                </c:pt>
                <c:pt idx="1202">
                  <c:v>4.6599999999999993</c:v>
                </c:pt>
                <c:pt idx="1203">
                  <c:v>8.7199999999999989</c:v>
                </c:pt>
                <c:pt idx="1204">
                  <c:v>14.94</c:v>
                </c:pt>
                <c:pt idx="1205">
                  <c:v>20.059999999999999</c:v>
                </c:pt>
                <c:pt idx="1206">
                  <c:v>8.16</c:v>
                </c:pt>
                <c:pt idx="1207">
                  <c:v>8.34</c:v>
                </c:pt>
                <c:pt idx="1208">
                  <c:v>7.8599999999999994</c:v>
                </c:pt>
                <c:pt idx="1209">
                  <c:v>1.44</c:v>
                </c:pt>
                <c:pt idx="1210">
                  <c:v>1.81</c:v>
                </c:pt>
                <c:pt idx="1211">
                  <c:v>0.56000000000000005</c:v>
                </c:pt>
                <c:pt idx="1212">
                  <c:v>0.51</c:v>
                </c:pt>
                <c:pt idx="1213">
                  <c:v>1.04</c:v>
                </c:pt>
                <c:pt idx="1214">
                  <c:v>0.44000000000000006</c:v>
                </c:pt>
                <c:pt idx="1215">
                  <c:v>0.36000000000000004</c:v>
                </c:pt>
                <c:pt idx="1216">
                  <c:v>3.8099999999999996</c:v>
                </c:pt>
                <c:pt idx="1217">
                  <c:v>2.67</c:v>
                </c:pt>
                <c:pt idx="1218">
                  <c:v>3.86</c:v>
                </c:pt>
                <c:pt idx="1219">
                  <c:v>5.49</c:v>
                </c:pt>
                <c:pt idx="1220">
                  <c:v>8.9700000000000006</c:v>
                </c:pt>
                <c:pt idx="1221">
                  <c:v>1.9</c:v>
                </c:pt>
                <c:pt idx="1222">
                  <c:v>3.55</c:v>
                </c:pt>
                <c:pt idx="1223">
                  <c:v>3.2800000000000002</c:v>
                </c:pt>
                <c:pt idx="1224">
                  <c:v>1.94</c:v>
                </c:pt>
                <c:pt idx="1225">
                  <c:v>1.51</c:v>
                </c:pt>
                <c:pt idx="1226">
                  <c:v>1.3900000000000001</c:v>
                </c:pt>
                <c:pt idx="1227">
                  <c:v>1.34</c:v>
                </c:pt>
                <c:pt idx="1228">
                  <c:v>2.8899999999999997</c:v>
                </c:pt>
                <c:pt idx="1229">
                  <c:v>0.95000000000000007</c:v>
                </c:pt>
                <c:pt idx="1230">
                  <c:v>2.5299999999999998</c:v>
                </c:pt>
                <c:pt idx="1231">
                  <c:v>2.2599999999999998</c:v>
                </c:pt>
                <c:pt idx="1232">
                  <c:v>2.84</c:v>
                </c:pt>
                <c:pt idx="1233">
                  <c:v>1.99</c:v>
                </c:pt>
                <c:pt idx="1234">
                  <c:v>1.82</c:v>
                </c:pt>
                <c:pt idx="1235">
                  <c:v>1.41</c:v>
                </c:pt>
                <c:pt idx="1236">
                  <c:v>1.58</c:v>
                </c:pt>
                <c:pt idx="1237">
                  <c:v>0.41000000000000003</c:v>
                </c:pt>
                <c:pt idx="1238">
                  <c:v>0.34000000000000008</c:v>
                </c:pt>
                <c:pt idx="1239">
                  <c:v>3.21</c:v>
                </c:pt>
                <c:pt idx="1240">
                  <c:v>2.9499999999999997</c:v>
                </c:pt>
                <c:pt idx="1241">
                  <c:v>2.5499999999999998</c:v>
                </c:pt>
                <c:pt idx="1242">
                  <c:v>10.76</c:v>
                </c:pt>
                <c:pt idx="1243">
                  <c:v>4.9300000000000006</c:v>
                </c:pt>
                <c:pt idx="1244">
                  <c:v>2.74</c:v>
                </c:pt>
                <c:pt idx="1245">
                  <c:v>2.86</c:v>
                </c:pt>
                <c:pt idx="1246">
                  <c:v>1.81</c:v>
                </c:pt>
                <c:pt idx="1247">
                  <c:v>5.55</c:v>
                </c:pt>
                <c:pt idx="1248">
                  <c:v>2.9299999999999997</c:v>
                </c:pt>
                <c:pt idx="1249">
                  <c:v>2.48</c:v>
                </c:pt>
                <c:pt idx="1250">
                  <c:v>1.8800000000000001</c:v>
                </c:pt>
                <c:pt idx="1251">
                  <c:v>0.59000000000000008</c:v>
                </c:pt>
                <c:pt idx="1252">
                  <c:v>0.79</c:v>
                </c:pt>
                <c:pt idx="1253">
                  <c:v>0.4</c:v>
                </c:pt>
                <c:pt idx="1254">
                  <c:v>4.3599999999999994</c:v>
                </c:pt>
                <c:pt idx="1255">
                  <c:v>6.6199999999999992</c:v>
                </c:pt>
                <c:pt idx="1256">
                  <c:v>4.76</c:v>
                </c:pt>
                <c:pt idx="1257">
                  <c:v>3.86</c:v>
                </c:pt>
                <c:pt idx="1258">
                  <c:v>1.6700000000000002</c:v>
                </c:pt>
                <c:pt idx="1259">
                  <c:v>1.7600000000000002</c:v>
                </c:pt>
                <c:pt idx="1260">
                  <c:v>6.1599999999999993</c:v>
                </c:pt>
                <c:pt idx="1261">
                  <c:v>4.17</c:v>
                </c:pt>
                <c:pt idx="1262">
                  <c:v>2.74</c:v>
                </c:pt>
                <c:pt idx="1263">
                  <c:v>1.5</c:v>
                </c:pt>
                <c:pt idx="1264">
                  <c:v>1.62</c:v>
                </c:pt>
                <c:pt idx="1265">
                  <c:v>7.64</c:v>
                </c:pt>
                <c:pt idx="1266">
                  <c:v>5.28</c:v>
                </c:pt>
                <c:pt idx="1267">
                  <c:v>0.31000000000000005</c:v>
                </c:pt>
                <c:pt idx="1268">
                  <c:v>0.33000000000000007</c:v>
                </c:pt>
                <c:pt idx="1269">
                  <c:v>0.21000000000000002</c:v>
                </c:pt>
                <c:pt idx="1270">
                  <c:v>6.42</c:v>
                </c:pt>
                <c:pt idx="1271">
                  <c:v>0.8</c:v>
                </c:pt>
                <c:pt idx="1272">
                  <c:v>1.27</c:v>
                </c:pt>
                <c:pt idx="1273">
                  <c:v>0.81</c:v>
                </c:pt>
                <c:pt idx="1274">
                  <c:v>4.1199999999999992</c:v>
                </c:pt>
                <c:pt idx="1275">
                  <c:v>3.16</c:v>
                </c:pt>
                <c:pt idx="1276">
                  <c:v>4.5</c:v>
                </c:pt>
                <c:pt idx="1277">
                  <c:v>3.8299999999999996</c:v>
                </c:pt>
                <c:pt idx="1278">
                  <c:v>2.2200000000000002</c:v>
                </c:pt>
                <c:pt idx="1279">
                  <c:v>2.8899999999999997</c:v>
                </c:pt>
                <c:pt idx="1280">
                  <c:v>3.4099999999999997</c:v>
                </c:pt>
                <c:pt idx="1281">
                  <c:v>2.4</c:v>
                </c:pt>
                <c:pt idx="1282">
                  <c:v>6.3199999999999994</c:v>
                </c:pt>
                <c:pt idx="1283">
                  <c:v>6</c:v>
                </c:pt>
                <c:pt idx="1284">
                  <c:v>3.3299999999999996</c:v>
                </c:pt>
                <c:pt idx="1285">
                  <c:v>4.4000000000000004</c:v>
                </c:pt>
                <c:pt idx="1286">
                  <c:v>4.3</c:v>
                </c:pt>
                <c:pt idx="1287">
                  <c:v>0.35000000000000003</c:v>
                </c:pt>
                <c:pt idx="1288">
                  <c:v>6.72</c:v>
                </c:pt>
                <c:pt idx="1289">
                  <c:v>5.64</c:v>
                </c:pt>
                <c:pt idx="1290">
                  <c:v>9.15</c:v>
                </c:pt>
                <c:pt idx="1291">
                  <c:v>9.2900000000000009</c:v>
                </c:pt>
                <c:pt idx="1292">
                  <c:v>8.42</c:v>
                </c:pt>
                <c:pt idx="1293">
                  <c:v>8</c:v>
                </c:pt>
                <c:pt idx="1294">
                  <c:v>7.6099999999999994</c:v>
                </c:pt>
                <c:pt idx="1295">
                  <c:v>6.4300000000000006</c:v>
                </c:pt>
                <c:pt idx="1296">
                  <c:v>6.04</c:v>
                </c:pt>
                <c:pt idx="1297">
                  <c:v>5.3599999999999994</c:v>
                </c:pt>
                <c:pt idx="1298">
                  <c:v>9.92</c:v>
                </c:pt>
                <c:pt idx="1299">
                  <c:v>8.4500000000000011</c:v>
                </c:pt>
                <c:pt idx="1300">
                  <c:v>8.99</c:v>
                </c:pt>
                <c:pt idx="1301">
                  <c:v>7.8199999999999994</c:v>
                </c:pt>
                <c:pt idx="1302">
                  <c:v>7.35</c:v>
                </c:pt>
                <c:pt idx="1303">
                  <c:v>2.92</c:v>
                </c:pt>
                <c:pt idx="1304">
                  <c:v>3.01</c:v>
                </c:pt>
                <c:pt idx="1305">
                  <c:v>2.4299999999999997</c:v>
                </c:pt>
                <c:pt idx="1306">
                  <c:v>9.84</c:v>
                </c:pt>
                <c:pt idx="1307">
                  <c:v>4.6899999999999995</c:v>
                </c:pt>
                <c:pt idx="1308">
                  <c:v>2.79</c:v>
                </c:pt>
                <c:pt idx="1309">
                  <c:v>2.72</c:v>
                </c:pt>
                <c:pt idx="1310">
                  <c:v>1.8</c:v>
                </c:pt>
                <c:pt idx="1311">
                  <c:v>5.3199999999999994</c:v>
                </c:pt>
                <c:pt idx="1312">
                  <c:v>1.6300000000000001</c:v>
                </c:pt>
                <c:pt idx="1313">
                  <c:v>2.6</c:v>
                </c:pt>
                <c:pt idx="1314">
                  <c:v>0.53</c:v>
                </c:pt>
                <c:pt idx="1315">
                  <c:v>0.39000000000000007</c:v>
                </c:pt>
                <c:pt idx="1316">
                  <c:v>0.83000000000000007</c:v>
                </c:pt>
                <c:pt idx="1317">
                  <c:v>4.18</c:v>
                </c:pt>
                <c:pt idx="1318">
                  <c:v>6</c:v>
                </c:pt>
                <c:pt idx="1319">
                  <c:v>4.71</c:v>
                </c:pt>
                <c:pt idx="1320">
                  <c:v>3.4299999999999997</c:v>
                </c:pt>
                <c:pt idx="1321">
                  <c:v>1.48</c:v>
                </c:pt>
                <c:pt idx="1322">
                  <c:v>2.2799999999999998</c:v>
                </c:pt>
                <c:pt idx="1323">
                  <c:v>5.54</c:v>
                </c:pt>
                <c:pt idx="1324">
                  <c:v>3.96</c:v>
                </c:pt>
                <c:pt idx="1325">
                  <c:v>2.72</c:v>
                </c:pt>
                <c:pt idx="1326">
                  <c:v>1.43</c:v>
                </c:pt>
                <c:pt idx="1327">
                  <c:v>1.53</c:v>
                </c:pt>
                <c:pt idx="1328">
                  <c:v>6.9300000000000006</c:v>
                </c:pt>
                <c:pt idx="1329">
                  <c:v>5.2</c:v>
                </c:pt>
                <c:pt idx="1330">
                  <c:v>0.6100000000000001</c:v>
                </c:pt>
                <c:pt idx="1331">
                  <c:v>0.97</c:v>
                </c:pt>
                <c:pt idx="1332">
                  <c:v>0.87000000000000011</c:v>
                </c:pt>
                <c:pt idx="1333">
                  <c:v>0.60000000000000009</c:v>
                </c:pt>
                <c:pt idx="1334">
                  <c:v>2.3099999999999996</c:v>
                </c:pt>
                <c:pt idx="1335">
                  <c:v>3.03</c:v>
                </c:pt>
                <c:pt idx="1336">
                  <c:v>2.3899999999999997</c:v>
                </c:pt>
                <c:pt idx="1337">
                  <c:v>5.71</c:v>
                </c:pt>
                <c:pt idx="1338">
                  <c:v>1.55</c:v>
                </c:pt>
                <c:pt idx="1339">
                  <c:v>4.92</c:v>
                </c:pt>
                <c:pt idx="1340">
                  <c:v>8.91</c:v>
                </c:pt>
                <c:pt idx="1341">
                  <c:v>5.17</c:v>
                </c:pt>
                <c:pt idx="1342">
                  <c:v>2.5099999999999998</c:v>
                </c:pt>
                <c:pt idx="1343">
                  <c:v>2.02</c:v>
                </c:pt>
                <c:pt idx="1344">
                  <c:v>0.7400000000000001</c:v>
                </c:pt>
                <c:pt idx="1345">
                  <c:v>3.7600000000000002</c:v>
                </c:pt>
                <c:pt idx="1346">
                  <c:v>2.5299999999999998</c:v>
                </c:pt>
                <c:pt idx="1347">
                  <c:v>4.01</c:v>
                </c:pt>
                <c:pt idx="1348">
                  <c:v>6.99</c:v>
                </c:pt>
                <c:pt idx="1349">
                  <c:v>9.99</c:v>
                </c:pt>
                <c:pt idx="1350">
                  <c:v>1.94</c:v>
                </c:pt>
                <c:pt idx="1351">
                  <c:v>2.68</c:v>
                </c:pt>
                <c:pt idx="1352">
                  <c:v>3.64</c:v>
                </c:pt>
                <c:pt idx="1353">
                  <c:v>1.8</c:v>
                </c:pt>
                <c:pt idx="1354">
                  <c:v>1.99</c:v>
                </c:pt>
                <c:pt idx="1355">
                  <c:v>1.3800000000000001</c:v>
                </c:pt>
                <c:pt idx="1356">
                  <c:v>1.43</c:v>
                </c:pt>
                <c:pt idx="1357">
                  <c:v>3.22</c:v>
                </c:pt>
                <c:pt idx="1358">
                  <c:v>1.01</c:v>
                </c:pt>
                <c:pt idx="1359">
                  <c:v>2.48</c:v>
                </c:pt>
                <c:pt idx="1360">
                  <c:v>1.7500000000000002</c:v>
                </c:pt>
                <c:pt idx="1361">
                  <c:v>2.5299999999999998</c:v>
                </c:pt>
                <c:pt idx="1362">
                  <c:v>2.16</c:v>
                </c:pt>
                <c:pt idx="1363">
                  <c:v>1.7700000000000002</c:v>
                </c:pt>
                <c:pt idx="1364">
                  <c:v>1.3800000000000001</c:v>
                </c:pt>
                <c:pt idx="1365">
                  <c:v>1.43</c:v>
                </c:pt>
                <c:pt idx="1366">
                  <c:v>0.27</c:v>
                </c:pt>
                <c:pt idx="1367">
                  <c:v>0.25</c:v>
                </c:pt>
                <c:pt idx="1368">
                  <c:v>3.15</c:v>
                </c:pt>
                <c:pt idx="1369">
                  <c:v>3.46</c:v>
                </c:pt>
                <c:pt idx="1370">
                  <c:v>2.73</c:v>
                </c:pt>
                <c:pt idx="1371">
                  <c:v>10.739999999999998</c:v>
                </c:pt>
                <c:pt idx="1372">
                  <c:v>4.88</c:v>
                </c:pt>
                <c:pt idx="1373">
                  <c:v>3.3899999999999997</c:v>
                </c:pt>
                <c:pt idx="1374">
                  <c:v>9.17</c:v>
                </c:pt>
                <c:pt idx="1375">
                  <c:v>3.12</c:v>
                </c:pt>
                <c:pt idx="1376">
                  <c:v>4.59</c:v>
                </c:pt>
                <c:pt idx="1377">
                  <c:v>1.7100000000000002</c:v>
                </c:pt>
                <c:pt idx="1378">
                  <c:v>4.2</c:v>
                </c:pt>
                <c:pt idx="1379">
                  <c:v>2.71</c:v>
                </c:pt>
                <c:pt idx="1380">
                  <c:v>0.83000000000000007</c:v>
                </c:pt>
                <c:pt idx="1381">
                  <c:v>0.59000000000000008</c:v>
                </c:pt>
                <c:pt idx="1382">
                  <c:v>2.27</c:v>
                </c:pt>
                <c:pt idx="1383">
                  <c:v>4.59</c:v>
                </c:pt>
                <c:pt idx="1384">
                  <c:v>6.03</c:v>
                </c:pt>
                <c:pt idx="1385">
                  <c:v>4.5599999999999996</c:v>
                </c:pt>
                <c:pt idx="1386">
                  <c:v>3.56</c:v>
                </c:pt>
                <c:pt idx="1387">
                  <c:v>1.1499999999999997</c:v>
                </c:pt>
                <c:pt idx="1388">
                  <c:v>1.61</c:v>
                </c:pt>
                <c:pt idx="1389">
                  <c:v>5.6599999999999993</c:v>
                </c:pt>
                <c:pt idx="1390">
                  <c:v>3.9499999999999997</c:v>
                </c:pt>
                <c:pt idx="1391">
                  <c:v>2.46</c:v>
                </c:pt>
                <c:pt idx="1392">
                  <c:v>1.07</c:v>
                </c:pt>
                <c:pt idx="1393">
                  <c:v>1.1499999999999997</c:v>
                </c:pt>
                <c:pt idx="1394">
                  <c:v>7</c:v>
                </c:pt>
                <c:pt idx="1395">
                  <c:v>4.9300000000000006</c:v>
                </c:pt>
                <c:pt idx="1396">
                  <c:v>2</c:v>
                </c:pt>
                <c:pt idx="1397">
                  <c:v>1.44</c:v>
                </c:pt>
                <c:pt idx="1398">
                  <c:v>2.84</c:v>
                </c:pt>
                <c:pt idx="1399">
                  <c:v>2.09</c:v>
                </c:pt>
                <c:pt idx="1400">
                  <c:v>1.84</c:v>
                </c:pt>
                <c:pt idx="1401">
                  <c:v>4.3099999999999996</c:v>
                </c:pt>
                <c:pt idx="1402">
                  <c:v>3.09</c:v>
                </c:pt>
                <c:pt idx="1403">
                  <c:v>4.41</c:v>
                </c:pt>
                <c:pt idx="1404">
                  <c:v>3.4099999999999997</c:v>
                </c:pt>
                <c:pt idx="1405">
                  <c:v>2.23</c:v>
                </c:pt>
                <c:pt idx="1406">
                  <c:v>3.06</c:v>
                </c:pt>
                <c:pt idx="1407">
                  <c:v>1.7600000000000002</c:v>
                </c:pt>
                <c:pt idx="1408">
                  <c:v>5.63</c:v>
                </c:pt>
                <c:pt idx="1409">
                  <c:v>6.17</c:v>
                </c:pt>
                <c:pt idx="1410">
                  <c:v>1.23</c:v>
                </c:pt>
                <c:pt idx="1411">
                  <c:v>5.14</c:v>
                </c:pt>
                <c:pt idx="1412">
                  <c:v>8.0400000000000009</c:v>
                </c:pt>
                <c:pt idx="1413">
                  <c:v>4.63</c:v>
                </c:pt>
                <c:pt idx="1414">
                  <c:v>2.4299999999999997</c:v>
                </c:pt>
                <c:pt idx="1415">
                  <c:v>10.44</c:v>
                </c:pt>
                <c:pt idx="1416">
                  <c:v>5.95</c:v>
                </c:pt>
                <c:pt idx="1417">
                  <c:v>2.8899999999999997</c:v>
                </c:pt>
                <c:pt idx="1418">
                  <c:v>2.5499999999999998</c:v>
                </c:pt>
                <c:pt idx="1419">
                  <c:v>3.38</c:v>
                </c:pt>
                <c:pt idx="1420">
                  <c:v>5.26</c:v>
                </c:pt>
                <c:pt idx="1421">
                  <c:v>7.58</c:v>
                </c:pt>
                <c:pt idx="1422">
                  <c:v>1.41</c:v>
                </c:pt>
                <c:pt idx="1423">
                  <c:v>2.48</c:v>
                </c:pt>
                <c:pt idx="1424">
                  <c:v>3.4899999999999998</c:v>
                </c:pt>
                <c:pt idx="1425">
                  <c:v>1.97</c:v>
                </c:pt>
                <c:pt idx="1426">
                  <c:v>1.1299999999999997</c:v>
                </c:pt>
                <c:pt idx="1427">
                  <c:v>1.22</c:v>
                </c:pt>
                <c:pt idx="1428">
                  <c:v>1.1800000000000002</c:v>
                </c:pt>
                <c:pt idx="1429">
                  <c:v>1.8</c:v>
                </c:pt>
                <c:pt idx="1430">
                  <c:v>0.73000000000000009</c:v>
                </c:pt>
                <c:pt idx="1431">
                  <c:v>3.4499999999999997</c:v>
                </c:pt>
                <c:pt idx="1432">
                  <c:v>2.0299999999999998</c:v>
                </c:pt>
                <c:pt idx="1433">
                  <c:v>2.1</c:v>
                </c:pt>
                <c:pt idx="1434">
                  <c:v>1.7100000000000002</c:v>
                </c:pt>
                <c:pt idx="1435">
                  <c:v>1.9</c:v>
                </c:pt>
                <c:pt idx="1436">
                  <c:v>1.24</c:v>
                </c:pt>
                <c:pt idx="1437">
                  <c:v>1.1800000000000002</c:v>
                </c:pt>
                <c:pt idx="1438">
                  <c:v>1.7100000000000002</c:v>
                </c:pt>
                <c:pt idx="1439">
                  <c:v>1.54</c:v>
                </c:pt>
                <c:pt idx="1440">
                  <c:v>2.8899999999999997</c:v>
                </c:pt>
                <c:pt idx="1441">
                  <c:v>2.61</c:v>
                </c:pt>
                <c:pt idx="1442">
                  <c:v>2.3499999999999996</c:v>
                </c:pt>
                <c:pt idx="1443">
                  <c:v>9.0500000000000007</c:v>
                </c:pt>
                <c:pt idx="1444">
                  <c:v>4.37</c:v>
                </c:pt>
                <c:pt idx="1445">
                  <c:v>2.67</c:v>
                </c:pt>
                <c:pt idx="1446">
                  <c:v>2.25</c:v>
                </c:pt>
                <c:pt idx="1447">
                  <c:v>1.7300000000000002</c:v>
                </c:pt>
                <c:pt idx="1448">
                  <c:v>4.3</c:v>
                </c:pt>
                <c:pt idx="1449">
                  <c:v>1.37</c:v>
                </c:pt>
                <c:pt idx="1450">
                  <c:v>2.29</c:v>
                </c:pt>
                <c:pt idx="1451">
                  <c:v>2.1</c:v>
                </c:pt>
                <c:pt idx="1452">
                  <c:v>1.5</c:v>
                </c:pt>
                <c:pt idx="1453">
                  <c:v>1.1299999999999997</c:v>
                </c:pt>
                <c:pt idx="1454">
                  <c:v>2.5099999999999998</c:v>
                </c:pt>
                <c:pt idx="1455">
                  <c:v>3.4499999999999997</c:v>
                </c:pt>
                <c:pt idx="1456">
                  <c:v>4.63</c:v>
                </c:pt>
                <c:pt idx="1457">
                  <c:v>6.56</c:v>
                </c:pt>
                <c:pt idx="1458">
                  <c:v>5.25</c:v>
                </c:pt>
                <c:pt idx="1459">
                  <c:v>3.98</c:v>
                </c:pt>
                <c:pt idx="1460">
                  <c:v>1.6600000000000001</c:v>
                </c:pt>
                <c:pt idx="1461">
                  <c:v>2.02</c:v>
                </c:pt>
                <c:pt idx="1462">
                  <c:v>5.9</c:v>
                </c:pt>
                <c:pt idx="1463">
                  <c:v>4.84</c:v>
                </c:pt>
                <c:pt idx="1464">
                  <c:v>3.13</c:v>
                </c:pt>
                <c:pt idx="1465">
                  <c:v>1.61</c:v>
                </c:pt>
                <c:pt idx="1466">
                  <c:v>2.0699999999999998</c:v>
                </c:pt>
                <c:pt idx="1467">
                  <c:v>7.81</c:v>
                </c:pt>
                <c:pt idx="1468">
                  <c:v>5.95</c:v>
                </c:pt>
                <c:pt idx="1469">
                  <c:v>6.1199999999999992</c:v>
                </c:pt>
                <c:pt idx="1470">
                  <c:v>2.8</c:v>
                </c:pt>
                <c:pt idx="1471">
                  <c:v>0.15000000000000002</c:v>
                </c:pt>
                <c:pt idx="1472">
                  <c:v>0.15000000000000002</c:v>
                </c:pt>
                <c:pt idx="1473">
                  <c:v>5.000000000000001E-2</c:v>
                </c:pt>
                <c:pt idx="1474">
                  <c:v>0.15000000000000002</c:v>
                </c:pt>
                <c:pt idx="1475">
                  <c:v>0.29000000000000004</c:v>
                </c:pt>
                <c:pt idx="1476">
                  <c:v>5.64</c:v>
                </c:pt>
                <c:pt idx="1477">
                  <c:v>1.1599999999999997</c:v>
                </c:pt>
                <c:pt idx="1478">
                  <c:v>4.21</c:v>
                </c:pt>
                <c:pt idx="1479">
                  <c:v>8.01</c:v>
                </c:pt>
                <c:pt idx="1480">
                  <c:v>4.45</c:v>
                </c:pt>
                <c:pt idx="1481">
                  <c:v>2.15</c:v>
                </c:pt>
                <c:pt idx="1482">
                  <c:v>0.12000000000000001</c:v>
                </c:pt>
                <c:pt idx="1483">
                  <c:v>7.0000000000000021E-2</c:v>
                </c:pt>
                <c:pt idx="1484">
                  <c:v>3.44</c:v>
                </c:pt>
                <c:pt idx="1485">
                  <c:v>2.3699999999999997</c:v>
                </c:pt>
                <c:pt idx="1486">
                  <c:v>3.44</c:v>
                </c:pt>
                <c:pt idx="1487">
                  <c:v>6.51</c:v>
                </c:pt>
                <c:pt idx="1488">
                  <c:v>9.120000000000001</c:v>
                </c:pt>
                <c:pt idx="1489">
                  <c:v>1.7800000000000002</c:v>
                </c:pt>
                <c:pt idx="1490">
                  <c:v>2.9899999999999998</c:v>
                </c:pt>
                <c:pt idx="1491">
                  <c:v>3.13</c:v>
                </c:pt>
                <c:pt idx="1492">
                  <c:v>1.7400000000000002</c:v>
                </c:pt>
                <c:pt idx="1493">
                  <c:v>1.35</c:v>
                </c:pt>
                <c:pt idx="1494">
                  <c:v>1.1299999999999997</c:v>
                </c:pt>
                <c:pt idx="1495">
                  <c:v>1.3</c:v>
                </c:pt>
                <c:pt idx="1496">
                  <c:v>1.81</c:v>
                </c:pt>
                <c:pt idx="1497">
                  <c:v>0.99</c:v>
                </c:pt>
                <c:pt idx="1498">
                  <c:v>3.3299999999999996</c:v>
                </c:pt>
                <c:pt idx="1499">
                  <c:v>1.93</c:v>
                </c:pt>
                <c:pt idx="1500">
                  <c:v>2.0499999999999998</c:v>
                </c:pt>
                <c:pt idx="1501">
                  <c:v>2.02</c:v>
                </c:pt>
                <c:pt idx="1502">
                  <c:v>1.6400000000000001</c:v>
                </c:pt>
                <c:pt idx="1503">
                  <c:v>1.45</c:v>
                </c:pt>
                <c:pt idx="1504">
                  <c:v>1.42</c:v>
                </c:pt>
                <c:pt idx="1505">
                  <c:v>1.1299999999999997</c:v>
                </c:pt>
                <c:pt idx="1506">
                  <c:v>0.46</c:v>
                </c:pt>
                <c:pt idx="1507">
                  <c:v>3.13</c:v>
                </c:pt>
                <c:pt idx="1508">
                  <c:v>2.9299999999999997</c:v>
                </c:pt>
                <c:pt idx="1509">
                  <c:v>2.69</c:v>
                </c:pt>
                <c:pt idx="1510">
                  <c:v>8.83</c:v>
                </c:pt>
                <c:pt idx="1511">
                  <c:v>4.8</c:v>
                </c:pt>
                <c:pt idx="1512">
                  <c:v>2.9</c:v>
                </c:pt>
                <c:pt idx="1513">
                  <c:v>2.4499999999999997</c:v>
                </c:pt>
                <c:pt idx="1514">
                  <c:v>1.92</c:v>
                </c:pt>
                <c:pt idx="1515">
                  <c:v>4.92</c:v>
                </c:pt>
                <c:pt idx="1516">
                  <c:v>1.51</c:v>
                </c:pt>
                <c:pt idx="1517">
                  <c:v>2.3299999999999996</c:v>
                </c:pt>
                <c:pt idx="1518">
                  <c:v>1.7300000000000002</c:v>
                </c:pt>
                <c:pt idx="1519">
                  <c:v>0.19000000000000003</c:v>
                </c:pt>
                <c:pt idx="1520">
                  <c:v>10.6</c:v>
                </c:pt>
                <c:pt idx="1521">
                  <c:v>8.8000000000000007</c:v>
                </c:pt>
                <c:pt idx="1522">
                  <c:v>8.39</c:v>
                </c:pt>
                <c:pt idx="1523">
                  <c:v>14.99</c:v>
                </c:pt>
                <c:pt idx="1524">
                  <c:v>16.22</c:v>
                </c:pt>
                <c:pt idx="1525">
                  <c:v>8.84</c:v>
                </c:pt>
                <c:pt idx="1526">
                  <c:v>7.1599999999999993</c:v>
                </c:pt>
                <c:pt idx="1527">
                  <c:v>10.29</c:v>
                </c:pt>
                <c:pt idx="1528">
                  <c:v>15.450000000000001</c:v>
                </c:pt>
                <c:pt idx="1529">
                  <c:v>8.15</c:v>
                </c:pt>
                <c:pt idx="1530">
                  <c:v>2.58</c:v>
                </c:pt>
                <c:pt idx="1531">
                  <c:v>10.33</c:v>
                </c:pt>
                <c:pt idx="1532">
                  <c:v>37.39</c:v>
                </c:pt>
                <c:pt idx="1533">
                  <c:v>12.2</c:v>
                </c:pt>
                <c:pt idx="1534">
                  <c:v>6.87</c:v>
                </c:pt>
                <c:pt idx="1535">
                  <c:v>5.25</c:v>
                </c:pt>
                <c:pt idx="1536">
                  <c:v>8.8800000000000008</c:v>
                </c:pt>
                <c:pt idx="1537">
                  <c:v>13.75</c:v>
                </c:pt>
                <c:pt idx="1538">
                  <c:v>18.920000000000002</c:v>
                </c:pt>
                <c:pt idx="1539">
                  <c:v>7.67</c:v>
                </c:pt>
                <c:pt idx="1540">
                  <c:v>7.8199999999999994</c:v>
                </c:pt>
                <c:pt idx="1541">
                  <c:v>7.94</c:v>
                </c:pt>
                <c:pt idx="1542">
                  <c:v>0.70000000000000007</c:v>
                </c:pt>
                <c:pt idx="1543">
                  <c:v>1.49</c:v>
                </c:pt>
                <c:pt idx="1544">
                  <c:v>2.02</c:v>
                </c:pt>
                <c:pt idx="1545">
                  <c:v>2.72</c:v>
                </c:pt>
                <c:pt idx="1546">
                  <c:v>1.83</c:v>
                </c:pt>
                <c:pt idx="1547">
                  <c:v>4.58</c:v>
                </c:pt>
                <c:pt idx="1548">
                  <c:v>4.84</c:v>
                </c:pt>
                <c:pt idx="1549">
                  <c:v>3.01</c:v>
                </c:pt>
                <c:pt idx="1550">
                  <c:v>3.16</c:v>
                </c:pt>
                <c:pt idx="1551">
                  <c:v>3.13</c:v>
                </c:pt>
                <c:pt idx="1552">
                  <c:v>1.54</c:v>
                </c:pt>
                <c:pt idx="1553">
                  <c:v>0.48000000000000004</c:v>
                </c:pt>
                <c:pt idx="1554">
                  <c:v>0.60000000000000009</c:v>
                </c:pt>
                <c:pt idx="1555">
                  <c:v>4.8199999999999994</c:v>
                </c:pt>
                <c:pt idx="1556">
                  <c:v>7.4300000000000006</c:v>
                </c:pt>
                <c:pt idx="1557">
                  <c:v>4.3099999999999996</c:v>
                </c:pt>
                <c:pt idx="1558">
                  <c:v>0.12000000000000001</c:v>
                </c:pt>
                <c:pt idx="1559">
                  <c:v>1.49</c:v>
                </c:pt>
                <c:pt idx="1560">
                  <c:v>1.7400000000000002</c:v>
                </c:pt>
                <c:pt idx="1561">
                  <c:v>3.42</c:v>
                </c:pt>
                <c:pt idx="1562">
                  <c:v>3.05</c:v>
                </c:pt>
                <c:pt idx="1563">
                  <c:v>4.5599999999999996</c:v>
                </c:pt>
                <c:pt idx="1564">
                  <c:v>6.08</c:v>
                </c:pt>
                <c:pt idx="1565">
                  <c:v>9.4500000000000011</c:v>
                </c:pt>
                <c:pt idx="1566">
                  <c:v>2.23</c:v>
                </c:pt>
                <c:pt idx="1567">
                  <c:v>3.6</c:v>
                </c:pt>
                <c:pt idx="1568">
                  <c:v>3.72</c:v>
                </c:pt>
                <c:pt idx="1569">
                  <c:v>1.84</c:v>
                </c:pt>
                <c:pt idx="1570">
                  <c:v>1.6900000000000002</c:v>
                </c:pt>
                <c:pt idx="1571">
                  <c:v>1.49</c:v>
                </c:pt>
                <c:pt idx="1572">
                  <c:v>1.7400000000000002</c:v>
                </c:pt>
                <c:pt idx="1573">
                  <c:v>2.5499999999999998</c:v>
                </c:pt>
                <c:pt idx="1574">
                  <c:v>1.02</c:v>
                </c:pt>
                <c:pt idx="1575">
                  <c:v>2.5499999999999998</c:v>
                </c:pt>
                <c:pt idx="1576">
                  <c:v>2.2599999999999998</c:v>
                </c:pt>
                <c:pt idx="1577">
                  <c:v>2.5499999999999998</c:v>
                </c:pt>
                <c:pt idx="1578">
                  <c:v>2.16</c:v>
                </c:pt>
                <c:pt idx="1579">
                  <c:v>2.11</c:v>
                </c:pt>
                <c:pt idx="1580">
                  <c:v>1.91</c:v>
                </c:pt>
                <c:pt idx="1581">
                  <c:v>1.59</c:v>
                </c:pt>
                <c:pt idx="1582">
                  <c:v>0.7400000000000001</c:v>
                </c:pt>
                <c:pt idx="1583">
                  <c:v>3.62</c:v>
                </c:pt>
                <c:pt idx="1584">
                  <c:v>3.72</c:v>
                </c:pt>
                <c:pt idx="1585">
                  <c:v>2.74</c:v>
                </c:pt>
                <c:pt idx="1586">
                  <c:v>9.68</c:v>
                </c:pt>
                <c:pt idx="1587">
                  <c:v>4.9000000000000004</c:v>
                </c:pt>
                <c:pt idx="1588">
                  <c:v>3.23</c:v>
                </c:pt>
                <c:pt idx="1589">
                  <c:v>3.04</c:v>
                </c:pt>
                <c:pt idx="1590">
                  <c:v>7.72</c:v>
                </c:pt>
                <c:pt idx="1591">
                  <c:v>5.0999999999999996</c:v>
                </c:pt>
                <c:pt idx="1592">
                  <c:v>1.6700000000000002</c:v>
                </c:pt>
                <c:pt idx="1593">
                  <c:v>2.52</c:v>
                </c:pt>
                <c:pt idx="1594">
                  <c:v>2.65</c:v>
                </c:pt>
                <c:pt idx="1595">
                  <c:v>1.1800000000000002</c:v>
                </c:pt>
                <c:pt idx="1596">
                  <c:v>0.2</c:v>
                </c:pt>
                <c:pt idx="1597">
                  <c:v>0.44000000000000006</c:v>
                </c:pt>
                <c:pt idx="1598">
                  <c:v>4.53</c:v>
                </c:pt>
                <c:pt idx="1599">
                  <c:v>6.6599999999999993</c:v>
                </c:pt>
                <c:pt idx="1600">
                  <c:v>5.22</c:v>
                </c:pt>
                <c:pt idx="1601">
                  <c:v>4.04</c:v>
                </c:pt>
                <c:pt idx="1602">
                  <c:v>1.6700000000000002</c:v>
                </c:pt>
                <c:pt idx="1603">
                  <c:v>2.06</c:v>
                </c:pt>
                <c:pt idx="1604">
                  <c:v>5.9</c:v>
                </c:pt>
                <c:pt idx="1605">
                  <c:v>4.7</c:v>
                </c:pt>
                <c:pt idx="1606">
                  <c:v>3.11</c:v>
                </c:pt>
                <c:pt idx="1607">
                  <c:v>1.8900000000000001</c:v>
                </c:pt>
                <c:pt idx="1608">
                  <c:v>1.7400000000000002</c:v>
                </c:pt>
                <c:pt idx="1609">
                  <c:v>7.67</c:v>
                </c:pt>
                <c:pt idx="1610">
                  <c:v>6.35</c:v>
                </c:pt>
                <c:pt idx="1611">
                  <c:v>0.29000000000000004</c:v>
                </c:pt>
                <c:pt idx="1612">
                  <c:v>0.17</c:v>
                </c:pt>
                <c:pt idx="1613">
                  <c:v>1.36</c:v>
                </c:pt>
                <c:pt idx="1614">
                  <c:v>1.4</c:v>
                </c:pt>
                <c:pt idx="1615">
                  <c:v>1.45</c:v>
                </c:pt>
                <c:pt idx="1616">
                  <c:v>7.1599999999999993</c:v>
                </c:pt>
                <c:pt idx="1617">
                  <c:v>6.29</c:v>
                </c:pt>
                <c:pt idx="1618">
                  <c:v>10.48</c:v>
                </c:pt>
                <c:pt idx="1619">
                  <c:v>11.83</c:v>
                </c:pt>
                <c:pt idx="1620">
                  <c:v>8.57</c:v>
                </c:pt>
                <c:pt idx="1621">
                  <c:v>10.62</c:v>
                </c:pt>
                <c:pt idx="1622">
                  <c:v>7.6199999999999992</c:v>
                </c:pt>
                <c:pt idx="1623">
                  <c:v>6.34</c:v>
                </c:pt>
                <c:pt idx="1624">
                  <c:v>5.95</c:v>
                </c:pt>
                <c:pt idx="1625">
                  <c:v>5.9300000000000006</c:v>
                </c:pt>
                <c:pt idx="1626">
                  <c:v>16.649999999999999</c:v>
                </c:pt>
                <c:pt idx="1627">
                  <c:v>8.7100000000000009</c:v>
                </c:pt>
                <c:pt idx="1628">
                  <c:v>10.210000000000001</c:v>
                </c:pt>
                <c:pt idx="1629">
                  <c:v>8.4500000000000011</c:v>
                </c:pt>
                <c:pt idx="1630">
                  <c:v>7.28</c:v>
                </c:pt>
                <c:pt idx="1631">
                  <c:v>1.96</c:v>
                </c:pt>
                <c:pt idx="1632">
                  <c:v>0.70000000000000007</c:v>
                </c:pt>
                <c:pt idx="1633">
                  <c:v>1.0900000000000001</c:v>
                </c:pt>
                <c:pt idx="1634">
                  <c:v>10.58</c:v>
                </c:pt>
                <c:pt idx="1635">
                  <c:v>9.3700000000000028</c:v>
                </c:pt>
                <c:pt idx="1636">
                  <c:v>8.3700000000000028</c:v>
                </c:pt>
                <c:pt idx="1637">
                  <c:v>15.27</c:v>
                </c:pt>
                <c:pt idx="1638">
                  <c:v>16.260000000000002</c:v>
                </c:pt>
                <c:pt idx="1639">
                  <c:v>9.0500000000000007</c:v>
                </c:pt>
                <c:pt idx="1640">
                  <c:v>7.26</c:v>
                </c:pt>
                <c:pt idx="1641">
                  <c:v>10.7</c:v>
                </c:pt>
                <c:pt idx="1642">
                  <c:v>15.29</c:v>
                </c:pt>
                <c:pt idx="1643">
                  <c:v>10.48</c:v>
                </c:pt>
                <c:pt idx="1644">
                  <c:v>1.7400000000000002</c:v>
                </c:pt>
                <c:pt idx="1645">
                  <c:v>10.06</c:v>
                </c:pt>
                <c:pt idx="1646">
                  <c:v>36.1</c:v>
                </c:pt>
                <c:pt idx="1647">
                  <c:v>12.39</c:v>
                </c:pt>
                <c:pt idx="1648">
                  <c:v>7.07</c:v>
                </c:pt>
                <c:pt idx="1649">
                  <c:v>4.9700000000000006</c:v>
                </c:pt>
                <c:pt idx="1650">
                  <c:v>9.11</c:v>
                </c:pt>
                <c:pt idx="1651">
                  <c:v>13.47</c:v>
                </c:pt>
                <c:pt idx="1652">
                  <c:v>20.07</c:v>
                </c:pt>
                <c:pt idx="1653">
                  <c:v>7.4</c:v>
                </c:pt>
                <c:pt idx="1654">
                  <c:v>7.83</c:v>
                </c:pt>
                <c:pt idx="1655">
                  <c:v>7.83</c:v>
                </c:pt>
                <c:pt idx="1656">
                  <c:v>1.61</c:v>
                </c:pt>
                <c:pt idx="1657">
                  <c:v>0.7400000000000001</c:v>
                </c:pt>
              </c:numCache>
            </c:numRef>
          </c:xVal>
          <c:yVal>
            <c:numRef>
              <c:f>'all_2007-15 NTU+TSS no blanks'!$M$2:$M$1659</c:f>
              <c:numCache>
                <c:formatCode>General</c:formatCode>
                <c:ptCount val="1658"/>
                <c:pt idx="0">
                  <c:v>1.83</c:v>
                </c:pt>
                <c:pt idx="1">
                  <c:v>1.1000000000000001</c:v>
                </c:pt>
                <c:pt idx="2">
                  <c:v>1.7700000000000002</c:v>
                </c:pt>
                <c:pt idx="3">
                  <c:v>1.8800000000000001</c:v>
                </c:pt>
                <c:pt idx="4">
                  <c:v>3.8</c:v>
                </c:pt>
                <c:pt idx="5">
                  <c:v>1.45</c:v>
                </c:pt>
                <c:pt idx="6">
                  <c:v>6.51</c:v>
                </c:pt>
                <c:pt idx="7">
                  <c:v>1.7900000000000003</c:v>
                </c:pt>
                <c:pt idx="8">
                  <c:v>5.2</c:v>
                </c:pt>
                <c:pt idx="9">
                  <c:v>6.7</c:v>
                </c:pt>
                <c:pt idx="10">
                  <c:v>9.0500000000000007</c:v>
                </c:pt>
                <c:pt idx="11">
                  <c:v>3.66</c:v>
                </c:pt>
                <c:pt idx="12">
                  <c:v>1.01</c:v>
                </c:pt>
                <c:pt idx="13">
                  <c:v>2.74</c:v>
                </c:pt>
                <c:pt idx="14">
                  <c:v>5.45</c:v>
                </c:pt>
                <c:pt idx="15">
                  <c:v>3.53</c:v>
                </c:pt>
                <c:pt idx="16">
                  <c:v>7.6499999999999995</c:v>
                </c:pt>
                <c:pt idx="17">
                  <c:v>4.4300000000000006</c:v>
                </c:pt>
                <c:pt idx="18">
                  <c:v>5.8199999999999994</c:v>
                </c:pt>
                <c:pt idx="19">
                  <c:v>0.9</c:v>
                </c:pt>
                <c:pt idx="20">
                  <c:v>2.74</c:v>
                </c:pt>
                <c:pt idx="21">
                  <c:v>1.7400000000000002</c:v>
                </c:pt>
                <c:pt idx="22">
                  <c:v>5.18</c:v>
                </c:pt>
                <c:pt idx="23">
                  <c:v>1.51</c:v>
                </c:pt>
                <c:pt idx="24">
                  <c:v>0.43000000000000005</c:v>
                </c:pt>
                <c:pt idx="25">
                  <c:v>0.68000000000000016</c:v>
                </c:pt>
                <c:pt idx="26">
                  <c:v>1.1399999999999997</c:v>
                </c:pt>
                <c:pt idx="27">
                  <c:v>0.9</c:v>
                </c:pt>
                <c:pt idx="28">
                  <c:v>2</c:v>
                </c:pt>
                <c:pt idx="29">
                  <c:v>4.0999999999999996</c:v>
                </c:pt>
                <c:pt idx="30">
                  <c:v>1.06</c:v>
                </c:pt>
                <c:pt idx="31">
                  <c:v>4.54</c:v>
                </c:pt>
                <c:pt idx="32">
                  <c:v>1.47</c:v>
                </c:pt>
                <c:pt idx="33">
                  <c:v>2.0699999999999998</c:v>
                </c:pt>
                <c:pt idx="34">
                  <c:v>2.4299999999999997</c:v>
                </c:pt>
                <c:pt idx="35">
                  <c:v>0.77</c:v>
                </c:pt>
                <c:pt idx="36">
                  <c:v>10.75</c:v>
                </c:pt>
                <c:pt idx="37">
                  <c:v>1.7700000000000002</c:v>
                </c:pt>
                <c:pt idx="38">
                  <c:v>1.01</c:v>
                </c:pt>
                <c:pt idx="39">
                  <c:v>0.9</c:v>
                </c:pt>
                <c:pt idx="40">
                  <c:v>0.16000000000000003</c:v>
                </c:pt>
                <c:pt idx="41">
                  <c:v>0.94000000000000006</c:v>
                </c:pt>
                <c:pt idx="42">
                  <c:v>6.54</c:v>
                </c:pt>
                <c:pt idx="43">
                  <c:v>0.68000000000000016</c:v>
                </c:pt>
                <c:pt idx="44">
                  <c:v>1.84</c:v>
                </c:pt>
                <c:pt idx="45">
                  <c:v>2.0699999999999998</c:v>
                </c:pt>
                <c:pt idx="46">
                  <c:v>0.73000000000000009</c:v>
                </c:pt>
                <c:pt idx="47">
                  <c:v>0.51</c:v>
                </c:pt>
                <c:pt idx="48">
                  <c:v>1.33</c:v>
                </c:pt>
                <c:pt idx="49">
                  <c:v>2.4299999999999997</c:v>
                </c:pt>
                <c:pt idx="50">
                  <c:v>3.32</c:v>
                </c:pt>
                <c:pt idx="51">
                  <c:v>0.85000000000000009</c:v>
                </c:pt>
                <c:pt idx="52">
                  <c:v>23.86</c:v>
                </c:pt>
                <c:pt idx="53">
                  <c:v>3.48</c:v>
                </c:pt>
                <c:pt idx="54">
                  <c:v>9.6399999999999988</c:v>
                </c:pt>
                <c:pt idx="55">
                  <c:v>1.83</c:v>
                </c:pt>
                <c:pt idx="56">
                  <c:v>0.4</c:v>
                </c:pt>
                <c:pt idx="57">
                  <c:v>0.54</c:v>
                </c:pt>
                <c:pt idx="58">
                  <c:v>5.07</c:v>
                </c:pt>
                <c:pt idx="59">
                  <c:v>0.78</c:v>
                </c:pt>
                <c:pt idx="60">
                  <c:v>1.46</c:v>
                </c:pt>
                <c:pt idx="61">
                  <c:v>3.23</c:v>
                </c:pt>
                <c:pt idx="62">
                  <c:v>1.27</c:v>
                </c:pt>
                <c:pt idx="63">
                  <c:v>1.56</c:v>
                </c:pt>
                <c:pt idx="64">
                  <c:v>0.75000000000000011</c:v>
                </c:pt>
                <c:pt idx="65">
                  <c:v>2.63</c:v>
                </c:pt>
                <c:pt idx="66">
                  <c:v>1.01</c:v>
                </c:pt>
                <c:pt idx="67">
                  <c:v>1.2</c:v>
                </c:pt>
                <c:pt idx="68">
                  <c:v>8.8700000000000028</c:v>
                </c:pt>
                <c:pt idx="69">
                  <c:v>4.74</c:v>
                </c:pt>
                <c:pt idx="70">
                  <c:v>8.129999999999999</c:v>
                </c:pt>
                <c:pt idx="71">
                  <c:v>19.22</c:v>
                </c:pt>
                <c:pt idx="72">
                  <c:v>15.3</c:v>
                </c:pt>
                <c:pt idx="73">
                  <c:v>10.139999999999999</c:v>
                </c:pt>
                <c:pt idx="74">
                  <c:v>12.76</c:v>
                </c:pt>
                <c:pt idx="75">
                  <c:v>6.68</c:v>
                </c:pt>
                <c:pt idx="76">
                  <c:v>11.94</c:v>
                </c:pt>
                <c:pt idx="77">
                  <c:v>9.42</c:v>
                </c:pt>
                <c:pt idx="78">
                  <c:v>8.51</c:v>
                </c:pt>
                <c:pt idx="79">
                  <c:v>13.81</c:v>
                </c:pt>
                <c:pt idx="80">
                  <c:v>17.309999999999999</c:v>
                </c:pt>
                <c:pt idx="81">
                  <c:v>9.58</c:v>
                </c:pt>
                <c:pt idx="82">
                  <c:v>10.729999999999999</c:v>
                </c:pt>
                <c:pt idx="83">
                  <c:v>16.670000000000005</c:v>
                </c:pt>
                <c:pt idx="84">
                  <c:v>13.729999999999999</c:v>
                </c:pt>
                <c:pt idx="85">
                  <c:v>12.2</c:v>
                </c:pt>
                <c:pt idx="86">
                  <c:v>22.4</c:v>
                </c:pt>
                <c:pt idx="87">
                  <c:v>27.52</c:v>
                </c:pt>
                <c:pt idx="88">
                  <c:v>13.61</c:v>
                </c:pt>
                <c:pt idx="89">
                  <c:v>11.18</c:v>
                </c:pt>
                <c:pt idx="90">
                  <c:v>15.98</c:v>
                </c:pt>
                <c:pt idx="91">
                  <c:v>21.479999999999997</c:v>
                </c:pt>
                <c:pt idx="92">
                  <c:v>13.04</c:v>
                </c:pt>
                <c:pt idx="93">
                  <c:v>9.129999999999999</c:v>
                </c:pt>
                <c:pt idx="94">
                  <c:v>39.33</c:v>
                </c:pt>
                <c:pt idx="95">
                  <c:v>25.95</c:v>
                </c:pt>
                <c:pt idx="96">
                  <c:v>10.61</c:v>
                </c:pt>
                <c:pt idx="97">
                  <c:v>6.8</c:v>
                </c:pt>
                <c:pt idx="98">
                  <c:v>13.239999999999998</c:v>
                </c:pt>
                <c:pt idx="99">
                  <c:v>16.649999999999999</c:v>
                </c:pt>
                <c:pt idx="100">
                  <c:v>34.06</c:v>
                </c:pt>
                <c:pt idx="101">
                  <c:v>11.229999999999999</c:v>
                </c:pt>
                <c:pt idx="102">
                  <c:v>11.229999999999999</c:v>
                </c:pt>
                <c:pt idx="103">
                  <c:v>11.91</c:v>
                </c:pt>
                <c:pt idx="104">
                  <c:v>11.91</c:v>
                </c:pt>
                <c:pt idx="105">
                  <c:v>10.729999999999999</c:v>
                </c:pt>
                <c:pt idx="106">
                  <c:v>10.729999999999999</c:v>
                </c:pt>
                <c:pt idx="107">
                  <c:v>3.6</c:v>
                </c:pt>
                <c:pt idx="108">
                  <c:v>1.1800000000000002</c:v>
                </c:pt>
                <c:pt idx="109">
                  <c:v>1.7000000000000002</c:v>
                </c:pt>
                <c:pt idx="110">
                  <c:v>2.36</c:v>
                </c:pt>
                <c:pt idx="111">
                  <c:v>4.4700000000000006</c:v>
                </c:pt>
                <c:pt idx="112">
                  <c:v>4.6599999999999993</c:v>
                </c:pt>
                <c:pt idx="113">
                  <c:v>3.12</c:v>
                </c:pt>
                <c:pt idx="114">
                  <c:v>4.4800000000000004</c:v>
                </c:pt>
                <c:pt idx="115">
                  <c:v>5.0199999999999996</c:v>
                </c:pt>
                <c:pt idx="116">
                  <c:v>2.58</c:v>
                </c:pt>
                <c:pt idx="117">
                  <c:v>2.71</c:v>
                </c:pt>
                <c:pt idx="118">
                  <c:v>3.82</c:v>
                </c:pt>
                <c:pt idx="119">
                  <c:v>3.63</c:v>
                </c:pt>
                <c:pt idx="120">
                  <c:v>7.46</c:v>
                </c:pt>
                <c:pt idx="121">
                  <c:v>5.76</c:v>
                </c:pt>
                <c:pt idx="122">
                  <c:v>3.77</c:v>
                </c:pt>
                <c:pt idx="123">
                  <c:v>5.58</c:v>
                </c:pt>
                <c:pt idx="124">
                  <c:v>6.24</c:v>
                </c:pt>
                <c:pt idx="125">
                  <c:v>5.45</c:v>
                </c:pt>
                <c:pt idx="126">
                  <c:v>3.53</c:v>
                </c:pt>
                <c:pt idx="127">
                  <c:v>7.6499999999999995</c:v>
                </c:pt>
                <c:pt idx="128">
                  <c:v>4.4300000000000006</c:v>
                </c:pt>
                <c:pt idx="129">
                  <c:v>5.8199999999999994</c:v>
                </c:pt>
                <c:pt idx="130">
                  <c:v>4.2</c:v>
                </c:pt>
                <c:pt idx="131">
                  <c:v>3.17</c:v>
                </c:pt>
                <c:pt idx="132">
                  <c:v>4.7300000000000004</c:v>
                </c:pt>
                <c:pt idx="133">
                  <c:v>2.69</c:v>
                </c:pt>
                <c:pt idx="134">
                  <c:v>2.2000000000000002</c:v>
                </c:pt>
                <c:pt idx="135">
                  <c:v>1.98</c:v>
                </c:pt>
                <c:pt idx="136">
                  <c:v>1.97</c:v>
                </c:pt>
                <c:pt idx="137">
                  <c:v>2.14</c:v>
                </c:pt>
                <c:pt idx="138">
                  <c:v>1.54</c:v>
                </c:pt>
                <c:pt idx="139">
                  <c:v>2.25</c:v>
                </c:pt>
                <c:pt idx="140">
                  <c:v>3.16</c:v>
                </c:pt>
                <c:pt idx="141">
                  <c:v>3.86</c:v>
                </c:pt>
                <c:pt idx="142">
                  <c:v>3.05</c:v>
                </c:pt>
                <c:pt idx="143">
                  <c:v>2.96</c:v>
                </c:pt>
                <c:pt idx="144">
                  <c:v>2.0299999999999998</c:v>
                </c:pt>
                <c:pt idx="145">
                  <c:v>2.17</c:v>
                </c:pt>
                <c:pt idx="146">
                  <c:v>0.51</c:v>
                </c:pt>
                <c:pt idx="147">
                  <c:v>0.38000000000000006</c:v>
                </c:pt>
                <c:pt idx="148">
                  <c:v>4.0599999999999996</c:v>
                </c:pt>
                <c:pt idx="149">
                  <c:v>0.53</c:v>
                </c:pt>
                <c:pt idx="150">
                  <c:v>0.56999999999999995</c:v>
                </c:pt>
                <c:pt idx="151">
                  <c:v>0.29000000000000004</c:v>
                </c:pt>
                <c:pt idx="152">
                  <c:v>0.23</c:v>
                </c:pt>
                <c:pt idx="153">
                  <c:v>5.18</c:v>
                </c:pt>
                <c:pt idx="154">
                  <c:v>11.34</c:v>
                </c:pt>
                <c:pt idx="155">
                  <c:v>7.48</c:v>
                </c:pt>
                <c:pt idx="156">
                  <c:v>6.07</c:v>
                </c:pt>
                <c:pt idx="157">
                  <c:v>2.25</c:v>
                </c:pt>
                <c:pt idx="158">
                  <c:v>2.3299999999999996</c:v>
                </c:pt>
                <c:pt idx="159">
                  <c:v>6.52</c:v>
                </c:pt>
                <c:pt idx="160">
                  <c:v>6.4300000000000006</c:v>
                </c:pt>
                <c:pt idx="161">
                  <c:v>5.73</c:v>
                </c:pt>
                <c:pt idx="162">
                  <c:v>1.8</c:v>
                </c:pt>
                <c:pt idx="163">
                  <c:v>1.46</c:v>
                </c:pt>
                <c:pt idx="164">
                  <c:v>4.55</c:v>
                </c:pt>
                <c:pt idx="165">
                  <c:v>6.67</c:v>
                </c:pt>
                <c:pt idx="166">
                  <c:v>1.51</c:v>
                </c:pt>
                <c:pt idx="167">
                  <c:v>0.43000000000000005</c:v>
                </c:pt>
                <c:pt idx="168">
                  <c:v>0.95000000000000007</c:v>
                </c:pt>
                <c:pt idx="169">
                  <c:v>0.97</c:v>
                </c:pt>
                <c:pt idx="170">
                  <c:v>0.95000000000000007</c:v>
                </c:pt>
                <c:pt idx="171">
                  <c:v>6.51</c:v>
                </c:pt>
                <c:pt idx="172">
                  <c:v>1.7900000000000003</c:v>
                </c:pt>
                <c:pt idx="173">
                  <c:v>5.2</c:v>
                </c:pt>
                <c:pt idx="174">
                  <c:v>6.7</c:v>
                </c:pt>
                <c:pt idx="175">
                  <c:v>9.0500000000000007</c:v>
                </c:pt>
                <c:pt idx="176">
                  <c:v>3.66</c:v>
                </c:pt>
                <c:pt idx="177">
                  <c:v>5.45</c:v>
                </c:pt>
                <c:pt idx="178">
                  <c:v>3.53</c:v>
                </c:pt>
                <c:pt idx="179">
                  <c:v>7.6499999999999995</c:v>
                </c:pt>
                <c:pt idx="180">
                  <c:v>4.4300000000000006</c:v>
                </c:pt>
                <c:pt idx="181">
                  <c:v>5.8199999999999994</c:v>
                </c:pt>
                <c:pt idx="182">
                  <c:v>4.2</c:v>
                </c:pt>
                <c:pt idx="183">
                  <c:v>3.17</c:v>
                </c:pt>
                <c:pt idx="184">
                  <c:v>4.7300000000000004</c:v>
                </c:pt>
                <c:pt idx="185">
                  <c:v>2.69</c:v>
                </c:pt>
                <c:pt idx="186">
                  <c:v>2.2000000000000002</c:v>
                </c:pt>
                <c:pt idx="187">
                  <c:v>1.98</c:v>
                </c:pt>
                <c:pt idx="188">
                  <c:v>1.97</c:v>
                </c:pt>
                <c:pt idx="189">
                  <c:v>2.14</c:v>
                </c:pt>
                <c:pt idx="190">
                  <c:v>1.54</c:v>
                </c:pt>
                <c:pt idx="191">
                  <c:v>2.25</c:v>
                </c:pt>
                <c:pt idx="192">
                  <c:v>3.16</c:v>
                </c:pt>
                <c:pt idx="193">
                  <c:v>3.86</c:v>
                </c:pt>
                <c:pt idx="194">
                  <c:v>3.05</c:v>
                </c:pt>
                <c:pt idx="195">
                  <c:v>2.96</c:v>
                </c:pt>
                <c:pt idx="196">
                  <c:v>2.0299999999999998</c:v>
                </c:pt>
                <c:pt idx="197">
                  <c:v>2.17</c:v>
                </c:pt>
                <c:pt idx="198">
                  <c:v>8.8700000000000028</c:v>
                </c:pt>
                <c:pt idx="199">
                  <c:v>4.74</c:v>
                </c:pt>
                <c:pt idx="200">
                  <c:v>8.129999999999999</c:v>
                </c:pt>
                <c:pt idx="201">
                  <c:v>19.22</c:v>
                </c:pt>
                <c:pt idx="202">
                  <c:v>15.3</c:v>
                </c:pt>
                <c:pt idx="203">
                  <c:v>10.139999999999999</c:v>
                </c:pt>
                <c:pt idx="204">
                  <c:v>12.76</c:v>
                </c:pt>
                <c:pt idx="205">
                  <c:v>6.68</c:v>
                </c:pt>
                <c:pt idx="206">
                  <c:v>11.94</c:v>
                </c:pt>
                <c:pt idx="207">
                  <c:v>9.42</c:v>
                </c:pt>
                <c:pt idx="208">
                  <c:v>8.51</c:v>
                </c:pt>
                <c:pt idx="209">
                  <c:v>13.81</c:v>
                </c:pt>
                <c:pt idx="210">
                  <c:v>17.309999999999999</c:v>
                </c:pt>
                <c:pt idx="211">
                  <c:v>9.58</c:v>
                </c:pt>
                <c:pt idx="212">
                  <c:v>10.729999999999999</c:v>
                </c:pt>
                <c:pt idx="213">
                  <c:v>1.01</c:v>
                </c:pt>
                <c:pt idx="214">
                  <c:v>0.5</c:v>
                </c:pt>
                <c:pt idx="215">
                  <c:v>0.51</c:v>
                </c:pt>
                <c:pt idx="216">
                  <c:v>16.670000000000005</c:v>
                </c:pt>
                <c:pt idx="217">
                  <c:v>13.729999999999999</c:v>
                </c:pt>
                <c:pt idx="218">
                  <c:v>12.2</c:v>
                </c:pt>
                <c:pt idx="219">
                  <c:v>22.4</c:v>
                </c:pt>
                <c:pt idx="220">
                  <c:v>27.52</c:v>
                </c:pt>
                <c:pt idx="221">
                  <c:v>13.61</c:v>
                </c:pt>
                <c:pt idx="222">
                  <c:v>11.18</c:v>
                </c:pt>
                <c:pt idx="223">
                  <c:v>15.98</c:v>
                </c:pt>
                <c:pt idx="224">
                  <c:v>21.479999999999997</c:v>
                </c:pt>
                <c:pt idx="225">
                  <c:v>13.04</c:v>
                </c:pt>
                <c:pt idx="226">
                  <c:v>0.67000000000000015</c:v>
                </c:pt>
                <c:pt idx="227">
                  <c:v>1.6</c:v>
                </c:pt>
                <c:pt idx="228">
                  <c:v>1.04</c:v>
                </c:pt>
                <c:pt idx="229">
                  <c:v>0.65000000000000013</c:v>
                </c:pt>
                <c:pt idx="230">
                  <c:v>0.16000000000000003</c:v>
                </c:pt>
                <c:pt idx="231">
                  <c:v>0.96000000000000008</c:v>
                </c:pt>
                <c:pt idx="232">
                  <c:v>0.43000000000000005</c:v>
                </c:pt>
                <c:pt idx="233">
                  <c:v>4.4700000000000006</c:v>
                </c:pt>
                <c:pt idx="234">
                  <c:v>4.6599999999999993</c:v>
                </c:pt>
                <c:pt idx="235">
                  <c:v>3.12</c:v>
                </c:pt>
                <c:pt idx="236">
                  <c:v>4.4800000000000004</c:v>
                </c:pt>
                <c:pt idx="237">
                  <c:v>5.0199999999999996</c:v>
                </c:pt>
                <c:pt idx="238">
                  <c:v>0.21000000000000002</c:v>
                </c:pt>
                <c:pt idx="239">
                  <c:v>4.28</c:v>
                </c:pt>
                <c:pt idx="240">
                  <c:v>5.45</c:v>
                </c:pt>
                <c:pt idx="241">
                  <c:v>3.53</c:v>
                </c:pt>
                <c:pt idx="242">
                  <c:v>7.6499999999999995</c:v>
                </c:pt>
                <c:pt idx="243">
                  <c:v>4.4300000000000006</c:v>
                </c:pt>
                <c:pt idx="244">
                  <c:v>5.8199999999999994</c:v>
                </c:pt>
                <c:pt idx="245">
                  <c:v>4.2</c:v>
                </c:pt>
                <c:pt idx="246">
                  <c:v>3.17</c:v>
                </c:pt>
                <c:pt idx="247">
                  <c:v>4.7300000000000004</c:v>
                </c:pt>
                <c:pt idx="248">
                  <c:v>2.69</c:v>
                </c:pt>
                <c:pt idx="249">
                  <c:v>2.2000000000000002</c:v>
                </c:pt>
                <c:pt idx="250">
                  <c:v>1.98</c:v>
                </c:pt>
                <c:pt idx="251">
                  <c:v>1.97</c:v>
                </c:pt>
                <c:pt idx="252">
                  <c:v>2.14</c:v>
                </c:pt>
                <c:pt idx="253">
                  <c:v>1.54</c:v>
                </c:pt>
                <c:pt idx="254">
                  <c:v>2.25</c:v>
                </c:pt>
                <c:pt idx="255">
                  <c:v>3.16</c:v>
                </c:pt>
                <c:pt idx="256">
                  <c:v>3.86</c:v>
                </c:pt>
                <c:pt idx="257">
                  <c:v>3.05</c:v>
                </c:pt>
                <c:pt idx="258">
                  <c:v>2.96</c:v>
                </c:pt>
                <c:pt idx="259">
                  <c:v>2.0299999999999998</c:v>
                </c:pt>
                <c:pt idx="260">
                  <c:v>2.17</c:v>
                </c:pt>
                <c:pt idx="261">
                  <c:v>1.2</c:v>
                </c:pt>
                <c:pt idx="262">
                  <c:v>1.24</c:v>
                </c:pt>
                <c:pt idx="263">
                  <c:v>4.0599999999999996</c:v>
                </c:pt>
                <c:pt idx="264">
                  <c:v>4.53</c:v>
                </c:pt>
                <c:pt idx="265">
                  <c:v>3.23</c:v>
                </c:pt>
                <c:pt idx="266">
                  <c:v>9.129999999999999</c:v>
                </c:pt>
                <c:pt idx="267">
                  <c:v>12.77</c:v>
                </c:pt>
                <c:pt idx="268">
                  <c:v>4.84</c:v>
                </c:pt>
                <c:pt idx="269">
                  <c:v>4.22</c:v>
                </c:pt>
                <c:pt idx="270">
                  <c:v>2.68</c:v>
                </c:pt>
                <c:pt idx="271">
                  <c:v>5.41</c:v>
                </c:pt>
                <c:pt idx="272">
                  <c:v>2.9</c:v>
                </c:pt>
                <c:pt idx="273">
                  <c:v>3.72</c:v>
                </c:pt>
                <c:pt idx="274">
                  <c:v>3.7800000000000002</c:v>
                </c:pt>
                <c:pt idx="275">
                  <c:v>1.5</c:v>
                </c:pt>
                <c:pt idx="276">
                  <c:v>1.48</c:v>
                </c:pt>
                <c:pt idx="277">
                  <c:v>2.54</c:v>
                </c:pt>
                <c:pt idx="278">
                  <c:v>5.18</c:v>
                </c:pt>
                <c:pt idx="279">
                  <c:v>11.34</c:v>
                </c:pt>
                <c:pt idx="280">
                  <c:v>7.48</c:v>
                </c:pt>
                <c:pt idx="281">
                  <c:v>6.07</c:v>
                </c:pt>
                <c:pt idx="282">
                  <c:v>2.25</c:v>
                </c:pt>
                <c:pt idx="283">
                  <c:v>2.3299999999999996</c:v>
                </c:pt>
                <c:pt idx="284">
                  <c:v>6.52</c:v>
                </c:pt>
                <c:pt idx="285">
                  <c:v>6.4300000000000006</c:v>
                </c:pt>
                <c:pt idx="286">
                  <c:v>5.73</c:v>
                </c:pt>
                <c:pt idx="287">
                  <c:v>1.8</c:v>
                </c:pt>
                <c:pt idx="288">
                  <c:v>1.46</c:v>
                </c:pt>
                <c:pt idx="289">
                  <c:v>4.55</c:v>
                </c:pt>
                <c:pt idx="290">
                  <c:v>6.67</c:v>
                </c:pt>
                <c:pt idx="291">
                  <c:v>6.64</c:v>
                </c:pt>
                <c:pt idx="292">
                  <c:v>1.6800000000000002</c:v>
                </c:pt>
                <c:pt idx="293">
                  <c:v>2.25</c:v>
                </c:pt>
                <c:pt idx="294">
                  <c:v>1.0900000000000001</c:v>
                </c:pt>
                <c:pt idx="295">
                  <c:v>1.48</c:v>
                </c:pt>
                <c:pt idx="296">
                  <c:v>0.54</c:v>
                </c:pt>
                <c:pt idx="297">
                  <c:v>0.43000000000000005</c:v>
                </c:pt>
                <c:pt idx="298">
                  <c:v>0.64000000000000012</c:v>
                </c:pt>
                <c:pt idx="299">
                  <c:v>5.45</c:v>
                </c:pt>
                <c:pt idx="300">
                  <c:v>3.53</c:v>
                </c:pt>
                <c:pt idx="301">
                  <c:v>7.6499999999999995</c:v>
                </c:pt>
                <c:pt idx="302">
                  <c:v>4.4300000000000006</c:v>
                </c:pt>
                <c:pt idx="303">
                  <c:v>5.8199999999999994</c:v>
                </c:pt>
                <c:pt idx="304">
                  <c:v>0.85000000000000009</c:v>
                </c:pt>
                <c:pt idx="305">
                  <c:v>3.2600000000000002</c:v>
                </c:pt>
                <c:pt idx="306">
                  <c:v>4.0599999999999996</c:v>
                </c:pt>
                <c:pt idx="307">
                  <c:v>4.53</c:v>
                </c:pt>
                <c:pt idx="308">
                  <c:v>3.23</c:v>
                </c:pt>
                <c:pt idx="309">
                  <c:v>9.129999999999999</c:v>
                </c:pt>
                <c:pt idx="310">
                  <c:v>12.77</c:v>
                </c:pt>
                <c:pt idx="311">
                  <c:v>4.84</c:v>
                </c:pt>
                <c:pt idx="312">
                  <c:v>4.22</c:v>
                </c:pt>
                <c:pt idx="313">
                  <c:v>2.68</c:v>
                </c:pt>
                <c:pt idx="314">
                  <c:v>5.41</c:v>
                </c:pt>
                <c:pt idx="315">
                  <c:v>2.9</c:v>
                </c:pt>
                <c:pt idx="316">
                  <c:v>3.72</c:v>
                </c:pt>
                <c:pt idx="317">
                  <c:v>3.7800000000000002</c:v>
                </c:pt>
                <c:pt idx="318">
                  <c:v>11.5</c:v>
                </c:pt>
                <c:pt idx="319">
                  <c:v>2.94</c:v>
                </c:pt>
                <c:pt idx="320">
                  <c:v>0.76000000000000012</c:v>
                </c:pt>
                <c:pt idx="321">
                  <c:v>5.18</c:v>
                </c:pt>
                <c:pt idx="322">
                  <c:v>11.34</c:v>
                </c:pt>
                <c:pt idx="323">
                  <c:v>7.48</c:v>
                </c:pt>
                <c:pt idx="324">
                  <c:v>6.07</c:v>
                </c:pt>
                <c:pt idx="325">
                  <c:v>2.25</c:v>
                </c:pt>
                <c:pt idx="326">
                  <c:v>2.3299999999999996</c:v>
                </c:pt>
                <c:pt idx="327">
                  <c:v>6.52</c:v>
                </c:pt>
                <c:pt idx="328">
                  <c:v>6.4300000000000006</c:v>
                </c:pt>
                <c:pt idx="329">
                  <c:v>5.73</c:v>
                </c:pt>
                <c:pt idx="330">
                  <c:v>1.8</c:v>
                </c:pt>
                <c:pt idx="331">
                  <c:v>1.46</c:v>
                </c:pt>
                <c:pt idx="332">
                  <c:v>4.55</c:v>
                </c:pt>
                <c:pt idx="333">
                  <c:v>6.67</c:v>
                </c:pt>
                <c:pt idx="334">
                  <c:v>1.8900000000000001</c:v>
                </c:pt>
                <c:pt idx="335">
                  <c:v>2.13</c:v>
                </c:pt>
                <c:pt idx="336">
                  <c:v>0.42000000000000004</c:v>
                </c:pt>
                <c:pt idx="337">
                  <c:v>0.73000000000000009</c:v>
                </c:pt>
                <c:pt idx="338">
                  <c:v>0.33000000000000007</c:v>
                </c:pt>
                <c:pt idx="339">
                  <c:v>0.59000000000000008</c:v>
                </c:pt>
                <c:pt idx="340">
                  <c:v>0.76000000000000012</c:v>
                </c:pt>
                <c:pt idx="341">
                  <c:v>0.87000000000000011</c:v>
                </c:pt>
                <c:pt idx="342">
                  <c:v>3.82</c:v>
                </c:pt>
                <c:pt idx="343">
                  <c:v>3.63</c:v>
                </c:pt>
                <c:pt idx="344">
                  <c:v>7.46</c:v>
                </c:pt>
                <c:pt idx="345">
                  <c:v>5.76</c:v>
                </c:pt>
                <c:pt idx="346">
                  <c:v>3.77</c:v>
                </c:pt>
                <c:pt idx="347">
                  <c:v>5.58</c:v>
                </c:pt>
                <c:pt idx="348">
                  <c:v>6.24</c:v>
                </c:pt>
                <c:pt idx="349">
                  <c:v>9.09</c:v>
                </c:pt>
                <c:pt idx="350">
                  <c:v>1.6500000000000001</c:v>
                </c:pt>
                <c:pt idx="351">
                  <c:v>8.8700000000000028</c:v>
                </c:pt>
                <c:pt idx="352">
                  <c:v>4.74</c:v>
                </c:pt>
                <c:pt idx="353">
                  <c:v>8.129999999999999</c:v>
                </c:pt>
                <c:pt idx="354">
                  <c:v>19.22</c:v>
                </c:pt>
                <c:pt idx="355">
                  <c:v>15.3</c:v>
                </c:pt>
                <c:pt idx="356">
                  <c:v>10.139999999999999</c:v>
                </c:pt>
                <c:pt idx="357">
                  <c:v>12.76</c:v>
                </c:pt>
                <c:pt idx="358">
                  <c:v>6.68</c:v>
                </c:pt>
                <c:pt idx="359">
                  <c:v>11.94</c:v>
                </c:pt>
                <c:pt idx="360">
                  <c:v>9.42</c:v>
                </c:pt>
                <c:pt idx="361">
                  <c:v>8.51</c:v>
                </c:pt>
                <c:pt idx="362">
                  <c:v>13.81</c:v>
                </c:pt>
                <c:pt idx="363">
                  <c:v>17.309999999999999</c:v>
                </c:pt>
                <c:pt idx="364">
                  <c:v>9.58</c:v>
                </c:pt>
                <c:pt idx="365">
                  <c:v>10.729999999999999</c:v>
                </c:pt>
                <c:pt idx="366">
                  <c:v>2</c:v>
                </c:pt>
                <c:pt idx="367">
                  <c:v>2.59</c:v>
                </c:pt>
                <c:pt idx="368">
                  <c:v>1.3900000000000001</c:v>
                </c:pt>
                <c:pt idx="369">
                  <c:v>3.71</c:v>
                </c:pt>
                <c:pt idx="370">
                  <c:v>16.670000000000005</c:v>
                </c:pt>
                <c:pt idx="371">
                  <c:v>13.729999999999999</c:v>
                </c:pt>
                <c:pt idx="372">
                  <c:v>12.2</c:v>
                </c:pt>
                <c:pt idx="373">
                  <c:v>22.4</c:v>
                </c:pt>
                <c:pt idx="374">
                  <c:v>27.52</c:v>
                </c:pt>
                <c:pt idx="375">
                  <c:v>13.61</c:v>
                </c:pt>
                <c:pt idx="376">
                  <c:v>11.18</c:v>
                </c:pt>
                <c:pt idx="377">
                  <c:v>15.98</c:v>
                </c:pt>
                <c:pt idx="378">
                  <c:v>21.479999999999997</c:v>
                </c:pt>
                <c:pt idx="379">
                  <c:v>13.04</c:v>
                </c:pt>
                <c:pt idx="380">
                  <c:v>11.719999999999999</c:v>
                </c:pt>
                <c:pt idx="381">
                  <c:v>9.129999999999999</c:v>
                </c:pt>
                <c:pt idx="382">
                  <c:v>39.33</c:v>
                </c:pt>
                <c:pt idx="383">
                  <c:v>25.95</c:v>
                </c:pt>
                <c:pt idx="384">
                  <c:v>10.61</c:v>
                </c:pt>
                <c:pt idx="385">
                  <c:v>6.8</c:v>
                </c:pt>
                <c:pt idx="386">
                  <c:v>13.239999999999998</c:v>
                </c:pt>
                <c:pt idx="387">
                  <c:v>16.649999999999999</c:v>
                </c:pt>
                <c:pt idx="388">
                  <c:v>34.06</c:v>
                </c:pt>
                <c:pt idx="389">
                  <c:v>11.229999999999999</c:v>
                </c:pt>
                <c:pt idx="390">
                  <c:v>11.91</c:v>
                </c:pt>
                <c:pt idx="391">
                  <c:v>10.729999999999999</c:v>
                </c:pt>
                <c:pt idx="392">
                  <c:v>1.8900000000000001</c:v>
                </c:pt>
                <c:pt idx="393">
                  <c:v>1</c:v>
                </c:pt>
                <c:pt idx="394">
                  <c:v>2.38</c:v>
                </c:pt>
                <c:pt idx="395">
                  <c:v>0.99</c:v>
                </c:pt>
                <c:pt idx="396">
                  <c:v>2.66</c:v>
                </c:pt>
                <c:pt idx="397">
                  <c:v>1.5</c:v>
                </c:pt>
                <c:pt idx="398">
                  <c:v>1.6700000000000002</c:v>
                </c:pt>
                <c:pt idx="399">
                  <c:v>0.30000000000000004</c:v>
                </c:pt>
                <c:pt idx="400">
                  <c:v>0.36000000000000004</c:v>
                </c:pt>
                <c:pt idx="401">
                  <c:v>8.8700000000000028</c:v>
                </c:pt>
                <c:pt idx="402">
                  <c:v>4.74</c:v>
                </c:pt>
                <c:pt idx="403">
                  <c:v>8.129999999999999</c:v>
                </c:pt>
                <c:pt idx="404">
                  <c:v>19.22</c:v>
                </c:pt>
                <c:pt idx="405">
                  <c:v>15.3</c:v>
                </c:pt>
                <c:pt idx="406">
                  <c:v>10.139999999999999</c:v>
                </c:pt>
                <c:pt idx="407">
                  <c:v>12.76</c:v>
                </c:pt>
                <c:pt idx="408">
                  <c:v>6.68</c:v>
                </c:pt>
                <c:pt idx="409">
                  <c:v>11.94</c:v>
                </c:pt>
                <c:pt idx="410">
                  <c:v>9.42</c:v>
                </c:pt>
                <c:pt idx="411">
                  <c:v>8.51</c:v>
                </c:pt>
                <c:pt idx="412">
                  <c:v>13.81</c:v>
                </c:pt>
                <c:pt idx="413">
                  <c:v>17.309999999999999</c:v>
                </c:pt>
                <c:pt idx="414">
                  <c:v>9.58</c:v>
                </c:pt>
                <c:pt idx="415">
                  <c:v>10.729999999999999</c:v>
                </c:pt>
                <c:pt idx="416">
                  <c:v>0.82000000000000006</c:v>
                </c:pt>
                <c:pt idx="417">
                  <c:v>0.43000000000000005</c:v>
                </c:pt>
                <c:pt idx="418">
                  <c:v>16.670000000000005</c:v>
                </c:pt>
                <c:pt idx="419">
                  <c:v>13.729999999999999</c:v>
                </c:pt>
                <c:pt idx="420">
                  <c:v>12.2</c:v>
                </c:pt>
                <c:pt idx="421">
                  <c:v>22.4</c:v>
                </c:pt>
                <c:pt idx="422">
                  <c:v>27.52</c:v>
                </c:pt>
                <c:pt idx="423">
                  <c:v>13.61</c:v>
                </c:pt>
                <c:pt idx="424">
                  <c:v>11.18</c:v>
                </c:pt>
                <c:pt idx="425">
                  <c:v>15.98</c:v>
                </c:pt>
                <c:pt idx="426">
                  <c:v>21.479999999999997</c:v>
                </c:pt>
                <c:pt idx="427">
                  <c:v>13.04</c:v>
                </c:pt>
                <c:pt idx="428">
                  <c:v>0.38000000000000006</c:v>
                </c:pt>
                <c:pt idx="429">
                  <c:v>1.98</c:v>
                </c:pt>
                <c:pt idx="430">
                  <c:v>9.129999999999999</c:v>
                </c:pt>
                <c:pt idx="431">
                  <c:v>39.33</c:v>
                </c:pt>
                <c:pt idx="432">
                  <c:v>25.95</c:v>
                </c:pt>
                <c:pt idx="433">
                  <c:v>10.61</c:v>
                </c:pt>
                <c:pt idx="434">
                  <c:v>6.8</c:v>
                </c:pt>
                <c:pt idx="435">
                  <c:v>13.239999999999998</c:v>
                </c:pt>
                <c:pt idx="436">
                  <c:v>16.649999999999999</c:v>
                </c:pt>
                <c:pt idx="437">
                  <c:v>34.06</c:v>
                </c:pt>
                <c:pt idx="438">
                  <c:v>11.229999999999999</c:v>
                </c:pt>
                <c:pt idx="439">
                  <c:v>11.91</c:v>
                </c:pt>
                <c:pt idx="440">
                  <c:v>10.729999999999999</c:v>
                </c:pt>
                <c:pt idx="441">
                  <c:v>0.24000000000000002</c:v>
                </c:pt>
                <c:pt idx="442">
                  <c:v>8.0000000000000016E-2</c:v>
                </c:pt>
                <c:pt idx="443">
                  <c:v>0.64000000000000012</c:v>
                </c:pt>
                <c:pt idx="444">
                  <c:v>5.45</c:v>
                </c:pt>
                <c:pt idx="445">
                  <c:v>3.53</c:v>
                </c:pt>
                <c:pt idx="446">
                  <c:v>7.6499999999999995</c:v>
                </c:pt>
                <c:pt idx="447">
                  <c:v>4.4300000000000006</c:v>
                </c:pt>
                <c:pt idx="448">
                  <c:v>5.8199999999999994</c:v>
                </c:pt>
                <c:pt idx="449">
                  <c:v>4.2</c:v>
                </c:pt>
                <c:pt idx="450">
                  <c:v>3.17</c:v>
                </c:pt>
                <c:pt idx="451">
                  <c:v>4.7300000000000004</c:v>
                </c:pt>
                <c:pt idx="452">
                  <c:v>2.69</c:v>
                </c:pt>
                <c:pt idx="453">
                  <c:v>2.2000000000000002</c:v>
                </c:pt>
                <c:pt idx="454">
                  <c:v>1.98</c:v>
                </c:pt>
                <c:pt idx="455">
                  <c:v>1.97</c:v>
                </c:pt>
                <c:pt idx="456">
                  <c:v>2.14</c:v>
                </c:pt>
                <c:pt idx="457">
                  <c:v>1.54</c:v>
                </c:pt>
                <c:pt idx="458">
                  <c:v>2.25</c:v>
                </c:pt>
                <c:pt idx="459">
                  <c:v>3.16</c:v>
                </c:pt>
                <c:pt idx="460">
                  <c:v>3.86</c:v>
                </c:pt>
                <c:pt idx="461">
                  <c:v>3.05</c:v>
                </c:pt>
                <c:pt idx="462">
                  <c:v>2.96</c:v>
                </c:pt>
                <c:pt idx="463">
                  <c:v>2.0299999999999998</c:v>
                </c:pt>
                <c:pt idx="464">
                  <c:v>2.17</c:v>
                </c:pt>
                <c:pt idx="465">
                  <c:v>8.8700000000000028</c:v>
                </c:pt>
                <c:pt idx="466">
                  <c:v>4.74</c:v>
                </c:pt>
                <c:pt idx="467">
                  <c:v>8.129999999999999</c:v>
                </c:pt>
                <c:pt idx="468">
                  <c:v>19.22</c:v>
                </c:pt>
                <c:pt idx="469">
                  <c:v>15.3</c:v>
                </c:pt>
                <c:pt idx="470">
                  <c:v>10.139999999999999</c:v>
                </c:pt>
                <c:pt idx="471">
                  <c:v>12.76</c:v>
                </c:pt>
                <c:pt idx="472">
                  <c:v>6.68</c:v>
                </c:pt>
                <c:pt idx="473">
                  <c:v>11.94</c:v>
                </c:pt>
                <c:pt idx="474">
                  <c:v>9.42</c:v>
                </c:pt>
                <c:pt idx="475">
                  <c:v>8.51</c:v>
                </c:pt>
                <c:pt idx="476">
                  <c:v>13.81</c:v>
                </c:pt>
                <c:pt idx="477">
                  <c:v>17.309999999999999</c:v>
                </c:pt>
                <c:pt idx="478">
                  <c:v>9.58</c:v>
                </c:pt>
                <c:pt idx="479">
                  <c:v>10.729999999999999</c:v>
                </c:pt>
                <c:pt idx="480">
                  <c:v>4.0599999999999996</c:v>
                </c:pt>
                <c:pt idx="481">
                  <c:v>16.670000000000005</c:v>
                </c:pt>
                <c:pt idx="482">
                  <c:v>13.729999999999999</c:v>
                </c:pt>
                <c:pt idx="483">
                  <c:v>12.2</c:v>
                </c:pt>
                <c:pt idx="484">
                  <c:v>22.4</c:v>
                </c:pt>
                <c:pt idx="485">
                  <c:v>27.52</c:v>
                </c:pt>
                <c:pt idx="486">
                  <c:v>13.61</c:v>
                </c:pt>
                <c:pt idx="487">
                  <c:v>11.18</c:v>
                </c:pt>
                <c:pt idx="488">
                  <c:v>15.98</c:v>
                </c:pt>
                <c:pt idx="489">
                  <c:v>21.479999999999997</c:v>
                </c:pt>
                <c:pt idx="490">
                  <c:v>13.04</c:v>
                </c:pt>
                <c:pt idx="491">
                  <c:v>5.18</c:v>
                </c:pt>
                <c:pt idx="492">
                  <c:v>11.34</c:v>
                </c:pt>
                <c:pt idx="493">
                  <c:v>7.48</c:v>
                </c:pt>
                <c:pt idx="494">
                  <c:v>6.07</c:v>
                </c:pt>
                <c:pt idx="495">
                  <c:v>2.25</c:v>
                </c:pt>
                <c:pt idx="496">
                  <c:v>2.3299999999999996</c:v>
                </c:pt>
                <c:pt idx="497">
                  <c:v>6.52</c:v>
                </c:pt>
                <c:pt idx="498">
                  <c:v>6.4300000000000006</c:v>
                </c:pt>
                <c:pt idx="499">
                  <c:v>5.73</c:v>
                </c:pt>
                <c:pt idx="500">
                  <c:v>1.8</c:v>
                </c:pt>
                <c:pt idx="501">
                  <c:v>1.46</c:v>
                </c:pt>
                <c:pt idx="502">
                  <c:v>4.55</c:v>
                </c:pt>
                <c:pt idx="503">
                  <c:v>6.67</c:v>
                </c:pt>
                <c:pt idx="504">
                  <c:v>9.129999999999999</c:v>
                </c:pt>
                <c:pt idx="505">
                  <c:v>39.33</c:v>
                </c:pt>
                <c:pt idx="506">
                  <c:v>25.95</c:v>
                </c:pt>
                <c:pt idx="507">
                  <c:v>10.61</c:v>
                </c:pt>
                <c:pt idx="508">
                  <c:v>6.8</c:v>
                </c:pt>
                <c:pt idx="509">
                  <c:v>13.239999999999998</c:v>
                </c:pt>
                <c:pt idx="510">
                  <c:v>16.649999999999999</c:v>
                </c:pt>
                <c:pt idx="511">
                  <c:v>34.06</c:v>
                </c:pt>
                <c:pt idx="512">
                  <c:v>11.229999999999999</c:v>
                </c:pt>
                <c:pt idx="513">
                  <c:v>11.91</c:v>
                </c:pt>
                <c:pt idx="514">
                  <c:v>10.729999999999999</c:v>
                </c:pt>
                <c:pt idx="515">
                  <c:v>0.8600000000000001</c:v>
                </c:pt>
                <c:pt idx="516">
                  <c:v>0.43000000000000005</c:v>
                </c:pt>
                <c:pt idx="517">
                  <c:v>0.94000000000000006</c:v>
                </c:pt>
                <c:pt idx="518">
                  <c:v>0.84000000000000008</c:v>
                </c:pt>
                <c:pt idx="519">
                  <c:v>4.4700000000000006</c:v>
                </c:pt>
                <c:pt idx="520">
                  <c:v>4.6599999999999993</c:v>
                </c:pt>
                <c:pt idx="521">
                  <c:v>3.12</c:v>
                </c:pt>
                <c:pt idx="522">
                  <c:v>4.4800000000000004</c:v>
                </c:pt>
                <c:pt idx="523">
                  <c:v>5.0199999999999996</c:v>
                </c:pt>
                <c:pt idx="524">
                  <c:v>0.42000000000000004</c:v>
                </c:pt>
                <c:pt idx="525">
                  <c:v>3.82</c:v>
                </c:pt>
                <c:pt idx="526">
                  <c:v>3.63</c:v>
                </c:pt>
                <c:pt idx="527">
                  <c:v>7.46</c:v>
                </c:pt>
                <c:pt idx="528">
                  <c:v>5.76</c:v>
                </c:pt>
                <c:pt idx="529">
                  <c:v>3.77</c:v>
                </c:pt>
                <c:pt idx="530">
                  <c:v>5.58</c:v>
                </c:pt>
                <c:pt idx="531">
                  <c:v>6.24</c:v>
                </c:pt>
                <c:pt idx="532">
                  <c:v>5.45</c:v>
                </c:pt>
                <c:pt idx="533">
                  <c:v>3.53</c:v>
                </c:pt>
                <c:pt idx="534">
                  <c:v>7.6499999999999995</c:v>
                </c:pt>
                <c:pt idx="535">
                  <c:v>4.4300000000000006</c:v>
                </c:pt>
                <c:pt idx="536">
                  <c:v>5.8199999999999994</c:v>
                </c:pt>
                <c:pt idx="537">
                  <c:v>4.2</c:v>
                </c:pt>
                <c:pt idx="538">
                  <c:v>3.17</c:v>
                </c:pt>
                <c:pt idx="539">
                  <c:v>4.7300000000000004</c:v>
                </c:pt>
                <c:pt idx="540">
                  <c:v>2.69</c:v>
                </c:pt>
                <c:pt idx="541">
                  <c:v>2.2000000000000002</c:v>
                </c:pt>
                <c:pt idx="542">
                  <c:v>1.98</c:v>
                </c:pt>
                <c:pt idx="543">
                  <c:v>1.97</c:v>
                </c:pt>
                <c:pt idx="544">
                  <c:v>2.14</c:v>
                </c:pt>
                <c:pt idx="545">
                  <c:v>1.54</c:v>
                </c:pt>
                <c:pt idx="546">
                  <c:v>2.25</c:v>
                </c:pt>
                <c:pt idx="547">
                  <c:v>3.16</c:v>
                </c:pt>
                <c:pt idx="548">
                  <c:v>3.86</c:v>
                </c:pt>
                <c:pt idx="549">
                  <c:v>3.05</c:v>
                </c:pt>
                <c:pt idx="550">
                  <c:v>2.96</c:v>
                </c:pt>
                <c:pt idx="551">
                  <c:v>2.0299999999999998</c:v>
                </c:pt>
                <c:pt idx="552">
                  <c:v>2.17</c:v>
                </c:pt>
                <c:pt idx="553">
                  <c:v>0.14000000000000001</c:v>
                </c:pt>
                <c:pt idx="554">
                  <c:v>0.64000000000000012</c:v>
                </c:pt>
                <c:pt idx="555">
                  <c:v>4.0599999999999996</c:v>
                </c:pt>
                <c:pt idx="556">
                  <c:v>4.53</c:v>
                </c:pt>
                <c:pt idx="557">
                  <c:v>3.23</c:v>
                </c:pt>
                <c:pt idx="558">
                  <c:v>9.129999999999999</c:v>
                </c:pt>
                <c:pt idx="559">
                  <c:v>12.77</c:v>
                </c:pt>
                <c:pt idx="560">
                  <c:v>4.84</c:v>
                </c:pt>
                <c:pt idx="561">
                  <c:v>4.22</c:v>
                </c:pt>
                <c:pt idx="562">
                  <c:v>2.68</c:v>
                </c:pt>
                <c:pt idx="563">
                  <c:v>5.41</c:v>
                </c:pt>
                <c:pt idx="564">
                  <c:v>2.9</c:v>
                </c:pt>
                <c:pt idx="565">
                  <c:v>3.72</c:v>
                </c:pt>
                <c:pt idx="566">
                  <c:v>3.7800000000000002</c:v>
                </c:pt>
                <c:pt idx="567">
                  <c:v>1.4</c:v>
                </c:pt>
                <c:pt idx="568">
                  <c:v>0.81</c:v>
                </c:pt>
                <c:pt idx="569">
                  <c:v>5.18</c:v>
                </c:pt>
                <c:pt idx="570">
                  <c:v>11.34</c:v>
                </c:pt>
                <c:pt idx="571">
                  <c:v>7.48</c:v>
                </c:pt>
                <c:pt idx="572">
                  <c:v>6.07</c:v>
                </c:pt>
                <c:pt idx="573">
                  <c:v>2.25</c:v>
                </c:pt>
                <c:pt idx="574">
                  <c:v>2.3299999999999996</c:v>
                </c:pt>
                <c:pt idx="575">
                  <c:v>6.52</c:v>
                </c:pt>
                <c:pt idx="576">
                  <c:v>6.4300000000000006</c:v>
                </c:pt>
                <c:pt idx="577">
                  <c:v>5.73</c:v>
                </c:pt>
                <c:pt idx="578">
                  <c:v>1.8</c:v>
                </c:pt>
                <c:pt idx="579">
                  <c:v>1.46</c:v>
                </c:pt>
                <c:pt idx="580">
                  <c:v>4.55</c:v>
                </c:pt>
                <c:pt idx="581">
                  <c:v>6.67</c:v>
                </c:pt>
                <c:pt idx="582">
                  <c:v>0.9</c:v>
                </c:pt>
                <c:pt idx="583">
                  <c:v>2.0000000000000004E-2</c:v>
                </c:pt>
                <c:pt idx="584">
                  <c:v>0.66000000000000014</c:v>
                </c:pt>
                <c:pt idx="585">
                  <c:v>1.56</c:v>
                </c:pt>
                <c:pt idx="586">
                  <c:v>1.43</c:v>
                </c:pt>
                <c:pt idx="587">
                  <c:v>0.87000000000000011</c:v>
                </c:pt>
                <c:pt idx="588">
                  <c:v>0.66000000000000014</c:v>
                </c:pt>
                <c:pt idx="589">
                  <c:v>0.64000000000000012</c:v>
                </c:pt>
                <c:pt idx="590">
                  <c:v>0.51</c:v>
                </c:pt>
                <c:pt idx="591">
                  <c:v>0.38000000000000006</c:v>
                </c:pt>
                <c:pt idx="592">
                  <c:v>0.53</c:v>
                </c:pt>
                <c:pt idx="593">
                  <c:v>0.29000000000000004</c:v>
                </c:pt>
                <c:pt idx="594">
                  <c:v>16.670000000000005</c:v>
                </c:pt>
                <c:pt idx="595">
                  <c:v>13.729999999999999</c:v>
                </c:pt>
                <c:pt idx="596">
                  <c:v>12.2</c:v>
                </c:pt>
                <c:pt idx="597">
                  <c:v>22.4</c:v>
                </c:pt>
                <c:pt idx="598">
                  <c:v>27.52</c:v>
                </c:pt>
                <c:pt idx="599">
                  <c:v>13.61</c:v>
                </c:pt>
                <c:pt idx="600">
                  <c:v>11.18</c:v>
                </c:pt>
                <c:pt idx="601">
                  <c:v>15.98</c:v>
                </c:pt>
                <c:pt idx="602">
                  <c:v>21.479999999999997</c:v>
                </c:pt>
                <c:pt idx="603">
                  <c:v>13.04</c:v>
                </c:pt>
                <c:pt idx="604">
                  <c:v>0.9</c:v>
                </c:pt>
                <c:pt idx="605">
                  <c:v>9.129999999999999</c:v>
                </c:pt>
                <c:pt idx="606">
                  <c:v>39.33</c:v>
                </c:pt>
                <c:pt idx="607">
                  <c:v>25.95</c:v>
                </c:pt>
                <c:pt idx="608">
                  <c:v>10.61</c:v>
                </c:pt>
                <c:pt idx="609">
                  <c:v>6.8</c:v>
                </c:pt>
                <c:pt idx="610">
                  <c:v>13.239999999999998</c:v>
                </c:pt>
                <c:pt idx="611">
                  <c:v>16.649999999999999</c:v>
                </c:pt>
                <c:pt idx="612">
                  <c:v>34.06</c:v>
                </c:pt>
                <c:pt idx="613">
                  <c:v>11.229999999999999</c:v>
                </c:pt>
                <c:pt idx="614">
                  <c:v>11.91</c:v>
                </c:pt>
                <c:pt idx="615">
                  <c:v>10.729999999999999</c:v>
                </c:pt>
                <c:pt idx="616">
                  <c:v>0.96000000000000008</c:v>
                </c:pt>
                <c:pt idx="617">
                  <c:v>1.46</c:v>
                </c:pt>
                <c:pt idx="618">
                  <c:v>0.42000000000000004</c:v>
                </c:pt>
                <c:pt idx="619">
                  <c:v>0.18000000000000002</c:v>
                </c:pt>
                <c:pt idx="620">
                  <c:v>0.33000000000000007</c:v>
                </c:pt>
                <c:pt idx="621">
                  <c:v>6.0000000000000012E-2</c:v>
                </c:pt>
                <c:pt idx="622">
                  <c:v>0.53</c:v>
                </c:pt>
                <c:pt idx="623">
                  <c:v>0.97</c:v>
                </c:pt>
                <c:pt idx="624">
                  <c:v>1.1499999999999997</c:v>
                </c:pt>
                <c:pt idx="625">
                  <c:v>0.31000000000000005</c:v>
                </c:pt>
                <c:pt idx="626">
                  <c:v>0.16000000000000003</c:v>
                </c:pt>
                <c:pt idx="627">
                  <c:v>0.44000000000000006</c:v>
                </c:pt>
                <c:pt idx="628">
                  <c:v>5.45</c:v>
                </c:pt>
                <c:pt idx="629">
                  <c:v>3.53</c:v>
                </c:pt>
                <c:pt idx="630">
                  <c:v>7.6499999999999995</c:v>
                </c:pt>
                <c:pt idx="631">
                  <c:v>4.4300000000000006</c:v>
                </c:pt>
                <c:pt idx="632">
                  <c:v>5.8199999999999994</c:v>
                </c:pt>
                <c:pt idx="633">
                  <c:v>4.2</c:v>
                </c:pt>
                <c:pt idx="634">
                  <c:v>3.17</c:v>
                </c:pt>
                <c:pt idx="635">
                  <c:v>4.7300000000000004</c:v>
                </c:pt>
                <c:pt idx="636">
                  <c:v>2.69</c:v>
                </c:pt>
                <c:pt idx="637">
                  <c:v>2.2000000000000002</c:v>
                </c:pt>
                <c:pt idx="638">
                  <c:v>1.98</c:v>
                </c:pt>
                <c:pt idx="639">
                  <c:v>1.97</c:v>
                </c:pt>
                <c:pt idx="640">
                  <c:v>2.14</c:v>
                </c:pt>
                <c:pt idx="641">
                  <c:v>1.54</c:v>
                </c:pt>
                <c:pt idx="642">
                  <c:v>2.25</c:v>
                </c:pt>
                <c:pt idx="643">
                  <c:v>3.16</c:v>
                </c:pt>
                <c:pt idx="644">
                  <c:v>3.86</c:v>
                </c:pt>
                <c:pt idx="645">
                  <c:v>3.05</c:v>
                </c:pt>
                <c:pt idx="646">
                  <c:v>2.96</c:v>
                </c:pt>
                <c:pt idx="647">
                  <c:v>2.0299999999999998</c:v>
                </c:pt>
                <c:pt idx="648">
                  <c:v>2.17</c:v>
                </c:pt>
                <c:pt idx="649">
                  <c:v>0.92</c:v>
                </c:pt>
                <c:pt idx="650">
                  <c:v>0.1</c:v>
                </c:pt>
                <c:pt idx="651">
                  <c:v>4.0599999999999996</c:v>
                </c:pt>
                <c:pt idx="652">
                  <c:v>1.1700000000000002</c:v>
                </c:pt>
                <c:pt idx="653">
                  <c:v>1.1499999999999997</c:v>
                </c:pt>
                <c:pt idx="654">
                  <c:v>16.670000000000005</c:v>
                </c:pt>
                <c:pt idx="655">
                  <c:v>13.729999999999999</c:v>
                </c:pt>
                <c:pt idx="656">
                  <c:v>12.2</c:v>
                </c:pt>
                <c:pt idx="657">
                  <c:v>22.4</c:v>
                </c:pt>
                <c:pt idx="658">
                  <c:v>27.52</c:v>
                </c:pt>
                <c:pt idx="659">
                  <c:v>13.61</c:v>
                </c:pt>
                <c:pt idx="660">
                  <c:v>11.18</c:v>
                </c:pt>
                <c:pt idx="661">
                  <c:v>15.98</c:v>
                </c:pt>
                <c:pt idx="662">
                  <c:v>21.479999999999997</c:v>
                </c:pt>
                <c:pt idx="663">
                  <c:v>13.04</c:v>
                </c:pt>
                <c:pt idx="664">
                  <c:v>1.22</c:v>
                </c:pt>
                <c:pt idx="665">
                  <c:v>9.65</c:v>
                </c:pt>
                <c:pt idx="666">
                  <c:v>9.129999999999999</c:v>
                </c:pt>
                <c:pt idx="667">
                  <c:v>39.33</c:v>
                </c:pt>
                <c:pt idx="668">
                  <c:v>25.95</c:v>
                </c:pt>
                <c:pt idx="669">
                  <c:v>10.61</c:v>
                </c:pt>
                <c:pt idx="670">
                  <c:v>6.8</c:v>
                </c:pt>
                <c:pt idx="671">
                  <c:v>13.239999999999998</c:v>
                </c:pt>
                <c:pt idx="672">
                  <c:v>16.649999999999999</c:v>
                </c:pt>
                <c:pt idx="673">
                  <c:v>34.06</c:v>
                </c:pt>
                <c:pt idx="674">
                  <c:v>11.229999999999999</c:v>
                </c:pt>
                <c:pt idx="675">
                  <c:v>11.91</c:v>
                </c:pt>
                <c:pt idx="676">
                  <c:v>10.729999999999999</c:v>
                </c:pt>
                <c:pt idx="677">
                  <c:v>1.7600000000000002</c:v>
                </c:pt>
                <c:pt idx="678">
                  <c:v>0.2</c:v>
                </c:pt>
                <c:pt idx="679">
                  <c:v>1.1299999999999997</c:v>
                </c:pt>
                <c:pt idx="680">
                  <c:v>0.93</c:v>
                </c:pt>
                <c:pt idx="681">
                  <c:v>0.69000000000000017</c:v>
                </c:pt>
                <c:pt idx="682">
                  <c:v>0.16000000000000003</c:v>
                </c:pt>
                <c:pt idx="683">
                  <c:v>0.7400000000000001</c:v>
                </c:pt>
                <c:pt idx="684">
                  <c:v>8.8700000000000028</c:v>
                </c:pt>
                <c:pt idx="685">
                  <c:v>4.74</c:v>
                </c:pt>
                <c:pt idx="686">
                  <c:v>8.129999999999999</c:v>
                </c:pt>
                <c:pt idx="687">
                  <c:v>19.22</c:v>
                </c:pt>
                <c:pt idx="688">
                  <c:v>15.3</c:v>
                </c:pt>
                <c:pt idx="689">
                  <c:v>10.139999999999999</c:v>
                </c:pt>
                <c:pt idx="690">
                  <c:v>12.76</c:v>
                </c:pt>
                <c:pt idx="691">
                  <c:v>6.68</c:v>
                </c:pt>
                <c:pt idx="692">
                  <c:v>11.94</c:v>
                </c:pt>
                <c:pt idx="693">
                  <c:v>9.42</c:v>
                </c:pt>
                <c:pt idx="694">
                  <c:v>8.51</c:v>
                </c:pt>
                <c:pt idx="695">
                  <c:v>13.81</c:v>
                </c:pt>
                <c:pt idx="696">
                  <c:v>17.309999999999999</c:v>
                </c:pt>
                <c:pt idx="697">
                  <c:v>9.58</c:v>
                </c:pt>
                <c:pt idx="698">
                  <c:v>10.729999999999999</c:v>
                </c:pt>
                <c:pt idx="699">
                  <c:v>1.35</c:v>
                </c:pt>
                <c:pt idx="700">
                  <c:v>2.0499999999999998</c:v>
                </c:pt>
                <c:pt idx="701">
                  <c:v>0.87000000000000011</c:v>
                </c:pt>
                <c:pt idx="702">
                  <c:v>0.70000000000000007</c:v>
                </c:pt>
                <c:pt idx="703">
                  <c:v>16.670000000000005</c:v>
                </c:pt>
                <c:pt idx="704">
                  <c:v>13.729999999999999</c:v>
                </c:pt>
                <c:pt idx="705">
                  <c:v>12.2</c:v>
                </c:pt>
                <c:pt idx="706">
                  <c:v>22.4</c:v>
                </c:pt>
                <c:pt idx="707">
                  <c:v>27.52</c:v>
                </c:pt>
                <c:pt idx="708">
                  <c:v>13.61</c:v>
                </c:pt>
                <c:pt idx="709">
                  <c:v>11.18</c:v>
                </c:pt>
                <c:pt idx="710">
                  <c:v>15.98</c:v>
                </c:pt>
                <c:pt idx="711">
                  <c:v>21.479999999999997</c:v>
                </c:pt>
                <c:pt idx="712">
                  <c:v>13.04</c:v>
                </c:pt>
                <c:pt idx="713">
                  <c:v>0.85000000000000009</c:v>
                </c:pt>
                <c:pt idx="714">
                  <c:v>1.82</c:v>
                </c:pt>
                <c:pt idx="715">
                  <c:v>9.129999999999999</c:v>
                </c:pt>
                <c:pt idx="716">
                  <c:v>39.33</c:v>
                </c:pt>
                <c:pt idx="717">
                  <c:v>25.95</c:v>
                </c:pt>
                <c:pt idx="718">
                  <c:v>10.61</c:v>
                </c:pt>
                <c:pt idx="719">
                  <c:v>6.8</c:v>
                </c:pt>
                <c:pt idx="720">
                  <c:v>13.239999999999998</c:v>
                </c:pt>
                <c:pt idx="721">
                  <c:v>16.649999999999999</c:v>
                </c:pt>
                <c:pt idx="722">
                  <c:v>34.06</c:v>
                </c:pt>
                <c:pt idx="723">
                  <c:v>11.229999999999999</c:v>
                </c:pt>
                <c:pt idx="724">
                  <c:v>11.91</c:v>
                </c:pt>
                <c:pt idx="725">
                  <c:v>10.729999999999999</c:v>
                </c:pt>
                <c:pt idx="726">
                  <c:v>0.98</c:v>
                </c:pt>
                <c:pt idx="727">
                  <c:v>1.03</c:v>
                </c:pt>
                <c:pt idx="728">
                  <c:v>1.1299999999999997</c:v>
                </c:pt>
                <c:pt idx="729">
                  <c:v>1.03</c:v>
                </c:pt>
                <c:pt idx="730">
                  <c:v>0.91</c:v>
                </c:pt>
                <c:pt idx="731">
                  <c:v>0.17</c:v>
                </c:pt>
                <c:pt idx="732">
                  <c:v>8.8700000000000028</c:v>
                </c:pt>
                <c:pt idx="733">
                  <c:v>4.74</c:v>
                </c:pt>
                <c:pt idx="734">
                  <c:v>8.129999999999999</c:v>
                </c:pt>
                <c:pt idx="735">
                  <c:v>19.22</c:v>
                </c:pt>
                <c:pt idx="736">
                  <c:v>15.3</c:v>
                </c:pt>
                <c:pt idx="737">
                  <c:v>10.139999999999999</c:v>
                </c:pt>
                <c:pt idx="738">
                  <c:v>12.76</c:v>
                </c:pt>
                <c:pt idx="739">
                  <c:v>6.68</c:v>
                </c:pt>
                <c:pt idx="740">
                  <c:v>11.94</c:v>
                </c:pt>
                <c:pt idx="741">
                  <c:v>9.42</c:v>
                </c:pt>
                <c:pt idx="742">
                  <c:v>8.51</c:v>
                </c:pt>
                <c:pt idx="743">
                  <c:v>13.81</c:v>
                </c:pt>
                <c:pt idx="744">
                  <c:v>17.309999999999999</c:v>
                </c:pt>
                <c:pt idx="745">
                  <c:v>9.58</c:v>
                </c:pt>
                <c:pt idx="746">
                  <c:v>10.729999999999999</c:v>
                </c:pt>
                <c:pt idx="747">
                  <c:v>0.31000000000000005</c:v>
                </c:pt>
                <c:pt idx="748">
                  <c:v>9.0000000000000024E-2</c:v>
                </c:pt>
                <c:pt idx="749">
                  <c:v>0.34000000000000008</c:v>
                </c:pt>
                <c:pt idx="750">
                  <c:v>0.84000000000000008</c:v>
                </c:pt>
                <c:pt idx="751">
                  <c:v>16.670000000000005</c:v>
                </c:pt>
                <c:pt idx="752">
                  <c:v>13.729999999999999</c:v>
                </c:pt>
                <c:pt idx="753">
                  <c:v>12.2</c:v>
                </c:pt>
                <c:pt idx="754">
                  <c:v>22.4</c:v>
                </c:pt>
                <c:pt idx="755">
                  <c:v>27.52</c:v>
                </c:pt>
                <c:pt idx="756">
                  <c:v>13.61</c:v>
                </c:pt>
                <c:pt idx="757">
                  <c:v>11.18</c:v>
                </c:pt>
                <c:pt idx="758">
                  <c:v>15.98</c:v>
                </c:pt>
                <c:pt idx="759">
                  <c:v>21.479999999999997</c:v>
                </c:pt>
                <c:pt idx="760">
                  <c:v>13.04</c:v>
                </c:pt>
                <c:pt idx="761">
                  <c:v>0.5</c:v>
                </c:pt>
                <c:pt idx="762">
                  <c:v>9.129999999999999</c:v>
                </c:pt>
                <c:pt idx="763">
                  <c:v>39.33</c:v>
                </c:pt>
                <c:pt idx="764">
                  <c:v>25.95</c:v>
                </c:pt>
                <c:pt idx="765">
                  <c:v>10.61</c:v>
                </c:pt>
                <c:pt idx="766">
                  <c:v>6.8</c:v>
                </c:pt>
                <c:pt idx="767">
                  <c:v>13.239999999999998</c:v>
                </c:pt>
                <c:pt idx="768">
                  <c:v>16.649999999999999</c:v>
                </c:pt>
                <c:pt idx="769">
                  <c:v>34.06</c:v>
                </c:pt>
                <c:pt idx="770">
                  <c:v>11.229999999999999</c:v>
                </c:pt>
                <c:pt idx="771">
                  <c:v>11.91</c:v>
                </c:pt>
                <c:pt idx="772">
                  <c:v>10.729999999999999</c:v>
                </c:pt>
                <c:pt idx="773">
                  <c:v>1.0000000000000002E-2</c:v>
                </c:pt>
                <c:pt idx="774">
                  <c:v>2.0000000000000004E-2</c:v>
                </c:pt>
                <c:pt idx="775">
                  <c:v>0.7400000000000001</c:v>
                </c:pt>
                <c:pt idx="776">
                  <c:v>1.1299999999999997</c:v>
                </c:pt>
                <c:pt idx="777">
                  <c:v>1.48</c:v>
                </c:pt>
                <c:pt idx="778">
                  <c:v>0.98</c:v>
                </c:pt>
                <c:pt idx="779">
                  <c:v>1.57</c:v>
                </c:pt>
                <c:pt idx="780">
                  <c:v>6.51</c:v>
                </c:pt>
                <c:pt idx="781">
                  <c:v>1.7900000000000003</c:v>
                </c:pt>
                <c:pt idx="782">
                  <c:v>5.2</c:v>
                </c:pt>
                <c:pt idx="783">
                  <c:v>6.7</c:v>
                </c:pt>
                <c:pt idx="784">
                  <c:v>9.0500000000000007</c:v>
                </c:pt>
                <c:pt idx="785">
                  <c:v>3.66</c:v>
                </c:pt>
                <c:pt idx="786">
                  <c:v>0.62000000000000011</c:v>
                </c:pt>
                <c:pt idx="787">
                  <c:v>0.96000000000000008</c:v>
                </c:pt>
                <c:pt idx="788">
                  <c:v>0.96000000000000008</c:v>
                </c:pt>
                <c:pt idx="789">
                  <c:v>8.8700000000000028</c:v>
                </c:pt>
                <c:pt idx="790">
                  <c:v>4.74</c:v>
                </c:pt>
                <c:pt idx="791">
                  <c:v>8.129999999999999</c:v>
                </c:pt>
                <c:pt idx="792">
                  <c:v>19.22</c:v>
                </c:pt>
                <c:pt idx="793">
                  <c:v>15.3</c:v>
                </c:pt>
                <c:pt idx="794">
                  <c:v>10.139999999999999</c:v>
                </c:pt>
                <c:pt idx="795">
                  <c:v>12.76</c:v>
                </c:pt>
                <c:pt idx="796">
                  <c:v>6.68</c:v>
                </c:pt>
                <c:pt idx="797">
                  <c:v>11.94</c:v>
                </c:pt>
                <c:pt idx="798">
                  <c:v>9.42</c:v>
                </c:pt>
                <c:pt idx="799">
                  <c:v>8.51</c:v>
                </c:pt>
                <c:pt idx="800">
                  <c:v>13.81</c:v>
                </c:pt>
                <c:pt idx="801">
                  <c:v>17.309999999999999</c:v>
                </c:pt>
                <c:pt idx="802">
                  <c:v>9.58</c:v>
                </c:pt>
                <c:pt idx="803">
                  <c:v>10.729999999999999</c:v>
                </c:pt>
                <c:pt idx="804">
                  <c:v>0.97</c:v>
                </c:pt>
                <c:pt idx="805">
                  <c:v>1.5</c:v>
                </c:pt>
                <c:pt idx="806">
                  <c:v>0.87000000000000011</c:v>
                </c:pt>
                <c:pt idx="807">
                  <c:v>16.670000000000005</c:v>
                </c:pt>
                <c:pt idx="808">
                  <c:v>13.729999999999999</c:v>
                </c:pt>
                <c:pt idx="809">
                  <c:v>12.2</c:v>
                </c:pt>
                <c:pt idx="810">
                  <c:v>22.4</c:v>
                </c:pt>
                <c:pt idx="811">
                  <c:v>27.52</c:v>
                </c:pt>
                <c:pt idx="812">
                  <c:v>13.61</c:v>
                </c:pt>
                <c:pt idx="813">
                  <c:v>11.18</c:v>
                </c:pt>
                <c:pt idx="814">
                  <c:v>15.98</c:v>
                </c:pt>
                <c:pt idx="815">
                  <c:v>21.479999999999997</c:v>
                </c:pt>
                <c:pt idx="816">
                  <c:v>13.04</c:v>
                </c:pt>
                <c:pt idx="817">
                  <c:v>1.7500000000000002</c:v>
                </c:pt>
                <c:pt idx="818">
                  <c:v>9.129999999999999</c:v>
                </c:pt>
                <c:pt idx="819">
                  <c:v>39.33</c:v>
                </c:pt>
                <c:pt idx="820">
                  <c:v>25.95</c:v>
                </c:pt>
                <c:pt idx="821">
                  <c:v>10.61</c:v>
                </c:pt>
                <c:pt idx="822">
                  <c:v>6.8</c:v>
                </c:pt>
                <c:pt idx="823">
                  <c:v>13.239999999999998</c:v>
                </c:pt>
                <c:pt idx="824">
                  <c:v>16.649999999999999</c:v>
                </c:pt>
                <c:pt idx="825">
                  <c:v>34.06</c:v>
                </c:pt>
                <c:pt idx="826">
                  <c:v>11.229999999999999</c:v>
                </c:pt>
                <c:pt idx="827">
                  <c:v>11.91</c:v>
                </c:pt>
                <c:pt idx="828">
                  <c:v>10.729999999999999</c:v>
                </c:pt>
                <c:pt idx="829">
                  <c:v>0.43000000000000005</c:v>
                </c:pt>
                <c:pt idx="830">
                  <c:v>0.14000000000000001</c:v>
                </c:pt>
                <c:pt idx="831">
                  <c:v>1.1599999999999997</c:v>
                </c:pt>
                <c:pt idx="832">
                  <c:v>1.43</c:v>
                </c:pt>
                <c:pt idx="833">
                  <c:v>0.8600000000000001</c:v>
                </c:pt>
                <c:pt idx="834">
                  <c:v>1.48</c:v>
                </c:pt>
                <c:pt idx="835">
                  <c:v>0.55000000000000004</c:v>
                </c:pt>
                <c:pt idx="836">
                  <c:v>1.34</c:v>
                </c:pt>
                <c:pt idx="837">
                  <c:v>1.6500000000000001</c:v>
                </c:pt>
                <c:pt idx="838">
                  <c:v>1.34</c:v>
                </c:pt>
                <c:pt idx="839">
                  <c:v>0.96000000000000008</c:v>
                </c:pt>
                <c:pt idx="840">
                  <c:v>5.45</c:v>
                </c:pt>
                <c:pt idx="841">
                  <c:v>3.53</c:v>
                </c:pt>
                <c:pt idx="842">
                  <c:v>7.6499999999999995</c:v>
                </c:pt>
                <c:pt idx="843">
                  <c:v>4.4300000000000006</c:v>
                </c:pt>
                <c:pt idx="844">
                  <c:v>5.8199999999999994</c:v>
                </c:pt>
                <c:pt idx="845">
                  <c:v>4.2</c:v>
                </c:pt>
                <c:pt idx="846">
                  <c:v>3.17</c:v>
                </c:pt>
                <c:pt idx="847">
                  <c:v>4.7300000000000004</c:v>
                </c:pt>
                <c:pt idx="848">
                  <c:v>2.69</c:v>
                </c:pt>
                <c:pt idx="849">
                  <c:v>2.2000000000000002</c:v>
                </c:pt>
                <c:pt idx="850">
                  <c:v>1.98</c:v>
                </c:pt>
                <c:pt idx="851">
                  <c:v>1.97</c:v>
                </c:pt>
                <c:pt idx="852">
                  <c:v>2.14</c:v>
                </c:pt>
                <c:pt idx="853">
                  <c:v>1.54</c:v>
                </c:pt>
                <c:pt idx="854">
                  <c:v>2.25</c:v>
                </c:pt>
                <c:pt idx="855">
                  <c:v>3.16</c:v>
                </c:pt>
                <c:pt idx="856">
                  <c:v>3.86</c:v>
                </c:pt>
                <c:pt idx="857">
                  <c:v>3.05</c:v>
                </c:pt>
                <c:pt idx="858">
                  <c:v>2.96</c:v>
                </c:pt>
                <c:pt idx="859">
                  <c:v>2.0299999999999998</c:v>
                </c:pt>
                <c:pt idx="860">
                  <c:v>2.17</c:v>
                </c:pt>
                <c:pt idx="861">
                  <c:v>0.96000000000000008</c:v>
                </c:pt>
                <c:pt idx="862">
                  <c:v>0.97</c:v>
                </c:pt>
                <c:pt idx="863">
                  <c:v>4.0599999999999996</c:v>
                </c:pt>
                <c:pt idx="864">
                  <c:v>4.53</c:v>
                </c:pt>
                <c:pt idx="865">
                  <c:v>3.23</c:v>
                </c:pt>
                <c:pt idx="866">
                  <c:v>9.129999999999999</c:v>
                </c:pt>
                <c:pt idx="867">
                  <c:v>12.77</c:v>
                </c:pt>
                <c:pt idx="868">
                  <c:v>4.84</c:v>
                </c:pt>
                <c:pt idx="869">
                  <c:v>4.22</c:v>
                </c:pt>
                <c:pt idx="870">
                  <c:v>2.68</c:v>
                </c:pt>
                <c:pt idx="871">
                  <c:v>5.41</c:v>
                </c:pt>
                <c:pt idx="872">
                  <c:v>2.9</c:v>
                </c:pt>
                <c:pt idx="873">
                  <c:v>3.72</c:v>
                </c:pt>
                <c:pt idx="874">
                  <c:v>3.7800000000000002</c:v>
                </c:pt>
                <c:pt idx="875">
                  <c:v>1.5</c:v>
                </c:pt>
                <c:pt idx="876">
                  <c:v>0.49000000000000005</c:v>
                </c:pt>
                <c:pt idx="877">
                  <c:v>0.60000000000000009</c:v>
                </c:pt>
                <c:pt idx="878">
                  <c:v>5.18</c:v>
                </c:pt>
                <c:pt idx="879">
                  <c:v>11.34</c:v>
                </c:pt>
                <c:pt idx="880">
                  <c:v>7.48</c:v>
                </c:pt>
                <c:pt idx="881">
                  <c:v>6.07</c:v>
                </c:pt>
                <c:pt idx="882">
                  <c:v>2.25</c:v>
                </c:pt>
                <c:pt idx="883">
                  <c:v>2.3299999999999996</c:v>
                </c:pt>
                <c:pt idx="884">
                  <c:v>6.52</c:v>
                </c:pt>
                <c:pt idx="885">
                  <c:v>6.4300000000000006</c:v>
                </c:pt>
                <c:pt idx="886">
                  <c:v>5.73</c:v>
                </c:pt>
                <c:pt idx="887">
                  <c:v>1.8</c:v>
                </c:pt>
                <c:pt idx="888">
                  <c:v>1.46</c:v>
                </c:pt>
                <c:pt idx="889">
                  <c:v>4.55</c:v>
                </c:pt>
                <c:pt idx="890">
                  <c:v>6.67</c:v>
                </c:pt>
                <c:pt idx="891">
                  <c:v>9.129999999999999</c:v>
                </c:pt>
                <c:pt idx="892">
                  <c:v>39.33</c:v>
                </c:pt>
                <c:pt idx="893">
                  <c:v>25.95</c:v>
                </c:pt>
                <c:pt idx="894">
                  <c:v>10.61</c:v>
                </c:pt>
                <c:pt idx="895">
                  <c:v>6.8</c:v>
                </c:pt>
                <c:pt idx="896">
                  <c:v>13.239999999999998</c:v>
                </c:pt>
                <c:pt idx="897">
                  <c:v>16.649999999999999</c:v>
                </c:pt>
                <c:pt idx="898">
                  <c:v>34.06</c:v>
                </c:pt>
                <c:pt idx="899">
                  <c:v>11.229999999999999</c:v>
                </c:pt>
                <c:pt idx="900">
                  <c:v>11.91</c:v>
                </c:pt>
                <c:pt idx="901">
                  <c:v>10.729999999999999</c:v>
                </c:pt>
                <c:pt idx="902">
                  <c:v>3.14</c:v>
                </c:pt>
                <c:pt idx="903">
                  <c:v>2.08</c:v>
                </c:pt>
                <c:pt idx="904">
                  <c:v>3.34</c:v>
                </c:pt>
                <c:pt idx="905">
                  <c:v>1.85</c:v>
                </c:pt>
                <c:pt idx="906">
                  <c:v>1.57</c:v>
                </c:pt>
                <c:pt idx="907">
                  <c:v>0.33000000000000007</c:v>
                </c:pt>
                <c:pt idx="908">
                  <c:v>0.14000000000000001</c:v>
                </c:pt>
                <c:pt idx="909">
                  <c:v>8.8700000000000028</c:v>
                </c:pt>
                <c:pt idx="910">
                  <c:v>4.74</c:v>
                </c:pt>
                <c:pt idx="911">
                  <c:v>8.129999999999999</c:v>
                </c:pt>
                <c:pt idx="912">
                  <c:v>19.22</c:v>
                </c:pt>
                <c:pt idx="913">
                  <c:v>15.3</c:v>
                </c:pt>
                <c:pt idx="914">
                  <c:v>10.139999999999999</c:v>
                </c:pt>
                <c:pt idx="915">
                  <c:v>12.76</c:v>
                </c:pt>
                <c:pt idx="916">
                  <c:v>6.68</c:v>
                </c:pt>
                <c:pt idx="917">
                  <c:v>11.94</c:v>
                </c:pt>
                <c:pt idx="918">
                  <c:v>9.42</c:v>
                </c:pt>
                <c:pt idx="919">
                  <c:v>8.51</c:v>
                </c:pt>
                <c:pt idx="920">
                  <c:v>13.81</c:v>
                </c:pt>
                <c:pt idx="921">
                  <c:v>17.309999999999999</c:v>
                </c:pt>
                <c:pt idx="922">
                  <c:v>9.58</c:v>
                </c:pt>
                <c:pt idx="923">
                  <c:v>10.729999999999999</c:v>
                </c:pt>
                <c:pt idx="924">
                  <c:v>1.4</c:v>
                </c:pt>
                <c:pt idx="925">
                  <c:v>0.56000000000000005</c:v>
                </c:pt>
                <c:pt idx="926">
                  <c:v>16.670000000000005</c:v>
                </c:pt>
                <c:pt idx="927">
                  <c:v>13.729999999999999</c:v>
                </c:pt>
                <c:pt idx="928">
                  <c:v>12.2</c:v>
                </c:pt>
                <c:pt idx="929">
                  <c:v>22.4</c:v>
                </c:pt>
                <c:pt idx="930">
                  <c:v>27.52</c:v>
                </c:pt>
                <c:pt idx="931">
                  <c:v>13.61</c:v>
                </c:pt>
                <c:pt idx="932">
                  <c:v>11.18</c:v>
                </c:pt>
                <c:pt idx="933">
                  <c:v>15.98</c:v>
                </c:pt>
                <c:pt idx="934">
                  <c:v>21.479999999999997</c:v>
                </c:pt>
                <c:pt idx="935">
                  <c:v>13.04</c:v>
                </c:pt>
                <c:pt idx="936">
                  <c:v>1.51</c:v>
                </c:pt>
                <c:pt idx="937">
                  <c:v>0.89000000000000012</c:v>
                </c:pt>
                <c:pt idx="938">
                  <c:v>0.28000000000000008</c:v>
                </c:pt>
                <c:pt idx="939">
                  <c:v>1.61</c:v>
                </c:pt>
                <c:pt idx="940">
                  <c:v>0.65000000000000013</c:v>
                </c:pt>
                <c:pt idx="941">
                  <c:v>1.1299999999999997</c:v>
                </c:pt>
                <c:pt idx="942">
                  <c:v>12.709999999999999</c:v>
                </c:pt>
                <c:pt idx="943">
                  <c:v>4.96</c:v>
                </c:pt>
                <c:pt idx="944">
                  <c:v>7.54</c:v>
                </c:pt>
                <c:pt idx="945">
                  <c:v>4.9300000000000006</c:v>
                </c:pt>
                <c:pt idx="946">
                  <c:v>3.53</c:v>
                </c:pt>
                <c:pt idx="947">
                  <c:v>5.03</c:v>
                </c:pt>
                <c:pt idx="948">
                  <c:v>0.26</c:v>
                </c:pt>
                <c:pt idx="949">
                  <c:v>6.51</c:v>
                </c:pt>
                <c:pt idx="950">
                  <c:v>1.7900000000000003</c:v>
                </c:pt>
                <c:pt idx="951">
                  <c:v>5.2</c:v>
                </c:pt>
                <c:pt idx="952">
                  <c:v>6.7</c:v>
                </c:pt>
                <c:pt idx="953">
                  <c:v>9.0500000000000007</c:v>
                </c:pt>
                <c:pt idx="954">
                  <c:v>3.66</c:v>
                </c:pt>
                <c:pt idx="955">
                  <c:v>0.42000000000000004</c:v>
                </c:pt>
                <c:pt idx="956">
                  <c:v>1.36</c:v>
                </c:pt>
                <c:pt idx="957">
                  <c:v>5.45</c:v>
                </c:pt>
                <c:pt idx="958">
                  <c:v>3.53</c:v>
                </c:pt>
                <c:pt idx="959">
                  <c:v>7.6499999999999995</c:v>
                </c:pt>
                <c:pt idx="960">
                  <c:v>4.4300000000000006</c:v>
                </c:pt>
                <c:pt idx="961">
                  <c:v>5.8199999999999994</c:v>
                </c:pt>
                <c:pt idx="962">
                  <c:v>4.2</c:v>
                </c:pt>
                <c:pt idx="963">
                  <c:v>3.17</c:v>
                </c:pt>
                <c:pt idx="964">
                  <c:v>4.7300000000000004</c:v>
                </c:pt>
                <c:pt idx="965">
                  <c:v>2.69</c:v>
                </c:pt>
                <c:pt idx="966">
                  <c:v>2.2000000000000002</c:v>
                </c:pt>
                <c:pt idx="967">
                  <c:v>1.98</c:v>
                </c:pt>
                <c:pt idx="968">
                  <c:v>1.97</c:v>
                </c:pt>
                <c:pt idx="969">
                  <c:v>2.14</c:v>
                </c:pt>
                <c:pt idx="970">
                  <c:v>1.54</c:v>
                </c:pt>
                <c:pt idx="971">
                  <c:v>2.25</c:v>
                </c:pt>
                <c:pt idx="972">
                  <c:v>3.16</c:v>
                </c:pt>
                <c:pt idx="973">
                  <c:v>3.86</c:v>
                </c:pt>
                <c:pt idx="974">
                  <c:v>3.05</c:v>
                </c:pt>
                <c:pt idx="975">
                  <c:v>2.96</c:v>
                </c:pt>
                <c:pt idx="976">
                  <c:v>2.0299999999999998</c:v>
                </c:pt>
                <c:pt idx="977">
                  <c:v>2.17</c:v>
                </c:pt>
                <c:pt idx="978">
                  <c:v>0.69000000000000017</c:v>
                </c:pt>
                <c:pt idx="979">
                  <c:v>0.34000000000000008</c:v>
                </c:pt>
                <c:pt idx="980">
                  <c:v>4.0599999999999996</c:v>
                </c:pt>
                <c:pt idx="981">
                  <c:v>4.53</c:v>
                </c:pt>
                <c:pt idx="982">
                  <c:v>3.23</c:v>
                </c:pt>
                <c:pt idx="983">
                  <c:v>9.129999999999999</c:v>
                </c:pt>
                <c:pt idx="984">
                  <c:v>12.77</c:v>
                </c:pt>
                <c:pt idx="985">
                  <c:v>4.84</c:v>
                </c:pt>
                <c:pt idx="986">
                  <c:v>4.22</c:v>
                </c:pt>
                <c:pt idx="987">
                  <c:v>2.68</c:v>
                </c:pt>
                <c:pt idx="988">
                  <c:v>5.41</c:v>
                </c:pt>
                <c:pt idx="989">
                  <c:v>2.9</c:v>
                </c:pt>
                <c:pt idx="990">
                  <c:v>3.72</c:v>
                </c:pt>
                <c:pt idx="991">
                  <c:v>3.7800000000000002</c:v>
                </c:pt>
                <c:pt idx="992">
                  <c:v>0.5</c:v>
                </c:pt>
                <c:pt idx="993">
                  <c:v>0.51</c:v>
                </c:pt>
                <c:pt idx="994">
                  <c:v>5.18</c:v>
                </c:pt>
                <c:pt idx="995">
                  <c:v>11.34</c:v>
                </c:pt>
                <c:pt idx="996">
                  <c:v>7.48</c:v>
                </c:pt>
                <c:pt idx="997">
                  <c:v>6.07</c:v>
                </c:pt>
                <c:pt idx="998">
                  <c:v>2.25</c:v>
                </c:pt>
                <c:pt idx="999">
                  <c:v>2.3299999999999996</c:v>
                </c:pt>
                <c:pt idx="1000">
                  <c:v>6.52</c:v>
                </c:pt>
                <c:pt idx="1001">
                  <c:v>6.4300000000000006</c:v>
                </c:pt>
                <c:pt idx="1002">
                  <c:v>5.73</c:v>
                </c:pt>
                <c:pt idx="1003">
                  <c:v>1.8</c:v>
                </c:pt>
                <c:pt idx="1004">
                  <c:v>1.46</c:v>
                </c:pt>
                <c:pt idx="1005">
                  <c:v>4.55</c:v>
                </c:pt>
                <c:pt idx="1006">
                  <c:v>6.67</c:v>
                </c:pt>
                <c:pt idx="1007">
                  <c:v>1.6</c:v>
                </c:pt>
                <c:pt idx="1008">
                  <c:v>1.04</c:v>
                </c:pt>
                <c:pt idx="1009">
                  <c:v>0.43000000000000005</c:v>
                </c:pt>
                <c:pt idx="1010">
                  <c:v>1.1700000000000002</c:v>
                </c:pt>
                <c:pt idx="1011">
                  <c:v>2.8499999999999996</c:v>
                </c:pt>
                <c:pt idx="1012">
                  <c:v>0.65000000000000013</c:v>
                </c:pt>
                <c:pt idx="1013">
                  <c:v>1.98</c:v>
                </c:pt>
                <c:pt idx="1014">
                  <c:v>1.6400000000000001</c:v>
                </c:pt>
                <c:pt idx="1015">
                  <c:v>0.42000000000000004</c:v>
                </c:pt>
                <c:pt idx="1016">
                  <c:v>0.52</c:v>
                </c:pt>
                <c:pt idx="1017">
                  <c:v>5.45</c:v>
                </c:pt>
                <c:pt idx="1018">
                  <c:v>3.53</c:v>
                </c:pt>
                <c:pt idx="1019">
                  <c:v>7.6499999999999995</c:v>
                </c:pt>
                <c:pt idx="1020">
                  <c:v>4.4300000000000006</c:v>
                </c:pt>
                <c:pt idx="1021">
                  <c:v>5.8199999999999994</c:v>
                </c:pt>
                <c:pt idx="1022">
                  <c:v>4.2</c:v>
                </c:pt>
                <c:pt idx="1023">
                  <c:v>3.17</c:v>
                </c:pt>
                <c:pt idx="1024">
                  <c:v>4.7300000000000004</c:v>
                </c:pt>
                <c:pt idx="1025">
                  <c:v>2.69</c:v>
                </c:pt>
                <c:pt idx="1026">
                  <c:v>2.2000000000000002</c:v>
                </c:pt>
                <c:pt idx="1027">
                  <c:v>1.98</c:v>
                </c:pt>
                <c:pt idx="1028">
                  <c:v>1.97</c:v>
                </c:pt>
                <c:pt idx="1029">
                  <c:v>2.14</c:v>
                </c:pt>
                <c:pt idx="1030">
                  <c:v>1.54</c:v>
                </c:pt>
                <c:pt idx="1031">
                  <c:v>2.25</c:v>
                </c:pt>
                <c:pt idx="1032">
                  <c:v>3.16</c:v>
                </c:pt>
                <c:pt idx="1033">
                  <c:v>3.86</c:v>
                </c:pt>
                <c:pt idx="1034">
                  <c:v>3.05</c:v>
                </c:pt>
                <c:pt idx="1035">
                  <c:v>2.96</c:v>
                </c:pt>
                <c:pt idx="1036">
                  <c:v>2.0299999999999998</c:v>
                </c:pt>
                <c:pt idx="1037">
                  <c:v>2.17</c:v>
                </c:pt>
                <c:pt idx="1038">
                  <c:v>0.7400000000000001</c:v>
                </c:pt>
                <c:pt idx="1039">
                  <c:v>1.35</c:v>
                </c:pt>
                <c:pt idx="1040">
                  <c:v>4.0599999999999996</c:v>
                </c:pt>
                <c:pt idx="1041">
                  <c:v>4.53</c:v>
                </c:pt>
                <c:pt idx="1042">
                  <c:v>3.23</c:v>
                </c:pt>
                <c:pt idx="1043">
                  <c:v>9.129999999999999</c:v>
                </c:pt>
                <c:pt idx="1044">
                  <c:v>12.77</c:v>
                </c:pt>
                <c:pt idx="1045">
                  <c:v>4.84</c:v>
                </c:pt>
                <c:pt idx="1046">
                  <c:v>4.22</c:v>
                </c:pt>
                <c:pt idx="1047">
                  <c:v>2.68</c:v>
                </c:pt>
                <c:pt idx="1048">
                  <c:v>5.41</c:v>
                </c:pt>
                <c:pt idx="1049">
                  <c:v>2.9</c:v>
                </c:pt>
                <c:pt idx="1050">
                  <c:v>3.72</c:v>
                </c:pt>
                <c:pt idx="1051">
                  <c:v>3.7800000000000002</c:v>
                </c:pt>
                <c:pt idx="1052">
                  <c:v>2.0499999999999998</c:v>
                </c:pt>
                <c:pt idx="1053">
                  <c:v>0.87000000000000011</c:v>
                </c:pt>
                <c:pt idx="1054">
                  <c:v>0.70000000000000007</c:v>
                </c:pt>
                <c:pt idx="1055">
                  <c:v>0.85000000000000009</c:v>
                </c:pt>
                <c:pt idx="1056">
                  <c:v>5.18</c:v>
                </c:pt>
                <c:pt idx="1057">
                  <c:v>11.34</c:v>
                </c:pt>
                <c:pt idx="1058">
                  <c:v>7.48</c:v>
                </c:pt>
                <c:pt idx="1059">
                  <c:v>6.07</c:v>
                </c:pt>
                <c:pt idx="1060">
                  <c:v>2.25</c:v>
                </c:pt>
                <c:pt idx="1061">
                  <c:v>2.3299999999999996</c:v>
                </c:pt>
                <c:pt idx="1062">
                  <c:v>6.52</c:v>
                </c:pt>
                <c:pt idx="1063">
                  <c:v>6.4300000000000006</c:v>
                </c:pt>
                <c:pt idx="1064">
                  <c:v>5.73</c:v>
                </c:pt>
                <c:pt idx="1065">
                  <c:v>1.8</c:v>
                </c:pt>
                <c:pt idx="1066">
                  <c:v>1.46</c:v>
                </c:pt>
                <c:pt idx="1067">
                  <c:v>4.55</c:v>
                </c:pt>
                <c:pt idx="1068">
                  <c:v>6.67</c:v>
                </c:pt>
                <c:pt idx="1069">
                  <c:v>0.30000000000000004</c:v>
                </c:pt>
                <c:pt idx="1070">
                  <c:v>0.78</c:v>
                </c:pt>
                <c:pt idx="1071">
                  <c:v>0.63000000000000012</c:v>
                </c:pt>
                <c:pt idx="1072">
                  <c:v>0.81</c:v>
                </c:pt>
                <c:pt idx="1073">
                  <c:v>1.1000000000000001</c:v>
                </c:pt>
                <c:pt idx="1074">
                  <c:v>0.4</c:v>
                </c:pt>
                <c:pt idx="1075">
                  <c:v>8.8700000000000028</c:v>
                </c:pt>
                <c:pt idx="1076">
                  <c:v>4.74</c:v>
                </c:pt>
                <c:pt idx="1077">
                  <c:v>8.129999999999999</c:v>
                </c:pt>
                <c:pt idx="1078">
                  <c:v>19.22</c:v>
                </c:pt>
                <c:pt idx="1079">
                  <c:v>15.3</c:v>
                </c:pt>
                <c:pt idx="1080">
                  <c:v>10.139999999999999</c:v>
                </c:pt>
                <c:pt idx="1081">
                  <c:v>12.76</c:v>
                </c:pt>
                <c:pt idx="1082">
                  <c:v>6.68</c:v>
                </c:pt>
                <c:pt idx="1083">
                  <c:v>11.94</c:v>
                </c:pt>
                <c:pt idx="1084">
                  <c:v>9.42</c:v>
                </c:pt>
                <c:pt idx="1085">
                  <c:v>8.51</c:v>
                </c:pt>
                <c:pt idx="1086">
                  <c:v>13.81</c:v>
                </c:pt>
                <c:pt idx="1087">
                  <c:v>17.309999999999999</c:v>
                </c:pt>
                <c:pt idx="1088">
                  <c:v>9.58</c:v>
                </c:pt>
                <c:pt idx="1089">
                  <c:v>10.729999999999999</c:v>
                </c:pt>
                <c:pt idx="1090">
                  <c:v>0.1</c:v>
                </c:pt>
                <c:pt idx="1091">
                  <c:v>0.8</c:v>
                </c:pt>
                <c:pt idx="1092">
                  <c:v>0.42000000000000004</c:v>
                </c:pt>
                <c:pt idx="1093">
                  <c:v>0.75000000000000011</c:v>
                </c:pt>
                <c:pt idx="1094">
                  <c:v>16.670000000000005</c:v>
                </c:pt>
                <c:pt idx="1095">
                  <c:v>13.729999999999999</c:v>
                </c:pt>
                <c:pt idx="1096">
                  <c:v>12.2</c:v>
                </c:pt>
                <c:pt idx="1097">
                  <c:v>22.4</c:v>
                </c:pt>
                <c:pt idx="1098">
                  <c:v>27.52</c:v>
                </c:pt>
                <c:pt idx="1099">
                  <c:v>13.61</c:v>
                </c:pt>
                <c:pt idx="1100">
                  <c:v>11.18</c:v>
                </c:pt>
                <c:pt idx="1101">
                  <c:v>15.98</c:v>
                </c:pt>
                <c:pt idx="1102">
                  <c:v>21.479999999999997</c:v>
                </c:pt>
                <c:pt idx="1103">
                  <c:v>13.04</c:v>
                </c:pt>
                <c:pt idx="1104">
                  <c:v>1.1299999999999997</c:v>
                </c:pt>
                <c:pt idx="1105">
                  <c:v>0.43000000000000005</c:v>
                </c:pt>
                <c:pt idx="1106">
                  <c:v>0.32000000000000006</c:v>
                </c:pt>
                <c:pt idx="1107">
                  <c:v>0.41000000000000003</c:v>
                </c:pt>
                <c:pt idx="1108">
                  <c:v>0.87000000000000011</c:v>
                </c:pt>
                <c:pt idx="1109">
                  <c:v>1.23</c:v>
                </c:pt>
                <c:pt idx="1110">
                  <c:v>3.07</c:v>
                </c:pt>
                <c:pt idx="1111">
                  <c:v>1.5</c:v>
                </c:pt>
                <c:pt idx="1112">
                  <c:v>1.55</c:v>
                </c:pt>
                <c:pt idx="1113">
                  <c:v>8.8700000000000028</c:v>
                </c:pt>
                <c:pt idx="1114">
                  <c:v>4.74</c:v>
                </c:pt>
                <c:pt idx="1115">
                  <c:v>8.129999999999999</c:v>
                </c:pt>
                <c:pt idx="1116">
                  <c:v>19.22</c:v>
                </c:pt>
                <c:pt idx="1117">
                  <c:v>15.3</c:v>
                </c:pt>
                <c:pt idx="1118">
                  <c:v>10.139999999999999</c:v>
                </c:pt>
                <c:pt idx="1119">
                  <c:v>12.76</c:v>
                </c:pt>
                <c:pt idx="1120">
                  <c:v>6.68</c:v>
                </c:pt>
                <c:pt idx="1121">
                  <c:v>11.94</c:v>
                </c:pt>
                <c:pt idx="1122">
                  <c:v>9.42</c:v>
                </c:pt>
                <c:pt idx="1123">
                  <c:v>8.51</c:v>
                </c:pt>
                <c:pt idx="1124">
                  <c:v>13.81</c:v>
                </c:pt>
                <c:pt idx="1125">
                  <c:v>17.309999999999999</c:v>
                </c:pt>
                <c:pt idx="1126">
                  <c:v>9.58</c:v>
                </c:pt>
                <c:pt idx="1127">
                  <c:v>10.729999999999999</c:v>
                </c:pt>
                <c:pt idx="1128">
                  <c:v>1.5</c:v>
                </c:pt>
                <c:pt idx="1129">
                  <c:v>1.49</c:v>
                </c:pt>
                <c:pt idx="1130">
                  <c:v>1.48</c:v>
                </c:pt>
                <c:pt idx="1131">
                  <c:v>16.670000000000005</c:v>
                </c:pt>
                <c:pt idx="1132">
                  <c:v>13.729999999999999</c:v>
                </c:pt>
                <c:pt idx="1133">
                  <c:v>12.2</c:v>
                </c:pt>
                <c:pt idx="1134">
                  <c:v>22.4</c:v>
                </c:pt>
                <c:pt idx="1135">
                  <c:v>27.52</c:v>
                </c:pt>
                <c:pt idx="1136">
                  <c:v>13.61</c:v>
                </c:pt>
                <c:pt idx="1137">
                  <c:v>11.18</c:v>
                </c:pt>
                <c:pt idx="1138">
                  <c:v>15.98</c:v>
                </c:pt>
                <c:pt idx="1139">
                  <c:v>21.479999999999997</c:v>
                </c:pt>
                <c:pt idx="1140">
                  <c:v>13.04</c:v>
                </c:pt>
                <c:pt idx="1141">
                  <c:v>5.18</c:v>
                </c:pt>
                <c:pt idx="1142">
                  <c:v>11.34</c:v>
                </c:pt>
                <c:pt idx="1143">
                  <c:v>7.48</c:v>
                </c:pt>
                <c:pt idx="1144">
                  <c:v>6.07</c:v>
                </c:pt>
                <c:pt idx="1145">
                  <c:v>2.25</c:v>
                </c:pt>
                <c:pt idx="1146">
                  <c:v>2.3299999999999996</c:v>
                </c:pt>
                <c:pt idx="1147">
                  <c:v>6.52</c:v>
                </c:pt>
                <c:pt idx="1148">
                  <c:v>6.4300000000000006</c:v>
                </c:pt>
                <c:pt idx="1149">
                  <c:v>5.73</c:v>
                </c:pt>
                <c:pt idx="1150">
                  <c:v>1.8</c:v>
                </c:pt>
                <c:pt idx="1151">
                  <c:v>1.46</c:v>
                </c:pt>
                <c:pt idx="1152">
                  <c:v>4.55</c:v>
                </c:pt>
                <c:pt idx="1153">
                  <c:v>6.67</c:v>
                </c:pt>
                <c:pt idx="1154">
                  <c:v>1.7500000000000002</c:v>
                </c:pt>
                <c:pt idx="1155">
                  <c:v>1.24</c:v>
                </c:pt>
                <c:pt idx="1156">
                  <c:v>1.86</c:v>
                </c:pt>
                <c:pt idx="1157">
                  <c:v>0.81</c:v>
                </c:pt>
                <c:pt idx="1158">
                  <c:v>1.7900000000000003</c:v>
                </c:pt>
                <c:pt idx="1159">
                  <c:v>4.4700000000000006</c:v>
                </c:pt>
                <c:pt idx="1160">
                  <c:v>4.6599999999999993</c:v>
                </c:pt>
                <c:pt idx="1161">
                  <c:v>3.12</c:v>
                </c:pt>
                <c:pt idx="1162">
                  <c:v>4.4800000000000004</c:v>
                </c:pt>
                <c:pt idx="1163">
                  <c:v>5.0199999999999996</c:v>
                </c:pt>
                <c:pt idx="1164">
                  <c:v>4.84</c:v>
                </c:pt>
                <c:pt idx="1165">
                  <c:v>5.08</c:v>
                </c:pt>
                <c:pt idx="1166">
                  <c:v>0.62000000000000011</c:v>
                </c:pt>
                <c:pt idx="1167">
                  <c:v>0.85000000000000009</c:v>
                </c:pt>
                <c:pt idx="1168">
                  <c:v>8.8700000000000028</c:v>
                </c:pt>
                <c:pt idx="1169">
                  <c:v>4.74</c:v>
                </c:pt>
                <c:pt idx="1170">
                  <c:v>8.129999999999999</c:v>
                </c:pt>
                <c:pt idx="1171">
                  <c:v>19.22</c:v>
                </c:pt>
                <c:pt idx="1172">
                  <c:v>15.3</c:v>
                </c:pt>
                <c:pt idx="1173">
                  <c:v>10.139999999999999</c:v>
                </c:pt>
                <c:pt idx="1174">
                  <c:v>12.76</c:v>
                </c:pt>
                <c:pt idx="1175">
                  <c:v>6.68</c:v>
                </c:pt>
                <c:pt idx="1176">
                  <c:v>11.94</c:v>
                </c:pt>
                <c:pt idx="1177">
                  <c:v>9.42</c:v>
                </c:pt>
                <c:pt idx="1178">
                  <c:v>8.51</c:v>
                </c:pt>
                <c:pt idx="1179">
                  <c:v>13.81</c:v>
                </c:pt>
                <c:pt idx="1180">
                  <c:v>17.309999999999999</c:v>
                </c:pt>
                <c:pt idx="1181">
                  <c:v>9.58</c:v>
                </c:pt>
                <c:pt idx="1182">
                  <c:v>10.729999999999999</c:v>
                </c:pt>
                <c:pt idx="1183">
                  <c:v>3.2600000000000002</c:v>
                </c:pt>
                <c:pt idx="1184">
                  <c:v>11.5</c:v>
                </c:pt>
                <c:pt idx="1185">
                  <c:v>1.41</c:v>
                </c:pt>
                <c:pt idx="1186">
                  <c:v>2.94</c:v>
                </c:pt>
                <c:pt idx="1187">
                  <c:v>16.670000000000005</c:v>
                </c:pt>
                <c:pt idx="1188">
                  <c:v>13.729999999999999</c:v>
                </c:pt>
                <c:pt idx="1189">
                  <c:v>12.2</c:v>
                </c:pt>
                <c:pt idx="1190">
                  <c:v>22.4</c:v>
                </c:pt>
                <c:pt idx="1191">
                  <c:v>27.52</c:v>
                </c:pt>
                <c:pt idx="1192">
                  <c:v>13.61</c:v>
                </c:pt>
                <c:pt idx="1193">
                  <c:v>11.18</c:v>
                </c:pt>
                <c:pt idx="1194">
                  <c:v>15.98</c:v>
                </c:pt>
                <c:pt idx="1195">
                  <c:v>21.479999999999997</c:v>
                </c:pt>
                <c:pt idx="1196">
                  <c:v>13.04</c:v>
                </c:pt>
                <c:pt idx="1197">
                  <c:v>2.3099999999999996</c:v>
                </c:pt>
                <c:pt idx="1198">
                  <c:v>9.129999999999999</c:v>
                </c:pt>
                <c:pt idx="1199">
                  <c:v>39.33</c:v>
                </c:pt>
                <c:pt idx="1200">
                  <c:v>25.95</c:v>
                </c:pt>
                <c:pt idx="1201">
                  <c:v>10.61</c:v>
                </c:pt>
                <c:pt idx="1202">
                  <c:v>6.8</c:v>
                </c:pt>
                <c:pt idx="1203">
                  <c:v>13.239999999999998</c:v>
                </c:pt>
                <c:pt idx="1204">
                  <c:v>16.649999999999999</c:v>
                </c:pt>
                <c:pt idx="1205">
                  <c:v>34.06</c:v>
                </c:pt>
                <c:pt idx="1206">
                  <c:v>11.229999999999999</c:v>
                </c:pt>
                <c:pt idx="1207">
                  <c:v>11.91</c:v>
                </c:pt>
                <c:pt idx="1208">
                  <c:v>10.729999999999999</c:v>
                </c:pt>
                <c:pt idx="1209">
                  <c:v>1.8900000000000001</c:v>
                </c:pt>
                <c:pt idx="1210">
                  <c:v>3.94</c:v>
                </c:pt>
                <c:pt idx="1211">
                  <c:v>0.35000000000000003</c:v>
                </c:pt>
                <c:pt idx="1212">
                  <c:v>0.59000000000000008</c:v>
                </c:pt>
                <c:pt idx="1213">
                  <c:v>1.44</c:v>
                </c:pt>
                <c:pt idx="1214">
                  <c:v>0.21000000000000002</c:v>
                </c:pt>
                <c:pt idx="1215">
                  <c:v>0.30000000000000004</c:v>
                </c:pt>
                <c:pt idx="1216">
                  <c:v>5.45</c:v>
                </c:pt>
                <c:pt idx="1217">
                  <c:v>3.53</c:v>
                </c:pt>
                <c:pt idx="1218">
                  <c:v>7.6499999999999995</c:v>
                </c:pt>
                <c:pt idx="1219">
                  <c:v>4.4300000000000006</c:v>
                </c:pt>
                <c:pt idx="1220">
                  <c:v>5.8199999999999994</c:v>
                </c:pt>
                <c:pt idx="1221">
                  <c:v>4.2</c:v>
                </c:pt>
                <c:pt idx="1222">
                  <c:v>3.17</c:v>
                </c:pt>
                <c:pt idx="1223">
                  <c:v>4.7300000000000004</c:v>
                </c:pt>
                <c:pt idx="1224">
                  <c:v>2.69</c:v>
                </c:pt>
                <c:pt idx="1225">
                  <c:v>2.2000000000000002</c:v>
                </c:pt>
                <c:pt idx="1226">
                  <c:v>1.98</c:v>
                </c:pt>
                <c:pt idx="1227">
                  <c:v>1.97</c:v>
                </c:pt>
                <c:pt idx="1228">
                  <c:v>2.14</c:v>
                </c:pt>
                <c:pt idx="1229">
                  <c:v>1.54</c:v>
                </c:pt>
                <c:pt idx="1230">
                  <c:v>2.25</c:v>
                </c:pt>
                <c:pt idx="1231">
                  <c:v>3.16</c:v>
                </c:pt>
                <c:pt idx="1232">
                  <c:v>3.86</c:v>
                </c:pt>
                <c:pt idx="1233">
                  <c:v>3.05</c:v>
                </c:pt>
                <c:pt idx="1234">
                  <c:v>2.96</c:v>
                </c:pt>
                <c:pt idx="1235">
                  <c:v>2.0299999999999998</c:v>
                </c:pt>
                <c:pt idx="1236">
                  <c:v>2.17</c:v>
                </c:pt>
                <c:pt idx="1237">
                  <c:v>0.36000000000000004</c:v>
                </c:pt>
                <c:pt idx="1238">
                  <c:v>0.36000000000000004</c:v>
                </c:pt>
                <c:pt idx="1239">
                  <c:v>4.0599999999999996</c:v>
                </c:pt>
                <c:pt idx="1240">
                  <c:v>4.53</c:v>
                </c:pt>
                <c:pt idx="1241">
                  <c:v>3.23</c:v>
                </c:pt>
                <c:pt idx="1242">
                  <c:v>9.129999999999999</c:v>
                </c:pt>
                <c:pt idx="1243">
                  <c:v>12.77</c:v>
                </c:pt>
                <c:pt idx="1244">
                  <c:v>4.84</c:v>
                </c:pt>
                <c:pt idx="1245">
                  <c:v>4.22</c:v>
                </c:pt>
                <c:pt idx="1246">
                  <c:v>2.68</c:v>
                </c:pt>
                <c:pt idx="1247">
                  <c:v>5.41</c:v>
                </c:pt>
                <c:pt idx="1248">
                  <c:v>2.9</c:v>
                </c:pt>
                <c:pt idx="1249">
                  <c:v>3.72</c:v>
                </c:pt>
                <c:pt idx="1250">
                  <c:v>3.7800000000000002</c:v>
                </c:pt>
                <c:pt idx="1251">
                  <c:v>0.82000000000000006</c:v>
                </c:pt>
                <c:pt idx="1252">
                  <c:v>0.76000000000000012</c:v>
                </c:pt>
                <c:pt idx="1253">
                  <c:v>0.43000000000000005</c:v>
                </c:pt>
                <c:pt idx="1254">
                  <c:v>5.18</c:v>
                </c:pt>
                <c:pt idx="1255">
                  <c:v>11.34</c:v>
                </c:pt>
                <c:pt idx="1256">
                  <c:v>7.48</c:v>
                </c:pt>
                <c:pt idx="1257">
                  <c:v>6.07</c:v>
                </c:pt>
                <c:pt idx="1258">
                  <c:v>2.25</c:v>
                </c:pt>
                <c:pt idx="1259">
                  <c:v>2.3299999999999996</c:v>
                </c:pt>
                <c:pt idx="1260">
                  <c:v>6.52</c:v>
                </c:pt>
                <c:pt idx="1261">
                  <c:v>6.4300000000000006</c:v>
                </c:pt>
                <c:pt idx="1262">
                  <c:v>5.73</c:v>
                </c:pt>
                <c:pt idx="1263">
                  <c:v>1.8</c:v>
                </c:pt>
                <c:pt idx="1264">
                  <c:v>1.46</c:v>
                </c:pt>
                <c:pt idx="1265">
                  <c:v>4.55</c:v>
                </c:pt>
                <c:pt idx="1266">
                  <c:v>6.67</c:v>
                </c:pt>
                <c:pt idx="1267">
                  <c:v>0.24000000000000002</c:v>
                </c:pt>
                <c:pt idx="1268">
                  <c:v>0.48000000000000004</c:v>
                </c:pt>
                <c:pt idx="1269">
                  <c:v>0.21000000000000002</c:v>
                </c:pt>
                <c:pt idx="1270">
                  <c:v>9.26</c:v>
                </c:pt>
                <c:pt idx="1271">
                  <c:v>1.21</c:v>
                </c:pt>
                <c:pt idx="1272">
                  <c:v>1.7400000000000002</c:v>
                </c:pt>
                <c:pt idx="1273">
                  <c:v>1.08</c:v>
                </c:pt>
                <c:pt idx="1274">
                  <c:v>12.709999999999999</c:v>
                </c:pt>
                <c:pt idx="1275">
                  <c:v>4.96</c:v>
                </c:pt>
                <c:pt idx="1276">
                  <c:v>7.54</c:v>
                </c:pt>
                <c:pt idx="1277">
                  <c:v>4.9300000000000006</c:v>
                </c:pt>
                <c:pt idx="1278">
                  <c:v>3.53</c:v>
                </c:pt>
                <c:pt idx="1279">
                  <c:v>5.03</c:v>
                </c:pt>
                <c:pt idx="1280">
                  <c:v>3.82</c:v>
                </c:pt>
                <c:pt idx="1281">
                  <c:v>3.63</c:v>
                </c:pt>
                <c:pt idx="1282">
                  <c:v>7.46</c:v>
                </c:pt>
                <c:pt idx="1283">
                  <c:v>5.76</c:v>
                </c:pt>
                <c:pt idx="1284">
                  <c:v>3.77</c:v>
                </c:pt>
                <c:pt idx="1285">
                  <c:v>5.58</c:v>
                </c:pt>
                <c:pt idx="1286">
                  <c:v>6.24</c:v>
                </c:pt>
                <c:pt idx="1287">
                  <c:v>0.92</c:v>
                </c:pt>
                <c:pt idx="1288">
                  <c:v>8.8700000000000028</c:v>
                </c:pt>
                <c:pt idx="1289">
                  <c:v>4.74</c:v>
                </c:pt>
                <c:pt idx="1290">
                  <c:v>8.129999999999999</c:v>
                </c:pt>
                <c:pt idx="1291">
                  <c:v>19.22</c:v>
                </c:pt>
                <c:pt idx="1292">
                  <c:v>15.3</c:v>
                </c:pt>
                <c:pt idx="1293">
                  <c:v>10.139999999999999</c:v>
                </c:pt>
                <c:pt idx="1294">
                  <c:v>12.76</c:v>
                </c:pt>
                <c:pt idx="1295">
                  <c:v>6.68</c:v>
                </c:pt>
                <c:pt idx="1296">
                  <c:v>11.94</c:v>
                </c:pt>
                <c:pt idx="1297">
                  <c:v>9.42</c:v>
                </c:pt>
                <c:pt idx="1298">
                  <c:v>8.51</c:v>
                </c:pt>
                <c:pt idx="1299">
                  <c:v>13.81</c:v>
                </c:pt>
                <c:pt idx="1300">
                  <c:v>17.309999999999999</c:v>
                </c:pt>
                <c:pt idx="1301">
                  <c:v>9.58</c:v>
                </c:pt>
                <c:pt idx="1302">
                  <c:v>10.729999999999999</c:v>
                </c:pt>
                <c:pt idx="1303">
                  <c:v>4.0599999999999996</c:v>
                </c:pt>
                <c:pt idx="1304">
                  <c:v>4.53</c:v>
                </c:pt>
                <c:pt idx="1305">
                  <c:v>3.23</c:v>
                </c:pt>
                <c:pt idx="1306">
                  <c:v>9.129999999999999</c:v>
                </c:pt>
                <c:pt idx="1307">
                  <c:v>12.77</c:v>
                </c:pt>
                <c:pt idx="1308">
                  <c:v>4.84</c:v>
                </c:pt>
                <c:pt idx="1309">
                  <c:v>4.22</c:v>
                </c:pt>
                <c:pt idx="1310">
                  <c:v>2.68</c:v>
                </c:pt>
                <c:pt idx="1311">
                  <c:v>5.41</c:v>
                </c:pt>
                <c:pt idx="1312">
                  <c:v>2.9</c:v>
                </c:pt>
                <c:pt idx="1313">
                  <c:v>3.72</c:v>
                </c:pt>
                <c:pt idx="1314">
                  <c:v>0.8</c:v>
                </c:pt>
                <c:pt idx="1315">
                  <c:v>0.42000000000000004</c:v>
                </c:pt>
                <c:pt idx="1316">
                  <c:v>0.75000000000000011</c:v>
                </c:pt>
                <c:pt idx="1317">
                  <c:v>5.18</c:v>
                </c:pt>
                <c:pt idx="1318">
                  <c:v>11.34</c:v>
                </c:pt>
                <c:pt idx="1319">
                  <c:v>7.48</c:v>
                </c:pt>
                <c:pt idx="1320">
                  <c:v>6.07</c:v>
                </c:pt>
                <c:pt idx="1321">
                  <c:v>2.25</c:v>
                </c:pt>
                <c:pt idx="1322">
                  <c:v>2.3299999999999996</c:v>
                </c:pt>
                <c:pt idx="1323">
                  <c:v>6.52</c:v>
                </c:pt>
                <c:pt idx="1324">
                  <c:v>6.4300000000000006</c:v>
                </c:pt>
                <c:pt idx="1325">
                  <c:v>5.73</c:v>
                </c:pt>
                <c:pt idx="1326">
                  <c:v>1.8</c:v>
                </c:pt>
                <c:pt idx="1327">
                  <c:v>1.46</c:v>
                </c:pt>
                <c:pt idx="1328">
                  <c:v>4.55</c:v>
                </c:pt>
                <c:pt idx="1329">
                  <c:v>6.67</c:v>
                </c:pt>
                <c:pt idx="1330">
                  <c:v>0.7400000000000001</c:v>
                </c:pt>
                <c:pt idx="1331">
                  <c:v>1.1299999999999997</c:v>
                </c:pt>
                <c:pt idx="1332">
                  <c:v>1.2</c:v>
                </c:pt>
                <c:pt idx="1333">
                  <c:v>1.31</c:v>
                </c:pt>
                <c:pt idx="1334">
                  <c:v>2.13</c:v>
                </c:pt>
                <c:pt idx="1335">
                  <c:v>3.2</c:v>
                </c:pt>
                <c:pt idx="1336">
                  <c:v>2.58</c:v>
                </c:pt>
                <c:pt idx="1337">
                  <c:v>6.51</c:v>
                </c:pt>
                <c:pt idx="1338">
                  <c:v>1.7900000000000003</c:v>
                </c:pt>
                <c:pt idx="1339">
                  <c:v>5.2</c:v>
                </c:pt>
                <c:pt idx="1340">
                  <c:v>6.7</c:v>
                </c:pt>
                <c:pt idx="1341">
                  <c:v>9.0500000000000007</c:v>
                </c:pt>
                <c:pt idx="1342">
                  <c:v>3.66</c:v>
                </c:pt>
                <c:pt idx="1343">
                  <c:v>2.71</c:v>
                </c:pt>
                <c:pt idx="1344">
                  <c:v>1.01</c:v>
                </c:pt>
                <c:pt idx="1345">
                  <c:v>5.45</c:v>
                </c:pt>
                <c:pt idx="1346">
                  <c:v>3.53</c:v>
                </c:pt>
                <c:pt idx="1347">
                  <c:v>7.6499999999999995</c:v>
                </c:pt>
                <c:pt idx="1348">
                  <c:v>4.4300000000000006</c:v>
                </c:pt>
                <c:pt idx="1349">
                  <c:v>5.8199999999999994</c:v>
                </c:pt>
                <c:pt idx="1350">
                  <c:v>4.2</c:v>
                </c:pt>
                <c:pt idx="1351">
                  <c:v>3.17</c:v>
                </c:pt>
                <c:pt idx="1352">
                  <c:v>4.7300000000000004</c:v>
                </c:pt>
                <c:pt idx="1353">
                  <c:v>2.69</c:v>
                </c:pt>
                <c:pt idx="1354">
                  <c:v>2.2000000000000002</c:v>
                </c:pt>
                <c:pt idx="1355">
                  <c:v>1.98</c:v>
                </c:pt>
                <c:pt idx="1356">
                  <c:v>1.97</c:v>
                </c:pt>
                <c:pt idx="1357">
                  <c:v>2.14</c:v>
                </c:pt>
                <c:pt idx="1358">
                  <c:v>1.54</c:v>
                </c:pt>
                <c:pt idx="1359">
                  <c:v>2.25</c:v>
                </c:pt>
                <c:pt idx="1360">
                  <c:v>3.16</c:v>
                </c:pt>
                <c:pt idx="1361">
                  <c:v>3.86</c:v>
                </c:pt>
                <c:pt idx="1362">
                  <c:v>3.05</c:v>
                </c:pt>
                <c:pt idx="1363">
                  <c:v>2.96</c:v>
                </c:pt>
                <c:pt idx="1364">
                  <c:v>2.0299999999999998</c:v>
                </c:pt>
                <c:pt idx="1365">
                  <c:v>2.17</c:v>
                </c:pt>
                <c:pt idx="1366">
                  <c:v>0.17</c:v>
                </c:pt>
                <c:pt idx="1367">
                  <c:v>0.31000000000000005</c:v>
                </c:pt>
                <c:pt idx="1368">
                  <c:v>4.0599999999999996</c:v>
                </c:pt>
                <c:pt idx="1369">
                  <c:v>4.53</c:v>
                </c:pt>
                <c:pt idx="1370">
                  <c:v>3.23</c:v>
                </c:pt>
                <c:pt idx="1371">
                  <c:v>9.129999999999999</c:v>
                </c:pt>
                <c:pt idx="1372">
                  <c:v>12.77</c:v>
                </c:pt>
                <c:pt idx="1373">
                  <c:v>4.84</c:v>
                </c:pt>
                <c:pt idx="1374">
                  <c:v>4.22</c:v>
                </c:pt>
                <c:pt idx="1375">
                  <c:v>2.68</c:v>
                </c:pt>
                <c:pt idx="1376">
                  <c:v>5.41</c:v>
                </c:pt>
                <c:pt idx="1377">
                  <c:v>2.9</c:v>
                </c:pt>
                <c:pt idx="1378">
                  <c:v>3.72</c:v>
                </c:pt>
                <c:pt idx="1379">
                  <c:v>3.7800000000000002</c:v>
                </c:pt>
                <c:pt idx="1380">
                  <c:v>1.25</c:v>
                </c:pt>
                <c:pt idx="1381">
                  <c:v>0.46</c:v>
                </c:pt>
                <c:pt idx="1382">
                  <c:v>2.63</c:v>
                </c:pt>
                <c:pt idx="1383">
                  <c:v>5.18</c:v>
                </c:pt>
                <c:pt idx="1384">
                  <c:v>11.34</c:v>
                </c:pt>
                <c:pt idx="1385">
                  <c:v>7.48</c:v>
                </c:pt>
                <c:pt idx="1386">
                  <c:v>6.07</c:v>
                </c:pt>
                <c:pt idx="1387">
                  <c:v>2.25</c:v>
                </c:pt>
                <c:pt idx="1388">
                  <c:v>2.3299999999999996</c:v>
                </c:pt>
                <c:pt idx="1389">
                  <c:v>6.52</c:v>
                </c:pt>
                <c:pt idx="1390">
                  <c:v>6.4300000000000006</c:v>
                </c:pt>
                <c:pt idx="1391">
                  <c:v>5.73</c:v>
                </c:pt>
                <c:pt idx="1392">
                  <c:v>1.8</c:v>
                </c:pt>
                <c:pt idx="1393">
                  <c:v>1.46</c:v>
                </c:pt>
                <c:pt idx="1394">
                  <c:v>4.55</c:v>
                </c:pt>
                <c:pt idx="1395">
                  <c:v>6.67</c:v>
                </c:pt>
                <c:pt idx="1396">
                  <c:v>2.75</c:v>
                </c:pt>
                <c:pt idx="1397">
                  <c:v>2.04</c:v>
                </c:pt>
                <c:pt idx="1398">
                  <c:v>3.36</c:v>
                </c:pt>
                <c:pt idx="1399">
                  <c:v>3.07</c:v>
                </c:pt>
                <c:pt idx="1400">
                  <c:v>1.8</c:v>
                </c:pt>
                <c:pt idx="1401">
                  <c:v>12.709999999999999</c:v>
                </c:pt>
                <c:pt idx="1402">
                  <c:v>4.96</c:v>
                </c:pt>
                <c:pt idx="1403">
                  <c:v>7.54</c:v>
                </c:pt>
                <c:pt idx="1404">
                  <c:v>4.9300000000000006</c:v>
                </c:pt>
                <c:pt idx="1405">
                  <c:v>3.53</c:v>
                </c:pt>
                <c:pt idx="1406">
                  <c:v>5.03</c:v>
                </c:pt>
                <c:pt idx="1407">
                  <c:v>2.42</c:v>
                </c:pt>
                <c:pt idx="1408">
                  <c:v>6.76</c:v>
                </c:pt>
                <c:pt idx="1409">
                  <c:v>6.51</c:v>
                </c:pt>
                <c:pt idx="1410">
                  <c:v>1.7900000000000003</c:v>
                </c:pt>
                <c:pt idx="1411">
                  <c:v>5.2</c:v>
                </c:pt>
                <c:pt idx="1412">
                  <c:v>6.7</c:v>
                </c:pt>
                <c:pt idx="1413">
                  <c:v>9.0500000000000007</c:v>
                </c:pt>
                <c:pt idx="1414">
                  <c:v>3.66</c:v>
                </c:pt>
                <c:pt idx="1415">
                  <c:v>12.5</c:v>
                </c:pt>
                <c:pt idx="1416">
                  <c:v>9.09</c:v>
                </c:pt>
                <c:pt idx="1417">
                  <c:v>5.45</c:v>
                </c:pt>
                <c:pt idx="1418">
                  <c:v>3.53</c:v>
                </c:pt>
                <c:pt idx="1419">
                  <c:v>7.6499999999999995</c:v>
                </c:pt>
                <c:pt idx="1420">
                  <c:v>4.4300000000000006</c:v>
                </c:pt>
                <c:pt idx="1421">
                  <c:v>5.8199999999999994</c:v>
                </c:pt>
                <c:pt idx="1422">
                  <c:v>4.2</c:v>
                </c:pt>
                <c:pt idx="1423">
                  <c:v>3.17</c:v>
                </c:pt>
                <c:pt idx="1424">
                  <c:v>4.7300000000000004</c:v>
                </c:pt>
                <c:pt idx="1425">
                  <c:v>2.69</c:v>
                </c:pt>
                <c:pt idx="1426">
                  <c:v>2.2000000000000002</c:v>
                </c:pt>
                <c:pt idx="1427">
                  <c:v>1.98</c:v>
                </c:pt>
                <c:pt idx="1428">
                  <c:v>1.97</c:v>
                </c:pt>
                <c:pt idx="1429">
                  <c:v>2.14</c:v>
                </c:pt>
                <c:pt idx="1430">
                  <c:v>1.54</c:v>
                </c:pt>
                <c:pt idx="1431">
                  <c:v>2.25</c:v>
                </c:pt>
                <c:pt idx="1432">
                  <c:v>3.16</c:v>
                </c:pt>
                <c:pt idx="1433">
                  <c:v>3.86</c:v>
                </c:pt>
                <c:pt idx="1434">
                  <c:v>3.05</c:v>
                </c:pt>
                <c:pt idx="1435">
                  <c:v>2.96</c:v>
                </c:pt>
                <c:pt idx="1436">
                  <c:v>2.0299999999999998</c:v>
                </c:pt>
                <c:pt idx="1437">
                  <c:v>2.17</c:v>
                </c:pt>
                <c:pt idx="1438">
                  <c:v>1.6500000000000001</c:v>
                </c:pt>
                <c:pt idx="1439">
                  <c:v>2</c:v>
                </c:pt>
                <c:pt idx="1440">
                  <c:v>4.0599999999999996</c:v>
                </c:pt>
                <c:pt idx="1441">
                  <c:v>4.53</c:v>
                </c:pt>
                <c:pt idx="1442">
                  <c:v>3.23</c:v>
                </c:pt>
                <c:pt idx="1443">
                  <c:v>9.129999999999999</c:v>
                </c:pt>
                <c:pt idx="1444">
                  <c:v>12.77</c:v>
                </c:pt>
                <c:pt idx="1445">
                  <c:v>4.84</c:v>
                </c:pt>
                <c:pt idx="1446">
                  <c:v>4.22</c:v>
                </c:pt>
                <c:pt idx="1447">
                  <c:v>2.68</c:v>
                </c:pt>
                <c:pt idx="1448">
                  <c:v>5.41</c:v>
                </c:pt>
                <c:pt idx="1449">
                  <c:v>2.9</c:v>
                </c:pt>
                <c:pt idx="1450">
                  <c:v>3.72</c:v>
                </c:pt>
                <c:pt idx="1451">
                  <c:v>3.7800000000000002</c:v>
                </c:pt>
                <c:pt idx="1452">
                  <c:v>2.59</c:v>
                </c:pt>
                <c:pt idx="1453">
                  <c:v>1.3900000000000001</c:v>
                </c:pt>
                <c:pt idx="1454">
                  <c:v>3.71</c:v>
                </c:pt>
                <c:pt idx="1455">
                  <c:v>6.24</c:v>
                </c:pt>
                <c:pt idx="1456">
                  <c:v>5.18</c:v>
                </c:pt>
                <c:pt idx="1457">
                  <c:v>11.34</c:v>
                </c:pt>
                <c:pt idx="1458">
                  <c:v>7.48</c:v>
                </c:pt>
                <c:pt idx="1459">
                  <c:v>6.07</c:v>
                </c:pt>
                <c:pt idx="1460">
                  <c:v>2.25</c:v>
                </c:pt>
                <c:pt idx="1461">
                  <c:v>2.3299999999999996</c:v>
                </c:pt>
                <c:pt idx="1462">
                  <c:v>6.52</c:v>
                </c:pt>
                <c:pt idx="1463">
                  <c:v>6.4300000000000006</c:v>
                </c:pt>
                <c:pt idx="1464">
                  <c:v>5.73</c:v>
                </c:pt>
                <c:pt idx="1465">
                  <c:v>1.8</c:v>
                </c:pt>
                <c:pt idx="1466">
                  <c:v>1.46</c:v>
                </c:pt>
                <c:pt idx="1467">
                  <c:v>4.55</c:v>
                </c:pt>
                <c:pt idx="1468">
                  <c:v>6.67</c:v>
                </c:pt>
                <c:pt idx="1469">
                  <c:v>11.719999999999999</c:v>
                </c:pt>
                <c:pt idx="1470">
                  <c:v>1.8900000000000001</c:v>
                </c:pt>
                <c:pt idx="1471">
                  <c:v>1.61</c:v>
                </c:pt>
                <c:pt idx="1472">
                  <c:v>0.11000000000000001</c:v>
                </c:pt>
                <c:pt idx="1473">
                  <c:v>0.47000000000000003</c:v>
                </c:pt>
                <c:pt idx="1474">
                  <c:v>3.0000000000000006E-2</c:v>
                </c:pt>
                <c:pt idx="1475">
                  <c:v>0.71000000000000008</c:v>
                </c:pt>
                <c:pt idx="1476">
                  <c:v>6.51</c:v>
                </c:pt>
                <c:pt idx="1477">
                  <c:v>1.7900000000000003</c:v>
                </c:pt>
                <c:pt idx="1478">
                  <c:v>5.2</c:v>
                </c:pt>
                <c:pt idx="1479">
                  <c:v>6.7</c:v>
                </c:pt>
                <c:pt idx="1480">
                  <c:v>9.0500000000000007</c:v>
                </c:pt>
                <c:pt idx="1481">
                  <c:v>3.66</c:v>
                </c:pt>
                <c:pt idx="1482">
                  <c:v>8.0000000000000016E-2</c:v>
                </c:pt>
                <c:pt idx="1483">
                  <c:v>0.14000000000000001</c:v>
                </c:pt>
                <c:pt idx="1484">
                  <c:v>5.45</c:v>
                </c:pt>
                <c:pt idx="1485">
                  <c:v>3.53</c:v>
                </c:pt>
                <c:pt idx="1486">
                  <c:v>7.6499999999999995</c:v>
                </c:pt>
                <c:pt idx="1487">
                  <c:v>4.4300000000000006</c:v>
                </c:pt>
                <c:pt idx="1488">
                  <c:v>5.8199999999999994</c:v>
                </c:pt>
                <c:pt idx="1489">
                  <c:v>4.2</c:v>
                </c:pt>
                <c:pt idx="1490">
                  <c:v>3.17</c:v>
                </c:pt>
                <c:pt idx="1491">
                  <c:v>4.7300000000000004</c:v>
                </c:pt>
                <c:pt idx="1492">
                  <c:v>2.69</c:v>
                </c:pt>
                <c:pt idx="1493">
                  <c:v>2.2000000000000002</c:v>
                </c:pt>
                <c:pt idx="1494">
                  <c:v>1.98</c:v>
                </c:pt>
                <c:pt idx="1495">
                  <c:v>1.97</c:v>
                </c:pt>
                <c:pt idx="1496">
                  <c:v>2.14</c:v>
                </c:pt>
                <c:pt idx="1497">
                  <c:v>1.54</c:v>
                </c:pt>
                <c:pt idx="1498">
                  <c:v>2.25</c:v>
                </c:pt>
                <c:pt idx="1499">
                  <c:v>3.16</c:v>
                </c:pt>
                <c:pt idx="1500">
                  <c:v>3.86</c:v>
                </c:pt>
                <c:pt idx="1501">
                  <c:v>3.05</c:v>
                </c:pt>
                <c:pt idx="1502">
                  <c:v>2.96</c:v>
                </c:pt>
                <c:pt idx="1503">
                  <c:v>2.0299999999999998</c:v>
                </c:pt>
                <c:pt idx="1504">
                  <c:v>2.17</c:v>
                </c:pt>
                <c:pt idx="1505">
                  <c:v>0.31000000000000005</c:v>
                </c:pt>
                <c:pt idx="1506">
                  <c:v>0.5</c:v>
                </c:pt>
                <c:pt idx="1507">
                  <c:v>4.0599999999999996</c:v>
                </c:pt>
                <c:pt idx="1508">
                  <c:v>4.53</c:v>
                </c:pt>
                <c:pt idx="1509">
                  <c:v>3.23</c:v>
                </c:pt>
                <c:pt idx="1510">
                  <c:v>9.129999999999999</c:v>
                </c:pt>
                <c:pt idx="1511">
                  <c:v>12.77</c:v>
                </c:pt>
                <c:pt idx="1512">
                  <c:v>4.84</c:v>
                </c:pt>
                <c:pt idx="1513">
                  <c:v>4.22</c:v>
                </c:pt>
                <c:pt idx="1514">
                  <c:v>2.68</c:v>
                </c:pt>
                <c:pt idx="1515">
                  <c:v>5.41</c:v>
                </c:pt>
                <c:pt idx="1516">
                  <c:v>2.9</c:v>
                </c:pt>
                <c:pt idx="1517">
                  <c:v>3.72</c:v>
                </c:pt>
                <c:pt idx="1518">
                  <c:v>3.7800000000000002</c:v>
                </c:pt>
                <c:pt idx="1519">
                  <c:v>9.0000000000000024E-2</c:v>
                </c:pt>
                <c:pt idx="1520">
                  <c:v>16.670000000000005</c:v>
                </c:pt>
                <c:pt idx="1521">
                  <c:v>13.729999999999999</c:v>
                </c:pt>
                <c:pt idx="1522">
                  <c:v>12.2</c:v>
                </c:pt>
                <c:pt idx="1523">
                  <c:v>22.4</c:v>
                </c:pt>
                <c:pt idx="1524">
                  <c:v>27.52</c:v>
                </c:pt>
                <c:pt idx="1525">
                  <c:v>13.61</c:v>
                </c:pt>
                <c:pt idx="1526">
                  <c:v>11.18</c:v>
                </c:pt>
                <c:pt idx="1527">
                  <c:v>15.98</c:v>
                </c:pt>
                <c:pt idx="1528">
                  <c:v>21.479999999999997</c:v>
                </c:pt>
                <c:pt idx="1529">
                  <c:v>13.04</c:v>
                </c:pt>
                <c:pt idx="1530">
                  <c:v>3.23</c:v>
                </c:pt>
                <c:pt idx="1531">
                  <c:v>9.129999999999999</c:v>
                </c:pt>
                <c:pt idx="1532">
                  <c:v>39.33</c:v>
                </c:pt>
                <c:pt idx="1533">
                  <c:v>25.95</c:v>
                </c:pt>
                <c:pt idx="1534">
                  <c:v>10.61</c:v>
                </c:pt>
                <c:pt idx="1535">
                  <c:v>6.8</c:v>
                </c:pt>
                <c:pt idx="1536">
                  <c:v>13.239999999999998</c:v>
                </c:pt>
                <c:pt idx="1537">
                  <c:v>16.649999999999999</c:v>
                </c:pt>
                <c:pt idx="1538">
                  <c:v>34.06</c:v>
                </c:pt>
                <c:pt idx="1539">
                  <c:v>11.229999999999999</c:v>
                </c:pt>
                <c:pt idx="1540">
                  <c:v>11.91</c:v>
                </c:pt>
                <c:pt idx="1541">
                  <c:v>10.729999999999999</c:v>
                </c:pt>
                <c:pt idx="1542">
                  <c:v>0.59000000000000008</c:v>
                </c:pt>
                <c:pt idx="1543">
                  <c:v>1.34</c:v>
                </c:pt>
                <c:pt idx="1544">
                  <c:v>1.55</c:v>
                </c:pt>
                <c:pt idx="1545">
                  <c:v>3.82</c:v>
                </c:pt>
                <c:pt idx="1546">
                  <c:v>3.63</c:v>
                </c:pt>
                <c:pt idx="1547">
                  <c:v>7.46</c:v>
                </c:pt>
                <c:pt idx="1548">
                  <c:v>5.76</c:v>
                </c:pt>
                <c:pt idx="1549">
                  <c:v>3.77</c:v>
                </c:pt>
                <c:pt idx="1550">
                  <c:v>5.58</c:v>
                </c:pt>
                <c:pt idx="1551">
                  <c:v>6.24</c:v>
                </c:pt>
                <c:pt idx="1552">
                  <c:v>1.3800000000000001</c:v>
                </c:pt>
                <c:pt idx="1553">
                  <c:v>0.49000000000000005</c:v>
                </c:pt>
                <c:pt idx="1554">
                  <c:v>1.1499999999999997</c:v>
                </c:pt>
                <c:pt idx="1555">
                  <c:v>1.22</c:v>
                </c:pt>
                <c:pt idx="1556">
                  <c:v>9.65</c:v>
                </c:pt>
                <c:pt idx="1557">
                  <c:v>2.56</c:v>
                </c:pt>
                <c:pt idx="1558">
                  <c:v>1.0000000000000002E-2</c:v>
                </c:pt>
                <c:pt idx="1559">
                  <c:v>1.55</c:v>
                </c:pt>
                <c:pt idx="1560">
                  <c:v>1.3800000000000001</c:v>
                </c:pt>
                <c:pt idx="1561">
                  <c:v>5.45</c:v>
                </c:pt>
                <c:pt idx="1562">
                  <c:v>3.53</c:v>
                </c:pt>
                <c:pt idx="1563">
                  <c:v>7.6499999999999995</c:v>
                </c:pt>
                <c:pt idx="1564">
                  <c:v>4.4300000000000006</c:v>
                </c:pt>
                <c:pt idx="1565">
                  <c:v>5.8199999999999994</c:v>
                </c:pt>
                <c:pt idx="1566">
                  <c:v>4.2</c:v>
                </c:pt>
                <c:pt idx="1567">
                  <c:v>3.17</c:v>
                </c:pt>
                <c:pt idx="1568">
                  <c:v>4.7300000000000004</c:v>
                </c:pt>
                <c:pt idx="1569">
                  <c:v>2.69</c:v>
                </c:pt>
                <c:pt idx="1570">
                  <c:v>2.2000000000000002</c:v>
                </c:pt>
                <c:pt idx="1571">
                  <c:v>1.98</c:v>
                </c:pt>
                <c:pt idx="1572">
                  <c:v>1.97</c:v>
                </c:pt>
                <c:pt idx="1573">
                  <c:v>2.14</c:v>
                </c:pt>
                <c:pt idx="1574">
                  <c:v>1.54</c:v>
                </c:pt>
                <c:pt idx="1575">
                  <c:v>2.25</c:v>
                </c:pt>
                <c:pt idx="1576">
                  <c:v>3.16</c:v>
                </c:pt>
                <c:pt idx="1577">
                  <c:v>3.86</c:v>
                </c:pt>
                <c:pt idx="1578">
                  <c:v>3.05</c:v>
                </c:pt>
                <c:pt idx="1579">
                  <c:v>2.96</c:v>
                </c:pt>
                <c:pt idx="1580">
                  <c:v>2.0299999999999998</c:v>
                </c:pt>
                <c:pt idx="1581">
                  <c:v>2.17</c:v>
                </c:pt>
                <c:pt idx="1582">
                  <c:v>0.89000000000000012</c:v>
                </c:pt>
                <c:pt idx="1583">
                  <c:v>4.0599999999999996</c:v>
                </c:pt>
                <c:pt idx="1584">
                  <c:v>4.53</c:v>
                </c:pt>
                <c:pt idx="1585">
                  <c:v>3.23</c:v>
                </c:pt>
                <c:pt idx="1586">
                  <c:v>9.129999999999999</c:v>
                </c:pt>
                <c:pt idx="1587">
                  <c:v>12.77</c:v>
                </c:pt>
                <c:pt idx="1588">
                  <c:v>4.84</c:v>
                </c:pt>
                <c:pt idx="1589">
                  <c:v>4.22</c:v>
                </c:pt>
                <c:pt idx="1590">
                  <c:v>2.68</c:v>
                </c:pt>
                <c:pt idx="1591">
                  <c:v>5.41</c:v>
                </c:pt>
                <c:pt idx="1592">
                  <c:v>2.9</c:v>
                </c:pt>
                <c:pt idx="1593">
                  <c:v>3.72</c:v>
                </c:pt>
                <c:pt idx="1594">
                  <c:v>3.7800000000000002</c:v>
                </c:pt>
                <c:pt idx="1595">
                  <c:v>1.6700000000000002</c:v>
                </c:pt>
                <c:pt idx="1596">
                  <c:v>0.84000000000000008</c:v>
                </c:pt>
                <c:pt idx="1597">
                  <c:v>0.35000000000000003</c:v>
                </c:pt>
                <c:pt idx="1598">
                  <c:v>5.18</c:v>
                </c:pt>
                <c:pt idx="1599">
                  <c:v>11.34</c:v>
                </c:pt>
                <c:pt idx="1600">
                  <c:v>7.48</c:v>
                </c:pt>
                <c:pt idx="1601">
                  <c:v>6.07</c:v>
                </c:pt>
                <c:pt idx="1602">
                  <c:v>2.25</c:v>
                </c:pt>
                <c:pt idx="1603">
                  <c:v>2.3299999999999996</c:v>
                </c:pt>
                <c:pt idx="1604">
                  <c:v>6.52</c:v>
                </c:pt>
                <c:pt idx="1605">
                  <c:v>6.4300000000000006</c:v>
                </c:pt>
                <c:pt idx="1606">
                  <c:v>5.73</c:v>
                </c:pt>
                <c:pt idx="1607">
                  <c:v>1.8</c:v>
                </c:pt>
                <c:pt idx="1608">
                  <c:v>1.46</c:v>
                </c:pt>
                <c:pt idx="1609">
                  <c:v>4.55</c:v>
                </c:pt>
                <c:pt idx="1610">
                  <c:v>6.67</c:v>
                </c:pt>
                <c:pt idx="1611">
                  <c:v>0.5</c:v>
                </c:pt>
                <c:pt idx="1612">
                  <c:v>1.0000000000000002E-2</c:v>
                </c:pt>
                <c:pt idx="1613">
                  <c:v>2.58</c:v>
                </c:pt>
                <c:pt idx="1614">
                  <c:v>2.58</c:v>
                </c:pt>
                <c:pt idx="1615">
                  <c:v>0.31000000000000005</c:v>
                </c:pt>
                <c:pt idx="1616">
                  <c:v>8.8700000000000028</c:v>
                </c:pt>
                <c:pt idx="1617">
                  <c:v>4.74</c:v>
                </c:pt>
                <c:pt idx="1618">
                  <c:v>8.129999999999999</c:v>
                </c:pt>
                <c:pt idx="1619">
                  <c:v>19.22</c:v>
                </c:pt>
                <c:pt idx="1620">
                  <c:v>15.3</c:v>
                </c:pt>
                <c:pt idx="1621">
                  <c:v>10.139999999999999</c:v>
                </c:pt>
                <c:pt idx="1622">
                  <c:v>12.76</c:v>
                </c:pt>
                <c:pt idx="1623">
                  <c:v>6.68</c:v>
                </c:pt>
                <c:pt idx="1624">
                  <c:v>11.94</c:v>
                </c:pt>
                <c:pt idx="1625">
                  <c:v>9.42</c:v>
                </c:pt>
                <c:pt idx="1626">
                  <c:v>8.51</c:v>
                </c:pt>
                <c:pt idx="1627">
                  <c:v>13.81</c:v>
                </c:pt>
                <c:pt idx="1628">
                  <c:v>17.309999999999999</c:v>
                </c:pt>
                <c:pt idx="1629">
                  <c:v>9.58</c:v>
                </c:pt>
                <c:pt idx="1630">
                  <c:v>10.729999999999999</c:v>
                </c:pt>
                <c:pt idx="1631">
                  <c:v>0.56999999999999995</c:v>
                </c:pt>
                <c:pt idx="1632">
                  <c:v>1.25</c:v>
                </c:pt>
                <c:pt idx="1633">
                  <c:v>0.46</c:v>
                </c:pt>
                <c:pt idx="1634">
                  <c:v>16.670000000000005</c:v>
                </c:pt>
                <c:pt idx="1635">
                  <c:v>13.729999999999999</c:v>
                </c:pt>
                <c:pt idx="1636">
                  <c:v>12.2</c:v>
                </c:pt>
                <c:pt idx="1637">
                  <c:v>22.4</c:v>
                </c:pt>
                <c:pt idx="1638">
                  <c:v>27.52</c:v>
                </c:pt>
                <c:pt idx="1639">
                  <c:v>13.61</c:v>
                </c:pt>
                <c:pt idx="1640">
                  <c:v>11.18</c:v>
                </c:pt>
                <c:pt idx="1641">
                  <c:v>15.98</c:v>
                </c:pt>
                <c:pt idx="1642">
                  <c:v>21.479999999999997</c:v>
                </c:pt>
                <c:pt idx="1643">
                  <c:v>13.04</c:v>
                </c:pt>
                <c:pt idx="1644">
                  <c:v>2.75</c:v>
                </c:pt>
                <c:pt idx="1645">
                  <c:v>9.129999999999999</c:v>
                </c:pt>
                <c:pt idx="1646">
                  <c:v>39.33</c:v>
                </c:pt>
                <c:pt idx="1647">
                  <c:v>25.95</c:v>
                </c:pt>
                <c:pt idx="1648">
                  <c:v>10.61</c:v>
                </c:pt>
                <c:pt idx="1649">
                  <c:v>6.8</c:v>
                </c:pt>
                <c:pt idx="1650">
                  <c:v>13.239999999999998</c:v>
                </c:pt>
                <c:pt idx="1651">
                  <c:v>16.649999999999999</c:v>
                </c:pt>
                <c:pt idx="1652">
                  <c:v>34.06</c:v>
                </c:pt>
                <c:pt idx="1653">
                  <c:v>11.229999999999999</c:v>
                </c:pt>
                <c:pt idx="1654">
                  <c:v>11.91</c:v>
                </c:pt>
                <c:pt idx="1655">
                  <c:v>10.729999999999999</c:v>
                </c:pt>
                <c:pt idx="1656">
                  <c:v>2.04</c:v>
                </c:pt>
                <c:pt idx="1657">
                  <c:v>0.60000000000000009</c:v>
                </c:pt>
              </c:numCache>
            </c:numRef>
          </c:yVal>
          <c:smooth val="0"/>
          <c:extLst xmlns:c16r2="http://schemas.microsoft.com/office/drawing/2015/06/chart">
            <c:ext xmlns:c16="http://schemas.microsoft.com/office/drawing/2014/chart" uri="{C3380CC4-5D6E-409C-BE32-E72D297353CC}">
              <c16:uniqueId val="{00000000-C9C9-41B5-8745-B5D0A651B0C9}"/>
            </c:ext>
          </c:extLst>
        </c:ser>
        <c:dLbls>
          <c:showLegendKey val="0"/>
          <c:showVal val="0"/>
          <c:showCatName val="0"/>
          <c:showSerName val="0"/>
          <c:showPercent val="0"/>
          <c:showBubbleSize val="0"/>
        </c:dLbls>
        <c:axId val="1023765888"/>
        <c:axId val="1023766464"/>
      </c:scatterChart>
      <c:valAx>
        <c:axId val="1023765888"/>
        <c:scaling>
          <c:orientation val="minMax"/>
        </c:scaling>
        <c:delete val="0"/>
        <c:axPos val="b"/>
        <c:title>
          <c:tx>
            <c:rich>
              <a:bodyPr/>
              <a:lstStyle/>
              <a:p>
                <a:pPr>
                  <a:defRPr/>
                </a:pPr>
                <a:r>
                  <a:rPr lang="en-AU"/>
                  <a:t>Turbidity - FLNTUSB (NTU)</a:t>
                </a:r>
              </a:p>
            </c:rich>
          </c:tx>
          <c:overlay val="0"/>
        </c:title>
        <c:numFmt formatCode="General" sourceLinked="1"/>
        <c:majorTickMark val="out"/>
        <c:minorTickMark val="none"/>
        <c:tickLblPos val="nextTo"/>
        <c:crossAx val="1023766464"/>
        <c:crosses val="autoZero"/>
        <c:crossBetween val="midCat"/>
      </c:valAx>
      <c:valAx>
        <c:axId val="1023766464"/>
        <c:scaling>
          <c:orientation val="minMax"/>
          <c:max val="50"/>
        </c:scaling>
        <c:delete val="0"/>
        <c:axPos val="l"/>
        <c:majorGridlines>
          <c:spPr>
            <a:ln>
              <a:noFill/>
            </a:ln>
          </c:spPr>
        </c:majorGridlines>
        <c:title>
          <c:tx>
            <c:rich>
              <a:bodyPr rot="-5400000" vert="horz"/>
              <a:lstStyle/>
              <a:p>
                <a:pPr>
                  <a:defRPr/>
                </a:pPr>
                <a:r>
                  <a:rPr lang="en-AU"/>
                  <a:t>Suspended solids (mg L</a:t>
                </a:r>
                <a:r>
                  <a:rPr lang="en-AU" baseline="30000"/>
                  <a:t>-1</a:t>
                </a:r>
                <a:r>
                  <a:rPr lang="en-AU"/>
                  <a:t>)</a:t>
                </a:r>
              </a:p>
            </c:rich>
          </c:tx>
          <c:overlay val="0"/>
        </c:title>
        <c:numFmt formatCode="General" sourceLinked="1"/>
        <c:majorTickMark val="out"/>
        <c:minorTickMark val="none"/>
        <c:tickLblPos val="nextTo"/>
        <c:crossAx val="1023765888"/>
        <c:crosses val="autoZero"/>
        <c:crossBetween val="midCat"/>
        <c:majorUnit val="10"/>
      </c:valAx>
    </c:plotArea>
    <c:plotVisOnly val="1"/>
    <c:dispBlanksAs val="gap"/>
    <c:showDLblsOverMax val="0"/>
  </c:chart>
  <c:spPr>
    <a:ln>
      <a:noFill/>
    </a:ln>
  </c:sp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DE0A195-7637-4670-804D-CD666DC672AA}" type="doc">
      <dgm:prSet loTypeId="urn:microsoft.com/office/officeart/2005/8/layout/cycle5" loCatId="cycle" qsTypeId="urn:microsoft.com/office/officeart/2005/8/quickstyle/simple1" qsCatId="simple" csTypeId="urn:microsoft.com/office/officeart/2005/8/colors/accent1_2" csCatId="accent1" phldr="1"/>
      <dgm:spPr/>
      <dgm:t>
        <a:bodyPr/>
        <a:lstStyle/>
        <a:p>
          <a:endParaRPr lang="en-AU"/>
        </a:p>
      </dgm:t>
    </dgm:pt>
    <dgm:pt modelId="{8C15F1C6-92E8-4CC4-B9E4-2C73FA7B4D11}">
      <dgm:prSet phldrT="[Text]" custT="1"/>
      <dgm:spPr/>
      <dgm:t>
        <a:bodyPr/>
        <a:lstStyle/>
        <a:p>
          <a:pPr>
            <a:spcAft>
              <a:spcPts val="0"/>
            </a:spcAft>
          </a:pPr>
          <a:r>
            <a:rPr lang="en-AU" sz="1000" b="1"/>
            <a:t>DRIVERS &amp; ACTIVITIES</a:t>
          </a:r>
        </a:p>
        <a:p>
          <a:pPr>
            <a:spcAft>
              <a:spcPts val="0"/>
            </a:spcAft>
          </a:pPr>
          <a:r>
            <a:rPr lang="en-AU" sz="1000" b="0">
              <a:solidFill>
                <a:srgbClr val="FFFF00"/>
              </a:solidFill>
            </a:rPr>
            <a:t>Climate</a:t>
          </a:r>
        </a:p>
        <a:p>
          <a:pPr>
            <a:spcAft>
              <a:spcPts val="0"/>
            </a:spcAft>
          </a:pPr>
          <a:r>
            <a:rPr lang="en-AU" sz="1000" b="0"/>
            <a:t>Population &amp; economic growth</a:t>
          </a:r>
        </a:p>
        <a:p>
          <a:pPr>
            <a:spcAft>
              <a:spcPts val="0"/>
            </a:spcAft>
          </a:pPr>
          <a:r>
            <a:rPr lang="en-AU" sz="1000" b="0"/>
            <a:t>Technological development</a:t>
          </a:r>
        </a:p>
        <a:p>
          <a:pPr>
            <a:spcAft>
              <a:spcPts val="0"/>
            </a:spcAft>
          </a:pPr>
          <a:r>
            <a:rPr lang="en-AU" sz="1000" b="0"/>
            <a:t>Attitudes</a:t>
          </a:r>
        </a:p>
        <a:p>
          <a:pPr>
            <a:spcAft>
              <a:spcPts val="0"/>
            </a:spcAft>
          </a:pPr>
          <a:r>
            <a:rPr lang="en-AU" sz="1000" b="0">
              <a:solidFill>
                <a:srgbClr val="FFFF00"/>
              </a:solidFill>
            </a:rPr>
            <a:t>Land use</a:t>
          </a:r>
        </a:p>
      </dgm:t>
    </dgm:pt>
    <dgm:pt modelId="{96D77D5D-334F-46D8-882C-831F9D077427}" type="parTrans" cxnId="{3A66810B-60F3-4086-8F28-0ECF5F821BFD}">
      <dgm:prSet/>
      <dgm:spPr/>
      <dgm:t>
        <a:bodyPr/>
        <a:lstStyle/>
        <a:p>
          <a:endParaRPr lang="en-AU" sz="1000"/>
        </a:p>
      </dgm:t>
    </dgm:pt>
    <dgm:pt modelId="{6B04BBD9-6CE7-46B7-BEAD-E15D94DAD825}" type="sibTrans" cxnId="{3A66810B-60F3-4086-8F28-0ECF5F821BFD}">
      <dgm:prSet/>
      <dgm:spPr/>
      <dgm:t>
        <a:bodyPr/>
        <a:lstStyle/>
        <a:p>
          <a:endParaRPr lang="en-AU" sz="1000"/>
        </a:p>
      </dgm:t>
    </dgm:pt>
    <dgm:pt modelId="{CD172D3B-8806-4FC9-89EE-EE069681EFC5}">
      <dgm:prSet phldrT="[Text]" custT="1"/>
      <dgm:spPr/>
      <dgm:t>
        <a:bodyPr/>
        <a:lstStyle/>
        <a:p>
          <a:pPr>
            <a:spcAft>
              <a:spcPts val="0"/>
            </a:spcAft>
          </a:pPr>
          <a:r>
            <a:rPr lang="en-AU" sz="1000" b="1"/>
            <a:t>IMPACTS / PRESSURES </a:t>
          </a:r>
        </a:p>
        <a:p>
          <a:pPr>
            <a:spcAft>
              <a:spcPts val="0"/>
            </a:spcAft>
          </a:pPr>
          <a:r>
            <a:rPr lang="en-AU" sz="1000" b="0" i="0">
              <a:solidFill>
                <a:srgbClr val="FFFF00"/>
              </a:solidFill>
            </a:rPr>
            <a:t>Cyclones</a:t>
          </a:r>
        </a:p>
        <a:p>
          <a:pPr>
            <a:spcAft>
              <a:spcPts val="0"/>
            </a:spcAft>
          </a:pPr>
          <a:r>
            <a:rPr lang="en-AU" sz="1000">
              <a:solidFill>
                <a:srgbClr val="FFFF00"/>
              </a:solidFill>
            </a:rPr>
            <a:t>Freshwater discharge</a:t>
          </a:r>
        </a:p>
        <a:p>
          <a:pPr>
            <a:spcAft>
              <a:spcPts val="0"/>
            </a:spcAft>
          </a:pPr>
          <a:r>
            <a:rPr lang="en-AU" sz="1000">
              <a:solidFill>
                <a:srgbClr val="FFFF00"/>
              </a:solidFill>
            </a:rPr>
            <a:t>Catchment runoff</a:t>
          </a:r>
        </a:p>
        <a:p>
          <a:pPr>
            <a:spcAft>
              <a:spcPts val="0"/>
            </a:spcAft>
          </a:pPr>
          <a:r>
            <a:rPr lang="en-AU" sz="1000"/>
            <a:t>Degradation coastal ecosystems</a:t>
          </a:r>
        </a:p>
        <a:p>
          <a:pPr>
            <a:spcAft>
              <a:spcPts val="0"/>
            </a:spcAft>
          </a:pPr>
          <a:r>
            <a:rPr lang="en-AU" sz="1000"/>
            <a:t>Direct  use</a:t>
          </a:r>
        </a:p>
      </dgm:t>
    </dgm:pt>
    <dgm:pt modelId="{81CA75D1-A4F5-4F57-9003-65DEC5845519}" type="parTrans" cxnId="{0AAB7034-7873-49F8-987F-FB4BBC260C76}">
      <dgm:prSet/>
      <dgm:spPr/>
      <dgm:t>
        <a:bodyPr/>
        <a:lstStyle/>
        <a:p>
          <a:endParaRPr lang="en-AU" sz="1000"/>
        </a:p>
      </dgm:t>
    </dgm:pt>
    <dgm:pt modelId="{9C8C3A09-1621-4AD7-A907-8D308900C424}" type="sibTrans" cxnId="{0AAB7034-7873-49F8-987F-FB4BBC260C76}">
      <dgm:prSet/>
      <dgm:spPr/>
      <dgm:t>
        <a:bodyPr/>
        <a:lstStyle/>
        <a:p>
          <a:endParaRPr lang="en-AU" sz="1000"/>
        </a:p>
      </dgm:t>
    </dgm:pt>
    <dgm:pt modelId="{8B66A6C3-1604-40D1-A68F-1E81B2544239}">
      <dgm:prSet phldrT="[Text]" custT="1"/>
      <dgm:spPr/>
      <dgm:t>
        <a:bodyPr/>
        <a:lstStyle/>
        <a:p>
          <a:pPr>
            <a:spcAft>
              <a:spcPts val="0"/>
            </a:spcAft>
          </a:pPr>
          <a:r>
            <a:rPr lang="en-AU" sz="1000" b="1"/>
            <a:t>CONDITION</a:t>
          </a:r>
        </a:p>
        <a:p>
          <a:pPr>
            <a:spcAft>
              <a:spcPts val="0"/>
            </a:spcAft>
          </a:pPr>
          <a:r>
            <a:rPr lang="en-AU" sz="1000"/>
            <a:t>Environmental processes </a:t>
          </a:r>
          <a:r>
            <a:rPr lang="en-AU" sz="1000">
              <a:solidFill>
                <a:srgbClr val="FFFF00"/>
              </a:solidFill>
            </a:rPr>
            <a:t>inc local and regional water quality trends</a:t>
          </a:r>
        </a:p>
        <a:p>
          <a:pPr>
            <a:spcAft>
              <a:spcPts val="0"/>
            </a:spcAft>
          </a:pPr>
          <a:r>
            <a:rPr lang="en-AU" sz="1000"/>
            <a:t>Habitats &amp; species</a:t>
          </a:r>
        </a:p>
        <a:p>
          <a:pPr>
            <a:spcAft>
              <a:spcPts val="0"/>
            </a:spcAft>
          </a:pPr>
          <a:r>
            <a:rPr lang="en-AU" sz="1000"/>
            <a:t>Ecological processes </a:t>
          </a:r>
        </a:p>
        <a:p>
          <a:pPr>
            <a:spcAft>
              <a:spcPts val="0"/>
            </a:spcAft>
          </a:pPr>
          <a:r>
            <a:rPr lang="en-AU" sz="1000"/>
            <a:t>Heritage values</a:t>
          </a:r>
        </a:p>
      </dgm:t>
    </dgm:pt>
    <dgm:pt modelId="{8D8C8AA0-E2E8-4B5F-9ED4-984C5FFD31A5}" type="parTrans" cxnId="{51B4571D-37B5-4C64-B7E2-677E944EE095}">
      <dgm:prSet/>
      <dgm:spPr/>
      <dgm:t>
        <a:bodyPr/>
        <a:lstStyle/>
        <a:p>
          <a:endParaRPr lang="en-AU" sz="1000"/>
        </a:p>
      </dgm:t>
    </dgm:pt>
    <dgm:pt modelId="{D59EE7D9-ADDF-4C7F-8033-1BE15CD5E135}" type="sibTrans" cxnId="{51B4571D-37B5-4C64-B7E2-677E944EE095}">
      <dgm:prSet/>
      <dgm:spPr/>
      <dgm:t>
        <a:bodyPr/>
        <a:lstStyle/>
        <a:p>
          <a:endParaRPr lang="en-AU" sz="1000"/>
        </a:p>
      </dgm:t>
    </dgm:pt>
    <dgm:pt modelId="{8A570E8D-FCBB-40E4-8E41-FB05931142D0}">
      <dgm:prSet phldrT="[Text]" custT="1"/>
      <dgm:spPr/>
      <dgm:t>
        <a:bodyPr/>
        <a:lstStyle/>
        <a:p>
          <a:pPr algn="ctr">
            <a:spcAft>
              <a:spcPts val="0"/>
            </a:spcAft>
          </a:pPr>
          <a:r>
            <a:rPr lang="en-AU" sz="1000" b="1"/>
            <a:t>MANAGEMENT RESPONSES </a:t>
          </a:r>
          <a:r>
            <a:rPr lang="en-AU" sz="1000"/>
            <a:t>Actions under Reef Plan and Reef 2050 Plan</a:t>
          </a:r>
        </a:p>
      </dgm:t>
    </dgm:pt>
    <dgm:pt modelId="{E8069402-2BEB-4D94-BF1C-5A97A418D6D7}" type="parTrans" cxnId="{77C80292-CB67-4092-BB37-55A8C2F80AF8}">
      <dgm:prSet/>
      <dgm:spPr/>
      <dgm:t>
        <a:bodyPr/>
        <a:lstStyle/>
        <a:p>
          <a:endParaRPr lang="en-AU" sz="1000"/>
        </a:p>
      </dgm:t>
    </dgm:pt>
    <dgm:pt modelId="{91E738BA-473A-42E6-B4BA-D3FFE86009FD}" type="sibTrans" cxnId="{77C80292-CB67-4092-BB37-55A8C2F80AF8}">
      <dgm:prSet/>
      <dgm:spPr/>
      <dgm:t>
        <a:bodyPr/>
        <a:lstStyle/>
        <a:p>
          <a:endParaRPr lang="en-AU" sz="1000"/>
        </a:p>
      </dgm:t>
    </dgm:pt>
    <dgm:pt modelId="{BDE1F053-72C7-418F-B183-0A86A2433646}">
      <dgm:prSet/>
      <dgm:spPr/>
      <dgm:t>
        <a:bodyPr/>
        <a:lstStyle/>
        <a:p>
          <a:pPr algn="ctr"/>
          <a:endParaRPr lang="en-AU"/>
        </a:p>
      </dgm:t>
    </dgm:pt>
    <dgm:pt modelId="{537DB793-2041-41B7-B098-770760904EC2}" type="parTrans" cxnId="{8E1C3C1D-233F-4949-8844-1C76EB8575A7}">
      <dgm:prSet/>
      <dgm:spPr/>
      <dgm:t>
        <a:bodyPr/>
        <a:lstStyle/>
        <a:p>
          <a:endParaRPr lang="en-AU"/>
        </a:p>
      </dgm:t>
    </dgm:pt>
    <dgm:pt modelId="{683D17AD-B7DB-4E28-A141-ED1BBF3F9CAB}" type="sibTrans" cxnId="{8E1C3C1D-233F-4949-8844-1C76EB8575A7}">
      <dgm:prSet/>
      <dgm:spPr/>
      <dgm:t>
        <a:bodyPr/>
        <a:lstStyle/>
        <a:p>
          <a:endParaRPr lang="en-AU"/>
        </a:p>
      </dgm:t>
    </dgm:pt>
    <dgm:pt modelId="{D4B6B105-087C-4601-9DCD-1F9ED905ECB8}">
      <dgm:prSet custT="1"/>
      <dgm:spPr/>
      <dgm:t>
        <a:bodyPr/>
        <a:lstStyle/>
        <a:p>
          <a:r>
            <a:rPr lang="en-AU" sz="1000" b="1"/>
            <a:t>COMMUNITY BENEFITS</a:t>
          </a:r>
        </a:p>
      </dgm:t>
    </dgm:pt>
    <dgm:pt modelId="{B79B5453-8BEA-4837-A7C7-8737220FE85D}" type="parTrans" cxnId="{9D7BB083-796D-4AAB-9FDA-E531CE4D78F4}">
      <dgm:prSet/>
      <dgm:spPr/>
      <dgm:t>
        <a:bodyPr/>
        <a:lstStyle/>
        <a:p>
          <a:endParaRPr lang="en-AU"/>
        </a:p>
      </dgm:t>
    </dgm:pt>
    <dgm:pt modelId="{B829D853-E02D-46E1-87A5-07DDA8155249}" type="sibTrans" cxnId="{9D7BB083-796D-4AAB-9FDA-E531CE4D78F4}">
      <dgm:prSet/>
      <dgm:spPr/>
      <dgm:t>
        <a:bodyPr/>
        <a:lstStyle/>
        <a:p>
          <a:endParaRPr lang="en-AU"/>
        </a:p>
      </dgm:t>
    </dgm:pt>
    <dgm:pt modelId="{843FCC98-ED93-48D1-9500-EB17B6CA45D0}" type="pres">
      <dgm:prSet presAssocID="{1DE0A195-7637-4670-804D-CD666DC672AA}" presName="cycle" presStyleCnt="0">
        <dgm:presLayoutVars>
          <dgm:dir/>
          <dgm:resizeHandles val="exact"/>
        </dgm:presLayoutVars>
      </dgm:prSet>
      <dgm:spPr/>
      <dgm:t>
        <a:bodyPr/>
        <a:lstStyle/>
        <a:p>
          <a:endParaRPr lang="en-AU"/>
        </a:p>
      </dgm:t>
    </dgm:pt>
    <dgm:pt modelId="{8C99A514-3DC4-482F-91E9-B06208573BC2}" type="pres">
      <dgm:prSet presAssocID="{8C15F1C6-92E8-4CC4-B9E4-2C73FA7B4D11}" presName="node" presStyleLbl="node1" presStyleIdx="0" presStyleCnt="5" custScaleX="134318" custScaleY="117137" custRadScaleRad="92023" custRadScaleInc="28885">
        <dgm:presLayoutVars>
          <dgm:bulletEnabled val="1"/>
        </dgm:presLayoutVars>
      </dgm:prSet>
      <dgm:spPr/>
      <dgm:t>
        <a:bodyPr/>
        <a:lstStyle/>
        <a:p>
          <a:endParaRPr lang="en-AU"/>
        </a:p>
      </dgm:t>
    </dgm:pt>
    <dgm:pt modelId="{3F3A828F-4AA6-4D56-8576-63295727B610}" type="pres">
      <dgm:prSet presAssocID="{8C15F1C6-92E8-4CC4-B9E4-2C73FA7B4D11}" presName="spNode" presStyleCnt="0"/>
      <dgm:spPr/>
    </dgm:pt>
    <dgm:pt modelId="{C071BB6A-3A88-438D-98A1-97440CBAF5C4}" type="pres">
      <dgm:prSet presAssocID="{6B04BBD9-6CE7-46B7-BEAD-E15D94DAD825}" presName="sibTrans" presStyleLbl="sibTrans1D1" presStyleIdx="0" presStyleCnt="5"/>
      <dgm:spPr/>
      <dgm:t>
        <a:bodyPr/>
        <a:lstStyle/>
        <a:p>
          <a:endParaRPr lang="en-AU"/>
        </a:p>
      </dgm:t>
    </dgm:pt>
    <dgm:pt modelId="{92934778-40CE-42FD-BF08-EE8006AD646F}" type="pres">
      <dgm:prSet presAssocID="{CD172D3B-8806-4FC9-89EE-EE069681EFC5}" presName="node" presStyleLbl="node1" presStyleIdx="1" presStyleCnt="5" custScaleX="126190" custScaleY="120240" custRadScaleRad="100703" custRadScaleInc="20282">
        <dgm:presLayoutVars>
          <dgm:bulletEnabled val="1"/>
        </dgm:presLayoutVars>
      </dgm:prSet>
      <dgm:spPr/>
      <dgm:t>
        <a:bodyPr/>
        <a:lstStyle/>
        <a:p>
          <a:endParaRPr lang="en-AU"/>
        </a:p>
      </dgm:t>
    </dgm:pt>
    <dgm:pt modelId="{1BB6B045-3BAB-43F3-A4D9-D1D912D35453}" type="pres">
      <dgm:prSet presAssocID="{CD172D3B-8806-4FC9-89EE-EE069681EFC5}" presName="spNode" presStyleCnt="0"/>
      <dgm:spPr/>
    </dgm:pt>
    <dgm:pt modelId="{030EEDB1-0886-4D01-AC1C-655768F3FF2A}" type="pres">
      <dgm:prSet presAssocID="{9C8C3A09-1621-4AD7-A907-8D308900C424}" presName="sibTrans" presStyleLbl="sibTrans1D1" presStyleIdx="1" presStyleCnt="5"/>
      <dgm:spPr/>
      <dgm:t>
        <a:bodyPr/>
        <a:lstStyle/>
        <a:p>
          <a:endParaRPr lang="en-AU"/>
        </a:p>
      </dgm:t>
    </dgm:pt>
    <dgm:pt modelId="{4545C682-9BFA-4491-BA08-37432F809107}" type="pres">
      <dgm:prSet presAssocID="{8B66A6C3-1604-40D1-A68F-1E81B2544239}" presName="node" presStyleLbl="node1" presStyleIdx="2" presStyleCnt="5" custScaleX="132085" custScaleY="109473" custRadScaleRad="97580" custRadScaleInc="-11989">
        <dgm:presLayoutVars>
          <dgm:bulletEnabled val="1"/>
        </dgm:presLayoutVars>
      </dgm:prSet>
      <dgm:spPr/>
      <dgm:t>
        <a:bodyPr/>
        <a:lstStyle/>
        <a:p>
          <a:endParaRPr lang="en-AU"/>
        </a:p>
      </dgm:t>
    </dgm:pt>
    <dgm:pt modelId="{0CFC91F5-32F4-4405-A96A-D2DB4516E44F}" type="pres">
      <dgm:prSet presAssocID="{8B66A6C3-1604-40D1-A68F-1E81B2544239}" presName="spNode" presStyleCnt="0"/>
      <dgm:spPr/>
    </dgm:pt>
    <dgm:pt modelId="{9895E33B-4626-4C96-8632-780A4E75A192}" type="pres">
      <dgm:prSet presAssocID="{D59EE7D9-ADDF-4C7F-8033-1BE15CD5E135}" presName="sibTrans" presStyleLbl="sibTrans1D1" presStyleIdx="2" presStyleCnt="5"/>
      <dgm:spPr/>
      <dgm:t>
        <a:bodyPr/>
        <a:lstStyle/>
        <a:p>
          <a:endParaRPr lang="en-AU"/>
        </a:p>
      </dgm:t>
    </dgm:pt>
    <dgm:pt modelId="{93DAC131-6B69-48D0-AFB8-BCEBB7482145}" type="pres">
      <dgm:prSet presAssocID="{D4B6B105-087C-4601-9DCD-1F9ED905ECB8}" presName="node" presStyleLbl="node1" presStyleIdx="3" presStyleCnt="5" custScaleX="120593" custRadScaleRad="96293" custRadScaleInc="75888">
        <dgm:presLayoutVars>
          <dgm:bulletEnabled val="1"/>
        </dgm:presLayoutVars>
      </dgm:prSet>
      <dgm:spPr/>
      <dgm:t>
        <a:bodyPr/>
        <a:lstStyle/>
        <a:p>
          <a:endParaRPr lang="en-AU"/>
        </a:p>
      </dgm:t>
    </dgm:pt>
    <dgm:pt modelId="{BB1E0BD0-3BC4-412E-8A20-98C433B0F2B8}" type="pres">
      <dgm:prSet presAssocID="{D4B6B105-087C-4601-9DCD-1F9ED905ECB8}" presName="spNode" presStyleCnt="0"/>
      <dgm:spPr/>
    </dgm:pt>
    <dgm:pt modelId="{06E6FB99-C6F3-49A1-8EF9-B5C1BB7CC80F}" type="pres">
      <dgm:prSet presAssocID="{B829D853-E02D-46E1-87A5-07DDA8155249}" presName="sibTrans" presStyleLbl="sibTrans1D1" presStyleIdx="3" presStyleCnt="5"/>
      <dgm:spPr/>
      <dgm:t>
        <a:bodyPr/>
        <a:lstStyle/>
        <a:p>
          <a:endParaRPr lang="en-AU"/>
        </a:p>
      </dgm:t>
    </dgm:pt>
    <dgm:pt modelId="{68F6BACF-77F3-4B84-9732-922F9FF30456}" type="pres">
      <dgm:prSet presAssocID="{8A570E8D-FCBB-40E4-8E41-FB05931142D0}" presName="node" presStyleLbl="node1" presStyleIdx="4" presStyleCnt="5" custScaleX="121056" custRadScaleRad="89873" custRadScaleInc="7053">
        <dgm:presLayoutVars>
          <dgm:bulletEnabled val="1"/>
        </dgm:presLayoutVars>
      </dgm:prSet>
      <dgm:spPr/>
      <dgm:t>
        <a:bodyPr/>
        <a:lstStyle/>
        <a:p>
          <a:endParaRPr lang="en-AU"/>
        </a:p>
      </dgm:t>
    </dgm:pt>
    <dgm:pt modelId="{F4667527-9CCA-4D48-8BF7-B2C6EA74D86F}" type="pres">
      <dgm:prSet presAssocID="{8A570E8D-FCBB-40E4-8E41-FB05931142D0}" presName="spNode" presStyleCnt="0"/>
      <dgm:spPr/>
    </dgm:pt>
    <dgm:pt modelId="{65389F98-204F-4FC2-83C9-35A7980A881C}" type="pres">
      <dgm:prSet presAssocID="{91E738BA-473A-42E6-B4BA-D3FFE86009FD}" presName="sibTrans" presStyleLbl="sibTrans1D1" presStyleIdx="4" presStyleCnt="5"/>
      <dgm:spPr/>
      <dgm:t>
        <a:bodyPr/>
        <a:lstStyle/>
        <a:p>
          <a:endParaRPr lang="en-AU"/>
        </a:p>
      </dgm:t>
    </dgm:pt>
  </dgm:ptLst>
  <dgm:cxnLst>
    <dgm:cxn modelId="{0AAB7034-7873-49F8-987F-FB4BBC260C76}" srcId="{1DE0A195-7637-4670-804D-CD666DC672AA}" destId="{CD172D3B-8806-4FC9-89EE-EE069681EFC5}" srcOrd="1" destOrd="0" parTransId="{81CA75D1-A4F5-4F57-9003-65DEC5845519}" sibTransId="{9C8C3A09-1621-4AD7-A907-8D308900C424}"/>
    <dgm:cxn modelId="{8E1C3C1D-233F-4949-8844-1C76EB8575A7}" srcId="{8A570E8D-FCBB-40E4-8E41-FB05931142D0}" destId="{BDE1F053-72C7-418F-B183-0A86A2433646}" srcOrd="0" destOrd="0" parTransId="{537DB793-2041-41B7-B098-770760904EC2}" sibTransId="{683D17AD-B7DB-4E28-A141-ED1BBF3F9CAB}"/>
    <dgm:cxn modelId="{9D7BB083-796D-4AAB-9FDA-E531CE4D78F4}" srcId="{1DE0A195-7637-4670-804D-CD666DC672AA}" destId="{D4B6B105-087C-4601-9DCD-1F9ED905ECB8}" srcOrd="3" destOrd="0" parTransId="{B79B5453-8BEA-4837-A7C7-8737220FE85D}" sibTransId="{B829D853-E02D-46E1-87A5-07DDA8155249}"/>
    <dgm:cxn modelId="{06C30898-0C25-4C52-981E-89AAA44FAA2C}" type="presOf" srcId="{CD172D3B-8806-4FC9-89EE-EE069681EFC5}" destId="{92934778-40CE-42FD-BF08-EE8006AD646F}" srcOrd="0" destOrd="0" presId="urn:microsoft.com/office/officeart/2005/8/layout/cycle5"/>
    <dgm:cxn modelId="{55385BAF-E9F0-44E7-82EA-2DF628D4C9EA}" type="presOf" srcId="{9C8C3A09-1621-4AD7-A907-8D308900C424}" destId="{030EEDB1-0886-4D01-AC1C-655768F3FF2A}" srcOrd="0" destOrd="0" presId="urn:microsoft.com/office/officeart/2005/8/layout/cycle5"/>
    <dgm:cxn modelId="{8F098387-02A4-4871-B8B8-04A03C427CBC}" type="presOf" srcId="{BDE1F053-72C7-418F-B183-0A86A2433646}" destId="{68F6BACF-77F3-4B84-9732-922F9FF30456}" srcOrd="0" destOrd="1" presId="urn:microsoft.com/office/officeart/2005/8/layout/cycle5"/>
    <dgm:cxn modelId="{51B4571D-37B5-4C64-B7E2-677E944EE095}" srcId="{1DE0A195-7637-4670-804D-CD666DC672AA}" destId="{8B66A6C3-1604-40D1-A68F-1E81B2544239}" srcOrd="2" destOrd="0" parTransId="{8D8C8AA0-E2E8-4B5F-9ED4-984C5FFD31A5}" sibTransId="{D59EE7D9-ADDF-4C7F-8033-1BE15CD5E135}"/>
    <dgm:cxn modelId="{D94F836A-C38A-420F-938C-E2106C46FF14}" type="presOf" srcId="{1DE0A195-7637-4670-804D-CD666DC672AA}" destId="{843FCC98-ED93-48D1-9500-EB17B6CA45D0}" srcOrd="0" destOrd="0" presId="urn:microsoft.com/office/officeart/2005/8/layout/cycle5"/>
    <dgm:cxn modelId="{D05C79BD-E8F1-4148-AAB8-05E1C4524007}" type="presOf" srcId="{91E738BA-473A-42E6-B4BA-D3FFE86009FD}" destId="{65389F98-204F-4FC2-83C9-35A7980A881C}" srcOrd="0" destOrd="0" presId="urn:microsoft.com/office/officeart/2005/8/layout/cycle5"/>
    <dgm:cxn modelId="{38BF6C0E-C430-48F8-A072-F0D45505AB90}" type="presOf" srcId="{B829D853-E02D-46E1-87A5-07DDA8155249}" destId="{06E6FB99-C6F3-49A1-8EF9-B5C1BB7CC80F}" srcOrd="0" destOrd="0" presId="urn:microsoft.com/office/officeart/2005/8/layout/cycle5"/>
    <dgm:cxn modelId="{E5E189F5-88A9-4BA8-AF20-3FF199BCD54F}" type="presOf" srcId="{8C15F1C6-92E8-4CC4-B9E4-2C73FA7B4D11}" destId="{8C99A514-3DC4-482F-91E9-B06208573BC2}" srcOrd="0" destOrd="0" presId="urn:microsoft.com/office/officeart/2005/8/layout/cycle5"/>
    <dgm:cxn modelId="{1F5490B9-617F-4FE7-8143-C6BDD76C5629}" type="presOf" srcId="{6B04BBD9-6CE7-46B7-BEAD-E15D94DAD825}" destId="{C071BB6A-3A88-438D-98A1-97440CBAF5C4}" srcOrd="0" destOrd="0" presId="urn:microsoft.com/office/officeart/2005/8/layout/cycle5"/>
    <dgm:cxn modelId="{77C80292-CB67-4092-BB37-55A8C2F80AF8}" srcId="{1DE0A195-7637-4670-804D-CD666DC672AA}" destId="{8A570E8D-FCBB-40E4-8E41-FB05931142D0}" srcOrd="4" destOrd="0" parTransId="{E8069402-2BEB-4D94-BF1C-5A97A418D6D7}" sibTransId="{91E738BA-473A-42E6-B4BA-D3FFE86009FD}"/>
    <dgm:cxn modelId="{553194D3-3941-4970-8D47-73FFC4F222FE}" type="presOf" srcId="{8B66A6C3-1604-40D1-A68F-1E81B2544239}" destId="{4545C682-9BFA-4491-BA08-37432F809107}" srcOrd="0" destOrd="0" presId="urn:microsoft.com/office/officeart/2005/8/layout/cycle5"/>
    <dgm:cxn modelId="{CA924F6D-DC9A-424C-A99E-AFF918387636}" type="presOf" srcId="{D4B6B105-087C-4601-9DCD-1F9ED905ECB8}" destId="{93DAC131-6B69-48D0-AFB8-BCEBB7482145}" srcOrd="0" destOrd="0" presId="urn:microsoft.com/office/officeart/2005/8/layout/cycle5"/>
    <dgm:cxn modelId="{8C82AE7D-387E-4F26-8ED8-BE853269007C}" type="presOf" srcId="{D59EE7D9-ADDF-4C7F-8033-1BE15CD5E135}" destId="{9895E33B-4626-4C96-8632-780A4E75A192}" srcOrd="0" destOrd="0" presId="urn:microsoft.com/office/officeart/2005/8/layout/cycle5"/>
    <dgm:cxn modelId="{3A66810B-60F3-4086-8F28-0ECF5F821BFD}" srcId="{1DE0A195-7637-4670-804D-CD666DC672AA}" destId="{8C15F1C6-92E8-4CC4-B9E4-2C73FA7B4D11}" srcOrd="0" destOrd="0" parTransId="{96D77D5D-334F-46D8-882C-831F9D077427}" sibTransId="{6B04BBD9-6CE7-46B7-BEAD-E15D94DAD825}"/>
    <dgm:cxn modelId="{ED735B6F-ECE0-4424-98EB-F21B2BE95E7E}" type="presOf" srcId="{8A570E8D-FCBB-40E4-8E41-FB05931142D0}" destId="{68F6BACF-77F3-4B84-9732-922F9FF30456}" srcOrd="0" destOrd="0" presId="urn:microsoft.com/office/officeart/2005/8/layout/cycle5"/>
    <dgm:cxn modelId="{471458BA-E743-4D03-9671-CCB4F6763E30}" type="presParOf" srcId="{843FCC98-ED93-48D1-9500-EB17B6CA45D0}" destId="{8C99A514-3DC4-482F-91E9-B06208573BC2}" srcOrd="0" destOrd="0" presId="urn:microsoft.com/office/officeart/2005/8/layout/cycle5"/>
    <dgm:cxn modelId="{2B5AF783-4BEE-4804-BAC1-1FB9281A9AFA}" type="presParOf" srcId="{843FCC98-ED93-48D1-9500-EB17B6CA45D0}" destId="{3F3A828F-4AA6-4D56-8576-63295727B610}" srcOrd="1" destOrd="0" presId="urn:microsoft.com/office/officeart/2005/8/layout/cycle5"/>
    <dgm:cxn modelId="{D989E029-D6DD-4342-A6C7-B3C3AEE1BE14}" type="presParOf" srcId="{843FCC98-ED93-48D1-9500-EB17B6CA45D0}" destId="{C071BB6A-3A88-438D-98A1-97440CBAF5C4}" srcOrd="2" destOrd="0" presId="urn:microsoft.com/office/officeart/2005/8/layout/cycle5"/>
    <dgm:cxn modelId="{8C8AA45D-D32C-42B5-A06B-FB05334415E7}" type="presParOf" srcId="{843FCC98-ED93-48D1-9500-EB17B6CA45D0}" destId="{92934778-40CE-42FD-BF08-EE8006AD646F}" srcOrd="3" destOrd="0" presId="urn:microsoft.com/office/officeart/2005/8/layout/cycle5"/>
    <dgm:cxn modelId="{73C6A0A4-456F-4FE8-8D1C-84375317A235}" type="presParOf" srcId="{843FCC98-ED93-48D1-9500-EB17B6CA45D0}" destId="{1BB6B045-3BAB-43F3-A4D9-D1D912D35453}" srcOrd="4" destOrd="0" presId="urn:microsoft.com/office/officeart/2005/8/layout/cycle5"/>
    <dgm:cxn modelId="{9EA039CE-DB27-4D46-B362-15C969D6F4B4}" type="presParOf" srcId="{843FCC98-ED93-48D1-9500-EB17B6CA45D0}" destId="{030EEDB1-0886-4D01-AC1C-655768F3FF2A}" srcOrd="5" destOrd="0" presId="urn:microsoft.com/office/officeart/2005/8/layout/cycle5"/>
    <dgm:cxn modelId="{EB6C5D86-048D-4556-99B3-68920425F266}" type="presParOf" srcId="{843FCC98-ED93-48D1-9500-EB17B6CA45D0}" destId="{4545C682-9BFA-4491-BA08-37432F809107}" srcOrd="6" destOrd="0" presId="urn:microsoft.com/office/officeart/2005/8/layout/cycle5"/>
    <dgm:cxn modelId="{8F23B06E-21FD-4287-AED3-C92481FB7664}" type="presParOf" srcId="{843FCC98-ED93-48D1-9500-EB17B6CA45D0}" destId="{0CFC91F5-32F4-4405-A96A-D2DB4516E44F}" srcOrd="7" destOrd="0" presId="urn:microsoft.com/office/officeart/2005/8/layout/cycle5"/>
    <dgm:cxn modelId="{F970D38E-0877-4141-BFF4-E832A5F0D323}" type="presParOf" srcId="{843FCC98-ED93-48D1-9500-EB17B6CA45D0}" destId="{9895E33B-4626-4C96-8632-780A4E75A192}" srcOrd="8" destOrd="0" presId="urn:microsoft.com/office/officeart/2005/8/layout/cycle5"/>
    <dgm:cxn modelId="{5CD3DDED-406A-4AEE-AC12-0B53704B5040}" type="presParOf" srcId="{843FCC98-ED93-48D1-9500-EB17B6CA45D0}" destId="{93DAC131-6B69-48D0-AFB8-BCEBB7482145}" srcOrd="9" destOrd="0" presId="urn:microsoft.com/office/officeart/2005/8/layout/cycle5"/>
    <dgm:cxn modelId="{7B97157F-A743-4F30-AA29-6AD9DD429303}" type="presParOf" srcId="{843FCC98-ED93-48D1-9500-EB17B6CA45D0}" destId="{BB1E0BD0-3BC4-412E-8A20-98C433B0F2B8}" srcOrd="10" destOrd="0" presId="urn:microsoft.com/office/officeart/2005/8/layout/cycle5"/>
    <dgm:cxn modelId="{C2EC4229-72B7-4CEF-A525-0981CB5F1B92}" type="presParOf" srcId="{843FCC98-ED93-48D1-9500-EB17B6CA45D0}" destId="{06E6FB99-C6F3-49A1-8EF9-B5C1BB7CC80F}" srcOrd="11" destOrd="0" presId="urn:microsoft.com/office/officeart/2005/8/layout/cycle5"/>
    <dgm:cxn modelId="{90865E40-E109-46CF-A38E-1C236D11B264}" type="presParOf" srcId="{843FCC98-ED93-48D1-9500-EB17B6CA45D0}" destId="{68F6BACF-77F3-4B84-9732-922F9FF30456}" srcOrd="12" destOrd="0" presId="urn:microsoft.com/office/officeart/2005/8/layout/cycle5"/>
    <dgm:cxn modelId="{20469A48-B920-463C-93A4-E7884CF43136}" type="presParOf" srcId="{843FCC98-ED93-48D1-9500-EB17B6CA45D0}" destId="{F4667527-9CCA-4D48-8BF7-B2C6EA74D86F}" srcOrd="13" destOrd="0" presId="urn:microsoft.com/office/officeart/2005/8/layout/cycle5"/>
    <dgm:cxn modelId="{F1F40639-2BE9-4B50-9183-5C1071EEE08C}" type="presParOf" srcId="{843FCC98-ED93-48D1-9500-EB17B6CA45D0}" destId="{65389F98-204F-4FC2-83C9-35A7980A881C}" srcOrd="14" destOrd="0" presId="urn:microsoft.com/office/officeart/2005/8/layout/cycle5"/>
  </dgm:cxnLst>
  <dgm:bg/>
  <dgm:whole/>
  <dgm:extLst>
    <a:ext uri="http://schemas.microsoft.com/office/drawing/2008/diagram">
      <dsp:dataModelExt xmlns:dsp="http://schemas.microsoft.com/office/drawing/2008/diagram" relId="rId30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C99A514-3DC4-482F-91E9-B06208573BC2}">
      <dsp:nvSpPr>
        <dsp:cNvPr id="0" name=""/>
        <dsp:cNvSpPr/>
      </dsp:nvSpPr>
      <dsp:spPr>
        <a:xfrm>
          <a:off x="2002932" y="127592"/>
          <a:ext cx="1988790" cy="112735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en-AU" sz="1000" b="1" kern="1200"/>
            <a:t>DRIVERS &amp; ACTIVITIES</a:t>
          </a:r>
        </a:p>
        <a:p>
          <a:pPr lvl="0" algn="ctr" defTabSz="444500">
            <a:lnSpc>
              <a:spcPct val="90000"/>
            </a:lnSpc>
            <a:spcBef>
              <a:spcPct val="0"/>
            </a:spcBef>
            <a:spcAft>
              <a:spcPts val="0"/>
            </a:spcAft>
          </a:pPr>
          <a:r>
            <a:rPr lang="en-AU" sz="1000" b="0" kern="1200">
              <a:solidFill>
                <a:srgbClr val="FFFF00"/>
              </a:solidFill>
            </a:rPr>
            <a:t>Climate</a:t>
          </a:r>
        </a:p>
        <a:p>
          <a:pPr lvl="0" algn="ctr" defTabSz="444500">
            <a:lnSpc>
              <a:spcPct val="90000"/>
            </a:lnSpc>
            <a:spcBef>
              <a:spcPct val="0"/>
            </a:spcBef>
            <a:spcAft>
              <a:spcPts val="0"/>
            </a:spcAft>
          </a:pPr>
          <a:r>
            <a:rPr lang="en-AU" sz="1000" b="0" kern="1200"/>
            <a:t>Population &amp; economic growth</a:t>
          </a:r>
        </a:p>
        <a:p>
          <a:pPr lvl="0" algn="ctr" defTabSz="444500">
            <a:lnSpc>
              <a:spcPct val="90000"/>
            </a:lnSpc>
            <a:spcBef>
              <a:spcPct val="0"/>
            </a:spcBef>
            <a:spcAft>
              <a:spcPts val="0"/>
            </a:spcAft>
          </a:pPr>
          <a:r>
            <a:rPr lang="en-AU" sz="1000" b="0" kern="1200"/>
            <a:t>Technological development</a:t>
          </a:r>
        </a:p>
        <a:p>
          <a:pPr lvl="0" algn="ctr" defTabSz="444500">
            <a:lnSpc>
              <a:spcPct val="90000"/>
            </a:lnSpc>
            <a:spcBef>
              <a:spcPct val="0"/>
            </a:spcBef>
            <a:spcAft>
              <a:spcPts val="0"/>
            </a:spcAft>
          </a:pPr>
          <a:r>
            <a:rPr lang="en-AU" sz="1000" b="0" kern="1200"/>
            <a:t>Attitudes</a:t>
          </a:r>
        </a:p>
        <a:p>
          <a:pPr lvl="0" algn="ctr" defTabSz="444500">
            <a:lnSpc>
              <a:spcPct val="90000"/>
            </a:lnSpc>
            <a:spcBef>
              <a:spcPct val="0"/>
            </a:spcBef>
            <a:spcAft>
              <a:spcPts val="0"/>
            </a:spcAft>
          </a:pPr>
          <a:r>
            <a:rPr lang="en-AU" sz="1000" b="0" kern="1200">
              <a:solidFill>
                <a:srgbClr val="FFFF00"/>
              </a:solidFill>
            </a:rPr>
            <a:t>Land use</a:t>
          </a:r>
        </a:p>
      </dsp:txBody>
      <dsp:txXfrm>
        <a:off x="2057965" y="182625"/>
        <a:ext cx="1878724" cy="1017293"/>
      </dsp:txXfrm>
    </dsp:sp>
    <dsp:sp modelId="{C071BB6A-3A88-438D-98A1-97440CBAF5C4}">
      <dsp:nvSpPr>
        <dsp:cNvPr id="0" name=""/>
        <dsp:cNvSpPr/>
      </dsp:nvSpPr>
      <dsp:spPr>
        <a:xfrm>
          <a:off x="1274903" y="983746"/>
          <a:ext cx="3849010" cy="3849010"/>
        </a:xfrm>
        <a:custGeom>
          <a:avLst/>
          <a:gdLst/>
          <a:ahLst/>
          <a:cxnLst/>
          <a:rect l="0" t="0" r="0" b="0"/>
          <a:pathLst>
            <a:path>
              <a:moveTo>
                <a:pt x="2810345" y="215995"/>
              </a:moveTo>
              <a:arcTo wR="1924505" hR="1924505" stAng="17844370" swAng="559881"/>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92934778-40CE-42FD-BF08-EE8006AD646F}">
      <dsp:nvSpPr>
        <dsp:cNvPr id="0" name=""/>
        <dsp:cNvSpPr/>
      </dsp:nvSpPr>
      <dsp:spPr>
        <a:xfrm>
          <a:off x="3736701" y="1430377"/>
          <a:ext cx="1868442" cy="1157223"/>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en-AU" sz="1000" b="1" kern="1200"/>
            <a:t>IMPACTS / PRESSURES </a:t>
          </a:r>
        </a:p>
        <a:p>
          <a:pPr lvl="0" algn="ctr" defTabSz="444500">
            <a:lnSpc>
              <a:spcPct val="90000"/>
            </a:lnSpc>
            <a:spcBef>
              <a:spcPct val="0"/>
            </a:spcBef>
            <a:spcAft>
              <a:spcPts val="0"/>
            </a:spcAft>
          </a:pPr>
          <a:r>
            <a:rPr lang="en-AU" sz="1000" b="0" i="0" kern="1200">
              <a:solidFill>
                <a:srgbClr val="FFFF00"/>
              </a:solidFill>
            </a:rPr>
            <a:t>Cyclones</a:t>
          </a:r>
        </a:p>
        <a:p>
          <a:pPr lvl="0" algn="ctr" defTabSz="444500">
            <a:lnSpc>
              <a:spcPct val="90000"/>
            </a:lnSpc>
            <a:spcBef>
              <a:spcPct val="0"/>
            </a:spcBef>
            <a:spcAft>
              <a:spcPts val="0"/>
            </a:spcAft>
          </a:pPr>
          <a:r>
            <a:rPr lang="en-AU" sz="1000" kern="1200">
              <a:solidFill>
                <a:srgbClr val="FFFF00"/>
              </a:solidFill>
            </a:rPr>
            <a:t>Freshwater discharge</a:t>
          </a:r>
        </a:p>
        <a:p>
          <a:pPr lvl="0" algn="ctr" defTabSz="444500">
            <a:lnSpc>
              <a:spcPct val="90000"/>
            </a:lnSpc>
            <a:spcBef>
              <a:spcPct val="0"/>
            </a:spcBef>
            <a:spcAft>
              <a:spcPts val="0"/>
            </a:spcAft>
          </a:pPr>
          <a:r>
            <a:rPr lang="en-AU" sz="1000" kern="1200">
              <a:solidFill>
                <a:srgbClr val="FFFF00"/>
              </a:solidFill>
            </a:rPr>
            <a:t>Catchment runoff</a:t>
          </a:r>
        </a:p>
        <a:p>
          <a:pPr lvl="0" algn="ctr" defTabSz="444500">
            <a:lnSpc>
              <a:spcPct val="90000"/>
            </a:lnSpc>
            <a:spcBef>
              <a:spcPct val="0"/>
            </a:spcBef>
            <a:spcAft>
              <a:spcPts val="0"/>
            </a:spcAft>
          </a:pPr>
          <a:r>
            <a:rPr lang="en-AU" sz="1000" kern="1200"/>
            <a:t>Degradation coastal ecosystems</a:t>
          </a:r>
        </a:p>
        <a:p>
          <a:pPr lvl="0" algn="ctr" defTabSz="444500">
            <a:lnSpc>
              <a:spcPct val="90000"/>
            </a:lnSpc>
            <a:spcBef>
              <a:spcPct val="0"/>
            </a:spcBef>
            <a:spcAft>
              <a:spcPts val="0"/>
            </a:spcAft>
          </a:pPr>
          <a:r>
            <a:rPr lang="en-AU" sz="1000" kern="1200"/>
            <a:t>Direct  use</a:t>
          </a:r>
        </a:p>
      </dsp:txBody>
      <dsp:txXfrm>
        <a:off x="3793192" y="1486868"/>
        <a:ext cx="1755460" cy="1044241"/>
      </dsp:txXfrm>
    </dsp:sp>
    <dsp:sp modelId="{030EEDB1-0886-4D01-AC1C-655768F3FF2A}">
      <dsp:nvSpPr>
        <dsp:cNvPr id="0" name=""/>
        <dsp:cNvSpPr/>
      </dsp:nvSpPr>
      <dsp:spPr>
        <a:xfrm>
          <a:off x="886911" y="391542"/>
          <a:ext cx="3849010" cy="3849010"/>
        </a:xfrm>
        <a:custGeom>
          <a:avLst/>
          <a:gdLst/>
          <a:ahLst/>
          <a:cxnLst/>
          <a:rect l="0" t="0" r="0" b="0"/>
          <a:pathLst>
            <a:path>
              <a:moveTo>
                <a:pt x="3798229" y="2363680"/>
              </a:moveTo>
              <a:arcTo wR="1924505" hR="1924505" stAng="791474" swAng="927080"/>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4545C682-9BFA-4491-BA08-37432F809107}">
      <dsp:nvSpPr>
        <dsp:cNvPr id="0" name=""/>
        <dsp:cNvSpPr/>
      </dsp:nvSpPr>
      <dsp:spPr>
        <a:xfrm>
          <a:off x="2984402" y="3384466"/>
          <a:ext cx="1955727" cy="105359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en-AU" sz="1000" b="1" kern="1200"/>
            <a:t>CONDITION</a:t>
          </a:r>
        </a:p>
        <a:p>
          <a:pPr lvl="0" algn="ctr" defTabSz="444500">
            <a:lnSpc>
              <a:spcPct val="90000"/>
            </a:lnSpc>
            <a:spcBef>
              <a:spcPct val="0"/>
            </a:spcBef>
            <a:spcAft>
              <a:spcPts val="0"/>
            </a:spcAft>
          </a:pPr>
          <a:r>
            <a:rPr lang="en-AU" sz="1000" kern="1200"/>
            <a:t>Environmental processes </a:t>
          </a:r>
          <a:r>
            <a:rPr lang="en-AU" sz="1000" kern="1200">
              <a:solidFill>
                <a:srgbClr val="FFFF00"/>
              </a:solidFill>
            </a:rPr>
            <a:t>inc local and regional water quality trends</a:t>
          </a:r>
        </a:p>
        <a:p>
          <a:pPr lvl="0" algn="ctr" defTabSz="444500">
            <a:lnSpc>
              <a:spcPct val="90000"/>
            </a:lnSpc>
            <a:spcBef>
              <a:spcPct val="0"/>
            </a:spcBef>
            <a:spcAft>
              <a:spcPts val="0"/>
            </a:spcAft>
          </a:pPr>
          <a:r>
            <a:rPr lang="en-AU" sz="1000" kern="1200"/>
            <a:t>Habitats &amp; species</a:t>
          </a:r>
        </a:p>
        <a:p>
          <a:pPr lvl="0" algn="ctr" defTabSz="444500">
            <a:lnSpc>
              <a:spcPct val="90000"/>
            </a:lnSpc>
            <a:spcBef>
              <a:spcPct val="0"/>
            </a:spcBef>
            <a:spcAft>
              <a:spcPts val="0"/>
            </a:spcAft>
          </a:pPr>
          <a:r>
            <a:rPr lang="en-AU" sz="1000" kern="1200"/>
            <a:t>Ecological processes </a:t>
          </a:r>
        </a:p>
        <a:p>
          <a:pPr lvl="0" algn="ctr" defTabSz="444500">
            <a:lnSpc>
              <a:spcPct val="90000"/>
            </a:lnSpc>
            <a:spcBef>
              <a:spcPct val="0"/>
            </a:spcBef>
            <a:spcAft>
              <a:spcPts val="0"/>
            </a:spcAft>
          </a:pPr>
          <a:r>
            <a:rPr lang="en-AU" sz="1000" kern="1200"/>
            <a:t>Heritage values</a:t>
          </a:r>
        </a:p>
      </dsp:txBody>
      <dsp:txXfrm>
        <a:off x="3035834" y="3435898"/>
        <a:ext cx="1852863" cy="950734"/>
      </dsp:txXfrm>
    </dsp:sp>
    <dsp:sp modelId="{9895E33B-4626-4C96-8632-780A4E75A192}">
      <dsp:nvSpPr>
        <dsp:cNvPr id="0" name=""/>
        <dsp:cNvSpPr/>
      </dsp:nvSpPr>
      <dsp:spPr>
        <a:xfrm>
          <a:off x="910842" y="473245"/>
          <a:ext cx="3849010" cy="3849010"/>
        </a:xfrm>
        <a:custGeom>
          <a:avLst/>
          <a:gdLst/>
          <a:ahLst/>
          <a:cxnLst/>
          <a:rect l="0" t="0" r="0" b="0"/>
          <a:pathLst>
            <a:path>
              <a:moveTo>
                <a:pt x="1827520" y="3846564"/>
              </a:moveTo>
              <a:arcTo wR="1924505" hR="1924505" stAng="5573317" swAng="1358865"/>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93DAC131-6B69-48D0-AFB8-BCEBB7482145}">
      <dsp:nvSpPr>
        <dsp:cNvPr id="0" name=""/>
        <dsp:cNvSpPr/>
      </dsp:nvSpPr>
      <dsp:spPr>
        <a:xfrm>
          <a:off x="387505" y="3051775"/>
          <a:ext cx="1785570" cy="96242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AU" sz="1000" b="1" kern="1200"/>
            <a:t>COMMUNITY BENEFITS</a:t>
          </a:r>
        </a:p>
      </dsp:txBody>
      <dsp:txXfrm>
        <a:off x="434487" y="3098757"/>
        <a:ext cx="1691606" cy="868463"/>
      </dsp:txXfrm>
    </dsp:sp>
    <dsp:sp modelId="{06E6FB99-C6F3-49A1-8EF9-B5C1BB7CC80F}">
      <dsp:nvSpPr>
        <dsp:cNvPr id="0" name=""/>
        <dsp:cNvSpPr/>
      </dsp:nvSpPr>
      <dsp:spPr>
        <a:xfrm>
          <a:off x="1010217" y="844714"/>
          <a:ext cx="3849010" cy="3849010"/>
        </a:xfrm>
        <a:custGeom>
          <a:avLst/>
          <a:gdLst/>
          <a:ahLst/>
          <a:cxnLst/>
          <a:rect l="0" t="0" r="0" b="0"/>
          <a:pathLst>
            <a:path>
              <a:moveTo>
                <a:pt x="5285" y="2067043"/>
              </a:moveTo>
              <a:arcTo wR="1924505" hR="1924505" stAng="10545150" swAng="762273"/>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68F6BACF-77F3-4B84-9732-922F9FF30456}">
      <dsp:nvSpPr>
        <dsp:cNvPr id="0" name=""/>
        <dsp:cNvSpPr/>
      </dsp:nvSpPr>
      <dsp:spPr>
        <a:xfrm>
          <a:off x="258908" y="1385261"/>
          <a:ext cx="1792425" cy="96242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t" anchorCtr="0">
          <a:noAutofit/>
        </a:bodyPr>
        <a:lstStyle/>
        <a:p>
          <a:pPr lvl="0" algn="ctr" defTabSz="444500">
            <a:lnSpc>
              <a:spcPct val="90000"/>
            </a:lnSpc>
            <a:spcBef>
              <a:spcPct val="0"/>
            </a:spcBef>
            <a:spcAft>
              <a:spcPts val="0"/>
            </a:spcAft>
          </a:pPr>
          <a:r>
            <a:rPr lang="en-AU" sz="1000" b="1" kern="1200"/>
            <a:t>MANAGEMENT RESPONSES </a:t>
          </a:r>
          <a:r>
            <a:rPr lang="en-AU" sz="1000" kern="1200"/>
            <a:t>Actions under Reef Plan and Reef 2050 Plan</a:t>
          </a:r>
        </a:p>
        <a:p>
          <a:pPr marL="285750" lvl="1" indent="-285750" algn="ctr" defTabSz="1600200">
            <a:lnSpc>
              <a:spcPct val="90000"/>
            </a:lnSpc>
            <a:spcBef>
              <a:spcPct val="0"/>
            </a:spcBef>
            <a:spcAft>
              <a:spcPct val="15000"/>
            </a:spcAft>
            <a:buChar char="••"/>
          </a:pPr>
          <a:endParaRPr lang="en-AU" sz="3600" kern="1200"/>
        </a:p>
      </dsp:txBody>
      <dsp:txXfrm>
        <a:off x="305890" y="1432243"/>
        <a:ext cx="1698461" cy="868463"/>
      </dsp:txXfrm>
    </dsp:sp>
    <dsp:sp modelId="{65389F98-204F-4FC2-83C9-35A7980A881C}">
      <dsp:nvSpPr>
        <dsp:cNvPr id="0" name=""/>
        <dsp:cNvSpPr/>
      </dsp:nvSpPr>
      <dsp:spPr>
        <a:xfrm>
          <a:off x="1048599" y="597226"/>
          <a:ext cx="3849010" cy="3849010"/>
        </a:xfrm>
        <a:custGeom>
          <a:avLst/>
          <a:gdLst/>
          <a:ahLst/>
          <a:cxnLst/>
          <a:rect l="0" t="0" r="0" b="0"/>
          <a:pathLst>
            <a:path>
              <a:moveTo>
                <a:pt x="469156" y="665267"/>
              </a:moveTo>
              <a:arcTo wR="1924505" hR="1924505" stAng="13252075" swAng="851151"/>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10.xml><?xml version="1.0" encoding="utf-8"?>
<b:Sources xmlns:b="http://schemas.openxmlformats.org/officeDocument/2006/bibliography" xmlns="http://schemas.openxmlformats.org/officeDocument/2006/bibliography" SelectedStyle="\APA.XSL" StyleName="APA Fifth Edition"/>
</file>

<file path=customXml/item100.xml><?xml version="1.0" encoding="utf-8"?>
<b:Sources xmlns:b="http://schemas.openxmlformats.org/officeDocument/2006/bibliography" xmlns="http://schemas.openxmlformats.org/officeDocument/2006/bibliography" SelectedStyle="\APA.XSL" StyleName="APA Fifth Edition"/>
</file>

<file path=customXml/item101.xml><?xml version="1.0" encoding="utf-8"?>
<b:Sources xmlns:b="http://schemas.openxmlformats.org/officeDocument/2006/bibliography" xmlns="http://schemas.openxmlformats.org/officeDocument/2006/bibliography" SelectedStyle="\APA.XSL" StyleName="APA Fifth Edition"/>
</file>

<file path=customXml/item102.xml><?xml version="1.0" encoding="utf-8"?>
<b:Sources xmlns:b="http://schemas.openxmlformats.org/officeDocument/2006/bibliography" xmlns="http://schemas.openxmlformats.org/officeDocument/2006/bibliography" SelectedStyle="\APA.XSL" StyleName="APA Fifth Edition"/>
</file>

<file path=customXml/item103.xml><?xml version="1.0" encoding="utf-8"?>
<b:Sources xmlns:b="http://schemas.openxmlformats.org/officeDocument/2006/bibliography" xmlns="http://schemas.openxmlformats.org/officeDocument/2006/bibliography" SelectedStyle="\APA.XSL" StyleName="APA Fifth Edition"/>
</file>

<file path=customXml/item104.xml><?xml version="1.0" encoding="utf-8"?>
<b:Sources xmlns:b="http://schemas.openxmlformats.org/officeDocument/2006/bibliography" xmlns="http://schemas.openxmlformats.org/officeDocument/2006/bibliography" SelectedStyle="\APA.XSL" StyleName="APA Fifth Edition"/>
</file>

<file path=customXml/item105.xml><?xml version="1.0" encoding="utf-8"?>
<b:Sources xmlns:b="http://schemas.openxmlformats.org/officeDocument/2006/bibliography" xmlns="http://schemas.openxmlformats.org/officeDocument/2006/bibliography" SelectedStyle="\APA.XSL" StyleName="APA Fifth Edition"/>
</file>

<file path=customXml/item106.xml><?xml version="1.0" encoding="utf-8"?>
<b:Sources xmlns:b="http://schemas.openxmlformats.org/officeDocument/2006/bibliography" xmlns="http://schemas.openxmlformats.org/officeDocument/2006/bibliography" SelectedStyle="\APA.XSL" StyleName="APA Fifth Edition"/>
</file>

<file path=customXml/item107.xml><?xml version="1.0" encoding="utf-8"?>
<b:Sources xmlns:b="http://schemas.openxmlformats.org/officeDocument/2006/bibliography" xmlns="http://schemas.openxmlformats.org/officeDocument/2006/bibliography" SelectedStyle="\APA.XSL" StyleName="APA Fifth Edition"/>
</file>

<file path=customXml/item108.xml><?xml version="1.0" encoding="utf-8"?>
<b:Sources xmlns:b="http://schemas.openxmlformats.org/officeDocument/2006/bibliography" xmlns="http://schemas.openxmlformats.org/officeDocument/2006/bibliography" SelectedStyle="\APA.XSL" StyleName="APA Fifth Edition"/>
</file>

<file path=customXml/item109.xml><?xml version="1.0" encoding="utf-8"?>
<b:Sources xmlns:b="http://schemas.openxmlformats.org/officeDocument/2006/bibliography" xmlns="http://schemas.openxmlformats.org/officeDocument/2006/bibliography" SelectedStyle="\APA.XSL" StyleName="APA Fifth Edition"/>
</file>

<file path=customXml/item11.xml><?xml version="1.0" encoding="utf-8"?>
<b:Sources xmlns:b="http://schemas.openxmlformats.org/officeDocument/2006/bibliography" xmlns="http://schemas.openxmlformats.org/officeDocument/2006/bibliography" SelectedStyle="\APA.XSL" StyleName="APA Fifth Edition"/>
</file>

<file path=customXml/item110.xml><?xml version="1.0" encoding="utf-8"?>
<b:Sources xmlns:b="http://schemas.openxmlformats.org/officeDocument/2006/bibliography" xmlns="http://schemas.openxmlformats.org/officeDocument/2006/bibliography" SelectedStyle="\APA.XSL" StyleName="APA Fifth Edition"/>
</file>

<file path=customXml/item111.xml><?xml version="1.0" encoding="utf-8"?>
<b:Sources xmlns:b="http://schemas.openxmlformats.org/officeDocument/2006/bibliography" xmlns="http://schemas.openxmlformats.org/officeDocument/2006/bibliography" SelectedStyle="\APA.XSL" StyleName="APA Fifth Edition"/>
</file>

<file path=customXml/item112.xml><?xml version="1.0" encoding="utf-8"?>
<b:Sources xmlns:b="http://schemas.openxmlformats.org/officeDocument/2006/bibliography" xmlns="http://schemas.openxmlformats.org/officeDocument/2006/bibliography" SelectedStyle="\APA.XSL" StyleName="APA Fifth Edition"/>
</file>

<file path=customXml/item113.xml><?xml version="1.0" encoding="utf-8"?>
<b:Sources xmlns:b="http://schemas.openxmlformats.org/officeDocument/2006/bibliography" xmlns="http://schemas.openxmlformats.org/officeDocument/2006/bibliography" SelectedStyle="\APA.XSL" StyleName="APA Fifth Edition"/>
</file>

<file path=customXml/item114.xml><?xml version="1.0" encoding="utf-8"?>
<b:Sources xmlns:b="http://schemas.openxmlformats.org/officeDocument/2006/bibliography" xmlns="http://schemas.openxmlformats.org/officeDocument/2006/bibliography" SelectedStyle="\APA.XSL" StyleName="APA Fifth Edition"/>
</file>

<file path=customXml/item115.xml><?xml version="1.0" encoding="utf-8"?>
<b:Sources xmlns:b="http://schemas.openxmlformats.org/officeDocument/2006/bibliography" xmlns="http://schemas.openxmlformats.org/officeDocument/2006/bibliography" SelectedStyle="\APA.XSL" StyleName="APA Fifth Edition"/>
</file>

<file path=customXml/item116.xml><?xml version="1.0" encoding="utf-8"?>
<b:Sources xmlns:b="http://schemas.openxmlformats.org/officeDocument/2006/bibliography" xmlns="http://schemas.openxmlformats.org/officeDocument/2006/bibliography" SelectedStyle="\APA.XSL" StyleName="APA Fifth Edition"/>
</file>

<file path=customXml/item117.xml><?xml version="1.0" encoding="utf-8"?>
<b:Sources xmlns:b="http://schemas.openxmlformats.org/officeDocument/2006/bibliography" xmlns="http://schemas.openxmlformats.org/officeDocument/2006/bibliography" SelectedStyle="\APA.XSL" StyleName="APA Fifth Edition"/>
</file>

<file path=customXml/item118.xml><?xml version="1.0" encoding="utf-8"?>
<b:Sources xmlns:b="http://schemas.openxmlformats.org/officeDocument/2006/bibliography" xmlns="http://schemas.openxmlformats.org/officeDocument/2006/bibliography" SelectedStyle="\APA.XSL" StyleName="APA Fifth Edition"/>
</file>

<file path=customXml/item119.xml><?xml version="1.0" encoding="utf-8"?>
<b:Sources xmlns:b="http://schemas.openxmlformats.org/officeDocument/2006/bibliography" xmlns="http://schemas.openxmlformats.org/officeDocument/2006/bibliography" SelectedStyle="\APA.XSL" StyleName="APA Fifth Edition"/>
</file>

<file path=customXml/item12.xml><?xml version="1.0" encoding="utf-8"?>
<b:Sources xmlns:b="http://schemas.openxmlformats.org/officeDocument/2006/bibliography" xmlns="http://schemas.openxmlformats.org/officeDocument/2006/bibliography" SelectedStyle="\APA.XSL" StyleName="APA Fifth Edition"/>
</file>

<file path=customXml/item120.xml><?xml version="1.0" encoding="utf-8"?>
<b:Sources xmlns:b="http://schemas.openxmlformats.org/officeDocument/2006/bibliography" xmlns="http://schemas.openxmlformats.org/officeDocument/2006/bibliography" SelectedStyle="\APA.XSL" StyleName="APA Fifth Edition"/>
</file>

<file path=customXml/item121.xml><?xml version="1.0" encoding="utf-8"?>
<b:Sources xmlns:b="http://schemas.openxmlformats.org/officeDocument/2006/bibliography" xmlns="http://schemas.openxmlformats.org/officeDocument/2006/bibliography" SelectedStyle="\APA.XSL" StyleName="APA Fifth Edition"/>
</file>

<file path=customXml/item122.xml><?xml version="1.0" encoding="utf-8"?>
<b:Sources xmlns:b="http://schemas.openxmlformats.org/officeDocument/2006/bibliography" xmlns="http://schemas.openxmlformats.org/officeDocument/2006/bibliography" SelectedStyle="\APA.XSL" StyleName="APA Fifth Edition"/>
</file>

<file path=customXml/item123.xml><?xml version="1.0" encoding="utf-8"?>
<b:Sources xmlns:b="http://schemas.openxmlformats.org/officeDocument/2006/bibliography" xmlns="http://schemas.openxmlformats.org/officeDocument/2006/bibliography" SelectedStyle="\APA.XSL" StyleName="APA Fifth Edition"/>
</file>

<file path=customXml/item124.xml><?xml version="1.0" encoding="utf-8"?>
<b:Sources xmlns:b="http://schemas.openxmlformats.org/officeDocument/2006/bibliography" xmlns="http://schemas.openxmlformats.org/officeDocument/2006/bibliography" SelectedStyle="\APA.XSL" StyleName="APA Fifth Edition"/>
</file>

<file path=customXml/item125.xml><?xml version="1.0" encoding="utf-8"?>
<b:Sources xmlns:b="http://schemas.openxmlformats.org/officeDocument/2006/bibliography" xmlns="http://schemas.openxmlformats.org/officeDocument/2006/bibliography" SelectedStyle="\APA.XSL" StyleName="APA Fifth Edition"/>
</file>

<file path=customXml/item126.xml><?xml version="1.0" encoding="utf-8"?>
<b:Sources xmlns:b="http://schemas.openxmlformats.org/officeDocument/2006/bibliography" xmlns="http://schemas.openxmlformats.org/officeDocument/2006/bibliography" SelectedStyle="\APA.XSL" StyleName="APA Fifth Edition"/>
</file>

<file path=customXml/item127.xml><?xml version="1.0" encoding="utf-8"?>
<b:Sources xmlns:b="http://schemas.openxmlformats.org/officeDocument/2006/bibliography" xmlns="http://schemas.openxmlformats.org/officeDocument/2006/bibliography" SelectedStyle="\APA.XSL" StyleName="APA Fifth Edition"/>
</file>

<file path=customXml/item128.xml><?xml version="1.0" encoding="utf-8"?>
<b:Sources xmlns:b="http://schemas.openxmlformats.org/officeDocument/2006/bibliography" xmlns="http://schemas.openxmlformats.org/officeDocument/2006/bibliography" SelectedStyle="\APA.XSL" StyleName="APA Fifth Edition"/>
</file>

<file path=customXml/item129.xml><?xml version="1.0" encoding="utf-8"?>
<b:Sources xmlns:b="http://schemas.openxmlformats.org/officeDocument/2006/bibliography" xmlns="http://schemas.openxmlformats.org/officeDocument/2006/bibliography" SelectedStyle="\APA.XSL" StyleName="APA Fifth Edition"/>
</file>

<file path=customXml/item13.xml><?xml version="1.0" encoding="utf-8"?>
<b:Sources xmlns:b="http://schemas.openxmlformats.org/officeDocument/2006/bibliography" xmlns="http://schemas.openxmlformats.org/officeDocument/2006/bibliography" SelectedStyle="\APA.XSL" StyleName="APA Fifth Edition"/>
</file>

<file path=customXml/item130.xml><?xml version="1.0" encoding="utf-8"?>
<b:Sources xmlns:b="http://schemas.openxmlformats.org/officeDocument/2006/bibliography" xmlns="http://schemas.openxmlformats.org/officeDocument/2006/bibliography" SelectedStyle="\APA.XSL" StyleName="APA Fifth Edition"/>
</file>

<file path=customXml/item131.xml><?xml version="1.0" encoding="utf-8"?>
<b:Sources xmlns:b="http://schemas.openxmlformats.org/officeDocument/2006/bibliography" xmlns="http://schemas.openxmlformats.org/officeDocument/2006/bibliography" SelectedStyle="\APA.XSL" StyleName="APA Fifth Edition"/>
</file>

<file path=customXml/item132.xml><?xml version="1.0" encoding="utf-8"?>
<b:Sources xmlns:b="http://schemas.openxmlformats.org/officeDocument/2006/bibliography" xmlns="http://schemas.openxmlformats.org/officeDocument/2006/bibliography" SelectedStyle="\APA.XSL" StyleName="APA Fifth Edition"/>
</file>

<file path=customXml/item133.xml><?xml version="1.0" encoding="utf-8"?>
<b:Sources xmlns:b="http://schemas.openxmlformats.org/officeDocument/2006/bibliography" xmlns="http://schemas.openxmlformats.org/officeDocument/2006/bibliography" SelectedStyle="\APA.XSL" StyleName="APA Fifth Edition"/>
</file>

<file path=customXml/item134.xml><?xml version="1.0" encoding="utf-8"?>
<b:Sources xmlns:b="http://schemas.openxmlformats.org/officeDocument/2006/bibliography" xmlns="http://schemas.openxmlformats.org/officeDocument/2006/bibliography" SelectedStyle="\APA.XSL" StyleName="APA Fifth Edition"/>
</file>

<file path=customXml/item135.xml><?xml version="1.0" encoding="utf-8"?>
<b:Sources xmlns:b="http://schemas.openxmlformats.org/officeDocument/2006/bibliography" xmlns="http://schemas.openxmlformats.org/officeDocument/2006/bibliography" SelectedStyle="\APA.XSL" StyleName="APA Fifth Edition"/>
</file>

<file path=customXml/item136.xml><?xml version="1.0" encoding="utf-8"?>
<b:Sources xmlns:b="http://schemas.openxmlformats.org/officeDocument/2006/bibliography" xmlns="http://schemas.openxmlformats.org/officeDocument/2006/bibliography" SelectedStyle="\APA.XSL" StyleName="APA Fifth Edition"/>
</file>

<file path=customXml/item137.xml><?xml version="1.0" encoding="utf-8"?>
<b:Sources xmlns:b="http://schemas.openxmlformats.org/officeDocument/2006/bibliography" xmlns="http://schemas.openxmlformats.org/officeDocument/2006/bibliography" SelectedStyle="\APA.XSL" StyleName="APA Fifth Edition"/>
</file>

<file path=customXml/item138.xml><?xml version="1.0" encoding="utf-8"?>
<b:Sources xmlns:b="http://schemas.openxmlformats.org/officeDocument/2006/bibliography" xmlns="http://schemas.openxmlformats.org/officeDocument/2006/bibliography" SelectedStyle="\APA.XSL" StyleName="APA Fifth Edition"/>
</file>

<file path=customXml/item139.xml><?xml version="1.0" encoding="utf-8"?>
<b:Sources xmlns:b="http://schemas.openxmlformats.org/officeDocument/2006/bibliography" xmlns="http://schemas.openxmlformats.org/officeDocument/2006/bibliography" SelectedStyle="\APA.XSL" StyleName="APA Fifth Edition"/>
</file>

<file path=customXml/item14.xml><?xml version="1.0" encoding="utf-8"?>
<b:Sources xmlns:b="http://schemas.openxmlformats.org/officeDocument/2006/bibliography" xmlns="http://schemas.openxmlformats.org/officeDocument/2006/bibliography" SelectedStyle="\APA.XSL" StyleName="APA Fifth Edition"/>
</file>

<file path=customXml/item140.xml><?xml version="1.0" encoding="utf-8"?>
<b:Sources xmlns:b="http://schemas.openxmlformats.org/officeDocument/2006/bibliography" xmlns="http://schemas.openxmlformats.org/officeDocument/2006/bibliography" SelectedStyle="\APA.XSL" StyleName="APA Fifth Edition"/>
</file>

<file path=customXml/item141.xml><?xml version="1.0" encoding="utf-8"?>
<b:Sources xmlns:b="http://schemas.openxmlformats.org/officeDocument/2006/bibliography" xmlns="http://schemas.openxmlformats.org/officeDocument/2006/bibliography" SelectedStyle="\APA.XSL" StyleName="APA Fifth Edition"/>
</file>

<file path=customXml/item142.xml><?xml version="1.0" encoding="utf-8"?>
<b:Sources xmlns:b="http://schemas.openxmlformats.org/officeDocument/2006/bibliography" xmlns="http://schemas.openxmlformats.org/officeDocument/2006/bibliography" SelectedStyle="\APA.XSL" StyleName="APA Fifth Edition"/>
</file>

<file path=customXml/item143.xml><?xml version="1.0" encoding="utf-8"?>
<b:Sources xmlns:b="http://schemas.openxmlformats.org/officeDocument/2006/bibliography" xmlns="http://schemas.openxmlformats.org/officeDocument/2006/bibliography" SelectedStyle="\APA.XSL" StyleName="APA Fifth Edition"/>
</file>

<file path=customXml/item144.xml><?xml version="1.0" encoding="utf-8"?>
<b:Sources xmlns:b="http://schemas.openxmlformats.org/officeDocument/2006/bibliography" xmlns="http://schemas.openxmlformats.org/officeDocument/2006/bibliography" SelectedStyle="\APA.XSL" StyleName="APA Fifth Edition"/>
</file>

<file path=customXml/item145.xml><?xml version="1.0" encoding="utf-8"?>
<b:Sources xmlns:b="http://schemas.openxmlformats.org/officeDocument/2006/bibliography" xmlns="http://schemas.openxmlformats.org/officeDocument/2006/bibliography" SelectedStyle="\APA.XSL" StyleName="APA Fifth Edition"/>
</file>

<file path=customXml/item146.xml><?xml version="1.0" encoding="utf-8"?>
<b:Sources xmlns:b="http://schemas.openxmlformats.org/officeDocument/2006/bibliography" xmlns="http://schemas.openxmlformats.org/officeDocument/2006/bibliography" SelectedStyle="\APA.XSL" StyleName="APA Fifth Edition"/>
</file>

<file path=customXml/item147.xml><?xml version="1.0" encoding="utf-8"?>
<b:Sources xmlns:b="http://schemas.openxmlformats.org/officeDocument/2006/bibliography" xmlns="http://schemas.openxmlformats.org/officeDocument/2006/bibliography" SelectedStyle="\APA.XSL" StyleName="APA Fifth Edition"/>
</file>

<file path=customXml/item148.xml><?xml version="1.0" encoding="utf-8"?>
<b:Sources xmlns:b="http://schemas.openxmlformats.org/officeDocument/2006/bibliography" xmlns="http://schemas.openxmlformats.org/officeDocument/2006/bibliography" SelectedStyle="\APA.XSL" StyleName="APA Fifth Edition"/>
</file>

<file path=customXml/item149.xml><?xml version="1.0" encoding="utf-8"?>
<b:Sources xmlns:b="http://schemas.openxmlformats.org/officeDocument/2006/bibliography" xmlns="http://schemas.openxmlformats.org/officeDocument/2006/bibliography" SelectedStyle="\APA.XSL" StyleName="APA Fifth Edition"/>
</file>

<file path=customXml/item15.xml><?xml version="1.0" encoding="utf-8"?>
<b:Sources xmlns:b="http://schemas.openxmlformats.org/officeDocument/2006/bibliography" xmlns="http://schemas.openxmlformats.org/officeDocument/2006/bibliography" SelectedStyle="\APA.XSL" StyleName="APA Fifth Edition"/>
</file>

<file path=customXml/item150.xml><?xml version="1.0" encoding="utf-8"?>
<b:Sources xmlns:b="http://schemas.openxmlformats.org/officeDocument/2006/bibliography" xmlns="http://schemas.openxmlformats.org/officeDocument/2006/bibliography" SelectedStyle="\APA.XSL" StyleName="APA Fifth Edition"/>
</file>

<file path=customXml/item151.xml><?xml version="1.0" encoding="utf-8"?>
<b:Sources xmlns:b="http://schemas.openxmlformats.org/officeDocument/2006/bibliography" xmlns="http://schemas.openxmlformats.org/officeDocument/2006/bibliography" SelectedStyle="\APA.XSL" StyleName="APA Fifth Edition"/>
</file>

<file path=customXml/item152.xml><?xml version="1.0" encoding="utf-8"?>
<b:Sources xmlns:b="http://schemas.openxmlformats.org/officeDocument/2006/bibliography" xmlns="http://schemas.openxmlformats.org/officeDocument/2006/bibliography" SelectedStyle="\APA.XSL" StyleName="APA Fifth Edition"/>
</file>

<file path=customXml/item153.xml><?xml version="1.0" encoding="utf-8"?>
<b:Sources xmlns:b="http://schemas.openxmlformats.org/officeDocument/2006/bibliography" xmlns="http://schemas.openxmlformats.org/officeDocument/2006/bibliography" SelectedStyle="\APA.XSL" StyleName="APA Fifth Edition"/>
</file>

<file path=customXml/item154.xml><?xml version="1.0" encoding="utf-8"?>
<b:Sources xmlns:b="http://schemas.openxmlformats.org/officeDocument/2006/bibliography" xmlns="http://schemas.openxmlformats.org/officeDocument/2006/bibliography" SelectedStyle="\APA.XSL" StyleName="APA Fifth Edition"/>
</file>

<file path=customXml/item155.xml><?xml version="1.0" encoding="utf-8"?>
<b:Sources xmlns:b="http://schemas.openxmlformats.org/officeDocument/2006/bibliography" xmlns="http://schemas.openxmlformats.org/officeDocument/2006/bibliography" SelectedStyle="\APA.XSL" StyleName="APA Fifth Edition"/>
</file>

<file path=customXml/item156.xml><?xml version="1.0" encoding="utf-8"?>
<b:Sources xmlns:b="http://schemas.openxmlformats.org/officeDocument/2006/bibliography" xmlns="http://schemas.openxmlformats.org/officeDocument/2006/bibliography" SelectedStyle="\APA.XSL" StyleName="APA Fifth Edition"/>
</file>

<file path=customXml/item157.xml><?xml version="1.0" encoding="utf-8"?>
<b:Sources xmlns:b="http://schemas.openxmlformats.org/officeDocument/2006/bibliography" xmlns="http://schemas.openxmlformats.org/officeDocument/2006/bibliography" SelectedStyle="\APA.XSL" StyleName="APA Fifth Edition"/>
</file>

<file path=customXml/item158.xml><?xml version="1.0" encoding="utf-8"?>
<b:Sources xmlns:b="http://schemas.openxmlformats.org/officeDocument/2006/bibliography" xmlns="http://schemas.openxmlformats.org/officeDocument/2006/bibliography" SelectedStyle="\APA.XSL" StyleName="APA Fifth Edition"/>
</file>

<file path=customXml/item159.xml><?xml version="1.0" encoding="utf-8"?>
<b:Sources xmlns:b="http://schemas.openxmlformats.org/officeDocument/2006/bibliography" xmlns="http://schemas.openxmlformats.org/officeDocument/2006/bibliography" SelectedStyle="\APA.XSL" StyleName="APA Fifth Edition"/>
</file>

<file path=customXml/item16.xml><?xml version="1.0" encoding="utf-8"?>
<b:Sources xmlns:b="http://schemas.openxmlformats.org/officeDocument/2006/bibliography" xmlns="http://schemas.openxmlformats.org/officeDocument/2006/bibliography" SelectedStyle="\APA.XSL" StyleName="APA Fifth Edition"/>
</file>

<file path=customXml/item160.xml><?xml version="1.0" encoding="utf-8"?>
<b:Sources xmlns:b="http://schemas.openxmlformats.org/officeDocument/2006/bibliography" xmlns="http://schemas.openxmlformats.org/officeDocument/2006/bibliography" SelectedStyle="\APA.XSL" StyleName="APA Fifth Edition"/>
</file>

<file path=customXml/item161.xml><?xml version="1.0" encoding="utf-8"?>
<b:Sources xmlns:b="http://schemas.openxmlformats.org/officeDocument/2006/bibliography" xmlns="http://schemas.openxmlformats.org/officeDocument/2006/bibliography" SelectedStyle="\APA.XSL" StyleName="APA Fifth Edition"/>
</file>

<file path=customXml/item162.xml><?xml version="1.0" encoding="utf-8"?>
<b:Sources xmlns:b="http://schemas.openxmlformats.org/officeDocument/2006/bibliography" xmlns="http://schemas.openxmlformats.org/officeDocument/2006/bibliography" SelectedStyle="\APA.XSL" StyleName="APA Fifth Edition"/>
</file>

<file path=customXml/item163.xml><?xml version="1.0" encoding="utf-8"?>
<b:Sources xmlns:b="http://schemas.openxmlformats.org/officeDocument/2006/bibliography" xmlns="http://schemas.openxmlformats.org/officeDocument/2006/bibliography" SelectedStyle="\APA.XSL" StyleName="APA Fifth Edition"/>
</file>

<file path=customXml/item164.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0D9715CDE278E54B8097413768F46C65" ma:contentTypeVersion="6" ma:contentTypeDescription="" ma:contentTypeScope="" ma:versionID="7cb892ac8d932330eaaffd757faf6f42">
  <xsd:schema xmlns:xsd="http://www.w3.org/2001/XMLSchema" xmlns:xs="http://www.w3.org/2001/XMLSchema" xmlns:p="http://schemas.microsoft.com/office/2006/metadata/properties" xmlns:ns2="8ccc4631-9afc-4718-b120-5e2e37a03cc7" targetNamespace="http://schemas.microsoft.com/office/2006/metadata/properties" ma:root="true" ma:fieldsID="676c2c3fb3e7d9b4847bdd76abd09fb5"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65.xml><?xml version="1.0" encoding="utf-8"?>
<b:Sources xmlns:b="http://schemas.openxmlformats.org/officeDocument/2006/bibliography" xmlns="http://schemas.openxmlformats.org/officeDocument/2006/bibliography" SelectedStyle="\APA.XSL" StyleName="APA Fifth Edition"/>
</file>

<file path=customXml/item166.xml><?xml version="1.0" encoding="utf-8"?>
<b:Sources xmlns:b="http://schemas.openxmlformats.org/officeDocument/2006/bibliography" xmlns="http://schemas.openxmlformats.org/officeDocument/2006/bibliography" SelectedStyle="\APA.XSL" StyleName="APA Fifth Edition"/>
</file>

<file path=customXml/item167.xml><?xml version="1.0" encoding="utf-8"?>
<b:Sources xmlns:b="http://schemas.openxmlformats.org/officeDocument/2006/bibliography" xmlns="http://schemas.openxmlformats.org/officeDocument/2006/bibliography" SelectedStyle="\APA.XSL" StyleName="APA Fifth Edition"/>
</file>

<file path=customXml/item168.xml><?xml version="1.0" encoding="utf-8"?>
<b:Sources xmlns:b="http://schemas.openxmlformats.org/officeDocument/2006/bibliography" xmlns="http://schemas.openxmlformats.org/officeDocument/2006/bibliography" SelectedStyle="\APA.XSL" StyleName="APA Fifth Edition"/>
</file>

<file path=customXml/item169.xml><?xml version="1.0" encoding="utf-8"?>
<b:Sources xmlns:b="http://schemas.openxmlformats.org/officeDocument/2006/bibliography" xmlns="http://schemas.openxmlformats.org/officeDocument/2006/bibliography" SelectedStyle="\APA.XSL" StyleName="APA Fifth Edition"/>
</file>

<file path=customXml/item17.xml><?xml version="1.0" encoding="utf-8"?>
<b:Sources xmlns:b="http://schemas.openxmlformats.org/officeDocument/2006/bibliography" xmlns="http://schemas.openxmlformats.org/officeDocument/2006/bibliography" SelectedStyle="\APA.XSL" StyleName="APA Fifth Edition"/>
</file>

<file path=customXml/item170.xml><?xml version="1.0" encoding="utf-8"?>
<b:Sources xmlns:b="http://schemas.openxmlformats.org/officeDocument/2006/bibliography" xmlns="http://schemas.openxmlformats.org/officeDocument/2006/bibliography" SelectedStyle="\APA.XSL" StyleName="APA Fifth Edition"/>
</file>

<file path=customXml/item171.xml><?xml version="1.0" encoding="utf-8"?>
<b:Sources xmlns:b="http://schemas.openxmlformats.org/officeDocument/2006/bibliography" xmlns="http://schemas.openxmlformats.org/officeDocument/2006/bibliography" SelectedStyle="\APA.XSL" StyleName="APA Fifth Edition"/>
</file>

<file path=customXml/item172.xml><?xml version="1.0" encoding="utf-8"?>
<b:Sources xmlns:b="http://schemas.openxmlformats.org/officeDocument/2006/bibliography" xmlns="http://schemas.openxmlformats.org/officeDocument/2006/bibliography" SelectedStyle="\APA.XSL" StyleName="APA Fifth Edition"/>
</file>

<file path=customXml/item173.xml><?xml version="1.0" encoding="utf-8"?>
<b:Sources xmlns:b="http://schemas.openxmlformats.org/officeDocument/2006/bibliography" xmlns="http://schemas.openxmlformats.org/officeDocument/2006/bibliography" SelectedStyle="\APA.XSL" StyleName="APA Fifth Edition"/>
</file>

<file path=customXml/item174.xml><?xml version="1.0" encoding="utf-8"?>
<b:Sources xmlns:b="http://schemas.openxmlformats.org/officeDocument/2006/bibliography" xmlns="http://schemas.openxmlformats.org/officeDocument/2006/bibliography" SelectedStyle="\APA.XSL" StyleName="APA Fifth Edition"/>
</file>

<file path=customXml/item175.xml><?xml version="1.0" encoding="utf-8"?>
<b:Sources xmlns:b="http://schemas.openxmlformats.org/officeDocument/2006/bibliography" xmlns="http://schemas.openxmlformats.org/officeDocument/2006/bibliography" SelectedStyle="\APA.XSL" StyleName="APA Fifth Edition"/>
</file>

<file path=customXml/item176.xml><?xml version="1.0" encoding="utf-8"?>
<b:Sources xmlns:b="http://schemas.openxmlformats.org/officeDocument/2006/bibliography" xmlns="http://schemas.openxmlformats.org/officeDocument/2006/bibliography" SelectedStyle="\APA.XSL" StyleName="APA Fifth Edition"/>
</file>

<file path=customXml/item177.xml><?xml version="1.0" encoding="utf-8"?>
<b:Sources xmlns:b="http://schemas.openxmlformats.org/officeDocument/2006/bibliography" xmlns="http://schemas.openxmlformats.org/officeDocument/2006/bibliography" SelectedStyle="\APA.XSL" StyleName="APA Fifth Edition"/>
</file>

<file path=customXml/item178.xml><?xml version="1.0" encoding="utf-8"?>
<b:Sources xmlns:b="http://schemas.openxmlformats.org/officeDocument/2006/bibliography" xmlns="http://schemas.openxmlformats.org/officeDocument/2006/bibliography" SelectedStyle="\APA.XSL" StyleName="APA Fifth Edition"/>
</file>

<file path=customXml/item179.xml><?xml version="1.0" encoding="utf-8"?>
<b:Sources xmlns:b="http://schemas.openxmlformats.org/officeDocument/2006/bibliography" xmlns="http://schemas.openxmlformats.org/officeDocument/2006/bibliography" SelectedStyle="\APA.XSL" StyleName="APA Fifth Edition"/>
</file>

<file path=customXml/item18.xml><?xml version="1.0" encoding="utf-8"?>
<b:Sources xmlns:b="http://schemas.openxmlformats.org/officeDocument/2006/bibliography" xmlns="http://schemas.openxmlformats.org/officeDocument/2006/bibliography" SelectedStyle="\APA.XSL" StyleName="APA Fifth Edition"/>
</file>

<file path=customXml/item180.xml><?xml version="1.0" encoding="utf-8"?>
<b:Sources xmlns:b="http://schemas.openxmlformats.org/officeDocument/2006/bibliography" xmlns="http://schemas.openxmlformats.org/officeDocument/2006/bibliography" SelectedStyle="\APA.XSL" StyleName="APA Fifth Edition"/>
</file>

<file path=customXml/item181.xml><?xml version="1.0" encoding="utf-8"?>
<b:Sources xmlns:b="http://schemas.openxmlformats.org/officeDocument/2006/bibliography" xmlns="http://schemas.openxmlformats.org/officeDocument/2006/bibliography" SelectedStyle="\APA.XSL" StyleName="APA Fifth Edition"/>
</file>

<file path=customXml/item182.xml><?xml version="1.0" encoding="utf-8"?>
<b:Sources xmlns:b="http://schemas.openxmlformats.org/officeDocument/2006/bibliography" xmlns="http://schemas.openxmlformats.org/officeDocument/2006/bibliography" SelectedStyle="\APA.XSL" StyleName="APA Fifth Edition"/>
</file>

<file path=customXml/item183.xml><?xml version="1.0" encoding="utf-8"?>
<b:Sources xmlns:b="http://schemas.openxmlformats.org/officeDocument/2006/bibliography" xmlns="http://schemas.openxmlformats.org/officeDocument/2006/bibliography" SelectedStyle="\APA.XSL" StyleName="APA Fifth Edition"/>
</file>

<file path=customXml/item184.xml><?xml version="1.0" encoding="utf-8"?>
<b:Sources xmlns:b="http://schemas.openxmlformats.org/officeDocument/2006/bibliography" xmlns="http://schemas.openxmlformats.org/officeDocument/2006/bibliography" SelectedStyle="\APA.XSL" StyleName="APA Fifth Edition"/>
</file>

<file path=customXml/item185.xml><?xml version="1.0" encoding="utf-8"?>
<b:Sources xmlns:b="http://schemas.openxmlformats.org/officeDocument/2006/bibliography" xmlns="http://schemas.openxmlformats.org/officeDocument/2006/bibliography" SelectedStyle="\APA.XSL" StyleName="APA Fifth Edition"/>
</file>

<file path=customXml/item186.xml><?xml version="1.0" encoding="utf-8"?>
<b:Sources xmlns:b="http://schemas.openxmlformats.org/officeDocument/2006/bibliography" xmlns="http://schemas.openxmlformats.org/officeDocument/2006/bibliography" SelectedStyle="\APA.XSL" StyleName="APA Fifth Edition"/>
</file>

<file path=customXml/item187.xml><?xml version="1.0" encoding="utf-8"?>
<b:Sources xmlns:b="http://schemas.openxmlformats.org/officeDocument/2006/bibliography" xmlns="http://schemas.openxmlformats.org/officeDocument/2006/bibliography" SelectedStyle="\APA.XSL" StyleName="APA Fifth Edition"/>
</file>

<file path=customXml/item188.xml><?xml version="1.0" encoding="utf-8"?>
<b:Sources xmlns:b="http://schemas.openxmlformats.org/officeDocument/2006/bibliography" xmlns="http://schemas.openxmlformats.org/officeDocument/2006/bibliography" SelectedStyle="\APA.XSL" StyleName="APA Fifth Edition"/>
</file>

<file path=customXml/item189.xml><?xml version="1.0" encoding="utf-8"?>
<b:Sources xmlns:b="http://schemas.openxmlformats.org/officeDocument/2006/bibliography" xmlns="http://schemas.openxmlformats.org/officeDocument/2006/bibliography" SelectedStyle="\APA.XSL" StyleName="APA Fifth Edition"/>
</file>

<file path=customXml/item19.xml><?xml version="1.0" encoding="utf-8"?>
<b:Sources xmlns:b="http://schemas.openxmlformats.org/officeDocument/2006/bibliography" xmlns="http://schemas.openxmlformats.org/officeDocument/2006/bibliography" SelectedStyle="\APA.XSL" StyleName="APA Fifth Edition"/>
</file>

<file path=customXml/item190.xml><?xml version="1.0" encoding="utf-8"?>
<b:Sources xmlns:b="http://schemas.openxmlformats.org/officeDocument/2006/bibliography" xmlns="http://schemas.openxmlformats.org/officeDocument/2006/bibliography" SelectedStyle="\APA.XSL" StyleName="APA Fifth Edition"/>
</file>

<file path=customXml/item191.xml><?xml version="1.0" encoding="utf-8"?>
<b:Sources xmlns:b="http://schemas.openxmlformats.org/officeDocument/2006/bibliography" xmlns="http://schemas.openxmlformats.org/officeDocument/2006/bibliography" SelectedStyle="\APA.XSL" StyleName="APA Fifth Edition"/>
</file>

<file path=customXml/item192.xml><?xml version="1.0" encoding="utf-8"?>
<b:Sources xmlns:b="http://schemas.openxmlformats.org/officeDocument/2006/bibliography" xmlns="http://schemas.openxmlformats.org/officeDocument/2006/bibliography" SelectedStyle="\APA.XSL" StyleName="APA Fifth Edition"/>
</file>

<file path=customXml/item193.xml><?xml version="1.0" encoding="utf-8"?>
<b:Sources xmlns:b="http://schemas.openxmlformats.org/officeDocument/2006/bibliography" xmlns="http://schemas.openxmlformats.org/officeDocument/2006/bibliography" SelectedStyle="\APA.XSL" StyleName="APA Fifth Edition"/>
</file>

<file path=customXml/item194.xml><?xml version="1.0" encoding="utf-8"?>
<b:Sources xmlns:b="http://schemas.openxmlformats.org/officeDocument/2006/bibliography" xmlns="http://schemas.openxmlformats.org/officeDocument/2006/bibliography" SelectedStyle="\APA.XSL" StyleName="APA Fifth Edition"/>
</file>

<file path=customXml/item195.xml><?xml version="1.0" encoding="utf-8"?>
<b:Sources xmlns:b="http://schemas.openxmlformats.org/officeDocument/2006/bibliography" xmlns="http://schemas.openxmlformats.org/officeDocument/2006/bibliography" SelectedStyle="\APA.XSL" StyleName="APA Fifth Edition"/>
</file>

<file path=customXml/item196.xml><?xml version="1.0" encoding="utf-8"?>
<b:Sources xmlns:b="http://schemas.openxmlformats.org/officeDocument/2006/bibliography" xmlns="http://schemas.openxmlformats.org/officeDocument/2006/bibliography" SelectedStyle="\APA.XSL" StyleName="APA Fifth Edition"/>
</file>

<file path=customXml/item197.xml><?xml version="1.0" encoding="utf-8"?>
<b:Sources xmlns:b="http://schemas.openxmlformats.org/officeDocument/2006/bibliography" xmlns="http://schemas.openxmlformats.org/officeDocument/2006/bibliography" SelectedStyle="\APA.XSL" StyleName="APA Fifth Edition"/>
</file>

<file path=customXml/item198.xml><?xml version="1.0" encoding="utf-8"?>
<b:Sources xmlns:b="http://schemas.openxmlformats.org/officeDocument/2006/bibliography" xmlns="http://schemas.openxmlformats.org/officeDocument/2006/bibliography" SelectedStyle="\APA.XSL" StyleName="APA Fifth Edition"/>
</file>

<file path=customXml/item199.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20.xml><?xml version="1.0" encoding="utf-8"?>
<b:Sources xmlns:b="http://schemas.openxmlformats.org/officeDocument/2006/bibliography" xmlns="http://schemas.openxmlformats.org/officeDocument/2006/bibliography" SelectedStyle="\APA.XSL" StyleName="APA Fifth Edition"/>
</file>

<file path=customXml/item200.xml><?xml version="1.0" encoding="utf-8"?>
<b:Sources xmlns:b="http://schemas.openxmlformats.org/officeDocument/2006/bibliography" xmlns="http://schemas.openxmlformats.org/officeDocument/2006/bibliography" SelectedStyle="\APA.XSL" StyleName="APA Fifth Edition"/>
</file>

<file path=customXml/item201.xml><?xml version="1.0" encoding="utf-8"?>
<b:Sources xmlns:b="http://schemas.openxmlformats.org/officeDocument/2006/bibliography" xmlns="http://schemas.openxmlformats.org/officeDocument/2006/bibliography" SelectedStyle="\APA.XSL" StyleName="APA Fifth Edition"/>
</file>

<file path=customXml/item202.xml><?xml version="1.0" encoding="utf-8"?>
<b:Sources xmlns:b="http://schemas.openxmlformats.org/officeDocument/2006/bibliography" xmlns="http://schemas.openxmlformats.org/officeDocument/2006/bibliography" SelectedStyle="\APA.XSL" StyleName="APA Fifth Edition"/>
</file>

<file path=customXml/item203.xml><?xml version="1.0" encoding="utf-8"?>
<b:Sources xmlns:b="http://schemas.openxmlformats.org/officeDocument/2006/bibliography" xmlns="http://schemas.openxmlformats.org/officeDocument/2006/bibliography" SelectedStyle="\APA.XSL" StyleName="APA Fifth Edition"/>
</file>

<file path=customXml/item204.xml><?xml version="1.0" encoding="utf-8"?>
<b:Sources xmlns:b="http://schemas.openxmlformats.org/officeDocument/2006/bibliography" xmlns="http://schemas.openxmlformats.org/officeDocument/2006/bibliography" SelectedStyle="\APA.XSL" StyleName="APA Fifth Edition"/>
</file>

<file path=customXml/item205.xml><?xml version="1.0" encoding="utf-8"?>
<b:Sources xmlns:b="http://schemas.openxmlformats.org/officeDocument/2006/bibliography" xmlns="http://schemas.openxmlformats.org/officeDocument/2006/bibliography" SelectedStyle="\APA.XSL" StyleName="APA Fifth Edition"/>
</file>

<file path=customXml/item206.xml><?xml version="1.0" encoding="utf-8"?>
<b:Sources xmlns:b="http://schemas.openxmlformats.org/officeDocument/2006/bibliography" xmlns="http://schemas.openxmlformats.org/officeDocument/2006/bibliography" SelectedStyle="\APA.XSL" StyleName="APA Fifth Edition"/>
</file>

<file path=customXml/item207.xml><?xml version="1.0" encoding="utf-8"?>
<b:Sources xmlns:b="http://schemas.openxmlformats.org/officeDocument/2006/bibliography" xmlns="http://schemas.openxmlformats.org/officeDocument/2006/bibliography" SelectedStyle="\APA.XSL" StyleName="APA Fifth Edition"/>
</file>

<file path=customXml/item208.xml><?xml version="1.0" encoding="utf-8"?>
<b:Sources xmlns:b="http://schemas.openxmlformats.org/officeDocument/2006/bibliography" xmlns="http://schemas.openxmlformats.org/officeDocument/2006/bibliography" SelectedStyle="\APA.XSL" StyleName="APA Fifth Edition"/>
</file>

<file path=customXml/item209.xml><?xml version="1.0" encoding="utf-8"?>
<b:Sources xmlns:b="http://schemas.openxmlformats.org/officeDocument/2006/bibliography" xmlns="http://schemas.openxmlformats.org/officeDocument/2006/bibliography" SelectedStyle="\APA.XSL" StyleName="APA Fifth Edition"/>
</file>

<file path=customXml/item21.xml><?xml version="1.0" encoding="utf-8"?>
<b:Sources xmlns:b="http://schemas.openxmlformats.org/officeDocument/2006/bibliography" xmlns="http://schemas.openxmlformats.org/officeDocument/2006/bibliography" SelectedStyle="\APA.XSL" StyleName="APA Fifth Edition"/>
</file>

<file path=customXml/item210.xml><?xml version="1.0" encoding="utf-8"?>
<b:Sources xmlns:b="http://schemas.openxmlformats.org/officeDocument/2006/bibliography" xmlns="http://schemas.openxmlformats.org/officeDocument/2006/bibliography" SelectedStyle="\APA.XSL" StyleName="APA Fifth Edition"/>
</file>

<file path=customXml/item211.xml><?xml version="1.0" encoding="utf-8"?>
<b:Sources xmlns:b="http://schemas.openxmlformats.org/officeDocument/2006/bibliography" xmlns="http://schemas.openxmlformats.org/officeDocument/2006/bibliography" SelectedStyle="\APA.XSL" StyleName="APA Fifth Edition"/>
</file>

<file path=customXml/item212.xml><?xml version="1.0" encoding="utf-8"?>
<b:Sources xmlns:b="http://schemas.openxmlformats.org/officeDocument/2006/bibliography" xmlns="http://schemas.openxmlformats.org/officeDocument/2006/bibliography" SelectedStyle="\APA.XSL" StyleName="APA Fifth Edition"/>
</file>

<file path=customXml/item213.xml><?xml version="1.0" encoding="utf-8"?>
<b:Sources xmlns:b="http://schemas.openxmlformats.org/officeDocument/2006/bibliography" xmlns="http://schemas.openxmlformats.org/officeDocument/2006/bibliography" SelectedStyle="\APA.XSL" StyleName="APA Fifth Edition"/>
</file>

<file path=customXml/item214.xml><?xml version="1.0" encoding="utf-8"?>
<b:Sources xmlns:b="http://schemas.openxmlformats.org/officeDocument/2006/bibliography" xmlns="http://schemas.openxmlformats.org/officeDocument/2006/bibliography" SelectedStyle="\APA.XSL" StyleName="APA Fifth Edition"/>
</file>

<file path=customXml/item215.xml><?xml version="1.0" encoding="utf-8"?>
<b:Sources xmlns:b="http://schemas.openxmlformats.org/officeDocument/2006/bibliography" xmlns="http://schemas.openxmlformats.org/officeDocument/2006/bibliography" SelectedStyle="\APA.XSL" StyleName="APA Fifth Edition"/>
</file>

<file path=customXml/item216.xml><?xml version="1.0" encoding="utf-8"?>
<b:Sources xmlns:b="http://schemas.openxmlformats.org/officeDocument/2006/bibliography" xmlns="http://schemas.openxmlformats.org/officeDocument/2006/bibliography" SelectedStyle="\APA.XSL" StyleName="APA Fifth Edition"/>
</file>

<file path=customXml/item217.xml><?xml version="1.0" encoding="utf-8"?>
<b:Sources xmlns:b="http://schemas.openxmlformats.org/officeDocument/2006/bibliography" xmlns="http://schemas.openxmlformats.org/officeDocument/2006/bibliography" SelectedStyle="\APA.XSL" StyleName="APA Fifth Edition"/>
</file>

<file path=customXml/item218.xml><?xml version="1.0" encoding="utf-8"?>
<b:Sources xmlns:b="http://schemas.openxmlformats.org/officeDocument/2006/bibliography" xmlns="http://schemas.openxmlformats.org/officeDocument/2006/bibliography" SelectedStyle="\APA.XSL" StyleName="APA Fifth Edition"/>
</file>

<file path=customXml/item219.xml><?xml version="1.0" encoding="utf-8"?>
<b:Sources xmlns:b="http://schemas.openxmlformats.org/officeDocument/2006/bibliography" xmlns="http://schemas.openxmlformats.org/officeDocument/2006/bibliography" SelectedStyle="\APA.XSL" StyleName="APA Fifth Edition"/>
</file>

<file path=customXml/item22.xml><?xml version="1.0" encoding="utf-8"?>
<b:Sources xmlns:b="http://schemas.openxmlformats.org/officeDocument/2006/bibliography" xmlns="http://schemas.openxmlformats.org/officeDocument/2006/bibliography" SelectedStyle="\APA.XSL" StyleName="APA Fifth Edition"/>
</file>

<file path=customXml/item220.xml><?xml version="1.0" encoding="utf-8"?>
<b:Sources xmlns:b="http://schemas.openxmlformats.org/officeDocument/2006/bibliography" xmlns="http://schemas.openxmlformats.org/officeDocument/2006/bibliography" SelectedStyle="\APA.XSL" StyleName="APA Fifth Edition"/>
</file>

<file path=customXml/item221.xml><?xml version="1.0" encoding="utf-8"?>
<b:Sources xmlns:b="http://schemas.openxmlformats.org/officeDocument/2006/bibliography" xmlns="http://schemas.openxmlformats.org/officeDocument/2006/bibliography" SelectedStyle="\APA.XSL" StyleName="APA Fifth Edition"/>
</file>

<file path=customXml/item222.xml><?xml version="1.0" encoding="utf-8"?>
<b:Sources xmlns:b="http://schemas.openxmlformats.org/officeDocument/2006/bibliography" xmlns="http://schemas.openxmlformats.org/officeDocument/2006/bibliography" SelectedStyle="\APA.XSL" StyleName="APA Fifth Edition"/>
</file>

<file path=customXml/item223.xml><?xml version="1.0" encoding="utf-8"?>
<b:Sources xmlns:b="http://schemas.openxmlformats.org/officeDocument/2006/bibliography" xmlns="http://schemas.openxmlformats.org/officeDocument/2006/bibliography" SelectedStyle="\APA.XSL" StyleName="APA Fifth Edition"/>
</file>

<file path=customXml/item22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25.xml><?xml version="1.0" encoding="utf-8"?>
<b:Sources xmlns:b="http://schemas.openxmlformats.org/officeDocument/2006/bibliography" xmlns="http://schemas.openxmlformats.org/officeDocument/2006/bibliography" SelectedStyle="\APA.XSL" StyleName="APA Fifth Edition"/>
</file>

<file path=customXml/item226.xml><?xml version="1.0" encoding="utf-8"?>
<b:Sources xmlns:b="http://schemas.openxmlformats.org/officeDocument/2006/bibliography" xmlns="http://schemas.openxmlformats.org/officeDocument/2006/bibliography" SelectedStyle="\APA.XSL" StyleName="APA Fifth Edition"/>
</file>

<file path=customXml/item227.xml><?xml version="1.0" encoding="utf-8"?>
<b:Sources xmlns:b="http://schemas.openxmlformats.org/officeDocument/2006/bibliography" xmlns="http://schemas.openxmlformats.org/officeDocument/2006/bibliography" SelectedStyle="\APA.XSL" StyleName="APA Fifth Edition"/>
</file>

<file path=customXml/item228.xml><?xml version="1.0" encoding="utf-8"?>
<b:Sources xmlns:b="http://schemas.openxmlformats.org/officeDocument/2006/bibliography" xmlns="http://schemas.openxmlformats.org/officeDocument/2006/bibliography" SelectedStyle="\APA.XSL" StyleName="APA Fifth Edition"/>
</file>

<file path=customXml/item229.xml><?xml version="1.0" encoding="utf-8"?>
<b:Sources xmlns:b="http://schemas.openxmlformats.org/officeDocument/2006/bibliography" xmlns="http://schemas.openxmlformats.org/officeDocument/2006/bibliography" SelectedStyle="\APA.XSL" StyleName="APA Fifth Edition"/>
</file>

<file path=customXml/item23.xml><?xml version="1.0" encoding="utf-8"?>
<b:Sources xmlns:b="http://schemas.openxmlformats.org/officeDocument/2006/bibliography" xmlns="http://schemas.openxmlformats.org/officeDocument/2006/bibliography" SelectedStyle="\APA.XSL" StyleName="APA Fifth Edition"/>
</file>

<file path=customXml/item230.xml><?xml version="1.0" encoding="utf-8"?>
<b:Sources xmlns:b="http://schemas.openxmlformats.org/officeDocument/2006/bibliography" xmlns="http://schemas.openxmlformats.org/officeDocument/2006/bibliography" SelectedStyle="\APA.XSL" StyleName="APA Fifth Edition"/>
</file>

<file path=customXml/item231.xml><?xml version="1.0" encoding="utf-8"?>
<b:Sources xmlns:b="http://schemas.openxmlformats.org/officeDocument/2006/bibliography" xmlns="http://schemas.openxmlformats.org/officeDocument/2006/bibliography" SelectedStyle="\APA.XSL" StyleName="APA Fifth Edition"/>
</file>

<file path=customXml/item232.xml><?xml version="1.0" encoding="utf-8"?>
<b:Sources xmlns:b="http://schemas.openxmlformats.org/officeDocument/2006/bibliography" xmlns="http://schemas.openxmlformats.org/officeDocument/2006/bibliography" SelectedStyle="\APA.XSL" StyleName="APA Fifth Edition"/>
</file>

<file path=customXml/item233.xml><?xml version="1.0" encoding="utf-8"?>
<b:Sources xmlns:b="http://schemas.openxmlformats.org/officeDocument/2006/bibliography" xmlns="http://schemas.openxmlformats.org/officeDocument/2006/bibliography" SelectedStyle="\APA.XSL" StyleName="APA Fifth Edition"/>
</file>

<file path=customXml/item234.xml><?xml version="1.0" encoding="utf-8"?>
<b:Sources xmlns:b="http://schemas.openxmlformats.org/officeDocument/2006/bibliography" xmlns="http://schemas.openxmlformats.org/officeDocument/2006/bibliography" SelectedStyle="\APA.XSL" StyleName="APA Fifth Edition"/>
</file>

<file path=customXml/item235.xml><?xml version="1.0" encoding="utf-8"?>
<b:Sources xmlns:b="http://schemas.openxmlformats.org/officeDocument/2006/bibliography" xmlns="http://schemas.openxmlformats.org/officeDocument/2006/bibliography" SelectedStyle="\APA.XSL" StyleName="APA Fifth Edition"/>
</file>

<file path=customXml/item236.xml><?xml version="1.0" encoding="utf-8"?>
<b:Sources xmlns:b="http://schemas.openxmlformats.org/officeDocument/2006/bibliography" xmlns="http://schemas.openxmlformats.org/officeDocument/2006/bibliography" SelectedStyle="\APA.XSL" StyleName="APA Fifth Edition"/>
</file>

<file path=customXml/item237.xml><?xml version="1.0" encoding="utf-8"?>
<b:Sources xmlns:b="http://schemas.openxmlformats.org/officeDocument/2006/bibliography" xmlns="http://schemas.openxmlformats.org/officeDocument/2006/bibliography" SelectedStyle="\APA.XSL" StyleName="APA Fifth Edition"/>
</file>

<file path=customXml/item238.xml><?xml version="1.0" encoding="utf-8"?>
<b:Sources xmlns:b="http://schemas.openxmlformats.org/officeDocument/2006/bibliography" xmlns="http://schemas.openxmlformats.org/officeDocument/2006/bibliography" SelectedStyle="\APA.XSL" StyleName="APA Fifth Edition"/>
</file>

<file path=customXml/item239.xml><?xml version="1.0" encoding="utf-8"?>
<b:Sources xmlns:b="http://schemas.openxmlformats.org/officeDocument/2006/bibliography" xmlns="http://schemas.openxmlformats.org/officeDocument/2006/bibliography" SelectedStyle="\APA.XSL" StyleName="APA Fifth Edition"/>
</file>

<file path=customXml/item24.xml><?xml version="1.0" encoding="utf-8"?>
<b:Sources xmlns:b="http://schemas.openxmlformats.org/officeDocument/2006/bibliography" xmlns="http://schemas.openxmlformats.org/officeDocument/2006/bibliography" SelectedStyle="\APA.XSL" StyleName="APA Fifth Edition"/>
</file>

<file path=customXml/item240.xml><?xml version="1.0" encoding="utf-8"?>
<b:Sources xmlns:b="http://schemas.openxmlformats.org/officeDocument/2006/bibliography" xmlns="http://schemas.openxmlformats.org/officeDocument/2006/bibliography" SelectedStyle="\APA.XSL" StyleName="APA Fifth Edition"/>
</file>

<file path=customXml/item241.xml><?xml version="1.0" encoding="utf-8"?>
<b:Sources xmlns:b="http://schemas.openxmlformats.org/officeDocument/2006/bibliography" xmlns="http://schemas.openxmlformats.org/officeDocument/2006/bibliography" SelectedStyle="\APA.XSL" StyleName="APA Fifth Edition"/>
</file>

<file path=customXml/item242.xml><?xml version="1.0" encoding="utf-8"?>
<b:Sources xmlns:b="http://schemas.openxmlformats.org/officeDocument/2006/bibliography" xmlns="http://schemas.openxmlformats.org/officeDocument/2006/bibliography" SelectedStyle="\APA.XSL" StyleName="APA Fifth Edition"/>
</file>

<file path=customXml/item243.xml><?xml version="1.0" encoding="utf-8"?>
<b:Sources xmlns:b="http://schemas.openxmlformats.org/officeDocument/2006/bibliography" xmlns="http://schemas.openxmlformats.org/officeDocument/2006/bibliography" SelectedStyle="\APA.XSL" StyleName="APA Fifth Edition"/>
</file>

<file path=customXml/item244.xml><?xml version="1.0" encoding="utf-8"?>
<b:Sources xmlns:b="http://schemas.openxmlformats.org/officeDocument/2006/bibliography" xmlns="http://schemas.openxmlformats.org/officeDocument/2006/bibliography" SelectedStyle="\APA.XSL" StyleName="APA Fifth Edition"/>
</file>

<file path=customXml/item245.xml><?xml version="1.0" encoding="utf-8"?>
<b:Sources xmlns:b="http://schemas.openxmlformats.org/officeDocument/2006/bibliography" xmlns="http://schemas.openxmlformats.org/officeDocument/2006/bibliography" SelectedStyle="\APA.XSL" StyleName="APA Fifth Edition"/>
</file>

<file path=customXml/item246.xml><?xml version="1.0" encoding="utf-8"?>
<b:Sources xmlns:b="http://schemas.openxmlformats.org/officeDocument/2006/bibliography" xmlns="http://schemas.openxmlformats.org/officeDocument/2006/bibliography" SelectedStyle="\APA.XSL" StyleName="APA Fifth Edition"/>
</file>

<file path=customXml/item247.xml><?xml version="1.0" encoding="utf-8"?>
<b:Sources xmlns:b="http://schemas.openxmlformats.org/officeDocument/2006/bibliography" xmlns="http://schemas.openxmlformats.org/officeDocument/2006/bibliography" SelectedStyle="\APA.XSL" StyleName="APA Fifth Edition"/>
</file>

<file path=customXml/item248.xml><?xml version="1.0" encoding="utf-8"?>
<b:Sources xmlns:b="http://schemas.openxmlformats.org/officeDocument/2006/bibliography" xmlns="http://schemas.openxmlformats.org/officeDocument/2006/bibliography" SelectedStyle="\APA.XSL" StyleName="APA Fifth Edition"/>
</file>

<file path=customXml/item249.xml><?xml version="1.0" encoding="utf-8"?>
<b:Sources xmlns:b="http://schemas.openxmlformats.org/officeDocument/2006/bibliography" xmlns="http://schemas.openxmlformats.org/officeDocument/2006/bibliography" SelectedStyle="\APA.XSL" StyleName="APA Fifth Edition"/>
</file>

<file path=customXml/item25.xml><?xml version="1.0" encoding="utf-8"?>
<b:Sources xmlns:b="http://schemas.openxmlformats.org/officeDocument/2006/bibliography" xmlns="http://schemas.openxmlformats.org/officeDocument/2006/bibliography" SelectedStyle="\APA.XSL" StyleName="APA Fifth Edition"/>
</file>

<file path=customXml/item250.xml><?xml version="1.0" encoding="utf-8"?>
<b:Sources xmlns:b="http://schemas.openxmlformats.org/officeDocument/2006/bibliography" xmlns="http://schemas.openxmlformats.org/officeDocument/2006/bibliography" SelectedStyle="\APA.XSL" StyleName="APA Fifth Edition"/>
</file>

<file path=customXml/item251.xml><?xml version="1.0" encoding="utf-8"?>
<b:Sources xmlns:b="http://schemas.openxmlformats.org/officeDocument/2006/bibliography" xmlns="http://schemas.openxmlformats.org/officeDocument/2006/bibliography" SelectedStyle="\APA.XSL" StyleName="APA Fifth Edition"/>
</file>

<file path=customXml/item252.xml><?xml version="1.0" encoding="utf-8"?>
<b:Sources xmlns:b="http://schemas.openxmlformats.org/officeDocument/2006/bibliography" xmlns="http://schemas.openxmlformats.org/officeDocument/2006/bibliography" SelectedStyle="\APA.XSL" StyleName="APA Fifth Edition"/>
</file>

<file path=customXml/item253.xml><?xml version="1.0" encoding="utf-8"?>
<b:Sources xmlns:b="http://schemas.openxmlformats.org/officeDocument/2006/bibliography" xmlns="http://schemas.openxmlformats.org/officeDocument/2006/bibliography" SelectedStyle="\APA.XSL" StyleName="APA Fifth Edition"/>
</file>

<file path=customXml/item254.xml><?xml version="1.0" encoding="utf-8"?>
<b:Sources xmlns:b="http://schemas.openxmlformats.org/officeDocument/2006/bibliography" xmlns="http://schemas.openxmlformats.org/officeDocument/2006/bibliography" SelectedStyle="\APA.XSL" StyleName="APA Fifth Edition"/>
</file>

<file path=customXml/item255.xml><?xml version="1.0" encoding="utf-8"?>
<b:Sources xmlns:b="http://schemas.openxmlformats.org/officeDocument/2006/bibliography" xmlns="http://schemas.openxmlformats.org/officeDocument/2006/bibliography" SelectedStyle="\APA.XSL" StyleName="APA Fifth Edition"/>
</file>

<file path=customXml/item256.xml><?xml version="1.0" encoding="utf-8"?>
<b:Sources xmlns:b="http://schemas.openxmlformats.org/officeDocument/2006/bibliography" xmlns="http://schemas.openxmlformats.org/officeDocument/2006/bibliography" SelectedStyle="\APA.XSL" StyleName="APA Fifth Edition"/>
</file>

<file path=customXml/item257.xml><?xml version="1.0" encoding="utf-8"?>
<b:Sources xmlns:b="http://schemas.openxmlformats.org/officeDocument/2006/bibliography" xmlns="http://schemas.openxmlformats.org/officeDocument/2006/bibliography" SelectedStyle="\APA.XSL" StyleName="APA Fifth Edition"/>
</file>

<file path=customXml/item258.xml><?xml version="1.0" encoding="utf-8"?>
<b:Sources xmlns:b="http://schemas.openxmlformats.org/officeDocument/2006/bibliography" xmlns="http://schemas.openxmlformats.org/officeDocument/2006/bibliography" SelectedStyle="\APA.XSL" StyleName="APA Fifth Edition"/>
</file>

<file path=customXml/item259.xml><?xml version="1.0" encoding="utf-8"?>
<b:Sources xmlns:b="http://schemas.openxmlformats.org/officeDocument/2006/bibliography" xmlns="http://schemas.openxmlformats.org/officeDocument/2006/bibliography" SelectedStyle="\APA.XSL" StyleName="APA Fifth Edition"/>
</file>

<file path=customXml/item26.xml><?xml version="1.0" encoding="utf-8"?>
<b:Sources xmlns:b="http://schemas.openxmlformats.org/officeDocument/2006/bibliography" xmlns="http://schemas.openxmlformats.org/officeDocument/2006/bibliography" SelectedStyle="\APA.XSL" StyleName="APA Fifth Edition"/>
</file>

<file path=customXml/item260.xml><?xml version="1.0" encoding="utf-8"?>
<b:Sources xmlns:b="http://schemas.openxmlformats.org/officeDocument/2006/bibliography" xmlns="http://schemas.openxmlformats.org/officeDocument/2006/bibliography" SelectedStyle="\APA.XSL" StyleName="APA Fifth Edition"/>
</file>

<file path=customXml/item261.xml><?xml version="1.0" encoding="utf-8"?>
<b:Sources xmlns:b="http://schemas.openxmlformats.org/officeDocument/2006/bibliography" xmlns="http://schemas.openxmlformats.org/officeDocument/2006/bibliography" SelectedStyle="\APA.XSL" StyleName="APA Fifth Edition"/>
</file>

<file path=customXml/item262.xml><?xml version="1.0" encoding="utf-8"?>
<b:Sources xmlns:b="http://schemas.openxmlformats.org/officeDocument/2006/bibliography" xmlns="http://schemas.openxmlformats.org/officeDocument/2006/bibliography" SelectedStyle="\APA.XSL" StyleName="APA Fifth Edition"/>
</file>

<file path=customXml/item263.xml><?xml version="1.0" encoding="utf-8"?>
<b:Sources xmlns:b="http://schemas.openxmlformats.org/officeDocument/2006/bibliography" xmlns="http://schemas.openxmlformats.org/officeDocument/2006/bibliography" SelectedStyle="\APA.XSL" StyleName="APA Fifth Edition"/>
</file>

<file path=customXml/item264.xml><?xml version="1.0" encoding="utf-8"?>
<b:Sources xmlns:b="http://schemas.openxmlformats.org/officeDocument/2006/bibliography" xmlns="http://schemas.openxmlformats.org/officeDocument/2006/bibliography" SelectedStyle="\APA.XSL" StyleName="APA Fifth Edition"/>
</file>

<file path=customXml/item265.xml><?xml version="1.0" encoding="utf-8"?>
<b:Sources xmlns:b="http://schemas.openxmlformats.org/officeDocument/2006/bibliography" xmlns="http://schemas.openxmlformats.org/officeDocument/2006/bibliography" SelectedStyle="\APA.XSL" StyleName="APA Fifth Edition"/>
</file>

<file path=customXml/item266.xml><?xml version="1.0" encoding="utf-8"?>
<b:Sources xmlns:b="http://schemas.openxmlformats.org/officeDocument/2006/bibliography" xmlns="http://schemas.openxmlformats.org/officeDocument/2006/bibliography" SelectedStyle="\APA.XSL" StyleName="APA Fifth Edition"/>
</file>

<file path=customXml/item267.xml><?xml version="1.0" encoding="utf-8"?>
<b:Sources xmlns:b="http://schemas.openxmlformats.org/officeDocument/2006/bibliography" xmlns="http://schemas.openxmlformats.org/officeDocument/2006/bibliography" SelectedStyle="\APA.XSL" StyleName="APA Fifth Edition"/>
</file>

<file path=customXml/item268.xml><?xml version="1.0" encoding="utf-8"?>
<b:Sources xmlns:b="http://schemas.openxmlformats.org/officeDocument/2006/bibliography" xmlns="http://schemas.openxmlformats.org/officeDocument/2006/bibliography" SelectedStyle="\APA.XSL" StyleName="APA Fifth Edition"/>
</file>

<file path=customXml/item269.xml><?xml version="1.0" encoding="utf-8"?>
<b:Sources xmlns:b="http://schemas.openxmlformats.org/officeDocument/2006/bibliography" xmlns="http://schemas.openxmlformats.org/officeDocument/2006/bibliography" SelectedStyle="\APA.XSL" StyleName="APA Fifth Edition"/>
</file>

<file path=customXml/item27.xml><?xml version="1.0" encoding="utf-8"?>
<b:Sources xmlns:b="http://schemas.openxmlformats.org/officeDocument/2006/bibliography" xmlns="http://schemas.openxmlformats.org/officeDocument/2006/bibliography" SelectedStyle="\APA.XSL" StyleName="APA Fifth Edition"/>
</file>

<file path=customXml/item270.xml><?xml version="1.0" encoding="utf-8"?>
<b:Sources xmlns:b="http://schemas.openxmlformats.org/officeDocument/2006/bibliography" xmlns="http://schemas.openxmlformats.org/officeDocument/2006/bibliography" SelectedStyle="\APA.XSL" StyleName="APA Fifth Edition"/>
</file>

<file path=customXml/item271.xml><?xml version="1.0" encoding="utf-8"?>
<b:Sources xmlns:b="http://schemas.openxmlformats.org/officeDocument/2006/bibliography" xmlns="http://schemas.openxmlformats.org/officeDocument/2006/bibliography" SelectedStyle="\APA.XSL" StyleName="APA Fifth Edition"/>
</file>

<file path=customXml/item272.xml><?xml version="1.0" encoding="utf-8"?>
<b:Sources xmlns:b="http://schemas.openxmlformats.org/officeDocument/2006/bibliography" xmlns="http://schemas.openxmlformats.org/officeDocument/2006/bibliography" SelectedStyle="\APA.XSL" StyleName="APA Fifth Edition"/>
</file>

<file path=customXml/item273.xml><?xml version="1.0" encoding="utf-8"?>
<b:Sources xmlns:b="http://schemas.openxmlformats.org/officeDocument/2006/bibliography" xmlns="http://schemas.openxmlformats.org/officeDocument/2006/bibliography" SelectedStyle="\APA.XSL" StyleName="APA Fifth Edition"/>
</file>

<file path=customXml/item274.xml><?xml version="1.0" encoding="utf-8"?>
<b:Sources xmlns:b="http://schemas.openxmlformats.org/officeDocument/2006/bibliography" xmlns="http://schemas.openxmlformats.org/officeDocument/2006/bibliography" SelectedStyle="\APA.XSL" StyleName="APA Fifth Edition"/>
</file>

<file path=customXml/item275.xml><?xml version="1.0" encoding="utf-8"?>
<b:Sources xmlns:b="http://schemas.openxmlformats.org/officeDocument/2006/bibliography" xmlns="http://schemas.openxmlformats.org/officeDocument/2006/bibliography" SelectedStyle="\APA.XSL" StyleName="APA Fifth Edition"/>
</file>

<file path=customXml/item28.xml><?xml version="1.0" encoding="utf-8"?>
<b:Sources xmlns:b="http://schemas.openxmlformats.org/officeDocument/2006/bibliography" xmlns="http://schemas.openxmlformats.org/officeDocument/2006/bibliography" SelectedStyle="\APA.XSL" StyleName="APA Fifth Edition"/>
</file>

<file path=customXml/item29.xml><?xml version="1.0" encoding="utf-8"?>
<b:Sources xmlns:b="http://schemas.openxmlformats.org/officeDocument/2006/bibliography" xmlns="http://schemas.openxmlformats.org/officeDocument/2006/bibliography" SelectedStyle="\APA.XSL" StyleName="APA Fifth Edition"/>
</file>

<file path=customXml/item3.xml><?xml version="1.0" encoding="utf-8"?>
<b:Sources xmlns:b="http://schemas.openxmlformats.org/officeDocument/2006/bibliography" xmlns="http://schemas.openxmlformats.org/officeDocument/2006/bibliography" SelectedStyle="\APA.XSL" StyleName="APA Fifth Edition"/>
</file>

<file path=customXml/item30.xml><?xml version="1.0" encoding="utf-8"?>
<b:Sources xmlns:b="http://schemas.openxmlformats.org/officeDocument/2006/bibliography" xmlns="http://schemas.openxmlformats.org/officeDocument/2006/bibliography" SelectedStyle="\APA.XSL" StyleName="APA Fifth Edition"/>
</file>

<file path=customXml/item31.xml><?xml version="1.0" encoding="utf-8"?>
<b:Sources xmlns:b="http://schemas.openxmlformats.org/officeDocument/2006/bibliography" xmlns="http://schemas.openxmlformats.org/officeDocument/2006/bibliography" SelectedStyle="\APA.XSL" StyleName="APA Fifth Edition"/>
</file>

<file path=customXml/item32.xml><?xml version="1.0" encoding="utf-8"?>
<b:Sources xmlns:b="http://schemas.openxmlformats.org/officeDocument/2006/bibliography" xmlns="http://schemas.openxmlformats.org/officeDocument/2006/bibliography" SelectedStyle="\APA.XSL" StyleName="APA Fifth Edition"/>
</file>

<file path=customXml/item33.xml><?xml version="1.0" encoding="utf-8"?>
<b:Sources xmlns:b="http://schemas.openxmlformats.org/officeDocument/2006/bibliography" xmlns="http://schemas.openxmlformats.org/officeDocument/2006/bibliography" SelectedStyle="\APA.XSL" StyleName="APA Fifth Edition"/>
</file>

<file path=customXml/item34.xml><?xml version="1.0" encoding="utf-8"?>
<b:Sources xmlns:b="http://schemas.openxmlformats.org/officeDocument/2006/bibliography" xmlns="http://schemas.openxmlformats.org/officeDocument/2006/bibliography" SelectedStyle="\APA.XSL" StyleName="APA Fifth Edition"/>
</file>

<file path=customXml/item35.xml><?xml version="1.0" encoding="utf-8"?>
<b:Sources xmlns:b="http://schemas.openxmlformats.org/officeDocument/2006/bibliography" xmlns="http://schemas.openxmlformats.org/officeDocument/2006/bibliography" SelectedStyle="\APA.XSL" StyleName="APA Fifth Edition"/>
</file>

<file path=customXml/item36.xml><?xml version="1.0" encoding="utf-8"?>
<b:Sources xmlns:b="http://schemas.openxmlformats.org/officeDocument/2006/bibliography" xmlns="http://schemas.openxmlformats.org/officeDocument/2006/bibliography" SelectedStyle="\APA.XSL" StyleName="APA Fifth Edition"/>
</file>

<file path=customXml/item37.xml><?xml version="1.0" encoding="utf-8"?>
<b:Sources xmlns:b="http://schemas.openxmlformats.org/officeDocument/2006/bibliography" xmlns="http://schemas.openxmlformats.org/officeDocument/2006/bibliography" SelectedStyle="\APA.XSL" StyleName="APA Fifth Edition"/>
</file>

<file path=customXml/item38.xml><?xml version="1.0" encoding="utf-8"?>
<?mso-contentType ?>
<FormTemplates xmlns="http://schemas.microsoft.com/sharepoint/v3/contenttype/forms">
  <Display>DocumentLibraryForm</Display>
  <Edit>DocumentLibraryForm</Edit>
  <New>DocumentLibraryForm</New>
</FormTemplates>
</file>

<file path=customXml/item39.xml><?xml version="1.0" encoding="utf-8"?>
<b:Sources xmlns:b="http://schemas.openxmlformats.org/officeDocument/2006/bibliography" xmlns="http://schemas.openxmlformats.org/officeDocument/2006/bibliography" SelectedStyle="\APA.XSL" StyleName="APA Fifth Edition"/>
</file>

<file path=customXml/item4.xml><?xml version="1.0" encoding="utf-8"?>
<b:Sources xmlns:b="http://schemas.openxmlformats.org/officeDocument/2006/bibliography" xmlns="http://schemas.openxmlformats.org/officeDocument/2006/bibliography" SelectedStyle="\APA.XSL" StyleName="APA Fifth Edition"/>
</file>

<file path=customXml/item40.xml><?xml version="1.0" encoding="utf-8"?>
<b:Sources xmlns:b="http://schemas.openxmlformats.org/officeDocument/2006/bibliography" xmlns="http://schemas.openxmlformats.org/officeDocument/2006/bibliography" SelectedStyle="\APA.XSL" StyleName="APA Fifth Edition"/>
</file>

<file path=customXml/item41.xml><?xml version="1.0" encoding="utf-8"?>
<b:Sources xmlns:b="http://schemas.openxmlformats.org/officeDocument/2006/bibliography" xmlns="http://schemas.openxmlformats.org/officeDocument/2006/bibliography" SelectedStyle="\APA.XSL" StyleName="APA Fifth Edition"/>
</file>

<file path=customXml/item42.xml><?xml version="1.0" encoding="utf-8"?>
<b:Sources xmlns:b="http://schemas.openxmlformats.org/officeDocument/2006/bibliography" xmlns="http://schemas.openxmlformats.org/officeDocument/2006/bibliography" SelectedStyle="\APA.XSL" StyleName="APA Fifth Edition"/>
</file>

<file path=customXml/item43.xml><?xml version="1.0" encoding="utf-8"?>
<b:Sources xmlns:b="http://schemas.openxmlformats.org/officeDocument/2006/bibliography" xmlns="http://schemas.openxmlformats.org/officeDocument/2006/bibliography" SelectedStyle="\APA.XSL" StyleName="APA Fifth Edition"/>
</file>

<file path=customXml/item44.xml><?xml version="1.0" encoding="utf-8"?>
<b:Sources xmlns:b="http://schemas.openxmlformats.org/officeDocument/2006/bibliography" xmlns="http://schemas.openxmlformats.org/officeDocument/2006/bibliography" SelectedStyle="\APA.XSL" StyleName="APA Fifth Edition"/>
</file>

<file path=customXml/item45.xml><?xml version="1.0" encoding="utf-8"?>
<b:Sources xmlns:b="http://schemas.openxmlformats.org/officeDocument/2006/bibliography" xmlns="http://schemas.openxmlformats.org/officeDocument/2006/bibliography" SelectedStyle="\APA.XSL" StyleName="APA Fifth Edition"/>
</file>

<file path=customXml/item46.xml><?xml version="1.0" encoding="utf-8"?>
<b:Sources xmlns:b="http://schemas.openxmlformats.org/officeDocument/2006/bibliography" xmlns="http://schemas.openxmlformats.org/officeDocument/2006/bibliography" SelectedStyle="\APA.XSL" StyleName="APA Fifth Edition"/>
</file>

<file path=customXml/item47.xml><?xml version="1.0" encoding="utf-8"?>
<b:Sources xmlns:b="http://schemas.openxmlformats.org/officeDocument/2006/bibliography" xmlns="http://schemas.openxmlformats.org/officeDocument/2006/bibliography" SelectedStyle="\APA.XSL" StyleName="APA Fifth Edition"/>
</file>

<file path=customXml/item48.xml><?xml version="1.0" encoding="utf-8"?>
<b:Sources xmlns:b="http://schemas.openxmlformats.org/officeDocument/2006/bibliography" xmlns="http://schemas.openxmlformats.org/officeDocument/2006/bibliography" SelectedStyle="\APA.XSL" StyleName="APA Fifth Edition"/>
</file>

<file path=customXml/item49.xml><?xml version="1.0" encoding="utf-8"?>
<b:Sources xmlns:b="http://schemas.openxmlformats.org/officeDocument/2006/bibliography" xmlns="http://schemas.openxmlformats.org/officeDocument/2006/bibliography" SelectedStyle="\APA.XSL" StyleName="APA Fifth Edition"/>
</file>

<file path=customXml/item5.xml><?xml version="1.0" encoding="utf-8"?>
<b:Sources xmlns:b="http://schemas.openxmlformats.org/officeDocument/2006/bibliography" xmlns="http://schemas.openxmlformats.org/officeDocument/2006/bibliography" SelectedStyle="\APA.XSL" StyleName="APA Fifth Edition"/>
</file>

<file path=customXml/item50.xml><?xml version="1.0" encoding="utf-8"?>
<b:Sources xmlns:b="http://schemas.openxmlformats.org/officeDocument/2006/bibliography" xmlns="http://schemas.openxmlformats.org/officeDocument/2006/bibliography" SelectedStyle="\APA.XSL" StyleName="APA Fifth Edition"/>
</file>

<file path=customXml/item51.xml><?xml version="1.0" encoding="utf-8"?>
<b:Sources xmlns:b="http://schemas.openxmlformats.org/officeDocument/2006/bibliography" xmlns="http://schemas.openxmlformats.org/officeDocument/2006/bibliography" SelectedStyle="\APA.XSL" StyleName="APA Fifth Edition"/>
</file>

<file path=customXml/item52.xml><?xml version="1.0" encoding="utf-8"?>
<b:Sources xmlns:b="http://schemas.openxmlformats.org/officeDocument/2006/bibliography" xmlns="http://schemas.openxmlformats.org/officeDocument/2006/bibliography" SelectedStyle="\APA.XSL" StyleName="APA Fifth Edition"/>
</file>

<file path=customXml/item53.xml><?xml version="1.0" encoding="utf-8"?>
<b:Sources xmlns:b="http://schemas.openxmlformats.org/officeDocument/2006/bibliography" xmlns="http://schemas.openxmlformats.org/officeDocument/2006/bibliography" SelectedStyle="\APA.XSL" StyleName="APA Fifth Edition"/>
</file>

<file path=customXml/item54.xml><?xml version="1.0" encoding="utf-8"?>
<b:Sources xmlns:b="http://schemas.openxmlformats.org/officeDocument/2006/bibliography" xmlns="http://schemas.openxmlformats.org/officeDocument/2006/bibliography" SelectedStyle="\APA.XSL" StyleName="APA Fifth Edition"/>
</file>

<file path=customXml/item55.xml><?xml version="1.0" encoding="utf-8"?>
<b:Sources xmlns:b="http://schemas.openxmlformats.org/officeDocument/2006/bibliography" xmlns="http://schemas.openxmlformats.org/officeDocument/2006/bibliography" SelectedStyle="\APA.XSL" StyleName="APA Fifth Edition"/>
</file>

<file path=customXml/item56.xml><?xml version="1.0" encoding="utf-8"?>
<b:Sources xmlns:b="http://schemas.openxmlformats.org/officeDocument/2006/bibliography" xmlns="http://schemas.openxmlformats.org/officeDocument/2006/bibliography" SelectedStyle="\APA.XSL" StyleName="APA Fifth Edition"/>
</file>

<file path=customXml/item57.xml><?xml version="1.0" encoding="utf-8"?>
<b:Sources xmlns:b="http://schemas.openxmlformats.org/officeDocument/2006/bibliography" xmlns="http://schemas.openxmlformats.org/officeDocument/2006/bibliography" SelectedStyle="\APA.XSL" StyleName="APA Fifth Edition"/>
</file>

<file path=customXml/item58.xml><?xml version="1.0" encoding="utf-8"?>
<b:Sources xmlns:b="http://schemas.openxmlformats.org/officeDocument/2006/bibliography" xmlns="http://schemas.openxmlformats.org/officeDocument/2006/bibliography" SelectedStyle="\APA.XSL" StyleName="APA Fifth Edition"/>
</file>

<file path=customXml/item59.xml><?xml version="1.0" encoding="utf-8"?>
<b:Sources xmlns:b="http://schemas.openxmlformats.org/officeDocument/2006/bibliography" xmlns="http://schemas.openxmlformats.org/officeDocument/2006/bibliography" SelectedStyle="\APA.XSL" StyleName="APA Fifth Edition"/>
</file>

<file path=customXml/item6.xml><?xml version="1.0" encoding="utf-8"?>
<b:Sources xmlns:b="http://schemas.openxmlformats.org/officeDocument/2006/bibliography" xmlns="http://schemas.openxmlformats.org/officeDocument/2006/bibliography" SelectedStyle="\APA.XSL" StyleName="APA Fifth Edition"/>
</file>

<file path=customXml/item60.xml><?xml version="1.0" encoding="utf-8"?>
<b:Sources xmlns:b="http://schemas.openxmlformats.org/officeDocument/2006/bibliography" xmlns="http://schemas.openxmlformats.org/officeDocument/2006/bibliography" SelectedStyle="\APA.XSL" StyleName="APA Fifth Edition"/>
</file>

<file path=customXml/item61.xml><?xml version="1.0" encoding="utf-8"?>
<b:Sources xmlns:b="http://schemas.openxmlformats.org/officeDocument/2006/bibliography" xmlns="http://schemas.openxmlformats.org/officeDocument/2006/bibliography" SelectedStyle="\APA.XSL" StyleName="APA Fifth Edition"/>
</file>

<file path=customXml/item62.xml><?xml version="1.0" encoding="utf-8"?>
<b:Sources xmlns:b="http://schemas.openxmlformats.org/officeDocument/2006/bibliography" xmlns="http://schemas.openxmlformats.org/officeDocument/2006/bibliography" SelectedStyle="\APA.XSL" StyleName="APA Fifth Edition"/>
</file>

<file path=customXml/item63.xml><?xml version="1.0" encoding="utf-8"?>
<b:Sources xmlns:b="http://schemas.openxmlformats.org/officeDocument/2006/bibliography" xmlns="http://schemas.openxmlformats.org/officeDocument/2006/bibliography" SelectedStyle="\APA.XSL" StyleName="APA Fifth Edition"/>
</file>

<file path=customXml/item64.xml><?xml version="1.0" encoding="utf-8"?>
<b:Sources xmlns:b="http://schemas.openxmlformats.org/officeDocument/2006/bibliography" xmlns="http://schemas.openxmlformats.org/officeDocument/2006/bibliography" SelectedStyle="\APA.XSL" StyleName="APA Fifth Edition"/>
</file>

<file path=customXml/item65.xml><?xml version="1.0" encoding="utf-8"?>
<b:Sources xmlns:b="http://schemas.openxmlformats.org/officeDocument/2006/bibliography" xmlns="http://schemas.openxmlformats.org/officeDocument/2006/bibliography" SelectedStyle="\APA.XSL" StyleName="APA Fifth Edition"/>
</file>

<file path=customXml/item66.xml><?xml version="1.0" encoding="utf-8"?>
<b:Sources xmlns:b="http://schemas.openxmlformats.org/officeDocument/2006/bibliography" xmlns="http://schemas.openxmlformats.org/officeDocument/2006/bibliography" SelectedStyle="\APA.XSL" StyleName="APA Fifth Edition"/>
</file>

<file path=customXml/item67.xml><?xml version="1.0" encoding="utf-8"?>
<b:Sources xmlns:b="http://schemas.openxmlformats.org/officeDocument/2006/bibliography" xmlns="http://schemas.openxmlformats.org/officeDocument/2006/bibliography" SelectedStyle="\APA.XSL" StyleName="APA Fifth Edition"/>
</file>

<file path=customXml/item68.xml><?xml version="1.0" encoding="utf-8"?>
<b:Sources xmlns:b="http://schemas.openxmlformats.org/officeDocument/2006/bibliography" xmlns="http://schemas.openxmlformats.org/officeDocument/2006/bibliography" SelectedStyle="\APA.XSL" StyleName="APA Fifth Edition"/>
</file>

<file path=customXml/item69.xml><?xml version="1.0" encoding="utf-8"?>
<b:Sources xmlns:b="http://schemas.openxmlformats.org/officeDocument/2006/bibliography" xmlns="http://schemas.openxmlformats.org/officeDocument/2006/bibliography" SelectedStyle="\APA.XSL" StyleName="APA Fifth Edition"/>
</file>

<file path=customXml/item7.xml><?xml version="1.0" encoding="utf-8"?>
<b:Sources xmlns:b="http://schemas.openxmlformats.org/officeDocument/2006/bibliography" xmlns="http://schemas.openxmlformats.org/officeDocument/2006/bibliography" SelectedStyle="\APA.XSL" StyleName="APA Fifth Edition"/>
</file>

<file path=customXml/item70.xml><?xml version="1.0" encoding="utf-8"?>
<b:Sources xmlns:b="http://schemas.openxmlformats.org/officeDocument/2006/bibliography" xmlns="http://schemas.openxmlformats.org/officeDocument/2006/bibliography" SelectedStyle="\APA.XSL" StyleName="APA Fifth Edition"/>
</file>

<file path=customXml/item71.xml><?xml version="1.0" encoding="utf-8"?>
<b:Sources xmlns:b="http://schemas.openxmlformats.org/officeDocument/2006/bibliography" xmlns="http://schemas.openxmlformats.org/officeDocument/2006/bibliography" SelectedStyle="\APA.XSL" StyleName="APA Fifth Edition"/>
</file>

<file path=customXml/item72.xml><?xml version="1.0" encoding="utf-8"?>
<b:Sources xmlns:b="http://schemas.openxmlformats.org/officeDocument/2006/bibliography" xmlns="http://schemas.openxmlformats.org/officeDocument/2006/bibliography" SelectedStyle="\APA.XSL" StyleName="APA Fifth Edition"/>
</file>

<file path=customXml/item73.xml><?xml version="1.0" encoding="utf-8"?>
<b:Sources xmlns:b="http://schemas.openxmlformats.org/officeDocument/2006/bibliography" xmlns="http://schemas.openxmlformats.org/officeDocument/2006/bibliography" SelectedStyle="\APA.XSL" StyleName="APA Fifth Edition"/>
</file>

<file path=customXml/item74.xml><?xml version="1.0" encoding="utf-8"?>
<b:Sources xmlns:b="http://schemas.openxmlformats.org/officeDocument/2006/bibliography" xmlns="http://schemas.openxmlformats.org/officeDocument/2006/bibliography" SelectedStyle="\APA.XSL" StyleName="APA Fifth Edition"/>
</file>

<file path=customXml/item75.xml><?xml version="1.0" encoding="utf-8"?>
<b:Sources xmlns:b="http://schemas.openxmlformats.org/officeDocument/2006/bibliography" xmlns="http://schemas.openxmlformats.org/officeDocument/2006/bibliography" SelectedStyle="\APA.XSL" StyleName="APA Fifth Edition"/>
</file>

<file path=customXml/item76.xml><?xml version="1.0" encoding="utf-8"?>
<b:Sources xmlns:b="http://schemas.openxmlformats.org/officeDocument/2006/bibliography" xmlns="http://schemas.openxmlformats.org/officeDocument/2006/bibliography" SelectedStyle="\APA.XSL" StyleName="APA Fifth Edition"/>
</file>

<file path=customXml/item77.xml><?xml version="1.0" encoding="utf-8"?>
<b:Sources xmlns:b="http://schemas.openxmlformats.org/officeDocument/2006/bibliography" xmlns="http://schemas.openxmlformats.org/officeDocument/2006/bibliography" SelectedStyle="\APA.XSL" StyleName="APA Fifth Edition"/>
</file>

<file path=customXml/item78.xml><?xml version="1.0" encoding="utf-8"?>
<b:Sources xmlns:b="http://schemas.openxmlformats.org/officeDocument/2006/bibliography" xmlns="http://schemas.openxmlformats.org/officeDocument/2006/bibliography" SelectedStyle="\APA.XSL" StyleName="APA Fifth Edition"/>
</file>

<file path=customXml/item79.xml><?xml version="1.0" encoding="utf-8"?>
<b:Sources xmlns:b="http://schemas.openxmlformats.org/officeDocument/2006/bibliography" xmlns="http://schemas.openxmlformats.org/officeDocument/2006/bibliography" SelectedStyle="\APA.XSL" StyleName="APA Fifth Edition"/>
</file>

<file path=customXml/item8.xml><?xml version="1.0" encoding="utf-8"?>
<b:Sources xmlns:b="http://schemas.openxmlformats.org/officeDocument/2006/bibliography" xmlns="http://schemas.openxmlformats.org/officeDocument/2006/bibliography" SelectedStyle="\APA.XSL" StyleName="APA Fifth Edition"/>
</file>

<file path=customXml/item80.xml><?xml version="1.0" encoding="utf-8"?>
<b:Sources xmlns:b="http://schemas.openxmlformats.org/officeDocument/2006/bibliography" xmlns="http://schemas.openxmlformats.org/officeDocument/2006/bibliography" SelectedStyle="\APA.XSL" StyleName="APA Fifth Edition"/>
</file>

<file path=customXml/item81.xml><?xml version="1.0" encoding="utf-8"?>
<b:Sources xmlns:b="http://schemas.openxmlformats.org/officeDocument/2006/bibliography" xmlns="http://schemas.openxmlformats.org/officeDocument/2006/bibliography" SelectedStyle="\APA.XSL" StyleName="APA Fifth Edition"/>
</file>

<file path=customXml/item82.xml><?xml version="1.0" encoding="utf-8"?>
<b:Sources xmlns:b="http://schemas.openxmlformats.org/officeDocument/2006/bibliography" xmlns="http://schemas.openxmlformats.org/officeDocument/2006/bibliography" SelectedStyle="\APA.XSL" StyleName="APA Fifth Edition"/>
</file>

<file path=customXml/item83.xml><?xml version="1.0" encoding="utf-8"?>
<b:Sources xmlns:b="http://schemas.openxmlformats.org/officeDocument/2006/bibliography" xmlns="http://schemas.openxmlformats.org/officeDocument/2006/bibliography" SelectedStyle="\APA.XSL" StyleName="APA Fifth Edition"/>
</file>

<file path=customXml/item84.xml><?xml version="1.0" encoding="utf-8"?>
<b:Sources xmlns:b="http://schemas.openxmlformats.org/officeDocument/2006/bibliography" xmlns="http://schemas.openxmlformats.org/officeDocument/2006/bibliography" SelectedStyle="\APA.XSL" StyleName="APA Fifth Edition"/>
</file>

<file path=customXml/item85.xml><?xml version="1.0" encoding="utf-8"?>
<b:Sources xmlns:b="http://schemas.openxmlformats.org/officeDocument/2006/bibliography" xmlns="http://schemas.openxmlformats.org/officeDocument/2006/bibliography" SelectedStyle="\APA.XSL" StyleName="APA Fifth Edition"/>
</file>

<file path=customXml/item86.xml><?xml version="1.0" encoding="utf-8"?>
<b:Sources xmlns:b="http://schemas.openxmlformats.org/officeDocument/2006/bibliography" xmlns="http://schemas.openxmlformats.org/officeDocument/2006/bibliography" SelectedStyle="\APA.XSL" StyleName="APA Fifth Edition"/>
</file>

<file path=customXml/item87.xml><?xml version="1.0" encoding="utf-8"?>
<b:Sources xmlns:b="http://schemas.openxmlformats.org/officeDocument/2006/bibliography" xmlns="http://schemas.openxmlformats.org/officeDocument/2006/bibliography" SelectedStyle="\APA.XSL" StyleName="APA Fifth Edition"/>
</file>

<file path=customXml/item88.xml><?xml version="1.0" encoding="utf-8"?>
<p:properties xmlns:p="http://schemas.microsoft.com/office/2006/metadata/properties" xmlns:xsi="http://www.w3.org/2001/XMLSchema-instance" xmlns:pc="http://schemas.microsoft.com/office/infopath/2007/PartnerControls">
  <documentManagement>
    <_dlc_DocId xmlns="8ccc4631-9afc-4718-b120-5e2e37a03cc7">PROJ-213-274</_dlc_DocId>
    <_dlc_DocIdUrl xmlns="8ccc4631-9afc-4718-b120-5e2e37a03cc7">
      <Url>http://thedock.gbrmpa.gov.au/sites/Projects/P000056/_layouts/DocIdRedir.aspx?ID=PROJ-213-274</Url>
      <Description>PROJ-213-274</Description>
    </_dlc_DocIdUrl>
  </documentManagement>
</p:properties>
</file>

<file path=customXml/item89.xml><?xml version="1.0" encoding="utf-8"?>
<b:Sources xmlns:b="http://schemas.openxmlformats.org/officeDocument/2006/bibliography" xmlns="http://schemas.openxmlformats.org/officeDocument/2006/bibliography" SelectedStyle="\APA.XSL" StyleName="APA Fifth Edition"/>
</file>

<file path=customXml/item9.xml><?xml version="1.0" encoding="utf-8"?>
<b:Sources xmlns:b="http://schemas.openxmlformats.org/officeDocument/2006/bibliography" xmlns="http://schemas.openxmlformats.org/officeDocument/2006/bibliography" SelectedStyle="\APA.XSL" StyleName="APA Fifth Edition"/>
</file>

<file path=customXml/item90.xml><?xml version="1.0" encoding="utf-8"?>
<b:Sources xmlns:b="http://schemas.openxmlformats.org/officeDocument/2006/bibliography" xmlns="http://schemas.openxmlformats.org/officeDocument/2006/bibliography" SelectedStyle="\APA.XSL" StyleName="APA Fifth Edition"/>
</file>

<file path=customXml/item91.xml><?xml version="1.0" encoding="utf-8"?>
<b:Sources xmlns:b="http://schemas.openxmlformats.org/officeDocument/2006/bibliography" xmlns="http://schemas.openxmlformats.org/officeDocument/2006/bibliography" SelectedStyle="\APA.XSL" StyleName="APA Fifth Edition"/>
</file>

<file path=customXml/item92.xml><?xml version="1.0" encoding="utf-8"?>
<b:Sources xmlns:b="http://schemas.openxmlformats.org/officeDocument/2006/bibliography" xmlns="http://schemas.openxmlformats.org/officeDocument/2006/bibliography" SelectedStyle="\APA.XSL" StyleName="APA Fifth Edition"/>
</file>

<file path=customXml/item93.xml><?xml version="1.0" encoding="utf-8"?>
<b:Sources xmlns:b="http://schemas.openxmlformats.org/officeDocument/2006/bibliography" xmlns="http://schemas.openxmlformats.org/officeDocument/2006/bibliography" SelectedStyle="\APA.XSL" StyleName="APA Fifth Edition"/>
</file>

<file path=customXml/item94.xml><?xml version="1.0" encoding="utf-8"?>
<b:Sources xmlns:b="http://schemas.openxmlformats.org/officeDocument/2006/bibliography" xmlns="http://schemas.openxmlformats.org/officeDocument/2006/bibliography" SelectedStyle="\APA.XSL" StyleName="APA Fifth Edition"/>
</file>

<file path=customXml/item95.xml><?xml version="1.0" encoding="utf-8"?>
<b:Sources xmlns:b="http://schemas.openxmlformats.org/officeDocument/2006/bibliography" xmlns="http://schemas.openxmlformats.org/officeDocument/2006/bibliography" SelectedStyle="\APA.XSL" StyleName="APA Fifth Edition"/>
</file>

<file path=customXml/item96.xml><?xml version="1.0" encoding="utf-8"?>
<b:Sources xmlns:b="http://schemas.openxmlformats.org/officeDocument/2006/bibliography" xmlns="http://schemas.openxmlformats.org/officeDocument/2006/bibliography" SelectedStyle="\APA.XSL" StyleName="APA Fifth Edition"/>
</file>

<file path=customXml/item97.xml><?xml version="1.0" encoding="utf-8"?>
<b:Sources xmlns:b="http://schemas.openxmlformats.org/officeDocument/2006/bibliography" xmlns="http://schemas.openxmlformats.org/officeDocument/2006/bibliography" SelectedStyle="\APA.XSL" StyleName="APA Fifth Edition"/>
</file>

<file path=customXml/item98.xml><?xml version="1.0" encoding="utf-8"?>
<b:Sources xmlns:b="http://schemas.openxmlformats.org/officeDocument/2006/bibliography" xmlns="http://schemas.openxmlformats.org/officeDocument/2006/bibliography" SelectedStyle="\APA.XSL" StyleName="APA Fifth Edition"/>
</file>

<file path=customXml/item99.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ACE2E00-E8AF-41DF-8509-49611ED519D1}">
  <ds:schemaRefs>
    <ds:schemaRef ds:uri="http://schemas.openxmlformats.org/officeDocument/2006/bibliography"/>
  </ds:schemaRefs>
</ds:datastoreItem>
</file>

<file path=customXml/itemProps10.xml><?xml version="1.0" encoding="utf-8"?>
<ds:datastoreItem xmlns:ds="http://schemas.openxmlformats.org/officeDocument/2006/customXml" ds:itemID="{5154040D-F842-45FC-B3F6-3149AB721A8A}">
  <ds:schemaRefs>
    <ds:schemaRef ds:uri="http://schemas.openxmlformats.org/officeDocument/2006/bibliography"/>
  </ds:schemaRefs>
</ds:datastoreItem>
</file>

<file path=customXml/itemProps100.xml><?xml version="1.0" encoding="utf-8"?>
<ds:datastoreItem xmlns:ds="http://schemas.openxmlformats.org/officeDocument/2006/customXml" ds:itemID="{380827FB-F01F-4D98-A9FF-395BC6AF8FA2}">
  <ds:schemaRefs>
    <ds:schemaRef ds:uri="http://schemas.openxmlformats.org/officeDocument/2006/bibliography"/>
  </ds:schemaRefs>
</ds:datastoreItem>
</file>

<file path=customXml/itemProps101.xml><?xml version="1.0" encoding="utf-8"?>
<ds:datastoreItem xmlns:ds="http://schemas.openxmlformats.org/officeDocument/2006/customXml" ds:itemID="{5482D8BD-494B-48A2-ACD9-9ED2AAE36A1A}">
  <ds:schemaRefs>
    <ds:schemaRef ds:uri="http://schemas.openxmlformats.org/officeDocument/2006/bibliography"/>
  </ds:schemaRefs>
</ds:datastoreItem>
</file>

<file path=customXml/itemProps102.xml><?xml version="1.0" encoding="utf-8"?>
<ds:datastoreItem xmlns:ds="http://schemas.openxmlformats.org/officeDocument/2006/customXml" ds:itemID="{41448A23-CF97-4D56-8705-1A2B61F2716B}">
  <ds:schemaRefs>
    <ds:schemaRef ds:uri="http://schemas.openxmlformats.org/officeDocument/2006/bibliography"/>
  </ds:schemaRefs>
</ds:datastoreItem>
</file>

<file path=customXml/itemProps103.xml><?xml version="1.0" encoding="utf-8"?>
<ds:datastoreItem xmlns:ds="http://schemas.openxmlformats.org/officeDocument/2006/customXml" ds:itemID="{76657993-51FA-49A9-8403-FF075379CA12}">
  <ds:schemaRefs>
    <ds:schemaRef ds:uri="http://schemas.openxmlformats.org/officeDocument/2006/bibliography"/>
  </ds:schemaRefs>
</ds:datastoreItem>
</file>

<file path=customXml/itemProps104.xml><?xml version="1.0" encoding="utf-8"?>
<ds:datastoreItem xmlns:ds="http://schemas.openxmlformats.org/officeDocument/2006/customXml" ds:itemID="{B0939161-6EDA-4F5C-91B1-EE4FC8E8D15D}">
  <ds:schemaRefs>
    <ds:schemaRef ds:uri="http://schemas.openxmlformats.org/officeDocument/2006/bibliography"/>
  </ds:schemaRefs>
</ds:datastoreItem>
</file>

<file path=customXml/itemProps105.xml><?xml version="1.0" encoding="utf-8"?>
<ds:datastoreItem xmlns:ds="http://schemas.openxmlformats.org/officeDocument/2006/customXml" ds:itemID="{3148E24D-2029-4442-8DC9-DB32DF01A1CC}">
  <ds:schemaRefs>
    <ds:schemaRef ds:uri="http://schemas.openxmlformats.org/officeDocument/2006/bibliography"/>
  </ds:schemaRefs>
</ds:datastoreItem>
</file>

<file path=customXml/itemProps106.xml><?xml version="1.0" encoding="utf-8"?>
<ds:datastoreItem xmlns:ds="http://schemas.openxmlformats.org/officeDocument/2006/customXml" ds:itemID="{9C693B86-EB22-4809-AE57-38B490BFC090}">
  <ds:schemaRefs>
    <ds:schemaRef ds:uri="http://schemas.openxmlformats.org/officeDocument/2006/bibliography"/>
  </ds:schemaRefs>
</ds:datastoreItem>
</file>

<file path=customXml/itemProps107.xml><?xml version="1.0" encoding="utf-8"?>
<ds:datastoreItem xmlns:ds="http://schemas.openxmlformats.org/officeDocument/2006/customXml" ds:itemID="{C395735F-F2C1-4936-8BAD-1842475251E1}">
  <ds:schemaRefs>
    <ds:schemaRef ds:uri="http://schemas.openxmlformats.org/officeDocument/2006/bibliography"/>
  </ds:schemaRefs>
</ds:datastoreItem>
</file>

<file path=customXml/itemProps108.xml><?xml version="1.0" encoding="utf-8"?>
<ds:datastoreItem xmlns:ds="http://schemas.openxmlformats.org/officeDocument/2006/customXml" ds:itemID="{F5677C50-1D72-49A2-86FC-FCE94D8555D3}">
  <ds:schemaRefs>
    <ds:schemaRef ds:uri="http://schemas.openxmlformats.org/officeDocument/2006/bibliography"/>
  </ds:schemaRefs>
</ds:datastoreItem>
</file>

<file path=customXml/itemProps109.xml><?xml version="1.0" encoding="utf-8"?>
<ds:datastoreItem xmlns:ds="http://schemas.openxmlformats.org/officeDocument/2006/customXml" ds:itemID="{9CB15AF9-F207-4212-8F89-8B70562A83FA}">
  <ds:schemaRefs>
    <ds:schemaRef ds:uri="http://schemas.openxmlformats.org/officeDocument/2006/bibliography"/>
  </ds:schemaRefs>
</ds:datastoreItem>
</file>

<file path=customXml/itemProps11.xml><?xml version="1.0" encoding="utf-8"?>
<ds:datastoreItem xmlns:ds="http://schemas.openxmlformats.org/officeDocument/2006/customXml" ds:itemID="{B44B4787-4EAB-463C-8099-90E308BC356E}">
  <ds:schemaRefs>
    <ds:schemaRef ds:uri="http://schemas.openxmlformats.org/officeDocument/2006/bibliography"/>
  </ds:schemaRefs>
</ds:datastoreItem>
</file>

<file path=customXml/itemProps110.xml><?xml version="1.0" encoding="utf-8"?>
<ds:datastoreItem xmlns:ds="http://schemas.openxmlformats.org/officeDocument/2006/customXml" ds:itemID="{8E98AA28-E6BB-4A73-ABB9-8D4FAD6059C3}">
  <ds:schemaRefs>
    <ds:schemaRef ds:uri="http://schemas.openxmlformats.org/officeDocument/2006/bibliography"/>
  </ds:schemaRefs>
</ds:datastoreItem>
</file>

<file path=customXml/itemProps111.xml><?xml version="1.0" encoding="utf-8"?>
<ds:datastoreItem xmlns:ds="http://schemas.openxmlformats.org/officeDocument/2006/customXml" ds:itemID="{A167D935-C8F7-44BF-ABFA-15FB6C8F0770}">
  <ds:schemaRefs>
    <ds:schemaRef ds:uri="http://schemas.openxmlformats.org/officeDocument/2006/bibliography"/>
  </ds:schemaRefs>
</ds:datastoreItem>
</file>

<file path=customXml/itemProps112.xml><?xml version="1.0" encoding="utf-8"?>
<ds:datastoreItem xmlns:ds="http://schemas.openxmlformats.org/officeDocument/2006/customXml" ds:itemID="{6B9A3410-B80E-4DE2-BBCD-5F7CCF58708A}">
  <ds:schemaRefs>
    <ds:schemaRef ds:uri="http://schemas.openxmlformats.org/officeDocument/2006/bibliography"/>
  </ds:schemaRefs>
</ds:datastoreItem>
</file>

<file path=customXml/itemProps113.xml><?xml version="1.0" encoding="utf-8"?>
<ds:datastoreItem xmlns:ds="http://schemas.openxmlformats.org/officeDocument/2006/customXml" ds:itemID="{5755B174-F548-448F-90DE-1C639CA70D9A}">
  <ds:schemaRefs>
    <ds:schemaRef ds:uri="http://schemas.openxmlformats.org/officeDocument/2006/bibliography"/>
  </ds:schemaRefs>
</ds:datastoreItem>
</file>

<file path=customXml/itemProps114.xml><?xml version="1.0" encoding="utf-8"?>
<ds:datastoreItem xmlns:ds="http://schemas.openxmlformats.org/officeDocument/2006/customXml" ds:itemID="{282BAF07-EC66-4422-864C-4D3251ADEF61}">
  <ds:schemaRefs>
    <ds:schemaRef ds:uri="http://schemas.openxmlformats.org/officeDocument/2006/bibliography"/>
  </ds:schemaRefs>
</ds:datastoreItem>
</file>

<file path=customXml/itemProps115.xml><?xml version="1.0" encoding="utf-8"?>
<ds:datastoreItem xmlns:ds="http://schemas.openxmlformats.org/officeDocument/2006/customXml" ds:itemID="{500EDA9B-0245-437C-BD98-09106788E152}">
  <ds:schemaRefs>
    <ds:schemaRef ds:uri="http://schemas.openxmlformats.org/officeDocument/2006/bibliography"/>
  </ds:schemaRefs>
</ds:datastoreItem>
</file>

<file path=customXml/itemProps116.xml><?xml version="1.0" encoding="utf-8"?>
<ds:datastoreItem xmlns:ds="http://schemas.openxmlformats.org/officeDocument/2006/customXml" ds:itemID="{105EBCAF-E8D0-4027-AB34-531D7E290A4D}">
  <ds:schemaRefs>
    <ds:schemaRef ds:uri="http://schemas.openxmlformats.org/officeDocument/2006/bibliography"/>
  </ds:schemaRefs>
</ds:datastoreItem>
</file>

<file path=customXml/itemProps117.xml><?xml version="1.0" encoding="utf-8"?>
<ds:datastoreItem xmlns:ds="http://schemas.openxmlformats.org/officeDocument/2006/customXml" ds:itemID="{1D97BA4E-C73C-42D2-B130-A89DAE6B10E6}">
  <ds:schemaRefs>
    <ds:schemaRef ds:uri="http://schemas.openxmlformats.org/officeDocument/2006/bibliography"/>
  </ds:schemaRefs>
</ds:datastoreItem>
</file>

<file path=customXml/itemProps118.xml><?xml version="1.0" encoding="utf-8"?>
<ds:datastoreItem xmlns:ds="http://schemas.openxmlformats.org/officeDocument/2006/customXml" ds:itemID="{EF113998-E6C2-428D-A123-B91F80501998}">
  <ds:schemaRefs>
    <ds:schemaRef ds:uri="http://schemas.openxmlformats.org/officeDocument/2006/bibliography"/>
  </ds:schemaRefs>
</ds:datastoreItem>
</file>

<file path=customXml/itemProps119.xml><?xml version="1.0" encoding="utf-8"?>
<ds:datastoreItem xmlns:ds="http://schemas.openxmlformats.org/officeDocument/2006/customXml" ds:itemID="{37EF7898-832C-49F4-A684-24A1E26FC2AA}">
  <ds:schemaRefs>
    <ds:schemaRef ds:uri="http://schemas.openxmlformats.org/officeDocument/2006/bibliography"/>
  </ds:schemaRefs>
</ds:datastoreItem>
</file>

<file path=customXml/itemProps12.xml><?xml version="1.0" encoding="utf-8"?>
<ds:datastoreItem xmlns:ds="http://schemas.openxmlformats.org/officeDocument/2006/customXml" ds:itemID="{3D3A291D-74A3-41B8-B304-02D7A7087A04}">
  <ds:schemaRefs>
    <ds:schemaRef ds:uri="http://schemas.openxmlformats.org/officeDocument/2006/bibliography"/>
  </ds:schemaRefs>
</ds:datastoreItem>
</file>

<file path=customXml/itemProps120.xml><?xml version="1.0" encoding="utf-8"?>
<ds:datastoreItem xmlns:ds="http://schemas.openxmlformats.org/officeDocument/2006/customXml" ds:itemID="{488C01F3-3E7C-40C5-B071-BC883123E74F}">
  <ds:schemaRefs>
    <ds:schemaRef ds:uri="http://schemas.openxmlformats.org/officeDocument/2006/bibliography"/>
  </ds:schemaRefs>
</ds:datastoreItem>
</file>

<file path=customXml/itemProps121.xml><?xml version="1.0" encoding="utf-8"?>
<ds:datastoreItem xmlns:ds="http://schemas.openxmlformats.org/officeDocument/2006/customXml" ds:itemID="{EE14D7FE-197E-4767-9883-84D58E027A3F}">
  <ds:schemaRefs>
    <ds:schemaRef ds:uri="http://schemas.openxmlformats.org/officeDocument/2006/bibliography"/>
  </ds:schemaRefs>
</ds:datastoreItem>
</file>

<file path=customXml/itemProps122.xml><?xml version="1.0" encoding="utf-8"?>
<ds:datastoreItem xmlns:ds="http://schemas.openxmlformats.org/officeDocument/2006/customXml" ds:itemID="{1A8D284A-6ACA-4051-A109-C1F9F30829B7}">
  <ds:schemaRefs>
    <ds:schemaRef ds:uri="http://schemas.openxmlformats.org/officeDocument/2006/bibliography"/>
  </ds:schemaRefs>
</ds:datastoreItem>
</file>

<file path=customXml/itemProps123.xml><?xml version="1.0" encoding="utf-8"?>
<ds:datastoreItem xmlns:ds="http://schemas.openxmlformats.org/officeDocument/2006/customXml" ds:itemID="{9C4FEABD-52D8-413B-B10A-26082643E59C}">
  <ds:schemaRefs>
    <ds:schemaRef ds:uri="http://schemas.openxmlformats.org/officeDocument/2006/bibliography"/>
  </ds:schemaRefs>
</ds:datastoreItem>
</file>

<file path=customXml/itemProps124.xml><?xml version="1.0" encoding="utf-8"?>
<ds:datastoreItem xmlns:ds="http://schemas.openxmlformats.org/officeDocument/2006/customXml" ds:itemID="{418DC732-36C0-4E3C-B160-27A2AA80C33D}">
  <ds:schemaRefs>
    <ds:schemaRef ds:uri="http://schemas.openxmlformats.org/officeDocument/2006/bibliography"/>
  </ds:schemaRefs>
</ds:datastoreItem>
</file>

<file path=customXml/itemProps125.xml><?xml version="1.0" encoding="utf-8"?>
<ds:datastoreItem xmlns:ds="http://schemas.openxmlformats.org/officeDocument/2006/customXml" ds:itemID="{5EEF1195-7D1F-4412-8181-66E870528BF8}">
  <ds:schemaRefs>
    <ds:schemaRef ds:uri="http://schemas.openxmlformats.org/officeDocument/2006/bibliography"/>
  </ds:schemaRefs>
</ds:datastoreItem>
</file>

<file path=customXml/itemProps126.xml><?xml version="1.0" encoding="utf-8"?>
<ds:datastoreItem xmlns:ds="http://schemas.openxmlformats.org/officeDocument/2006/customXml" ds:itemID="{89F0D8EF-3375-458D-A0C7-D0D55148207B}">
  <ds:schemaRefs>
    <ds:schemaRef ds:uri="http://schemas.openxmlformats.org/officeDocument/2006/bibliography"/>
  </ds:schemaRefs>
</ds:datastoreItem>
</file>

<file path=customXml/itemProps127.xml><?xml version="1.0" encoding="utf-8"?>
<ds:datastoreItem xmlns:ds="http://schemas.openxmlformats.org/officeDocument/2006/customXml" ds:itemID="{8059B79C-8024-44B8-9191-8CF1F10CB0AD}">
  <ds:schemaRefs>
    <ds:schemaRef ds:uri="http://schemas.openxmlformats.org/officeDocument/2006/bibliography"/>
  </ds:schemaRefs>
</ds:datastoreItem>
</file>

<file path=customXml/itemProps128.xml><?xml version="1.0" encoding="utf-8"?>
<ds:datastoreItem xmlns:ds="http://schemas.openxmlformats.org/officeDocument/2006/customXml" ds:itemID="{BB0F127E-098F-4D27-A98D-5DBFD0DF4085}">
  <ds:schemaRefs>
    <ds:schemaRef ds:uri="http://schemas.openxmlformats.org/officeDocument/2006/bibliography"/>
  </ds:schemaRefs>
</ds:datastoreItem>
</file>

<file path=customXml/itemProps129.xml><?xml version="1.0" encoding="utf-8"?>
<ds:datastoreItem xmlns:ds="http://schemas.openxmlformats.org/officeDocument/2006/customXml" ds:itemID="{C24828A4-6D05-4191-A9C4-0E78CD933D90}">
  <ds:schemaRefs>
    <ds:schemaRef ds:uri="http://schemas.openxmlformats.org/officeDocument/2006/bibliography"/>
  </ds:schemaRefs>
</ds:datastoreItem>
</file>

<file path=customXml/itemProps13.xml><?xml version="1.0" encoding="utf-8"?>
<ds:datastoreItem xmlns:ds="http://schemas.openxmlformats.org/officeDocument/2006/customXml" ds:itemID="{C3E6419D-5E20-4310-B812-6D0CCC766866}">
  <ds:schemaRefs>
    <ds:schemaRef ds:uri="http://schemas.openxmlformats.org/officeDocument/2006/bibliography"/>
  </ds:schemaRefs>
</ds:datastoreItem>
</file>

<file path=customXml/itemProps130.xml><?xml version="1.0" encoding="utf-8"?>
<ds:datastoreItem xmlns:ds="http://schemas.openxmlformats.org/officeDocument/2006/customXml" ds:itemID="{C0C9C121-7B53-4356-877C-6ED8FD5CD98C}">
  <ds:schemaRefs>
    <ds:schemaRef ds:uri="http://schemas.openxmlformats.org/officeDocument/2006/bibliography"/>
  </ds:schemaRefs>
</ds:datastoreItem>
</file>

<file path=customXml/itemProps131.xml><?xml version="1.0" encoding="utf-8"?>
<ds:datastoreItem xmlns:ds="http://schemas.openxmlformats.org/officeDocument/2006/customXml" ds:itemID="{9F8ABDEE-7451-4267-B9CD-1BA676B938E4}">
  <ds:schemaRefs>
    <ds:schemaRef ds:uri="http://schemas.openxmlformats.org/officeDocument/2006/bibliography"/>
  </ds:schemaRefs>
</ds:datastoreItem>
</file>

<file path=customXml/itemProps132.xml><?xml version="1.0" encoding="utf-8"?>
<ds:datastoreItem xmlns:ds="http://schemas.openxmlformats.org/officeDocument/2006/customXml" ds:itemID="{0954B45E-F483-49A7-990A-0BBA1587B123}">
  <ds:schemaRefs>
    <ds:schemaRef ds:uri="http://schemas.openxmlformats.org/officeDocument/2006/bibliography"/>
  </ds:schemaRefs>
</ds:datastoreItem>
</file>

<file path=customXml/itemProps133.xml><?xml version="1.0" encoding="utf-8"?>
<ds:datastoreItem xmlns:ds="http://schemas.openxmlformats.org/officeDocument/2006/customXml" ds:itemID="{6E978915-3989-4F26-8446-E59B4FADD098}">
  <ds:schemaRefs>
    <ds:schemaRef ds:uri="http://schemas.openxmlformats.org/officeDocument/2006/bibliography"/>
  </ds:schemaRefs>
</ds:datastoreItem>
</file>

<file path=customXml/itemProps134.xml><?xml version="1.0" encoding="utf-8"?>
<ds:datastoreItem xmlns:ds="http://schemas.openxmlformats.org/officeDocument/2006/customXml" ds:itemID="{87A8CD17-129E-49DD-B85F-DF462DF58246}">
  <ds:schemaRefs>
    <ds:schemaRef ds:uri="http://schemas.openxmlformats.org/officeDocument/2006/bibliography"/>
  </ds:schemaRefs>
</ds:datastoreItem>
</file>

<file path=customXml/itemProps135.xml><?xml version="1.0" encoding="utf-8"?>
<ds:datastoreItem xmlns:ds="http://schemas.openxmlformats.org/officeDocument/2006/customXml" ds:itemID="{36B28D9F-C3F8-4E74-8F86-BE521C9BEA89}">
  <ds:schemaRefs>
    <ds:schemaRef ds:uri="http://schemas.openxmlformats.org/officeDocument/2006/bibliography"/>
  </ds:schemaRefs>
</ds:datastoreItem>
</file>

<file path=customXml/itemProps136.xml><?xml version="1.0" encoding="utf-8"?>
<ds:datastoreItem xmlns:ds="http://schemas.openxmlformats.org/officeDocument/2006/customXml" ds:itemID="{9CA6E83A-380F-4974-B702-9C462FEC8C11}">
  <ds:schemaRefs>
    <ds:schemaRef ds:uri="http://schemas.openxmlformats.org/officeDocument/2006/bibliography"/>
  </ds:schemaRefs>
</ds:datastoreItem>
</file>

<file path=customXml/itemProps137.xml><?xml version="1.0" encoding="utf-8"?>
<ds:datastoreItem xmlns:ds="http://schemas.openxmlformats.org/officeDocument/2006/customXml" ds:itemID="{38151534-8ADA-444F-8AB5-B31491293787}">
  <ds:schemaRefs>
    <ds:schemaRef ds:uri="http://schemas.openxmlformats.org/officeDocument/2006/bibliography"/>
  </ds:schemaRefs>
</ds:datastoreItem>
</file>

<file path=customXml/itemProps138.xml><?xml version="1.0" encoding="utf-8"?>
<ds:datastoreItem xmlns:ds="http://schemas.openxmlformats.org/officeDocument/2006/customXml" ds:itemID="{D842EEA5-0DC4-4865-A342-F64BB864ACCB}">
  <ds:schemaRefs>
    <ds:schemaRef ds:uri="http://schemas.openxmlformats.org/officeDocument/2006/bibliography"/>
  </ds:schemaRefs>
</ds:datastoreItem>
</file>

<file path=customXml/itemProps139.xml><?xml version="1.0" encoding="utf-8"?>
<ds:datastoreItem xmlns:ds="http://schemas.openxmlformats.org/officeDocument/2006/customXml" ds:itemID="{59AF5541-76C6-4D49-A21A-4A216F444348}">
  <ds:schemaRefs>
    <ds:schemaRef ds:uri="http://schemas.openxmlformats.org/officeDocument/2006/bibliography"/>
  </ds:schemaRefs>
</ds:datastoreItem>
</file>

<file path=customXml/itemProps14.xml><?xml version="1.0" encoding="utf-8"?>
<ds:datastoreItem xmlns:ds="http://schemas.openxmlformats.org/officeDocument/2006/customXml" ds:itemID="{5542C73E-BACE-4870-8124-340AB37C1DD8}">
  <ds:schemaRefs>
    <ds:schemaRef ds:uri="http://schemas.openxmlformats.org/officeDocument/2006/bibliography"/>
  </ds:schemaRefs>
</ds:datastoreItem>
</file>

<file path=customXml/itemProps140.xml><?xml version="1.0" encoding="utf-8"?>
<ds:datastoreItem xmlns:ds="http://schemas.openxmlformats.org/officeDocument/2006/customXml" ds:itemID="{3974C7FF-34CE-4DC9-84B9-62F56D7BF79C}">
  <ds:schemaRefs>
    <ds:schemaRef ds:uri="http://schemas.openxmlformats.org/officeDocument/2006/bibliography"/>
  </ds:schemaRefs>
</ds:datastoreItem>
</file>

<file path=customXml/itemProps141.xml><?xml version="1.0" encoding="utf-8"?>
<ds:datastoreItem xmlns:ds="http://schemas.openxmlformats.org/officeDocument/2006/customXml" ds:itemID="{F0738BE0-6B71-43AC-AD77-7C37D5A456A7}">
  <ds:schemaRefs>
    <ds:schemaRef ds:uri="http://schemas.openxmlformats.org/officeDocument/2006/bibliography"/>
  </ds:schemaRefs>
</ds:datastoreItem>
</file>

<file path=customXml/itemProps142.xml><?xml version="1.0" encoding="utf-8"?>
<ds:datastoreItem xmlns:ds="http://schemas.openxmlformats.org/officeDocument/2006/customXml" ds:itemID="{F629606A-80F3-42D4-B977-F4C9392319FF}">
  <ds:schemaRefs>
    <ds:schemaRef ds:uri="http://schemas.openxmlformats.org/officeDocument/2006/bibliography"/>
  </ds:schemaRefs>
</ds:datastoreItem>
</file>

<file path=customXml/itemProps143.xml><?xml version="1.0" encoding="utf-8"?>
<ds:datastoreItem xmlns:ds="http://schemas.openxmlformats.org/officeDocument/2006/customXml" ds:itemID="{CD5D7C7F-29C8-4220-AC18-73D22A7D70C4}">
  <ds:schemaRefs>
    <ds:schemaRef ds:uri="http://schemas.openxmlformats.org/officeDocument/2006/bibliography"/>
  </ds:schemaRefs>
</ds:datastoreItem>
</file>

<file path=customXml/itemProps144.xml><?xml version="1.0" encoding="utf-8"?>
<ds:datastoreItem xmlns:ds="http://schemas.openxmlformats.org/officeDocument/2006/customXml" ds:itemID="{E8359649-1012-4FDC-B6C5-4301CA4E9A08}">
  <ds:schemaRefs>
    <ds:schemaRef ds:uri="http://schemas.openxmlformats.org/officeDocument/2006/bibliography"/>
  </ds:schemaRefs>
</ds:datastoreItem>
</file>

<file path=customXml/itemProps145.xml><?xml version="1.0" encoding="utf-8"?>
<ds:datastoreItem xmlns:ds="http://schemas.openxmlformats.org/officeDocument/2006/customXml" ds:itemID="{514D3974-77EA-47F6-A9B0-CFC8E78D769E}">
  <ds:schemaRefs>
    <ds:schemaRef ds:uri="http://schemas.openxmlformats.org/officeDocument/2006/bibliography"/>
  </ds:schemaRefs>
</ds:datastoreItem>
</file>

<file path=customXml/itemProps146.xml><?xml version="1.0" encoding="utf-8"?>
<ds:datastoreItem xmlns:ds="http://schemas.openxmlformats.org/officeDocument/2006/customXml" ds:itemID="{3499E6A5-4084-428B-AFE7-CCEE25CF58D2}">
  <ds:schemaRefs>
    <ds:schemaRef ds:uri="http://schemas.openxmlformats.org/officeDocument/2006/bibliography"/>
  </ds:schemaRefs>
</ds:datastoreItem>
</file>

<file path=customXml/itemProps147.xml><?xml version="1.0" encoding="utf-8"?>
<ds:datastoreItem xmlns:ds="http://schemas.openxmlformats.org/officeDocument/2006/customXml" ds:itemID="{C75DAE22-BDB1-4755-B556-1AB25661CAF1}">
  <ds:schemaRefs>
    <ds:schemaRef ds:uri="http://schemas.openxmlformats.org/officeDocument/2006/bibliography"/>
  </ds:schemaRefs>
</ds:datastoreItem>
</file>

<file path=customXml/itemProps148.xml><?xml version="1.0" encoding="utf-8"?>
<ds:datastoreItem xmlns:ds="http://schemas.openxmlformats.org/officeDocument/2006/customXml" ds:itemID="{CE5E94BE-C7F6-48DC-86B5-7A6089D00690}">
  <ds:schemaRefs>
    <ds:schemaRef ds:uri="http://schemas.openxmlformats.org/officeDocument/2006/bibliography"/>
  </ds:schemaRefs>
</ds:datastoreItem>
</file>

<file path=customXml/itemProps149.xml><?xml version="1.0" encoding="utf-8"?>
<ds:datastoreItem xmlns:ds="http://schemas.openxmlformats.org/officeDocument/2006/customXml" ds:itemID="{E0618AAB-2528-4436-9767-EFAB8766E068}">
  <ds:schemaRefs>
    <ds:schemaRef ds:uri="http://schemas.openxmlformats.org/officeDocument/2006/bibliography"/>
  </ds:schemaRefs>
</ds:datastoreItem>
</file>

<file path=customXml/itemProps15.xml><?xml version="1.0" encoding="utf-8"?>
<ds:datastoreItem xmlns:ds="http://schemas.openxmlformats.org/officeDocument/2006/customXml" ds:itemID="{00DFEF28-D657-45F9-906E-3F32B09D2948}">
  <ds:schemaRefs>
    <ds:schemaRef ds:uri="http://schemas.openxmlformats.org/officeDocument/2006/bibliography"/>
  </ds:schemaRefs>
</ds:datastoreItem>
</file>

<file path=customXml/itemProps150.xml><?xml version="1.0" encoding="utf-8"?>
<ds:datastoreItem xmlns:ds="http://schemas.openxmlformats.org/officeDocument/2006/customXml" ds:itemID="{A9EB53C6-4BD0-4D24-8665-FDB7E8F750E9}">
  <ds:schemaRefs>
    <ds:schemaRef ds:uri="http://schemas.openxmlformats.org/officeDocument/2006/bibliography"/>
  </ds:schemaRefs>
</ds:datastoreItem>
</file>

<file path=customXml/itemProps151.xml><?xml version="1.0" encoding="utf-8"?>
<ds:datastoreItem xmlns:ds="http://schemas.openxmlformats.org/officeDocument/2006/customXml" ds:itemID="{51098BD8-DA98-440D-989F-1DA839DE4E1D}">
  <ds:schemaRefs>
    <ds:schemaRef ds:uri="http://schemas.openxmlformats.org/officeDocument/2006/bibliography"/>
  </ds:schemaRefs>
</ds:datastoreItem>
</file>

<file path=customXml/itemProps152.xml><?xml version="1.0" encoding="utf-8"?>
<ds:datastoreItem xmlns:ds="http://schemas.openxmlformats.org/officeDocument/2006/customXml" ds:itemID="{397973E2-F925-4657-8C5A-0CBDE982F4E8}">
  <ds:schemaRefs>
    <ds:schemaRef ds:uri="http://schemas.openxmlformats.org/officeDocument/2006/bibliography"/>
  </ds:schemaRefs>
</ds:datastoreItem>
</file>

<file path=customXml/itemProps153.xml><?xml version="1.0" encoding="utf-8"?>
<ds:datastoreItem xmlns:ds="http://schemas.openxmlformats.org/officeDocument/2006/customXml" ds:itemID="{4FCEE8F1-50E7-477D-8D1C-60FD2220AF56}">
  <ds:schemaRefs>
    <ds:schemaRef ds:uri="http://schemas.openxmlformats.org/officeDocument/2006/bibliography"/>
  </ds:schemaRefs>
</ds:datastoreItem>
</file>

<file path=customXml/itemProps154.xml><?xml version="1.0" encoding="utf-8"?>
<ds:datastoreItem xmlns:ds="http://schemas.openxmlformats.org/officeDocument/2006/customXml" ds:itemID="{6D2511D5-7B00-4E3D-9B3C-1D552C18D4E5}">
  <ds:schemaRefs>
    <ds:schemaRef ds:uri="http://schemas.openxmlformats.org/officeDocument/2006/bibliography"/>
  </ds:schemaRefs>
</ds:datastoreItem>
</file>

<file path=customXml/itemProps155.xml><?xml version="1.0" encoding="utf-8"?>
<ds:datastoreItem xmlns:ds="http://schemas.openxmlformats.org/officeDocument/2006/customXml" ds:itemID="{52F2E910-8124-47A1-9133-3A9A793B577A}">
  <ds:schemaRefs>
    <ds:schemaRef ds:uri="http://schemas.openxmlformats.org/officeDocument/2006/bibliography"/>
  </ds:schemaRefs>
</ds:datastoreItem>
</file>

<file path=customXml/itemProps156.xml><?xml version="1.0" encoding="utf-8"?>
<ds:datastoreItem xmlns:ds="http://schemas.openxmlformats.org/officeDocument/2006/customXml" ds:itemID="{7DF43D2E-EAAD-4FA0-9DE8-596BD4A2AD7D}">
  <ds:schemaRefs>
    <ds:schemaRef ds:uri="http://schemas.openxmlformats.org/officeDocument/2006/bibliography"/>
  </ds:schemaRefs>
</ds:datastoreItem>
</file>

<file path=customXml/itemProps157.xml><?xml version="1.0" encoding="utf-8"?>
<ds:datastoreItem xmlns:ds="http://schemas.openxmlformats.org/officeDocument/2006/customXml" ds:itemID="{750B44DE-D589-4DE7-9662-B2DCEA0B3A81}">
  <ds:schemaRefs>
    <ds:schemaRef ds:uri="http://schemas.openxmlformats.org/officeDocument/2006/bibliography"/>
  </ds:schemaRefs>
</ds:datastoreItem>
</file>

<file path=customXml/itemProps158.xml><?xml version="1.0" encoding="utf-8"?>
<ds:datastoreItem xmlns:ds="http://schemas.openxmlformats.org/officeDocument/2006/customXml" ds:itemID="{C14A842E-1146-452D-8536-3CF421B27403}">
  <ds:schemaRefs>
    <ds:schemaRef ds:uri="http://schemas.openxmlformats.org/officeDocument/2006/bibliography"/>
  </ds:schemaRefs>
</ds:datastoreItem>
</file>

<file path=customXml/itemProps159.xml><?xml version="1.0" encoding="utf-8"?>
<ds:datastoreItem xmlns:ds="http://schemas.openxmlformats.org/officeDocument/2006/customXml" ds:itemID="{6A204ACE-0474-4365-A311-264288A03375}">
  <ds:schemaRefs>
    <ds:schemaRef ds:uri="http://schemas.openxmlformats.org/officeDocument/2006/bibliography"/>
  </ds:schemaRefs>
</ds:datastoreItem>
</file>

<file path=customXml/itemProps16.xml><?xml version="1.0" encoding="utf-8"?>
<ds:datastoreItem xmlns:ds="http://schemas.openxmlformats.org/officeDocument/2006/customXml" ds:itemID="{F5759FBF-7157-4FF6-9F55-D2BD3A8BB2DB}">
  <ds:schemaRefs>
    <ds:schemaRef ds:uri="http://schemas.openxmlformats.org/officeDocument/2006/bibliography"/>
  </ds:schemaRefs>
</ds:datastoreItem>
</file>

<file path=customXml/itemProps160.xml><?xml version="1.0" encoding="utf-8"?>
<ds:datastoreItem xmlns:ds="http://schemas.openxmlformats.org/officeDocument/2006/customXml" ds:itemID="{711BB6C6-C510-4471-9035-CDF4D0FB7899}">
  <ds:schemaRefs>
    <ds:schemaRef ds:uri="http://schemas.openxmlformats.org/officeDocument/2006/bibliography"/>
  </ds:schemaRefs>
</ds:datastoreItem>
</file>

<file path=customXml/itemProps161.xml><?xml version="1.0" encoding="utf-8"?>
<ds:datastoreItem xmlns:ds="http://schemas.openxmlformats.org/officeDocument/2006/customXml" ds:itemID="{C6A9E286-C41B-4AE5-B99F-DDBEBD8562FF}">
  <ds:schemaRefs>
    <ds:schemaRef ds:uri="http://schemas.openxmlformats.org/officeDocument/2006/bibliography"/>
  </ds:schemaRefs>
</ds:datastoreItem>
</file>

<file path=customXml/itemProps162.xml><?xml version="1.0" encoding="utf-8"?>
<ds:datastoreItem xmlns:ds="http://schemas.openxmlformats.org/officeDocument/2006/customXml" ds:itemID="{5BF26BCF-01A2-40C6-8292-A6BDB2DD18B6}">
  <ds:schemaRefs>
    <ds:schemaRef ds:uri="http://schemas.openxmlformats.org/officeDocument/2006/bibliography"/>
  </ds:schemaRefs>
</ds:datastoreItem>
</file>

<file path=customXml/itemProps163.xml><?xml version="1.0" encoding="utf-8"?>
<ds:datastoreItem xmlns:ds="http://schemas.openxmlformats.org/officeDocument/2006/customXml" ds:itemID="{DB2E560E-AA15-49E9-87C9-07B95EECEB1A}">
  <ds:schemaRefs>
    <ds:schemaRef ds:uri="http://schemas.openxmlformats.org/officeDocument/2006/bibliography"/>
  </ds:schemaRefs>
</ds:datastoreItem>
</file>

<file path=customXml/itemProps164.xml><?xml version="1.0" encoding="utf-8"?>
<ds:datastoreItem xmlns:ds="http://schemas.openxmlformats.org/officeDocument/2006/customXml" ds:itemID="{520B2DC1-DB31-4FEA-8243-BC16A594BD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65.xml><?xml version="1.0" encoding="utf-8"?>
<ds:datastoreItem xmlns:ds="http://schemas.openxmlformats.org/officeDocument/2006/customXml" ds:itemID="{3EAEB648-5CFF-451E-88BD-F6A6D98B9DCA}">
  <ds:schemaRefs>
    <ds:schemaRef ds:uri="http://schemas.openxmlformats.org/officeDocument/2006/bibliography"/>
  </ds:schemaRefs>
</ds:datastoreItem>
</file>

<file path=customXml/itemProps166.xml><?xml version="1.0" encoding="utf-8"?>
<ds:datastoreItem xmlns:ds="http://schemas.openxmlformats.org/officeDocument/2006/customXml" ds:itemID="{93DCDFE3-D48D-4B4C-A2DE-770DD501E21A}">
  <ds:schemaRefs>
    <ds:schemaRef ds:uri="http://schemas.openxmlformats.org/officeDocument/2006/bibliography"/>
  </ds:schemaRefs>
</ds:datastoreItem>
</file>

<file path=customXml/itemProps167.xml><?xml version="1.0" encoding="utf-8"?>
<ds:datastoreItem xmlns:ds="http://schemas.openxmlformats.org/officeDocument/2006/customXml" ds:itemID="{DFB45200-A9CA-4B2F-9185-91DED073D1E3}">
  <ds:schemaRefs>
    <ds:schemaRef ds:uri="http://schemas.openxmlformats.org/officeDocument/2006/bibliography"/>
  </ds:schemaRefs>
</ds:datastoreItem>
</file>

<file path=customXml/itemProps168.xml><?xml version="1.0" encoding="utf-8"?>
<ds:datastoreItem xmlns:ds="http://schemas.openxmlformats.org/officeDocument/2006/customXml" ds:itemID="{F506598C-E003-4E94-9727-DBF5DC6CA367}">
  <ds:schemaRefs>
    <ds:schemaRef ds:uri="http://schemas.openxmlformats.org/officeDocument/2006/bibliography"/>
  </ds:schemaRefs>
</ds:datastoreItem>
</file>

<file path=customXml/itemProps169.xml><?xml version="1.0" encoding="utf-8"?>
<ds:datastoreItem xmlns:ds="http://schemas.openxmlformats.org/officeDocument/2006/customXml" ds:itemID="{4C0272E8-C5B5-4A87-B19E-4F44802110C3}">
  <ds:schemaRefs>
    <ds:schemaRef ds:uri="http://schemas.openxmlformats.org/officeDocument/2006/bibliography"/>
  </ds:schemaRefs>
</ds:datastoreItem>
</file>

<file path=customXml/itemProps17.xml><?xml version="1.0" encoding="utf-8"?>
<ds:datastoreItem xmlns:ds="http://schemas.openxmlformats.org/officeDocument/2006/customXml" ds:itemID="{68561325-080D-44F2-9700-8CA2AAA81316}">
  <ds:schemaRefs>
    <ds:schemaRef ds:uri="http://schemas.openxmlformats.org/officeDocument/2006/bibliography"/>
  </ds:schemaRefs>
</ds:datastoreItem>
</file>

<file path=customXml/itemProps170.xml><?xml version="1.0" encoding="utf-8"?>
<ds:datastoreItem xmlns:ds="http://schemas.openxmlformats.org/officeDocument/2006/customXml" ds:itemID="{C3C8CCB3-89F0-4B1F-BDD9-E6E194A3BE11}">
  <ds:schemaRefs>
    <ds:schemaRef ds:uri="http://schemas.openxmlformats.org/officeDocument/2006/bibliography"/>
  </ds:schemaRefs>
</ds:datastoreItem>
</file>

<file path=customXml/itemProps171.xml><?xml version="1.0" encoding="utf-8"?>
<ds:datastoreItem xmlns:ds="http://schemas.openxmlformats.org/officeDocument/2006/customXml" ds:itemID="{B8055CBF-428F-470A-8202-A4042DA47AEA}">
  <ds:schemaRefs>
    <ds:schemaRef ds:uri="http://schemas.openxmlformats.org/officeDocument/2006/bibliography"/>
  </ds:schemaRefs>
</ds:datastoreItem>
</file>

<file path=customXml/itemProps172.xml><?xml version="1.0" encoding="utf-8"?>
<ds:datastoreItem xmlns:ds="http://schemas.openxmlformats.org/officeDocument/2006/customXml" ds:itemID="{E2CA7B14-786A-4F04-B5E4-F7B2FEB740A8}">
  <ds:schemaRefs>
    <ds:schemaRef ds:uri="http://schemas.openxmlformats.org/officeDocument/2006/bibliography"/>
  </ds:schemaRefs>
</ds:datastoreItem>
</file>

<file path=customXml/itemProps173.xml><?xml version="1.0" encoding="utf-8"?>
<ds:datastoreItem xmlns:ds="http://schemas.openxmlformats.org/officeDocument/2006/customXml" ds:itemID="{A03DBA9A-133E-4940-A43C-4007A12AF3E6}">
  <ds:schemaRefs>
    <ds:schemaRef ds:uri="http://schemas.openxmlformats.org/officeDocument/2006/bibliography"/>
  </ds:schemaRefs>
</ds:datastoreItem>
</file>

<file path=customXml/itemProps174.xml><?xml version="1.0" encoding="utf-8"?>
<ds:datastoreItem xmlns:ds="http://schemas.openxmlformats.org/officeDocument/2006/customXml" ds:itemID="{3C095BF0-33FC-4621-A8CE-6BD7BF1A561B}">
  <ds:schemaRefs>
    <ds:schemaRef ds:uri="http://schemas.openxmlformats.org/officeDocument/2006/bibliography"/>
  </ds:schemaRefs>
</ds:datastoreItem>
</file>

<file path=customXml/itemProps175.xml><?xml version="1.0" encoding="utf-8"?>
<ds:datastoreItem xmlns:ds="http://schemas.openxmlformats.org/officeDocument/2006/customXml" ds:itemID="{0318655F-FC17-45AC-8309-7A347D105247}">
  <ds:schemaRefs>
    <ds:schemaRef ds:uri="http://schemas.openxmlformats.org/officeDocument/2006/bibliography"/>
  </ds:schemaRefs>
</ds:datastoreItem>
</file>

<file path=customXml/itemProps176.xml><?xml version="1.0" encoding="utf-8"?>
<ds:datastoreItem xmlns:ds="http://schemas.openxmlformats.org/officeDocument/2006/customXml" ds:itemID="{3B5EEA87-B963-4C6D-9083-0BFA519C9CD6}">
  <ds:schemaRefs>
    <ds:schemaRef ds:uri="http://schemas.openxmlformats.org/officeDocument/2006/bibliography"/>
  </ds:schemaRefs>
</ds:datastoreItem>
</file>

<file path=customXml/itemProps177.xml><?xml version="1.0" encoding="utf-8"?>
<ds:datastoreItem xmlns:ds="http://schemas.openxmlformats.org/officeDocument/2006/customXml" ds:itemID="{00911E82-1D4F-4D27-9AB0-43325B564063}">
  <ds:schemaRefs>
    <ds:schemaRef ds:uri="http://schemas.openxmlformats.org/officeDocument/2006/bibliography"/>
  </ds:schemaRefs>
</ds:datastoreItem>
</file>

<file path=customXml/itemProps178.xml><?xml version="1.0" encoding="utf-8"?>
<ds:datastoreItem xmlns:ds="http://schemas.openxmlformats.org/officeDocument/2006/customXml" ds:itemID="{1A1C75F7-04DE-41D9-B064-766AAF84FCBD}">
  <ds:schemaRefs>
    <ds:schemaRef ds:uri="http://schemas.openxmlformats.org/officeDocument/2006/bibliography"/>
  </ds:schemaRefs>
</ds:datastoreItem>
</file>

<file path=customXml/itemProps179.xml><?xml version="1.0" encoding="utf-8"?>
<ds:datastoreItem xmlns:ds="http://schemas.openxmlformats.org/officeDocument/2006/customXml" ds:itemID="{263587CA-BC37-417B-BB95-1507805ADA34}">
  <ds:schemaRefs>
    <ds:schemaRef ds:uri="http://schemas.openxmlformats.org/officeDocument/2006/bibliography"/>
  </ds:schemaRefs>
</ds:datastoreItem>
</file>

<file path=customXml/itemProps18.xml><?xml version="1.0" encoding="utf-8"?>
<ds:datastoreItem xmlns:ds="http://schemas.openxmlformats.org/officeDocument/2006/customXml" ds:itemID="{DE6D6DAF-D087-469D-B170-40E670086BF1}">
  <ds:schemaRefs>
    <ds:schemaRef ds:uri="http://schemas.openxmlformats.org/officeDocument/2006/bibliography"/>
  </ds:schemaRefs>
</ds:datastoreItem>
</file>

<file path=customXml/itemProps180.xml><?xml version="1.0" encoding="utf-8"?>
<ds:datastoreItem xmlns:ds="http://schemas.openxmlformats.org/officeDocument/2006/customXml" ds:itemID="{096A764C-10C6-46D4-97D1-D5CAF0B371E7}">
  <ds:schemaRefs>
    <ds:schemaRef ds:uri="http://schemas.openxmlformats.org/officeDocument/2006/bibliography"/>
  </ds:schemaRefs>
</ds:datastoreItem>
</file>

<file path=customXml/itemProps181.xml><?xml version="1.0" encoding="utf-8"?>
<ds:datastoreItem xmlns:ds="http://schemas.openxmlformats.org/officeDocument/2006/customXml" ds:itemID="{6BE2C17C-8C7E-4418-AFC5-CB2D37AA0B20}">
  <ds:schemaRefs>
    <ds:schemaRef ds:uri="http://schemas.openxmlformats.org/officeDocument/2006/bibliography"/>
  </ds:schemaRefs>
</ds:datastoreItem>
</file>

<file path=customXml/itemProps182.xml><?xml version="1.0" encoding="utf-8"?>
<ds:datastoreItem xmlns:ds="http://schemas.openxmlformats.org/officeDocument/2006/customXml" ds:itemID="{29F54298-EB78-4BD9-BD5A-886D2F01B5C7}">
  <ds:schemaRefs>
    <ds:schemaRef ds:uri="http://schemas.openxmlformats.org/officeDocument/2006/bibliography"/>
  </ds:schemaRefs>
</ds:datastoreItem>
</file>

<file path=customXml/itemProps183.xml><?xml version="1.0" encoding="utf-8"?>
<ds:datastoreItem xmlns:ds="http://schemas.openxmlformats.org/officeDocument/2006/customXml" ds:itemID="{C84CC4A8-0293-42B5-875C-71B5FA6833A5}">
  <ds:schemaRefs>
    <ds:schemaRef ds:uri="http://schemas.openxmlformats.org/officeDocument/2006/bibliography"/>
  </ds:schemaRefs>
</ds:datastoreItem>
</file>

<file path=customXml/itemProps184.xml><?xml version="1.0" encoding="utf-8"?>
<ds:datastoreItem xmlns:ds="http://schemas.openxmlformats.org/officeDocument/2006/customXml" ds:itemID="{3FD33FEF-12F7-43CD-B3BC-FC18CEC9C29F}">
  <ds:schemaRefs>
    <ds:schemaRef ds:uri="http://schemas.openxmlformats.org/officeDocument/2006/bibliography"/>
  </ds:schemaRefs>
</ds:datastoreItem>
</file>

<file path=customXml/itemProps185.xml><?xml version="1.0" encoding="utf-8"?>
<ds:datastoreItem xmlns:ds="http://schemas.openxmlformats.org/officeDocument/2006/customXml" ds:itemID="{32A106D1-FB84-4038-B28A-FFAA1E9431B9}">
  <ds:schemaRefs>
    <ds:schemaRef ds:uri="http://schemas.openxmlformats.org/officeDocument/2006/bibliography"/>
  </ds:schemaRefs>
</ds:datastoreItem>
</file>

<file path=customXml/itemProps186.xml><?xml version="1.0" encoding="utf-8"?>
<ds:datastoreItem xmlns:ds="http://schemas.openxmlformats.org/officeDocument/2006/customXml" ds:itemID="{D84BCFF6-FB5A-433C-A688-2B1C37C118AD}">
  <ds:schemaRefs>
    <ds:schemaRef ds:uri="http://schemas.openxmlformats.org/officeDocument/2006/bibliography"/>
  </ds:schemaRefs>
</ds:datastoreItem>
</file>

<file path=customXml/itemProps187.xml><?xml version="1.0" encoding="utf-8"?>
<ds:datastoreItem xmlns:ds="http://schemas.openxmlformats.org/officeDocument/2006/customXml" ds:itemID="{512899A7-8614-445F-8AAE-4DAC5EA6445B}">
  <ds:schemaRefs>
    <ds:schemaRef ds:uri="http://schemas.openxmlformats.org/officeDocument/2006/bibliography"/>
  </ds:schemaRefs>
</ds:datastoreItem>
</file>

<file path=customXml/itemProps188.xml><?xml version="1.0" encoding="utf-8"?>
<ds:datastoreItem xmlns:ds="http://schemas.openxmlformats.org/officeDocument/2006/customXml" ds:itemID="{FC0A9FDB-7428-49C2-85B4-F69FAC7C724F}">
  <ds:schemaRefs>
    <ds:schemaRef ds:uri="http://schemas.openxmlformats.org/officeDocument/2006/bibliography"/>
  </ds:schemaRefs>
</ds:datastoreItem>
</file>

<file path=customXml/itemProps189.xml><?xml version="1.0" encoding="utf-8"?>
<ds:datastoreItem xmlns:ds="http://schemas.openxmlformats.org/officeDocument/2006/customXml" ds:itemID="{50DEB39E-CC56-49A1-B1C0-0F8B6DD09741}">
  <ds:schemaRefs>
    <ds:schemaRef ds:uri="http://schemas.openxmlformats.org/officeDocument/2006/bibliography"/>
  </ds:schemaRefs>
</ds:datastoreItem>
</file>

<file path=customXml/itemProps19.xml><?xml version="1.0" encoding="utf-8"?>
<ds:datastoreItem xmlns:ds="http://schemas.openxmlformats.org/officeDocument/2006/customXml" ds:itemID="{151CEE7B-9729-492A-8664-88F85E0F23F9}">
  <ds:schemaRefs>
    <ds:schemaRef ds:uri="http://schemas.openxmlformats.org/officeDocument/2006/bibliography"/>
  </ds:schemaRefs>
</ds:datastoreItem>
</file>

<file path=customXml/itemProps190.xml><?xml version="1.0" encoding="utf-8"?>
<ds:datastoreItem xmlns:ds="http://schemas.openxmlformats.org/officeDocument/2006/customXml" ds:itemID="{186289C8-59D0-4D5C-9DC2-960A9220D317}">
  <ds:schemaRefs>
    <ds:schemaRef ds:uri="http://schemas.openxmlformats.org/officeDocument/2006/bibliography"/>
  </ds:schemaRefs>
</ds:datastoreItem>
</file>

<file path=customXml/itemProps191.xml><?xml version="1.0" encoding="utf-8"?>
<ds:datastoreItem xmlns:ds="http://schemas.openxmlformats.org/officeDocument/2006/customXml" ds:itemID="{D1F9A66F-A0AB-46E1-B8C7-74075F197A74}">
  <ds:schemaRefs>
    <ds:schemaRef ds:uri="http://schemas.openxmlformats.org/officeDocument/2006/bibliography"/>
  </ds:schemaRefs>
</ds:datastoreItem>
</file>

<file path=customXml/itemProps192.xml><?xml version="1.0" encoding="utf-8"?>
<ds:datastoreItem xmlns:ds="http://schemas.openxmlformats.org/officeDocument/2006/customXml" ds:itemID="{5A4ADB72-8A85-4308-A302-C32AE710A913}">
  <ds:schemaRefs>
    <ds:schemaRef ds:uri="http://schemas.openxmlformats.org/officeDocument/2006/bibliography"/>
  </ds:schemaRefs>
</ds:datastoreItem>
</file>

<file path=customXml/itemProps193.xml><?xml version="1.0" encoding="utf-8"?>
<ds:datastoreItem xmlns:ds="http://schemas.openxmlformats.org/officeDocument/2006/customXml" ds:itemID="{5044EE14-AFC1-4E7D-B0CD-2A2BAEA975EB}">
  <ds:schemaRefs>
    <ds:schemaRef ds:uri="http://schemas.openxmlformats.org/officeDocument/2006/bibliography"/>
  </ds:schemaRefs>
</ds:datastoreItem>
</file>

<file path=customXml/itemProps194.xml><?xml version="1.0" encoding="utf-8"?>
<ds:datastoreItem xmlns:ds="http://schemas.openxmlformats.org/officeDocument/2006/customXml" ds:itemID="{A0BC9C72-6F2C-4624-9D6A-BA72D8C211E5}">
  <ds:schemaRefs>
    <ds:schemaRef ds:uri="http://schemas.openxmlformats.org/officeDocument/2006/bibliography"/>
  </ds:schemaRefs>
</ds:datastoreItem>
</file>

<file path=customXml/itemProps195.xml><?xml version="1.0" encoding="utf-8"?>
<ds:datastoreItem xmlns:ds="http://schemas.openxmlformats.org/officeDocument/2006/customXml" ds:itemID="{1EA64F0E-12A9-4415-98B1-8CA9EE3D3268}">
  <ds:schemaRefs>
    <ds:schemaRef ds:uri="http://schemas.openxmlformats.org/officeDocument/2006/bibliography"/>
  </ds:schemaRefs>
</ds:datastoreItem>
</file>

<file path=customXml/itemProps196.xml><?xml version="1.0" encoding="utf-8"?>
<ds:datastoreItem xmlns:ds="http://schemas.openxmlformats.org/officeDocument/2006/customXml" ds:itemID="{47A6966E-0115-4272-90FF-762AEC919BFB}">
  <ds:schemaRefs>
    <ds:schemaRef ds:uri="http://schemas.openxmlformats.org/officeDocument/2006/bibliography"/>
  </ds:schemaRefs>
</ds:datastoreItem>
</file>

<file path=customXml/itemProps197.xml><?xml version="1.0" encoding="utf-8"?>
<ds:datastoreItem xmlns:ds="http://schemas.openxmlformats.org/officeDocument/2006/customXml" ds:itemID="{D6DD75A4-1BEE-4144-80DF-03913AE7481A}">
  <ds:schemaRefs>
    <ds:schemaRef ds:uri="http://schemas.openxmlformats.org/officeDocument/2006/bibliography"/>
  </ds:schemaRefs>
</ds:datastoreItem>
</file>

<file path=customXml/itemProps198.xml><?xml version="1.0" encoding="utf-8"?>
<ds:datastoreItem xmlns:ds="http://schemas.openxmlformats.org/officeDocument/2006/customXml" ds:itemID="{40559CD8-D4B1-424D-B191-3D8513B91721}">
  <ds:schemaRefs>
    <ds:schemaRef ds:uri="http://schemas.openxmlformats.org/officeDocument/2006/bibliography"/>
  </ds:schemaRefs>
</ds:datastoreItem>
</file>

<file path=customXml/itemProps199.xml><?xml version="1.0" encoding="utf-8"?>
<ds:datastoreItem xmlns:ds="http://schemas.openxmlformats.org/officeDocument/2006/customXml" ds:itemID="{E3DC8738-7EDD-4A3A-A3E3-C7894AC69EFB}">
  <ds:schemaRefs>
    <ds:schemaRef ds:uri="http://schemas.openxmlformats.org/officeDocument/2006/bibliography"/>
  </ds:schemaRefs>
</ds:datastoreItem>
</file>

<file path=customXml/itemProps2.xml><?xml version="1.0" encoding="utf-8"?>
<ds:datastoreItem xmlns:ds="http://schemas.openxmlformats.org/officeDocument/2006/customXml" ds:itemID="{E63D2B03-4572-4039-BC6D-86E163FCE151}">
  <ds:schemaRefs>
    <ds:schemaRef ds:uri="http://schemas.openxmlformats.org/officeDocument/2006/bibliography"/>
  </ds:schemaRefs>
</ds:datastoreItem>
</file>

<file path=customXml/itemProps20.xml><?xml version="1.0" encoding="utf-8"?>
<ds:datastoreItem xmlns:ds="http://schemas.openxmlformats.org/officeDocument/2006/customXml" ds:itemID="{BC1CCE11-2AD7-49C5-935F-A15AAE2539C9}">
  <ds:schemaRefs>
    <ds:schemaRef ds:uri="http://schemas.openxmlformats.org/officeDocument/2006/bibliography"/>
  </ds:schemaRefs>
</ds:datastoreItem>
</file>

<file path=customXml/itemProps200.xml><?xml version="1.0" encoding="utf-8"?>
<ds:datastoreItem xmlns:ds="http://schemas.openxmlformats.org/officeDocument/2006/customXml" ds:itemID="{F2BF3BF5-E9EC-4869-8576-11E5C6F49F11}">
  <ds:schemaRefs>
    <ds:schemaRef ds:uri="http://schemas.openxmlformats.org/officeDocument/2006/bibliography"/>
  </ds:schemaRefs>
</ds:datastoreItem>
</file>

<file path=customXml/itemProps201.xml><?xml version="1.0" encoding="utf-8"?>
<ds:datastoreItem xmlns:ds="http://schemas.openxmlformats.org/officeDocument/2006/customXml" ds:itemID="{3D786B03-B385-4A3D-B61F-73FD8CD29AA8}">
  <ds:schemaRefs>
    <ds:schemaRef ds:uri="http://schemas.openxmlformats.org/officeDocument/2006/bibliography"/>
  </ds:schemaRefs>
</ds:datastoreItem>
</file>

<file path=customXml/itemProps202.xml><?xml version="1.0" encoding="utf-8"?>
<ds:datastoreItem xmlns:ds="http://schemas.openxmlformats.org/officeDocument/2006/customXml" ds:itemID="{B6239361-1D3B-4EB0-9410-29E3511B4EEF}">
  <ds:schemaRefs>
    <ds:schemaRef ds:uri="http://schemas.openxmlformats.org/officeDocument/2006/bibliography"/>
  </ds:schemaRefs>
</ds:datastoreItem>
</file>

<file path=customXml/itemProps203.xml><?xml version="1.0" encoding="utf-8"?>
<ds:datastoreItem xmlns:ds="http://schemas.openxmlformats.org/officeDocument/2006/customXml" ds:itemID="{9C7E834E-45EE-483C-9048-8CC6AEDC81BE}">
  <ds:schemaRefs>
    <ds:schemaRef ds:uri="http://schemas.openxmlformats.org/officeDocument/2006/bibliography"/>
  </ds:schemaRefs>
</ds:datastoreItem>
</file>

<file path=customXml/itemProps204.xml><?xml version="1.0" encoding="utf-8"?>
<ds:datastoreItem xmlns:ds="http://schemas.openxmlformats.org/officeDocument/2006/customXml" ds:itemID="{A8C10DD7-703D-45E9-A460-7FBB505AF9B6}">
  <ds:schemaRefs>
    <ds:schemaRef ds:uri="http://schemas.openxmlformats.org/officeDocument/2006/bibliography"/>
  </ds:schemaRefs>
</ds:datastoreItem>
</file>

<file path=customXml/itemProps205.xml><?xml version="1.0" encoding="utf-8"?>
<ds:datastoreItem xmlns:ds="http://schemas.openxmlformats.org/officeDocument/2006/customXml" ds:itemID="{C79A887A-196B-417D-97E2-52FC1A7C4E90}">
  <ds:schemaRefs>
    <ds:schemaRef ds:uri="http://schemas.openxmlformats.org/officeDocument/2006/bibliography"/>
  </ds:schemaRefs>
</ds:datastoreItem>
</file>

<file path=customXml/itemProps206.xml><?xml version="1.0" encoding="utf-8"?>
<ds:datastoreItem xmlns:ds="http://schemas.openxmlformats.org/officeDocument/2006/customXml" ds:itemID="{6FEEE2BE-577C-458C-AFFC-BDF723F2AE00}">
  <ds:schemaRefs>
    <ds:schemaRef ds:uri="http://schemas.openxmlformats.org/officeDocument/2006/bibliography"/>
  </ds:schemaRefs>
</ds:datastoreItem>
</file>

<file path=customXml/itemProps207.xml><?xml version="1.0" encoding="utf-8"?>
<ds:datastoreItem xmlns:ds="http://schemas.openxmlformats.org/officeDocument/2006/customXml" ds:itemID="{00B4C7F0-154E-4D21-9E4E-FD1E005336C5}">
  <ds:schemaRefs>
    <ds:schemaRef ds:uri="http://schemas.openxmlformats.org/officeDocument/2006/bibliography"/>
  </ds:schemaRefs>
</ds:datastoreItem>
</file>

<file path=customXml/itemProps208.xml><?xml version="1.0" encoding="utf-8"?>
<ds:datastoreItem xmlns:ds="http://schemas.openxmlformats.org/officeDocument/2006/customXml" ds:itemID="{3A47D272-06A8-45DD-83AF-57F08D3E9559}">
  <ds:schemaRefs>
    <ds:schemaRef ds:uri="http://schemas.openxmlformats.org/officeDocument/2006/bibliography"/>
  </ds:schemaRefs>
</ds:datastoreItem>
</file>

<file path=customXml/itemProps209.xml><?xml version="1.0" encoding="utf-8"?>
<ds:datastoreItem xmlns:ds="http://schemas.openxmlformats.org/officeDocument/2006/customXml" ds:itemID="{B9525B85-7B19-4F1E-B94F-59A74A4819B2}">
  <ds:schemaRefs>
    <ds:schemaRef ds:uri="http://schemas.openxmlformats.org/officeDocument/2006/bibliography"/>
  </ds:schemaRefs>
</ds:datastoreItem>
</file>

<file path=customXml/itemProps21.xml><?xml version="1.0" encoding="utf-8"?>
<ds:datastoreItem xmlns:ds="http://schemas.openxmlformats.org/officeDocument/2006/customXml" ds:itemID="{E7BC4569-EF8D-4AB8-BF5C-659D28E2CD44}">
  <ds:schemaRefs>
    <ds:schemaRef ds:uri="http://schemas.openxmlformats.org/officeDocument/2006/bibliography"/>
  </ds:schemaRefs>
</ds:datastoreItem>
</file>

<file path=customXml/itemProps210.xml><?xml version="1.0" encoding="utf-8"?>
<ds:datastoreItem xmlns:ds="http://schemas.openxmlformats.org/officeDocument/2006/customXml" ds:itemID="{D9EC9236-A09E-42A1-8D62-D6048E05D7CA}">
  <ds:schemaRefs>
    <ds:schemaRef ds:uri="http://schemas.openxmlformats.org/officeDocument/2006/bibliography"/>
  </ds:schemaRefs>
</ds:datastoreItem>
</file>

<file path=customXml/itemProps211.xml><?xml version="1.0" encoding="utf-8"?>
<ds:datastoreItem xmlns:ds="http://schemas.openxmlformats.org/officeDocument/2006/customXml" ds:itemID="{241F0119-C66A-4484-83DD-0ECC56DB93AE}">
  <ds:schemaRefs>
    <ds:schemaRef ds:uri="http://schemas.openxmlformats.org/officeDocument/2006/bibliography"/>
  </ds:schemaRefs>
</ds:datastoreItem>
</file>

<file path=customXml/itemProps212.xml><?xml version="1.0" encoding="utf-8"?>
<ds:datastoreItem xmlns:ds="http://schemas.openxmlformats.org/officeDocument/2006/customXml" ds:itemID="{03D59D9B-8BA9-4A4F-A803-2E6A0F91AF6C}">
  <ds:schemaRefs>
    <ds:schemaRef ds:uri="http://schemas.openxmlformats.org/officeDocument/2006/bibliography"/>
  </ds:schemaRefs>
</ds:datastoreItem>
</file>

<file path=customXml/itemProps213.xml><?xml version="1.0" encoding="utf-8"?>
<ds:datastoreItem xmlns:ds="http://schemas.openxmlformats.org/officeDocument/2006/customXml" ds:itemID="{8DA9E02B-A31F-467E-8DFF-6FBE3050CBC6}">
  <ds:schemaRefs>
    <ds:schemaRef ds:uri="http://schemas.openxmlformats.org/officeDocument/2006/bibliography"/>
  </ds:schemaRefs>
</ds:datastoreItem>
</file>

<file path=customXml/itemProps214.xml><?xml version="1.0" encoding="utf-8"?>
<ds:datastoreItem xmlns:ds="http://schemas.openxmlformats.org/officeDocument/2006/customXml" ds:itemID="{F773B5DB-A4E5-4D4B-A7F8-BB542FC958BD}">
  <ds:schemaRefs>
    <ds:schemaRef ds:uri="http://schemas.openxmlformats.org/officeDocument/2006/bibliography"/>
  </ds:schemaRefs>
</ds:datastoreItem>
</file>

<file path=customXml/itemProps215.xml><?xml version="1.0" encoding="utf-8"?>
<ds:datastoreItem xmlns:ds="http://schemas.openxmlformats.org/officeDocument/2006/customXml" ds:itemID="{AC038737-D438-403C-A0A3-2A20A5E9F690}">
  <ds:schemaRefs>
    <ds:schemaRef ds:uri="http://schemas.openxmlformats.org/officeDocument/2006/bibliography"/>
  </ds:schemaRefs>
</ds:datastoreItem>
</file>

<file path=customXml/itemProps216.xml><?xml version="1.0" encoding="utf-8"?>
<ds:datastoreItem xmlns:ds="http://schemas.openxmlformats.org/officeDocument/2006/customXml" ds:itemID="{4FB9D4F6-2866-484E-B804-BE69EC62C799}">
  <ds:schemaRefs>
    <ds:schemaRef ds:uri="http://schemas.openxmlformats.org/officeDocument/2006/bibliography"/>
  </ds:schemaRefs>
</ds:datastoreItem>
</file>

<file path=customXml/itemProps217.xml><?xml version="1.0" encoding="utf-8"?>
<ds:datastoreItem xmlns:ds="http://schemas.openxmlformats.org/officeDocument/2006/customXml" ds:itemID="{9FC82D27-F28C-405F-8929-D39F6675B1CC}">
  <ds:schemaRefs>
    <ds:schemaRef ds:uri="http://schemas.openxmlformats.org/officeDocument/2006/bibliography"/>
  </ds:schemaRefs>
</ds:datastoreItem>
</file>

<file path=customXml/itemProps218.xml><?xml version="1.0" encoding="utf-8"?>
<ds:datastoreItem xmlns:ds="http://schemas.openxmlformats.org/officeDocument/2006/customXml" ds:itemID="{06125782-89F9-498A-9986-5F4725C44388}">
  <ds:schemaRefs>
    <ds:schemaRef ds:uri="http://schemas.openxmlformats.org/officeDocument/2006/bibliography"/>
  </ds:schemaRefs>
</ds:datastoreItem>
</file>

<file path=customXml/itemProps219.xml><?xml version="1.0" encoding="utf-8"?>
<ds:datastoreItem xmlns:ds="http://schemas.openxmlformats.org/officeDocument/2006/customXml" ds:itemID="{F3E52B75-75F6-4CD4-B6C4-D24E53835182}">
  <ds:schemaRefs>
    <ds:schemaRef ds:uri="http://schemas.openxmlformats.org/officeDocument/2006/bibliography"/>
  </ds:schemaRefs>
</ds:datastoreItem>
</file>

<file path=customXml/itemProps22.xml><?xml version="1.0" encoding="utf-8"?>
<ds:datastoreItem xmlns:ds="http://schemas.openxmlformats.org/officeDocument/2006/customXml" ds:itemID="{DC44067F-9720-462A-9E1E-F7EC192F8685}">
  <ds:schemaRefs>
    <ds:schemaRef ds:uri="http://schemas.openxmlformats.org/officeDocument/2006/bibliography"/>
  </ds:schemaRefs>
</ds:datastoreItem>
</file>

<file path=customXml/itemProps220.xml><?xml version="1.0" encoding="utf-8"?>
<ds:datastoreItem xmlns:ds="http://schemas.openxmlformats.org/officeDocument/2006/customXml" ds:itemID="{731B3F71-40D8-4252-A824-A17B4B610030}">
  <ds:schemaRefs>
    <ds:schemaRef ds:uri="http://schemas.openxmlformats.org/officeDocument/2006/bibliography"/>
  </ds:schemaRefs>
</ds:datastoreItem>
</file>

<file path=customXml/itemProps221.xml><?xml version="1.0" encoding="utf-8"?>
<ds:datastoreItem xmlns:ds="http://schemas.openxmlformats.org/officeDocument/2006/customXml" ds:itemID="{6D7E6DEC-5387-4BCA-81C2-C8BE36D96B56}">
  <ds:schemaRefs>
    <ds:schemaRef ds:uri="http://schemas.openxmlformats.org/officeDocument/2006/bibliography"/>
  </ds:schemaRefs>
</ds:datastoreItem>
</file>

<file path=customXml/itemProps222.xml><?xml version="1.0" encoding="utf-8"?>
<ds:datastoreItem xmlns:ds="http://schemas.openxmlformats.org/officeDocument/2006/customXml" ds:itemID="{DC961842-1199-4960-A717-6891A1DCE76C}">
  <ds:schemaRefs>
    <ds:schemaRef ds:uri="http://schemas.openxmlformats.org/officeDocument/2006/bibliography"/>
  </ds:schemaRefs>
</ds:datastoreItem>
</file>

<file path=customXml/itemProps223.xml><?xml version="1.0" encoding="utf-8"?>
<ds:datastoreItem xmlns:ds="http://schemas.openxmlformats.org/officeDocument/2006/customXml" ds:itemID="{F323E509-45F3-46EE-A224-1B6EA7D8CF44}">
  <ds:schemaRefs>
    <ds:schemaRef ds:uri="http://schemas.openxmlformats.org/officeDocument/2006/bibliography"/>
  </ds:schemaRefs>
</ds:datastoreItem>
</file>

<file path=customXml/itemProps224.xml><?xml version="1.0" encoding="utf-8"?>
<ds:datastoreItem xmlns:ds="http://schemas.openxmlformats.org/officeDocument/2006/customXml" ds:itemID="{373E7012-6239-4CFC-8BE6-243AB05B21BC}">
  <ds:schemaRefs>
    <ds:schemaRef ds:uri="http://schemas.microsoft.com/sharepoint/events"/>
  </ds:schemaRefs>
</ds:datastoreItem>
</file>

<file path=customXml/itemProps225.xml><?xml version="1.0" encoding="utf-8"?>
<ds:datastoreItem xmlns:ds="http://schemas.openxmlformats.org/officeDocument/2006/customXml" ds:itemID="{55696CD8-4E06-47CF-BAE4-7C1C341A433F}">
  <ds:schemaRefs>
    <ds:schemaRef ds:uri="http://schemas.openxmlformats.org/officeDocument/2006/bibliography"/>
  </ds:schemaRefs>
</ds:datastoreItem>
</file>

<file path=customXml/itemProps226.xml><?xml version="1.0" encoding="utf-8"?>
<ds:datastoreItem xmlns:ds="http://schemas.openxmlformats.org/officeDocument/2006/customXml" ds:itemID="{1F98A5E7-1ADC-4D8F-B410-4056B54B64CC}">
  <ds:schemaRefs>
    <ds:schemaRef ds:uri="http://schemas.openxmlformats.org/officeDocument/2006/bibliography"/>
  </ds:schemaRefs>
</ds:datastoreItem>
</file>

<file path=customXml/itemProps227.xml><?xml version="1.0" encoding="utf-8"?>
<ds:datastoreItem xmlns:ds="http://schemas.openxmlformats.org/officeDocument/2006/customXml" ds:itemID="{52777C06-688B-4791-964F-6BA637B010BC}">
  <ds:schemaRefs>
    <ds:schemaRef ds:uri="http://schemas.openxmlformats.org/officeDocument/2006/bibliography"/>
  </ds:schemaRefs>
</ds:datastoreItem>
</file>

<file path=customXml/itemProps228.xml><?xml version="1.0" encoding="utf-8"?>
<ds:datastoreItem xmlns:ds="http://schemas.openxmlformats.org/officeDocument/2006/customXml" ds:itemID="{8B7BD0F7-7623-4C23-A5C2-64E531A89887}">
  <ds:schemaRefs>
    <ds:schemaRef ds:uri="http://schemas.openxmlformats.org/officeDocument/2006/bibliography"/>
  </ds:schemaRefs>
</ds:datastoreItem>
</file>

<file path=customXml/itemProps229.xml><?xml version="1.0" encoding="utf-8"?>
<ds:datastoreItem xmlns:ds="http://schemas.openxmlformats.org/officeDocument/2006/customXml" ds:itemID="{3AAF6C41-4ED7-4E69-B594-2CB33EB326B4}">
  <ds:schemaRefs>
    <ds:schemaRef ds:uri="http://schemas.openxmlformats.org/officeDocument/2006/bibliography"/>
  </ds:schemaRefs>
</ds:datastoreItem>
</file>

<file path=customXml/itemProps23.xml><?xml version="1.0" encoding="utf-8"?>
<ds:datastoreItem xmlns:ds="http://schemas.openxmlformats.org/officeDocument/2006/customXml" ds:itemID="{A85215FB-37A1-4879-A1FF-0691BA4E3F33}">
  <ds:schemaRefs>
    <ds:schemaRef ds:uri="http://schemas.openxmlformats.org/officeDocument/2006/bibliography"/>
  </ds:schemaRefs>
</ds:datastoreItem>
</file>

<file path=customXml/itemProps230.xml><?xml version="1.0" encoding="utf-8"?>
<ds:datastoreItem xmlns:ds="http://schemas.openxmlformats.org/officeDocument/2006/customXml" ds:itemID="{FEE779C7-957E-4F6D-A531-C6701EFAA17B}">
  <ds:schemaRefs>
    <ds:schemaRef ds:uri="http://schemas.openxmlformats.org/officeDocument/2006/bibliography"/>
  </ds:schemaRefs>
</ds:datastoreItem>
</file>

<file path=customXml/itemProps231.xml><?xml version="1.0" encoding="utf-8"?>
<ds:datastoreItem xmlns:ds="http://schemas.openxmlformats.org/officeDocument/2006/customXml" ds:itemID="{92CE19DF-DEF9-401D-B03D-8C2B888D5A5C}">
  <ds:schemaRefs>
    <ds:schemaRef ds:uri="http://schemas.openxmlformats.org/officeDocument/2006/bibliography"/>
  </ds:schemaRefs>
</ds:datastoreItem>
</file>

<file path=customXml/itemProps232.xml><?xml version="1.0" encoding="utf-8"?>
<ds:datastoreItem xmlns:ds="http://schemas.openxmlformats.org/officeDocument/2006/customXml" ds:itemID="{CA59BAB7-6228-4AB2-93BE-4855ECAA71B9}">
  <ds:schemaRefs>
    <ds:schemaRef ds:uri="http://schemas.openxmlformats.org/officeDocument/2006/bibliography"/>
  </ds:schemaRefs>
</ds:datastoreItem>
</file>

<file path=customXml/itemProps233.xml><?xml version="1.0" encoding="utf-8"?>
<ds:datastoreItem xmlns:ds="http://schemas.openxmlformats.org/officeDocument/2006/customXml" ds:itemID="{DDB93932-B585-469F-9188-AC7253840AAC}">
  <ds:schemaRefs>
    <ds:schemaRef ds:uri="http://schemas.openxmlformats.org/officeDocument/2006/bibliography"/>
  </ds:schemaRefs>
</ds:datastoreItem>
</file>

<file path=customXml/itemProps234.xml><?xml version="1.0" encoding="utf-8"?>
<ds:datastoreItem xmlns:ds="http://schemas.openxmlformats.org/officeDocument/2006/customXml" ds:itemID="{6BCEBA07-B9C5-46AF-8753-D5E932F088C5}">
  <ds:schemaRefs>
    <ds:schemaRef ds:uri="http://schemas.openxmlformats.org/officeDocument/2006/bibliography"/>
  </ds:schemaRefs>
</ds:datastoreItem>
</file>

<file path=customXml/itemProps235.xml><?xml version="1.0" encoding="utf-8"?>
<ds:datastoreItem xmlns:ds="http://schemas.openxmlformats.org/officeDocument/2006/customXml" ds:itemID="{ADB9E742-9835-4B5E-B151-A04D36AE3C4E}">
  <ds:schemaRefs>
    <ds:schemaRef ds:uri="http://schemas.openxmlformats.org/officeDocument/2006/bibliography"/>
  </ds:schemaRefs>
</ds:datastoreItem>
</file>

<file path=customXml/itemProps236.xml><?xml version="1.0" encoding="utf-8"?>
<ds:datastoreItem xmlns:ds="http://schemas.openxmlformats.org/officeDocument/2006/customXml" ds:itemID="{07FA4BC1-6F98-4109-8701-03CE780DE1AA}">
  <ds:schemaRefs>
    <ds:schemaRef ds:uri="http://schemas.openxmlformats.org/officeDocument/2006/bibliography"/>
  </ds:schemaRefs>
</ds:datastoreItem>
</file>

<file path=customXml/itemProps237.xml><?xml version="1.0" encoding="utf-8"?>
<ds:datastoreItem xmlns:ds="http://schemas.openxmlformats.org/officeDocument/2006/customXml" ds:itemID="{1A9BFD87-B49B-4FD9-8B2A-540265B5EA54}">
  <ds:schemaRefs>
    <ds:schemaRef ds:uri="http://schemas.openxmlformats.org/officeDocument/2006/bibliography"/>
  </ds:schemaRefs>
</ds:datastoreItem>
</file>

<file path=customXml/itemProps238.xml><?xml version="1.0" encoding="utf-8"?>
<ds:datastoreItem xmlns:ds="http://schemas.openxmlformats.org/officeDocument/2006/customXml" ds:itemID="{FD781B89-3C31-4F9C-AE6F-3D0D487BBC26}">
  <ds:schemaRefs>
    <ds:schemaRef ds:uri="http://schemas.openxmlformats.org/officeDocument/2006/bibliography"/>
  </ds:schemaRefs>
</ds:datastoreItem>
</file>

<file path=customXml/itemProps239.xml><?xml version="1.0" encoding="utf-8"?>
<ds:datastoreItem xmlns:ds="http://schemas.openxmlformats.org/officeDocument/2006/customXml" ds:itemID="{28E26130-B71A-460B-8223-FE7C2832EF44}">
  <ds:schemaRefs>
    <ds:schemaRef ds:uri="http://schemas.openxmlformats.org/officeDocument/2006/bibliography"/>
  </ds:schemaRefs>
</ds:datastoreItem>
</file>

<file path=customXml/itemProps24.xml><?xml version="1.0" encoding="utf-8"?>
<ds:datastoreItem xmlns:ds="http://schemas.openxmlformats.org/officeDocument/2006/customXml" ds:itemID="{54A8E754-5BDD-4ED0-B9B2-24B63FE1DF8F}">
  <ds:schemaRefs>
    <ds:schemaRef ds:uri="http://schemas.openxmlformats.org/officeDocument/2006/bibliography"/>
  </ds:schemaRefs>
</ds:datastoreItem>
</file>

<file path=customXml/itemProps240.xml><?xml version="1.0" encoding="utf-8"?>
<ds:datastoreItem xmlns:ds="http://schemas.openxmlformats.org/officeDocument/2006/customXml" ds:itemID="{02FB18D5-7DE2-490E-91D0-859C9E71C9A2}">
  <ds:schemaRefs>
    <ds:schemaRef ds:uri="http://schemas.openxmlformats.org/officeDocument/2006/bibliography"/>
  </ds:schemaRefs>
</ds:datastoreItem>
</file>

<file path=customXml/itemProps241.xml><?xml version="1.0" encoding="utf-8"?>
<ds:datastoreItem xmlns:ds="http://schemas.openxmlformats.org/officeDocument/2006/customXml" ds:itemID="{CC29248D-27FF-4229-B469-9151C92C4619}">
  <ds:schemaRefs>
    <ds:schemaRef ds:uri="http://schemas.openxmlformats.org/officeDocument/2006/bibliography"/>
  </ds:schemaRefs>
</ds:datastoreItem>
</file>

<file path=customXml/itemProps242.xml><?xml version="1.0" encoding="utf-8"?>
<ds:datastoreItem xmlns:ds="http://schemas.openxmlformats.org/officeDocument/2006/customXml" ds:itemID="{E10FA14D-EF85-4225-8179-BA538116A8B6}">
  <ds:schemaRefs>
    <ds:schemaRef ds:uri="http://schemas.openxmlformats.org/officeDocument/2006/bibliography"/>
  </ds:schemaRefs>
</ds:datastoreItem>
</file>

<file path=customXml/itemProps243.xml><?xml version="1.0" encoding="utf-8"?>
<ds:datastoreItem xmlns:ds="http://schemas.openxmlformats.org/officeDocument/2006/customXml" ds:itemID="{87293E50-BE59-40B1-B3D6-9178EB7EFB36}">
  <ds:schemaRefs>
    <ds:schemaRef ds:uri="http://schemas.openxmlformats.org/officeDocument/2006/bibliography"/>
  </ds:schemaRefs>
</ds:datastoreItem>
</file>

<file path=customXml/itemProps244.xml><?xml version="1.0" encoding="utf-8"?>
<ds:datastoreItem xmlns:ds="http://schemas.openxmlformats.org/officeDocument/2006/customXml" ds:itemID="{CFECADC3-16B6-431D-A16A-AE6F0542A165}">
  <ds:schemaRefs>
    <ds:schemaRef ds:uri="http://schemas.openxmlformats.org/officeDocument/2006/bibliography"/>
  </ds:schemaRefs>
</ds:datastoreItem>
</file>

<file path=customXml/itemProps245.xml><?xml version="1.0" encoding="utf-8"?>
<ds:datastoreItem xmlns:ds="http://schemas.openxmlformats.org/officeDocument/2006/customXml" ds:itemID="{301D927F-77FC-45BF-99E7-8732C31870BF}">
  <ds:schemaRefs>
    <ds:schemaRef ds:uri="http://schemas.openxmlformats.org/officeDocument/2006/bibliography"/>
  </ds:schemaRefs>
</ds:datastoreItem>
</file>

<file path=customXml/itemProps246.xml><?xml version="1.0" encoding="utf-8"?>
<ds:datastoreItem xmlns:ds="http://schemas.openxmlformats.org/officeDocument/2006/customXml" ds:itemID="{26509CC7-295E-4D4D-8695-806F26555DDE}">
  <ds:schemaRefs>
    <ds:schemaRef ds:uri="http://schemas.openxmlformats.org/officeDocument/2006/bibliography"/>
  </ds:schemaRefs>
</ds:datastoreItem>
</file>

<file path=customXml/itemProps247.xml><?xml version="1.0" encoding="utf-8"?>
<ds:datastoreItem xmlns:ds="http://schemas.openxmlformats.org/officeDocument/2006/customXml" ds:itemID="{462B1010-A647-4C92-B141-B85C52BC22A1}">
  <ds:schemaRefs>
    <ds:schemaRef ds:uri="http://schemas.openxmlformats.org/officeDocument/2006/bibliography"/>
  </ds:schemaRefs>
</ds:datastoreItem>
</file>

<file path=customXml/itemProps248.xml><?xml version="1.0" encoding="utf-8"?>
<ds:datastoreItem xmlns:ds="http://schemas.openxmlformats.org/officeDocument/2006/customXml" ds:itemID="{61ADBDAD-9626-4511-ACF9-3FA0C68CB999}">
  <ds:schemaRefs>
    <ds:schemaRef ds:uri="http://schemas.openxmlformats.org/officeDocument/2006/bibliography"/>
  </ds:schemaRefs>
</ds:datastoreItem>
</file>

<file path=customXml/itemProps249.xml><?xml version="1.0" encoding="utf-8"?>
<ds:datastoreItem xmlns:ds="http://schemas.openxmlformats.org/officeDocument/2006/customXml" ds:itemID="{2DBD5127-41F9-403B-A199-B861CCF4336F}">
  <ds:schemaRefs>
    <ds:schemaRef ds:uri="http://schemas.openxmlformats.org/officeDocument/2006/bibliography"/>
  </ds:schemaRefs>
</ds:datastoreItem>
</file>

<file path=customXml/itemProps25.xml><?xml version="1.0" encoding="utf-8"?>
<ds:datastoreItem xmlns:ds="http://schemas.openxmlformats.org/officeDocument/2006/customXml" ds:itemID="{BA855EE9-28AF-4063-9E5F-FB46466E4DE0}">
  <ds:schemaRefs>
    <ds:schemaRef ds:uri="http://schemas.openxmlformats.org/officeDocument/2006/bibliography"/>
  </ds:schemaRefs>
</ds:datastoreItem>
</file>

<file path=customXml/itemProps250.xml><?xml version="1.0" encoding="utf-8"?>
<ds:datastoreItem xmlns:ds="http://schemas.openxmlformats.org/officeDocument/2006/customXml" ds:itemID="{47AF56E5-1149-4D58-9786-708B0BF63E44}">
  <ds:schemaRefs>
    <ds:schemaRef ds:uri="http://schemas.openxmlformats.org/officeDocument/2006/bibliography"/>
  </ds:schemaRefs>
</ds:datastoreItem>
</file>

<file path=customXml/itemProps251.xml><?xml version="1.0" encoding="utf-8"?>
<ds:datastoreItem xmlns:ds="http://schemas.openxmlformats.org/officeDocument/2006/customXml" ds:itemID="{89200A83-4D45-48A8-A5D1-13CFF18EEFFC}">
  <ds:schemaRefs>
    <ds:schemaRef ds:uri="http://schemas.openxmlformats.org/officeDocument/2006/bibliography"/>
  </ds:schemaRefs>
</ds:datastoreItem>
</file>

<file path=customXml/itemProps252.xml><?xml version="1.0" encoding="utf-8"?>
<ds:datastoreItem xmlns:ds="http://schemas.openxmlformats.org/officeDocument/2006/customXml" ds:itemID="{793F2730-9B4A-4509-A10B-3D9E72C66CCF}">
  <ds:schemaRefs>
    <ds:schemaRef ds:uri="http://schemas.openxmlformats.org/officeDocument/2006/bibliography"/>
  </ds:schemaRefs>
</ds:datastoreItem>
</file>

<file path=customXml/itemProps253.xml><?xml version="1.0" encoding="utf-8"?>
<ds:datastoreItem xmlns:ds="http://schemas.openxmlformats.org/officeDocument/2006/customXml" ds:itemID="{66FAC11C-ED5F-4C74-B305-AF515F98F206}">
  <ds:schemaRefs>
    <ds:schemaRef ds:uri="http://schemas.openxmlformats.org/officeDocument/2006/bibliography"/>
  </ds:schemaRefs>
</ds:datastoreItem>
</file>

<file path=customXml/itemProps254.xml><?xml version="1.0" encoding="utf-8"?>
<ds:datastoreItem xmlns:ds="http://schemas.openxmlformats.org/officeDocument/2006/customXml" ds:itemID="{8F34F3A7-C0FE-4541-9460-DE44E4294BC2}">
  <ds:schemaRefs>
    <ds:schemaRef ds:uri="http://schemas.openxmlformats.org/officeDocument/2006/bibliography"/>
  </ds:schemaRefs>
</ds:datastoreItem>
</file>

<file path=customXml/itemProps255.xml><?xml version="1.0" encoding="utf-8"?>
<ds:datastoreItem xmlns:ds="http://schemas.openxmlformats.org/officeDocument/2006/customXml" ds:itemID="{45A79B8A-C197-41CA-8EA1-8F78BF410A4F}">
  <ds:schemaRefs>
    <ds:schemaRef ds:uri="http://schemas.openxmlformats.org/officeDocument/2006/bibliography"/>
  </ds:schemaRefs>
</ds:datastoreItem>
</file>

<file path=customXml/itemProps256.xml><?xml version="1.0" encoding="utf-8"?>
<ds:datastoreItem xmlns:ds="http://schemas.openxmlformats.org/officeDocument/2006/customXml" ds:itemID="{E2371E4E-03A5-4A64-B14F-AB2453CC94F3}">
  <ds:schemaRefs>
    <ds:schemaRef ds:uri="http://schemas.openxmlformats.org/officeDocument/2006/bibliography"/>
  </ds:schemaRefs>
</ds:datastoreItem>
</file>

<file path=customXml/itemProps257.xml><?xml version="1.0" encoding="utf-8"?>
<ds:datastoreItem xmlns:ds="http://schemas.openxmlformats.org/officeDocument/2006/customXml" ds:itemID="{F78A2941-EAA6-4B3D-B179-0E010FD2782C}">
  <ds:schemaRefs>
    <ds:schemaRef ds:uri="http://schemas.openxmlformats.org/officeDocument/2006/bibliography"/>
  </ds:schemaRefs>
</ds:datastoreItem>
</file>

<file path=customXml/itemProps258.xml><?xml version="1.0" encoding="utf-8"?>
<ds:datastoreItem xmlns:ds="http://schemas.openxmlformats.org/officeDocument/2006/customXml" ds:itemID="{D9DA61D8-F18B-47C2-8457-EE348D49E98E}">
  <ds:schemaRefs>
    <ds:schemaRef ds:uri="http://schemas.openxmlformats.org/officeDocument/2006/bibliography"/>
  </ds:schemaRefs>
</ds:datastoreItem>
</file>

<file path=customXml/itemProps259.xml><?xml version="1.0" encoding="utf-8"?>
<ds:datastoreItem xmlns:ds="http://schemas.openxmlformats.org/officeDocument/2006/customXml" ds:itemID="{61DF3B0B-3E21-4D22-9698-8D9E1565EF74}">
  <ds:schemaRefs>
    <ds:schemaRef ds:uri="http://schemas.openxmlformats.org/officeDocument/2006/bibliography"/>
  </ds:schemaRefs>
</ds:datastoreItem>
</file>

<file path=customXml/itemProps26.xml><?xml version="1.0" encoding="utf-8"?>
<ds:datastoreItem xmlns:ds="http://schemas.openxmlformats.org/officeDocument/2006/customXml" ds:itemID="{B53040A3-01C1-4FB3-AC24-0F5093643A5C}">
  <ds:schemaRefs>
    <ds:schemaRef ds:uri="http://schemas.openxmlformats.org/officeDocument/2006/bibliography"/>
  </ds:schemaRefs>
</ds:datastoreItem>
</file>

<file path=customXml/itemProps260.xml><?xml version="1.0" encoding="utf-8"?>
<ds:datastoreItem xmlns:ds="http://schemas.openxmlformats.org/officeDocument/2006/customXml" ds:itemID="{3E27C26B-07B8-496C-9B0F-34710543BD95}">
  <ds:schemaRefs>
    <ds:schemaRef ds:uri="http://schemas.openxmlformats.org/officeDocument/2006/bibliography"/>
  </ds:schemaRefs>
</ds:datastoreItem>
</file>

<file path=customXml/itemProps261.xml><?xml version="1.0" encoding="utf-8"?>
<ds:datastoreItem xmlns:ds="http://schemas.openxmlformats.org/officeDocument/2006/customXml" ds:itemID="{42BEBE16-44CB-4E30-8E67-B80045F4641A}">
  <ds:schemaRefs>
    <ds:schemaRef ds:uri="http://schemas.openxmlformats.org/officeDocument/2006/bibliography"/>
  </ds:schemaRefs>
</ds:datastoreItem>
</file>

<file path=customXml/itemProps262.xml><?xml version="1.0" encoding="utf-8"?>
<ds:datastoreItem xmlns:ds="http://schemas.openxmlformats.org/officeDocument/2006/customXml" ds:itemID="{603B5815-9100-4125-AE99-E32DA4F96823}">
  <ds:schemaRefs>
    <ds:schemaRef ds:uri="http://schemas.openxmlformats.org/officeDocument/2006/bibliography"/>
  </ds:schemaRefs>
</ds:datastoreItem>
</file>

<file path=customXml/itemProps263.xml><?xml version="1.0" encoding="utf-8"?>
<ds:datastoreItem xmlns:ds="http://schemas.openxmlformats.org/officeDocument/2006/customXml" ds:itemID="{629615E3-1DBF-4D30-A997-4B5927D79221}">
  <ds:schemaRefs>
    <ds:schemaRef ds:uri="http://schemas.openxmlformats.org/officeDocument/2006/bibliography"/>
  </ds:schemaRefs>
</ds:datastoreItem>
</file>

<file path=customXml/itemProps264.xml><?xml version="1.0" encoding="utf-8"?>
<ds:datastoreItem xmlns:ds="http://schemas.openxmlformats.org/officeDocument/2006/customXml" ds:itemID="{D16F497F-A370-4039-9BD2-D7E129F33AC0}">
  <ds:schemaRefs>
    <ds:schemaRef ds:uri="http://schemas.openxmlformats.org/officeDocument/2006/bibliography"/>
  </ds:schemaRefs>
</ds:datastoreItem>
</file>

<file path=customXml/itemProps265.xml><?xml version="1.0" encoding="utf-8"?>
<ds:datastoreItem xmlns:ds="http://schemas.openxmlformats.org/officeDocument/2006/customXml" ds:itemID="{8546C91B-A8E8-490C-BCBA-12591F0E5682}">
  <ds:schemaRefs>
    <ds:schemaRef ds:uri="http://schemas.openxmlformats.org/officeDocument/2006/bibliography"/>
  </ds:schemaRefs>
</ds:datastoreItem>
</file>

<file path=customXml/itemProps266.xml><?xml version="1.0" encoding="utf-8"?>
<ds:datastoreItem xmlns:ds="http://schemas.openxmlformats.org/officeDocument/2006/customXml" ds:itemID="{08482D36-923B-49A4-987A-F91F4408E49C}">
  <ds:schemaRefs>
    <ds:schemaRef ds:uri="http://schemas.openxmlformats.org/officeDocument/2006/bibliography"/>
  </ds:schemaRefs>
</ds:datastoreItem>
</file>

<file path=customXml/itemProps267.xml><?xml version="1.0" encoding="utf-8"?>
<ds:datastoreItem xmlns:ds="http://schemas.openxmlformats.org/officeDocument/2006/customXml" ds:itemID="{59F18545-3DC4-4345-951F-7FAC01255B5D}">
  <ds:schemaRefs>
    <ds:schemaRef ds:uri="http://schemas.openxmlformats.org/officeDocument/2006/bibliography"/>
  </ds:schemaRefs>
</ds:datastoreItem>
</file>

<file path=customXml/itemProps268.xml><?xml version="1.0" encoding="utf-8"?>
<ds:datastoreItem xmlns:ds="http://schemas.openxmlformats.org/officeDocument/2006/customXml" ds:itemID="{4AEB323C-0DD0-4E0F-A242-4B1460FDF5DA}">
  <ds:schemaRefs>
    <ds:schemaRef ds:uri="http://schemas.openxmlformats.org/officeDocument/2006/bibliography"/>
  </ds:schemaRefs>
</ds:datastoreItem>
</file>

<file path=customXml/itemProps269.xml><?xml version="1.0" encoding="utf-8"?>
<ds:datastoreItem xmlns:ds="http://schemas.openxmlformats.org/officeDocument/2006/customXml" ds:itemID="{705C7564-A4BB-48A5-8FF8-B5C4AFCF0691}">
  <ds:schemaRefs>
    <ds:schemaRef ds:uri="http://schemas.openxmlformats.org/officeDocument/2006/bibliography"/>
  </ds:schemaRefs>
</ds:datastoreItem>
</file>

<file path=customXml/itemProps27.xml><?xml version="1.0" encoding="utf-8"?>
<ds:datastoreItem xmlns:ds="http://schemas.openxmlformats.org/officeDocument/2006/customXml" ds:itemID="{30EB6FCC-C4CE-4C05-97C5-03DBF63D736E}">
  <ds:schemaRefs>
    <ds:schemaRef ds:uri="http://schemas.openxmlformats.org/officeDocument/2006/bibliography"/>
  </ds:schemaRefs>
</ds:datastoreItem>
</file>

<file path=customXml/itemProps270.xml><?xml version="1.0" encoding="utf-8"?>
<ds:datastoreItem xmlns:ds="http://schemas.openxmlformats.org/officeDocument/2006/customXml" ds:itemID="{65EF7044-92C9-470A-9DF4-5DBE4BE7D4A1}">
  <ds:schemaRefs>
    <ds:schemaRef ds:uri="http://schemas.openxmlformats.org/officeDocument/2006/bibliography"/>
  </ds:schemaRefs>
</ds:datastoreItem>
</file>

<file path=customXml/itemProps271.xml><?xml version="1.0" encoding="utf-8"?>
<ds:datastoreItem xmlns:ds="http://schemas.openxmlformats.org/officeDocument/2006/customXml" ds:itemID="{2B10DD03-30C0-4CE4-8771-37554C7729D4}">
  <ds:schemaRefs>
    <ds:schemaRef ds:uri="http://schemas.openxmlformats.org/officeDocument/2006/bibliography"/>
  </ds:schemaRefs>
</ds:datastoreItem>
</file>

<file path=customXml/itemProps272.xml><?xml version="1.0" encoding="utf-8"?>
<ds:datastoreItem xmlns:ds="http://schemas.openxmlformats.org/officeDocument/2006/customXml" ds:itemID="{0EC2BFFA-87BC-4A10-9706-6F0E3FD5AA20}">
  <ds:schemaRefs>
    <ds:schemaRef ds:uri="http://schemas.openxmlformats.org/officeDocument/2006/bibliography"/>
  </ds:schemaRefs>
</ds:datastoreItem>
</file>

<file path=customXml/itemProps273.xml><?xml version="1.0" encoding="utf-8"?>
<ds:datastoreItem xmlns:ds="http://schemas.openxmlformats.org/officeDocument/2006/customXml" ds:itemID="{88504198-A246-4C52-A4AE-E53B1D902EE0}">
  <ds:schemaRefs>
    <ds:schemaRef ds:uri="http://schemas.openxmlformats.org/officeDocument/2006/bibliography"/>
  </ds:schemaRefs>
</ds:datastoreItem>
</file>

<file path=customXml/itemProps274.xml><?xml version="1.0" encoding="utf-8"?>
<ds:datastoreItem xmlns:ds="http://schemas.openxmlformats.org/officeDocument/2006/customXml" ds:itemID="{94A5BF12-B47E-4F08-91BD-8175ACE56BC6}">
  <ds:schemaRefs>
    <ds:schemaRef ds:uri="http://schemas.openxmlformats.org/officeDocument/2006/bibliography"/>
  </ds:schemaRefs>
</ds:datastoreItem>
</file>

<file path=customXml/itemProps275.xml><?xml version="1.0" encoding="utf-8"?>
<ds:datastoreItem xmlns:ds="http://schemas.openxmlformats.org/officeDocument/2006/customXml" ds:itemID="{CC945D86-DF0C-42FF-ACD1-19672B820D3E}">
  <ds:schemaRefs>
    <ds:schemaRef ds:uri="http://schemas.openxmlformats.org/officeDocument/2006/bibliography"/>
  </ds:schemaRefs>
</ds:datastoreItem>
</file>

<file path=customXml/itemProps28.xml><?xml version="1.0" encoding="utf-8"?>
<ds:datastoreItem xmlns:ds="http://schemas.openxmlformats.org/officeDocument/2006/customXml" ds:itemID="{E1CD38DF-D14D-4E9A-BAA8-F4BB1E83FA2F}">
  <ds:schemaRefs>
    <ds:schemaRef ds:uri="http://schemas.openxmlformats.org/officeDocument/2006/bibliography"/>
  </ds:schemaRefs>
</ds:datastoreItem>
</file>

<file path=customXml/itemProps29.xml><?xml version="1.0" encoding="utf-8"?>
<ds:datastoreItem xmlns:ds="http://schemas.openxmlformats.org/officeDocument/2006/customXml" ds:itemID="{9582E956-BC9D-4E16-A635-9E869B75BBC4}">
  <ds:schemaRefs>
    <ds:schemaRef ds:uri="http://schemas.openxmlformats.org/officeDocument/2006/bibliography"/>
  </ds:schemaRefs>
</ds:datastoreItem>
</file>

<file path=customXml/itemProps3.xml><?xml version="1.0" encoding="utf-8"?>
<ds:datastoreItem xmlns:ds="http://schemas.openxmlformats.org/officeDocument/2006/customXml" ds:itemID="{88ACB096-FB8C-47CA-8BB0-E215FF57A1B0}">
  <ds:schemaRefs>
    <ds:schemaRef ds:uri="http://schemas.openxmlformats.org/officeDocument/2006/bibliography"/>
  </ds:schemaRefs>
</ds:datastoreItem>
</file>

<file path=customXml/itemProps30.xml><?xml version="1.0" encoding="utf-8"?>
<ds:datastoreItem xmlns:ds="http://schemas.openxmlformats.org/officeDocument/2006/customXml" ds:itemID="{AF7AAFC4-809A-4AEB-98DF-0C2A0B88B61F}">
  <ds:schemaRefs>
    <ds:schemaRef ds:uri="http://schemas.openxmlformats.org/officeDocument/2006/bibliography"/>
  </ds:schemaRefs>
</ds:datastoreItem>
</file>

<file path=customXml/itemProps31.xml><?xml version="1.0" encoding="utf-8"?>
<ds:datastoreItem xmlns:ds="http://schemas.openxmlformats.org/officeDocument/2006/customXml" ds:itemID="{88A7FBB0-BF54-4F37-8F7C-62033DD15D8B}">
  <ds:schemaRefs>
    <ds:schemaRef ds:uri="http://schemas.openxmlformats.org/officeDocument/2006/bibliography"/>
  </ds:schemaRefs>
</ds:datastoreItem>
</file>

<file path=customXml/itemProps32.xml><?xml version="1.0" encoding="utf-8"?>
<ds:datastoreItem xmlns:ds="http://schemas.openxmlformats.org/officeDocument/2006/customXml" ds:itemID="{994AF1FD-7D73-4DC9-9A8D-7D0D8689BFEF}">
  <ds:schemaRefs>
    <ds:schemaRef ds:uri="http://schemas.openxmlformats.org/officeDocument/2006/bibliography"/>
  </ds:schemaRefs>
</ds:datastoreItem>
</file>

<file path=customXml/itemProps33.xml><?xml version="1.0" encoding="utf-8"?>
<ds:datastoreItem xmlns:ds="http://schemas.openxmlformats.org/officeDocument/2006/customXml" ds:itemID="{B6274662-DADB-4D5B-AE24-FB833A7CE7B8}">
  <ds:schemaRefs>
    <ds:schemaRef ds:uri="http://schemas.openxmlformats.org/officeDocument/2006/bibliography"/>
  </ds:schemaRefs>
</ds:datastoreItem>
</file>

<file path=customXml/itemProps34.xml><?xml version="1.0" encoding="utf-8"?>
<ds:datastoreItem xmlns:ds="http://schemas.openxmlformats.org/officeDocument/2006/customXml" ds:itemID="{03F3DF08-9B8D-4459-8AC4-7448FA6463F2}">
  <ds:schemaRefs>
    <ds:schemaRef ds:uri="http://schemas.openxmlformats.org/officeDocument/2006/bibliography"/>
  </ds:schemaRefs>
</ds:datastoreItem>
</file>

<file path=customXml/itemProps35.xml><?xml version="1.0" encoding="utf-8"?>
<ds:datastoreItem xmlns:ds="http://schemas.openxmlformats.org/officeDocument/2006/customXml" ds:itemID="{571A29F4-DE88-482D-A750-33919C3D7D19}">
  <ds:schemaRefs>
    <ds:schemaRef ds:uri="http://schemas.openxmlformats.org/officeDocument/2006/bibliography"/>
  </ds:schemaRefs>
</ds:datastoreItem>
</file>

<file path=customXml/itemProps36.xml><?xml version="1.0" encoding="utf-8"?>
<ds:datastoreItem xmlns:ds="http://schemas.openxmlformats.org/officeDocument/2006/customXml" ds:itemID="{CB7F1927-16C1-4123-872C-2CF9D7EC9F9B}">
  <ds:schemaRefs>
    <ds:schemaRef ds:uri="http://schemas.openxmlformats.org/officeDocument/2006/bibliography"/>
  </ds:schemaRefs>
</ds:datastoreItem>
</file>

<file path=customXml/itemProps37.xml><?xml version="1.0" encoding="utf-8"?>
<ds:datastoreItem xmlns:ds="http://schemas.openxmlformats.org/officeDocument/2006/customXml" ds:itemID="{C0A56668-363A-43F2-85DE-8906B2AF0824}">
  <ds:schemaRefs>
    <ds:schemaRef ds:uri="http://schemas.openxmlformats.org/officeDocument/2006/bibliography"/>
  </ds:schemaRefs>
</ds:datastoreItem>
</file>

<file path=customXml/itemProps38.xml><?xml version="1.0" encoding="utf-8"?>
<ds:datastoreItem xmlns:ds="http://schemas.openxmlformats.org/officeDocument/2006/customXml" ds:itemID="{F9E3DD38-C8FA-4131-95C0-E7741F4B6C84}">
  <ds:schemaRefs>
    <ds:schemaRef ds:uri="http://schemas.microsoft.com/sharepoint/v3/contenttype/forms"/>
  </ds:schemaRefs>
</ds:datastoreItem>
</file>

<file path=customXml/itemProps39.xml><?xml version="1.0" encoding="utf-8"?>
<ds:datastoreItem xmlns:ds="http://schemas.openxmlformats.org/officeDocument/2006/customXml" ds:itemID="{8C436B0F-14EC-49E7-A101-77577E07CAC7}">
  <ds:schemaRefs>
    <ds:schemaRef ds:uri="http://schemas.openxmlformats.org/officeDocument/2006/bibliography"/>
  </ds:schemaRefs>
</ds:datastoreItem>
</file>

<file path=customXml/itemProps4.xml><?xml version="1.0" encoding="utf-8"?>
<ds:datastoreItem xmlns:ds="http://schemas.openxmlformats.org/officeDocument/2006/customXml" ds:itemID="{73531CC9-9AD1-4610-85AC-30D487F3920B}">
  <ds:schemaRefs>
    <ds:schemaRef ds:uri="http://schemas.openxmlformats.org/officeDocument/2006/bibliography"/>
  </ds:schemaRefs>
</ds:datastoreItem>
</file>

<file path=customXml/itemProps40.xml><?xml version="1.0" encoding="utf-8"?>
<ds:datastoreItem xmlns:ds="http://schemas.openxmlformats.org/officeDocument/2006/customXml" ds:itemID="{7234AE3D-6EE0-45A9-851C-E71C8708CC85}">
  <ds:schemaRefs>
    <ds:schemaRef ds:uri="http://schemas.openxmlformats.org/officeDocument/2006/bibliography"/>
  </ds:schemaRefs>
</ds:datastoreItem>
</file>

<file path=customXml/itemProps41.xml><?xml version="1.0" encoding="utf-8"?>
<ds:datastoreItem xmlns:ds="http://schemas.openxmlformats.org/officeDocument/2006/customXml" ds:itemID="{F9D3B517-E2EE-4187-8AE3-1909A8F0C305}">
  <ds:schemaRefs>
    <ds:schemaRef ds:uri="http://schemas.openxmlformats.org/officeDocument/2006/bibliography"/>
  </ds:schemaRefs>
</ds:datastoreItem>
</file>

<file path=customXml/itemProps42.xml><?xml version="1.0" encoding="utf-8"?>
<ds:datastoreItem xmlns:ds="http://schemas.openxmlformats.org/officeDocument/2006/customXml" ds:itemID="{959A7B77-BB40-4A0D-AD9F-0C8440A751FE}">
  <ds:schemaRefs>
    <ds:schemaRef ds:uri="http://schemas.openxmlformats.org/officeDocument/2006/bibliography"/>
  </ds:schemaRefs>
</ds:datastoreItem>
</file>

<file path=customXml/itemProps43.xml><?xml version="1.0" encoding="utf-8"?>
<ds:datastoreItem xmlns:ds="http://schemas.openxmlformats.org/officeDocument/2006/customXml" ds:itemID="{EE04AE00-73EA-4A79-BCDA-45320242C978}">
  <ds:schemaRefs>
    <ds:schemaRef ds:uri="http://schemas.openxmlformats.org/officeDocument/2006/bibliography"/>
  </ds:schemaRefs>
</ds:datastoreItem>
</file>

<file path=customXml/itemProps44.xml><?xml version="1.0" encoding="utf-8"?>
<ds:datastoreItem xmlns:ds="http://schemas.openxmlformats.org/officeDocument/2006/customXml" ds:itemID="{C0B127AC-6E74-4A80-9E34-55CAF0C30379}">
  <ds:schemaRefs>
    <ds:schemaRef ds:uri="http://schemas.openxmlformats.org/officeDocument/2006/bibliography"/>
  </ds:schemaRefs>
</ds:datastoreItem>
</file>

<file path=customXml/itemProps45.xml><?xml version="1.0" encoding="utf-8"?>
<ds:datastoreItem xmlns:ds="http://schemas.openxmlformats.org/officeDocument/2006/customXml" ds:itemID="{15C7F4DF-D5B7-43AF-8DDD-DB962628B829}">
  <ds:schemaRefs>
    <ds:schemaRef ds:uri="http://schemas.openxmlformats.org/officeDocument/2006/bibliography"/>
  </ds:schemaRefs>
</ds:datastoreItem>
</file>

<file path=customXml/itemProps46.xml><?xml version="1.0" encoding="utf-8"?>
<ds:datastoreItem xmlns:ds="http://schemas.openxmlformats.org/officeDocument/2006/customXml" ds:itemID="{F58674D3-6757-4079-92BA-CEAC2F107BCC}">
  <ds:schemaRefs>
    <ds:schemaRef ds:uri="http://schemas.openxmlformats.org/officeDocument/2006/bibliography"/>
  </ds:schemaRefs>
</ds:datastoreItem>
</file>

<file path=customXml/itemProps47.xml><?xml version="1.0" encoding="utf-8"?>
<ds:datastoreItem xmlns:ds="http://schemas.openxmlformats.org/officeDocument/2006/customXml" ds:itemID="{FF274687-A51E-4E76-8F89-F0B1ABCE7DE2}">
  <ds:schemaRefs>
    <ds:schemaRef ds:uri="http://schemas.openxmlformats.org/officeDocument/2006/bibliography"/>
  </ds:schemaRefs>
</ds:datastoreItem>
</file>

<file path=customXml/itemProps48.xml><?xml version="1.0" encoding="utf-8"?>
<ds:datastoreItem xmlns:ds="http://schemas.openxmlformats.org/officeDocument/2006/customXml" ds:itemID="{6DB45183-2803-4D56-A0FE-213A4F13A826}">
  <ds:schemaRefs>
    <ds:schemaRef ds:uri="http://schemas.openxmlformats.org/officeDocument/2006/bibliography"/>
  </ds:schemaRefs>
</ds:datastoreItem>
</file>

<file path=customXml/itemProps49.xml><?xml version="1.0" encoding="utf-8"?>
<ds:datastoreItem xmlns:ds="http://schemas.openxmlformats.org/officeDocument/2006/customXml" ds:itemID="{4C5C45D1-59B5-446B-ABFD-B20A76687A4E}">
  <ds:schemaRefs>
    <ds:schemaRef ds:uri="http://schemas.openxmlformats.org/officeDocument/2006/bibliography"/>
  </ds:schemaRefs>
</ds:datastoreItem>
</file>

<file path=customXml/itemProps5.xml><?xml version="1.0" encoding="utf-8"?>
<ds:datastoreItem xmlns:ds="http://schemas.openxmlformats.org/officeDocument/2006/customXml" ds:itemID="{60E28EDA-15C5-40F9-8E8A-719A811604B7}">
  <ds:schemaRefs>
    <ds:schemaRef ds:uri="http://schemas.openxmlformats.org/officeDocument/2006/bibliography"/>
  </ds:schemaRefs>
</ds:datastoreItem>
</file>

<file path=customXml/itemProps50.xml><?xml version="1.0" encoding="utf-8"?>
<ds:datastoreItem xmlns:ds="http://schemas.openxmlformats.org/officeDocument/2006/customXml" ds:itemID="{52752EC1-48D6-430C-8E06-2DF58093BA21}">
  <ds:schemaRefs>
    <ds:schemaRef ds:uri="http://schemas.openxmlformats.org/officeDocument/2006/bibliography"/>
  </ds:schemaRefs>
</ds:datastoreItem>
</file>

<file path=customXml/itemProps51.xml><?xml version="1.0" encoding="utf-8"?>
<ds:datastoreItem xmlns:ds="http://schemas.openxmlformats.org/officeDocument/2006/customXml" ds:itemID="{8018F02F-1EAC-4212-8853-83F2D1D1BD43}">
  <ds:schemaRefs>
    <ds:schemaRef ds:uri="http://schemas.openxmlformats.org/officeDocument/2006/bibliography"/>
  </ds:schemaRefs>
</ds:datastoreItem>
</file>

<file path=customXml/itemProps52.xml><?xml version="1.0" encoding="utf-8"?>
<ds:datastoreItem xmlns:ds="http://schemas.openxmlformats.org/officeDocument/2006/customXml" ds:itemID="{6D725A43-633A-42BC-A8DE-45F4DE96268B}">
  <ds:schemaRefs>
    <ds:schemaRef ds:uri="http://schemas.openxmlformats.org/officeDocument/2006/bibliography"/>
  </ds:schemaRefs>
</ds:datastoreItem>
</file>

<file path=customXml/itemProps53.xml><?xml version="1.0" encoding="utf-8"?>
<ds:datastoreItem xmlns:ds="http://schemas.openxmlformats.org/officeDocument/2006/customXml" ds:itemID="{9DCF3F70-C2FD-4E35-84EC-A8AD824DC1A5}">
  <ds:schemaRefs>
    <ds:schemaRef ds:uri="http://schemas.openxmlformats.org/officeDocument/2006/bibliography"/>
  </ds:schemaRefs>
</ds:datastoreItem>
</file>

<file path=customXml/itemProps54.xml><?xml version="1.0" encoding="utf-8"?>
<ds:datastoreItem xmlns:ds="http://schemas.openxmlformats.org/officeDocument/2006/customXml" ds:itemID="{67A53ED7-D193-48C8-BE0C-04DABB8F046F}">
  <ds:schemaRefs>
    <ds:schemaRef ds:uri="http://schemas.openxmlformats.org/officeDocument/2006/bibliography"/>
  </ds:schemaRefs>
</ds:datastoreItem>
</file>

<file path=customXml/itemProps55.xml><?xml version="1.0" encoding="utf-8"?>
<ds:datastoreItem xmlns:ds="http://schemas.openxmlformats.org/officeDocument/2006/customXml" ds:itemID="{0999FFF7-751D-4D1F-AC2A-732C921A88D9}">
  <ds:schemaRefs>
    <ds:schemaRef ds:uri="http://schemas.openxmlformats.org/officeDocument/2006/bibliography"/>
  </ds:schemaRefs>
</ds:datastoreItem>
</file>

<file path=customXml/itemProps56.xml><?xml version="1.0" encoding="utf-8"?>
<ds:datastoreItem xmlns:ds="http://schemas.openxmlformats.org/officeDocument/2006/customXml" ds:itemID="{D3B012E3-7724-4FD3-ACDC-311EF7AE3EBE}">
  <ds:schemaRefs>
    <ds:schemaRef ds:uri="http://schemas.openxmlformats.org/officeDocument/2006/bibliography"/>
  </ds:schemaRefs>
</ds:datastoreItem>
</file>

<file path=customXml/itemProps57.xml><?xml version="1.0" encoding="utf-8"?>
<ds:datastoreItem xmlns:ds="http://schemas.openxmlformats.org/officeDocument/2006/customXml" ds:itemID="{5D119438-FF89-4473-AC25-5F9B2D7DAC16}">
  <ds:schemaRefs>
    <ds:schemaRef ds:uri="http://schemas.openxmlformats.org/officeDocument/2006/bibliography"/>
  </ds:schemaRefs>
</ds:datastoreItem>
</file>

<file path=customXml/itemProps58.xml><?xml version="1.0" encoding="utf-8"?>
<ds:datastoreItem xmlns:ds="http://schemas.openxmlformats.org/officeDocument/2006/customXml" ds:itemID="{8ADDFA6C-CC22-4C87-9BDD-167416DC0A21}">
  <ds:schemaRefs>
    <ds:schemaRef ds:uri="http://schemas.openxmlformats.org/officeDocument/2006/bibliography"/>
  </ds:schemaRefs>
</ds:datastoreItem>
</file>

<file path=customXml/itemProps59.xml><?xml version="1.0" encoding="utf-8"?>
<ds:datastoreItem xmlns:ds="http://schemas.openxmlformats.org/officeDocument/2006/customXml" ds:itemID="{551B4686-BB7F-4191-9A8C-FD4A7A2288F7}">
  <ds:schemaRefs>
    <ds:schemaRef ds:uri="http://schemas.openxmlformats.org/officeDocument/2006/bibliography"/>
  </ds:schemaRefs>
</ds:datastoreItem>
</file>

<file path=customXml/itemProps6.xml><?xml version="1.0" encoding="utf-8"?>
<ds:datastoreItem xmlns:ds="http://schemas.openxmlformats.org/officeDocument/2006/customXml" ds:itemID="{93504142-7711-4A47-B823-99EC65C4E78F}">
  <ds:schemaRefs>
    <ds:schemaRef ds:uri="http://schemas.openxmlformats.org/officeDocument/2006/bibliography"/>
  </ds:schemaRefs>
</ds:datastoreItem>
</file>

<file path=customXml/itemProps60.xml><?xml version="1.0" encoding="utf-8"?>
<ds:datastoreItem xmlns:ds="http://schemas.openxmlformats.org/officeDocument/2006/customXml" ds:itemID="{CD46B17B-11E1-40E4-8EF3-E9E4EB8F0987}">
  <ds:schemaRefs>
    <ds:schemaRef ds:uri="http://schemas.openxmlformats.org/officeDocument/2006/bibliography"/>
  </ds:schemaRefs>
</ds:datastoreItem>
</file>

<file path=customXml/itemProps61.xml><?xml version="1.0" encoding="utf-8"?>
<ds:datastoreItem xmlns:ds="http://schemas.openxmlformats.org/officeDocument/2006/customXml" ds:itemID="{56E50A7B-18B7-4B38-8C72-98C0624B022A}">
  <ds:schemaRefs>
    <ds:schemaRef ds:uri="http://schemas.openxmlformats.org/officeDocument/2006/bibliography"/>
  </ds:schemaRefs>
</ds:datastoreItem>
</file>

<file path=customXml/itemProps62.xml><?xml version="1.0" encoding="utf-8"?>
<ds:datastoreItem xmlns:ds="http://schemas.openxmlformats.org/officeDocument/2006/customXml" ds:itemID="{99FEB152-EAC4-475D-9B86-58FACB860921}">
  <ds:schemaRefs>
    <ds:schemaRef ds:uri="http://schemas.openxmlformats.org/officeDocument/2006/bibliography"/>
  </ds:schemaRefs>
</ds:datastoreItem>
</file>

<file path=customXml/itemProps63.xml><?xml version="1.0" encoding="utf-8"?>
<ds:datastoreItem xmlns:ds="http://schemas.openxmlformats.org/officeDocument/2006/customXml" ds:itemID="{B22BA2F5-3984-446F-8458-EA0B76697EFA}">
  <ds:schemaRefs>
    <ds:schemaRef ds:uri="http://schemas.openxmlformats.org/officeDocument/2006/bibliography"/>
  </ds:schemaRefs>
</ds:datastoreItem>
</file>

<file path=customXml/itemProps64.xml><?xml version="1.0" encoding="utf-8"?>
<ds:datastoreItem xmlns:ds="http://schemas.openxmlformats.org/officeDocument/2006/customXml" ds:itemID="{B7B5E44F-5892-4363-84E0-103B74C8016B}">
  <ds:schemaRefs>
    <ds:schemaRef ds:uri="http://schemas.openxmlformats.org/officeDocument/2006/bibliography"/>
  </ds:schemaRefs>
</ds:datastoreItem>
</file>

<file path=customXml/itemProps65.xml><?xml version="1.0" encoding="utf-8"?>
<ds:datastoreItem xmlns:ds="http://schemas.openxmlformats.org/officeDocument/2006/customXml" ds:itemID="{ABDFA61C-6758-4801-A15C-23EF1E4B936F}">
  <ds:schemaRefs>
    <ds:schemaRef ds:uri="http://schemas.openxmlformats.org/officeDocument/2006/bibliography"/>
  </ds:schemaRefs>
</ds:datastoreItem>
</file>

<file path=customXml/itemProps66.xml><?xml version="1.0" encoding="utf-8"?>
<ds:datastoreItem xmlns:ds="http://schemas.openxmlformats.org/officeDocument/2006/customXml" ds:itemID="{0778CAC4-47A4-4727-86EE-D8143418F4E0}">
  <ds:schemaRefs>
    <ds:schemaRef ds:uri="http://schemas.openxmlformats.org/officeDocument/2006/bibliography"/>
  </ds:schemaRefs>
</ds:datastoreItem>
</file>

<file path=customXml/itemProps67.xml><?xml version="1.0" encoding="utf-8"?>
<ds:datastoreItem xmlns:ds="http://schemas.openxmlformats.org/officeDocument/2006/customXml" ds:itemID="{DB9D1DC3-0D96-46DB-99CD-68187940280E}">
  <ds:schemaRefs>
    <ds:schemaRef ds:uri="http://schemas.openxmlformats.org/officeDocument/2006/bibliography"/>
  </ds:schemaRefs>
</ds:datastoreItem>
</file>

<file path=customXml/itemProps68.xml><?xml version="1.0" encoding="utf-8"?>
<ds:datastoreItem xmlns:ds="http://schemas.openxmlformats.org/officeDocument/2006/customXml" ds:itemID="{0AB737E9-A4C2-4D8D-8791-708ED0087536}">
  <ds:schemaRefs>
    <ds:schemaRef ds:uri="http://schemas.openxmlformats.org/officeDocument/2006/bibliography"/>
  </ds:schemaRefs>
</ds:datastoreItem>
</file>

<file path=customXml/itemProps69.xml><?xml version="1.0" encoding="utf-8"?>
<ds:datastoreItem xmlns:ds="http://schemas.openxmlformats.org/officeDocument/2006/customXml" ds:itemID="{90063B5E-BF1D-46F7-9C69-66672432A297}">
  <ds:schemaRefs>
    <ds:schemaRef ds:uri="http://schemas.openxmlformats.org/officeDocument/2006/bibliography"/>
  </ds:schemaRefs>
</ds:datastoreItem>
</file>

<file path=customXml/itemProps7.xml><?xml version="1.0" encoding="utf-8"?>
<ds:datastoreItem xmlns:ds="http://schemas.openxmlformats.org/officeDocument/2006/customXml" ds:itemID="{4B917291-F04E-42A2-B42D-23CE031B9C65}">
  <ds:schemaRefs>
    <ds:schemaRef ds:uri="http://schemas.openxmlformats.org/officeDocument/2006/bibliography"/>
  </ds:schemaRefs>
</ds:datastoreItem>
</file>

<file path=customXml/itemProps70.xml><?xml version="1.0" encoding="utf-8"?>
<ds:datastoreItem xmlns:ds="http://schemas.openxmlformats.org/officeDocument/2006/customXml" ds:itemID="{4E021736-CC97-42B1-AC80-148388C736B8}">
  <ds:schemaRefs>
    <ds:schemaRef ds:uri="http://schemas.openxmlformats.org/officeDocument/2006/bibliography"/>
  </ds:schemaRefs>
</ds:datastoreItem>
</file>

<file path=customXml/itemProps71.xml><?xml version="1.0" encoding="utf-8"?>
<ds:datastoreItem xmlns:ds="http://schemas.openxmlformats.org/officeDocument/2006/customXml" ds:itemID="{E1E391C5-AAF7-4BC8-B80E-356FD2D6AD86}">
  <ds:schemaRefs>
    <ds:schemaRef ds:uri="http://schemas.openxmlformats.org/officeDocument/2006/bibliography"/>
  </ds:schemaRefs>
</ds:datastoreItem>
</file>

<file path=customXml/itemProps72.xml><?xml version="1.0" encoding="utf-8"?>
<ds:datastoreItem xmlns:ds="http://schemas.openxmlformats.org/officeDocument/2006/customXml" ds:itemID="{B1BAB8BD-7208-48E0-B109-CC965C800C83}">
  <ds:schemaRefs>
    <ds:schemaRef ds:uri="http://schemas.openxmlformats.org/officeDocument/2006/bibliography"/>
  </ds:schemaRefs>
</ds:datastoreItem>
</file>

<file path=customXml/itemProps73.xml><?xml version="1.0" encoding="utf-8"?>
<ds:datastoreItem xmlns:ds="http://schemas.openxmlformats.org/officeDocument/2006/customXml" ds:itemID="{21A759F3-075E-48C0-AD33-E707E339EDE4}">
  <ds:schemaRefs>
    <ds:schemaRef ds:uri="http://schemas.openxmlformats.org/officeDocument/2006/bibliography"/>
  </ds:schemaRefs>
</ds:datastoreItem>
</file>

<file path=customXml/itemProps74.xml><?xml version="1.0" encoding="utf-8"?>
<ds:datastoreItem xmlns:ds="http://schemas.openxmlformats.org/officeDocument/2006/customXml" ds:itemID="{24B16282-E436-4649-A2D6-C14BA0D0667B}">
  <ds:schemaRefs>
    <ds:schemaRef ds:uri="http://schemas.openxmlformats.org/officeDocument/2006/bibliography"/>
  </ds:schemaRefs>
</ds:datastoreItem>
</file>

<file path=customXml/itemProps75.xml><?xml version="1.0" encoding="utf-8"?>
<ds:datastoreItem xmlns:ds="http://schemas.openxmlformats.org/officeDocument/2006/customXml" ds:itemID="{B4C1D1A8-5906-4867-BFD5-359A6083A28B}">
  <ds:schemaRefs>
    <ds:schemaRef ds:uri="http://schemas.openxmlformats.org/officeDocument/2006/bibliography"/>
  </ds:schemaRefs>
</ds:datastoreItem>
</file>

<file path=customXml/itemProps76.xml><?xml version="1.0" encoding="utf-8"?>
<ds:datastoreItem xmlns:ds="http://schemas.openxmlformats.org/officeDocument/2006/customXml" ds:itemID="{330251EB-61A3-44FF-9795-F207B82EF3FC}">
  <ds:schemaRefs>
    <ds:schemaRef ds:uri="http://schemas.openxmlformats.org/officeDocument/2006/bibliography"/>
  </ds:schemaRefs>
</ds:datastoreItem>
</file>

<file path=customXml/itemProps77.xml><?xml version="1.0" encoding="utf-8"?>
<ds:datastoreItem xmlns:ds="http://schemas.openxmlformats.org/officeDocument/2006/customXml" ds:itemID="{12C83966-EDEF-47B7-BFF7-3D7441A66AA1}">
  <ds:schemaRefs>
    <ds:schemaRef ds:uri="http://schemas.openxmlformats.org/officeDocument/2006/bibliography"/>
  </ds:schemaRefs>
</ds:datastoreItem>
</file>

<file path=customXml/itemProps78.xml><?xml version="1.0" encoding="utf-8"?>
<ds:datastoreItem xmlns:ds="http://schemas.openxmlformats.org/officeDocument/2006/customXml" ds:itemID="{E0FA7A81-FCE9-4854-87B0-3C1900BD0A36}">
  <ds:schemaRefs>
    <ds:schemaRef ds:uri="http://schemas.openxmlformats.org/officeDocument/2006/bibliography"/>
  </ds:schemaRefs>
</ds:datastoreItem>
</file>

<file path=customXml/itemProps79.xml><?xml version="1.0" encoding="utf-8"?>
<ds:datastoreItem xmlns:ds="http://schemas.openxmlformats.org/officeDocument/2006/customXml" ds:itemID="{636DAF81-B2C6-4B6B-9C60-0B665C06754E}">
  <ds:schemaRefs>
    <ds:schemaRef ds:uri="http://schemas.openxmlformats.org/officeDocument/2006/bibliography"/>
  </ds:schemaRefs>
</ds:datastoreItem>
</file>

<file path=customXml/itemProps8.xml><?xml version="1.0" encoding="utf-8"?>
<ds:datastoreItem xmlns:ds="http://schemas.openxmlformats.org/officeDocument/2006/customXml" ds:itemID="{4F76EDC1-BE9C-47C7-987C-DE68859F0BF0}">
  <ds:schemaRefs>
    <ds:schemaRef ds:uri="http://schemas.openxmlformats.org/officeDocument/2006/bibliography"/>
  </ds:schemaRefs>
</ds:datastoreItem>
</file>

<file path=customXml/itemProps80.xml><?xml version="1.0" encoding="utf-8"?>
<ds:datastoreItem xmlns:ds="http://schemas.openxmlformats.org/officeDocument/2006/customXml" ds:itemID="{7FEEAE31-84E3-4EFD-9821-803C2878BAD6}">
  <ds:schemaRefs>
    <ds:schemaRef ds:uri="http://schemas.openxmlformats.org/officeDocument/2006/bibliography"/>
  </ds:schemaRefs>
</ds:datastoreItem>
</file>

<file path=customXml/itemProps81.xml><?xml version="1.0" encoding="utf-8"?>
<ds:datastoreItem xmlns:ds="http://schemas.openxmlformats.org/officeDocument/2006/customXml" ds:itemID="{852A36CC-D523-49FB-9D4D-A62A5932F9DF}">
  <ds:schemaRefs>
    <ds:schemaRef ds:uri="http://schemas.openxmlformats.org/officeDocument/2006/bibliography"/>
  </ds:schemaRefs>
</ds:datastoreItem>
</file>

<file path=customXml/itemProps82.xml><?xml version="1.0" encoding="utf-8"?>
<ds:datastoreItem xmlns:ds="http://schemas.openxmlformats.org/officeDocument/2006/customXml" ds:itemID="{4BEF5B05-6192-4A79-8CBD-F94DBF0C792A}">
  <ds:schemaRefs>
    <ds:schemaRef ds:uri="http://schemas.openxmlformats.org/officeDocument/2006/bibliography"/>
  </ds:schemaRefs>
</ds:datastoreItem>
</file>

<file path=customXml/itemProps83.xml><?xml version="1.0" encoding="utf-8"?>
<ds:datastoreItem xmlns:ds="http://schemas.openxmlformats.org/officeDocument/2006/customXml" ds:itemID="{0A7ADC1B-3F2B-458B-B510-DC4C741E71A8}">
  <ds:schemaRefs>
    <ds:schemaRef ds:uri="http://schemas.openxmlformats.org/officeDocument/2006/bibliography"/>
  </ds:schemaRefs>
</ds:datastoreItem>
</file>

<file path=customXml/itemProps84.xml><?xml version="1.0" encoding="utf-8"?>
<ds:datastoreItem xmlns:ds="http://schemas.openxmlformats.org/officeDocument/2006/customXml" ds:itemID="{243D2C35-56D2-4953-B6B2-6645E4830FF5}">
  <ds:schemaRefs>
    <ds:schemaRef ds:uri="http://schemas.openxmlformats.org/officeDocument/2006/bibliography"/>
  </ds:schemaRefs>
</ds:datastoreItem>
</file>

<file path=customXml/itemProps85.xml><?xml version="1.0" encoding="utf-8"?>
<ds:datastoreItem xmlns:ds="http://schemas.openxmlformats.org/officeDocument/2006/customXml" ds:itemID="{25CB85A6-C15D-4EF2-8C0C-8CE3B0F2294E}">
  <ds:schemaRefs>
    <ds:schemaRef ds:uri="http://schemas.openxmlformats.org/officeDocument/2006/bibliography"/>
  </ds:schemaRefs>
</ds:datastoreItem>
</file>

<file path=customXml/itemProps86.xml><?xml version="1.0" encoding="utf-8"?>
<ds:datastoreItem xmlns:ds="http://schemas.openxmlformats.org/officeDocument/2006/customXml" ds:itemID="{52C17005-D65B-4B62-8C16-923BE9596F3C}">
  <ds:schemaRefs>
    <ds:schemaRef ds:uri="http://schemas.openxmlformats.org/officeDocument/2006/bibliography"/>
  </ds:schemaRefs>
</ds:datastoreItem>
</file>

<file path=customXml/itemProps87.xml><?xml version="1.0" encoding="utf-8"?>
<ds:datastoreItem xmlns:ds="http://schemas.openxmlformats.org/officeDocument/2006/customXml" ds:itemID="{915C6194-E621-449C-80F0-21A2EE2E6034}">
  <ds:schemaRefs>
    <ds:schemaRef ds:uri="http://schemas.openxmlformats.org/officeDocument/2006/bibliography"/>
  </ds:schemaRefs>
</ds:datastoreItem>
</file>

<file path=customXml/itemProps88.xml><?xml version="1.0" encoding="utf-8"?>
<ds:datastoreItem xmlns:ds="http://schemas.openxmlformats.org/officeDocument/2006/customXml" ds:itemID="{B9008DC0-DC57-4BA4-9AA6-4609BA33D78C}">
  <ds:schemaRefs>
    <ds:schemaRef ds:uri="http://purl.org/dc/elements/1.1/"/>
    <ds:schemaRef ds:uri="http://schemas.microsoft.com/office/2006/documentManagement/types"/>
    <ds:schemaRef ds:uri="http://schemas.microsoft.com/office/infopath/2007/PartnerControls"/>
    <ds:schemaRef ds:uri="http://schemas.openxmlformats.org/package/2006/metadata/core-properties"/>
    <ds:schemaRef ds:uri="http://purl.org/dc/terms/"/>
    <ds:schemaRef ds:uri="http://www.w3.org/XML/1998/namespace"/>
    <ds:schemaRef ds:uri="8ccc4631-9afc-4718-b120-5e2e37a03cc7"/>
    <ds:schemaRef ds:uri="http://schemas.microsoft.com/office/2006/metadata/properties"/>
    <ds:schemaRef ds:uri="http://purl.org/dc/dcmitype/"/>
  </ds:schemaRefs>
</ds:datastoreItem>
</file>

<file path=customXml/itemProps89.xml><?xml version="1.0" encoding="utf-8"?>
<ds:datastoreItem xmlns:ds="http://schemas.openxmlformats.org/officeDocument/2006/customXml" ds:itemID="{EAEB7EE1-8DB0-4653-82FF-23F4D8D03CE4}">
  <ds:schemaRefs>
    <ds:schemaRef ds:uri="http://schemas.openxmlformats.org/officeDocument/2006/bibliography"/>
  </ds:schemaRefs>
</ds:datastoreItem>
</file>

<file path=customXml/itemProps9.xml><?xml version="1.0" encoding="utf-8"?>
<ds:datastoreItem xmlns:ds="http://schemas.openxmlformats.org/officeDocument/2006/customXml" ds:itemID="{7509E0DE-921F-4763-B7E9-46BFC39B1D63}">
  <ds:schemaRefs>
    <ds:schemaRef ds:uri="http://schemas.openxmlformats.org/officeDocument/2006/bibliography"/>
  </ds:schemaRefs>
</ds:datastoreItem>
</file>

<file path=customXml/itemProps90.xml><?xml version="1.0" encoding="utf-8"?>
<ds:datastoreItem xmlns:ds="http://schemas.openxmlformats.org/officeDocument/2006/customXml" ds:itemID="{4942D772-B6FB-46C7-BCB6-77DB95327031}">
  <ds:schemaRefs>
    <ds:schemaRef ds:uri="http://schemas.openxmlformats.org/officeDocument/2006/bibliography"/>
  </ds:schemaRefs>
</ds:datastoreItem>
</file>

<file path=customXml/itemProps91.xml><?xml version="1.0" encoding="utf-8"?>
<ds:datastoreItem xmlns:ds="http://schemas.openxmlformats.org/officeDocument/2006/customXml" ds:itemID="{8040F695-6996-4A75-8F59-0036C5F9C13D}">
  <ds:schemaRefs>
    <ds:schemaRef ds:uri="http://schemas.openxmlformats.org/officeDocument/2006/bibliography"/>
  </ds:schemaRefs>
</ds:datastoreItem>
</file>

<file path=customXml/itemProps92.xml><?xml version="1.0" encoding="utf-8"?>
<ds:datastoreItem xmlns:ds="http://schemas.openxmlformats.org/officeDocument/2006/customXml" ds:itemID="{15210791-4957-41B8-AAAC-06C26693367C}">
  <ds:schemaRefs>
    <ds:schemaRef ds:uri="http://schemas.openxmlformats.org/officeDocument/2006/bibliography"/>
  </ds:schemaRefs>
</ds:datastoreItem>
</file>

<file path=customXml/itemProps93.xml><?xml version="1.0" encoding="utf-8"?>
<ds:datastoreItem xmlns:ds="http://schemas.openxmlformats.org/officeDocument/2006/customXml" ds:itemID="{31125EB5-2571-4546-9E03-0A41ECF596F2}">
  <ds:schemaRefs>
    <ds:schemaRef ds:uri="http://schemas.openxmlformats.org/officeDocument/2006/bibliography"/>
  </ds:schemaRefs>
</ds:datastoreItem>
</file>

<file path=customXml/itemProps94.xml><?xml version="1.0" encoding="utf-8"?>
<ds:datastoreItem xmlns:ds="http://schemas.openxmlformats.org/officeDocument/2006/customXml" ds:itemID="{1DAB2CBB-B3BA-49D7-A62A-F090E84C42E7}">
  <ds:schemaRefs>
    <ds:schemaRef ds:uri="http://schemas.openxmlformats.org/officeDocument/2006/bibliography"/>
  </ds:schemaRefs>
</ds:datastoreItem>
</file>

<file path=customXml/itemProps95.xml><?xml version="1.0" encoding="utf-8"?>
<ds:datastoreItem xmlns:ds="http://schemas.openxmlformats.org/officeDocument/2006/customXml" ds:itemID="{4EE182E3-D660-4B2A-915C-A35B189E93C5}">
  <ds:schemaRefs>
    <ds:schemaRef ds:uri="http://schemas.openxmlformats.org/officeDocument/2006/bibliography"/>
  </ds:schemaRefs>
</ds:datastoreItem>
</file>

<file path=customXml/itemProps96.xml><?xml version="1.0" encoding="utf-8"?>
<ds:datastoreItem xmlns:ds="http://schemas.openxmlformats.org/officeDocument/2006/customXml" ds:itemID="{D5747D87-3380-4CC9-B14E-0137F132D7DB}">
  <ds:schemaRefs>
    <ds:schemaRef ds:uri="http://schemas.openxmlformats.org/officeDocument/2006/bibliography"/>
  </ds:schemaRefs>
</ds:datastoreItem>
</file>

<file path=customXml/itemProps97.xml><?xml version="1.0" encoding="utf-8"?>
<ds:datastoreItem xmlns:ds="http://schemas.openxmlformats.org/officeDocument/2006/customXml" ds:itemID="{F88C9C20-B705-4AF0-97F0-0E02CFFFAA4C}">
  <ds:schemaRefs>
    <ds:schemaRef ds:uri="http://schemas.openxmlformats.org/officeDocument/2006/bibliography"/>
  </ds:schemaRefs>
</ds:datastoreItem>
</file>

<file path=customXml/itemProps98.xml><?xml version="1.0" encoding="utf-8"?>
<ds:datastoreItem xmlns:ds="http://schemas.openxmlformats.org/officeDocument/2006/customXml" ds:itemID="{AEC49874-C9B5-4183-BBFD-016F7E1D8EA3}">
  <ds:schemaRefs>
    <ds:schemaRef ds:uri="http://schemas.openxmlformats.org/officeDocument/2006/bibliography"/>
  </ds:schemaRefs>
</ds:datastoreItem>
</file>

<file path=customXml/itemProps99.xml><?xml version="1.0" encoding="utf-8"?>
<ds:datastoreItem xmlns:ds="http://schemas.openxmlformats.org/officeDocument/2006/customXml" ds:itemID="{3D75390B-B2CB-41BD-9DC1-05F5299D72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93895</Words>
  <Characters>535203</Characters>
  <Application>Microsoft Office Word</Application>
  <DocSecurity>0</DocSecurity>
  <Lines>4460</Lines>
  <Paragraphs>1255</Paragraphs>
  <ScaleCrop>false</ScaleCrop>
  <HeadingPairs>
    <vt:vector size="2" baseType="variant">
      <vt:variant>
        <vt:lpstr>Title</vt:lpstr>
      </vt:variant>
      <vt:variant>
        <vt:i4>1</vt:i4>
      </vt:variant>
    </vt:vector>
  </HeadingPairs>
  <TitlesOfParts>
    <vt:vector size="1" baseType="lpstr">
      <vt:lpstr>Lonborg_etal_2016_MMP WQ AIMS JCU report  2014-15_WEB</vt:lpstr>
    </vt:vector>
  </TitlesOfParts>
  <LinksUpToDate>false</LinksUpToDate>
  <CharactersWithSpaces>627843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Lonborg_etal_2016_MMP WQ AIMS JCU report  2014-15_WEB</dc:title>
  <dc:creator/>
  <cp:lastModifiedBy/>
  <cp:revision>1</cp:revision>
  <dcterms:created xsi:type="dcterms:W3CDTF">2016-09-29T00:07:00Z</dcterms:created>
  <dcterms:modified xsi:type="dcterms:W3CDTF">2016-09-29T00:07:00Z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8800</vt:r8>
  </property>
  <property fmtid="{D5CDD505-2E9C-101B-9397-08002B2CF9AE}" pid="3" name="a2118650a77a4a97b805ceb1a6b3e3dc">
    <vt:lpwstr/>
  </property>
  <property fmtid="{D5CDD505-2E9C-101B-9397-08002B2CF9AE}" pid="4" name="RecordPoint_RecordNumberSubmitted">
    <vt:lpwstr>R0000199656</vt:lpwstr>
  </property>
  <property fmtid="{D5CDD505-2E9C-101B-9397-08002B2CF9AE}" pid="5" name="RecordPoint_ActiveItemListId">
    <vt:lpwstr>{4b37b1f1-1864-45c7-8f8d-9f91400467f1}</vt:lpwstr>
  </property>
  <property fmtid="{D5CDD505-2E9C-101B-9397-08002B2CF9AE}" pid="6" name="ContentTypeId">
    <vt:lpwstr>0x010100441936E5D27A4AF2935B3316DA024CF2000D9715CDE278E54B8097413768F46C65</vt:lpwstr>
  </property>
  <property fmtid="{D5CDD505-2E9C-101B-9397-08002B2CF9AE}" pid="7" name="RecordPoint_ActiveItemUniqueId">
    <vt:lpwstr>{87bde66b-037e-4e65-8758-f2e048ad40a0}</vt:lpwstr>
  </property>
  <property fmtid="{D5CDD505-2E9C-101B-9397-08002B2CF9AE}" pid="8" name="RecordPoint_SubmissionCompleted">
    <vt:lpwstr>2016-01-13T15:52:37.7662616+10:00</vt:lpwstr>
  </property>
  <property fmtid="{D5CDD505-2E9C-101B-9397-08002B2CF9AE}" pid="9" name="RecordPoint_ActiveItemWebId">
    <vt:lpwstr>{e7821751-c451-45dc-b45e-82cfe574dc6e}</vt:lpwstr>
  </property>
  <property fmtid="{D5CDD505-2E9C-101B-9397-08002B2CF9AE}" pid="10" name="TaxCatchAll">
    <vt:lpwstr/>
  </property>
  <property fmtid="{D5CDD505-2E9C-101B-9397-08002B2CF9AE}" pid="11" name="ProjectPhase">
    <vt:lpwstr/>
  </property>
  <property fmtid="{D5CDD505-2E9C-101B-9397-08002B2CF9AE}" pid="12" name="RecordPoint_WorkflowType">
    <vt:lpwstr>ActiveSubmit</vt:lpwstr>
  </property>
  <property fmtid="{D5CDD505-2E9C-101B-9397-08002B2CF9AE}" pid="13" name="_dlc_DocIdItemGuid">
    <vt:lpwstr>d667e06f-acac-4592-a1d3-ae217c4d59e0</vt:lpwstr>
  </property>
  <property fmtid="{D5CDD505-2E9C-101B-9397-08002B2CF9AE}" pid="14" name="RecordPoint_ActiveItemSiteId">
    <vt:lpwstr>{8ce9eba2-d4a5-4da0-9276-1d47a92e9210}</vt:lpwstr>
  </property>
  <property fmtid="{D5CDD505-2E9C-101B-9397-08002B2CF9AE}" pid="15" name="IconOverlay">
    <vt:lpwstr/>
  </property>
</Properties>
</file>